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20220406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核医学科PVC地板制作项目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26</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扬州大学附属医院核医学科PVC地板制作项目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20220406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扬州大学附属医院核医学科PVC地板制作项目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29</w:t>
      </w:r>
      <w:r>
        <w:rPr>
          <w:rFonts w:hint="eastAsia" w:ascii="宋体" w:hAnsi="宋体"/>
          <w:b/>
          <w:sz w:val="24"/>
          <w:highlight w:val="none"/>
        </w:rPr>
        <w:t>日</w:t>
      </w:r>
      <w:r>
        <w:rPr>
          <w:rFonts w:hint="eastAsia" w:ascii="宋体" w:hAnsi="宋体"/>
          <w:b/>
          <w:sz w:val="24"/>
          <w:highlight w:val="none"/>
          <w:lang w:val="en-US" w:eastAsia="zh-CN"/>
        </w:rPr>
        <w:t>下午</w:t>
      </w:r>
      <w:r>
        <w:rPr>
          <w:rFonts w:hint="eastAsia" w:ascii="宋体" w:hAnsi="宋体"/>
          <w:b/>
          <w:sz w:val="24"/>
          <w:highlight w:val="none"/>
        </w:rPr>
        <w:t>1</w:t>
      </w:r>
      <w:r>
        <w:rPr>
          <w:rFonts w:hint="eastAsia" w:ascii="宋体" w:hAnsi="宋体"/>
          <w:b/>
          <w:sz w:val="24"/>
          <w:highlight w:val="none"/>
          <w:lang w:val="en-US" w:eastAsia="zh-CN"/>
        </w:rPr>
        <w:t>4</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rPr>
        <w:t>核医学科PVC地板制作项目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rPr>
        <w:t>核医学科PVC地板制作项目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r>
        <w:rPr>
          <w:rFonts w:hint="eastAsia" w:ascii="宋体" w:hAnsi="宋体" w:cs="宋体"/>
          <w:snapToGrid w:val="0"/>
          <w:kern w:val="0"/>
          <w:sz w:val="24"/>
          <w:highlight w:val="none"/>
        </w:rPr>
        <w:t>（</w:t>
      </w:r>
      <w:r>
        <w:rPr>
          <w:rFonts w:hint="eastAsia" w:ascii="宋体" w:hAnsi="宋体" w:cs="宋体"/>
          <w:snapToGrid w:val="0"/>
          <w:kern w:val="0"/>
          <w:sz w:val="24"/>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29</w:t>
      </w:r>
      <w:r>
        <w:rPr>
          <w:rFonts w:hint="eastAsia" w:cs="微软雅黑"/>
          <w:b/>
          <w:highlight w:val="none"/>
        </w:rPr>
        <w:t>日</w:t>
      </w:r>
      <w:r>
        <w:rPr>
          <w:rStyle w:val="32"/>
          <w:b/>
          <w:highlight w:val="none"/>
        </w:rPr>
        <w:t>1</w:t>
      </w:r>
      <w:r>
        <w:rPr>
          <w:rStyle w:val="32"/>
          <w:rFonts w:hint="eastAsia"/>
          <w:b/>
          <w:highlight w:val="none"/>
          <w:lang w:val="en-US" w:eastAsia="zh-CN"/>
        </w:rPr>
        <w:t>4</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4</w:t>
      </w:r>
      <w:r>
        <w:rPr>
          <w:rStyle w:val="32"/>
          <w:rFonts w:ascii="宋体" w:hAnsi="宋体"/>
          <w:b/>
          <w:sz w:val="24"/>
          <w:highlight w:val="none"/>
        </w:rPr>
        <w:t>月</w:t>
      </w:r>
      <w:r>
        <w:rPr>
          <w:rStyle w:val="32"/>
          <w:rFonts w:hint="eastAsia" w:ascii="宋体" w:hAnsi="宋体"/>
          <w:b/>
          <w:sz w:val="24"/>
          <w:highlight w:val="none"/>
          <w:lang w:val="en-US" w:eastAsia="zh-CN"/>
        </w:rPr>
        <w:t>29</w:t>
      </w:r>
      <w:r>
        <w:rPr>
          <w:rStyle w:val="32"/>
          <w:rFonts w:ascii="宋体" w:hAnsi="宋体"/>
          <w:b/>
          <w:sz w:val="24"/>
          <w:highlight w:val="none"/>
        </w:rPr>
        <w:t>日1</w:t>
      </w:r>
      <w:r>
        <w:rPr>
          <w:rStyle w:val="32"/>
          <w:rFonts w:hint="eastAsia" w:ascii="宋体" w:hAnsi="宋体"/>
          <w:b/>
          <w:sz w:val="24"/>
          <w:highlight w:val="none"/>
          <w:lang w:val="en-US" w:eastAsia="zh-CN"/>
        </w:rPr>
        <w:t>4</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bookmarkStart w:id="1" w:name="_GoBack"/>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29</w:t>
      </w:r>
      <w:r>
        <w:rPr>
          <w:rFonts w:hint="eastAsia" w:ascii="宋体" w:hAnsi="宋体" w:cs="宋体"/>
          <w:b/>
          <w:snapToGrid w:val="0"/>
          <w:spacing w:val="-4"/>
          <w:kern w:val="0"/>
          <w:sz w:val="24"/>
          <w:highlight w:val="none"/>
        </w:rPr>
        <w:t>日1</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:30</w:t>
      </w:r>
      <w:bookmarkEnd w:id="1"/>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扬州大学附属医院核医学科PVC地板制作项目</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20220406</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6"/>
        <w:tblpPr w:leftFromText="180" w:rightFromText="180" w:vertAnchor="text" w:horzAnchor="page" w:tblpX="715" w:tblpY="284"/>
        <w:tblOverlap w:val="never"/>
        <w:tblW w:w="10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343"/>
        <w:gridCol w:w="4504"/>
        <w:gridCol w:w="2183"/>
        <w:gridCol w:w="2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产品</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4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参数要求</w:t>
            </w:r>
          </w:p>
        </w:tc>
        <w:tc>
          <w:tcPr>
            <w:tcW w:w="4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样图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同质透心地板</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9个房间，</w:t>
            </w:r>
            <w:r>
              <w:rPr>
                <w:rFonts w:hint="eastAsia" w:ascii="宋体" w:hAnsi="宋体" w:eastAsia="宋体" w:cs="宋体"/>
                <w:i w:val="0"/>
                <w:iCs w:val="0"/>
                <w:color w:val="000000"/>
                <w:kern w:val="0"/>
                <w:sz w:val="24"/>
                <w:szCs w:val="24"/>
                <w:u w:val="none"/>
                <w:lang w:val="en-US" w:eastAsia="zh-CN" w:bidi="ar"/>
              </w:rPr>
              <w:t>约300平方</w:t>
            </w:r>
            <w:r>
              <w:rPr>
                <w:rFonts w:hint="eastAsia" w:ascii="宋体" w:hAnsi="宋体" w:cs="宋体"/>
                <w:i w:val="0"/>
                <w:iCs w:val="0"/>
                <w:color w:val="000000"/>
                <w:kern w:val="0"/>
                <w:sz w:val="24"/>
                <w:szCs w:val="24"/>
                <w:u w:val="none"/>
                <w:lang w:val="en-US" w:eastAsia="zh-CN" w:bidi="ar"/>
              </w:rPr>
              <w:t>米</w:t>
            </w:r>
            <w:r>
              <w:rPr>
                <w:rFonts w:hint="eastAsia" w:ascii="宋体" w:hAnsi="宋体" w:eastAsia="宋体" w:cs="宋体"/>
                <w:i w:val="0"/>
                <w:iCs w:val="0"/>
                <w:color w:val="000000"/>
                <w:kern w:val="0"/>
                <w:sz w:val="24"/>
                <w:szCs w:val="24"/>
                <w:u w:val="none"/>
                <w:lang w:val="en-US" w:eastAsia="zh-CN" w:bidi="ar"/>
              </w:rPr>
              <w:t>，以实际使用量结算。</w:t>
            </w:r>
          </w:p>
        </w:tc>
        <w:tc>
          <w:tcPr>
            <w:tcW w:w="4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2789555</wp:posOffset>
                  </wp:positionH>
                  <wp:positionV relativeFrom="paragraph">
                    <wp:posOffset>4445</wp:posOffset>
                  </wp:positionV>
                  <wp:extent cx="1400175" cy="2667000"/>
                  <wp:effectExtent l="0" t="0" r="9525" b="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6"/>
                          <a:stretch>
                            <a:fillRect/>
                          </a:stretch>
                        </pic:blipFill>
                        <pic:spPr>
                          <a:xfrm>
                            <a:off x="0" y="0"/>
                            <a:ext cx="1400175" cy="266700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同质透心卷材地板，无方向性设计；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3、防火等级：B1</w:t>
            </w:r>
            <w:r>
              <w:rPr>
                <w:rFonts w:hint="eastAsia" w:ascii="宋体" w:hAnsi="宋体" w:cs="宋体"/>
                <w:i w:val="0"/>
                <w:iCs w:val="0"/>
                <w:color w:val="000000"/>
                <w:kern w:val="0"/>
                <w:sz w:val="24"/>
                <w:szCs w:val="24"/>
                <w:u w:val="none"/>
                <w:lang w:val="en-US" w:eastAsia="zh-CN" w:bidi="ar"/>
              </w:rPr>
              <w:t>及以上</w:t>
            </w:r>
            <w:r>
              <w:rPr>
                <w:rFonts w:hint="eastAsia" w:ascii="宋体" w:hAnsi="宋体" w:eastAsia="宋体" w:cs="宋体"/>
                <w:i w:val="0"/>
                <w:iCs w:val="0"/>
                <w:color w:val="000000"/>
                <w:kern w:val="0"/>
                <w:sz w:val="24"/>
                <w:szCs w:val="24"/>
                <w:u w:val="none"/>
                <w:lang w:val="en-US" w:eastAsia="zh-CN" w:bidi="ar"/>
              </w:rPr>
              <w:t>；                          4、耐磨</w:t>
            </w:r>
            <w:r>
              <w:rPr>
                <w:rFonts w:hint="eastAsia" w:ascii="宋体" w:hAnsi="宋体" w:cs="宋体"/>
                <w:i w:val="0"/>
                <w:iCs w:val="0"/>
                <w:color w:val="000000"/>
                <w:kern w:val="0"/>
                <w:sz w:val="24"/>
                <w:szCs w:val="24"/>
                <w:u w:val="none"/>
                <w:lang w:val="en-US" w:eastAsia="zh-CN" w:bidi="ar"/>
              </w:rPr>
              <w:t>等级</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P</w:t>
            </w:r>
            <w:r>
              <w:rPr>
                <w:rFonts w:hint="eastAsia" w:ascii="宋体" w:hAnsi="宋体" w:eastAsia="宋体" w:cs="宋体"/>
                <w:i w:val="0"/>
                <w:iCs w:val="0"/>
                <w:color w:val="000000"/>
                <w:kern w:val="0"/>
                <w:sz w:val="24"/>
                <w:szCs w:val="24"/>
                <w:u w:val="none"/>
                <w:lang w:val="en-US" w:eastAsia="zh-CN" w:bidi="ar"/>
              </w:rPr>
              <w:t>级</w:t>
            </w:r>
            <w:r>
              <w:rPr>
                <w:rFonts w:hint="eastAsia" w:ascii="宋体" w:hAnsi="宋体" w:cs="宋体"/>
                <w:i w:val="0"/>
                <w:iCs w:val="0"/>
                <w:color w:val="000000"/>
                <w:kern w:val="0"/>
                <w:sz w:val="24"/>
                <w:szCs w:val="24"/>
                <w:u w:val="none"/>
                <w:lang w:val="en-US" w:eastAsia="zh-CN" w:bidi="ar"/>
              </w:rPr>
              <w:t>及以上；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5、有毒有害物质检测</w:t>
            </w:r>
            <w:r>
              <w:rPr>
                <w:rFonts w:hint="eastAsia" w:ascii="宋体" w:hAnsi="宋体" w:cs="宋体"/>
                <w:i w:val="0"/>
                <w:iCs w:val="0"/>
                <w:color w:val="000000"/>
                <w:kern w:val="0"/>
                <w:sz w:val="24"/>
                <w:szCs w:val="24"/>
                <w:u w:val="none"/>
                <w:lang w:val="en-US" w:eastAsia="zh-CN" w:bidi="ar"/>
              </w:rPr>
              <w:t>（包含可溶性重金属、氯乙烯单体、挥发物）</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符合GB 18586-2001</w:t>
            </w:r>
            <w:r>
              <w:rPr>
                <w:rFonts w:hint="eastAsia" w:ascii="宋体" w:hAnsi="宋体" w:eastAsia="宋体" w:cs="宋体"/>
                <w:i w:val="0"/>
                <w:iCs w:val="0"/>
                <w:color w:val="000000"/>
                <w:kern w:val="0"/>
                <w:sz w:val="24"/>
                <w:szCs w:val="24"/>
                <w:u w:val="none"/>
                <w:lang w:val="en-US" w:eastAsia="zh-CN" w:bidi="ar"/>
              </w:rPr>
              <w:t>；</w:t>
            </w:r>
          </w:p>
          <w:p>
            <w:pPr>
              <w:pStyle w:val="4"/>
              <w:ind w:left="0" w:leftChars="0" w:firstLine="0" w:firstLineChars="0"/>
              <w:rPr>
                <w:rFonts w:hint="eastAsia" w:ascii="宋体" w:hAnsi="宋体" w:eastAsia="宋体" w:cs="宋体"/>
                <w:i w:val="0"/>
                <w:iCs w:val="0"/>
                <w:color w:val="000000"/>
                <w:kern w:val="0"/>
                <w:sz w:val="24"/>
                <w:szCs w:val="24"/>
                <w:u w:val="none"/>
                <w:lang w:val="en-US" w:eastAsia="zh-CN" w:bidi="ar"/>
              </w:rPr>
            </w:pPr>
            <w:r>
              <w:rPr>
                <w:rFonts w:hint="eastAsia" w:ascii="宋体" w:hAnsi="宋体"/>
                <w:b/>
                <w:bCs/>
                <w:i/>
                <w:iCs/>
                <w:u w:val="single"/>
              </w:rPr>
              <w:t>（</w:t>
            </w:r>
            <w:r>
              <w:rPr>
                <w:rFonts w:hint="eastAsia" w:ascii="宋体" w:hAnsi="宋体"/>
                <w:b/>
                <w:bCs/>
                <w:i/>
                <w:iCs/>
                <w:u w:val="single"/>
                <w:lang w:val="en-US" w:eastAsia="zh-CN"/>
              </w:rPr>
              <w:t>3、4、5项</w:t>
            </w:r>
            <w:r>
              <w:rPr>
                <w:rFonts w:hint="eastAsia" w:ascii="宋体" w:hAnsi="宋体"/>
                <w:b/>
                <w:bCs/>
                <w:i/>
                <w:iCs/>
                <w:u w:val="single"/>
              </w:rPr>
              <w:t>提供国家认可的第三方检测机构出具的检测报告，检测报告时间为招标公告发布之前）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6、颜色见样图，浅色是主色，深色是走边</w:t>
            </w:r>
            <w:r>
              <w:rPr>
                <w:rFonts w:hint="eastAsia" w:ascii="宋体" w:hAnsi="宋体" w:cs="宋体"/>
                <w:i w:val="0"/>
                <w:iCs w:val="0"/>
                <w:color w:val="000000"/>
                <w:kern w:val="0"/>
                <w:sz w:val="24"/>
                <w:szCs w:val="24"/>
                <w:u w:val="none"/>
                <w:lang w:val="en-US" w:eastAsia="zh-CN" w:bidi="ar"/>
              </w:rPr>
              <w:t>，最终颜色招标结束后与采购方商定；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7、卷上墙</w:t>
            </w:r>
            <w:r>
              <w:rPr>
                <w:rFonts w:hint="eastAsia" w:ascii="宋体" w:hAnsi="宋体" w:cs="宋体"/>
                <w:i w:val="0"/>
                <w:iCs w:val="0"/>
                <w:color w:val="000000"/>
                <w:kern w:val="0"/>
                <w:sz w:val="24"/>
                <w:szCs w:val="24"/>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包主料辅料，包安装</w:t>
            </w:r>
            <w:r>
              <w:rPr>
                <w:rFonts w:hint="eastAsia" w:ascii="宋体" w:hAnsi="宋体" w:eastAsia="宋体" w:cs="宋体"/>
                <w:i w:val="0"/>
                <w:iCs w:val="0"/>
                <w:color w:val="000000"/>
                <w:kern w:val="0"/>
                <w:sz w:val="24"/>
                <w:szCs w:val="24"/>
                <w:u w:val="none"/>
                <w:lang w:val="en-US" w:eastAsia="zh-CN" w:bidi="ar"/>
              </w:rPr>
              <w:t>。</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-51435</wp:posOffset>
                  </wp:positionH>
                  <wp:positionV relativeFrom="paragraph">
                    <wp:posOffset>27305</wp:posOffset>
                  </wp:positionV>
                  <wp:extent cx="1302385" cy="2672715"/>
                  <wp:effectExtent l="0" t="0" r="12065" b="13335"/>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7"/>
                          <a:stretch>
                            <a:fillRect/>
                          </a:stretch>
                        </pic:blipFill>
                        <pic:spPr>
                          <a:xfrm>
                            <a:off x="0" y="0"/>
                            <a:ext cx="1302385" cy="2672715"/>
                          </a:xfrm>
                          <a:prstGeom prst="rect">
                            <a:avLst/>
                          </a:prstGeom>
                          <a:noFill/>
                          <a:ln>
                            <a:noFill/>
                          </a:ln>
                        </pic:spPr>
                      </pic:pic>
                    </a:graphicData>
                  </a:graphic>
                </wp:anchor>
              </w:drawing>
            </w:r>
          </w:p>
        </w:tc>
      </w:tr>
    </w:tbl>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7</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扬州大学附属医院核医学科PVC地板制作项目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20220406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b/>
          <w:sz w:val="28"/>
          <w:szCs w:val="28"/>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ind w:left="3960" w:hanging="3960" w:hangingChars="1650"/>
        <w:rPr>
          <w:rFonts w:ascii="宋体" w:hAnsi="宋体" w:cs="楷体"/>
          <w:sz w:val="24"/>
          <w:szCs w:val="24"/>
          <w:highlight w:val="none"/>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pStyle w:val="15"/>
        <w:rPr>
          <w:rFonts w:ascii="宋体" w:hAnsi="宋体" w:cs="宋体"/>
          <w:sz w:val="28"/>
          <w:szCs w:val="28"/>
        </w:rPr>
      </w:pPr>
    </w:p>
    <w:p>
      <w:pPr>
        <w:pStyle w:val="15"/>
        <w:rPr>
          <w:rFonts w:ascii="宋体" w:hAnsi="宋体" w:cs="宋体"/>
          <w:sz w:val="28"/>
          <w:szCs w:val="28"/>
        </w:rPr>
      </w:pPr>
    </w:p>
    <w:p>
      <w:pPr>
        <w:pStyle w:val="15"/>
        <w:rPr>
          <w:rFonts w:ascii="宋体" w:hAnsi="宋体" w:cs="宋体"/>
          <w:sz w:val="28"/>
          <w:szCs w:val="28"/>
        </w:rPr>
      </w:pPr>
    </w:p>
    <w:p>
      <w:pPr>
        <w:pStyle w:val="15"/>
        <w:rPr>
          <w:rFonts w:ascii="宋体" w:hAnsi="宋体" w:cs="宋体"/>
          <w:sz w:val="28"/>
          <w:szCs w:val="28"/>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2404"/>
        <w:gridCol w:w="2406"/>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61"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1412" w:type="pct"/>
            <w:vAlign w:val="center"/>
          </w:tcPr>
          <w:p>
            <w:pPr>
              <w:autoSpaceDE w:val="0"/>
              <w:autoSpaceDN w:val="0"/>
              <w:adjustRightInd w:val="0"/>
              <w:snapToGrid w:val="0"/>
              <w:spacing w:line="440" w:lineRule="exact"/>
              <w:contextualSpacing/>
              <w:jc w:val="center"/>
              <w:rPr>
                <w:b/>
                <w:bCs/>
                <w:sz w:val="24"/>
              </w:rPr>
            </w:pPr>
            <w:r>
              <w:rPr>
                <w:rFonts w:hint="eastAsia" w:hAnsi="宋体"/>
                <w:b/>
                <w:bCs/>
                <w:sz w:val="24"/>
                <w:lang w:val="en-US" w:eastAsia="zh-CN"/>
              </w:rPr>
              <w:t>单价</w:t>
            </w:r>
            <w:r>
              <w:rPr>
                <w:b/>
                <w:bCs/>
                <w:sz w:val="24"/>
              </w:rPr>
              <w:t xml:space="preserve"> (</w:t>
            </w:r>
            <w:r>
              <w:rPr>
                <w:rFonts w:hAnsi="宋体"/>
                <w:b/>
                <w:bCs/>
                <w:sz w:val="24"/>
              </w:rPr>
              <w:t>小写</w:t>
            </w:r>
            <w:r>
              <w:rPr>
                <w:b/>
                <w:bCs/>
                <w:sz w:val="24"/>
              </w:rPr>
              <w:t>)</w:t>
            </w:r>
          </w:p>
        </w:tc>
        <w:tc>
          <w:tcPr>
            <w:tcW w:w="1413" w:type="pct"/>
            <w:vAlign w:val="center"/>
          </w:tcPr>
          <w:p>
            <w:pPr>
              <w:autoSpaceDE w:val="0"/>
              <w:autoSpaceDN w:val="0"/>
              <w:adjustRightInd w:val="0"/>
              <w:snapToGrid w:val="0"/>
              <w:spacing w:line="440" w:lineRule="exact"/>
              <w:contextualSpacing/>
              <w:jc w:val="center"/>
              <w:rPr>
                <w:rFonts w:hint="eastAsia" w:hAnsi="宋体" w:eastAsia="宋体"/>
                <w:b/>
                <w:bCs/>
                <w:sz w:val="24"/>
                <w:lang w:val="en-US" w:eastAsia="zh-CN"/>
              </w:rPr>
            </w:pPr>
            <w:r>
              <w:rPr>
                <w:rFonts w:hint="eastAsia" w:hAnsi="宋体"/>
                <w:b/>
                <w:bCs/>
                <w:sz w:val="24"/>
                <w:lang w:val="en-US" w:eastAsia="zh-CN"/>
              </w:rPr>
              <w:t>数量</w:t>
            </w:r>
          </w:p>
        </w:tc>
        <w:tc>
          <w:tcPr>
            <w:tcW w:w="1412" w:type="pct"/>
            <w:vAlign w:val="center"/>
          </w:tcPr>
          <w:p>
            <w:pPr>
              <w:autoSpaceDE w:val="0"/>
              <w:autoSpaceDN w:val="0"/>
              <w:adjustRightInd w:val="0"/>
              <w:snapToGrid w:val="0"/>
              <w:spacing w:line="440" w:lineRule="exact"/>
              <w:contextualSpacing/>
              <w:jc w:val="center"/>
              <w:rPr>
                <w:rFonts w:hAnsi="宋体"/>
                <w:b/>
                <w:bCs/>
                <w:sz w:val="24"/>
              </w:rPr>
            </w:pPr>
            <w:r>
              <w:rPr>
                <w:rFonts w:hint="eastAsia" w:hAnsi="宋体"/>
                <w:b/>
                <w:bCs/>
                <w:sz w:val="24"/>
                <w:lang w:val="en-US" w:eastAsia="zh-CN"/>
              </w:rPr>
              <w:t>总价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761" w:type="pct"/>
            <w:vAlign w:val="center"/>
          </w:tcPr>
          <w:p>
            <w:pPr>
              <w:pStyle w:val="30"/>
              <w:adjustRightInd w:val="0"/>
              <w:snapToGrid w:val="0"/>
              <w:spacing w:line="440" w:lineRule="exact"/>
              <w:contextualSpacing/>
              <w:jc w:val="center"/>
              <w:rPr>
                <w:rFonts w:ascii="Times New Roman"/>
                <w:bCs/>
              </w:rPr>
            </w:pPr>
          </w:p>
        </w:tc>
        <w:tc>
          <w:tcPr>
            <w:tcW w:w="1412" w:type="pct"/>
            <w:vAlign w:val="center"/>
          </w:tcPr>
          <w:p>
            <w:pPr>
              <w:pStyle w:val="30"/>
              <w:adjustRightInd w:val="0"/>
              <w:snapToGrid w:val="0"/>
              <w:spacing w:line="440" w:lineRule="exact"/>
              <w:contextualSpacing/>
              <w:rPr>
                <w:rFonts w:ascii="Times New Roman"/>
                <w:b/>
              </w:rPr>
            </w:pPr>
          </w:p>
        </w:tc>
        <w:tc>
          <w:tcPr>
            <w:tcW w:w="1413" w:type="pct"/>
            <w:vAlign w:val="center"/>
          </w:tcPr>
          <w:p>
            <w:pPr>
              <w:pStyle w:val="30"/>
              <w:adjustRightInd w:val="0"/>
              <w:snapToGrid w:val="0"/>
              <w:spacing w:line="440" w:lineRule="exact"/>
              <w:contextualSpacing/>
              <w:jc w:val="center"/>
              <w:rPr>
                <w:rFonts w:hint="default" w:ascii="Times New Roman" w:eastAsia="宋体"/>
                <w:b/>
                <w:lang w:val="en-US" w:eastAsia="zh-CN"/>
              </w:rPr>
            </w:pPr>
            <w:r>
              <w:rPr>
                <w:rFonts w:hint="eastAsia" w:ascii="Times New Roman"/>
                <w:b/>
                <w:lang w:val="en-US" w:eastAsia="zh-CN"/>
              </w:rPr>
              <w:t>300平方米</w:t>
            </w:r>
          </w:p>
        </w:tc>
        <w:tc>
          <w:tcPr>
            <w:tcW w:w="1412"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4"/>
            <w:vAlign w:val="center"/>
          </w:tcPr>
          <w:p>
            <w:pPr>
              <w:pStyle w:val="30"/>
              <w:adjustRightInd w:val="0"/>
              <w:snapToGrid w:val="0"/>
              <w:spacing w:line="440" w:lineRule="exact"/>
              <w:contextualSpacing/>
              <w:rPr>
                <w:rFonts w:hint="eastAsia"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rPr>
          <w:rFonts w:hint="eastAsia" w:ascii="宋体" w:hAnsi="宋体"/>
          <w:b/>
          <w:sz w:val="36"/>
          <w:szCs w:val="36"/>
          <w:lang w:val="en-US" w:eastAsia="zh-CN"/>
        </w:rPr>
      </w:pP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扬州大学附属医院核医学科PVC地板制作项目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lang w:val="en-US" w:eastAsia="zh-CN"/>
        </w:rPr>
      </w:pPr>
      <w:r>
        <w:rPr>
          <w:rFonts w:hint="eastAsia" w:hAnsi="宋体" w:cs="宋体"/>
          <w:sz w:val="24"/>
          <w:lang w:eastAsia="zh-CN"/>
        </w:rPr>
        <w:t>协议</w:t>
      </w:r>
      <w:r>
        <w:rPr>
          <w:rFonts w:hint="eastAsia" w:hAnsi="宋体" w:cs="宋体"/>
          <w:sz w:val="24"/>
        </w:rPr>
        <w:t>编号：</w:t>
      </w:r>
      <w:r>
        <w:rPr>
          <w:rFonts w:hint="eastAsia" w:hAnsi="宋体" w:cs="宋体"/>
          <w:b/>
          <w:bCs/>
          <w:sz w:val="24"/>
          <w:highlight w:val="none"/>
        </w:rPr>
        <w:t>YDFYXJ-</w:t>
      </w:r>
      <w:r>
        <w:rPr>
          <w:rFonts w:hint="eastAsia" w:hAnsi="宋体" w:cs="宋体"/>
          <w:b/>
          <w:bCs/>
          <w:sz w:val="24"/>
          <w:highlight w:val="none"/>
          <w:lang w:eastAsia="zh-CN"/>
        </w:rPr>
        <w:t>20220406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rPr>
        <w:t>核医学科PVC地板制作项目</w:t>
      </w:r>
      <w:r>
        <w:rPr>
          <w:rFonts w:hint="eastAsia" w:hAnsi="宋体" w:cs="宋体"/>
          <w:snapToGrid w:val="0"/>
          <w:kern w:val="0"/>
          <w:sz w:val="24"/>
        </w:rPr>
        <w:t>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扬州大学附属医院核医学科PVC地板制作项目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yellow"/>
          <w:u w:val="single"/>
        </w:rPr>
        <w:t>人民币</w:t>
      </w:r>
      <w:r>
        <w:rPr>
          <w:rFonts w:hint="eastAsia" w:ascii="宋体" w:hAnsi="宋体"/>
          <w:b/>
          <w:bCs/>
          <w:sz w:val="24"/>
          <w:highlight w:val="yellow"/>
          <w:u w:val="single"/>
          <w:lang w:val="en-US" w:eastAsia="zh-CN"/>
        </w:rPr>
        <w:t>（¥）</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eastAsia="宋体" w:cs="宋体"/>
          <w:sz w:val="24"/>
          <w:lang w:eastAsia="zh-CN"/>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r>
        <w:rPr>
          <w:rFonts w:hint="eastAsia" w:cs="宋体"/>
          <w:snapToGrid w:val="0"/>
          <w:kern w:val="0"/>
          <w:sz w:val="24"/>
          <w:highlight w:val="none"/>
          <w:lang w:eastAsia="zh-CN"/>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2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2">
    <w:nsid w:val="6091DB0B"/>
    <w:multiLevelType w:val="singleLevel"/>
    <w:tmpl w:val="6091DB0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9315AB1"/>
    <w:rsid w:val="09BA785F"/>
    <w:rsid w:val="0A3E14DC"/>
    <w:rsid w:val="0BE47D69"/>
    <w:rsid w:val="0C067990"/>
    <w:rsid w:val="0C4A2728"/>
    <w:rsid w:val="0CF140C8"/>
    <w:rsid w:val="0D2E16CF"/>
    <w:rsid w:val="0D4515B4"/>
    <w:rsid w:val="0E126F52"/>
    <w:rsid w:val="0E2A13BF"/>
    <w:rsid w:val="0EE42777"/>
    <w:rsid w:val="0F692713"/>
    <w:rsid w:val="110961DE"/>
    <w:rsid w:val="111E0672"/>
    <w:rsid w:val="125D541A"/>
    <w:rsid w:val="15D76399"/>
    <w:rsid w:val="172469D5"/>
    <w:rsid w:val="17407202"/>
    <w:rsid w:val="186D5CBC"/>
    <w:rsid w:val="19826916"/>
    <w:rsid w:val="1A965BFC"/>
    <w:rsid w:val="1C450509"/>
    <w:rsid w:val="1C94789B"/>
    <w:rsid w:val="1D762024"/>
    <w:rsid w:val="1E525F06"/>
    <w:rsid w:val="1EAC0AAC"/>
    <w:rsid w:val="1FF236E2"/>
    <w:rsid w:val="205648A9"/>
    <w:rsid w:val="21C93434"/>
    <w:rsid w:val="22EC14F1"/>
    <w:rsid w:val="23735059"/>
    <w:rsid w:val="2466755A"/>
    <w:rsid w:val="24782FEE"/>
    <w:rsid w:val="270244AF"/>
    <w:rsid w:val="28795CAE"/>
    <w:rsid w:val="28CF6D5C"/>
    <w:rsid w:val="28D728FE"/>
    <w:rsid w:val="290E1224"/>
    <w:rsid w:val="2A2B6139"/>
    <w:rsid w:val="2A6C65F7"/>
    <w:rsid w:val="2AA6133D"/>
    <w:rsid w:val="2BCB5B07"/>
    <w:rsid w:val="2E026BA2"/>
    <w:rsid w:val="2EE7735A"/>
    <w:rsid w:val="2F716810"/>
    <w:rsid w:val="2F877A0A"/>
    <w:rsid w:val="30DF7E8F"/>
    <w:rsid w:val="318E7998"/>
    <w:rsid w:val="32542738"/>
    <w:rsid w:val="335B5975"/>
    <w:rsid w:val="349B0B50"/>
    <w:rsid w:val="375A406B"/>
    <w:rsid w:val="395873E0"/>
    <w:rsid w:val="398427FF"/>
    <w:rsid w:val="3B6B7997"/>
    <w:rsid w:val="3C7E55A0"/>
    <w:rsid w:val="3C7E7E4D"/>
    <w:rsid w:val="3CE16B0E"/>
    <w:rsid w:val="3D920AB3"/>
    <w:rsid w:val="3E4F54B3"/>
    <w:rsid w:val="3EA006FD"/>
    <w:rsid w:val="406A6438"/>
    <w:rsid w:val="40B07304"/>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5A5AE8"/>
    <w:rsid w:val="677A6507"/>
    <w:rsid w:val="6A516DA1"/>
    <w:rsid w:val="6D633984"/>
    <w:rsid w:val="6DF60098"/>
    <w:rsid w:val="6E1F0C2D"/>
    <w:rsid w:val="6E33111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7700CD"/>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15</TotalTime>
  <ScaleCrop>false</ScaleCrop>
  <LinksUpToDate>false</LinksUpToDate>
  <CharactersWithSpaces>9962</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2022-04-25T23:42:37Z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