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东区屋面防水项目</w:t>
      </w:r>
    </w:p>
    <w:p>
      <w:pPr>
        <w:adjustRightInd w:val="0"/>
        <w:snapToGrid w:val="0"/>
        <w:spacing w:line="800" w:lineRule="exact"/>
        <w:contextualSpacing/>
        <w:jc w:val="center"/>
        <w:rPr>
          <w:b/>
          <w:sz w:val="48"/>
          <w:szCs w:val="48"/>
        </w:rPr>
      </w:pPr>
      <w:r>
        <w:rPr>
          <w:rFonts w:hint="eastAsia"/>
          <w:b/>
          <w:sz w:val="48"/>
          <w:szCs w:val="48"/>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13</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扬州大学附属医院东区屋面防水项目（编号：YDFYXJ-</w:t>
      </w:r>
      <w:r>
        <w:rPr>
          <w:rFonts w:hint="eastAsia" w:ascii="宋体" w:hAnsi="宋体" w:cs="宋体"/>
          <w:snapToGrid w:val="0"/>
          <w:kern w:val="0"/>
          <w:sz w:val="24"/>
          <w:highlight w:val="none"/>
          <w:lang w:eastAsia="zh-CN"/>
        </w:rPr>
        <w:t>20220505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扬州大学附属医院东区屋面防水项目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w:t>
      </w:r>
      <w:bookmarkStart w:id="4" w:name="_GoBack"/>
      <w:bookmarkEnd w:id="4"/>
      <w:r>
        <w:rPr>
          <w:rFonts w:hint="eastAsia" w:ascii="宋体" w:hAnsi="宋体" w:cs="微软雅黑"/>
          <w:color w:val="000000"/>
          <w:sz w:val="24"/>
        </w:rPr>
        <w:t>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日上午10：</w:t>
      </w:r>
      <w:r>
        <w:rPr>
          <w:rFonts w:hint="eastAsia" w:ascii="宋体" w:hAnsi="宋体"/>
          <w:b/>
          <w:sz w:val="24"/>
          <w:highlight w:val="none"/>
          <w:lang w:val="en-US" w:eastAsia="zh-CN"/>
        </w:rPr>
        <w:t>0</w:t>
      </w:r>
      <w:r>
        <w:rPr>
          <w:rFonts w:hint="eastAsia" w:ascii="宋体" w:hAnsi="宋体"/>
          <w:b/>
          <w:sz w:val="24"/>
          <w:highlight w:val="none"/>
        </w:rPr>
        <w:t>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东区屋面防水项目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东区屋面防水项目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highlight w:val="none"/>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90%，质保期满后无质量问题且无违约行为一次性付清余款。（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18</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w:t>
      </w:r>
      <w:r>
        <w:rPr>
          <w:rStyle w:val="33"/>
          <w:rFonts w:hint="eastAsia"/>
          <w:b/>
          <w:highlight w:val="none"/>
          <w:lang w:val="en-US" w:eastAsia="zh-CN"/>
        </w:rPr>
        <w:t>0</w:t>
      </w:r>
      <w:r>
        <w:rPr>
          <w:rStyle w:val="33"/>
          <w:b/>
          <w:highlight w:val="none"/>
        </w:rPr>
        <w:t>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w:t>
      </w:r>
      <w:r>
        <w:rPr>
          <w:rStyle w:val="33"/>
          <w:rFonts w:hint="eastAsia" w:ascii="宋体" w:hAnsi="宋体"/>
          <w:b/>
          <w:sz w:val="24"/>
          <w:highlight w:val="none"/>
          <w:lang w:val="en-US" w:eastAsia="zh-CN"/>
        </w:rPr>
        <w:t>5</w:t>
      </w:r>
      <w:r>
        <w:rPr>
          <w:rStyle w:val="33"/>
          <w:rFonts w:ascii="宋体" w:hAnsi="宋体"/>
          <w:b/>
          <w:sz w:val="24"/>
          <w:highlight w:val="none"/>
        </w:rPr>
        <w:t>月</w:t>
      </w:r>
      <w:r>
        <w:rPr>
          <w:rStyle w:val="33"/>
          <w:rFonts w:hint="eastAsia" w:ascii="宋体" w:hAnsi="宋体"/>
          <w:b/>
          <w:sz w:val="24"/>
          <w:highlight w:val="none"/>
          <w:lang w:val="en-US" w:eastAsia="zh-CN"/>
        </w:rPr>
        <w:t>18</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w:t>
      </w:r>
      <w:r>
        <w:rPr>
          <w:rStyle w:val="33"/>
          <w:rFonts w:hint="eastAsia" w:ascii="宋体" w:hAnsi="宋体"/>
          <w:b/>
          <w:sz w:val="24"/>
          <w:highlight w:val="none"/>
          <w:lang w:val="en-US" w:eastAsia="zh-CN"/>
        </w:rPr>
        <w:t>0</w:t>
      </w:r>
      <w:r>
        <w:rPr>
          <w:rStyle w:val="33"/>
          <w:rFonts w:ascii="宋体" w:hAnsi="宋体"/>
          <w:b/>
          <w:sz w:val="24"/>
          <w:highlight w:val="none"/>
        </w:rPr>
        <w:t>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18</w:t>
      </w:r>
      <w:r>
        <w:rPr>
          <w:rFonts w:hint="eastAsia" w:ascii="宋体" w:hAnsi="宋体" w:cs="宋体"/>
          <w:b/>
          <w:snapToGrid w:val="0"/>
          <w:spacing w:val="-4"/>
          <w:kern w:val="0"/>
          <w:sz w:val="24"/>
          <w:highlight w:val="none"/>
        </w:rPr>
        <w:t>日上午10:</w:t>
      </w:r>
      <w:r>
        <w:rPr>
          <w:rFonts w:hint="eastAsia" w:ascii="宋体" w:hAnsi="宋体" w:cs="宋体"/>
          <w:b/>
          <w:snapToGrid w:val="0"/>
          <w:spacing w:val="-4"/>
          <w:kern w:val="0"/>
          <w:sz w:val="24"/>
          <w:highlight w:val="none"/>
          <w:lang w:val="en-US" w:eastAsia="zh-CN"/>
        </w:rPr>
        <w:t>0</w:t>
      </w:r>
      <w:r>
        <w:rPr>
          <w:rFonts w:hint="eastAsia" w:ascii="宋体" w:hAnsi="宋体" w:cs="宋体"/>
          <w:b/>
          <w:snapToGrid w:val="0"/>
          <w:spacing w:val="-4"/>
          <w:kern w:val="0"/>
          <w:sz w:val="24"/>
          <w:highlight w:val="none"/>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扬州大学附属医院东区屋面防水项目</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20220505</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contextualSpacing/>
        <w:jc w:val="left"/>
        <w:rPr>
          <w:rFonts w:hint="eastAsia" w:hAnsi="宋体" w:cs="宋体"/>
          <w:snapToGrid w:val="0"/>
          <w:spacing w:val="-4"/>
          <w:kern w:val="0"/>
          <w:sz w:val="24"/>
          <w:lang w:val="en-US" w:eastAsia="zh-CN"/>
        </w:rPr>
      </w:pPr>
      <w:r>
        <w:rPr>
          <w:rFonts w:hint="eastAsia" w:ascii="宋体" w:hAnsi="宋体" w:cs="宋体"/>
          <w:snapToGrid w:val="0"/>
          <w:kern w:val="0"/>
          <w:sz w:val="24"/>
          <w:lang w:val="en-US" w:eastAsia="zh-CN"/>
        </w:rPr>
        <w:t>2.1施工地点：一号楼至五号楼连廊，五号楼至六号楼连廊，六号楼屋面，六号楼至二号楼连廊（三层及五层）：施工面积约为260㎡；（部分施工现场见附图，实际情况由各投标单位自行现场勘查）</w:t>
      </w:r>
      <w:r>
        <w:rPr>
          <w:rFonts w:hint="eastAsia" w:hAnsi="宋体" w:cs="宋体"/>
          <w:snapToGrid w:val="0"/>
          <w:spacing w:val="-4"/>
          <w:kern w:val="0"/>
          <w:sz w:val="24"/>
          <w:lang w:val="en-US" w:eastAsia="zh-CN"/>
        </w:rPr>
        <w:t>。</w:t>
      </w:r>
    </w:p>
    <w:p>
      <w:pPr>
        <w:pStyle w:val="2"/>
        <w:rPr>
          <w:rFonts w:hint="eastAsia"/>
          <w:lang w:val="en-US" w:eastAsia="zh-CN"/>
        </w:rPr>
      </w:pPr>
    </w:p>
    <w:p>
      <w:pPr>
        <w:pStyle w:val="3"/>
        <w:jc w:val="center"/>
        <w:rPr>
          <w:rFonts w:hint="eastAsia" w:cs="Times New Roman"/>
          <w:kern w:val="2"/>
          <w:sz w:val="21"/>
          <w:szCs w:val="24"/>
          <w:lang w:val="en-US" w:eastAsia="zh-CN" w:bidi="ar-SA"/>
        </w:rPr>
      </w:pPr>
      <w:r>
        <w:rPr>
          <w:rFonts w:hint="eastAsia" w:eastAsia="宋体"/>
          <w:b/>
          <w:bCs/>
          <w:sz w:val="21"/>
          <w:szCs w:val="21"/>
          <w:lang w:val="en-US" w:eastAsia="zh-CN"/>
        </w:rPr>
        <w:t xml:space="preserve">一号楼至五号楼屋面  </w:t>
      </w:r>
      <w:r>
        <w:rPr>
          <w:rFonts w:hint="eastAsia" w:eastAsia="宋体"/>
          <w:sz w:val="21"/>
          <w:szCs w:val="21"/>
          <w:lang w:val="en-US" w:eastAsia="zh-CN"/>
        </w:rPr>
        <w:t xml:space="preserve">                    </w:t>
      </w:r>
      <w:r>
        <w:rPr>
          <w:rFonts w:hint="eastAsia" w:cs="Times New Roman"/>
          <w:b/>
          <w:bCs/>
          <w:kern w:val="2"/>
          <w:sz w:val="21"/>
          <w:szCs w:val="24"/>
          <w:lang w:val="en-US" w:eastAsia="zh-CN" w:bidi="ar-SA"/>
        </w:rPr>
        <w:t>六号楼医技楼屋面</w:t>
      </w:r>
    </w:p>
    <w:p>
      <w:pPr>
        <w:pStyle w:val="9"/>
        <w:widowControl w:val="0"/>
        <w:numPr>
          <w:ilvl w:val="0"/>
          <w:numId w:val="0"/>
        </w:numPr>
        <w:contextualSpacing/>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drawing>
          <wp:inline distT="0" distB="0" distL="114300" distR="114300">
            <wp:extent cx="2511425" cy="3359150"/>
            <wp:effectExtent l="0" t="0" r="3175" b="12700"/>
            <wp:docPr id="2" name="图片 1" descr="85802da07d6feb57163bd7a6fb3df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802da07d6feb57163bd7a6fb3df2c"/>
                    <pic:cNvPicPr>
                      <a:picLocks noChangeAspect="1"/>
                    </pic:cNvPicPr>
                  </pic:nvPicPr>
                  <pic:blipFill>
                    <a:blip r:embed="rId6"/>
                    <a:stretch>
                      <a:fillRect/>
                    </a:stretch>
                  </pic:blipFill>
                  <pic:spPr>
                    <a:xfrm>
                      <a:off x="0" y="0"/>
                      <a:ext cx="2511425" cy="3359150"/>
                    </a:xfrm>
                    <a:prstGeom prst="rect">
                      <a:avLst/>
                    </a:prstGeom>
                    <a:noFill/>
                    <a:ln>
                      <a:noFill/>
                    </a:ln>
                  </pic:spPr>
                </pic:pic>
              </a:graphicData>
            </a:graphic>
          </wp:inline>
        </w:drawing>
      </w:r>
      <w:r>
        <w:rPr>
          <w:rFonts w:hint="eastAsia" w:ascii="Times New Roman" w:hAnsi="Times New Roman" w:eastAsia="宋体" w:cs="Times New Roman"/>
          <w:kern w:val="2"/>
          <w:sz w:val="21"/>
          <w:szCs w:val="24"/>
          <w:lang w:val="en-US" w:eastAsia="zh-CN" w:bidi="ar-SA"/>
        </w:rPr>
        <w:drawing>
          <wp:inline distT="0" distB="0" distL="114300" distR="114300">
            <wp:extent cx="2477135" cy="3362960"/>
            <wp:effectExtent l="0" t="0" r="1841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2477135" cy="3362960"/>
                    </a:xfrm>
                    <a:prstGeom prst="rect">
                      <a:avLst/>
                    </a:prstGeom>
                    <a:noFill/>
                    <a:ln>
                      <a:noFill/>
                    </a:ln>
                  </pic:spPr>
                </pic:pic>
              </a:graphicData>
            </a:graphic>
          </wp:inline>
        </w:drawing>
      </w:r>
    </w:p>
    <w:p>
      <w:pPr>
        <w:pStyle w:val="9"/>
        <w:widowControl w:val="0"/>
        <w:numPr>
          <w:ilvl w:val="0"/>
          <w:numId w:val="0"/>
        </w:numPr>
        <w:contextualSpacing/>
        <w:jc w:val="both"/>
        <w:rPr>
          <w:rFonts w:hint="eastAsia" w:ascii="Times New Roman" w:hAnsi="Times New Roman" w:eastAsia="宋体" w:cs="Times New Roman"/>
          <w:kern w:val="2"/>
          <w:sz w:val="21"/>
          <w:szCs w:val="24"/>
          <w:lang w:val="en-US" w:eastAsia="zh-CN" w:bidi="ar-SA"/>
        </w:rPr>
      </w:pP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2.2项目工程参考清单</w:t>
      </w:r>
    </w:p>
    <w:tbl>
      <w:tblPr>
        <w:tblStyle w:val="18"/>
        <w:tblpPr w:leftFromText="180" w:rightFromText="180" w:vertAnchor="page" w:horzAnchor="page" w:tblpX="2280" w:tblpY="163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84"/>
        <w:gridCol w:w="870"/>
        <w:gridCol w:w="13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序号</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项目名称</w:t>
            </w:r>
          </w:p>
        </w:tc>
        <w:tc>
          <w:tcPr>
            <w:tcW w:w="8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面积</w:t>
            </w:r>
          </w:p>
        </w:tc>
        <w:tc>
          <w:tcPr>
            <w:tcW w:w="13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参考品牌</w:t>
            </w: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一</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人工费（防水）</w:t>
            </w:r>
          </w:p>
        </w:tc>
        <w:tc>
          <w:tcPr>
            <w:tcW w:w="870"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约260㎡</w:t>
            </w:r>
          </w:p>
        </w:tc>
        <w:tc>
          <w:tcPr>
            <w:tcW w:w="1300"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防水材料：三棵树、东方雨虹或同品质材料（</w:t>
            </w:r>
            <w:r>
              <w:rPr>
                <w:rFonts w:hint="eastAsia" w:hAnsi="宋体" w:cs="宋体"/>
                <w:b/>
                <w:bCs/>
                <w:snapToGrid w:val="0"/>
                <w:spacing w:val="-4"/>
                <w:kern w:val="0"/>
                <w:sz w:val="18"/>
                <w:szCs w:val="18"/>
                <w:vertAlign w:val="baseline"/>
                <w:lang w:val="en-US" w:eastAsia="zh-CN"/>
              </w:rPr>
              <w:t>进场前应得到业主认可方可进场</w:t>
            </w:r>
            <w:r>
              <w:rPr>
                <w:rFonts w:hint="eastAsia" w:hAnsi="宋体" w:cs="宋体"/>
                <w:snapToGrid w:val="0"/>
                <w:spacing w:val="-4"/>
                <w:kern w:val="0"/>
                <w:sz w:val="18"/>
                <w:szCs w:val="18"/>
                <w:vertAlign w:val="baseline"/>
                <w:lang w:val="en-US" w:eastAsia="zh-CN"/>
              </w:rPr>
              <w:t>）</w:t>
            </w: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二</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材料费（防水）</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1</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基层处理剂</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2</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1.5mm js聚合物防水涂料</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3</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3.0厚SBS页改性沥青防水卷材</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4</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辅材（煤气、丁基胶带等）</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5</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材料运输费</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包含吊运至屋面费用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6</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屋面隔漏</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三</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现场材料及成品保护费</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四</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中标后人员保险费</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五</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垃圾清运费</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六</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机械费（车辆）</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七</w:t>
            </w:r>
          </w:p>
        </w:tc>
        <w:tc>
          <w:tcPr>
            <w:tcW w:w="28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r>
              <w:rPr>
                <w:rFonts w:hint="eastAsia" w:hAnsi="宋体" w:cs="宋体"/>
                <w:snapToGrid w:val="0"/>
                <w:spacing w:val="-4"/>
                <w:kern w:val="0"/>
                <w:sz w:val="18"/>
                <w:szCs w:val="18"/>
                <w:vertAlign w:val="baseline"/>
                <w:lang w:val="en-US" w:eastAsia="zh-CN"/>
              </w:rPr>
              <w:t>开票</w:t>
            </w:r>
          </w:p>
        </w:tc>
        <w:tc>
          <w:tcPr>
            <w:tcW w:w="87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30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c>
          <w:tcPr>
            <w:tcW w:w="18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snapToGrid w:val="0"/>
                <w:spacing w:val="-4"/>
                <w:kern w:val="0"/>
                <w:sz w:val="18"/>
                <w:szCs w:val="18"/>
                <w:vertAlign w:val="baseline"/>
                <w:lang w:val="en-US" w:eastAsia="zh-CN"/>
              </w:rPr>
            </w:pP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扬州大学附属医院东区屋面防水项目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扬州大学附属医院东区屋面防水项目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lang w:val="en-US"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highlight w:val="none"/>
        </w:rPr>
        <w:t>YDFYXJ-</w:t>
      </w:r>
      <w:r>
        <w:rPr>
          <w:rFonts w:hint="eastAsia" w:hAnsi="宋体" w:cs="宋体"/>
          <w:b/>
          <w:bCs/>
          <w:sz w:val="24"/>
          <w:highlight w:val="none"/>
          <w:lang w:eastAsia="zh-CN"/>
        </w:rPr>
        <w:t>20220505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东区屋面防水项目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扬州大学附属医院东区屋面防水项目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付款方式为在验收、调试合格后，乙方凭甲方的验收单及开具的正规增值税发票等材料向甲方办理付款手续，甲方凭手续齐全的票据付合同价的90%，质保期满后无质量问题且无违约行为一次性付清余款。</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3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B20BF9"/>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59C2D8A"/>
    <w:rsid w:val="15D76399"/>
    <w:rsid w:val="172469D5"/>
    <w:rsid w:val="17407202"/>
    <w:rsid w:val="17984114"/>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AF7369"/>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13</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2022-05-12T02:20:56Z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