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YDFY-2022014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医学工程处危化品一级库建设项目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color w:val="000000" w:themeColor="text1"/>
          <w:w w:val="90"/>
          <w:kern w:val="0"/>
          <w:sz w:val="32"/>
          <w:szCs w:val="32"/>
          <w:highlight w:val="none"/>
        </w:rPr>
        <w:t>0</w:t>
      </w:r>
      <w:r>
        <w:rPr>
          <w:rFonts w:hint="eastAsia" w:asciiTheme="minorEastAsia" w:hAnsiTheme="minorEastAsia" w:eastAsiaTheme="minorEastAsia"/>
          <w:b/>
          <w:color w:val="000000" w:themeColor="text1"/>
          <w:w w:val="90"/>
          <w:kern w:val="0"/>
          <w:sz w:val="32"/>
          <w:szCs w:val="32"/>
          <w:highlight w:val="none"/>
          <w:lang w:val="en-US" w:eastAsia="zh-CN"/>
        </w:rPr>
        <w:t>9</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15</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医学工程处危化品一级库建设项目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YDFY-2022014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医学工程处危化品一级库建设项目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6.2</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9</w:t>
      </w:r>
      <w:r>
        <w:rPr>
          <w:rFonts w:hint="eastAsia" w:ascii="宋体" w:hAnsi="宋体"/>
          <w:b/>
          <w:sz w:val="24"/>
          <w:highlight w:val="none"/>
        </w:rPr>
        <w:t>月</w:t>
      </w:r>
      <w:r>
        <w:rPr>
          <w:rFonts w:hint="eastAsia" w:ascii="宋体" w:hAnsi="宋体"/>
          <w:b/>
          <w:sz w:val="24"/>
          <w:highlight w:val="none"/>
          <w:lang w:val="en-US" w:eastAsia="zh-CN"/>
        </w:rPr>
        <w:t>20</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医学工程处危化品一级库建设项目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医学工程处危化品一级库建设项目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9</w:t>
      </w:r>
      <w:r>
        <w:rPr>
          <w:rFonts w:hint="eastAsia" w:cs="微软雅黑"/>
          <w:b/>
          <w:highlight w:val="none"/>
        </w:rPr>
        <w:t>月</w:t>
      </w:r>
      <w:r>
        <w:rPr>
          <w:rFonts w:hint="eastAsia" w:cs="微软雅黑"/>
          <w:b/>
          <w:highlight w:val="none"/>
          <w:lang w:val="en-US" w:eastAsia="zh-CN"/>
        </w:rPr>
        <w:t>20</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lang w:val="en-US" w:eastAsia="zh-CN"/>
        </w:rPr>
        <w:t>9</w:t>
      </w:r>
      <w:r>
        <w:rPr>
          <w:rStyle w:val="32"/>
          <w:rFonts w:ascii="宋体" w:hAnsi="宋体"/>
          <w:b/>
          <w:sz w:val="24"/>
          <w:highlight w:val="none"/>
        </w:rPr>
        <w:t>月</w:t>
      </w:r>
      <w:r>
        <w:rPr>
          <w:rStyle w:val="32"/>
          <w:rFonts w:hint="eastAsia" w:ascii="宋体" w:hAnsi="宋体"/>
          <w:b/>
          <w:sz w:val="24"/>
          <w:highlight w:val="none"/>
          <w:lang w:val="en-US" w:eastAsia="zh-CN"/>
        </w:rPr>
        <w:t>20</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20</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医学工程处危化品一级库建设项目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YDFY-2022014</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6.2</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pPr>
      <w:r>
        <w:rPr>
          <w:rFonts w:hint="eastAsia" w:ascii="宋体" w:hAnsi="宋体"/>
          <w:b/>
          <w:sz w:val="24"/>
        </w:rPr>
        <w:t>采购项目内容及要求</w:t>
      </w:r>
    </w:p>
    <w:p>
      <w:pPr>
        <w:numPr>
          <w:ilvl w:val="0"/>
          <w:numId w:val="0"/>
        </w:num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b/>
          <w:sz w:val="24"/>
          <w:lang w:val="en-US" w:eastAsia="zh-CN"/>
        </w:rPr>
        <w:t>2.1产品尺寸</w:t>
      </w:r>
      <w:r>
        <w:rPr>
          <w:rFonts w:hint="eastAsia" w:ascii="宋体" w:hAnsi="宋体" w:cs="宋体"/>
          <w:snapToGrid w:val="0"/>
          <w:kern w:val="0"/>
          <w:sz w:val="24"/>
          <w:highlight w:val="none"/>
          <w:lang w:val="en-US" w:eastAsia="zh-CN"/>
        </w:rPr>
        <w:t>：6000×2500×2900mm（长宽高）:</w:t>
      </w:r>
    </w:p>
    <w:p>
      <w:pPr>
        <w:adjustRightInd w:val="0"/>
        <w:snapToGrid w:val="0"/>
        <w:spacing w:line="440" w:lineRule="exact"/>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2.2基本配置</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骨架：钢结构龙骨架（防锈处理镀锌方管）加固。</w:t>
      </w:r>
    </w:p>
    <w:p>
      <w:pPr>
        <w:adjustRightInd w:val="0"/>
        <w:snapToGrid w:val="0"/>
        <w:spacing w:line="440" w:lineRule="exact"/>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墙体、屋顶、天花防火等级为二级及以上。</w:t>
      </w:r>
    </w:p>
    <w:p>
      <w:pPr>
        <w:adjustRightInd w:val="0"/>
        <w:snapToGrid w:val="0"/>
        <w:spacing w:line="440" w:lineRule="exact"/>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墙体：镀锌钢管龙骨(加固)、外墙为镀锌板(氟碳喷草绿色漆)、内墙为金属防火烤漆板(防火等级B1)、门窗为1.5米子母双开钢塑门（3c认证品牌）、窗户加装防盗栏杆。</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内顶:防火扣板吊顶。</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外顶:镀锌板氟碳喷漆。</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地板:防滑钢板(环氧地坪，满焊)、防渗漏处理。5#槽钢龙骨防锈底盘(承重5吨)。</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室内配置：照明系统为防爆灯，防爆开关。内设置烟雾感应报警系统，消防灭火设施。24小时监控系统。通风换气格栅，防爆排风扇。室内(只天花除外)做好环氧地坪；电源：暗敷线可直接接通外部电源。室外配有静电释放装置。</w:t>
      </w:r>
    </w:p>
    <w:p>
      <w:pPr>
        <w:adjustRightInd w:val="0"/>
        <w:snapToGrid w:val="0"/>
        <w:spacing w:line="440" w:lineRule="exact"/>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2.3地坪与起重卸货要求</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地面硬化大约50㎡，采用c30混凝土，厚度15cm（浇筑时用碎石垫底）。起重卸货要求:25吨吊机卸货或者8吨叉车(乙方自行安排)调运考虑现场树木移除，大约6-8棵。</w:t>
      </w:r>
    </w:p>
    <w:p>
      <w:pPr>
        <w:adjustRightInd w:val="0"/>
        <w:snapToGrid w:val="0"/>
        <w:spacing w:line="440" w:lineRule="exact"/>
        <w:contextualSpacing/>
        <w:rPr>
          <w:rFonts w:hint="default"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2.4布局图</w:t>
      </w:r>
    </w:p>
    <w:p>
      <w:pPr>
        <w:numPr>
          <w:ilvl w:val="0"/>
          <w:numId w:val="0"/>
        </w:numPr>
        <w:jc w:val="both"/>
        <w:rPr>
          <w:rFonts w:hint="default"/>
          <w:b w:val="0"/>
          <w:bCs w:val="0"/>
          <w:sz w:val="28"/>
          <w:szCs w:val="28"/>
          <w:lang w:val="en-US" w:eastAsia="zh-CN"/>
        </w:rPr>
      </w:pPr>
      <w:r>
        <w:rPr>
          <w:rFonts w:hint="default"/>
          <w:b w:val="0"/>
          <w:bCs w:val="0"/>
          <w:sz w:val="32"/>
          <w:szCs w:val="32"/>
          <w:lang w:val="en-US" w:eastAsia="zh-CN"/>
        </w:rPr>
        <w:drawing>
          <wp:inline distT="0" distB="0" distL="114300" distR="114300">
            <wp:extent cx="5393055" cy="2703830"/>
            <wp:effectExtent l="0" t="0" r="17145" b="1270"/>
            <wp:docPr id="1" name="图片 1" descr="1887f0d1a049dcf561966d0c5d5a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87f0d1a049dcf561966d0c5d5ac07"/>
                    <pic:cNvPicPr>
                      <a:picLocks noChangeAspect="1"/>
                    </pic:cNvPicPr>
                  </pic:nvPicPr>
                  <pic:blipFill>
                    <a:blip r:embed="rId6"/>
                    <a:stretch>
                      <a:fillRect/>
                    </a:stretch>
                  </pic:blipFill>
                  <pic:spPr>
                    <a:xfrm>
                      <a:off x="0" y="0"/>
                      <a:ext cx="5393055" cy="2703830"/>
                    </a:xfrm>
                    <a:prstGeom prst="rect">
                      <a:avLst/>
                    </a:prstGeom>
                    <a:noFill/>
                    <a:ln>
                      <a:noFill/>
                    </a:ln>
                  </pic:spPr>
                </pic:pic>
              </a:graphicData>
            </a:graphic>
          </wp:inline>
        </w:drawing>
      </w:r>
    </w:p>
    <w:p>
      <w:pPr>
        <w:numPr>
          <w:ilvl w:val="0"/>
          <w:numId w:val="0"/>
        </w:numPr>
        <w:jc w:val="both"/>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5393690" cy="2797175"/>
            <wp:effectExtent l="0" t="0" r="16510" b="3175"/>
            <wp:docPr id="2" name="图片 2" descr="5887476c792c467ec5826cba238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887476c792c467ec5826cba2382240"/>
                    <pic:cNvPicPr>
                      <a:picLocks noChangeAspect="1"/>
                    </pic:cNvPicPr>
                  </pic:nvPicPr>
                  <pic:blipFill>
                    <a:blip r:embed="rId7"/>
                    <a:stretch>
                      <a:fillRect/>
                    </a:stretch>
                  </pic:blipFill>
                  <pic:spPr>
                    <a:xfrm>
                      <a:off x="0" y="0"/>
                      <a:ext cx="5393690" cy="2797175"/>
                    </a:xfrm>
                    <a:prstGeom prst="rect">
                      <a:avLst/>
                    </a:prstGeom>
                    <a:noFill/>
                    <a:ln>
                      <a:noFill/>
                    </a:ln>
                  </pic:spPr>
                </pic:pic>
              </a:graphicData>
            </a:graphic>
          </wp:inline>
        </w:drawing>
      </w: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5452745" cy="2672715"/>
            <wp:effectExtent l="0" t="0" r="14605" b="13335"/>
            <wp:docPr id="4" name="图片 4" descr="466ede9c55bc083b0c0f88c80f9fa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6ede9c55bc083b0c0f88c80f9fab8"/>
                    <pic:cNvPicPr>
                      <a:picLocks noChangeAspect="1"/>
                    </pic:cNvPicPr>
                  </pic:nvPicPr>
                  <pic:blipFill>
                    <a:blip r:embed="rId8"/>
                    <a:stretch>
                      <a:fillRect/>
                    </a:stretch>
                  </pic:blipFill>
                  <pic:spPr>
                    <a:xfrm>
                      <a:off x="0" y="0"/>
                      <a:ext cx="5452745" cy="2672715"/>
                    </a:xfrm>
                    <a:prstGeom prst="rect">
                      <a:avLst/>
                    </a:prstGeom>
                    <a:noFill/>
                    <a:ln>
                      <a:noFill/>
                    </a:ln>
                  </pic:spPr>
                </pic:pic>
              </a:graphicData>
            </a:graphic>
          </wp:inline>
        </w:drawing>
      </w:r>
      <w:bookmarkStart w:id="4" w:name="_GoBack"/>
      <w:bookmarkEnd w:id="4"/>
      <w:r>
        <w:rPr>
          <w:rFonts w:hint="default"/>
          <w:b w:val="0"/>
          <w:bCs w:val="0"/>
          <w:sz w:val="28"/>
          <w:szCs w:val="28"/>
          <w:lang w:val="en-US" w:eastAsia="zh-CN"/>
        </w:rPr>
        <w:drawing>
          <wp:inline distT="0" distB="0" distL="114300" distR="114300">
            <wp:extent cx="5433695" cy="2898140"/>
            <wp:effectExtent l="0" t="0" r="14605" b="16510"/>
            <wp:docPr id="5" name="图片 3" descr="36fe6bb2be0bf92817c17ecd71742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6fe6bb2be0bf92817c17ecd71742e9"/>
                    <pic:cNvPicPr>
                      <a:picLocks noChangeAspect="1"/>
                    </pic:cNvPicPr>
                  </pic:nvPicPr>
                  <pic:blipFill>
                    <a:blip r:embed="rId9"/>
                    <a:stretch>
                      <a:fillRect/>
                    </a:stretch>
                  </pic:blipFill>
                  <pic:spPr>
                    <a:xfrm>
                      <a:off x="0" y="0"/>
                      <a:ext cx="5433695" cy="2898140"/>
                    </a:xfrm>
                    <a:prstGeom prst="rect">
                      <a:avLst/>
                    </a:prstGeom>
                    <a:noFill/>
                    <a:ln>
                      <a:noFill/>
                    </a:ln>
                  </pic:spPr>
                </pic:pic>
              </a:graphicData>
            </a:graphic>
          </wp:inline>
        </w:drawing>
      </w:r>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医学工程处危化品一级库建设项目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YDFY-2022014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医学工程处危化品一级库建设项目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YDFY-2022014</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医学工程处危化品一级库建设项目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医学工程处危化品一级库建设项目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51678B8"/>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0442A6"/>
    <w:rsid w:val="318E7998"/>
    <w:rsid w:val="31FF36A9"/>
    <w:rsid w:val="32542738"/>
    <w:rsid w:val="349B0B50"/>
    <w:rsid w:val="375A406B"/>
    <w:rsid w:val="37CB42F0"/>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689608C"/>
    <w:rsid w:val="47DD46E6"/>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328E8"/>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4688</Words>
  <Characters>5043</Characters>
  <Lines>70</Lines>
  <Paragraphs>19</Paragraphs>
  <TotalTime>14</TotalTime>
  <ScaleCrop>false</ScaleCrop>
  <LinksUpToDate>false</LinksUpToDate>
  <CharactersWithSpaces>5694</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2022-09-15T00:01:33Z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