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YDFYXJ-20221101</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8"/>
          <w:szCs w:val="48"/>
        </w:rPr>
      </w:pPr>
      <w:r>
        <w:rPr>
          <w:rFonts w:hint="eastAsia"/>
          <w:b/>
          <w:sz w:val="48"/>
          <w:szCs w:val="48"/>
        </w:rPr>
        <w:t>扬州大学附属医院</w:t>
      </w:r>
    </w:p>
    <w:p>
      <w:pPr>
        <w:adjustRightInd w:val="0"/>
        <w:snapToGrid w:val="0"/>
        <w:spacing w:line="800" w:lineRule="exact"/>
        <w:contextualSpacing/>
        <w:jc w:val="center"/>
        <w:rPr>
          <w:rFonts w:hint="default" w:ascii="宋体" w:hAnsi="宋体" w:cs="宋体"/>
          <w:b/>
          <w:snapToGrid w:val="0"/>
          <w:kern w:val="0"/>
          <w:sz w:val="48"/>
          <w:szCs w:val="48"/>
          <w:highlight w:val="none"/>
          <w:lang w:val="en-US" w:eastAsia="zh-CN"/>
        </w:rPr>
      </w:pPr>
      <w:r>
        <w:rPr>
          <w:rFonts w:hint="eastAsia" w:ascii="宋体" w:hAnsi="宋体" w:cs="宋体"/>
          <w:b/>
          <w:snapToGrid w:val="0"/>
          <w:kern w:val="0"/>
          <w:sz w:val="48"/>
          <w:szCs w:val="48"/>
          <w:highlight w:val="none"/>
          <w:lang w:val="en-US" w:eastAsia="zh-CN"/>
        </w:rPr>
        <w:t>东区危化品库建设项目</w:t>
      </w:r>
    </w:p>
    <w:p>
      <w:pPr>
        <w:adjustRightInd w:val="0"/>
        <w:snapToGrid w:val="0"/>
        <w:spacing w:line="800" w:lineRule="exact"/>
        <w:contextualSpacing/>
        <w:jc w:val="center"/>
        <w:rPr>
          <w:b/>
          <w:sz w:val="48"/>
          <w:szCs w:val="48"/>
          <w:highlight w:val="none"/>
        </w:rPr>
      </w:pPr>
      <w:r>
        <w:rPr>
          <w:rFonts w:hint="eastAsia"/>
          <w:b/>
          <w:sz w:val="48"/>
          <w:szCs w:val="48"/>
          <w:highlight w:val="none"/>
        </w:rPr>
        <w:t>询价文件</w:t>
      </w:r>
    </w:p>
    <w:p>
      <w:pPr>
        <w:pStyle w:val="15"/>
        <w:ind w:firstLine="0"/>
      </w:pPr>
    </w:p>
    <w:p>
      <w:pPr>
        <w:pStyle w:val="15"/>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22年</w:t>
      </w:r>
      <w:r>
        <w:rPr>
          <w:rFonts w:hint="eastAsia" w:asciiTheme="minorEastAsia" w:hAnsiTheme="minorEastAsia" w:eastAsiaTheme="minorEastAsia"/>
          <w:b/>
          <w:color w:val="000000" w:themeColor="text1"/>
          <w:w w:val="90"/>
          <w:kern w:val="0"/>
          <w:sz w:val="32"/>
          <w:szCs w:val="32"/>
          <w:highlight w:val="none"/>
          <w:lang w:val="en-US" w:eastAsia="zh-CN"/>
        </w:rPr>
        <w:t>10</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31</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4"/>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东区危化品库建设项目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YDFYXJ-20221101</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东区危化品库建设项目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4.98</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2022年</w:t>
      </w:r>
      <w:r>
        <w:rPr>
          <w:rFonts w:hint="eastAsia" w:ascii="宋体" w:hAnsi="宋体"/>
          <w:b/>
          <w:sz w:val="24"/>
          <w:highlight w:val="none"/>
          <w:lang w:val="en-US" w:eastAsia="zh-CN"/>
        </w:rPr>
        <w:t>11</w:t>
      </w:r>
      <w:r>
        <w:rPr>
          <w:rFonts w:hint="eastAsia" w:ascii="宋体" w:hAnsi="宋体"/>
          <w:b/>
          <w:sz w:val="24"/>
          <w:highlight w:val="none"/>
        </w:rPr>
        <w:t>月</w:t>
      </w:r>
      <w:r>
        <w:rPr>
          <w:rFonts w:hint="eastAsia" w:ascii="宋体" w:hAnsi="宋体"/>
          <w:b/>
          <w:sz w:val="24"/>
          <w:highlight w:val="none"/>
          <w:lang w:val="en-US" w:eastAsia="zh-CN"/>
        </w:rPr>
        <w:t>4</w:t>
      </w:r>
      <w:r>
        <w:rPr>
          <w:rFonts w:hint="eastAsia" w:ascii="宋体" w:hAnsi="宋体"/>
          <w:b/>
          <w:sz w:val="24"/>
          <w:highlight w:val="none"/>
        </w:rPr>
        <w:t>日上午10：30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东区危化品库建设项目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东区危化品库建设项目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付款方式为在验收、调试合格后，乙方凭甲方的验收单及开具的正规增值税发票等材料向甲方办理付款手续，甲方凭手续齐全的票据付合同价的100%。（以上均不计息）</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2022年</w:t>
      </w:r>
      <w:r>
        <w:rPr>
          <w:rFonts w:hint="eastAsia" w:cs="微软雅黑"/>
          <w:b/>
          <w:highlight w:val="none"/>
          <w:lang w:val="en-US" w:eastAsia="zh-CN"/>
        </w:rPr>
        <w:t>11</w:t>
      </w:r>
      <w:r>
        <w:rPr>
          <w:rFonts w:hint="eastAsia" w:cs="微软雅黑"/>
          <w:b/>
          <w:highlight w:val="none"/>
        </w:rPr>
        <w:t>月</w:t>
      </w:r>
      <w:r>
        <w:rPr>
          <w:rFonts w:hint="eastAsia" w:cs="微软雅黑"/>
          <w:b/>
          <w:highlight w:val="none"/>
          <w:lang w:val="en-US" w:eastAsia="zh-CN"/>
        </w:rPr>
        <w:t>4</w:t>
      </w:r>
      <w:r>
        <w:rPr>
          <w:rFonts w:hint="eastAsia" w:cs="微软雅黑"/>
          <w:b/>
          <w:highlight w:val="none"/>
        </w:rPr>
        <w:t>日</w:t>
      </w:r>
      <w:r>
        <w:rPr>
          <w:rStyle w:val="32"/>
          <w:b/>
          <w:highlight w:val="none"/>
        </w:rPr>
        <w:t>1</w:t>
      </w:r>
      <w:r>
        <w:rPr>
          <w:rStyle w:val="32"/>
          <w:rFonts w:hint="eastAsia"/>
          <w:b/>
          <w:highlight w:val="none"/>
        </w:rPr>
        <w:t>0</w:t>
      </w:r>
      <w:r>
        <w:rPr>
          <w:rStyle w:val="32"/>
          <w:b/>
          <w:highlight w:val="none"/>
        </w:rPr>
        <w:t>：30</w:t>
      </w:r>
      <w:r>
        <w:rPr>
          <w:rFonts w:hint="eastAsia" w:cs="微软雅黑"/>
          <w:color w:val="000000"/>
          <w:highlight w:val="none"/>
        </w:rPr>
        <w:t>前</w:t>
      </w:r>
      <w:r>
        <w:rPr>
          <w:rStyle w:val="32"/>
          <w:rFonts w:ascii="宋体" w:hAnsi="宋体"/>
          <w:b/>
          <w:sz w:val="24"/>
          <w:highlight w:val="none"/>
        </w:rPr>
        <w:t>（北</w:t>
      </w:r>
      <w:r>
        <w:rPr>
          <w:rStyle w:val="32"/>
          <w:rFonts w:ascii="宋体" w:hAnsi="宋体"/>
          <w:b/>
          <w:color w:val="000000"/>
          <w:sz w:val="24"/>
          <w:highlight w:val="none"/>
        </w:rPr>
        <w:t>京时间）</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2"/>
          <w:rFonts w:ascii="宋体" w:hAnsi="宋体"/>
          <w:sz w:val="24"/>
        </w:rPr>
      </w:pPr>
      <w:r>
        <w:rPr>
          <w:rStyle w:val="32"/>
          <w:rFonts w:hint="eastAsia" w:ascii="宋体" w:hAnsi="宋体"/>
          <w:sz w:val="24"/>
        </w:rPr>
        <w:t>15.</w:t>
      </w:r>
      <w:r>
        <w:rPr>
          <w:rStyle w:val="32"/>
          <w:rFonts w:ascii="宋体" w:hAnsi="宋体"/>
          <w:sz w:val="24"/>
        </w:rPr>
        <w:t>开标有关信息</w:t>
      </w:r>
    </w:p>
    <w:p>
      <w:pPr>
        <w:adjustRightInd w:val="0"/>
        <w:snapToGrid w:val="0"/>
        <w:spacing w:line="420" w:lineRule="exact"/>
        <w:ind w:firstLine="480" w:firstLineChars="200"/>
        <w:contextualSpacing/>
        <w:rPr>
          <w:rStyle w:val="32"/>
          <w:rFonts w:ascii="宋体" w:hAnsi="宋体"/>
          <w:color w:val="000000"/>
          <w:sz w:val="24"/>
        </w:rPr>
      </w:pPr>
      <w:r>
        <w:rPr>
          <w:rStyle w:val="32"/>
          <w:rFonts w:ascii="宋体" w:hAnsi="宋体"/>
          <w:sz w:val="24"/>
        </w:rPr>
        <w:t>开标时间：</w:t>
      </w:r>
      <w:r>
        <w:rPr>
          <w:rStyle w:val="32"/>
          <w:rFonts w:ascii="宋体" w:hAnsi="宋体"/>
          <w:b/>
          <w:sz w:val="24"/>
          <w:highlight w:val="none"/>
        </w:rPr>
        <w:t>202</w:t>
      </w:r>
      <w:r>
        <w:rPr>
          <w:rStyle w:val="32"/>
          <w:rFonts w:hint="eastAsia" w:ascii="宋体" w:hAnsi="宋体"/>
          <w:b/>
          <w:sz w:val="24"/>
          <w:highlight w:val="none"/>
        </w:rPr>
        <w:t>2</w:t>
      </w:r>
      <w:r>
        <w:rPr>
          <w:rStyle w:val="32"/>
          <w:rFonts w:ascii="宋体" w:hAnsi="宋体"/>
          <w:b/>
          <w:sz w:val="24"/>
          <w:highlight w:val="none"/>
        </w:rPr>
        <w:t>年</w:t>
      </w:r>
      <w:r>
        <w:rPr>
          <w:rStyle w:val="32"/>
          <w:rFonts w:hint="eastAsia" w:ascii="宋体" w:hAnsi="宋体"/>
          <w:b/>
          <w:sz w:val="24"/>
          <w:highlight w:val="none"/>
          <w:lang w:val="en-US" w:eastAsia="zh-CN"/>
        </w:rPr>
        <w:t>11</w:t>
      </w:r>
      <w:r>
        <w:rPr>
          <w:rStyle w:val="32"/>
          <w:rFonts w:ascii="宋体" w:hAnsi="宋体"/>
          <w:b/>
          <w:sz w:val="24"/>
          <w:highlight w:val="none"/>
        </w:rPr>
        <w:t>月</w:t>
      </w:r>
      <w:r>
        <w:rPr>
          <w:rStyle w:val="32"/>
          <w:rFonts w:hint="eastAsia" w:ascii="宋体" w:hAnsi="宋体"/>
          <w:b/>
          <w:sz w:val="24"/>
          <w:highlight w:val="none"/>
          <w:lang w:val="en-US" w:eastAsia="zh-CN"/>
        </w:rPr>
        <w:t>4</w:t>
      </w:r>
      <w:r>
        <w:rPr>
          <w:rStyle w:val="32"/>
          <w:rFonts w:ascii="宋体" w:hAnsi="宋体"/>
          <w:b/>
          <w:sz w:val="24"/>
          <w:highlight w:val="none"/>
        </w:rPr>
        <w:t>日1</w:t>
      </w:r>
      <w:r>
        <w:rPr>
          <w:rStyle w:val="32"/>
          <w:rFonts w:hint="eastAsia" w:ascii="宋体" w:hAnsi="宋体"/>
          <w:b/>
          <w:sz w:val="24"/>
          <w:highlight w:val="none"/>
        </w:rPr>
        <w:t>0</w:t>
      </w:r>
      <w:r>
        <w:rPr>
          <w:rStyle w:val="32"/>
          <w:rFonts w:ascii="宋体" w:hAnsi="宋体"/>
          <w:b/>
          <w:sz w:val="24"/>
          <w:highlight w:val="none"/>
        </w:rPr>
        <w:t>：30（北</w:t>
      </w:r>
      <w:r>
        <w:rPr>
          <w:rStyle w:val="32"/>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2022年</w:t>
      </w:r>
      <w:r>
        <w:rPr>
          <w:rFonts w:hint="eastAsia" w:ascii="宋体" w:hAnsi="宋体" w:cs="宋体"/>
          <w:b/>
          <w:snapToGrid w:val="0"/>
          <w:spacing w:val="-4"/>
          <w:kern w:val="0"/>
          <w:sz w:val="24"/>
          <w:highlight w:val="none"/>
          <w:lang w:val="en-US" w:eastAsia="zh-CN"/>
        </w:rPr>
        <w:t>11</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4</w:t>
      </w:r>
      <w:r>
        <w:rPr>
          <w:rFonts w:hint="eastAsia" w:ascii="宋体" w:hAnsi="宋体" w:cs="宋体"/>
          <w:b/>
          <w:snapToGrid w:val="0"/>
          <w:spacing w:val="-4"/>
          <w:kern w:val="0"/>
          <w:sz w:val="24"/>
          <w:highlight w:val="none"/>
        </w:rPr>
        <w:t>日上午10:30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联系电话：0514—82981199—83118</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东区危化品库建设项目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YDFYXJ-20221101</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4.98</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pPr>
      <w:r>
        <w:rPr>
          <w:rFonts w:hint="eastAsia" w:ascii="宋体" w:hAnsi="宋体"/>
          <w:b/>
          <w:sz w:val="24"/>
        </w:rPr>
        <w:t>采购项目内容及要求</w:t>
      </w:r>
    </w:p>
    <w:p>
      <w:pPr>
        <w:adjustRightInd w:val="0"/>
        <w:snapToGrid w:val="0"/>
        <w:spacing w:line="440" w:lineRule="exact"/>
        <w:contextualSpacing/>
        <w:rPr>
          <w:rFonts w:hint="default" w:ascii="宋体" w:hAnsi="宋体" w:cs="宋体"/>
          <w:snapToGrid w:val="0"/>
          <w:kern w:val="0"/>
          <w:sz w:val="24"/>
          <w:highlight w:val="none"/>
          <w:lang w:val="en-US" w:eastAsia="zh-CN"/>
        </w:rPr>
      </w:pPr>
      <w:r>
        <w:rPr>
          <w:rFonts w:hint="eastAsia" w:ascii="宋体" w:hAnsi="宋体"/>
          <w:b/>
          <w:sz w:val="24"/>
          <w:lang w:val="en-US" w:eastAsia="zh-CN"/>
        </w:rPr>
        <w:t>2.1产品尺寸</w:t>
      </w:r>
      <w:r>
        <w:rPr>
          <w:rFonts w:hint="eastAsia" w:ascii="宋体" w:hAnsi="宋体" w:cs="宋体"/>
          <w:snapToGrid w:val="0"/>
          <w:kern w:val="0"/>
          <w:sz w:val="24"/>
          <w:highlight w:val="none"/>
          <w:lang w:val="en-US" w:eastAsia="zh-CN"/>
        </w:rPr>
        <w:t>：6000×2500×2900mm（长宽高），需现场制作。</w:t>
      </w:r>
      <w:bookmarkStart w:id="4" w:name="_GoBack"/>
      <w:bookmarkEnd w:id="4"/>
    </w:p>
    <w:p>
      <w:pPr>
        <w:adjustRightInd w:val="0"/>
        <w:snapToGrid w:val="0"/>
        <w:spacing w:line="440" w:lineRule="exact"/>
        <w:contextualSpacing/>
        <w:rPr>
          <w:rFonts w:hint="eastAsia" w:ascii="宋体" w:hAnsi="宋体" w:cs="宋体"/>
          <w:b/>
          <w:bCs/>
          <w:snapToGrid w:val="0"/>
          <w:kern w:val="0"/>
          <w:sz w:val="24"/>
          <w:highlight w:val="none"/>
          <w:lang w:val="en-US" w:eastAsia="zh-CN"/>
        </w:rPr>
      </w:pPr>
      <w:r>
        <w:rPr>
          <w:rFonts w:hint="eastAsia" w:ascii="宋体" w:hAnsi="宋体" w:cs="宋体"/>
          <w:b/>
          <w:bCs/>
          <w:snapToGrid w:val="0"/>
          <w:kern w:val="0"/>
          <w:sz w:val="24"/>
          <w:highlight w:val="none"/>
          <w:lang w:val="en-US" w:eastAsia="zh-CN"/>
        </w:rPr>
        <w:t>2.2基本配置</w:t>
      </w:r>
    </w:p>
    <w:p>
      <w:pPr>
        <w:adjustRightInd w:val="0"/>
        <w:snapToGrid w:val="0"/>
        <w:spacing w:line="440" w:lineRule="exact"/>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骨架：钢结构龙骨架（防锈处理镀锌方管）加固。</w:t>
      </w:r>
    </w:p>
    <w:p>
      <w:pPr>
        <w:adjustRightInd w:val="0"/>
        <w:snapToGrid w:val="0"/>
        <w:spacing w:line="440" w:lineRule="exact"/>
        <w:contextualSpacing/>
        <w:rPr>
          <w:rFonts w:hint="default"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墙体、屋顶、天花防火等级为二级及以上。</w:t>
      </w:r>
    </w:p>
    <w:p>
      <w:pPr>
        <w:adjustRightInd w:val="0"/>
        <w:snapToGrid w:val="0"/>
        <w:spacing w:line="440" w:lineRule="exact"/>
        <w:contextualSpacing/>
        <w:rPr>
          <w:rFonts w:hint="default"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墙体：镀锌钢管龙骨(加固)、外墙为镀锌板(氟碳喷草绿色漆)、内墙为金属防火烤漆板(防火等级B1)、门窗为1.5米子母双开钢塑门（3c认证品牌）、窗户加装防盗栏杆。</w:t>
      </w:r>
    </w:p>
    <w:p>
      <w:pPr>
        <w:adjustRightInd w:val="0"/>
        <w:snapToGrid w:val="0"/>
        <w:spacing w:line="440" w:lineRule="exact"/>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内顶:防火扣板吊顶。</w:t>
      </w:r>
    </w:p>
    <w:p>
      <w:pPr>
        <w:adjustRightInd w:val="0"/>
        <w:snapToGrid w:val="0"/>
        <w:spacing w:line="440" w:lineRule="exact"/>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外顶:镀锌板氟碳喷漆。</w:t>
      </w:r>
    </w:p>
    <w:p>
      <w:pPr>
        <w:adjustRightInd w:val="0"/>
        <w:snapToGrid w:val="0"/>
        <w:spacing w:line="440" w:lineRule="exact"/>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地板:防滑钢板(环氧地坪，满焊)、防渗漏处理。5#槽钢龙骨防锈底盘(承重5吨)。</w:t>
      </w:r>
    </w:p>
    <w:p>
      <w:pPr>
        <w:adjustRightInd w:val="0"/>
        <w:snapToGrid w:val="0"/>
        <w:spacing w:line="440" w:lineRule="exact"/>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室内配置：照明系统为防爆灯，防爆开关。内设置烟雾感应报警系统，消防灭火设施。24小时监控系统。通风换气格栅，防爆排风扇。室内(只天花除外)做好环氧地坪；电源：暗敷线可直接接通外部电源。室外配有静电释放装置。</w:t>
      </w:r>
    </w:p>
    <w:p>
      <w:pPr>
        <w:adjustRightInd w:val="0"/>
        <w:snapToGrid w:val="0"/>
        <w:spacing w:line="440" w:lineRule="exact"/>
        <w:contextualSpacing/>
        <w:rPr>
          <w:rFonts w:hint="eastAsia" w:ascii="宋体" w:hAnsi="宋体" w:cs="宋体"/>
          <w:b/>
          <w:bCs/>
          <w:snapToGrid w:val="0"/>
          <w:kern w:val="0"/>
          <w:sz w:val="24"/>
          <w:highlight w:val="none"/>
          <w:lang w:val="en-US" w:eastAsia="zh-CN"/>
        </w:rPr>
      </w:pPr>
      <w:r>
        <w:rPr>
          <w:rFonts w:hint="eastAsia" w:ascii="宋体" w:hAnsi="宋体" w:cs="宋体"/>
          <w:b/>
          <w:bCs/>
          <w:snapToGrid w:val="0"/>
          <w:kern w:val="0"/>
          <w:sz w:val="24"/>
          <w:highlight w:val="none"/>
          <w:lang w:val="en-US" w:eastAsia="zh-CN"/>
        </w:rPr>
        <w:t>2.3地坪与起重卸货要求</w:t>
      </w:r>
    </w:p>
    <w:p>
      <w:pPr>
        <w:adjustRightInd w:val="0"/>
        <w:snapToGrid w:val="0"/>
        <w:spacing w:line="440" w:lineRule="exact"/>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起重卸货要求:25吨吊机卸货或者8吨叉车(乙方自行安排)调运考虑现场树木移除，大约6-8棵。</w:t>
      </w:r>
    </w:p>
    <w:p>
      <w:pPr>
        <w:adjustRightInd w:val="0"/>
        <w:snapToGrid w:val="0"/>
        <w:spacing w:line="440" w:lineRule="exact"/>
        <w:contextualSpacing/>
        <w:rPr>
          <w:rFonts w:hint="default" w:ascii="宋体" w:hAnsi="宋体" w:cs="宋体"/>
          <w:b/>
          <w:bCs/>
          <w:snapToGrid w:val="0"/>
          <w:kern w:val="0"/>
          <w:sz w:val="24"/>
          <w:highlight w:val="none"/>
          <w:lang w:val="en-US" w:eastAsia="zh-CN"/>
        </w:rPr>
      </w:pPr>
      <w:r>
        <w:rPr>
          <w:rFonts w:hint="eastAsia" w:ascii="宋体" w:hAnsi="宋体" w:cs="宋体"/>
          <w:b/>
          <w:bCs/>
          <w:snapToGrid w:val="0"/>
          <w:kern w:val="0"/>
          <w:sz w:val="24"/>
          <w:highlight w:val="none"/>
          <w:lang w:val="en-US" w:eastAsia="zh-CN"/>
        </w:rPr>
        <w:t>2.4布局图</w:t>
      </w:r>
    </w:p>
    <w:p>
      <w:pPr>
        <w:numPr>
          <w:ilvl w:val="0"/>
          <w:numId w:val="0"/>
        </w:numPr>
        <w:jc w:val="both"/>
        <w:rPr>
          <w:rFonts w:hint="default"/>
          <w:b w:val="0"/>
          <w:bCs w:val="0"/>
          <w:sz w:val="28"/>
          <w:szCs w:val="28"/>
          <w:lang w:val="en-US" w:eastAsia="zh-CN"/>
        </w:rPr>
      </w:pPr>
      <w:r>
        <w:rPr>
          <w:rFonts w:hint="default"/>
          <w:b w:val="0"/>
          <w:bCs w:val="0"/>
          <w:sz w:val="32"/>
          <w:szCs w:val="32"/>
          <w:lang w:val="en-US" w:eastAsia="zh-CN"/>
        </w:rPr>
        <w:drawing>
          <wp:inline distT="0" distB="0" distL="114300" distR="114300">
            <wp:extent cx="5393055" cy="2703830"/>
            <wp:effectExtent l="0" t="0" r="17145" b="1270"/>
            <wp:docPr id="1" name="图片 1" descr="1887f0d1a049dcf561966d0c5d5ac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887f0d1a049dcf561966d0c5d5ac07"/>
                    <pic:cNvPicPr>
                      <a:picLocks noChangeAspect="1"/>
                    </pic:cNvPicPr>
                  </pic:nvPicPr>
                  <pic:blipFill>
                    <a:blip r:embed="rId6"/>
                    <a:stretch>
                      <a:fillRect/>
                    </a:stretch>
                  </pic:blipFill>
                  <pic:spPr>
                    <a:xfrm>
                      <a:off x="0" y="0"/>
                      <a:ext cx="5393055" cy="2703830"/>
                    </a:xfrm>
                    <a:prstGeom prst="rect">
                      <a:avLst/>
                    </a:prstGeom>
                    <a:noFill/>
                    <a:ln>
                      <a:noFill/>
                    </a:ln>
                  </pic:spPr>
                </pic:pic>
              </a:graphicData>
            </a:graphic>
          </wp:inline>
        </w:drawing>
      </w:r>
    </w:p>
    <w:p>
      <w:pPr>
        <w:numPr>
          <w:ilvl w:val="0"/>
          <w:numId w:val="0"/>
        </w:numPr>
        <w:jc w:val="both"/>
        <w:rPr>
          <w:rFonts w:hint="default"/>
          <w:b w:val="0"/>
          <w:bCs w:val="0"/>
          <w:sz w:val="28"/>
          <w:szCs w:val="28"/>
          <w:lang w:val="en-US" w:eastAsia="zh-CN"/>
        </w:rPr>
      </w:pPr>
      <w:r>
        <w:rPr>
          <w:rFonts w:hint="default"/>
          <w:b w:val="0"/>
          <w:bCs w:val="0"/>
          <w:sz w:val="28"/>
          <w:szCs w:val="28"/>
          <w:lang w:val="en-US" w:eastAsia="zh-CN"/>
        </w:rPr>
        <w:drawing>
          <wp:inline distT="0" distB="0" distL="114300" distR="114300">
            <wp:extent cx="5393690" cy="2797175"/>
            <wp:effectExtent l="0" t="0" r="16510" b="3175"/>
            <wp:docPr id="2" name="图片 2" descr="5887476c792c467ec5826cba2382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887476c792c467ec5826cba2382240"/>
                    <pic:cNvPicPr>
                      <a:picLocks noChangeAspect="1"/>
                    </pic:cNvPicPr>
                  </pic:nvPicPr>
                  <pic:blipFill>
                    <a:blip r:embed="rId7"/>
                    <a:stretch>
                      <a:fillRect/>
                    </a:stretch>
                  </pic:blipFill>
                  <pic:spPr>
                    <a:xfrm>
                      <a:off x="0" y="0"/>
                      <a:ext cx="5393690" cy="2797175"/>
                    </a:xfrm>
                    <a:prstGeom prst="rect">
                      <a:avLst/>
                    </a:prstGeom>
                    <a:noFill/>
                    <a:ln>
                      <a:noFill/>
                    </a:ln>
                  </pic:spPr>
                </pic:pic>
              </a:graphicData>
            </a:graphic>
          </wp:inline>
        </w:drawing>
      </w:r>
    </w:p>
    <w:p>
      <w:pPr>
        <w:numPr>
          <w:ilvl w:val="0"/>
          <w:numId w:val="0"/>
        </w:numPr>
        <w:jc w:val="both"/>
        <w:rPr>
          <w:rFonts w:hint="default"/>
          <w:b w:val="0"/>
          <w:bCs w:val="0"/>
          <w:sz w:val="28"/>
          <w:szCs w:val="28"/>
          <w:lang w:val="en-US" w:eastAsia="zh-CN"/>
        </w:rPr>
      </w:pPr>
    </w:p>
    <w:p>
      <w:pPr>
        <w:numPr>
          <w:ilvl w:val="0"/>
          <w:numId w:val="0"/>
        </w:numPr>
        <w:jc w:val="both"/>
        <w:rPr>
          <w:rFonts w:hint="default"/>
          <w:b w:val="0"/>
          <w:bCs w:val="0"/>
          <w:sz w:val="28"/>
          <w:szCs w:val="28"/>
          <w:lang w:val="en-US" w:eastAsia="zh-CN"/>
        </w:rPr>
      </w:pPr>
    </w:p>
    <w:p>
      <w:pPr>
        <w:numPr>
          <w:ilvl w:val="0"/>
          <w:numId w:val="0"/>
        </w:numPr>
        <w:jc w:val="both"/>
        <w:rPr>
          <w:rFonts w:hint="default"/>
          <w:b w:val="0"/>
          <w:bCs w:val="0"/>
          <w:sz w:val="28"/>
          <w:szCs w:val="28"/>
          <w:lang w:val="en-US" w:eastAsia="zh-CN"/>
        </w:rPr>
      </w:pPr>
    </w:p>
    <w:p>
      <w:pPr>
        <w:numPr>
          <w:ilvl w:val="0"/>
          <w:numId w:val="0"/>
        </w:numPr>
        <w:jc w:val="both"/>
        <w:rPr>
          <w:rFonts w:hint="default"/>
          <w:b w:val="0"/>
          <w:bCs w:val="0"/>
          <w:sz w:val="28"/>
          <w:szCs w:val="28"/>
          <w:lang w:val="en-US" w:eastAsia="zh-CN"/>
        </w:rPr>
      </w:pPr>
    </w:p>
    <w:p>
      <w:pPr>
        <w:numPr>
          <w:ilvl w:val="0"/>
          <w:numId w:val="0"/>
        </w:numPr>
        <w:jc w:val="both"/>
        <w:rPr>
          <w:rFonts w:hint="default"/>
          <w:b w:val="0"/>
          <w:bCs w:val="0"/>
          <w:sz w:val="28"/>
          <w:szCs w:val="28"/>
          <w:lang w:val="en-US" w:eastAsia="zh-CN"/>
        </w:rPr>
      </w:pPr>
    </w:p>
    <w:p>
      <w:pPr>
        <w:numPr>
          <w:ilvl w:val="0"/>
          <w:numId w:val="0"/>
        </w:numPr>
        <w:jc w:val="both"/>
        <w:rPr>
          <w:rFonts w:hint="default"/>
          <w:b w:val="0"/>
          <w:bCs w:val="0"/>
          <w:sz w:val="28"/>
          <w:szCs w:val="28"/>
          <w:lang w:val="en-US" w:eastAsia="zh-CN"/>
        </w:rPr>
      </w:pPr>
      <w:r>
        <w:rPr>
          <w:rFonts w:hint="default"/>
          <w:b w:val="0"/>
          <w:bCs w:val="0"/>
          <w:sz w:val="28"/>
          <w:szCs w:val="28"/>
          <w:lang w:val="en-US" w:eastAsia="zh-CN"/>
        </w:rPr>
        <w:drawing>
          <wp:inline distT="0" distB="0" distL="114300" distR="114300">
            <wp:extent cx="5452745" cy="2672715"/>
            <wp:effectExtent l="0" t="0" r="14605" b="13335"/>
            <wp:docPr id="4" name="图片 4" descr="466ede9c55bc083b0c0f88c80f9fa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66ede9c55bc083b0c0f88c80f9fab8"/>
                    <pic:cNvPicPr>
                      <a:picLocks noChangeAspect="1"/>
                    </pic:cNvPicPr>
                  </pic:nvPicPr>
                  <pic:blipFill>
                    <a:blip r:embed="rId8"/>
                    <a:stretch>
                      <a:fillRect/>
                    </a:stretch>
                  </pic:blipFill>
                  <pic:spPr>
                    <a:xfrm>
                      <a:off x="0" y="0"/>
                      <a:ext cx="5452745" cy="2672715"/>
                    </a:xfrm>
                    <a:prstGeom prst="rect">
                      <a:avLst/>
                    </a:prstGeom>
                    <a:noFill/>
                    <a:ln>
                      <a:noFill/>
                    </a:ln>
                  </pic:spPr>
                </pic:pic>
              </a:graphicData>
            </a:graphic>
          </wp:inline>
        </w:drawing>
      </w:r>
      <w:r>
        <w:rPr>
          <w:rFonts w:hint="default"/>
          <w:b w:val="0"/>
          <w:bCs w:val="0"/>
          <w:sz w:val="28"/>
          <w:szCs w:val="28"/>
          <w:lang w:val="en-US" w:eastAsia="zh-CN"/>
        </w:rPr>
        <w:drawing>
          <wp:inline distT="0" distB="0" distL="114300" distR="114300">
            <wp:extent cx="5433695" cy="2898140"/>
            <wp:effectExtent l="0" t="0" r="14605" b="16510"/>
            <wp:docPr id="5" name="图片 3" descr="36fe6bb2be0bf92817c17ecd71742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36fe6bb2be0bf92817c17ecd71742e9"/>
                    <pic:cNvPicPr>
                      <a:picLocks noChangeAspect="1"/>
                    </pic:cNvPicPr>
                  </pic:nvPicPr>
                  <pic:blipFill>
                    <a:blip r:embed="rId9"/>
                    <a:stretch>
                      <a:fillRect/>
                    </a:stretch>
                  </pic:blipFill>
                  <pic:spPr>
                    <a:xfrm>
                      <a:off x="0" y="0"/>
                      <a:ext cx="5433695" cy="2898140"/>
                    </a:xfrm>
                    <a:prstGeom prst="rect">
                      <a:avLst/>
                    </a:prstGeom>
                    <a:noFill/>
                    <a:ln>
                      <a:noFill/>
                    </a:ln>
                  </pic:spPr>
                </pic:pic>
              </a:graphicData>
            </a:graphic>
          </wp:inline>
        </w:drawing>
      </w:r>
    </w:p>
    <w:p>
      <w:pPr>
        <w:pStyle w:val="8"/>
        <w:widowControl w:val="0"/>
        <w:numPr>
          <w:ilvl w:val="0"/>
          <w:numId w:val="0"/>
        </w:numPr>
        <w:contextualSpacing/>
        <w:jc w:val="both"/>
        <w:rPr>
          <w:rFonts w:hint="eastAsia" w:ascii="宋体" w:hAnsi="宋体" w:cs="宋体"/>
          <w:snapToGrid w:val="0"/>
          <w:kern w:val="0"/>
          <w:sz w:val="24"/>
        </w:rPr>
      </w:pPr>
    </w:p>
    <w:p>
      <w:pPr>
        <w:pStyle w:val="8"/>
        <w:widowControl w:val="0"/>
        <w:numPr>
          <w:ilvl w:val="0"/>
          <w:numId w:val="0"/>
        </w:numPr>
        <w:contextualSpacing/>
        <w:jc w:val="both"/>
        <w:rPr>
          <w:rFonts w:hint="eastAsia" w:ascii="宋体" w:hAnsi="宋体" w:cs="宋体"/>
          <w:snapToGrid w:val="0"/>
          <w:kern w:val="0"/>
          <w:sz w:val="24"/>
        </w:rPr>
      </w:pPr>
    </w:p>
    <w:p>
      <w:pPr>
        <w:pStyle w:val="14"/>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5"/>
        <w:ind w:firstLine="0"/>
      </w:pPr>
    </w:p>
    <w:p>
      <w:pPr>
        <w:jc w:val="center"/>
        <w:rPr>
          <w:rFonts w:ascii="宋体" w:hAnsi="宋体"/>
          <w:b/>
          <w:bCs/>
          <w:sz w:val="36"/>
          <w:szCs w:val="36"/>
        </w:rPr>
      </w:pPr>
      <w:r>
        <w:rPr>
          <w:rFonts w:hint="eastAsia" w:ascii="宋体" w:hAnsi="宋体"/>
          <w:b/>
          <w:bCs/>
          <w:sz w:val="36"/>
          <w:szCs w:val="36"/>
        </w:rPr>
        <w:t>投标文件</w:t>
      </w:r>
    </w:p>
    <w:p>
      <w:pPr>
        <w:pStyle w:val="15"/>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5"/>
        <w:ind w:firstLine="0"/>
      </w:pPr>
    </w:p>
    <w:p>
      <w:pPr>
        <w:pStyle w:val="15"/>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5"/>
        <w:rPr>
          <w:sz w:val="36"/>
          <w:szCs w:val="36"/>
        </w:rPr>
      </w:pPr>
    </w:p>
    <w:p>
      <w:pPr>
        <w:pStyle w:val="15"/>
        <w:rPr>
          <w:sz w:val="36"/>
          <w:szCs w:val="36"/>
        </w:rPr>
      </w:pPr>
    </w:p>
    <w:p>
      <w:pPr>
        <w:pStyle w:val="15"/>
        <w:rPr>
          <w:sz w:val="36"/>
          <w:szCs w:val="36"/>
        </w:rPr>
      </w:pPr>
    </w:p>
    <w:p>
      <w:pPr>
        <w:rPr>
          <w:b/>
          <w:sz w:val="36"/>
          <w:szCs w:val="36"/>
        </w:rPr>
      </w:pPr>
    </w:p>
    <w:p>
      <w:pPr>
        <w:pStyle w:val="15"/>
        <w:ind w:firstLine="0"/>
        <w:jc w:val="left"/>
      </w:pPr>
    </w:p>
    <w:p>
      <w:pPr>
        <w:jc w:val="center"/>
        <w:rPr>
          <w:rFonts w:ascii="宋体" w:hAnsi="宋体"/>
          <w:b/>
          <w:sz w:val="36"/>
          <w:szCs w:val="36"/>
          <w:u w:val="single"/>
        </w:rPr>
      </w:pPr>
      <w:r>
        <w:rPr>
          <w:rFonts w:hint="eastAsia"/>
          <w:b/>
          <w:sz w:val="36"/>
          <w:szCs w:val="36"/>
        </w:rPr>
        <w:t>目录</w:t>
      </w:r>
    </w:p>
    <w:p>
      <w:pPr>
        <w:pStyle w:val="5"/>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东区危化品库建设项目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YDFYXJ-20221101</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5"/>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5"/>
        <w:rPr>
          <w:rFonts w:ascii="宋体" w:hAnsi="宋体" w:cs="宋体"/>
          <w:sz w:val="28"/>
          <w:szCs w:val="28"/>
        </w:rPr>
      </w:pPr>
    </w:p>
    <w:p>
      <w:pPr>
        <w:pStyle w:val="4"/>
        <w:ind w:left="0" w:leftChars="0" w:firstLine="0" w:firstLineChars="0"/>
        <w:rPr>
          <w:b/>
          <w:sz w:val="36"/>
          <w:szCs w:val="36"/>
        </w:rPr>
      </w:pPr>
    </w:p>
    <w:p>
      <w:pPr>
        <w:pStyle w:val="4"/>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ind w:firstLine="0"/>
      </w:pPr>
    </w:p>
    <w:p>
      <w:pPr>
        <w:pStyle w:val="15"/>
        <w:ind w:firstLine="0"/>
      </w:pPr>
    </w:p>
    <w:p>
      <w:pPr>
        <w:pStyle w:val="15"/>
        <w:ind w:firstLine="0"/>
      </w:pPr>
    </w:p>
    <w:p>
      <w:pPr>
        <w:pStyle w:val="15"/>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rPr>
          <w:rFonts w:asciiTheme="minorEastAsia" w:hAnsiTheme="minorEastAsia" w:eastAsiaTheme="minorEastAsia"/>
          <w:b/>
          <w:sz w:val="36"/>
        </w:rPr>
      </w:pPr>
    </w:p>
    <w:p>
      <w:pPr>
        <w:pStyle w:val="9"/>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9"/>
        <w:rPr>
          <w:rFonts w:ascii="Times New Roman" w:hAnsi="Times New Roman"/>
          <w:b/>
          <w:sz w:val="36"/>
        </w:rPr>
      </w:pPr>
    </w:p>
    <w:p>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9"/>
        <w:adjustRightInd w:val="0"/>
        <w:snapToGrid w:val="0"/>
        <w:spacing w:line="44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9"/>
        <w:adjustRightInd w:val="0"/>
        <w:snapToGrid w:val="0"/>
        <w:spacing w:line="50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7"/>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4"/>
            </w:pPr>
          </w:p>
          <w:p/>
          <w:p>
            <w:pPr>
              <w:pStyle w:val="4"/>
            </w:pPr>
          </w:p>
          <w:p/>
          <w:p>
            <w:pPr>
              <w:pStyle w:val="4"/>
            </w:pPr>
          </w:p>
          <w:p/>
          <w:p>
            <w:pPr>
              <w:pStyle w:val="4"/>
            </w:pPr>
          </w:p>
          <w:p/>
          <w:p>
            <w:pPr>
              <w:pStyle w:val="4"/>
            </w:pPr>
          </w:p>
          <w:p/>
          <w:p>
            <w:pPr>
              <w:pStyle w:val="4"/>
            </w:pPr>
          </w:p>
          <w:p/>
          <w:p>
            <w:pPr>
              <w:pStyle w:val="4"/>
            </w:pPr>
          </w:p>
          <w:p/>
          <w:p>
            <w:pPr>
              <w:pStyle w:val="4"/>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4"/>
        <w:ind w:left="0" w:leftChars="0" w:firstLine="0" w:firstLineChars="0"/>
        <w:rPr>
          <w:rFonts w:ascii="宋体" w:hAnsi="宋体"/>
          <w:kern w:val="0"/>
          <w:sz w:val="36"/>
          <w:szCs w:val="36"/>
        </w:rPr>
      </w:pPr>
    </w:p>
    <w:p/>
    <w:p>
      <w:pPr>
        <w:pStyle w:val="13"/>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4"/>
        <w:rPr>
          <w:rFonts w:ascii="宋体" w:hAnsi="宋体"/>
        </w:rPr>
      </w:pPr>
    </w:p>
    <w:p>
      <w:pPr>
        <w:rPr>
          <w:rFonts w:ascii="宋体" w:hAnsi="宋体"/>
        </w:rPr>
      </w:pPr>
    </w:p>
    <w:p>
      <w:pPr>
        <w:pStyle w:val="4"/>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6"/>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0"/>
              <w:adjustRightInd w:val="0"/>
              <w:snapToGrid w:val="0"/>
              <w:spacing w:line="440" w:lineRule="exact"/>
              <w:contextualSpacing/>
              <w:jc w:val="center"/>
              <w:rPr>
                <w:rFonts w:ascii="Times New Roman"/>
                <w:bCs/>
              </w:rPr>
            </w:pPr>
          </w:p>
        </w:tc>
        <w:tc>
          <w:tcPr>
            <w:tcW w:w="3244" w:type="pct"/>
            <w:vAlign w:val="center"/>
          </w:tcPr>
          <w:p>
            <w:pPr>
              <w:pStyle w:val="30"/>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0"/>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4"/>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rPr>
          <w:rFonts w:hint="eastAsia" w:ascii="宋体" w:hAnsi="宋体"/>
          <w:b/>
          <w:sz w:val="36"/>
          <w:szCs w:val="36"/>
        </w:rPr>
      </w:pPr>
      <w:bookmarkStart w:id="1" w:name="_Toc513029243"/>
      <w:bookmarkStart w:id="2" w:name="_Toc20823315"/>
      <w:bookmarkStart w:id="3" w:name="_Toc16938559"/>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供货协议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东区危化品库建设项目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lang w:eastAsia="zh-CN"/>
        </w:rPr>
        <w:t>YDFYXJ-20221101</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9"/>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东区危化品库建设项目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东区危化品库建设项目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2.本项目产品名称、型号、规格、数量及技术等要求。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4"/>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付款方式为在验收、调试合格后，乙方凭甲方的验收单及开具的正规增值税发票等材料向甲方办理付款手续，甲方凭手续齐全的票据向乙方支付</w:t>
      </w:r>
      <w:r>
        <w:rPr>
          <w:rFonts w:hint="eastAsia" w:cs="宋体"/>
          <w:sz w:val="24"/>
          <w:highlight w:val="none"/>
          <w:lang w:eastAsia="zh-CN"/>
        </w:rPr>
        <w:t>协议</w:t>
      </w:r>
      <w:r>
        <w:rPr>
          <w:rFonts w:hint="eastAsia" w:ascii="宋体" w:hAnsi="宋体" w:cs="宋体"/>
          <w:sz w:val="24"/>
          <w:highlight w:val="none"/>
        </w:rPr>
        <w:t>价的</w:t>
      </w:r>
      <w:r>
        <w:rPr>
          <w:rFonts w:hint="eastAsia" w:cs="宋体"/>
          <w:sz w:val="24"/>
          <w:highlight w:val="none"/>
          <w:lang w:val="en-US" w:eastAsia="zh-CN"/>
        </w:rPr>
        <w:t>100%</w:t>
      </w:r>
      <w:r>
        <w:rPr>
          <w:rFonts w:hint="eastAsia" w:ascii="宋体" w:hAnsi="宋体" w:cs="宋体"/>
          <w:sz w:val="24"/>
          <w:highlight w:val="none"/>
        </w:rPr>
        <w:t>。（</w:t>
      </w:r>
      <w:r>
        <w:rPr>
          <w:rFonts w:hint="eastAsia" w:ascii="宋体" w:hAnsi="宋体" w:cs="宋体"/>
          <w:b/>
          <w:bCs/>
          <w:sz w:val="24"/>
        </w:rPr>
        <w:t>以上均不计息</w:t>
      </w:r>
      <w:r>
        <w:rPr>
          <w:rFonts w:hint="eastAsia" w:ascii="宋体" w:hAnsi="宋体" w:cs="宋体"/>
          <w:sz w:val="24"/>
        </w:rPr>
        <w:t>）。</w:t>
      </w:r>
    </w:p>
    <w:p>
      <w:pPr>
        <w:pStyle w:val="9"/>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壹 </w:t>
      </w:r>
      <w:r>
        <w:rPr>
          <w:rFonts w:hint="eastAsia" w:ascii="宋体" w:hAnsi="宋体" w:cs="宋体"/>
          <w:sz w:val="24"/>
        </w:rPr>
        <w:t>年，质保期自甲方验收合格之日起计算。</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质保期内，所有维修、更换服务均为上门服务，由此产生的费用乙方自行承担。</w:t>
      </w:r>
      <w:r>
        <w:rPr>
          <w:rFonts w:hint="eastAsia" w:hAnsi="宋体" w:cs="宋体"/>
          <w:color w:val="000000"/>
          <w:kern w:val="0"/>
          <w:sz w:val="24"/>
        </w:rPr>
        <w:t>若同一质量问题经两次维修仍无法修复的，乙方负责包换。</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szCs w:val="24"/>
        </w:rPr>
      </w:pPr>
      <w:r>
        <w:rPr>
          <w:rFonts w:hint="eastAsia" w:hAnsi="宋体" w:cs="宋体"/>
          <w:color w:val="000000"/>
          <w:kern w:val="0"/>
          <w:sz w:val="24"/>
        </w:rPr>
        <w:t>3.质保期后，乙方仍提供维修服务，收取成本费（免收人工费，差旅费）。</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15</w:t>
      </w:r>
      <w:r>
        <w:rPr>
          <w:rFonts w:hint="eastAsia" w:ascii="宋体" w:hAnsi="宋体" w:cs="宋体"/>
          <w:b/>
          <w:kern w:val="0"/>
          <w:sz w:val="24"/>
          <w:highlight w:val="none"/>
          <w:u w:val="single"/>
        </w:rPr>
        <w:t xml:space="preserve"> </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约定将所供商品安全运至</w:t>
      </w:r>
      <w:r>
        <w:rPr>
          <w:rFonts w:hint="eastAsia" w:ascii="宋体" w:hAnsi="宋体" w:cs="宋体"/>
          <w:b/>
          <w:bCs/>
          <w:color w:val="000000"/>
          <w:kern w:val="0"/>
          <w:sz w:val="24"/>
          <w:u w:val="single"/>
        </w:rPr>
        <w:t>扬州大学附属医院</w:t>
      </w:r>
      <w:r>
        <w:rPr>
          <w:rFonts w:hint="eastAsia" w:ascii="宋体" w:hAnsi="宋体" w:cs="宋体"/>
          <w:b/>
          <w:bCs/>
          <w:color w:val="000000"/>
          <w:kern w:val="0"/>
          <w:sz w:val="24"/>
          <w:u w:val="single"/>
          <w:lang w:eastAsia="zh-CN"/>
        </w:rPr>
        <w:t>，</w:t>
      </w:r>
      <w:r>
        <w:rPr>
          <w:rFonts w:hint="eastAsia" w:ascii="宋体" w:hAnsi="宋体" w:cs="宋体"/>
          <w:b/>
          <w:bCs/>
          <w:color w:val="000000"/>
          <w:kern w:val="0"/>
          <w:sz w:val="24"/>
          <w:u w:val="single"/>
        </w:rPr>
        <w:t>甲方指定地点</w:t>
      </w:r>
      <w:r>
        <w:rPr>
          <w:rFonts w:hint="eastAsia" w:ascii="宋体" w:hAnsi="宋体" w:cs="宋体"/>
          <w:color w:val="000000"/>
          <w:kern w:val="0"/>
          <w:sz w:val="24"/>
        </w:rPr>
        <w:t>，并负责</w:t>
      </w:r>
      <w:r>
        <w:rPr>
          <w:rFonts w:hint="eastAsia" w:ascii="宋体" w:hAnsi="宋体" w:cs="宋体"/>
          <w:kern w:val="0"/>
          <w:sz w:val="24"/>
        </w:rPr>
        <w:t>安装调试完</w:t>
      </w:r>
      <w:r>
        <w:rPr>
          <w:rFonts w:hint="eastAsia" w:ascii="宋体" w:hAnsi="宋体" w:cs="宋体"/>
          <w:color w:val="000000"/>
          <w:kern w:val="0"/>
          <w:sz w:val="24"/>
        </w:rPr>
        <w:t>毕后交甲方验收所供商品。</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ascii="宋体" w:hAnsi="宋体"/>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5"/>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2A1423A"/>
    <w:rsid w:val="034D4BC8"/>
    <w:rsid w:val="04E61983"/>
    <w:rsid w:val="04F93EF7"/>
    <w:rsid w:val="053E3F8C"/>
    <w:rsid w:val="06835001"/>
    <w:rsid w:val="07CD3AA2"/>
    <w:rsid w:val="0907213E"/>
    <w:rsid w:val="0BE47D69"/>
    <w:rsid w:val="0C067990"/>
    <w:rsid w:val="0C4A2728"/>
    <w:rsid w:val="0C704CF9"/>
    <w:rsid w:val="0CF140C8"/>
    <w:rsid w:val="0D2E16CF"/>
    <w:rsid w:val="0D4515B4"/>
    <w:rsid w:val="0E126F52"/>
    <w:rsid w:val="0E2A13BF"/>
    <w:rsid w:val="0EE42777"/>
    <w:rsid w:val="110961DE"/>
    <w:rsid w:val="11202626"/>
    <w:rsid w:val="135E7630"/>
    <w:rsid w:val="14574206"/>
    <w:rsid w:val="151678B8"/>
    <w:rsid w:val="15D76399"/>
    <w:rsid w:val="172469D5"/>
    <w:rsid w:val="17407202"/>
    <w:rsid w:val="186D5CBC"/>
    <w:rsid w:val="19826916"/>
    <w:rsid w:val="1A965BFC"/>
    <w:rsid w:val="1B0E6D6D"/>
    <w:rsid w:val="1C94789B"/>
    <w:rsid w:val="1D762024"/>
    <w:rsid w:val="1E525F06"/>
    <w:rsid w:val="1EAC0AAC"/>
    <w:rsid w:val="1FF236E2"/>
    <w:rsid w:val="205648A9"/>
    <w:rsid w:val="21C93434"/>
    <w:rsid w:val="22EC14F1"/>
    <w:rsid w:val="23735059"/>
    <w:rsid w:val="2466755A"/>
    <w:rsid w:val="24782FEE"/>
    <w:rsid w:val="270244AF"/>
    <w:rsid w:val="279829B9"/>
    <w:rsid w:val="28795CAE"/>
    <w:rsid w:val="28CF6D5C"/>
    <w:rsid w:val="28D728FE"/>
    <w:rsid w:val="290E1224"/>
    <w:rsid w:val="2A6C65F7"/>
    <w:rsid w:val="2AA6133D"/>
    <w:rsid w:val="2BCB5B07"/>
    <w:rsid w:val="2E026BA2"/>
    <w:rsid w:val="2EE7735A"/>
    <w:rsid w:val="2F716810"/>
    <w:rsid w:val="2F877A0A"/>
    <w:rsid w:val="30DF7E8F"/>
    <w:rsid w:val="310442A6"/>
    <w:rsid w:val="318E7998"/>
    <w:rsid w:val="31FF36A9"/>
    <w:rsid w:val="32542738"/>
    <w:rsid w:val="349B0B50"/>
    <w:rsid w:val="375A406B"/>
    <w:rsid w:val="37CB42F0"/>
    <w:rsid w:val="395873E0"/>
    <w:rsid w:val="398427FF"/>
    <w:rsid w:val="3B6B7997"/>
    <w:rsid w:val="3C7E55A0"/>
    <w:rsid w:val="3C7E7E4D"/>
    <w:rsid w:val="3D920AB3"/>
    <w:rsid w:val="3E4F54B3"/>
    <w:rsid w:val="3EA006FD"/>
    <w:rsid w:val="406A6438"/>
    <w:rsid w:val="40C726B4"/>
    <w:rsid w:val="424B0DFC"/>
    <w:rsid w:val="43487107"/>
    <w:rsid w:val="43F56786"/>
    <w:rsid w:val="45977351"/>
    <w:rsid w:val="45F42EB8"/>
    <w:rsid w:val="46056344"/>
    <w:rsid w:val="467B4C8A"/>
    <w:rsid w:val="4689608C"/>
    <w:rsid w:val="47DD46E6"/>
    <w:rsid w:val="48B5696C"/>
    <w:rsid w:val="49AC543C"/>
    <w:rsid w:val="4ACD2A51"/>
    <w:rsid w:val="4B4053E3"/>
    <w:rsid w:val="4B8D08A2"/>
    <w:rsid w:val="4BD6274F"/>
    <w:rsid w:val="4C2279B2"/>
    <w:rsid w:val="4C472E7D"/>
    <w:rsid w:val="4CB85CB5"/>
    <w:rsid w:val="4E295D4C"/>
    <w:rsid w:val="4F4C7986"/>
    <w:rsid w:val="4F717F10"/>
    <w:rsid w:val="501519DD"/>
    <w:rsid w:val="507C6263"/>
    <w:rsid w:val="508A0E56"/>
    <w:rsid w:val="510328E8"/>
    <w:rsid w:val="510F701A"/>
    <w:rsid w:val="51673008"/>
    <w:rsid w:val="5199638E"/>
    <w:rsid w:val="51BD509B"/>
    <w:rsid w:val="537760B9"/>
    <w:rsid w:val="54422408"/>
    <w:rsid w:val="54AC3518"/>
    <w:rsid w:val="560560AD"/>
    <w:rsid w:val="56410E61"/>
    <w:rsid w:val="57DA3AB3"/>
    <w:rsid w:val="58A415C5"/>
    <w:rsid w:val="591C0A3A"/>
    <w:rsid w:val="5AAE4B55"/>
    <w:rsid w:val="5B063544"/>
    <w:rsid w:val="5B3A3011"/>
    <w:rsid w:val="5BD053AF"/>
    <w:rsid w:val="5BE11FCF"/>
    <w:rsid w:val="5C3E22E0"/>
    <w:rsid w:val="5C63055C"/>
    <w:rsid w:val="5C936A98"/>
    <w:rsid w:val="5C9D5DDF"/>
    <w:rsid w:val="5CA1516C"/>
    <w:rsid w:val="5CA23409"/>
    <w:rsid w:val="5CDB0A62"/>
    <w:rsid w:val="5D9E4640"/>
    <w:rsid w:val="5E584ED9"/>
    <w:rsid w:val="600E4C27"/>
    <w:rsid w:val="60186A28"/>
    <w:rsid w:val="60446E43"/>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78D2F92"/>
    <w:rsid w:val="6D633984"/>
    <w:rsid w:val="6DF60098"/>
    <w:rsid w:val="6E1F0C2D"/>
    <w:rsid w:val="708C2B36"/>
    <w:rsid w:val="70952B65"/>
    <w:rsid w:val="70C57A02"/>
    <w:rsid w:val="70DB38A7"/>
    <w:rsid w:val="70FE780D"/>
    <w:rsid w:val="71D1780D"/>
    <w:rsid w:val="71DC1AE4"/>
    <w:rsid w:val="72217603"/>
    <w:rsid w:val="72487296"/>
    <w:rsid w:val="7282207E"/>
    <w:rsid w:val="74226CB9"/>
    <w:rsid w:val="75006B73"/>
    <w:rsid w:val="764E69E8"/>
    <w:rsid w:val="7787662E"/>
    <w:rsid w:val="77F20BEE"/>
    <w:rsid w:val="79AC4BB9"/>
    <w:rsid w:val="79CC0928"/>
    <w:rsid w:val="7ABB1C53"/>
    <w:rsid w:val="7BF34C08"/>
    <w:rsid w:val="7C6460D0"/>
    <w:rsid w:val="7CDD764F"/>
    <w:rsid w:val="7E4401E2"/>
    <w:rsid w:val="7ECF0FC0"/>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rFonts w:ascii="楷体_GB2312" w:hAnsi="Arial" w:eastAsia="楷体_GB2312"/>
      <w:kern w:val="0"/>
      <w:sz w:val="28"/>
      <w:szCs w:val="28"/>
    </w:rPr>
  </w:style>
  <w:style w:type="paragraph" w:styleId="3">
    <w:name w:val="Body Text 3"/>
    <w:basedOn w:val="1"/>
    <w:next w:val="1"/>
    <w:qFormat/>
    <w:uiPriority w:val="0"/>
    <w:pPr>
      <w:spacing w:after="120" w:afterLines="0"/>
    </w:pPr>
    <w:rPr>
      <w:sz w:val="16"/>
      <w:szCs w:val="16"/>
    </w:rPr>
  </w:style>
  <w:style w:type="paragraph" w:styleId="4">
    <w:name w:val="table of authorities"/>
    <w:basedOn w:val="1"/>
    <w:next w:val="1"/>
    <w:qFormat/>
    <w:uiPriority w:val="0"/>
    <w:pPr>
      <w:ind w:left="420" w:leftChars="200"/>
    </w:pPr>
  </w:style>
  <w:style w:type="paragraph" w:styleId="5">
    <w:name w:val="Normal Indent"/>
    <w:basedOn w:val="1"/>
    <w:link w:val="31"/>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Indent"/>
    <w:basedOn w:val="1"/>
    <w:qFormat/>
    <w:uiPriority w:val="0"/>
    <w:pPr>
      <w:ind w:firstLine="576"/>
    </w:pPr>
    <w:rPr>
      <w:b/>
      <w:sz w:val="30"/>
    </w:rPr>
  </w:style>
  <w:style w:type="paragraph" w:styleId="8">
    <w:name w:val="List Bullet 2"/>
    <w:basedOn w:val="1"/>
    <w:unhideWhenUsed/>
    <w:qFormat/>
    <w:uiPriority w:val="0"/>
    <w:pPr>
      <w:numPr>
        <w:ilvl w:val="0"/>
        <w:numId w:val="1"/>
      </w:numPr>
      <w:contextualSpacing/>
    </w:pPr>
    <w:rPr>
      <w:rFonts w:ascii="Calibri" w:hAnsi="Calibri"/>
    </w:rPr>
  </w:style>
  <w:style w:type="paragraph" w:styleId="9">
    <w:name w:val="Plain Text"/>
    <w:basedOn w:val="1"/>
    <w:link w:val="26"/>
    <w:qFormat/>
    <w:uiPriority w:val="99"/>
    <w:rPr>
      <w:rFonts w:ascii="宋体" w:hAnsi="Courier New"/>
      <w:szCs w:val="20"/>
    </w:rPr>
  </w:style>
  <w:style w:type="paragraph" w:styleId="10">
    <w:name w:val="Balloon Text"/>
    <w:basedOn w:val="1"/>
    <w:link w:val="25"/>
    <w:semiHidden/>
    <w:unhideWhenUsed/>
    <w:qFormat/>
    <w:uiPriority w:val="99"/>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8"/>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2"/>
    <w:basedOn w:val="7"/>
    <w:qFormat/>
    <w:uiPriority w:val="0"/>
    <w:pPr>
      <w:ind w:firstLine="420"/>
    </w:p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semiHidden/>
    <w:unhideWhenUsed/>
    <w:qFormat/>
    <w:uiPriority w:val="99"/>
    <w:rPr>
      <w:color w:val="222222"/>
      <w:u w:val="none"/>
    </w:rPr>
  </w:style>
  <w:style w:type="character" w:styleId="20">
    <w:name w:val="Hyperlink"/>
    <w:basedOn w:val="18"/>
    <w:unhideWhenUsed/>
    <w:qFormat/>
    <w:uiPriority w:val="99"/>
    <w:rPr>
      <w:color w:val="0000FF" w:themeColor="hyperlink"/>
      <w:u w:val="single"/>
    </w:rPr>
  </w:style>
  <w:style w:type="paragraph" w:customStyle="1" w:styleId="21">
    <w:name w:val="正文（缩进）"/>
    <w:basedOn w:val="1"/>
    <w:qFormat/>
    <w:uiPriority w:val="0"/>
    <w:pPr>
      <w:ind w:firstLine="480" w:firstLineChars="200"/>
    </w:pPr>
  </w:style>
  <w:style w:type="paragraph" w:customStyle="1" w:styleId="22">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3">
    <w:name w:val="页眉 Char"/>
    <w:basedOn w:val="18"/>
    <w:link w:val="12"/>
    <w:semiHidden/>
    <w:qFormat/>
    <w:uiPriority w:val="99"/>
    <w:rPr>
      <w:rFonts w:eastAsia="宋体"/>
      <w:kern w:val="2"/>
      <w:sz w:val="18"/>
      <w:szCs w:val="18"/>
    </w:rPr>
  </w:style>
  <w:style w:type="character" w:customStyle="1" w:styleId="24">
    <w:name w:val="页脚 Char"/>
    <w:basedOn w:val="18"/>
    <w:link w:val="11"/>
    <w:semiHidden/>
    <w:qFormat/>
    <w:uiPriority w:val="99"/>
    <w:rPr>
      <w:rFonts w:eastAsia="宋体"/>
      <w:kern w:val="2"/>
      <w:sz w:val="18"/>
      <w:szCs w:val="18"/>
    </w:rPr>
  </w:style>
  <w:style w:type="character" w:customStyle="1" w:styleId="25">
    <w:name w:val="批注框文本 Char"/>
    <w:basedOn w:val="18"/>
    <w:link w:val="10"/>
    <w:semiHidden/>
    <w:qFormat/>
    <w:uiPriority w:val="99"/>
    <w:rPr>
      <w:rFonts w:eastAsia="宋体"/>
      <w:kern w:val="2"/>
      <w:sz w:val="18"/>
      <w:szCs w:val="18"/>
    </w:rPr>
  </w:style>
  <w:style w:type="character" w:customStyle="1" w:styleId="26">
    <w:name w:val="纯文本 Char"/>
    <w:basedOn w:val="18"/>
    <w:link w:val="9"/>
    <w:qFormat/>
    <w:uiPriority w:val="99"/>
    <w:rPr>
      <w:rFonts w:ascii="宋体" w:hAnsi="Courier New" w:eastAsia="宋体"/>
      <w:kern w:val="2"/>
      <w:sz w:val="21"/>
    </w:rPr>
  </w:style>
  <w:style w:type="character" w:customStyle="1" w:styleId="27">
    <w:name w:val="副标题 Char"/>
    <w:qFormat/>
    <w:uiPriority w:val="0"/>
    <w:rPr>
      <w:rFonts w:ascii="Cambria" w:hAnsi="Cambria"/>
      <w:b/>
      <w:bCs/>
      <w:kern w:val="28"/>
      <w:sz w:val="32"/>
      <w:szCs w:val="32"/>
    </w:rPr>
  </w:style>
  <w:style w:type="character" w:customStyle="1" w:styleId="28">
    <w:name w:val="副标题 Char1"/>
    <w:basedOn w:val="18"/>
    <w:link w:val="13"/>
    <w:qFormat/>
    <w:uiPriority w:val="0"/>
    <w:rPr>
      <w:rFonts w:eastAsia="宋体" w:asciiTheme="majorHAnsi" w:hAnsiTheme="majorHAnsi" w:cstheme="majorBidi"/>
      <w:b/>
      <w:bCs/>
      <w:kern w:val="28"/>
      <w:sz w:val="32"/>
      <w:szCs w:val="32"/>
    </w:rPr>
  </w:style>
  <w:style w:type="paragraph" w:styleId="29">
    <w:name w:val="List Paragraph"/>
    <w:basedOn w:val="1"/>
    <w:unhideWhenUsed/>
    <w:qFormat/>
    <w:uiPriority w:val="99"/>
    <w:pPr>
      <w:ind w:firstLine="420" w:firstLineChars="200"/>
    </w:pPr>
  </w:style>
  <w:style w:type="paragraph" w:customStyle="1" w:styleId="30">
    <w:name w:val="普通文字"/>
    <w:basedOn w:val="1"/>
    <w:next w:val="1"/>
    <w:qFormat/>
    <w:uiPriority w:val="0"/>
    <w:rPr>
      <w:rFonts w:ascii="宋体"/>
      <w:kern w:val="0"/>
      <w:sz w:val="24"/>
      <w:u w:color="000000"/>
    </w:rPr>
  </w:style>
  <w:style w:type="character" w:customStyle="1" w:styleId="31">
    <w:name w:val="正文缩进 Char"/>
    <w:link w:val="5"/>
    <w:qFormat/>
    <w:uiPriority w:val="0"/>
    <w:rPr>
      <w:kern w:val="2"/>
      <w:sz w:val="21"/>
      <w:szCs w:val="24"/>
    </w:rPr>
  </w:style>
  <w:style w:type="character" w:customStyle="1" w:styleId="32">
    <w:name w:val="NormalCharacter"/>
    <w:qFormat/>
    <w:uiPriority w:val="0"/>
  </w:style>
  <w:style w:type="character" w:customStyle="1" w:styleId="33">
    <w:name w:val="font11"/>
    <w:basedOn w:val="18"/>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18</Pages>
  <Words>4608</Words>
  <Characters>4974</Characters>
  <Lines>70</Lines>
  <Paragraphs>19</Paragraphs>
  <TotalTime>24</TotalTime>
  <ScaleCrop>false</ScaleCrop>
  <LinksUpToDate>false</LinksUpToDate>
  <CharactersWithSpaces>5625</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2022-10-31T08:47:16Z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A1DAC28A50F347B68D0C2A2E30B9C7D5</vt:lpwstr>
  </property>
</Properties>
</file>