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东区方舱切配间采购项目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东区方舱切配间采购项目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东区方舱切配间采购项目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东区方舱切配间采购项目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东区方舱切配间采购项目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2</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2</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东区方舱切配间采购项目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YDFYXJ-20221106</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4.98</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lang w:val="en-US" w:eastAsia="zh-CN"/>
        </w:rPr>
        <w:t>2.</w:t>
      </w: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2.1东区病员餐厅方舱切配间改造项目报价清单</w:t>
      </w:r>
    </w:p>
    <w:tbl>
      <w:tblPr>
        <w:tblStyle w:val="17"/>
        <w:tblW w:w="10917" w:type="dxa"/>
        <w:jc w:val="center"/>
        <w:tblLayout w:type="fixed"/>
        <w:tblCellMar>
          <w:top w:w="0" w:type="dxa"/>
          <w:left w:w="108" w:type="dxa"/>
          <w:bottom w:w="0" w:type="dxa"/>
          <w:right w:w="108" w:type="dxa"/>
        </w:tblCellMar>
      </w:tblPr>
      <w:tblGrid>
        <w:gridCol w:w="1006"/>
        <w:gridCol w:w="951"/>
        <w:gridCol w:w="2355"/>
        <w:gridCol w:w="720"/>
        <w:gridCol w:w="735"/>
        <w:gridCol w:w="5150"/>
      </w:tblGrid>
      <w:tr>
        <w:tblPrEx>
          <w:tblCellMar>
            <w:top w:w="0" w:type="dxa"/>
            <w:left w:w="108" w:type="dxa"/>
            <w:bottom w:w="0" w:type="dxa"/>
            <w:right w:w="108" w:type="dxa"/>
          </w:tblCellMar>
        </w:tblPrEx>
        <w:trPr>
          <w:trHeight w:val="446" w:hRule="atLeast"/>
          <w:jc w:val="center"/>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仿宋" w:hAnsi="仿宋" w:eastAsia="仿宋" w:cs="仿宋"/>
                <w:b/>
                <w:bCs/>
                <w:color w:val="000000"/>
                <w:sz w:val="24"/>
              </w:rPr>
            </w:pPr>
            <w:r>
              <w:rPr>
                <w:rFonts w:hint="eastAsia" w:ascii="仿宋" w:hAnsi="仿宋" w:eastAsia="仿宋" w:cs="宋体"/>
                <w:b/>
                <w:szCs w:val="21"/>
              </w:rPr>
              <w:t>序号</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340" w:lineRule="exact"/>
              <w:jc w:val="center"/>
              <w:rPr>
                <w:rStyle w:val="35"/>
                <w:rFonts w:hint="default"/>
                <w:lang w:bidi="ar"/>
              </w:rPr>
            </w:pPr>
            <w:r>
              <w:rPr>
                <w:rFonts w:hint="eastAsia" w:ascii="仿宋" w:hAnsi="仿宋" w:eastAsia="仿宋" w:cs="宋体"/>
                <w:b/>
                <w:szCs w:val="21"/>
              </w:rPr>
              <w:t>名称</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仿宋" w:hAnsi="仿宋" w:eastAsia="仿宋" w:cs="仿宋"/>
                <w:b/>
                <w:bCs/>
                <w:color w:val="000000"/>
                <w:sz w:val="24"/>
              </w:rPr>
            </w:pPr>
            <w:r>
              <w:rPr>
                <w:rFonts w:hint="eastAsia" w:ascii="仿宋" w:hAnsi="仿宋" w:eastAsia="仿宋" w:cs="宋体"/>
                <w:b/>
                <w:szCs w:val="21"/>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40" w:lineRule="exact"/>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数量</w:t>
            </w:r>
          </w:p>
        </w:tc>
        <w:tc>
          <w:tcPr>
            <w:tcW w:w="5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spacing w:line="340" w:lineRule="exact"/>
              <w:jc w:val="center"/>
              <w:rPr>
                <w:rFonts w:hint="eastAsia" w:ascii="仿宋" w:hAnsi="仿宋" w:eastAsia="仿宋" w:cs="仿宋"/>
                <w:b/>
                <w:bCs/>
                <w:color w:val="000000"/>
                <w:sz w:val="24"/>
              </w:rPr>
            </w:pPr>
            <w:r>
              <w:rPr>
                <w:rFonts w:hint="eastAsia" w:ascii="仿宋" w:hAnsi="仿宋" w:eastAsia="仿宋" w:cs="Times New Roman"/>
                <w:b/>
                <w:szCs w:val="21"/>
              </w:rPr>
              <w:t>备注</w:t>
            </w:r>
          </w:p>
        </w:tc>
      </w:tr>
      <w:tr>
        <w:tblPrEx>
          <w:tblCellMar>
            <w:top w:w="0" w:type="dxa"/>
            <w:left w:w="108" w:type="dxa"/>
            <w:bottom w:w="0" w:type="dxa"/>
            <w:right w:w="108" w:type="dxa"/>
          </w:tblCellMar>
        </w:tblPrEx>
        <w:trPr>
          <w:trHeight w:val="90" w:hRule="atLeast"/>
          <w:jc w:val="center"/>
        </w:trPr>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240" w:lineRule="auto"/>
              <w:jc w:val="both"/>
              <w:textAlignment w:val="center"/>
              <w:rPr>
                <w:rFonts w:hint="eastAsia" w:ascii="仿宋" w:hAnsi="仿宋" w:eastAsia="仿宋" w:cs="仿宋"/>
                <w:color w:val="000000"/>
                <w:kern w:val="0"/>
                <w:sz w:val="24"/>
                <w:lang w:val="en-US" w:eastAsia="zh-CN" w:bidi="ar"/>
              </w:rPr>
            </w:pPr>
          </w:p>
          <w:p>
            <w:pPr>
              <w:widowControl/>
              <w:spacing w:line="24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方舱</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Times New Roman"/>
                <w:sz w:val="24"/>
                <w:lang w:val="en-US" w:eastAsia="zh-CN"/>
              </w:rPr>
              <w:t>3000x3000x2850mm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5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hint="default" w:ascii="仿宋" w:hAnsi="仿宋" w:eastAsia="仿宋" w:cs="仿宋"/>
                <w:color w:val="000000"/>
                <w:sz w:val="24"/>
                <w:lang w:val="en-US"/>
              </w:rPr>
            </w:pPr>
            <w:r>
              <w:rPr>
                <w:rFonts w:hint="eastAsia" w:ascii="仿宋" w:hAnsi="仿宋" w:eastAsia="仿宋" w:cs="Times New Roman"/>
                <w:sz w:val="24"/>
                <w:lang w:val="en-US" w:eastAsia="zh-CN"/>
              </w:rPr>
              <w:t>墙体、顶部：80mm厚镀锌岩棉板，两侧板厚＞1mm，阻燃等级B1级；底板：4mm厚的镀锌花纹板，阻燃等级B1级；方舱规格、骨架、配置及改造要求见备注</w:t>
            </w:r>
          </w:p>
        </w:tc>
      </w:tr>
    </w:tbl>
    <w:p>
      <w:pPr>
        <w:numPr>
          <w:ilvl w:val="0"/>
          <w:numId w:val="0"/>
        </w:numPr>
        <w:spacing w:line="360" w:lineRule="auto"/>
        <w:rPr>
          <w:rFonts w:hint="eastAsia" w:ascii="仿宋" w:hAnsi="仿宋" w:eastAsia="仿宋"/>
          <w:sz w:val="24"/>
        </w:rPr>
      </w:pPr>
      <w:r>
        <w:rPr>
          <w:rFonts w:hint="eastAsia" w:ascii="仿宋" w:hAnsi="仿宋" w:eastAsia="仿宋"/>
          <w:sz w:val="24"/>
        </w:rPr>
        <w:t>本维护项目为“交钥匙项目”，</w:t>
      </w:r>
      <w:r>
        <w:rPr>
          <w:rFonts w:hint="eastAsia" w:ascii="仿宋" w:hAnsi="仿宋" w:eastAsia="仿宋"/>
          <w:sz w:val="24"/>
          <w:lang w:val="en-US" w:eastAsia="zh-CN"/>
        </w:rPr>
        <w:t>切配间改造</w:t>
      </w:r>
      <w:r>
        <w:rPr>
          <w:rFonts w:hint="eastAsia" w:ascii="仿宋" w:hAnsi="仿宋" w:eastAsia="仿宋"/>
          <w:sz w:val="24"/>
        </w:rPr>
        <w:t>要求为：</w:t>
      </w:r>
    </w:p>
    <w:p>
      <w:pPr>
        <w:numPr>
          <w:ilvl w:val="0"/>
          <w:numId w:val="0"/>
        </w:numPr>
        <w:jc w:val="both"/>
        <w:rPr>
          <w:rFonts w:hint="eastAsia" w:ascii="仿宋" w:hAnsi="仿宋" w:eastAsia="仿宋"/>
          <w:kern w:val="2"/>
          <w:sz w:val="24"/>
          <w:szCs w:val="24"/>
        </w:rPr>
      </w:pPr>
      <w:r>
        <w:rPr>
          <w:rFonts w:hint="eastAsia" w:ascii="仿宋" w:hAnsi="仿宋" w:eastAsia="仿宋"/>
          <w:kern w:val="2"/>
          <w:sz w:val="24"/>
          <w:szCs w:val="24"/>
        </w:rPr>
        <w:t>（1）</w:t>
      </w:r>
      <w:r>
        <w:rPr>
          <w:rFonts w:hint="eastAsia" w:ascii="仿宋" w:hAnsi="仿宋" w:eastAsia="仿宋" w:cs="Times New Roman"/>
          <w:kern w:val="2"/>
          <w:sz w:val="24"/>
          <w:szCs w:val="24"/>
          <w:lang w:val="en-US" w:eastAsia="zh-CN"/>
        </w:rPr>
        <w:t>因场地限制，施工现场为不可动火区域，入口处狭窄，大型起吊设备无法进入。所有产品工厂预制。乙方需提前勘察现场，确定产品进入方案。</w:t>
      </w:r>
    </w:p>
    <w:p>
      <w:pPr>
        <w:numPr>
          <w:ilvl w:val="0"/>
          <w:numId w:val="0"/>
        </w:numPr>
        <w:jc w:val="both"/>
        <w:rPr>
          <w:rFonts w:hint="eastAsia" w:ascii="仿宋" w:hAnsi="仿宋" w:eastAsia="仿宋"/>
          <w:sz w:val="24"/>
        </w:rPr>
      </w:pPr>
      <w:r>
        <w:rPr>
          <w:rFonts w:hint="eastAsia" w:ascii="仿宋" w:hAnsi="仿宋" w:eastAsia="仿宋"/>
          <w:sz w:val="24"/>
        </w:rPr>
        <w:t>（2）</w:t>
      </w:r>
      <w:r>
        <w:rPr>
          <w:rFonts w:hint="eastAsia" w:ascii="仿宋" w:hAnsi="仿宋" w:eastAsia="仿宋" w:cs="Times New Roman"/>
          <w:b/>
          <w:bCs/>
          <w:sz w:val="24"/>
          <w:lang w:val="en-US" w:eastAsia="zh-CN"/>
        </w:rPr>
        <w:t>产品规格：</w:t>
      </w:r>
      <w:r>
        <w:rPr>
          <w:rFonts w:hint="eastAsia" w:ascii="仿宋" w:hAnsi="仿宋" w:eastAsia="仿宋" w:cs="Times New Roman"/>
          <w:sz w:val="24"/>
          <w:lang w:val="en-US" w:eastAsia="zh-CN"/>
        </w:rPr>
        <w:t>3000x3000x2850mm（长宽高）两个，阻燃等级B1级，现场螺栓连接，组装成6000x3000x2850mm活动房。活动房南侧与主体结构固定连接，南侧预留孔洞与主体门洞规格大小一至，顶部、门框接缝处做防渗漏处理。北侧设有100x100mm窗户两扇，加装防盗栏杆，加装纱窗，品牌采用3c认证品牌。西侧设有宽1200mm钢塑门（有大视窗），3c认证品牌。</w:t>
      </w:r>
    </w:p>
    <w:p>
      <w:pPr>
        <w:numPr>
          <w:ilvl w:val="0"/>
          <w:numId w:val="0"/>
        </w:numPr>
        <w:jc w:val="both"/>
        <w:rPr>
          <w:rFonts w:hint="eastAsia" w:ascii="仿宋" w:hAnsi="仿宋" w:eastAsia="仿宋" w:cs="Times New Roman"/>
          <w:sz w:val="24"/>
          <w:lang w:val="en-US" w:eastAsia="zh-CN"/>
        </w:rPr>
      </w:pPr>
      <w:r>
        <w:rPr>
          <w:rFonts w:hint="eastAsia" w:ascii="仿宋" w:hAnsi="仿宋" w:eastAsia="仿宋"/>
          <w:sz w:val="24"/>
        </w:rPr>
        <w:t>（3）</w:t>
      </w:r>
      <w:r>
        <w:rPr>
          <w:rFonts w:hint="eastAsia" w:ascii="仿宋" w:hAnsi="仿宋" w:eastAsia="仿宋" w:cs="Times New Roman"/>
          <w:b/>
          <w:bCs/>
          <w:sz w:val="24"/>
          <w:lang w:val="en-US" w:eastAsia="zh-CN"/>
        </w:rPr>
        <w:t>方舱骨架：</w:t>
      </w:r>
      <w:r>
        <w:rPr>
          <w:rFonts w:hint="eastAsia" w:ascii="仿宋" w:hAnsi="仿宋" w:eastAsia="仿宋" w:cs="Times New Roman"/>
          <w:sz w:val="24"/>
          <w:lang w:val="en-US" w:eastAsia="zh-CN"/>
        </w:rPr>
        <w:t>框架骨架、立面加强柱、底部加强柱子采用80x80mm镀锌方管（国标），厚度为3mm，顶部加强柱为40x80mm的镀锌方管，厚度为3mm。墙体、顶部采用厚度80mm的镀锌岩棉板，两侧板厚度大于1mm。顶部做结构找坡处理，所有接缝做防渗处理。</w:t>
      </w:r>
    </w:p>
    <w:p>
      <w:pPr>
        <w:pStyle w:val="3"/>
        <w:spacing w:line="280" w:lineRule="exac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w:t>
      </w:r>
      <w:r>
        <w:rPr>
          <w:rFonts w:hint="eastAsia" w:ascii="仿宋" w:hAnsi="仿宋" w:eastAsia="仿宋" w:cs="Times New Roman"/>
          <w:b/>
          <w:bCs/>
          <w:kern w:val="2"/>
          <w:sz w:val="24"/>
          <w:szCs w:val="24"/>
          <w:lang w:val="en-US" w:eastAsia="zh-CN" w:bidi="ar-SA"/>
        </w:rPr>
        <w:t>方舱配置：</w:t>
      </w:r>
      <w:r>
        <w:rPr>
          <w:rFonts w:hint="eastAsia" w:ascii="仿宋" w:hAnsi="仿宋" w:eastAsia="仿宋" w:cs="Times New Roman"/>
          <w:kern w:val="2"/>
          <w:sz w:val="24"/>
          <w:szCs w:val="24"/>
          <w:lang w:val="en-US" w:eastAsia="zh-CN" w:bidi="ar-SA"/>
        </w:rPr>
        <w:t>底面离地面140mm，与主体地面同一平面。底板采用4mm厚的镀锌花纹钢板，四周、主体连接处做防渗处理。方舱东北角预留水、电接入洞口，方舱内部分别设有总电源箱、冷热水阀门、电源插座5个，照明开关1个，吸顶灯两盏，参照二楼切配间分别设置两人位、三人位不锈钢浸泡池（含混合龙头，上下水安装预留）。方舱西北角预留100mm下水管口。</w:t>
      </w:r>
    </w:p>
    <w:p>
      <w:pPr>
        <w:numPr>
          <w:ilvl w:val="0"/>
          <w:numId w:val="0"/>
        </w:numPr>
        <w:jc w:val="both"/>
        <w:rPr>
          <w:rFonts w:hint="eastAsia" w:ascii="仿宋" w:hAnsi="仿宋" w:eastAsia="仿宋" w:cs="Times New Roman"/>
          <w:kern w:val="2"/>
          <w:sz w:val="24"/>
          <w:szCs w:val="24"/>
          <w:lang w:val="en-US" w:eastAsia="zh-CN" w:bidi="ar-SA"/>
        </w:rPr>
      </w:pPr>
      <w:r>
        <w:rPr>
          <w:rFonts w:hint="eastAsia" w:ascii="仿宋" w:hAnsi="仿宋" w:eastAsia="仿宋"/>
          <w:sz w:val="24"/>
        </w:rPr>
        <w:t>（</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方舱</w:t>
      </w:r>
      <w:r>
        <w:rPr>
          <w:rFonts w:hint="eastAsia" w:ascii="仿宋" w:hAnsi="仿宋" w:eastAsia="仿宋" w:cs="Times New Roman"/>
          <w:kern w:val="2"/>
          <w:sz w:val="24"/>
          <w:szCs w:val="24"/>
          <w:lang w:val="en-US" w:eastAsia="zh-CN" w:bidi="ar-SA"/>
        </w:rPr>
        <w:t>整体做漆面处理，与周围主体颜色相近。</w:t>
      </w:r>
    </w:p>
    <w:p>
      <w:pPr>
        <w:pStyle w:val="2"/>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（6）方舱内电源、上、下水与原建筑对接做好预留。</w:t>
      </w:r>
    </w:p>
    <w:p>
      <w:pPr>
        <w:pStyle w:val="3"/>
        <w:rPr>
          <w:rFonts w:hint="eastAsia" w:ascii="仿宋" w:hAnsi="仿宋" w:eastAsia="仿宋"/>
          <w:sz w:val="24"/>
          <w:lang w:val="en-US" w:eastAsia="zh-CN"/>
        </w:rPr>
      </w:pPr>
      <w:r>
        <w:rPr>
          <w:rFonts w:hint="eastAsia" w:ascii="仿宋" w:hAnsi="仿宋" w:eastAsia="仿宋" w:cs="Times New Roman"/>
          <w:kern w:val="2"/>
          <w:sz w:val="24"/>
          <w:szCs w:val="24"/>
          <w:lang w:val="en-US" w:eastAsia="zh-CN" w:bidi="ar-SA"/>
        </w:rPr>
        <w:t>2.2</w:t>
      </w:r>
      <w:r>
        <w:rPr>
          <w:rFonts w:hint="eastAsia" w:ascii="仿宋" w:hAnsi="仿宋" w:eastAsia="仿宋"/>
          <w:sz w:val="24"/>
          <w:lang w:val="en-US" w:eastAsia="zh-CN"/>
        </w:rPr>
        <w:t>品牌要求：</w:t>
      </w:r>
    </w:p>
    <w:tbl>
      <w:tblPr>
        <w:tblStyle w:val="17"/>
        <w:tblW w:w="6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35"/>
        <w:gridCol w:w="519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jc w:val="center"/>
              <w:rPr>
                <w:rFonts w:hint="eastAsia" w:ascii="仿宋" w:hAnsi="仿宋" w:eastAsia="仿宋" w:cs="宋体"/>
                <w:b/>
                <w:szCs w:val="21"/>
              </w:rPr>
            </w:pPr>
            <w:r>
              <w:rPr>
                <w:rFonts w:hint="eastAsia" w:ascii="仿宋" w:hAnsi="仿宋" w:eastAsia="仿宋" w:cs="宋体"/>
                <w:b/>
                <w:sz w:val="28"/>
                <w:szCs w:val="28"/>
              </w:rPr>
              <w:t>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jc w:val="center"/>
              <w:rPr>
                <w:rFonts w:hint="eastAsia" w:ascii="仿宋" w:hAnsi="仿宋" w:eastAsia="仿宋" w:cs="宋体"/>
                <w:b/>
                <w:szCs w:val="21"/>
              </w:rPr>
            </w:pPr>
            <w:r>
              <w:rPr>
                <w:rFonts w:hint="eastAsia" w:ascii="仿宋" w:hAnsi="仿宋" w:eastAsia="仿宋" w:cs="宋体"/>
                <w:b/>
                <w:szCs w:val="21"/>
              </w:rPr>
              <w:t>序号</w:t>
            </w:r>
          </w:p>
        </w:tc>
        <w:tc>
          <w:tcPr>
            <w:tcW w:w="1528" w:type="pct"/>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rFonts w:hint="eastAsia" w:ascii="仿宋" w:hAnsi="仿宋" w:eastAsia="仿宋" w:cs="宋体"/>
                <w:b/>
                <w:szCs w:val="21"/>
              </w:rPr>
            </w:pPr>
            <w:r>
              <w:rPr>
                <w:rFonts w:hint="eastAsia" w:ascii="仿宋" w:hAnsi="仿宋" w:eastAsia="仿宋" w:cs="宋体"/>
                <w:b/>
                <w:szCs w:val="21"/>
              </w:rPr>
              <w:t>主要材料名称</w:t>
            </w:r>
          </w:p>
        </w:tc>
        <w:tc>
          <w:tcPr>
            <w:tcW w:w="2456" w:type="pct"/>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rFonts w:hint="eastAsia" w:ascii="仿宋" w:hAnsi="仿宋" w:eastAsia="仿宋" w:cs="宋体"/>
                <w:b/>
                <w:szCs w:val="21"/>
              </w:rPr>
            </w:pPr>
            <w:r>
              <w:rPr>
                <w:rFonts w:hint="eastAsia" w:ascii="仿宋" w:hAnsi="仿宋" w:eastAsia="仿宋" w:cs="宋体"/>
                <w:b/>
                <w:szCs w:val="21"/>
              </w:rPr>
              <w:t>品牌</w:t>
            </w:r>
          </w:p>
        </w:tc>
        <w:tc>
          <w:tcPr>
            <w:tcW w:w="670" w:type="pct"/>
            <w:tcBorders>
              <w:top w:val="single" w:color="auto" w:sz="4" w:space="0"/>
              <w:left w:val="nil"/>
              <w:bottom w:val="single" w:color="auto" w:sz="4" w:space="0"/>
              <w:right w:val="single" w:color="auto" w:sz="4" w:space="0"/>
            </w:tcBorders>
            <w:noWrap w:val="0"/>
            <w:vAlign w:val="center"/>
          </w:tcPr>
          <w:p>
            <w:pPr>
              <w:snapToGrid w:val="0"/>
              <w:spacing w:line="340" w:lineRule="exact"/>
              <w:jc w:val="center"/>
              <w:rPr>
                <w:rFonts w:hint="eastAsia" w:ascii="仿宋" w:hAnsi="仿宋" w:eastAsia="仿宋" w:cs="宋体"/>
                <w:b/>
                <w:szCs w:val="21"/>
              </w:rPr>
            </w:pPr>
            <w:r>
              <w:rPr>
                <w:rFonts w:hint="eastAsia" w:ascii="仿宋" w:hAnsi="仿宋" w:eastAsia="仿宋"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线管、线盒</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公元、鸿雁、松下</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灯具</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雷士、松下、飞利浦</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线缆</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江扬、新远程、宝胜</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开关、插座</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松本B6系列、松下佳典系列、鸿雁雅典系列</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给、排水管</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中财、海螺、白蝶</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7</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橡塑保温棉</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赢胜、福乐斯、欧文斯</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配电箱</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西门子、施耐德、帝一</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断路器、接触器、隔离开关</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西门子、ABB、施耐德</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龙头</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箭牌、TOTO、科勒</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不锈钢地漏</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箭牌、潜水艇、TOTO</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上下水金属软管</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箭牌、埃美柯、外岗</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14</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≤DN50阀门</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埃美柯、杰克龙、上海冠龙</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15</w:t>
            </w:r>
          </w:p>
        </w:tc>
        <w:tc>
          <w:tcPr>
            <w:tcW w:w="1528"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&gt;DN50阀门</w:t>
            </w:r>
          </w:p>
        </w:tc>
        <w:tc>
          <w:tcPr>
            <w:tcW w:w="2456"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上海冠龙、富特、北泽（注：弹性底座）</w:t>
            </w:r>
          </w:p>
        </w:tc>
        <w:tc>
          <w:tcPr>
            <w:tcW w:w="670" w:type="pct"/>
            <w:tcBorders>
              <w:top w:val="single" w:color="auto" w:sz="4" w:space="0"/>
              <w:left w:val="nil"/>
              <w:bottom w:val="single" w:color="auto" w:sz="4" w:space="0"/>
              <w:right w:val="single" w:color="auto" w:sz="4" w:space="0"/>
            </w:tcBorders>
            <w:noWrap w:val="0"/>
            <w:vAlign w:val="center"/>
          </w:tcPr>
          <w:p>
            <w:pPr>
              <w:widowControl/>
              <w:spacing w:line="360" w:lineRule="auto"/>
              <w:ind w:firstLine="240" w:firstLineChars="100"/>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铜阀芯</w:t>
            </w:r>
          </w:p>
        </w:tc>
      </w:tr>
    </w:tbl>
    <w:p>
      <w:pPr>
        <w:pStyle w:val="3"/>
        <w:numPr>
          <w:ilvl w:val="0"/>
          <w:numId w:val="0"/>
        </w:numPr>
        <w:rPr>
          <w:rFonts w:hint="eastAsia" w:ascii="仿宋" w:hAnsi="仿宋" w:eastAsia="仿宋"/>
          <w:sz w:val="24"/>
          <w:lang w:val="en-US" w:eastAsia="zh-CN"/>
        </w:rPr>
      </w:pPr>
      <w:r>
        <w:rPr>
          <w:rFonts w:hint="eastAsia" w:ascii="仿宋" w:hAnsi="仿宋" w:eastAsia="仿宋"/>
          <w:sz w:val="24"/>
          <w:lang w:val="en-US" w:eastAsia="zh-CN"/>
        </w:rPr>
        <w:t>2.3平面设计示意图：</w:t>
      </w:r>
    </w:p>
    <w:p>
      <w:pPr>
        <w:pStyle w:val="15"/>
        <w:shd w:val="clear" w:color="auto" w:fill="FFFFFF"/>
        <w:spacing w:before="0" w:beforeAutospacing="0" w:after="0" w:afterAutospacing="0"/>
      </w:pPr>
      <w:r>
        <w:drawing>
          <wp:inline distT="0" distB="0" distL="114300" distR="114300">
            <wp:extent cx="5752465" cy="2887980"/>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52465" cy="2887980"/>
                    </a:xfrm>
                    <a:prstGeom prst="rect">
                      <a:avLst/>
                    </a:prstGeom>
                    <a:noFill/>
                    <a:ln>
                      <a:noFill/>
                    </a:ln>
                  </pic:spPr>
                </pic:pic>
              </a:graphicData>
            </a:graphic>
          </wp:inline>
        </w:drawing>
      </w:r>
    </w:p>
    <w:p>
      <w:pPr>
        <w:pStyle w:val="15"/>
        <w:shd w:val="clear" w:color="auto" w:fill="FFFFFF"/>
        <w:spacing w:before="0" w:beforeAutospacing="0" w:after="0" w:afterAutospacing="0"/>
        <w:rPr>
          <w:rFonts w:hint="eastAsia"/>
          <w:lang w:val="en-US" w:eastAsia="zh-CN"/>
        </w:rPr>
      </w:pPr>
      <w:r>
        <w:rPr>
          <w:rFonts w:hint="eastAsia"/>
          <w:lang w:val="en-US" w:eastAsia="zh-CN"/>
        </w:rPr>
        <w:t>2.4工期要求：10日历天</w:t>
      </w:r>
    </w:p>
    <w:p>
      <w:pPr>
        <w:pStyle w:val="15"/>
        <w:shd w:val="clear" w:color="auto" w:fill="FFFFFF"/>
        <w:spacing w:before="0" w:beforeAutospacing="0" w:after="0" w:afterAutospacing="0"/>
        <w:rPr>
          <w:rFonts w:hint="default"/>
          <w:lang w:val="en-US" w:eastAsia="zh-CN"/>
        </w:rPr>
      </w:pPr>
      <w:r>
        <w:rPr>
          <w:rFonts w:hint="eastAsia"/>
          <w:lang w:val="en-US" w:eastAsia="zh-CN"/>
        </w:rPr>
        <w:t>2.5</w:t>
      </w:r>
      <w:r>
        <w:rPr>
          <w:rFonts w:hint="default"/>
          <w:lang w:val="en-US" w:eastAsia="zh-CN"/>
        </w:rPr>
        <w:t>现场勘察</w:t>
      </w:r>
    </w:p>
    <w:p>
      <w:pPr>
        <w:pStyle w:val="15"/>
        <w:shd w:val="clear" w:color="auto" w:fill="FFFFFF"/>
        <w:spacing w:before="0" w:beforeAutospacing="0" w:after="0" w:afterAutospacing="0"/>
        <w:rPr>
          <w:rFonts w:hint="default"/>
          <w:lang w:val="en-US" w:eastAsia="zh-CN"/>
        </w:rPr>
      </w:pPr>
      <w:r>
        <w:rPr>
          <w:rFonts w:hint="eastAsia"/>
          <w:lang w:val="en-US" w:eastAsia="zh-CN"/>
        </w:rPr>
        <w:t>勘察</w:t>
      </w:r>
      <w:r>
        <w:rPr>
          <w:rFonts w:hint="default"/>
          <w:lang w:val="en-US" w:eastAsia="zh-CN"/>
        </w:rPr>
        <w:t>地点：扬州大学附属医院东区医院一楼病员餐厅</w:t>
      </w:r>
    </w:p>
    <w:p>
      <w:pPr>
        <w:pStyle w:val="15"/>
        <w:shd w:val="clear" w:color="auto" w:fill="FFFFFF"/>
        <w:spacing w:before="0" w:beforeAutospacing="0" w:after="0" w:afterAutospacing="0"/>
        <w:rPr>
          <w:rFonts w:hint="default"/>
          <w:lang w:val="en-US" w:eastAsia="zh-CN"/>
        </w:rPr>
      </w:pPr>
      <w:r>
        <w:rPr>
          <w:rFonts w:hint="default"/>
          <w:lang w:val="en-US" w:eastAsia="zh-CN"/>
        </w:rPr>
        <w:t>联系人：李欢  电话：15371331264</w:t>
      </w:r>
    </w:p>
    <w:p>
      <w:pPr>
        <w:pStyle w:val="15"/>
        <w:shd w:val="clear" w:color="auto" w:fill="FFFFFF"/>
        <w:spacing w:before="0" w:beforeAutospacing="0" w:after="0" w:afterAutospacing="0"/>
        <w:rPr>
          <w:rFonts w:hint="eastAsia"/>
          <w:lang w:val="en-US" w:eastAsia="zh-CN"/>
        </w:rPr>
      </w:pPr>
      <w:r>
        <w:rPr>
          <w:rFonts w:hint="eastAsia"/>
          <w:lang w:val="en-US" w:eastAsia="zh-CN"/>
        </w:rPr>
        <w:t>2.6质保期：三年。</w:t>
      </w:r>
    </w:p>
    <w:p>
      <w:pPr>
        <w:pStyle w:val="15"/>
        <w:shd w:val="clear" w:color="auto" w:fill="FFFFFF"/>
        <w:spacing w:before="0" w:beforeAutospacing="0" w:after="0" w:afterAutospacing="0"/>
        <w:rPr>
          <w:rFonts w:hint="eastAsia"/>
          <w:lang w:val="en-US" w:eastAsia="zh-CN"/>
        </w:rPr>
      </w:pPr>
      <w:r>
        <w:rPr>
          <w:rFonts w:hint="eastAsia"/>
          <w:lang w:val="en-US" w:eastAsia="zh-CN"/>
        </w:rPr>
        <w:t>2.7改造区域位置照片</w:t>
      </w:r>
    </w:p>
    <w:p>
      <w:pPr>
        <w:pStyle w:val="3"/>
        <w:rPr>
          <w:rFonts w:hint="default"/>
          <w:lang w:val="en-US" w:eastAsia="zh-CN"/>
        </w:rPr>
      </w:pPr>
      <w:r>
        <w:rPr>
          <w:rFonts w:hint="eastAsia"/>
          <w:lang w:val="en-US" w:eastAsia="zh-CN"/>
        </w:rPr>
        <w:t xml:space="preserve"> </w:t>
      </w:r>
      <w:r>
        <w:rPr>
          <w:rFonts w:hint="default" w:eastAsia="楷体_GB2312"/>
          <w:lang w:val="en-US" w:eastAsia="zh-CN"/>
        </w:rPr>
        <w:drawing>
          <wp:inline distT="0" distB="0" distL="114300" distR="114300">
            <wp:extent cx="2393950" cy="2327275"/>
            <wp:effectExtent l="0" t="0" r="6350" b="15875"/>
            <wp:docPr id="4" name="图片 3" descr="5408ad8451e7f77df4fe52a6359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5408ad8451e7f77df4fe52a63599060"/>
                    <pic:cNvPicPr>
                      <a:picLocks noChangeAspect="1"/>
                    </pic:cNvPicPr>
                  </pic:nvPicPr>
                  <pic:blipFill>
                    <a:blip r:embed="rId7"/>
                    <a:stretch>
                      <a:fillRect/>
                    </a:stretch>
                  </pic:blipFill>
                  <pic:spPr>
                    <a:xfrm>
                      <a:off x="0" y="0"/>
                      <a:ext cx="2393950" cy="2327275"/>
                    </a:xfrm>
                    <a:prstGeom prst="rect">
                      <a:avLst/>
                    </a:prstGeom>
                    <a:noFill/>
                    <a:ln>
                      <a:noFill/>
                    </a:ln>
                  </pic:spPr>
                </pic:pic>
              </a:graphicData>
            </a:graphic>
          </wp:inline>
        </w:drawing>
      </w:r>
      <w:r>
        <w:rPr>
          <w:rFonts w:hint="eastAsia" w:eastAsia="楷体_GB2312"/>
          <w:lang w:eastAsia="zh-CN"/>
        </w:rPr>
        <w:drawing>
          <wp:inline distT="0" distB="0" distL="114300" distR="114300">
            <wp:extent cx="2368550" cy="2326640"/>
            <wp:effectExtent l="0" t="0" r="12700" b="16510"/>
            <wp:docPr id="2" name="图片 2" descr="d4d21af3aaf7a8cfe3bfd02a1e92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d21af3aaf7a8cfe3bfd02a1e920b4"/>
                    <pic:cNvPicPr>
                      <a:picLocks noChangeAspect="1"/>
                    </pic:cNvPicPr>
                  </pic:nvPicPr>
                  <pic:blipFill>
                    <a:blip r:embed="rId8"/>
                    <a:stretch>
                      <a:fillRect/>
                    </a:stretch>
                  </pic:blipFill>
                  <pic:spPr>
                    <a:xfrm>
                      <a:off x="0" y="0"/>
                      <a:ext cx="2368550" cy="2326640"/>
                    </a:xfrm>
                    <a:prstGeom prst="rect">
                      <a:avLst/>
                    </a:prstGeom>
                    <a:noFill/>
                    <a:ln>
                      <a:noFill/>
                    </a:ln>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东区方舱切配间采购项目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东区方舱切配间采购项目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东区方舱切配间采购项目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东区方舱切配间采购项目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叁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30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72469D5"/>
    <w:rsid w:val="17407202"/>
    <w:rsid w:val="186D5CBC"/>
    <w:rsid w:val="19826916"/>
    <w:rsid w:val="1A965BFC"/>
    <w:rsid w:val="1B0E6D6D"/>
    <w:rsid w:val="1C94789B"/>
    <w:rsid w:val="1D762024"/>
    <w:rsid w:val="1E525F06"/>
    <w:rsid w:val="1EAC0AAC"/>
    <w:rsid w:val="1F104C9D"/>
    <w:rsid w:val="1FF236E2"/>
    <w:rsid w:val="205648A9"/>
    <w:rsid w:val="21C93434"/>
    <w:rsid w:val="22210F55"/>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5229</Words>
  <Characters>5717</Characters>
  <Lines>70</Lines>
  <Paragraphs>19</Paragraphs>
  <TotalTime>29</TotalTime>
  <ScaleCrop>false</ScaleCrop>
  <LinksUpToDate>false</LinksUpToDate>
  <CharactersWithSpaces>6371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2022-11-28T05:33:22Z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