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YDFYXJ-20230102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门诊部东西区候诊椅采购项目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2</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30</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门诊部东西区候诊椅采购项目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YDFYXJ-20230102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门诊部东西区候诊椅采购项目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4.97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w:t>
      </w:r>
      <w:r>
        <w:rPr>
          <w:rFonts w:hint="eastAsia" w:ascii="宋体" w:hAnsi="宋体"/>
          <w:b/>
          <w:sz w:val="24"/>
          <w:highlight w:val="none"/>
        </w:rPr>
        <w:t>月</w:t>
      </w:r>
      <w:r>
        <w:rPr>
          <w:rFonts w:hint="eastAsia" w:ascii="宋体" w:hAnsi="宋体"/>
          <w:b/>
          <w:sz w:val="24"/>
          <w:highlight w:val="none"/>
          <w:lang w:val="en-US" w:eastAsia="zh-CN"/>
        </w:rPr>
        <w:t>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门诊部东西区候诊椅采购项目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门诊部东西区候诊椅采购项目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w:t>
      </w:r>
      <w:r>
        <w:rPr>
          <w:rFonts w:hint="eastAsia" w:cs="微软雅黑"/>
          <w:b/>
          <w:highlight w:val="none"/>
        </w:rPr>
        <w:t>月</w:t>
      </w:r>
      <w:r>
        <w:rPr>
          <w:rFonts w:hint="eastAsia" w:cs="微软雅黑"/>
          <w:b/>
          <w:highlight w:val="none"/>
          <w:lang w:val="en-US" w:eastAsia="zh-CN"/>
        </w:rPr>
        <w:t>5</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1</w:t>
      </w:r>
      <w:r>
        <w:rPr>
          <w:rStyle w:val="33"/>
          <w:rFonts w:ascii="宋体" w:hAnsi="宋体"/>
          <w:b/>
          <w:sz w:val="24"/>
          <w:highlight w:val="none"/>
        </w:rPr>
        <w:t>月</w:t>
      </w:r>
      <w:r>
        <w:rPr>
          <w:rStyle w:val="33"/>
          <w:rFonts w:hint="eastAsia" w:ascii="宋体" w:hAnsi="宋体"/>
          <w:b/>
          <w:sz w:val="24"/>
          <w:highlight w:val="none"/>
          <w:lang w:val="en-US" w:eastAsia="zh-CN"/>
        </w:rPr>
        <w:t>5</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门诊部东西区候诊椅采购项目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YDFYXJ-20230102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4.97</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18"/>
        <w:tblW w:w="7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2291"/>
        <w:gridCol w:w="273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37" w:type="dxa"/>
            <w:vAlign w:val="center"/>
          </w:tcPr>
          <w:p>
            <w:pPr>
              <w:jc w:val="center"/>
              <w:rPr>
                <w:rFonts w:hint="default" w:ascii="微软雅黑" w:hAnsi="微软雅黑" w:eastAsia="宋体"/>
                <w:b/>
                <w:color w:val="000000"/>
                <w:sz w:val="24"/>
                <w:szCs w:val="24"/>
                <w:vertAlign w:val="baseline"/>
                <w:lang w:val="en-US" w:eastAsia="zh-CN"/>
              </w:rPr>
            </w:pPr>
            <w:r>
              <w:rPr>
                <w:rFonts w:hint="eastAsia" w:ascii="微软雅黑" w:hAnsi="微软雅黑"/>
                <w:b/>
                <w:color w:val="000000"/>
                <w:sz w:val="24"/>
                <w:szCs w:val="24"/>
                <w:vertAlign w:val="baseline"/>
                <w:lang w:val="en-US" w:eastAsia="zh-CN"/>
              </w:rPr>
              <w:t>数量</w:t>
            </w:r>
          </w:p>
        </w:tc>
        <w:tc>
          <w:tcPr>
            <w:tcW w:w="2291" w:type="dxa"/>
            <w:vAlign w:val="center"/>
          </w:tcPr>
          <w:p>
            <w:pPr>
              <w:jc w:val="center"/>
              <w:rPr>
                <w:rFonts w:hint="default" w:ascii="微软雅黑" w:hAnsi="微软雅黑" w:eastAsia="宋体"/>
                <w:b/>
                <w:color w:val="000000"/>
                <w:sz w:val="24"/>
                <w:szCs w:val="24"/>
                <w:vertAlign w:val="baseline"/>
                <w:lang w:val="en-US" w:eastAsia="zh-CN"/>
              </w:rPr>
            </w:pPr>
            <w:r>
              <w:rPr>
                <w:rFonts w:hint="eastAsia" w:ascii="微软雅黑" w:hAnsi="微软雅黑" w:eastAsia="宋体"/>
                <w:b/>
                <w:color w:val="000000"/>
                <w:sz w:val="24"/>
                <w:szCs w:val="24"/>
                <w:vertAlign w:val="baseline"/>
                <w:lang w:val="en-US" w:eastAsia="zh-CN"/>
              </w:rPr>
              <w:t>款式</w:t>
            </w:r>
          </w:p>
        </w:tc>
        <w:tc>
          <w:tcPr>
            <w:tcW w:w="2730" w:type="dxa"/>
            <w:vAlign w:val="center"/>
          </w:tcPr>
          <w:p>
            <w:pPr>
              <w:jc w:val="center"/>
              <w:rPr>
                <w:rFonts w:hint="default" w:ascii="微软雅黑" w:hAnsi="微软雅黑" w:eastAsia="宋体"/>
                <w:b/>
                <w:color w:val="000000"/>
                <w:sz w:val="24"/>
                <w:szCs w:val="24"/>
                <w:vertAlign w:val="baseline"/>
                <w:lang w:val="en-US" w:eastAsia="zh-CN"/>
              </w:rPr>
            </w:pPr>
            <w:r>
              <w:rPr>
                <w:rFonts w:hint="eastAsia" w:ascii="微软雅黑" w:hAnsi="微软雅黑" w:eastAsia="宋体"/>
                <w:b/>
                <w:color w:val="000000"/>
                <w:sz w:val="24"/>
                <w:szCs w:val="24"/>
                <w:vertAlign w:val="baseline"/>
                <w:lang w:val="en-US" w:eastAsia="zh-CN"/>
              </w:rPr>
              <w:t>颜色</w:t>
            </w:r>
          </w:p>
        </w:tc>
        <w:tc>
          <w:tcPr>
            <w:tcW w:w="1352" w:type="dxa"/>
            <w:vAlign w:val="center"/>
          </w:tcPr>
          <w:p>
            <w:pPr>
              <w:jc w:val="center"/>
              <w:rPr>
                <w:rFonts w:hint="default" w:ascii="微软雅黑" w:hAnsi="微软雅黑" w:eastAsia="宋体"/>
                <w:b/>
                <w:color w:val="000000"/>
                <w:sz w:val="24"/>
                <w:szCs w:val="24"/>
                <w:vertAlign w:val="baseline"/>
                <w:lang w:val="en-US" w:eastAsia="zh-CN"/>
              </w:rPr>
            </w:pPr>
            <w:r>
              <w:rPr>
                <w:rFonts w:hint="eastAsia" w:ascii="微软雅黑" w:hAnsi="微软雅黑"/>
                <w:b/>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1337" w:type="dxa"/>
            <w:vAlign w:val="center"/>
          </w:tcPr>
          <w:p>
            <w:pPr>
              <w:jc w:val="center"/>
              <w:rPr>
                <w:rFonts w:hint="default" w:ascii="微软雅黑" w:hAnsi="微软雅黑" w:eastAsia="宋体"/>
                <w:b/>
                <w:color w:val="000000"/>
                <w:sz w:val="24"/>
                <w:szCs w:val="24"/>
                <w:lang w:val="en-US" w:eastAsia="zh-CN"/>
              </w:rPr>
            </w:pPr>
            <w:r>
              <w:rPr>
                <w:rFonts w:hint="eastAsia" w:ascii="微软雅黑" w:hAnsi="微软雅黑"/>
                <w:b w:val="0"/>
                <w:bCs/>
                <w:color w:val="000000"/>
                <w:sz w:val="24"/>
                <w:szCs w:val="24"/>
                <w:lang w:val="en-US" w:eastAsia="zh-CN"/>
              </w:rPr>
              <w:t>35</w:t>
            </w:r>
          </w:p>
        </w:tc>
        <w:tc>
          <w:tcPr>
            <w:tcW w:w="2291" w:type="dxa"/>
            <w:vAlign w:val="center"/>
          </w:tcPr>
          <w:p>
            <w:pPr>
              <w:jc w:val="center"/>
              <w:rPr>
                <w:rFonts w:hint="eastAsia" w:ascii="微软雅黑" w:hAnsi="微软雅黑" w:eastAsia="宋体"/>
                <w:b/>
                <w:color w:val="000000"/>
                <w:sz w:val="24"/>
                <w:szCs w:val="24"/>
                <w:vertAlign w:val="baseline"/>
                <w:lang w:eastAsia="zh-CN"/>
              </w:rPr>
            </w:pPr>
            <w:r>
              <w:rPr>
                <w:rFonts w:hint="eastAsia" w:ascii="微软雅黑" w:hAnsi="微软雅黑" w:eastAsia="宋体"/>
                <w:b/>
                <w:color w:val="000000"/>
                <w:sz w:val="24"/>
                <w:szCs w:val="24"/>
                <w:lang w:eastAsia="zh-CN"/>
              </w:rPr>
              <w:drawing>
                <wp:inline distT="0" distB="0" distL="114300" distR="114300">
                  <wp:extent cx="953135" cy="1294765"/>
                  <wp:effectExtent l="0" t="0" r="18415" b="635"/>
                  <wp:docPr id="1" name="图片 1" descr="6b4d79e852b9ac2a9881b838a7519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b4d79e852b9ac2a9881b838a75195f"/>
                          <pic:cNvPicPr>
                            <a:picLocks noChangeAspect="1"/>
                          </pic:cNvPicPr>
                        </pic:nvPicPr>
                        <pic:blipFill>
                          <a:blip r:embed="rId6"/>
                          <a:srcRect l="7880" t="2322" r="34456" b="7147"/>
                          <a:stretch>
                            <a:fillRect/>
                          </a:stretch>
                        </pic:blipFill>
                        <pic:spPr>
                          <a:xfrm>
                            <a:off x="0" y="0"/>
                            <a:ext cx="953135" cy="1294765"/>
                          </a:xfrm>
                          <a:prstGeom prst="rect">
                            <a:avLst/>
                          </a:prstGeom>
                          <a:noFill/>
                          <a:ln>
                            <a:noFill/>
                          </a:ln>
                        </pic:spPr>
                      </pic:pic>
                    </a:graphicData>
                  </a:graphic>
                </wp:inline>
              </w:drawing>
            </w:r>
          </w:p>
        </w:tc>
        <w:tc>
          <w:tcPr>
            <w:tcW w:w="2730" w:type="dxa"/>
            <w:vAlign w:val="center"/>
          </w:tcPr>
          <w:p>
            <w:pPr>
              <w:jc w:val="center"/>
              <w:rPr>
                <w:rFonts w:hint="eastAsia" w:ascii="微软雅黑" w:hAnsi="微软雅黑" w:eastAsia="宋体"/>
                <w:b/>
                <w:color w:val="000000"/>
                <w:sz w:val="24"/>
                <w:szCs w:val="24"/>
                <w:vertAlign w:val="baseline"/>
                <w:lang w:eastAsia="zh-CN"/>
              </w:rPr>
            </w:pPr>
            <w:r>
              <w:drawing>
                <wp:inline distT="0" distB="0" distL="114300" distR="114300">
                  <wp:extent cx="1221740" cy="1314450"/>
                  <wp:effectExtent l="0" t="0" r="165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221740" cy="1314450"/>
                          </a:xfrm>
                          <a:prstGeom prst="rect">
                            <a:avLst/>
                          </a:prstGeom>
                          <a:noFill/>
                          <a:ln>
                            <a:noFill/>
                          </a:ln>
                        </pic:spPr>
                      </pic:pic>
                    </a:graphicData>
                  </a:graphic>
                </wp:inline>
              </w:drawing>
            </w:r>
          </w:p>
        </w:tc>
        <w:tc>
          <w:tcPr>
            <w:tcW w:w="1352" w:type="dxa"/>
            <w:vAlign w:val="center"/>
          </w:tcPr>
          <w:p>
            <w:pPr>
              <w:jc w:val="center"/>
              <w:rPr>
                <w:rFonts w:hint="default" w:eastAsia="宋体"/>
                <w:lang w:val="en-US" w:eastAsia="zh-CN"/>
              </w:rPr>
            </w:pPr>
            <w:r>
              <w:rPr>
                <w:rFonts w:hint="eastAsia"/>
                <w:lang w:val="en-US" w:eastAsia="zh-CN"/>
              </w:rPr>
              <w:t>最终款式与颜色由门诊部决定</w:t>
            </w:r>
          </w:p>
        </w:tc>
      </w:tr>
    </w:tbl>
    <w:p>
      <w:pPr>
        <w:rPr>
          <w:rFonts w:hint="eastAsia" w:ascii="微软雅黑" w:hAnsi="微软雅黑" w:eastAsia="宋体"/>
          <w:b/>
          <w:color w:val="000000"/>
          <w:sz w:val="24"/>
          <w:szCs w:val="24"/>
          <w:lang w:eastAsia="zh-CN"/>
        </w:rPr>
      </w:pPr>
    </w:p>
    <w:p>
      <w:pPr>
        <w:rPr>
          <w:rFonts w:hint="eastAsia" w:ascii="微软雅黑" w:hAnsi="微软雅黑" w:eastAsia="微软雅黑"/>
          <w:b/>
          <w:sz w:val="24"/>
          <w:szCs w:val="24"/>
        </w:rPr>
      </w:pPr>
      <w:r>
        <w:rPr>
          <w:rFonts w:hint="eastAsia" w:ascii="微软雅黑" w:hAnsi="微软雅黑" w:eastAsia="微软雅黑"/>
          <w:b/>
          <w:color w:val="000000"/>
          <w:sz w:val="24"/>
          <w:szCs w:val="24"/>
          <w:lang w:val="en-US" w:eastAsia="zh-CN"/>
        </w:rPr>
        <w:t>2.1</w:t>
      </w:r>
      <w:r>
        <w:rPr>
          <w:rFonts w:hint="eastAsia" w:ascii="微软雅黑" w:hAnsi="微软雅黑" w:eastAsia="微软雅黑"/>
          <w:b/>
          <w:color w:val="000000"/>
          <w:sz w:val="24"/>
          <w:szCs w:val="24"/>
        </w:rPr>
        <w:t>椅座：</w:t>
      </w:r>
      <w:r>
        <w:rPr>
          <w:rFonts w:hint="eastAsia" w:ascii="微软雅黑" w:hAnsi="微软雅黑" w:eastAsia="微软雅黑"/>
          <w:color w:val="000000"/>
          <w:sz w:val="24"/>
          <w:szCs w:val="24"/>
        </w:rPr>
        <w:t>椅座，椅背表面材质：主要材质为“聚氨基甲酸酯”共聚合物（英文缩写PU），模具内一体成型，椅座宽</w:t>
      </w:r>
      <w:r>
        <w:rPr>
          <w:rFonts w:hint="eastAsia" w:ascii="微软雅黑" w:hAnsi="微软雅黑" w:eastAsia="微软雅黑"/>
          <w:color w:val="000000"/>
          <w:sz w:val="24"/>
          <w:szCs w:val="24"/>
          <w:lang w:val="en-US" w:eastAsia="zh-CN"/>
        </w:rPr>
        <w:t>440</w:t>
      </w:r>
      <w:r>
        <w:rPr>
          <w:rFonts w:hint="eastAsia" w:ascii="微软雅黑" w:hAnsi="微软雅黑" w:eastAsia="微软雅黑"/>
          <w:color w:val="000000"/>
          <w:sz w:val="24"/>
          <w:szCs w:val="24"/>
        </w:rPr>
        <w:t>mm，椅座深</w:t>
      </w:r>
      <w:r>
        <w:rPr>
          <w:rFonts w:hint="eastAsia" w:ascii="微软雅黑" w:hAnsi="微软雅黑" w:eastAsia="微软雅黑"/>
          <w:color w:val="000000"/>
          <w:sz w:val="24"/>
          <w:szCs w:val="24"/>
          <w:lang w:val="en-US" w:eastAsia="zh-CN"/>
        </w:rPr>
        <w:t>435</w:t>
      </w:r>
      <w:r>
        <w:rPr>
          <w:rFonts w:hint="eastAsia" w:ascii="微软雅黑" w:hAnsi="微软雅黑" w:eastAsia="微软雅黑"/>
          <w:color w:val="000000"/>
          <w:sz w:val="24"/>
          <w:szCs w:val="24"/>
        </w:rPr>
        <w:t>mm，产品具有耐用坚固，有良好的耐油性，耐老化，耐霉菌，耐磨性，环保无毒等性能优点。椅座内层材质：采用</w:t>
      </w:r>
      <w:r>
        <w:rPr>
          <w:rFonts w:hint="eastAsia" w:ascii="微软雅黑" w:hAnsi="微软雅黑" w:eastAsia="微软雅黑" w:cs="宋体"/>
          <w:color w:val="000000"/>
          <w:sz w:val="24"/>
          <w:szCs w:val="24"/>
        </w:rPr>
        <w:t>优质</w:t>
      </w:r>
      <w:r>
        <w:rPr>
          <w:rFonts w:hint="eastAsia" w:ascii="微软雅黑" w:hAnsi="微软雅黑" w:eastAsia="微软雅黑"/>
          <w:color w:val="000000"/>
          <w:sz w:val="24"/>
          <w:szCs w:val="24"/>
        </w:rPr>
        <w:t>冷斩钢板</w:t>
      </w:r>
      <w:r>
        <w:rPr>
          <w:rFonts w:hint="eastAsia" w:ascii="微软雅黑" w:hAnsi="微软雅黑" w:eastAsia="微软雅黑"/>
          <w:color w:val="000000"/>
          <w:sz w:val="24"/>
          <w:szCs w:val="24"/>
          <w:lang w:eastAsia="zh-CN"/>
        </w:rPr>
        <w:t>，</w:t>
      </w:r>
      <w:r>
        <w:rPr>
          <w:rFonts w:hint="eastAsia" w:ascii="微软雅黑" w:hAnsi="微软雅黑" w:eastAsia="微软雅黑"/>
          <w:sz w:val="24"/>
          <w:szCs w:val="24"/>
        </w:rPr>
        <w:t>点位使用CO2保护焊进行组合焊接。</w:t>
      </w:r>
    </w:p>
    <w:p>
      <w:pPr>
        <w:rPr>
          <w:rFonts w:hint="eastAsia" w:ascii="微软雅黑" w:hAnsi="微软雅黑" w:eastAsia="微软雅黑"/>
          <w:b/>
          <w:sz w:val="24"/>
          <w:szCs w:val="24"/>
        </w:rPr>
      </w:pPr>
      <w:r>
        <w:rPr>
          <w:rFonts w:hint="eastAsia" w:ascii="微软雅黑" w:hAnsi="微软雅黑" w:eastAsia="微软雅黑"/>
          <w:sz w:val="24"/>
          <w:szCs w:val="24"/>
        </w:rPr>
        <w:t>外部采用</w:t>
      </w:r>
      <w:r>
        <w:rPr>
          <w:rFonts w:ascii="微软雅黑" w:hAnsi="微软雅黑" w:eastAsia="微软雅黑"/>
          <w:sz w:val="24"/>
          <w:szCs w:val="24"/>
        </w:rPr>
        <w:t>100%</w:t>
      </w:r>
      <w:r>
        <w:rPr>
          <w:rFonts w:hint="eastAsia" w:ascii="微软雅黑" w:hAnsi="微软雅黑" w:eastAsia="微软雅黑"/>
          <w:sz w:val="24"/>
          <w:szCs w:val="24"/>
        </w:rPr>
        <w:t>纯高密度聚氨酯（</w:t>
      </w:r>
      <w:r>
        <w:rPr>
          <w:rFonts w:ascii="微软雅黑" w:hAnsi="微软雅黑" w:eastAsia="微软雅黑"/>
          <w:sz w:val="24"/>
          <w:szCs w:val="24"/>
        </w:rPr>
        <w:t>PU)</w:t>
      </w:r>
      <w:r>
        <w:rPr>
          <w:rFonts w:hint="eastAsia" w:ascii="微软雅黑" w:hAnsi="微软雅黑" w:eastAsia="微软雅黑"/>
          <w:sz w:val="24"/>
          <w:szCs w:val="24"/>
        </w:rPr>
        <w:t>全部包裹（即椅座和椅背造型上无外露钢架）模注成型，椅座及椅背内不填充其它物质。椅座应该按照人体维度设计，坐感舒适。</w:t>
      </w:r>
    </w:p>
    <w:p>
      <w:pPr>
        <w:pStyle w:val="36"/>
        <w:numPr>
          <w:ilvl w:val="0"/>
          <w:numId w:val="0"/>
        </w:numPr>
        <w:rPr>
          <w:rFonts w:hint="eastAsia" w:ascii="微软雅黑" w:hAnsi="微软雅黑" w:eastAsia="微软雅黑"/>
        </w:rPr>
      </w:pPr>
      <w:r>
        <w:rPr>
          <w:rFonts w:hint="eastAsia" w:ascii="微软雅黑" w:hAnsi="微软雅黑" w:eastAsia="微软雅黑"/>
          <w:b/>
          <w:lang w:val="en-US" w:eastAsia="zh-CN"/>
        </w:rPr>
        <w:t>2.2</w:t>
      </w:r>
      <w:r>
        <w:rPr>
          <w:rFonts w:hint="eastAsia" w:ascii="微软雅黑" w:hAnsi="微软雅黑" w:eastAsia="微软雅黑"/>
          <w:b/>
        </w:rPr>
        <w:t>扶手：</w:t>
      </w:r>
      <w:r>
        <w:rPr>
          <w:rFonts w:hint="eastAsia" w:ascii="微软雅黑" w:hAnsi="微软雅黑" w:eastAsia="微软雅黑"/>
        </w:rPr>
        <w:t>采用铝合金压铸而成，表面做静电喷粉喷涂处理或高分子纳米</w:t>
      </w:r>
      <w:bookmarkStart w:id="4" w:name="_GoBack"/>
      <w:bookmarkEnd w:id="4"/>
      <w:r>
        <w:rPr>
          <w:rFonts w:hint="eastAsia" w:ascii="微软雅黑" w:hAnsi="微软雅黑" w:eastAsia="微软雅黑"/>
        </w:rPr>
        <w:t>处理。</w:t>
      </w:r>
      <w:r>
        <w:rPr>
          <w:rFonts w:hint="eastAsia" w:ascii="微软雅黑" w:hAnsi="微软雅黑" w:eastAsia="微软雅黑"/>
          <w:color w:val="000000"/>
        </w:rPr>
        <w:t>扶手密封形状</w:t>
      </w:r>
      <w:r>
        <w:rPr>
          <w:rFonts w:hint="eastAsia" w:ascii="微软雅黑" w:hAnsi="微软雅黑" w:eastAsia="微软雅黑"/>
          <w:color w:val="000000"/>
          <w:lang w:eastAsia="zh-CN"/>
        </w:rPr>
        <w:t>，</w:t>
      </w:r>
      <w:r>
        <w:rPr>
          <w:rFonts w:hint="eastAsia" w:ascii="微软雅黑" w:hAnsi="微软雅黑" w:eastAsia="微软雅黑"/>
        </w:rPr>
        <w:t>线条感强</w:t>
      </w:r>
    </w:p>
    <w:p>
      <w:pPr>
        <w:pStyle w:val="36"/>
        <w:numPr>
          <w:ilvl w:val="0"/>
          <w:numId w:val="0"/>
        </w:numPr>
        <w:rPr>
          <w:rFonts w:hint="eastAsia" w:ascii="微软雅黑" w:hAnsi="微软雅黑" w:eastAsia="微软雅黑"/>
          <w:b/>
        </w:rPr>
      </w:pPr>
      <w:r>
        <w:rPr>
          <w:rFonts w:hint="eastAsia" w:ascii="微软雅黑" w:hAnsi="微软雅黑" w:eastAsia="微软雅黑"/>
          <w:b/>
          <w:bCs/>
          <w:color w:val="000000"/>
          <w:lang w:val="en-US" w:eastAsia="zh-CN"/>
        </w:rPr>
        <w:t>2.3脚</w:t>
      </w:r>
      <w:r>
        <w:rPr>
          <w:rFonts w:hint="eastAsia" w:ascii="微软雅黑" w:hAnsi="微软雅黑" w:eastAsia="微软雅黑"/>
          <w:color w:val="000000"/>
          <w:lang w:val="en-US" w:eastAsia="zh-CN"/>
        </w:rPr>
        <w:t>：</w:t>
      </w:r>
      <w:r>
        <w:rPr>
          <w:rFonts w:hint="eastAsia" w:ascii="微软雅黑" w:hAnsi="微软雅黑" w:eastAsia="微软雅黑" w:cs="宋体"/>
          <w:color w:val="000000"/>
          <w:sz w:val="24"/>
          <w:szCs w:val="24"/>
        </w:rPr>
        <w:t>优质</w:t>
      </w:r>
      <w:r>
        <w:rPr>
          <w:rFonts w:hint="eastAsia" w:ascii="微软雅黑" w:hAnsi="微软雅黑" w:eastAsia="微软雅黑"/>
          <w:color w:val="000000"/>
          <w:sz w:val="24"/>
          <w:szCs w:val="24"/>
        </w:rPr>
        <w:t>冷斩钢板</w:t>
      </w:r>
      <w:r>
        <w:rPr>
          <w:rFonts w:hint="eastAsia" w:ascii="微软雅黑" w:hAnsi="微软雅黑" w:eastAsia="微软雅黑"/>
          <w:color w:val="000000"/>
          <w:sz w:val="24"/>
          <w:szCs w:val="24"/>
          <w:lang w:eastAsia="zh-CN"/>
        </w:rPr>
        <w:t>，</w:t>
      </w:r>
      <w:r>
        <w:rPr>
          <w:rFonts w:hint="eastAsia" w:ascii="微软雅黑" w:hAnsi="微软雅黑" w:eastAsia="微软雅黑"/>
          <w:color w:val="000000"/>
        </w:rPr>
        <w:t>调节脚垫为黑色优质橡胶PVC防滑脚垫，</w:t>
      </w:r>
      <w:r>
        <w:rPr>
          <w:rFonts w:hint="eastAsia" w:ascii="微软雅黑" w:hAnsi="微软雅黑" w:eastAsia="微软雅黑"/>
        </w:rPr>
        <w:t>与地面接触无响声，沉稳大方，具有保护地面用途。</w:t>
      </w:r>
    </w:p>
    <w:p>
      <w:pPr>
        <w:rPr>
          <w:rFonts w:hint="eastAsia" w:ascii="微软雅黑" w:hAnsi="微软雅黑" w:eastAsia="微软雅黑"/>
          <w:sz w:val="24"/>
          <w:szCs w:val="24"/>
        </w:rPr>
      </w:pPr>
      <w:r>
        <w:rPr>
          <w:rFonts w:hint="eastAsia" w:ascii="微软雅黑" w:hAnsi="微软雅黑" w:eastAsia="微软雅黑"/>
          <w:b/>
          <w:sz w:val="24"/>
          <w:szCs w:val="24"/>
          <w:lang w:val="en-US" w:eastAsia="zh-CN"/>
        </w:rPr>
        <w:t>2.4</w:t>
      </w:r>
      <w:r>
        <w:rPr>
          <w:rFonts w:hint="eastAsia" w:ascii="微软雅黑" w:hAnsi="微软雅黑" w:eastAsia="微软雅黑"/>
          <w:b/>
          <w:sz w:val="24"/>
          <w:szCs w:val="24"/>
        </w:rPr>
        <w:t>承重横梁：</w:t>
      </w:r>
      <w:r>
        <w:rPr>
          <w:rFonts w:hint="eastAsia" w:ascii="微软雅黑" w:hAnsi="微软雅黑" w:eastAsia="微软雅黑"/>
          <w:sz w:val="24"/>
          <w:szCs w:val="24"/>
        </w:rPr>
        <w:t>采</w:t>
      </w:r>
      <w:r>
        <w:rPr>
          <w:rFonts w:hint="eastAsia" w:ascii="微软雅黑" w:hAnsi="微软雅黑" w:eastAsia="微软雅黑"/>
          <w:color w:val="000000"/>
          <w:sz w:val="24"/>
          <w:szCs w:val="24"/>
        </w:rPr>
        <w:t>用端面直径108mm、平行面95mm六角</w:t>
      </w:r>
      <w:r>
        <w:rPr>
          <w:rFonts w:hint="eastAsia" w:ascii="微软雅黑" w:hAnsi="微软雅黑" w:eastAsia="微软雅黑"/>
          <w:sz w:val="24"/>
          <w:szCs w:val="24"/>
        </w:rPr>
        <w:t>形钢管，结构厚重，表面做静电喷粉喷涂处理或高分子纳米处理，承载力好，美观大方，</w:t>
      </w:r>
      <w:r>
        <w:rPr>
          <w:rFonts w:ascii="微软雅黑" w:hAnsi="微软雅黑" w:eastAsia="微软雅黑" w:cs="宋体"/>
          <w:kern w:val="0"/>
          <w:sz w:val="24"/>
          <w:szCs w:val="24"/>
        </w:rPr>
        <w:t>表面平整光滑，不能有凹凸不平导致容易藏尘藏灰的现像发生</w:t>
      </w:r>
      <w:r>
        <w:rPr>
          <w:rFonts w:hint="eastAsia" w:ascii="微软雅黑" w:hAnsi="微软雅黑" w:eastAsia="微软雅黑"/>
          <w:sz w:val="24"/>
          <w:szCs w:val="24"/>
        </w:rPr>
        <w:t>。</w:t>
      </w:r>
    </w:p>
    <w:p>
      <w:pPr>
        <w:rPr>
          <w:rFonts w:hint="eastAsia" w:ascii="微软雅黑" w:hAnsi="微软雅黑" w:eastAsia="微软雅黑"/>
          <w:sz w:val="24"/>
          <w:szCs w:val="24"/>
        </w:rPr>
      </w:pPr>
      <w:r>
        <w:rPr>
          <w:rFonts w:hint="eastAsia" w:ascii="微软雅黑" w:hAnsi="微软雅黑" w:eastAsia="微软雅黑"/>
          <w:b/>
          <w:bCs/>
          <w:sz w:val="24"/>
          <w:szCs w:val="24"/>
          <w:lang w:val="en-US" w:eastAsia="zh-CN"/>
        </w:rPr>
        <w:t>2.5</w:t>
      </w:r>
      <w:r>
        <w:rPr>
          <w:rFonts w:hint="eastAsia" w:ascii="微软雅黑" w:hAnsi="微软雅黑" w:eastAsia="微软雅黑"/>
          <w:sz w:val="24"/>
          <w:szCs w:val="24"/>
        </w:rPr>
        <w:t>整套安全性能好，结构稳定，五金部分皆由高品质部件组成，外皮和内芯层均由高密度聚氨酯PU材料通过模具一次发泡成型，具有良好的坐感，有良好的减震作用，不易使人（尤其是老人孕妇小孩）受伤。分子结构紧密，耐用耐磨，防水防菌易清洁。</w:t>
      </w:r>
    </w:p>
    <w:p>
      <w:pPr>
        <w:pStyle w:val="2"/>
        <w:rPr>
          <w:rFonts w:hint="default"/>
          <w:lang w:val="en-US" w:eastAsia="zh-CN"/>
        </w:rPr>
      </w:pPr>
      <w:r>
        <w:rPr>
          <w:rFonts w:hint="eastAsia" w:ascii="微软雅黑" w:hAnsi="微软雅黑" w:eastAsia="微软雅黑"/>
          <w:b/>
          <w:bCs/>
          <w:sz w:val="24"/>
          <w:szCs w:val="24"/>
          <w:lang w:val="en-US" w:eastAsia="zh-CN"/>
        </w:rPr>
        <w:t>2.6</w:t>
      </w:r>
      <w:r>
        <w:rPr>
          <w:rFonts w:hint="eastAsia" w:ascii="微软雅黑" w:hAnsi="微软雅黑" w:eastAsia="微软雅黑"/>
          <w:sz w:val="24"/>
          <w:szCs w:val="24"/>
          <w:lang w:val="en-US" w:eastAsia="zh-CN"/>
        </w:rPr>
        <w:t>四人位尺寸：2105*435*400</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门诊部东西区候诊椅采购项目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YDFYXJ-20230102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门诊部东西区候诊椅采购项目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YDFYXJ-20230102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门诊部东西区候诊椅采购项目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门诊部东西区候诊椅采购项目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两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37C4795"/>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B85CB5"/>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64E69E8"/>
    <w:rsid w:val="7787662E"/>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4905</Words>
  <Characters>5287</Characters>
  <Lines>70</Lines>
  <Paragraphs>19</Paragraphs>
  <TotalTime>5</TotalTime>
  <ScaleCrop>false</ScaleCrop>
  <LinksUpToDate>false</LinksUpToDate>
  <CharactersWithSpaces>5938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2023-01-05T06:45:11Z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