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YDFYXJ-20230104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东西区病床床头柜采购项目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东西区病床床头柜采购项目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YDFYXJ-20230104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东西区病床床头柜采购项目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3.78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东西区病床床头柜采购项目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东西区病床床头柜采购项目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合同生效后，乙方按甲方需求即时配送，并将货品送到甲方指定地点，经甲方库房保管员验收合格，交货完毕后结算费用。每次结算(结算金额以甲方签收入库的供应数量*中标单价计算），乙方必须提供甲方的验收单及开具的正规增值税发票等材料交甲方办理付款手续，甲方凭手续齐全的单据付款。（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8</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8</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东西区病床床头柜采购项目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YDFYXJ-20230104</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3.78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17"/>
        <w:tblW w:w="11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2850"/>
        <w:gridCol w:w="1065"/>
        <w:gridCol w:w="1032"/>
        <w:gridCol w:w="2853"/>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参考图示</w:t>
            </w:r>
          </w:p>
        </w:tc>
        <w:tc>
          <w:tcPr>
            <w:tcW w:w="10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3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色彩</w:t>
            </w:r>
          </w:p>
        </w:tc>
        <w:tc>
          <w:tcPr>
            <w:tcW w:w="285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260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1"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床头柜</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441960</wp:posOffset>
                  </wp:positionV>
                  <wp:extent cx="1793875" cy="1509395"/>
                  <wp:effectExtent l="0" t="0" r="15875" b="14605"/>
                  <wp:wrapNone/>
                  <wp:docPr id="2" name="图片_10"/>
                  <wp:cNvGraphicFramePr/>
                  <a:graphic xmlns:a="http://schemas.openxmlformats.org/drawingml/2006/main">
                    <a:graphicData uri="http://schemas.openxmlformats.org/drawingml/2006/picture">
                      <pic:pic xmlns:pic="http://schemas.openxmlformats.org/drawingml/2006/picture">
                        <pic:nvPicPr>
                          <pic:cNvPr id="2" name="图片_10"/>
                          <pic:cNvPicPr/>
                        </pic:nvPicPr>
                        <pic:blipFill>
                          <a:blip r:embed="rId6"/>
                          <a:stretch>
                            <a:fillRect/>
                          </a:stretch>
                        </pic:blipFill>
                        <pic:spPr>
                          <a:xfrm>
                            <a:off x="0" y="0"/>
                            <a:ext cx="1793875" cy="150939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550*450*770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常春  橡木</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基材：台面为木纹色抗倍特板，柜体采用E0级甲醛释放量≤0.124mg/m³的三聚氰胺板，板材厚度≥18mm。饰面色彩指定：常春橡木。五金件</w:t>
            </w:r>
            <w:r>
              <w:rPr>
                <w:rFonts w:hint="eastAsia" w:ascii="宋体" w:hAnsi="宋体" w:cs="宋体"/>
                <w:i w:val="0"/>
                <w:iCs w:val="0"/>
                <w:color w:val="000000"/>
                <w:kern w:val="0"/>
                <w:sz w:val="22"/>
                <w:szCs w:val="22"/>
                <w:u w:val="none"/>
                <w:lang w:val="en-US" w:eastAsia="zh-CN" w:bidi="ar"/>
              </w:rPr>
              <w:t>参考品牌</w:t>
            </w:r>
            <w:r>
              <w:rPr>
                <w:rFonts w:hint="eastAsia" w:ascii="宋体" w:hAnsi="宋体" w:eastAsia="宋体" w:cs="宋体"/>
                <w:i w:val="0"/>
                <w:iCs w:val="0"/>
                <w:color w:val="000000"/>
                <w:kern w:val="0"/>
                <w:sz w:val="22"/>
                <w:szCs w:val="22"/>
                <w:u w:val="none"/>
                <w:lang w:val="en-US" w:eastAsia="zh-CN" w:bidi="ar"/>
              </w:rPr>
              <w:t>：海蒂诗、BMB、DTC。封边：采用封边条厚度1.5MM的优质同色PVC封边条，用自动封边机热熔胶压制于边部，有效防止水气侵入。医用脚轮</w:t>
            </w:r>
            <w:r>
              <w:rPr>
                <w:rFonts w:hint="eastAsia" w:ascii="宋体" w:hAnsi="宋体" w:cs="宋体"/>
                <w:i w:val="0"/>
                <w:iCs w:val="0"/>
                <w:color w:val="000000"/>
                <w:kern w:val="0"/>
                <w:sz w:val="22"/>
                <w:szCs w:val="22"/>
                <w:u w:val="none"/>
                <w:lang w:val="en-US" w:eastAsia="zh-CN" w:bidi="ar"/>
              </w:rPr>
              <w:t>（参考品牌：</w:t>
            </w:r>
            <w:r>
              <w:rPr>
                <w:rFonts w:hint="eastAsia" w:ascii="宋体" w:hAnsi="宋体" w:eastAsia="宋体" w:cs="宋体"/>
                <w:i w:val="0"/>
                <w:iCs w:val="0"/>
                <w:color w:val="000000"/>
                <w:kern w:val="0"/>
                <w:sz w:val="22"/>
                <w:szCs w:val="22"/>
                <w:u w:val="none"/>
                <w:lang w:val="en-US" w:eastAsia="zh-CN" w:bidi="ar"/>
              </w:rPr>
              <w:t>EDL、向荣、SEAWON</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带刹车功能。放水瓶柜内底部配304不锈钢防水槽，带导水管。质保期5年。</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60组（</w:t>
            </w:r>
            <w:r>
              <w:rPr>
                <w:rFonts w:hint="eastAsia" w:ascii="宋体" w:hAnsi="宋体" w:cs="宋体"/>
                <w:i w:val="0"/>
                <w:iCs w:val="0"/>
                <w:color w:val="000000"/>
                <w:kern w:val="0"/>
                <w:sz w:val="22"/>
                <w:szCs w:val="22"/>
                <w:u w:val="none"/>
                <w:lang w:val="en-US" w:eastAsia="zh-CN" w:bidi="ar"/>
              </w:rPr>
              <w:t>根据甲方需求分批次分别送到东西院区</w:t>
            </w:r>
            <w:r>
              <w:rPr>
                <w:rFonts w:hint="eastAsia" w:ascii="宋体" w:hAnsi="宋体" w:eastAsia="宋体" w:cs="宋体"/>
                <w:i w:val="0"/>
                <w:iCs w:val="0"/>
                <w:color w:val="000000"/>
                <w:kern w:val="0"/>
                <w:sz w:val="22"/>
                <w:szCs w:val="22"/>
                <w:u w:val="none"/>
                <w:lang w:val="en-US" w:eastAsia="zh-CN" w:bidi="ar"/>
              </w:rPr>
              <w:t>）</w:t>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东西区病床床头柜采购项目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YDFYXJ-20230104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东西区病床床头柜采购项目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YDFYXJ-20230104</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东西区病床床头柜采购项目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东西区病床床头柜采购项目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合同生效后，乙方按甲方需求即时配送，并将货品送到甲方指定地点，经甲方库房保管员验收合格，交货完毕后结算费用。每次结算(结算金额以甲方签收入库的供应数量*中标单价计算），乙方必须提供甲方的验收单及开具的正规增值税发票等材料交甲方办理付款手续，甲方凭手续齐全的单据付款。（以上均不计息）（</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五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B85CB5"/>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C85853"/>
    <w:rsid w:val="70DB38A7"/>
    <w:rsid w:val="70FE780D"/>
    <w:rsid w:val="71D1780D"/>
    <w:rsid w:val="71DC1AE4"/>
    <w:rsid w:val="72217603"/>
    <w:rsid w:val="72487296"/>
    <w:rsid w:val="7282207E"/>
    <w:rsid w:val="74226CB9"/>
    <w:rsid w:val="75006B73"/>
    <w:rsid w:val="75126C7B"/>
    <w:rsid w:val="764E69E8"/>
    <w:rsid w:val="7787662E"/>
    <w:rsid w:val="77E52AD7"/>
    <w:rsid w:val="77F20BEE"/>
    <w:rsid w:val="79AC4BB9"/>
    <w:rsid w:val="79CC0928"/>
    <w:rsid w:val="79F001B3"/>
    <w:rsid w:val="7ABB1C53"/>
    <w:rsid w:val="7BEA6CBD"/>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4619</Words>
  <Characters>4984</Characters>
  <Lines>70</Lines>
  <Paragraphs>19</Paragraphs>
  <TotalTime>0</TotalTime>
  <ScaleCrop>false</ScaleCrop>
  <LinksUpToDate>false</LinksUpToDate>
  <CharactersWithSpaces>5637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2023-03-03T00:37:08Z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