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YDFYXJ-20230311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东区路面井盖采购项目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东区路面井盖采购项目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YDFYXJ-20230311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东区路面井盖采购项目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东区路面井盖采购项目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东区路面井盖采购项目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13</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东区路面井盖采购项目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YDFYXJ-20230311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4261" w:type="dxa"/>
          </w:tcPr>
          <w:p>
            <w:pPr>
              <w:jc w:val="center"/>
              <w:rPr>
                <w:rFonts w:hint="eastAsia"/>
                <w:sz w:val="28"/>
                <w:szCs w:val="28"/>
                <w:vertAlign w:val="baseline"/>
                <w:lang w:val="en-US" w:eastAsia="zh-CN"/>
              </w:rPr>
            </w:pPr>
          </w:p>
          <w:p>
            <w:pPr>
              <w:jc w:val="center"/>
              <w:rPr>
                <w:rFonts w:hint="eastAsia"/>
                <w:sz w:val="28"/>
                <w:szCs w:val="28"/>
                <w:vertAlign w:val="baseline"/>
                <w:lang w:val="en-US" w:eastAsia="zh-CN"/>
              </w:rPr>
            </w:pPr>
          </w:p>
          <w:p>
            <w:pPr>
              <w:jc w:val="center"/>
              <w:rPr>
                <w:rFonts w:hint="eastAsia"/>
                <w:sz w:val="28"/>
                <w:szCs w:val="28"/>
                <w:vertAlign w:val="baseline"/>
                <w:lang w:val="en-US" w:eastAsia="zh-CN"/>
              </w:rPr>
            </w:pPr>
          </w:p>
          <w:p>
            <w:pPr>
              <w:jc w:val="center"/>
              <w:rPr>
                <w:rFonts w:hint="default"/>
                <w:sz w:val="28"/>
                <w:szCs w:val="28"/>
                <w:vertAlign w:val="baseline"/>
                <w:lang w:val="en-US" w:eastAsia="zh-CN"/>
              </w:rPr>
            </w:pPr>
            <w:r>
              <w:rPr>
                <w:rFonts w:hint="eastAsia"/>
                <w:sz w:val="28"/>
                <w:szCs w:val="28"/>
                <w:vertAlign w:val="baseline"/>
                <w:lang w:val="en-US" w:eastAsia="zh-CN"/>
              </w:rPr>
              <w:t>产品图片</w:t>
            </w:r>
          </w:p>
        </w:tc>
        <w:tc>
          <w:tcPr>
            <w:tcW w:w="4261" w:type="dxa"/>
          </w:tcPr>
          <w:p>
            <w:pPr>
              <w:jc w:val="both"/>
              <w:rPr>
                <w:rFonts w:hint="default"/>
                <w:sz w:val="28"/>
                <w:szCs w:val="28"/>
                <w:vertAlign w:val="baseline"/>
                <w:lang w:val="en-US" w:eastAsia="zh-CN"/>
              </w:rPr>
            </w:pPr>
            <w:r>
              <w:rPr>
                <w:rFonts w:hint="default"/>
                <w:sz w:val="28"/>
                <w:szCs w:val="28"/>
                <w:vertAlign w:val="baseline"/>
                <w:lang w:val="en-US" w:eastAsia="zh-CN"/>
              </w:rPr>
              <w:drawing>
                <wp:inline distT="0" distB="0" distL="114300" distR="114300">
                  <wp:extent cx="2524125" cy="2440940"/>
                  <wp:effectExtent l="0" t="0" r="9525" b="16510"/>
                  <wp:docPr id="1" name="图片 1" descr="912163e7c1557db7b0f1376e58cd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2163e7c1557db7b0f1376e58cd853"/>
                          <pic:cNvPicPr>
                            <a:picLocks noChangeAspect="1"/>
                          </pic:cNvPicPr>
                        </pic:nvPicPr>
                        <pic:blipFill>
                          <a:blip r:embed="rId6"/>
                          <a:stretch>
                            <a:fillRect/>
                          </a:stretch>
                        </pic:blipFill>
                        <pic:spPr>
                          <a:xfrm>
                            <a:off x="0" y="0"/>
                            <a:ext cx="2524125" cy="24409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尺寸</w:t>
            </w:r>
          </w:p>
        </w:tc>
        <w:tc>
          <w:tcPr>
            <w:tcW w:w="4261" w:type="dxa"/>
          </w:tcPr>
          <w:p>
            <w:pPr>
              <w:jc w:val="both"/>
              <w:rPr>
                <w:rFonts w:hint="default"/>
                <w:sz w:val="28"/>
                <w:szCs w:val="28"/>
                <w:vertAlign w:val="baseline"/>
                <w:lang w:val="en-US" w:eastAsia="zh-CN"/>
              </w:rPr>
            </w:pPr>
            <w:r>
              <w:rPr>
                <w:rFonts w:hint="eastAsia"/>
                <w:sz w:val="28"/>
                <w:szCs w:val="28"/>
                <w:vertAlign w:val="baseline"/>
                <w:lang w:val="en-US" w:eastAsia="zh-CN"/>
              </w:rPr>
              <w:t>1600mmx1200mm（含套件、三块盖板）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参数要求</w:t>
            </w:r>
          </w:p>
        </w:tc>
        <w:tc>
          <w:tcPr>
            <w:tcW w:w="4261" w:type="dxa"/>
          </w:tcPr>
          <w:p>
            <w:pPr>
              <w:jc w:val="both"/>
              <w:rPr>
                <w:rFonts w:hint="default"/>
                <w:sz w:val="28"/>
                <w:szCs w:val="28"/>
                <w:vertAlign w:val="baseline"/>
                <w:lang w:val="en-US" w:eastAsia="zh-CN"/>
              </w:rPr>
            </w:pPr>
            <w:r>
              <w:rPr>
                <w:rFonts w:hint="eastAsia"/>
                <w:sz w:val="28"/>
                <w:szCs w:val="28"/>
                <w:vertAlign w:val="baseline"/>
                <w:lang w:val="en-US" w:eastAsia="zh-CN"/>
              </w:rPr>
              <w:t>材质为铸铁，无横梁，加重加厚型，抗压＞20t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261" w:type="dxa"/>
          </w:tcPr>
          <w:p>
            <w:pPr>
              <w:jc w:val="center"/>
              <w:rPr>
                <w:rFonts w:hint="default"/>
                <w:sz w:val="28"/>
                <w:szCs w:val="28"/>
                <w:vertAlign w:val="baseline"/>
                <w:lang w:val="en-US" w:eastAsia="zh-CN"/>
              </w:rPr>
            </w:pPr>
            <w:r>
              <w:rPr>
                <w:rFonts w:hint="eastAsia"/>
                <w:sz w:val="28"/>
                <w:szCs w:val="28"/>
                <w:vertAlign w:val="baseline"/>
                <w:lang w:val="en-US" w:eastAsia="zh-CN"/>
              </w:rPr>
              <w:t>采购数量</w:t>
            </w:r>
          </w:p>
        </w:tc>
        <w:tc>
          <w:tcPr>
            <w:tcW w:w="4261" w:type="dxa"/>
          </w:tcPr>
          <w:p>
            <w:pPr>
              <w:jc w:val="both"/>
              <w:rPr>
                <w:rFonts w:hint="default"/>
                <w:sz w:val="28"/>
                <w:szCs w:val="28"/>
                <w:vertAlign w:val="baseline"/>
                <w:lang w:val="en-US" w:eastAsia="zh-CN"/>
              </w:rPr>
            </w:pPr>
            <w:r>
              <w:rPr>
                <w:rFonts w:hint="eastAsia"/>
                <w:sz w:val="28"/>
                <w:szCs w:val="28"/>
                <w:vertAlign w:val="baseline"/>
                <w:lang w:val="en-US" w:eastAsia="zh-CN"/>
              </w:rPr>
              <w:t>4件</w:t>
            </w:r>
          </w:p>
        </w:tc>
      </w:tr>
    </w:tbl>
    <w:p>
      <w:pPr>
        <w:pStyle w:val="18"/>
        <w:shd w:val="clear" w:color="auto" w:fill="FFFFFF"/>
        <w:spacing w:before="0" w:beforeAutospacing="0" w:after="0" w:afterAutospacing="0"/>
        <w:rPr>
          <w:rFonts w:hint="default" w:cs="宋体"/>
          <w:snapToGrid w:val="0"/>
          <w:kern w:val="0"/>
          <w:sz w:val="24"/>
          <w:highlight w:val="none"/>
          <w:lang w:val="en-US" w:eastAsia="zh-CN"/>
        </w:rPr>
      </w:pPr>
    </w:p>
    <w:p>
      <w:pPr>
        <w:pStyle w:val="18"/>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东区路面井盖采购项目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YDFYXJ-20230311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东区路面井盖采购项目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YDFYXJ-20230311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东区路面井盖采购项目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东区路面井盖采购项目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2F3C10"/>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4258</Words>
  <Characters>4612</Characters>
  <Lines>70</Lines>
  <Paragraphs>19</Paragraphs>
  <TotalTime>4</TotalTime>
  <ScaleCrop>false</ScaleCrop>
  <LinksUpToDate>false</LinksUpToDate>
  <CharactersWithSpaces>5263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2023-04-10T06:43:43Z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