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YDFYXJ-20230313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西区地下生活水箱进水管路改造项目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西区地下生活水箱进水管路改造项目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YDFYXJ-20230313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西区地下生活水箱进水管路改造项目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0.36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西区地下生活水箱进水管路改造项目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西区地下生活水箱进水管路改造项目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17</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4</w:t>
      </w:r>
      <w:r>
        <w:rPr>
          <w:rStyle w:val="36"/>
          <w:rFonts w:ascii="宋体" w:hAnsi="宋体"/>
          <w:b/>
          <w:sz w:val="24"/>
          <w:highlight w:val="none"/>
        </w:rPr>
        <w:t>月</w:t>
      </w:r>
      <w:r>
        <w:rPr>
          <w:rStyle w:val="36"/>
          <w:rFonts w:hint="eastAsia" w:ascii="宋体" w:hAnsi="宋体"/>
          <w:b/>
          <w:sz w:val="24"/>
          <w:highlight w:val="none"/>
          <w:lang w:val="en-US" w:eastAsia="zh-CN"/>
        </w:rPr>
        <w:t>17</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17</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西区地下生活水箱进水管路改造项目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YDFYXJ-20230313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0.36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contextualSpacing/>
        <w:rPr>
          <w:rFonts w:hint="eastAsia" w:ascii="宋体" w:hAnsi="宋体"/>
          <w:b w:val="0"/>
          <w:bCs w:val="0"/>
          <w:sz w:val="24"/>
          <w:lang w:val="en-US" w:eastAsia="zh-CN"/>
        </w:rPr>
      </w:pPr>
      <w:r>
        <w:rPr>
          <w:rFonts w:hint="eastAsia" w:ascii="宋体" w:hAnsi="宋体"/>
          <w:b w:val="0"/>
          <w:bCs w:val="0"/>
          <w:sz w:val="24"/>
          <w:lang w:val="en-US" w:eastAsia="zh-CN"/>
        </w:rPr>
        <w:t>2.1改造点位：2处水箱。</w:t>
      </w:r>
    </w:p>
    <w:p>
      <w:pPr>
        <w:adjustRightInd w:val="0"/>
        <w:snapToGrid w:val="0"/>
        <w:spacing w:line="440" w:lineRule="exact"/>
        <w:contextualSpacing/>
        <w:rPr>
          <w:rFonts w:hint="eastAsia" w:ascii="宋体" w:hAnsi="宋体"/>
          <w:b w:val="0"/>
          <w:bCs w:val="0"/>
          <w:sz w:val="24"/>
          <w:lang w:val="en-US" w:eastAsia="zh-CN"/>
        </w:rPr>
      </w:pPr>
      <w:r>
        <w:rPr>
          <w:rFonts w:hint="eastAsia" w:ascii="宋体" w:hAnsi="宋体"/>
          <w:b w:val="0"/>
          <w:bCs w:val="0"/>
          <w:sz w:val="24"/>
          <w:lang w:val="en-US" w:eastAsia="zh-CN"/>
        </w:rPr>
        <w:t>2.2改造平面图及要求</w:t>
      </w:r>
    </w:p>
    <w:p>
      <w:pPr>
        <w:pStyle w:val="2"/>
        <w:ind w:left="0" w:leftChars="0" w:firstLine="0" w:firstLineChars="0"/>
        <w:rPr>
          <w:rFonts w:hint="default"/>
          <w:lang w:val="en-US" w:eastAsia="zh-CN"/>
        </w:rPr>
      </w:pPr>
      <w:r>
        <w:rPr>
          <w:rFonts w:hint="default"/>
          <w:lang w:val="en-US" w:eastAsia="zh-CN"/>
        </w:rPr>
        <w:drawing>
          <wp:inline distT="0" distB="0" distL="114300" distR="114300">
            <wp:extent cx="4759960" cy="3758565"/>
            <wp:effectExtent l="0" t="0" r="2540" b="13335"/>
            <wp:docPr id="1" name="图片 1" descr="168117849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1178499769"/>
                    <pic:cNvPicPr>
                      <a:picLocks noChangeAspect="1"/>
                    </pic:cNvPicPr>
                  </pic:nvPicPr>
                  <pic:blipFill>
                    <a:blip r:embed="rId6"/>
                    <a:stretch>
                      <a:fillRect/>
                    </a:stretch>
                  </pic:blipFill>
                  <pic:spPr>
                    <a:xfrm>
                      <a:off x="0" y="0"/>
                      <a:ext cx="4759960" cy="3758565"/>
                    </a:xfrm>
                    <a:prstGeom prst="rect">
                      <a:avLst/>
                    </a:prstGeom>
                  </pic:spPr>
                </pic:pic>
              </a:graphicData>
            </a:graphic>
          </wp:inline>
        </w:drawing>
      </w:r>
    </w:p>
    <w:p>
      <w:pPr>
        <w:adjustRightInd w:val="0"/>
        <w:snapToGrid w:val="0"/>
        <w:spacing w:line="440" w:lineRule="exact"/>
        <w:contextualSpacing/>
        <w:rPr>
          <w:rFonts w:hint="default" w:ascii="宋体" w:hAnsi="宋体"/>
          <w:b w:val="0"/>
          <w:bCs w:val="0"/>
          <w:sz w:val="24"/>
          <w:lang w:val="en-US" w:eastAsia="zh-CN"/>
        </w:rPr>
      </w:pPr>
      <w:r>
        <w:rPr>
          <w:rFonts w:hint="eastAsia" w:ascii="宋体" w:hAnsi="宋体"/>
          <w:b w:val="0"/>
          <w:bCs w:val="0"/>
          <w:sz w:val="24"/>
          <w:lang w:val="en-US" w:eastAsia="zh-CN"/>
        </w:rPr>
        <w:t>2.3现场照片，现场勘查联系人：李欢15371331264</w:t>
      </w:r>
    </w:p>
    <w:p>
      <w:pPr>
        <w:pStyle w:val="2"/>
        <w:ind w:left="0" w:leftChars="0" w:firstLine="0" w:firstLineChars="0"/>
        <w:rPr>
          <w:rFonts w:hint="default"/>
          <w:lang w:val="en-US" w:eastAsia="zh-CN"/>
        </w:rPr>
      </w:pPr>
      <w:r>
        <w:rPr>
          <w:rFonts w:hint="default"/>
          <w:lang w:val="en-US" w:eastAsia="zh-CN"/>
        </w:rPr>
        <w:drawing>
          <wp:inline distT="0" distB="0" distL="114300" distR="114300">
            <wp:extent cx="4417695" cy="1988185"/>
            <wp:effectExtent l="0" t="0" r="1905" b="12065"/>
            <wp:docPr id="2" name="图片 2" descr="f5395a7c57cab75e025a0f3b3efe5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395a7c57cab75e025a0f3b3efe5b7"/>
                    <pic:cNvPicPr>
                      <a:picLocks noChangeAspect="1"/>
                    </pic:cNvPicPr>
                  </pic:nvPicPr>
                  <pic:blipFill>
                    <a:blip r:embed="rId7"/>
                    <a:stretch>
                      <a:fillRect/>
                    </a:stretch>
                  </pic:blipFill>
                  <pic:spPr>
                    <a:xfrm>
                      <a:off x="0" y="0"/>
                      <a:ext cx="4417695" cy="1988185"/>
                    </a:xfrm>
                    <a:prstGeom prst="rect">
                      <a:avLst/>
                    </a:prstGeom>
                  </pic:spPr>
                </pic:pic>
              </a:graphicData>
            </a:graphic>
          </wp:inline>
        </w:drawing>
      </w:r>
    </w:p>
    <w:p>
      <w:pPr>
        <w:pStyle w:val="2"/>
        <w:ind w:left="0" w:leftChars="0" w:firstLine="0" w:firstLineChars="0"/>
        <w:rPr>
          <w:rFonts w:hint="default"/>
          <w:lang w:val="en-US" w:eastAsia="zh-CN"/>
        </w:rPr>
      </w:pP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西区地下生活水箱进水管路改造项目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YDFYXJ-20230313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西区地下生活水箱进水管路改造项目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YDFYXJ-20230313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西区地下生活水箱进水管路改造项目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西区地下生活水箱进水管路改造项目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b/>
          <w:bCs/>
          <w:sz w:val="24"/>
          <w:highlight w:val="none"/>
          <w:u w:val="single"/>
          <w:lang w:val="en-US" w:eastAsia="zh-CN"/>
        </w:rPr>
        <w:t>壹</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w:t>
      </w:r>
      <w:bookmarkStart w:id="4" w:name="_GoBack"/>
      <w:bookmarkEnd w:id="4"/>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3C624B"/>
    <w:rsid w:val="349B0B50"/>
    <w:rsid w:val="354C2853"/>
    <w:rsid w:val="35B84645"/>
    <w:rsid w:val="35CA1979"/>
    <w:rsid w:val="35D6255E"/>
    <w:rsid w:val="375A406B"/>
    <w:rsid w:val="37CB42F0"/>
    <w:rsid w:val="395873E0"/>
    <w:rsid w:val="398427FF"/>
    <w:rsid w:val="3ABF0202"/>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956814"/>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287DE4"/>
    <w:rsid w:val="65F2258C"/>
    <w:rsid w:val="66A07C1E"/>
    <w:rsid w:val="66AF19DA"/>
    <w:rsid w:val="6710513C"/>
    <w:rsid w:val="673E62A6"/>
    <w:rsid w:val="675A5AE8"/>
    <w:rsid w:val="677A6507"/>
    <w:rsid w:val="678D2F92"/>
    <w:rsid w:val="687B1D33"/>
    <w:rsid w:val="688C5CB3"/>
    <w:rsid w:val="6A056E3D"/>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3D26A12"/>
    <w:rsid w:val="74226CB9"/>
    <w:rsid w:val="75006B73"/>
    <w:rsid w:val="750721CD"/>
    <w:rsid w:val="75126C7B"/>
    <w:rsid w:val="75893D2A"/>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4378</Words>
  <Characters>4718</Characters>
  <Lines>70</Lines>
  <Paragraphs>19</Paragraphs>
  <TotalTime>44</TotalTime>
  <ScaleCrop>false</ScaleCrop>
  <LinksUpToDate>false</LinksUpToDate>
  <CharactersWithSpaces>5423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2023-04-11T06:30:19Z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