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YDFYXJ-20230403</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东区流调大棚及2号核酸采集点拆除项目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9"/>
        <w:ind w:firstLine="0"/>
      </w:pPr>
    </w:p>
    <w:p>
      <w:pPr>
        <w:pStyle w:val="19"/>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4</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17</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7"/>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东区流调大棚及2号核酸采集点拆除项目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YDFYXJ-20230403</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东区流调大棚及2号核酸采集点拆除项目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1.5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4</w:t>
      </w:r>
      <w:r>
        <w:rPr>
          <w:rFonts w:hint="eastAsia" w:ascii="宋体" w:hAnsi="宋体"/>
          <w:b/>
          <w:sz w:val="24"/>
          <w:highlight w:val="none"/>
        </w:rPr>
        <w:t>月</w:t>
      </w:r>
      <w:r>
        <w:rPr>
          <w:rFonts w:hint="eastAsia" w:ascii="宋体" w:hAnsi="宋体"/>
          <w:b/>
          <w:sz w:val="24"/>
          <w:highlight w:val="none"/>
          <w:lang w:val="en-US" w:eastAsia="zh-CN"/>
        </w:rPr>
        <w:t>21</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东区流调大棚及2号核酸采集点拆除项目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东区流调大棚及2号核酸采集点拆除项目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4</w:t>
      </w:r>
      <w:r>
        <w:rPr>
          <w:rFonts w:hint="eastAsia" w:cs="微软雅黑"/>
          <w:b/>
          <w:highlight w:val="none"/>
        </w:rPr>
        <w:t>月</w:t>
      </w:r>
      <w:r>
        <w:rPr>
          <w:rFonts w:hint="eastAsia" w:cs="微软雅黑"/>
          <w:b/>
          <w:highlight w:val="none"/>
          <w:lang w:val="en-US" w:eastAsia="zh-CN"/>
        </w:rPr>
        <w:t>21</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6"/>
          <w:rFonts w:ascii="宋体" w:hAnsi="宋体"/>
          <w:b/>
          <w:sz w:val="24"/>
          <w:highlight w:val="none"/>
        </w:rPr>
        <w:t>（北</w:t>
      </w:r>
      <w:r>
        <w:rPr>
          <w:rStyle w:val="36"/>
          <w:rFonts w:ascii="宋体" w:hAnsi="宋体"/>
          <w:b/>
          <w:color w:val="000000"/>
          <w:sz w:val="24"/>
          <w:highlight w:val="none"/>
        </w:rPr>
        <w:t>京时间）</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8"/>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6"/>
          <w:rFonts w:ascii="宋体" w:hAnsi="宋体"/>
          <w:sz w:val="24"/>
        </w:rPr>
      </w:pPr>
      <w:r>
        <w:rPr>
          <w:rStyle w:val="36"/>
          <w:rFonts w:hint="eastAsia" w:ascii="宋体" w:hAnsi="宋体"/>
          <w:sz w:val="24"/>
        </w:rPr>
        <w:t>15.</w:t>
      </w:r>
      <w:r>
        <w:rPr>
          <w:rStyle w:val="36"/>
          <w:rFonts w:ascii="宋体" w:hAnsi="宋体"/>
          <w:sz w:val="24"/>
        </w:rPr>
        <w:t>开标有关信息</w:t>
      </w:r>
    </w:p>
    <w:p>
      <w:pPr>
        <w:adjustRightInd w:val="0"/>
        <w:snapToGrid w:val="0"/>
        <w:spacing w:line="420" w:lineRule="exact"/>
        <w:ind w:firstLine="480" w:firstLineChars="200"/>
        <w:contextualSpacing/>
        <w:rPr>
          <w:rStyle w:val="36"/>
          <w:rFonts w:ascii="宋体" w:hAnsi="宋体"/>
          <w:color w:val="000000"/>
          <w:sz w:val="24"/>
        </w:rPr>
      </w:pPr>
      <w:r>
        <w:rPr>
          <w:rStyle w:val="36"/>
          <w:rFonts w:ascii="宋体" w:hAnsi="宋体"/>
          <w:sz w:val="24"/>
        </w:rPr>
        <w:t>开标时间：</w:t>
      </w:r>
      <w:r>
        <w:rPr>
          <w:rStyle w:val="36"/>
          <w:rFonts w:ascii="宋体" w:hAnsi="宋体"/>
          <w:b/>
          <w:sz w:val="24"/>
          <w:highlight w:val="none"/>
        </w:rPr>
        <w:t>202</w:t>
      </w:r>
      <w:r>
        <w:rPr>
          <w:rStyle w:val="36"/>
          <w:rFonts w:hint="eastAsia" w:ascii="宋体" w:hAnsi="宋体"/>
          <w:b/>
          <w:sz w:val="24"/>
          <w:highlight w:val="none"/>
          <w:lang w:val="en-US" w:eastAsia="zh-CN"/>
        </w:rPr>
        <w:t>3</w:t>
      </w:r>
      <w:r>
        <w:rPr>
          <w:rStyle w:val="36"/>
          <w:rFonts w:ascii="宋体" w:hAnsi="宋体"/>
          <w:b/>
          <w:sz w:val="24"/>
          <w:highlight w:val="none"/>
        </w:rPr>
        <w:t>年</w:t>
      </w:r>
      <w:r>
        <w:rPr>
          <w:rStyle w:val="36"/>
          <w:rFonts w:hint="eastAsia" w:ascii="宋体" w:hAnsi="宋体"/>
          <w:b/>
          <w:sz w:val="24"/>
          <w:highlight w:val="none"/>
          <w:lang w:val="en-US" w:eastAsia="zh-CN"/>
        </w:rPr>
        <w:t>4</w:t>
      </w:r>
      <w:r>
        <w:rPr>
          <w:rStyle w:val="36"/>
          <w:rFonts w:ascii="宋体" w:hAnsi="宋体"/>
          <w:b/>
          <w:sz w:val="24"/>
          <w:highlight w:val="none"/>
        </w:rPr>
        <w:t>月</w:t>
      </w:r>
      <w:r>
        <w:rPr>
          <w:rStyle w:val="36"/>
          <w:rFonts w:hint="eastAsia" w:ascii="宋体" w:hAnsi="宋体"/>
          <w:b/>
          <w:sz w:val="24"/>
          <w:highlight w:val="none"/>
          <w:lang w:val="en-US" w:eastAsia="zh-CN"/>
        </w:rPr>
        <w:t>21</w:t>
      </w:r>
      <w:r>
        <w:rPr>
          <w:rStyle w:val="36"/>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6"/>
          <w:rFonts w:ascii="宋体" w:hAnsi="宋体"/>
          <w:b/>
          <w:sz w:val="24"/>
          <w:highlight w:val="none"/>
        </w:rPr>
        <w:t>（北</w:t>
      </w:r>
      <w:r>
        <w:rPr>
          <w:rStyle w:val="36"/>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4</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21</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东区流调大棚及2号核酸采集点拆除项目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YDFYXJ-20230403</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1.5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241" w:hanging="241" w:hangingChars="100"/>
        <w:contextualSpacing/>
        <w:rPr>
          <w:rFonts w:hint="eastAsia" w:ascii="宋体" w:hAnsi="宋体" w:cs="宋体"/>
          <w:b/>
          <w:bCs/>
          <w:snapToGrid w:val="0"/>
          <w:kern w:val="0"/>
          <w:sz w:val="24"/>
          <w:highlight w:val="none"/>
          <w:lang w:val="en-US" w:eastAsia="zh-CN"/>
        </w:rPr>
      </w:pPr>
      <w:r>
        <w:rPr>
          <w:rFonts w:hint="eastAsia" w:ascii="宋体" w:hAnsi="宋体" w:cs="宋体"/>
          <w:b/>
          <w:bCs/>
          <w:snapToGrid w:val="0"/>
          <w:kern w:val="0"/>
          <w:sz w:val="24"/>
          <w:highlight w:val="none"/>
          <w:lang w:val="en-US" w:eastAsia="zh-CN"/>
        </w:rPr>
        <w:t>2.1项目简介</w:t>
      </w:r>
    </w:p>
    <w:p>
      <w:pPr>
        <w:adjustRightInd w:val="0"/>
        <w:snapToGrid w:val="0"/>
        <w:spacing w:line="440" w:lineRule="exact"/>
        <w:ind w:left="0" w:leftChars="0" w:firstLine="480" w:firstLineChars="200"/>
        <w:contextualSpacing/>
        <w:rPr>
          <w:rFonts w:hint="eastAsia" w:ascii="宋体" w:hAnsi="宋体"/>
          <w:sz w:val="24"/>
          <w:lang w:val="en-US" w:eastAsia="zh-CN"/>
        </w:rPr>
      </w:pPr>
      <w:r>
        <w:rPr>
          <w:rFonts w:hint="eastAsia" w:ascii="宋体" w:hAnsi="宋体"/>
          <w:sz w:val="24"/>
          <w:lang w:val="en-US" w:eastAsia="zh-CN"/>
        </w:rPr>
        <w:t>拆除流调棚11000x6000x4000mm（长宽高）一个，6000x6000x4000mm（长宽高）一个。（拆除包含电子设备、水电、吊顶、结构、顶部地板、门窗、墙体，主体框架）。拆除物由甲方指定分配，剩余垃圾乙方负责统一清运处理。</w:t>
      </w:r>
    </w:p>
    <w:p>
      <w:pPr>
        <w:adjustRightInd w:val="0"/>
        <w:snapToGrid w:val="0"/>
        <w:spacing w:line="440" w:lineRule="exact"/>
        <w:ind w:firstLine="480" w:firstLineChars="200"/>
        <w:contextualSpacing/>
        <w:rPr>
          <w:rFonts w:hint="eastAsia" w:ascii="宋体" w:hAnsi="宋体"/>
          <w:sz w:val="24"/>
          <w:lang w:val="en-US" w:eastAsia="zh-CN"/>
        </w:rPr>
      </w:pPr>
      <w:r>
        <w:rPr>
          <w:rFonts w:hint="eastAsia" w:ascii="宋体" w:hAnsi="宋体"/>
          <w:sz w:val="24"/>
          <w:lang w:val="en-US" w:eastAsia="zh-CN"/>
        </w:rPr>
        <w:t>注：（拆除地位于医院入口处，工作日人流量较大，拆除时间段为工作日下午或者周末）。</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b/>
          <w:bCs/>
          <w:snapToGrid w:val="0"/>
          <w:kern w:val="0"/>
          <w:sz w:val="24"/>
          <w:highlight w:val="none"/>
          <w:lang w:val="en-US" w:eastAsia="zh-CN"/>
        </w:rPr>
        <w:t>2.2详细施工方案</w:t>
      </w:r>
      <w:r>
        <w:rPr>
          <w:rFonts w:hint="eastAsia" w:ascii="宋体" w:hAnsi="宋体" w:cs="宋体"/>
          <w:snapToGrid w:val="0"/>
          <w:kern w:val="0"/>
          <w:sz w:val="24"/>
          <w:highlight w:val="none"/>
          <w:lang w:val="en-US" w:eastAsia="zh-CN"/>
        </w:rPr>
        <w:t>：</w:t>
      </w:r>
    </w:p>
    <w:p>
      <w:pPr>
        <w:adjustRightInd w:val="0"/>
        <w:snapToGrid w:val="0"/>
        <w:spacing w:line="440" w:lineRule="exact"/>
        <w:ind w:firstLine="480" w:firstLineChars="20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①准备工作：拆除建筑周边用围挡建立建筑区“红线”，围挡高度不低于1.8m，使建筑区与外部行人分隔。拆除期间现场需配备＞4m³的雾炮车一台。</w:t>
      </w:r>
    </w:p>
    <w:p>
      <w:pPr>
        <w:adjustRightInd w:val="0"/>
        <w:snapToGrid w:val="0"/>
        <w:spacing w:line="440" w:lineRule="exact"/>
        <w:ind w:firstLine="480" w:firstLineChars="200"/>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②拆除顺序：按照先安装装修，后非结构件，结构件先辅后主由上而下拆除。</w:t>
      </w:r>
    </w:p>
    <w:p>
      <w:pPr>
        <w:adjustRightInd w:val="0"/>
        <w:snapToGrid w:val="0"/>
        <w:spacing w:line="440" w:lineRule="exact"/>
        <w:contextualSpacing/>
        <w:rPr>
          <w:rFonts w:hint="eastAsia"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拆除内部电子安装设备，统一规放。拆除内部钢方管龙骨吊顶，石膏板与钢方管龙骨分类处理，石膏板垃圾需要及时清理运出。随后拆除顶部外立面女儿墙、排水渠、屋顶面，垃圾统一规放。随后切割作业拆除顶部上下弦、腹杆、钢檩条。顶部作业拆除物件拆除后需及时清运地面，进行分类处理，不得在顶部堆放。超150kg大型结构件需吊车绳索辅助慢降，不得乱扔乱。砸随后拆除门窗，墙体。同规格门窗需进行分类，统一规放。拆除底部混领土与生态地板，沿长边拆除，分类统一规放。垃圾清理运出。最后拆除承重立柱，沿边线拆除，主体立柱与地面刚性连接，拆除后含路基面恢复。</w:t>
      </w:r>
    </w:p>
    <w:p>
      <w:pPr>
        <w:adjustRightInd w:val="0"/>
        <w:snapToGrid w:val="0"/>
        <w:spacing w:line="440" w:lineRule="exact"/>
        <w:ind w:firstLine="480" w:firstLineChars="200"/>
        <w:contextualSpacing/>
        <w:rPr>
          <w:rFonts w:hint="default" w:ascii="宋体" w:hAnsi="宋体"/>
          <w:sz w:val="24"/>
          <w:lang w:val="en-US" w:eastAsia="zh-CN"/>
        </w:rPr>
      </w:pPr>
      <w:r>
        <w:rPr>
          <w:rFonts w:hint="eastAsia" w:ascii="宋体" w:hAnsi="宋体" w:cs="宋体"/>
          <w:snapToGrid w:val="0"/>
          <w:kern w:val="0"/>
          <w:sz w:val="24"/>
          <w:highlight w:val="none"/>
          <w:lang w:val="en-US" w:eastAsia="zh-CN"/>
        </w:rPr>
        <w:t>登高作业需专业登高辅助设施，不得攀爬作业，拆除现场堆放物体不得超1.5m，不可回收垃圾需及时运出，垃圾乙方负责统一清运处理。</w:t>
      </w:r>
      <w:r>
        <w:rPr>
          <w:rFonts w:hint="default" w:ascii="宋体" w:hAnsi="宋体"/>
          <w:sz w:val="24"/>
          <w:lang w:val="en-US" w:eastAsia="zh-CN"/>
        </w:rPr>
        <w:t xml:space="preserve"> </w:t>
      </w:r>
    </w:p>
    <w:p>
      <w:pPr>
        <w:pStyle w:val="2"/>
        <w:ind w:left="0" w:leftChars="0" w:firstLine="0" w:firstLineChars="0"/>
        <w:rPr>
          <w:rFonts w:hint="eastAsia" w:ascii="宋体" w:hAnsi="宋体"/>
          <w:b w:val="0"/>
          <w:bCs/>
          <w:sz w:val="24"/>
          <w:lang w:val="en-US" w:eastAsia="zh-CN"/>
        </w:rPr>
      </w:pPr>
      <w:r>
        <w:rPr>
          <w:rFonts w:hint="eastAsia" w:ascii="宋体" w:hAnsi="宋体"/>
          <w:b w:val="0"/>
          <w:bCs/>
          <w:sz w:val="24"/>
          <w:lang w:val="en-US" w:eastAsia="zh-CN"/>
        </w:rPr>
        <w:t>2.3拆除物现场参考照片</w:t>
      </w:r>
    </w:p>
    <w:p>
      <w:pPr>
        <w:tabs>
          <w:tab w:val="left" w:pos="2211"/>
        </w:tabs>
        <w:bidi w:val="0"/>
        <w:jc w:val="both"/>
        <w:rPr>
          <w:rFonts w:hint="default"/>
          <w:b/>
          <w:bCs/>
          <w:sz w:val="28"/>
          <w:szCs w:val="28"/>
          <w:lang w:val="en-US" w:eastAsia="zh-CN"/>
        </w:rPr>
      </w:pPr>
      <w:r>
        <w:rPr>
          <w:rFonts w:hint="eastAsia"/>
          <w:b/>
          <w:bCs/>
          <w:sz w:val="28"/>
          <w:szCs w:val="28"/>
          <w:lang w:val="en-US" w:eastAsia="zh-CN"/>
        </w:rPr>
        <w:t>外部：</w:t>
      </w:r>
    </w:p>
    <w:p>
      <w:pPr>
        <w:tabs>
          <w:tab w:val="left" w:pos="2211"/>
        </w:tabs>
        <w:bidi w:val="0"/>
        <w:jc w:val="both"/>
        <w:rPr>
          <w:rFonts w:hint="default"/>
          <w:b/>
          <w:bCs/>
          <w:sz w:val="28"/>
          <w:szCs w:val="28"/>
          <w:lang w:val="en-US" w:eastAsia="zh-CN"/>
        </w:rPr>
      </w:pPr>
      <w:r>
        <w:rPr>
          <w:rFonts w:hint="eastAsia"/>
          <w:b/>
          <w:bCs/>
          <w:sz w:val="28"/>
          <w:szCs w:val="28"/>
          <w:lang w:val="en-US" w:eastAsia="zh-CN"/>
        </w:rPr>
        <w:drawing>
          <wp:inline distT="0" distB="0" distL="114300" distR="114300">
            <wp:extent cx="2505710" cy="1878965"/>
            <wp:effectExtent l="0" t="0" r="8890" b="6985"/>
            <wp:docPr id="1" name="图片 1" descr="008cf8a301a22473d220cbeead21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08cf8a301a22473d220cbeead21713"/>
                    <pic:cNvPicPr>
                      <a:picLocks noChangeAspect="1"/>
                    </pic:cNvPicPr>
                  </pic:nvPicPr>
                  <pic:blipFill>
                    <a:blip r:embed="rId6"/>
                    <a:stretch>
                      <a:fillRect/>
                    </a:stretch>
                  </pic:blipFill>
                  <pic:spPr>
                    <a:xfrm>
                      <a:off x="0" y="0"/>
                      <a:ext cx="2505710" cy="1878965"/>
                    </a:xfrm>
                    <a:prstGeom prst="rect">
                      <a:avLst/>
                    </a:prstGeom>
                  </pic:spPr>
                </pic:pic>
              </a:graphicData>
            </a:graphic>
          </wp:inline>
        </w:drawing>
      </w:r>
      <w:r>
        <w:rPr>
          <w:rFonts w:hint="eastAsia"/>
          <w:b/>
          <w:bCs/>
          <w:sz w:val="28"/>
          <w:szCs w:val="28"/>
          <w:lang w:val="en-US" w:eastAsia="zh-CN"/>
        </w:rPr>
        <w:t xml:space="preserve"> </w:t>
      </w:r>
      <w:r>
        <w:rPr>
          <w:rFonts w:hint="default"/>
          <w:b/>
          <w:bCs/>
          <w:sz w:val="28"/>
          <w:szCs w:val="28"/>
          <w:lang w:val="en-US" w:eastAsia="zh-CN"/>
        </w:rPr>
        <w:drawing>
          <wp:inline distT="0" distB="0" distL="114300" distR="114300">
            <wp:extent cx="2514600" cy="1849755"/>
            <wp:effectExtent l="0" t="0" r="0" b="17145"/>
            <wp:docPr id="2" name="图片 2" descr="68ea7d3adfd6f81d97e7e78250af8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8ea7d3adfd6f81d97e7e78250af8ad"/>
                    <pic:cNvPicPr>
                      <a:picLocks noChangeAspect="1"/>
                    </pic:cNvPicPr>
                  </pic:nvPicPr>
                  <pic:blipFill>
                    <a:blip r:embed="rId7"/>
                    <a:stretch>
                      <a:fillRect/>
                    </a:stretch>
                  </pic:blipFill>
                  <pic:spPr>
                    <a:xfrm>
                      <a:off x="0" y="0"/>
                      <a:ext cx="2514600" cy="1849755"/>
                    </a:xfrm>
                    <a:prstGeom prst="rect">
                      <a:avLst/>
                    </a:prstGeom>
                  </pic:spPr>
                </pic:pic>
              </a:graphicData>
            </a:graphic>
          </wp:inline>
        </w:drawing>
      </w:r>
    </w:p>
    <w:p>
      <w:pPr>
        <w:tabs>
          <w:tab w:val="left" w:pos="2211"/>
        </w:tabs>
        <w:bidi w:val="0"/>
        <w:jc w:val="both"/>
        <w:rPr>
          <w:rFonts w:hint="default"/>
          <w:b/>
          <w:bCs/>
          <w:sz w:val="28"/>
          <w:szCs w:val="28"/>
          <w:lang w:val="en-US" w:eastAsia="zh-CN"/>
        </w:rPr>
      </w:pPr>
    </w:p>
    <w:p>
      <w:pPr>
        <w:tabs>
          <w:tab w:val="left" w:pos="2211"/>
        </w:tabs>
        <w:bidi w:val="0"/>
        <w:jc w:val="both"/>
        <w:rPr>
          <w:rFonts w:hint="eastAsia"/>
          <w:b/>
          <w:bCs/>
          <w:sz w:val="28"/>
          <w:szCs w:val="28"/>
          <w:lang w:val="en-US" w:eastAsia="zh-CN"/>
        </w:rPr>
      </w:pPr>
      <w:r>
        <w:rPr>
          <w:rFonts w:hint="eastAsia"/>
          <w:b/>
          <w:bCs/>
          <w:sz w:val="28"/>
          <w:szCs w:val="28"/>
          <w:lang w:val="en-US" w:eastAsia="zh-CN"/>
        </w:rPr>
        <w:t>内部：</w:t>
      </w:r>
    </w:p>
    <w:p>
      <w:pPr>
        <w:tabs>
          <w:tab w:val="left" w:pos="2211"/>
        </w:tabs>
        <w:bidi w:val="0"/>
        <w:jc w:val="both"/>
        <w:rPr>
          <w:rFonts w:hint="default"/>
          <w:b/>
          <w:bCs/>
          <w:sz w:val="28"/>
          <w:szCs w:val="28"/>
          <w:lang w:val="en-US" w:eastAsia="zh-CN"/>
        </w:rPr>
      </w:pPr>
      <w:r>
        <w:rPr>
          <w:rFonts w:hint="default"/>
          <w:b/>
          <w:bCs/>
          <w:sz w:val="28"/>
          <w:szCs w:val="28"/>
          <w:lang w:val="en-US" w:eastAsia="zh-CN"/>
        </w:rPr>
        <w:drawing>
          <wp:inline distT="0" distB="0" distL="114300" distR="114300">
            <wp:extent cx="2543175" cy="2005330"/>
            <wp:effectExtent l="0" t="0" r="9525" b="13970"/>
            <wp:docPr id="4" name="图片 4" descr="afd65631e2bb7d15cf8e41bbb58c3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fd65631e2bb7d15cf8e41bbb58c36d"/>
                    <pic:cNvPicPr>
                      <a:picLocks noChangeAspect="1"/>
                    </pic:cNvPicPr>
                  </pic:nvPicPr>
                  <pic:blipFill>
                    <a:blip r:embed="rId8"/>
                    <a:stretch>
                      <a:fillRect/>
                    </a:stretch>
                  </pic:blipFill>
                  <pic:spPr>
                    <a:xfrm>
                      <a:off x="0" y="0"/>
                      <a:ext cx="2543175" cy="2005330"/>
                    </a:xfrm>
                    <a:prstGeom prst="rect">
                      <a:avLst/>
                    </a:prstGeom>
                  </pic:spPr>
                </pic:pic>
              </a:graphicData>
            </a:graphic>
          </wp:inline>
        </w:drawing>
      </w:r>
      <w:r>
        <w:rPr>
          <w:rFonts w:hint="eastAsia"/>
          <w:b/>
          <w:bCs/>
          <w:sz w:val="28"/>
          <w:szCs w:val="28"/>
          <w:lang w:val="en-US" w:eastAsia="zh-CN"/>
        </w:rPr>
        <w:t xml:space="preserve"> </w:t>
      </w:r>
      <w:r>
        <w:rPr>
          <w:rFonts w:hint="default"/>
          <w:b/>
          <w:bCs/>
          <w:sz w:val="28"/>
          <w:szCs w:val="28"/>
          <w:lang w:val="en-US" w:eastAsia="zh-CN"/>
        </w:rPr>
        <w:drawing>
          <wp:inline distT="0" distB="0" distL="114300" distR="114300">
            <wp:extent cx="2531745" cy="2012950"/>
            <wp:effectExtent l="0" t="0" r="1905" b="6350"/>
            <wp:docPr id="5" name="图片 5" descr="116e344ab06dd9cca057e045b58ff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16e344ab06dd9cca057e045b58ff36"/>
                    <pic:cNvPicPr>
                      <a:picLocks noChangeAspect="1"/>
                    </pic:cNvPicPr>
                  </pic:nvPicPr>
                  <pic:blipFill>
                    <a:blip r:embed="rId9"/>
                    <a:stretch>
                      <a:fillRect/>
                    </a:stretch>
                  </pic:blipFill>
                  <pic:spPr>
                    <a:xfrm>
                      <a:off x="0" y="0"/>
                      <a:ext cx="2531745" cy="2012950"/>
                    </a:xfrm>
                    <a:prstGeom prst="rect">
                      <a:avLst/>
                    </a:prstGeom>
                  </pic:spPr>
                </pic:pic>
              </a:graphicData>
            </a:graphic>
          </wp:inline>
        </w:drawing>
      </w:r>
    </w:p>
    <w:p>
      <w:pPr>
        <w:adjustRightInd w:val="0"/>
        <w:snapToGrid w:val="0"/>
        <w:spacing w:line="440" w:lineRule="exact"/>
        <w:contextualSpacing/>
        <w:rPr>
          <w:rFonts w:hint="eastAsia" w:ascii="宋体" w:hAnsi="宋体"/>
          <w:b/>
          <w:bCs/>
          <w:sz w:val="24"/>
          <w:lang w:val="en-US" w:eastAsia="zh-CN"/>
        </w:rPr>
      </w:pPr>
      <w:r>
        <w:rPr>
          <w:rFonts w:hint="eastAsia" w:ascii="宋体" w:hAnsi="宋体"/>
          <w:b/>
          <w:bCs/>
          <w:sz w:val="24"/>
          <w:lang w:val="en-US" w:eastAsia="zh-CN"/>
        </w:rPr>
        <w:t>3.服务协议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9"/>
        <w:ind w:firstLine="0"/>
      </w:pPr>
    </w:p>
    <w:p>
      <w:pPr>
        <w:jc w:val="center"/>
        <w:rPr>
          <w:rFonts w:ascii="宋体" w:hAnsi="宋体"/>
          <w:b/>
          <w:bCs/>
          <w:sz w:val="36"/>
          <w:szCs w:val="36"/>
        </w:rPr>
      </w:pPr>
      <w:r>
        <w:rPr>
          <w:rFonts w:hint="eastAsia" w:ascii="宋体" w:hAnsi="宋体"/>
          <w:b/>
          <w:bCs/>
          <w:sz w:val="36"/>
          <w:szCs w:val="36"/>
        </w:rPr>
        <w:t>投标文件</w:t>
      </w:r>
    </w:p>
    <w:p>
      <w:pPr>
        <w:pStyle w:val="19"/>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9"/>
        <w:ind w:firstLine="0"/>
      </w:pPr>
    </w:p>
    <w:p>
      <w:pPr>
        <w:pStyle w:val="19"/>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9"/>
        <w:rPr>
          <w:sz w:val="36"/>
          <w:szCs w:val="36"/>
        </w:rPr>
      </w:pPr>
    </w:p>
    <w:p>
      <w:pPr>
        <w:pStyle w:val="19"/>
        <w:rPr>
          <w:sz w:val="36"/>
          <w:szCs w:val="36"/>
        </w:rPr>
      </w:pPr>
    </w:p>
    <w:p>
      <w:pPr>
        <w:pStyle w:val="19"/>
        <w:rPr>
          <w:sz w:val="36"/>
          <w:szCs w:val="36"/>
        </w:rPr>
      </w:pPr>
    </w:p>
    <w:p>
      <w:pPr>
        <w:rPr>
          <w:b/>
          <w:sz w:val="36"/>
          <w:szCs w:val="36"/>
        </w:rPr>
      </w:pPr>
    </w:p>
    <w:p>
      <w:pPr>
        <w:pStyle w:val="19"/>
        <w:ind w:firstLine="0"/>
        <w:jc w:val="left"/>
      </w:pPr>
    </w:p>
    <w:p>
      <w:pPr>
        <w:jc w:val="center"/>
        <w:rPr>
          <w:rFonts w:ascii="宋体" w:hAnsi="宋体"/>
          <w:b/>
          <w:sz w:val="36"/>
          <w:szCs w:val="36"/>
          <w:u w:val="single"/>
        </w:rPr>
      </w:pPr>
      <w:r>
        <w:rPr>
          <w:rFonts w:hint="eastAsia"/>
          <w:b/>
          <w:sz w:val="36"/>
          <w:szCs w:val="36"/>
        </w:rPr>
        <w:t>目录</w:t>
      </w:r>
    </w:p>
    <w:p>
      <w:pPr>
        <w:pStyle w:val="8"/>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东区流调大棚及2号核酸采集点拆除项目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YDFYXJ-20230403</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9"/>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9"/>
        <w:rPr>
          <w:rFonts w:ascii="宋体" w:hAnsi="宋体" w:cs="宋体"/>
          <w:sz w:val="28"/>
          <w:szCs w:val="28"/>
        </w:rPr>
      </w:pPr>
    </w:p>
    <w:p>
      <w:pPr>
        <w:pStyle w:val="7"/>
        <w:ind w:left="0" w:leftChars="0" w:firstLine="0" w:firstLineChars="0"/>
        <w:rPr>
          <w:b/>
          <w:sz w:val="36"/>
          <w:szCs w:val="36"/>
        </w:rPr>
      </w:pPr>
    </w:p>
    <w:p>
      <w:pPr>
        <w:pStyle w:val="7"/>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ind w:firstLine="0"/>
      </w:pPr>
    </w:p>
    <w:p>
      <w:pPr>
        <w:pStyle w:val="19"/>
        <w:ind w:firstLine="0"/>
      </w:pPr>
    </w:p>
    <w:p>
      <w:pPr>
        <w:pStyle w:val="19"/>
        <w:ind w:firstLine="0"/>
      </w:pPr>
    </w:p>
    <w:p>
      <w:pPr>
        <w:pStyle w:val="19"/>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8"/>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pStyle w:val="19"/>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21"/>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7"/>
            </w:pPr>
          </w:p>
          <w:p/>
          <w:p>
            <w:pPr>
              <w:pStyle w:val="7"/>
            </w:pPr>
          </w:p>
          <w:p/>
          <w:p>
            <w:pPr>
              <w:pStyle w:val="7"/>
            </w:pPr>
          </w:p>
          <w:p/>
          <w:p>
            <w:pPr>
              <w:pStyle w:val="7"/>
            </w:pPr>
          </w:p>
          <w:p/>
          <w:p>
            <w:pPr>
              <w:pStyle w:val="7"/>
            </w:pPr>
          </w:p>
          <w:p/>
          <w:p>
            <w:pPr>
              <w:pStyle w:val="7"/>
            </w:pPr>
          </w:p>
          <w:p/>
          <w:p>
            <w:pPr>
              <w:pStyle w:val="7"/>
            </w:pPr>
          </w:p>
          <w:p/>
          <w:p>
            <w:pPr>
              <w:pStyle w:val="7"/>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7"/>
        <w:ind w:left="0" w:leftChars="0" w:firstLine="0" w:firstLineChars="0"/>
        <w:rPr>
          <w:rFonts w:ascii="宋体" w:hAnsi="宋体"/>
          <w:kern w:val="0"/>
          <w:sz w:val="36"/>
          <w:szCs w:val="36"/>
        </w:rPr>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7"/>
        <w:rPr>
          <w:rFonts w:ascii="宋体" w:hAnsi="宋体"/>
        </w:rPr>
      </w:pPr>
    </w:p>
    <w:p>
      <w:pPr>
        <w:rPr>
          <w:rFonts w:ascii="宋体" w:hAnsi="宋体"/>
        </w:rPr>
      </w:pPr>
    </w:p>
    <w:p>
      <w:pPr>
        <w:pStyle w:val="7"/>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20"/>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4"/>
              <w:adjustRightInd w:val="0"/>
              <w:snapToGrid w:val="0"/>
              <w:spacing w:line="440" w:lineRule="exact"/>
              <w:contextualSpacing/>
              <w:jc w:val="center"/>
              <w:rPr>
                <w:rFonts w:ascii="Times New Roman"/>
                <w:bCs/>
              </w:rPr>
            </w:pPr>
          </w:p>
        </w:tc>
        <w:tc>
          <w:tcPr>
            <w:tcW w:w="3244" w:type="pct"/>
            <w:vAlign w:val="center"/>
          </w:tcPr>
          <w:p>
            <w:pPr>
              <w:pStyle w:val="34"/>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4"/>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pStyle w:val="19"/>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7"/>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9"/>
      </w:pPr>
    </w:p>
    <w:p>
      <w:pPr>
        <w:rPr>
          <w:rFonts w:hint="eastAsia" w:ascii="宋体" w:hAnsi="宋体"/>
          <w:b/>
          <w:sz w:val="36"/>
          <w:szCs w:val="36"/>
        </w:rPr>
      </w:pPr>
      <w:bookmarkStart w:id="1" w:name="_Toc16938559"/>
      <w:bookmarkStart w:id="2" w:name="_Toc513029243"/>
      <w:bookmarkStart w:id="3" w:name="_Toc20823315"/>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东区流调大棚及2号核酸采集点拆除项目</w:t>
      </w:r>
    </w:p>
    <w:p>
      <w:pPr>
        <w:pStyle w:val="12"/>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YDFYXJ-20230403</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2"/>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东区流调大棚及2号核酸采集点拆除项目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东区流调大棚及2号核酸采集点拆除项目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8"/>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2"/>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2"/>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7</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完成拆除工作</w:t>
      </w:r>
      <w:r>
        <w:rPr>
          <w:rFonts w:hint="eastAsia" w:ascii="宋体" w:hAnsi="宋体" w:cs="宋体"/>
          <w:color w:val="000000"/>
          <w:kern w:val="0"/>
          <w:sz w:val="24"/>
        </w:rPr>
        <w:t>。</w:t>
      </w:r>
      <w:bookmarkStart w:id="4" w:name="_GoBack"/>
      <w:bookmarkEnd w:id="4"/>
    </w:p>
    <w:p>
      <w:pPr>
        <w:pStyle w:val="11"/>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rPr>
      </w:pPr>
      <w:r>
        <w:rPr>
          <w:rFonts w:hint="eastAsia" w:ascii="宋体" w:hAnsi="宋体"/>
          <w:sz w:val="24"/>
        </w:rPr>
        <w:t>2.</w:t>
      </w:r>
      <w:r>
        <w:rPr>
          <w:rFonts w:hint="eastAsia" w:ascii="宋体" w:hAnsi="宋体" w:cs="宋体"/>
          <w:color w:val="000000"/>
          <w:kern w:val="0"/>
          <w:sz w:val="24"/>
        </w:rPr>
        <w:t>在所供商品交付使用时，乙方必须向甲方提供产品说明书、质量保证书、保修卡等必须具备的相关资料和必备的附件。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color w:val="000000"/>
          <w:kern w:val="0"/>
          <w:sz w:val="24"/>
          <w:lang w:val="en-US" w:eastAsia="zh-CN"/>
        </w:rPr>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77780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27325D2"/>
    <w:rsid w:val="12860106"/>
    <w:rsid w:val="135E7630"/>
    <w:rsid w:val="13AD2810"/>
    <w:rsid w:val="14574206"/>
    <w:rsid w:val="14A043CE"/>
    <w:rsid w:val="14CA0422"/>
    <w:rsid w:val="151678B8"/>
    <w:rsid w:val="15D76399"/>
    <w:rsid w:val="15F35842"/>
    <w:rsid w:val="17161F71"/>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735059"/>
    <w:rsid w:val="23E9338C"/>
    <w:rsid w:val="2466755A"/>
    <w:rsid w:val="24782FEE"/>
    <w:rsid w:val="24E27B0B"/>
    <w:rsid w:val="26FD1144"/>
    <w:rsid w:val="270244AF"/>
    <w:rsid w:val="279829B9"/>
    <w:rsid w:val="28795CAE"/>
    <w:rsid w:val="28CF6D5C"/>
    <w:rsid w:val="28D728FE"/>
    <w:rsid w:val="290E1224"/>
    <w:rsid w:val="292206E7"/>
    <w:rsid w:val="298A42A2"/>
    <w:rsid w:val="29DD5C6A"/>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3C624B"/>
    <w:rsid w:val="349B0B50"/>
    <w:rsid w:val="354C2853"/>
    <w:rsid w:val="35CA1979"/>
    <w:rsid w:val="35D6255E"/>
    <w:rsid w:val="375A406B"/>
    <w:rsid w:val="37CB42F0"/>
    <w:rsid w:val="395873E0"/>
    <w:rsid w:val="398427FF"/>
    <w:rsid w:val="3B6B7997"/>
    <w:rsid w:val="3C7E55A0"/>
    <w:rsid w:val="3C7E7E4D"/>
    <w:rsid w:val="3C8D3C65"/>
    <w:rsid w:val="3D920AB3"/>
    <w:rsid w:val="3E4F54B3"/>
    <w:rsid w:val="3EA006FD"/>
    <w:rsid w:val="406A6438"/>
    <w:rsid w:val="40C726B4"/>
    <w:rsid w:val="4163555B"/>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1B60E3"/>
    <w:rsid w:val="4C2279B2"/>
    <w:rsid w:val="4C4135B6"/>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60560AD"/>
    <w:rsid w:val="56410E61"/>
    <w:rsid w:val="56881779"/>
    <w:rsid w:val="57CE325B"/>
    <w:rsid w:val="57DA3AB3"/>
    <w:rsid w:val="58A415C5"/>
    <w:rsid w:val="590F082F"/>
    <w:rsid w:val="59104CF0"/>
    <w:rsid w:val="591C0A3A"/>
    <w:rsid w:val="592A7A9B"/>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EA77160"/>
    <w:rsid w:val="5F1D0DE7"/>
    <w:rsid w:val="600E4C27"/>
    <w:rsid w:val="60186A28"/>
    <w:rsid w:val="60446E43"/>
    <w:rsid w:val="60DB4EA5"/>
    <w:rsid w:val="612E05C2"/>
    <w:rsid w:val="616C3D5B"/>
    <w:rsid w:val="61806483"/>
    <w:rsid w:val="619072D4"/>
    <w:rsid w:val="61F801D2"/>
    <w:rsid w:val="62682BAD"/>
    <w:rsid w:val="626E3CB0"/>
    <w:rsid w:val="632E169A"/>
    <w:rsid w:val="63473929"/>
    <w:rsid w:val="63AA1A78"/>
    <w:rsid w:val="64D65B4F"/>
    <w:rsid w:val="65F2258C"/>
    <w:rsid w:val="66A07C1E"/>
    <w:rsid w:val="66AF19DA"/>
    <w:rsid w:val="6710513C"/>
    <w:rsid w:val="673E62A6"/>
    <w:rsid w:val="675A5AE8"/>
    <w:rsid w:val="677A6507"/>
    <w:rsid w:val="678D2F92"/>
    <w:rsid w:val="687B1D33"/>
    <w:rsid w:val="6A056E3D"/>
    <w:rsid w:val="6D633984"/>
    <w:rsid w:val="6DF60098"/>
    <w:rsid w:val="6E1F0C2D"/>
    <w:rsid w:val="6F882E18"/>
    <w:rsid w:val="708C2B36"/>
    <w:rsid w:val="70952B65"/>
    <w:rsid w:val="70A153BD"/>
    <w:rsid w:val="70C57A02"/>
    <w:rsid w:val="70DB38A7"/>
    <w:rsid w:val="70FE780D"/>
    <w:rsid w:val="71D1780D"/>
    <w:rsid w:val="71DC1AE4"/>
    <w:rsid w:val="72217603"/>
    <w:rsid w:val="72487296"/>
    <w:rsid w:val="7282207E"/>
    <w:rsid w:val="74226CB9"/>
    <w:rsid w:val="75006B73"/>
    <w:rsid w:val="750721CD"/>
    <w:rsid w:val="75126C7B"/>
    <w:rsid w:val="75893D2A"/>
    <w:rsid w:val="764E69E8"/>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firstLine="576"/>
    </w:pPr>
    <w:rPr>
      <w:b/>
      <w:sz w:val="30"/>
    </w:rPr>
  </w:style>
  <w:style w:type="paragraph" w:styleId="3">
    <w:name w:val="Body Text"/>
    <w:basedOn w:val="1"/>
    <w:next w:val="4"/>
    <w:qFormat/>
    <w:uiPriority w:val="99"/>
    <w:rPr>
      <w:rFonts w:ascii="楷体_GB2312" w:hAnsi="Arial" w:eastAsia="楷体_GB2312"/>
      <w:kern w:val="0"/>
      <w:sz w:val="28"/>
      <w:szCs w:val="28"/>
    </w:rPr>
  </w:style>
  <w:style w:type="paragraph" w:customStyle="1" w:styleId="4">
    <w:name w:val="一级条标题"/>
    <w:basedOn w:val="5"/>
    <w:next w:val="6"/>
    <w:qFormat/>
    <w:uiPriority w:val="0"/>
    <w:pPr>
      <w:spacing w:line="240" w:lineRule="auto"/>
      <w:ind w:left="420"/>
      <w:outlineLvl w:val="2"/>
    </w:pPr>
  </w:style>
  <w:style w:type="paragraph" w:customStyle="1" w:styleId="5">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6">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styleId="7">
    <w:name w:val="table of authorities"/>
    <w:basedOn w:val="1"/>
    <w:next w:val="1"/>
    <w:qFormat/>
    <w:uiPriority w:val="0"/>
    <w:pPr>
      <w:ind w:left="420" w:leftChars="200"/>
    </w:pPr>
  </w:style>
  <w:style w:type="paragraph" w:styleId="8">
    <w:name w:val="Normal Indent"/>
    <w:basedOn w:val="1"/>
    <w:link w:val="35"/>
    <w:unhideWhenUsed/>
    <w:qFormat/>
    <w:uiPriority w:val="0"/>
    <w:pPr>
      <w:ind w:firstLine="420" w:firstLineChars="200"/>
    </w:pPr>
  </w:style>
  <w:style w:type="paragraph" w:styleId="9">
    <w:name w:val="annotation text"/>
    <w:basedOn w:val="1"/>
    <w:semiHidden/>
    <w:unhideWhenUsed/>
    <w:qFormat/>
    <w:uiPriority w:val="99"/>
    <w:pPr>
      <w:jc w:val="left"/>
    </w:pPr>
  </w:style>
  <w:style w:type="paragraph" w:styleId="10">
    <w:name w:val="Body Text 3"/>
    <w:basedOn w:val="1"/>
    <w:next w:val="1"/>
    <w:qFormat/>
    <w:uiPriority w:val="0"/>
    <w:pPr>
      <w:spacing w:after="120" w:afterLines="0"/>
    </w:pPr>
    <w:rPr>
      <w:sz w:val="16"/>
      <w:szCs w:val="16"/>
    </w:rPr>
  </w:style>
  <w:style w:type="paragraph" w:styleId="11">
    <w:name w:val="List Bullet 2"/>
    <w:basedOn w:val="1"/>
    <w:unhideWhenUsed/>
    <w:qFormat/>
    <w:uiPriority w:val="0"/>
    <w:pPr>
      <w:numPr>
        <w:ilvl w:val="0"/>
        <w:numId w:val="1"/>
      </w:numPr>
      <w:contextualSpacing/>
    </w:pPr>
    <w:rPr>
      <w:rFonts w:ascii="Calibri" w:hAnsi="Calibri"/>
    </w:rPr>
  </w:style>
  <w:style w:type="paragraph" w:styleId="12">
    <w:name w:val="Plain Text"/>
    <w:basedOn w:val="1"/>
    <w:link w:val="30"/>
    <w:qFormat/>
    <w:uiPriority w:val="99"/>
    <w:rPr>
      <w:rFonts w:ascii="宋体" w:hAnsi="Courier New"/>
      <w:szCs w:val="20"/>
    </w:rPr>
  </w:style>
  <w:style w:type="paragraph" w:styleId="13">
    <w:name w:val="Balloon Text"/>
    <w:basedOn w:val="1"/>
    <w:link w:val="29"/>
    <w:semiHidden/>
    <w:unhideWhenUsed/>
    <w:qFormat/>
    <w:uiPriority w:val="99"/>
    <w:rPr>
      <w:sz w:val="18"/>
      <w:szCs w:val="18"/>
    </w:rPr>
  </w:style>
  <w:style w:type="paragraph" w:styleId="14">
    <w:name w:val="footer"/>
    <w:basedOn w:val="1"/>
    <w:link w:val="28"/>
    <w:unhideWhenUsed/>
    <w:qFormat/>
    <w:uiPriority w:val="99"/>
    <w:pPr>
      <w:tabs>
        <w:tab w:val="center" w:pos="4153"/>
        <w:tab w:val="right" w:pos="8306"/>
      </w:tabs>
      <w:snapToGrid w:val="0"/>
      <w:jc w:val="left"/>
    </w:pPr>
    <w:rPr>
      <w:sz w:val="18"/>
      <w:szCs w:val="18"/>
    </w:rPr>
  </w:style>
  <w:style w:type="paragraph" w:styleId="15">
    <w:name w:val="header"/>
    <w:basedOn w:val="1"/>
    <w:link w:val="27"/>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2"/>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Body Text 2"/>
    <w:basedOn w:val="1"/>
    <w:qFormat/>
    <w:uiPriority w:val="0"/>
    <w:pPr>
      <w:spacing w:after="120" w:line="480" w:lineRule="auto"/>
    </w:p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9">
    <w:name w:val="Body Text First Indent 2"/>
    <w:basedOn w:val="2"/>
    <w:next w:val="8"/>
    <w:qFormat/>
    <w:uiPriority w:val="0"/>
    <w:pPr>
      <w:ind w:firstLine="420"/>
    </w:p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semiHidden/>
    <w:unhideWhenUsed/>
    <w:qFormat/>
    <w:uiPriority w:val="99"/>
    <w:rPr>
      <w:color w:val="222222"/>
      <w:u w:val="none"/>
    </w:rPr>
  </w:style>
  <w:style w:type="character" w:styleId="24">
    <w:name w:val="Hyperlink"/>
    <w:basedOn w:val="22"/>
    <w:unhideWhenUsed/>
    <w:qFormat/>
    <w:uiPriority w:val="99"/>
    <w:rPr>
      <w:color w:val="0000FF" w:themeColor="hyperlink"/>
      <w:u w:val="single"/>
    </w:rPr>
  </w:style>
  <w:style w:type="paragraph" w:customStyle="1" w:styleId="25">
    <w:name w:val="正文（缩进）"/>
    <w:basedOn w:val="1"/>
    <w:qFormat/>
    <w:uiPriority w:val="0"/>
    <w:pPr>
      <w:ind w:firstLine="480" w:firstLineChars="200"/>
    </w:pPr>
  </w:style>
  <w:style w:type="paragraph" w:customStyle="1" w:styleId="26">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7">
    <w:name w:val="页眉 Char"/>
    <w:basedOn w:val="22"/>
    <w:link w:val="15"/>
    <w:semiHidden/>
    <w:qFormat/>
    <w:uiPriority w:val="99"/>
    <w:rPr>
      <w:rFonts w:eastAsia="宋体"/>
      <w:kern w:val="2"/>
      <w:sz w:val="18"/>
      <w:szCs w:val="18"/>
    </w:rPr>
  </w:style>
  <w:style w:type="character" w:customStyle="1" w:styleId="28">
    <w:name w:val="页脚 Char"/>
    <w:basedOn w:val="22"/>
    <w:link w:val="14"/>
    <w:semiHidden/>
    <w:qFormat/>
    <w:uiPriority w:val="99"/>
    <w:rPr>
      <w:rFonts w:eastAsia="宋体"/>
      <w:kern w:val="2"/>
      <w:sz w:val="18"/>
      <w:szCs w:val="18"/>
    </w:rPr>
  </w:style>
  <w:style w:type="character" w:customStyle="1" w:styleId="29">
    <w:name w:val="批注框文本 Char"/>
    <w:basedOn w:val="22"/>
    <w:link w:val="13"/>
    <w:semiHidden/>
    <w:qFormat/>
    <w:uiPriority w:val="99"/>
    <w:rPr>
      <w:rFonts w:eastAsia="宋体"/>
      <w:kern w:val="2"/>
      <w:sz w:val="18"/>
      <w:szCs w:val="18"/>
    </w:rPr>
  </w:style>
  <w:style w:type="character" w:customStyle="1" w:styleId="30">
    <w:name w:val="纯文本 Char"/>
    <w:basedOn w:val="22"/>
    <w:link w:val="12"/>
    <w:qFormat/>
    <w:uiPriority w:val="99"/>
    <w:rPr>
      <w:rFonts w:ascii="宋体" w:hAnsi="Courier New" w:eastAsia="宋体"/>
      <w:kern w:val="2"/>
      <w:sz w:val="21"/>
    </w:rPr>
  </w:style>
  <w:style w:type="character" w:customStyle="1" w:styleId="31">
    <w:name w:val="副标题 Char"/>
    <w:qFormat/>
    <w:uiPriority w:val="0"/>
    <w:rPr>
      <w:rFonts w:ascii="Cambria" w:hAnsi="Cambria"/>
      <w:b/>
      <w:bCs/>
      <w:kern w:val="28"/>
      <w:sz w:val="32"/>
      <w:szCs w:val="32"/>
    </w:rPr>
  </w:style>
  <w:style w:type="character" w:customStyle="1" w:styleId="32">
    <w:name w:val="副标题 Char1"/>
    <w:basedOn w:val="22"/>
    <w:link w:val="16"/>
    <w:qFormat/>
    <w:uiPriority w:val="0"/>
    <w:rPr>
      <w:rFonts w:eastAsia="宋体" w:asciiTheme="majorHAnsi" w:hAnsiTheme="majorHAnsi" w:cstheme="majorBidi"/>
      <w:b/>
      <w:bCs/>
      <w:kern w:val="28"/>
      <w:sz w:val="32"/>
      <w:szCs w:val="32"/>
    </w:rPr>
  </w:style>
  <w:style w:type="paragraph" w:styleId="33">
    <w:name w:val="List Paragraph"/>
    <w:basedOn w:val="1"/>
    <w:unhideWhenUsed/>
    <w:qFormat/>
    <w:uiPriority w:val="99"/>
    <w:pPr>
      <w:ind w:firstLine="420" w:firstLineChars="200"/>
    </w:pPr>
  </w:style>
  <w:style w:type="paragraph" w:customStyle="1" w:styleId="34">
    <w:name w:val="普通文字"/>
    <w:basedOn w:val="1"/>
    <w:next w:val="1"/>
    <w:qFormat/>
    <w:uiPriority w:val="0"/>
    <w:rPr>
      <w:rFonts w:ascii="宋体"/>
      <w:kern w:val="0"/>
      <w:sz w:val="24"/>
      <w:u w:color="000000"/>
    </w:rPr>
  </w:style>
  <w:style w:type="character" w:customStyle="1" w:styleId="35">
    <w:name w:val="正文缩进 Char"/>
    <w:link w:val="8"/>
    <w:qFormat/>
    <w:uiPriority w:val="0"/>
    <w:rPr>
      <w:kern w:val="2"/>
      <w:sz w:val="21"/>
      <w:szCs w:val="24"/>
    </w:rPr>
  </w:style>
  <w:style w:type="character" w:customStyle="1" w:styleId="36">
    <w:name w:val="NormalCharacter"/>
    <w:qFormat/>
    <w:uiPriority w:val="0"/>
  </w:style>
  <w:style w:type="character" w:customStyle="1" w:styleId="37">
    <w:name w:val="font11"/>
    <w:basedOn w:val="22"/>
    <w:qFormat/>
    <w:uiPriority w:val="0"/>
    <w:rPr>
      <w:rFonts w:hint="eastAsia" w:ascii="宋体" w:hAnsi="宋体" w:eastAsia="宋体" w:cs="宋体"/>
      <w:b/>
      <w:bCs/>
      <w:color w:val="000000"/>
      <w:sz w:val="22"/>
      <w:szCs w:val="22"/>
      <w:u w:val="none"/>
    </w:rPr>
  </w:style>
  <w:style w:type="character" w:customStyle="1" w:styleId="38">
    <w:name w:val="font71"/>
    <w:basedOn w:val="22"/>
    <w:qFormat/>
    <w:uiPriority w:val="0"/>
    <w:rPr>
      <w:rFonts w:hint="eastAsia" w:ascii="宋体" w:hAnsi="宋体" w:eastAsia="宋体" w:cs="宋体"/>
      <w:b/>
      <w:bCs/>
      <w:color w:val="000000"/>
      <w:sz w:val="22"/>
      <w:szCs w:val="22"/>
      <w:u w:val="none"/>
    </w:rPr>
  </w:style>
  <w:style w:type="paragraph" w:customStyle="1" w:styleId="39">
    <w:name w:val="CM20"/>
    <w:basedOn w:val="40"/>
    <w:next w:val="40"/>
    <w:qFormat/>
    <w:uiPriority w:val="0"/>
    <w:pPr>
      <w:spacing w:line="411" w:lineRule="atLeast"/>
    </w:pPr>
    <w:rPr>
      <w:rFonts w:cs="Times New Roman"/>
      <w:color w:val="auto"/>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1">
    <w:name w:val="font21"/>
    <w:basedOn w:val="2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4814</Words>
  <Characters>5193</Characters>
  <Lines>70</Lines>
  <Paragraphs>19</Paragraphs>
  <TotalTime>41</TotalTime>
  <ScaleCrop>false</ScaleCrop>
  <LinksUpToDate>false</LinksUpToDate>
  <CharactersWithSpaces>5847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2023-04-17T08:01:39Z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A1DAC28A50F347B68D0C2A2E30B9C7D5</vt:lpwstr>
  </property>
</Properties>
</file>