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YDFYXJ-20230501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药剂科防盗门采购安装项目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药剂科防盗门采购安装项目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YDFYXJ-20230501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药剂科防盗门采购安装项目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10</w:t>
      </w:r>
      <w:r>
        <w:rPr>
          <w:rFonts w:hint="eastAsia" w:ascii="宋体" w:hAnsi="宋体"/>
          <w:b/>
          <w:sz w:val="24"/>
          <w:highlight w:val="none"/>
        </w:rPr>
        <w:t>日</w:t>
      </w:r>
      <w:r>
        <w:rPr>
          <w:rFonts w:hint="eastAsia" w:ascii="宋体" w:hAnsi="宋体"/>
          <w:b/>
          <w:sz w:val="24"/>
          <w:highlight w:val="none"/>
          <w:lang w:val="en-US" w:eastAsia="zh-CN"/>
        </w:rPr>
        <w:t>下午14</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药剂科防盗门采购安装项目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药剂科防盗门采购安装项目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5</w:t>
      </w:r>
      <w:r>
        <w:rPr>
          <w:rFonts w:hint="eastAsia" w:cs="微软雅黑"/>
          <w:b/>
          <w:highlight w:val="none"/>
        </w:rPr>
        <w:t>月</w:t>
      </w:r>
      <w:r>
        <w:rPr>
          <w:rFonts w:hint="eastAsia" w:ascii="宋体" w:hAnsi="宋体"/>
          <w:b/>
          <w:sz w:val="24"/>
          <w:highlight w:val="none"/>
          <w:lang w:val="en-US" w:eastAsia="zh-CN"/>
        </w:rPr>
        <w:t>10</w:t>
      </w:r>
      <w:r>
        <w:rPr>
          <w:rFonts w:hint="eastAsia" w:ascii="宋体" w:hAnsi="宋体"/>
          <w:b/>
          <w:sz w:val="24"/>
          <w:highlight w:val="none"/>
        </w:rPr>
        <w:t>日</w:t>
      </w:r>
      <w:r>
        <w:rPr>
          <w:rFonts w:hint="eastAsia" w:ascii="宋体" w:hAnsi="宋体"/>
          <w:b/>
          <w:sz w:val="24"/>
          <w:highlight w:val="none"/>
          <w:lang w:val="en-US" w:eastAsia="zh-CN"/>
        </w:rPr>
        <w:t>下午14</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5</w:t>
      </w:r>
      <w:r>
        <w:rPr>
          <w:rStyle w:val="36"/>
          <w:rFonts w:ascii="宋体" w:hAnsi="宋体"/>
          <w:b/>
          <w:sz w:val="24"/>
          <w:highlight w:val="none"/>
        </w:rPr>
        <w:t>月</w:t>
      </w:r>
      <w:r>
        <w:rPr>
          <w:rFonts w:hint="eastAsia" w:ascii="宋体" w:hAnsi="宋体"/>
          <w:b/>
          <w:sz w:val="24"/>
          <w:highlight w:val="none"/>
          <w:lang w:val="en-US" w:eastAsia="zh-CN"/>
        </w:rPr>
        <w:t>10</w:t>
      </w:r>
      <w:r>
        <w:rPr>
          <w:rFonts w:hint="eastAsia" w:ascii="宋体" w:hAnsi="宋体"/>
          <w:b/>
          <w:sz w:val="24"/>
          <w:highlight w:val="none"/>
        </w:rPr>
        <w:t>日</w:t>
      </w:r>
      <w:r>
        <w:rPr>
          <w:rFonts w:hint="eastAsia" w:ascii="宋体" w:hAnsi="宋体"/>
          <w:b/>
          <w:sz w:val="24"/>
          <w:highlight w:val="none"/>
          <w:lang w:val="en-US" w:eastAsia="zh-CN"/>
        </w:rPr>
        <w:t>下午14</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10</w:t>
      </w:r>
      <w:r>
        <w:rPr>
          <w:rFonts w:hint="eastAsia" w:ascii="宋体" w:hAnsi="宋体"/>
          <w:b/>
          <w:sz w:val="24"/>
          <w:highlight w:val="none"/>
        </w:rPr>
        <w:t>日</w:t>
      </w:r>
      <w:r>
        <w:rPr>
          <w:rFonts w:hint="eastAsia" w:ascii="宋体" w:hAnsi="宋体"/>
          <w:b/>
          <w:sz w:val="24"/>
          <w:highlight w:val="none"/>
          <w:lang w:val="en-US" w:eastAsia="zh-CN"/>
        </w:rPr>
        <w:t>下午14</w:t>
      </w:r>
      <w:r>
        <w:rPr>
          <w:rFonts w:hint="eastAsia" w:ascii="宋体" w:hAnsi="宋体"/>
          <w:b/>
          <w:sz w:val="24"/>
          <w:highlight w:val="none"/>
        </w:rPr>
        <w:t>：30</w:t>
      </w:r>
      <w:bookmarkStart w:id="4" w:name="_GoBack"/>
      <w:bookmarkEnd w:id="4"/>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药剂科防盗门采购安装项目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YDFYXJ-20230501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2"/>
        <w:rPr>
          <w:rFonts w:hint="eastAsia" w:ascii="宋体" w:hAnsi="宋体" w:eastAsia="宋体" w:cs="宋体"/>
          <w:b w:val="0"/>
          <w:snapToGrid w:val="0"/>
          <w:kern w:val="0"/>
          <w:sz w:val="24"/>
          <w:szCs w:val="24"/>
          <w:highlight w:val="none"/>
          <w:lang w:val="en-US" w:eastAsia="zh-CN" w:bidi="ar-SA"/>
        </w:rPr>
      </w:pPr>
    </w:p>
    <w:p>
      <w:pPr>
        <w:pStyle w:val="2"/>
        <w:rPr>
          <w:rFonts w:hint="default" w:ascii="宋体" w:hAnsi="宋体" w:eastAsia="宋体" w:cs="宋体"/>
          <w:b w:val="0"/>
          <w:snapToGrid w:val="0"/>
          <w:kern w:val="0"/>
          <w:sz w:val="24"/>
          <w:szCs w:val="24"/>
          <w:highlight w:val="none"/>
          <w:lang w:val="en-US" w:eastAsia="zh-CN" w:bidi="ar-SA"/>
        </w:rPr>
      </w:pPr>
      <w:r>
        <w:rPr>
          <w:rFonts w:hint="eastAsia" w:ascii="宋体" w:hAnsi="宋体" w:eastAsia="宋体" w:cs="宋体"/>
          <w:b w:val="0"/>
          <w:snapToGrid w:val="0"/>
          <w:kern w:val="0"/>
          <w:sz w:val="24"/>
          <w:szCs w:val="24"/>
          <w:highlight w:val="none"/>
          <w:lang w:val="en-US" w:eastAsia="zh-CN" w:bidi="ar-SA"/>
        </w:rPr>
        <w:t>诺沃芬防盗门一套（2350*1780），含旧门拆除及新门安装</w:t>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218440</wp:posOffset>
            </wp:positionV>
            <wp:extent cx="5262245" cy="3720465"/>
            <wp:effectExtent l="0" t="0" r="14605" b="13335"/>
            <wp:wrapSquare wrapText="bothSides"/>
            <wp:docPr id="1" name="图片 1" descr="168316625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3166256025"/>
                    <pic:cNvPicPr>
                      <a:picLocks noChangeAspect="1"/>
                    </pic:cNvPicPr>
                  </pic:nvPicPr>
                  <pic:blipFill>
                    <a:blip r:embed="rId6"/>
                    <a:stretch>
                      <a:fillRect/>
                    </a:stretch>
                  </pic:blipFill>
                  <pic:spPr>
                    <a:xfrm>
                      <a:off x="0" y="0"/>
                      <a:ext cx="5262245" cy="3720465"/>
                    </a:xfrm>
                    <a:prstGeom prst="rect">
                      <a:avLst/>
                    </a:prstGeom>
                  </pic:spPr>
                </pic:pic>
              </a:graphicData>
            </a:graphic>
          </wp:anchor>
        </w:drawing>
      </w: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药剂科防盗门采购安装项目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YDFYXJ-20230501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药剂科防盗门采购安装项目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YDFYXJ-20230501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药剂科防盗门采购安装项目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药剂科防盗门采购安装项目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3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安装交付使用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CE325B"/>
    <w:rsid w:val="57DA3AB3"/>
    <w:rsid w:val="58A415C5"/>
    <w:rsid w:val="590F082F"/>
    <w:rsid w:val="59104CF0"/>
    <w:rsid w:val="591C0A3A"/>
    <w:rsid w:val="592A7A9B"/>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8AD3801"/>
    <w:rsid w:val="6A056E3D"/>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5893D2A"/>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4199</Words>
  <Characters>4531</Characters>
  <Lines>70</Lines>
  <Paragraphs>19</Paragraphs>
  <TotalTime>2</TotalTime>
  <ScaleCrop>false</ScaleCrop>
  <LinksUpToDate>false</LinksUpToDate>
  <CharactersWithSpaces>5182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2023-05-06T00:11:35Z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