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s="宋体"/>
          <w:b/>
          <w:bCs/>
          <w:color w:val="auto"/>
          <w:sz w:val="36"/>
          <w:highlight w:val="none"/>
        </w:rPr>
      </w:pPr>
    </w:p>
    <w:p>
      <w:pPr>
        <w:jc w:val="right"/>
        <w:rPr>
          <w:rFonts w:ascii="宋体" w:hAnsi="宋体"/>
          <w:color w:val="auto"/>
          <w:sz w:val="28"/>
          <w:highlight w:val="none"/>
        </w:rPr>
      </w:pPr>
      <w:r>
        <w:rPr>
          <w:rFonts w:hint="eastAsia" w:ascii="宋体" w:hAnsi="宋体" w:cs="宋体"/>
          <w:b/>
          <w:bCs/>
          <w:color w:val="auto"/>
          <w:sz w:val="36"/>
          <w:highlight w:val="none"/>
        </w:rPr>
        <w:t>JSHCZB-20230454号</w:t>
      </w:r>
    </w:p>
    <w:p>
      <w:pPr>
        <w:adjustRightInd w:val="0"/>
        <w:snapToGrid w:val="0"/>
        <w:spacing w:line="800" w:lineRule="exact"/>
        <w:contextualSpacing/>
        <w:jc w:val="center"/>
        <w:rPr>
          <w:b/>
          <w:color w:val="auto"/>
          <w:sz w:val="40"/>
          <w:szCs w:val="40"/>
          <w:highlight w:val="none"/>
        </w:rPr>
      </w:pPr>
      <w:r>
        <w:rPr>
          <w:rFonts w:hint="eastAsia"/>
          <w:b/>
          <w:color w:val="auto"/>
          <w:sz w:val="40"/>
          <w:szCs w:val="40"/>
          <w:highlight w:val="none"/>
        </w:rPr>
        <w:t>扬州大学附属医院</w:t>
      </w:r>
    </w:p>
    <w:p>
      <w:pPr>
        <w:adjustRightInd w:val="0"/>
        <w:snapToGrid w:val="0"/>
        <w:spacing w:line="800" w:lineRule="exact"/>
        <w:contextualSpacing/>
        <w:jc w:val="center"/>
        <w:rPr>
          <w:b/>
          <w:color w:val="auto"/>
          <w:sz w:val="40"/>
          <w:szCs w:val="40"/>
          <w:highlight w:val="none"/>
        </w:rPr>
      </w:pPr>
      <w:r>
        <w:rPr>
          <w:rFonts w:hint="eastAsia"/>
          <w:b/>
          <w:color w:val="auto"/>
          <w:sz w:val="40"/>
          <w:szCs w:val="40"/>
          <w:highlight w:val="none"/>
        </w:rPr>
        <w:t>东西区消防维保服务项目</w:t>
      </w:r>
    </w:p>
    <w:p>
      <w:pPr>
        <w:adjustRightInd w:val="0"/>
        <w:snapToGrid w:val="0"/>
        <w:spacing w:line="800" w:lineRule="exact"/>
        <w:contextualSpacing/>
        <w:jc w:val="center"/>
        <w:rPr>
          <w:b/>
          <w:color w:val="auto"/>
          <w:sz w:val="40"/>
          <w:szCs w:val="40"/>
          <w:highlight w:val="none"/>
        </w:rPr>
      </w:pPr>
      <w:r>
        <w:rPr>
          <w:rFonts w:hint="eastAsia"/>
          <w:b/>
          <w:color w:val="auto"/>
          <w:sz w:val="40"/>
          <w:szCs w:val="40"/>
          <w:highlight w:val="none"/>
        </w:rPr>
        <w:t>竞争性磋商文件</w:t>
      </w:r>
    </w:p>
    <w:p>
      <w:pPr>
        <w:pStyle w:val="17"/>
        <w:rPr>
          <w:color w:val="auto"/>
          <w:highlight w:val="none"/>
        </w:rPr>
      </w:pPr>
    </w:p>
    <w:p>
      <w:pPr>
        <w:spacing w:line="360" w:lineRule="auto"/>
        <w:jc w:val="center"/>
        <w:rPr>
          <w:rFonts w:eastAsia="华文中宋"/>
          <w:bCs/>
          <w:color w:val="auto"/>
          <w:spacing w:val="20"/>
          <w:sz w:val="52"/>
          <w:szCs w:val="52"/>
          <w:highlight w:val="none"/>
        </w:rPr>
      </w:pPr>
      <w:r>
        <w:rPr>
          <w:color w:val="auto"/>
          <w:highlight w:val="none"/>
        </w:rPr>
        <w:drawing>
          <wp:inline distT="0" distB="0" distL="114300" distR="114300">
            <wp:extent cx="5032375" cy="4514850"/>
            <wp:effectExtent l="0" t="0" r="15875" b="0"/>
            <wp:docPr id="6"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9808345747129441"/>
                    <pic:cNvPicPr>
                      <a:picLocks noChangeAspect="1"/>
                    </pic:cNvPicPr>
                  </pic:nvPicPr>
                  <pic:blipFill>
                    <a:blip r:embed="rId9"/>
                    <a:stretch>
                      <a:fillRect/>
                    </a:stretch>
                  </pic:blipFill>
                  <pic:spPr>
                    <a:xfrm>
                      <a:off x="0" y="0"/>
                      <a:ext cx="5032375" cy="4514850"/>
                    </a:xfrm>
                    <a:prstGeom prst="rect">
                      <a:avLst/>
                    </a:prstGeom>
                    <a:noFill/>
                    <a:ln>
                      <a:noFill/>
                    </a:ln>
                  </pic:spPr>
                </pic:pic>
              </a:graphicData>
            </a:graphic>
          </wp:inline>
        </w:drawing>
      </w:r>
    </w:p>
    <w:p>
      <w:pPr>
        <w:spacing w:line="360" w:lineRule="auto"/>
        <w:jc w:val="center"/>
        <w:rPr>
          <w:rFonts w:ascii="宋体" w:hAnsi="宋体"/>
          <w:b/>
          <w:bCs/>
          <w:color w:val="auto"/>
          <w:w w:val="90"/>
          <w:kern w:val="0"/>
          <w:sz w:val="32"/>
          <w:szCs w:val="32"/>
          <w:highlight w:val="none"/>
        </w:rPr>
      </w:pPr>
    </w:p>
    <w:p>
      <w:pPr>
        <w:spacing w:line="360" w:lineRule="auto"/>
        <w:jc w:val="center"/>
        <w:rPr>
          <w:rFonts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采 购 人：扬州大学附属医院</w:t>
      </w:r>
    </w:p>
    <w:p>
      <w:pPr>
        <w:spacing w:line="360" w:lineRule="auto"/>
        <w:jc w:val="center"/>
        <w:rPr>
          <w:rFonts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发放日期：</w:t>
      </w:r>
      <w:bookmarkStart w:id="0" w:name="EB59c3faf64f2a4bd092a206fb1d0c3c03"/>
      <w:r>
        <w:rPr>
          <w:rFonts w:hint="eastAsia" w:ascii="宋体" w:hAnsi="宋体"/>
          <w:b/>
          <w:bCs/>
          <w:color w:val="auto"/>
          <w:w w:val="90"/>
          <w:kern w:val="0"/>
          <w:sz w:val="32"/>
          <w:szCs w:val="32"/>
          <w:highlight w:val="none"/>
        </w:rPr>
        <w:t>2023年5月</w:t>
      </w:r>
      <w:r>
        <w:rPr>
          <w:rFonts w:hint="eastAsia" w:ascii="宋体" w:hAnsi="宋体"/>
          <w:b/>
          <w:bCs/>
          <w:color w:val="auto"/>
          <w:w w:val="90"/>
          <w:kern w:val="0"/>
          <w:sz w:val="32"/>
          <w:szCs w:val="32"/>
          <w:highlight w:val="none"/>
          <w:lang w:val="en-US" w:eastAsia="zh-CN"/>
        </w:rPr>
        <w:t>30</w:t>
      </w:r>
      <w:r>
        <w:rPr>
          <w:rFonts w:hint="eastAsia" w:ascii="宋体" w:hAnsi="宋体"/>
          <w:b/>
          <w:bCs/>
          <w:color w:val="auto"/>
          <w:w w:val="90"/>
          <w:kern w:val="0"/>
          <w:sz w:val="32"/>
          <w:szCs w:val="32"/>
          <w:highlight w:val="none"/>
        </w:rPr>
        <w:t>日</w:t>
      </w:r>
      <w:bookmarkEnd w:id="0"/>
    </w:p>
    <w:p>
      <w:pPr>
        <w:spacing w:line="360" w:lineRule="auto"/>
        <w:jc w:val="center"/>
        <w:rPr>
          <w:rFonts w:ascii="宋体" w:hAnsi="宋体"/>
          <w:color w:val="auto"/>
          <w:sz w:val="32"/>
          <w:highlight w:val="none"/>
        </w:rPr>
      </w:pPr>
    </w:p>
    <w:p>
      <w:pPr>
        <w:spacing w:line="360" w:lineRule="auto"/>
        <w:jc w:val="center"/>
        <w:rPr>
          <w:rFonts w:ascii="宋体" w:hAnsi="宋体"/>
          <w:color w:val="auto"/>
          <w:sz w:val="32"/>
          <w:highlight w:val="none"/>
        </w:rPr>
      </w:pPr>
    </w:p>
    <w:p>
      <w:pPr>
        <w:spacing w:line="360" w:lineRule="auto"/>
        <w:jc w:val="center"/>
        <w:rPr>
          <w:rFonts w:ascii="宋体" w:hAnsi="宋体"/>
          <w:color w:val="auto"/>
          <w:sz w:val="32"/>
          <w:highlight w:val="none"/>
        </w:rPr>
      </w:pPr>
      <w:r>
        <w:rPr>
          <w:rFonts w:hint="eastAsia" w:ascii="宋体" w:hAnsi="宋体"/>
          <w:color w:val="auto"/>
          <w:sz w:val="32"/>
          <w:highlight w:val="none"/>
        </w:rPr>
        <w:t>目</w:t>
      </w:r>
      <w:r>
        <w:rPr>
          <w:rFonts w:ascii="宋体" w:hAnsi="宋体"/>
          <w:color w:val="auto"/>
          <w:sz w:val="32"/>
          <w:highlight w:val="none"/>
        </w:rPr>
        <w:t xml:space="preserve"> 录</w:t>
      </w:r>
    </w:p>
    <w:p>
      <w:pPr>
        <w:spacing w:line="360" w:lineRule="auto"/>
        <w:jc w:val="center"/>
        <w:rPr>
          <w:rFonts w:ascii="宋体" w:hAnsi="宋体"/>
          <w:color w:val="auto"/>
          <w:sz w:val="32"/>
          <w:highlight w:val="none"/>
        </w:rPr>
      </w:pPr>
    </w:p>
    <w:p>
      <w:pPr>
        <w:pStyle w:val="27"/>
        <w:tabs>
          <w:tab w:val="right" w:leader="dot" w:pos="8296"/>
        </w:tabs>
        <w:spacing w:line="360" w:lineRule="auto"/>
        <w:rPr>
          <w:color w:val="auto"/>
          <w:highlight w:val="none"/>
        </w:rPr>
      </w:pPr>
      <w:r>
        <w:rPr>
          <w:rFonts w:ascii="宋体" w:hAnsi="宋体"/>
          <w:color w:val="auto"/>
          <w:sz w:val="28"/>
          <w:highlight w:val="none"/>
        </w:rPr>
        <w:fldChar w:fldCharType="begin"/>
      </w:r>
      <w:r>
        <w:rPr>
          <w:rFonts w:ascii="宋体" w:hAnsi="宋体"/>
          <w:color w:val="auto"/>
          <w:sz w:val="28"/>
          <w:highlight w:val="none"/>
        </w:rPr>
        <w:instrText xml:space="preserve"> TOC \o "1-3" \f </w:instrText>
      </w:r>
      <w:r>
        <w:rPr>
          <w:rFonts w:ascii="宋体" w:hAnsi="宋体"/>
          <w:color w:val="auto"/>
          <w:sz w:val="28"/>
          <w:highlight w:val="none"/>
        </w:rPr>
        <w:fldChar w:fldCharType="separate"/>
      </w:r>
      <w:r>
        <w:rPr>
          <w:rFonts w:hint="eastAsia" w:ascii="宋体" w:hAnsi="宋体"/>
          <w:color w:val="auto"/>
          <w:highlight w:val="none"/>
        </w:rPr>
        <w:t>第一章竞争性磋商采购邀请</w:t>
      </w:r>
      <w:r>
        <w:rPr>
          <w:color w:val="auto"/>
          <w:highlight w:val="none"/>
        </w:rPr>
        <w:tab/>
      </w:r>
      <w:r>
        <w:rPr>
          <w:rFonts w:hint="eastAsia"/>
          <w:color w:val="auto"/>
          <w:highlight w:val="none"/>
        </w:rPr>
        <w:t>3</w:t>
      </w:r>
    </w:p>
    <w:p>
      <w:pPr>
        <w:pStyle w:val="27"/>
        <w:tabs>
          <w:tab w:val="right" w:leader="dot" w:pos="8296"/>
        </w:tabs>
        <w:spacing w:line="360" w:lineRule="auto"/>
        <w:rPr>
          <w:color w:val="auto"/>
          <w:highlight w:val="none"/>
        </w:rPr>
      </w:pPr>
      <w:r>
        <w:rPr>
          <w:rFonts w:hint="eastAsia" w:ascii="宋体" w:hAnsi="宋体"/>
          <w:color w:val="auto"/>
          <w:highlight w:val="none"/>
        </w:rPr>
        <w:t>第二章磋商须知</w:t>
      </w:r>
      <w:r>
        <w:rPr>
          <w:color w:val="auto"/>
          <w:highlight w:val="none"/>
        </w:rPr>
        <w:tab/>
      </w:r>
      <w:r>
        <w:rPr>
          <w:rFonts w:hint="eastAsia"/>
          <w:color w:val="auto"/>
          <w:highlight w:val="none"/>
        </w:rPr>
        <w:t>7</w:t>
      </w:r>
    </w:p>
    <w:p>
      <w:pPr>
        <w:pStyle w:val="27"/>
        <w:tabs>
          <w:tab w:val="right" w:leader="dot" w:pos="8296"/>
        </w:tabs>
        <w:spacing w:line="360" w:lineRule="auto"/>
        <w:rPr>
          <w:color w:val="auto"/>
          <w:highlight w:val="none"/>
        </w:rPr>
      </w:pPr>
      <w:r>
        <w:rPr>
          <w:rFonts w:hint="eastAsia" w:ascii="宋体" w:hAnsi="宋体"/>
          <w:color w:val="auto"/>
          <w:highlight w:val="none"/>
        </w:rPr>
        <w:t>第三章合同条款及格式</w:t>
      </w:r>
      <w:r>
        <w:rPr>
          <w:color w:val="auto"/>
          <w:highlight w:val="none"/>
        </w:rPr>
        <w:tab/>
      </w:r>
      <w:r>
        <w:rPr>
          <w:rFonts w:hint="eastAsia"/>
          <w:color w:val="auto"/>
          <w:highlight w:val="none"/>
        </w:rPr>
        <w:t>17</w:t>
      </w:r>
    </w:p>
    <w:p>
      <w:pPr>
        <w:pStyle w:val="27"/>
        <w:tabs>
          <w:tab w:val="right" w:leader="dot" w:pos="8296"/>
        </w:tabs>
        <w:spacing w:line="360" w:lineRule="auto"/>
        <w:rPr>
          <w:rFonts w:hint="eastAsia" w:eastAsia="宋体"/>
          <w:color w:val="auto"/>
          <w:highlight w:val="none"/>
          <w:lang w:eastAsia="zh-CN"/>
        </w:rPr>
      </w:pPr>
      <w:r>
        <w:rPr>
          <w:rFonts w:hint="eastAsia" w:ascii="宋体" w:hAnsi="宋体"/>
          <w:color w:val="auto"/>
          <w:highlight w:val="none"/>
        </w:rPr>
        <w:t>第四章项目需求、服务承诺</w:t>
      </w:r>
      <w:r>
        <w:rPr>
          <w:color w:val="auto"/>
          <w:highlight w:val="none"/>
        </w:rPr>
        <w:tab/>
      </w:r>
      <w:r>
        <w:rPr>
          <w:rFonts w:hint="eastAsia"/>
          <w:color w:val="auto"/>
          <w:highlight w:val="none"/>
        </w:rPr>
        <w:t>2</w:t>
      </w:r>
      <w:r>
        <w:rPr>
          <w:rFonts w:hint="eastAsia"/>
          <w:color w:val="auto"/>
          <w:highlight w:val="none"/>
          <w:lang w:val="en-US" w:eastAsia="zh-CN"/>
        </w:rPr>
        <w:t>6</w:t>
      </w:r>
    </w:p>
    <w:p>
      <w:pPr>
        <w:pStyle w:val="27"/>
        <w:tabs>
          <w:tab w:val="right" w:leader="dot" w:pos="8296"/>
        </w:tabs>
        <w:spacing w:line="360" w:lineRule="auto"/>
        <w:rPr>
          <w:color w:val="auto"/>
          <w:highlight w:val="none"/>
        </w:rPr>
      </w:pPr>
      <w:r>
        <w:rPr>
          <w:rFonts w:hint="eastAsia" w:ascii="宋体" w:hAnsi="宋体"/>
          <w:color w:val="auto"/>
          <w:highlight w:val="none"/>
        </w:rPr>
        <w:t>第五章评审方法和评审标准</w:t>
      </w:r>
      <w:r>
        <w:rPr>
          <w:color w:val="auto"/>
          <w:highlight w:val="none"/>
        </w:rPr>
        <w:tab/>
      </w:r>
      <w:r>
        <w:rPr>
          <w:rFonts w:hint="eastAsia"/>
          <w:color w:val="auto"/>
          <w:highlight w:val="none"/>
          <w:lang w:val="en-US" w:eastAsia="zh-CN"/>
        </w:rPr>
        <w:t>3</w:t>
      </w:r>
      <w:r>
        <w:rPr>
          <w:rFonts w:hint="eastAsia"/>
          <w:color w:val="auto"/>
          <w:highlight w:val="none"/>
        </w:rPr>
        <w:t>9</w:t>
      </w:r>
    </w:p>
    <w:p>
      <w:pPr>
        <w:pStyle w:val="27"/>
        <w:tabs>
          <w:tab w:val="right" w:leader="dot" w:pos="8296"/>
        </w:tabs>
        <w:spacing w:line="360" w:lineRule="auto"/>
        <w:rPr>
          <w:rFonts w:hint="default" w:eastAsia="宋体"/>
          <w:color w:val="auto"/>
          <w:highlight w:val="none"/>
          <w:lang w:val="en-US" w:eastAsia="zh-CN"/>
        </w:rPr>
      </w:pPr>
      <w:r>
        <w:rPr>
          <w:rFonts w:hint="eastAsia" w:ascii="宋体" w:hAnsi="宋体"/>
          <w:color w:val="auto"/>
          <w:highlight w:val="none"/>
        </w:rPr>
        <w:t>第六章竞争性磋商响应文件格式</w:t>
      </w:r>
      <w:r>
        <w:rPr>
          <w:color w:val="auto"/>
          <w:highlight w:val="none"/>
        </w:rPr>
        <w:tab/>
      </w:r>
      <w:r>
        <w:rPr>
          <w:rFonts w:hint="eastAsia"/>
          <w:color w:val="auto"/>
          <w:highlight w:val="none"/>
          <w:lang w:val="en-US" w:eastAsia="zh-CN"/>
        </w:rPr>
        <w:t>42</w:t>
      </w:r>
    </w:p>
    <w:p>
      <w:pPr>
        <w:spacing w:line="360" w:lineRule="auto"/>
        <w:jc w:val="center"/>
        <w:rPr>
          <w:rFonts w:ascii="宋体" w:hAnsi="宋体"/>
          <w:color w:val="auto"/>
          <w:sz w:val="28"/>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color w:val="auto"/>
          <w:sz w:val="28"/>
          <w:highlight w:val="none"/>
        </w:rPr>
        <w:fldChar w:fldCharType="end"/>
      </w:r>
    </w:p>
    <w:p>
      <w:pPr>
        <w:pStyle w:val="10"/>
        <w:jc w:val="center"/>
        <w:rPr>
          <w:rFonts w:ascii="宋体" w:hAnsi="宋体"/>
          <w:color w:val="auto"/>
          <w:sz w:val="36"/>
          <w:highlight w:val="none"/>
        </w:rPr>
      </w:pPr>
      <w:bookmarkStart w:id="1" w:name="_Toc497145839"/>
      <w:r>
        <w:rPr>
          <w:rFonts w:hint="eastAsia" w:ascii="宋体" w:hAnsi="宋体"/>
          <w:color w:val="auto"/>
          <w:sz w:val="36"/>
          <w:highlight w:val="none"/>
        </w:rPr>
        <w:t>第一章</w:t>
      </w:r>
      <w:r>
        <w:rPr>
          <w:rFonts w:ascii="宋体" w:hAnsi="宋体"/>
          <w:color w:val="auto"/>
          <w:sz w:val="36"/>
          <w:highlight w:val="none"/>
        </w:rPr>
        <w:t xml:space="preserve"> 竞争性磋商采购邀请</w:t>
      </w:r>
      <w:bookmarkEnd w:id="1"/>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江苏汇诚投资咨询管理有限公司（以下简称“代理机构”）受扬州大学附属医院（以下简称“采购人”）的委托，就扬州大学附属医院东西区消防维保服务项目实施竞争性磋商采购，欢迎符合相关条件的供应商参加磋商。</w:t>
      </w:r>
    </w:p>
    <w:p>
      <w:pPr>
        <w:spacing w:line="360" w:lineRule="auto"/>
        <w:ind w:firstLine="422" w:firstLineChars="200"/>
        <w:outlineLvl w:val="0"/>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bCs/>
          <w:color w:val="auto"/>
          <w:szCs w:val="21"/>
          <w:highlight w:val="none"/>
        </w:rPr>
        <w:t>采购项目名称</w:t>
      </w:r>
      <w:r>
        <w:rPr>
          <w:rFonts w:hint="eastAsia" w:ascii="宋体" w:hAnsi="宋体"/>
          <w:b/>
          <w:color w:val="auto"/>
          <w:szCs w:val="21"/>
          <w:highlight w:val="none"/>
        </w:rPr>
        <w:t>及编号</w:t>
      </w:r>
    </w:p>
    <w:p>
      <w:pPr>
        <w:spacing w:line="360" w:lineRule="auto"/>
        <w:ind w:left="1470" w:leftChars="200" w:hanging="1050" w:hangingChars="500"/>
        <w:rPr>
          <w:rFonts w:ascii="宋体" w:hAnsi="宋体"/>
          <w:color w:val="auto"/>
          <w:szCs w:val="21"/>
          <w:highlight w:val="none"/>
        </w:rPr>
      </w:pPr>
      <w:r>
        <w:rPr>
          <w:rFonts w:hint="eastAsia" w:hAnsi="宋体"/>
          <w:color w:val="auto"/>
          <w:szCs w:val="21"/>
          <w:highlight w:val="none"/>
        </w:rPr>
        <w:t>项目名称</w:t>
      </w:r>
      <w:r>
        <w:rPr>
          <w:rFonts w:hint="eastAsia" w:hAnsi="宋体"/>
          <w:color w:val="auto"/>
          <w:sz w:val="24"/>
          <w:highlight w:val="none"/>
        </w:rPr>
        <w:t>：</w:t>
      </w:r>
      <w:r>
        <w:rPr>
          <w:rFonts w:hint="eastAsia" w:ascii="宋体" w:hAnsi="宋体"/>
          <w:color w:val="auto"/>
          <w:szCs w:val="21"/>
          <w:highlight w:val="none"/>
        </w:rPr>
        <w:t>扬州大学附属医院东西区消防维保服务项目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编    号</w:t>
      </w:r>
      <w:r>
        <w:rPr>
          <w:rFonts w:hint="eastAsia" w:ascii="宋体" w:hAnsi="宋体"/>
          <w:color w:val="auto"/>
          <w:sz w:val="24"/>
          <w:highlight w:val="none"/>
        </w:rPr>
        <w:t>：</w:t>
      </w:r>
      <w:r>
        <w:rPr>
          <w:rFonts w:hint="eastAsia" w:ascii="宋体" w:hAnsi="宋体"/>
          <w:color w:val="auto"/>
          <w:szCs w:val="21"/>
          <w:highlight w:val="none"/>
        </w:rPr>
        <w:t xml:space="preserve">JSHCZB-20230454号 </w:t>
      </w:r>
    </w:p>
    <w:p>
      <w:pPr>
        <w:tabs>
          <w:tab w:val="left" w:pos="900"/>
        </w:tabs>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二、采购项目简要说明及预算金额</w:t>
      </w:r>
    </w:p>
    <w:p>
      <w:pPr>
        <w:tabs>
          <w:tab w:val="left" w:pos="9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扬州大学附属医院包括设在医学院的病案库和东区学生宿舍的所有与消防相关的火灾自动报警系统、自动喷淋灭火系统、消防供水设施、室内外消火栓灭火系统、消防泵房及控制系统(含湿式报警房、消防水池、消防水箱)、消防广播系统及消防联动控制系统、消防对讲系统、防排烟系统、防火分隔系统、气体灭火系统、应急照明和疏散指示标志、所有消防设施设备管路、线路等消防设施设备的维修保养、设备清洁和运行管理。(报价含所有维修工具设备器具费、调试费和人工费)。</w:t>
      </w:r>
    </w:p>
    <w:p>
      <w:pPr>
        <w:tabs>
          <w:tab w:val="left" w:pos="9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2.合同履行期限：</w:t>
      </w:r>
      <w:r>
        <w:rPr>
          <w:rFonts w:hint="eastAsia" w:ascii="宋体" w:hAnsi="宋体"/>
          <w:color w:val="auto"/>
          <w:szCs w:val="21"/>
          <w:highlight w:val="none"/>
        </w:rPr>
        <w:t>服务期壹年，2023年7月1日至2024年6月30日</w:t>
      </w:r>
    </w:p>
    <w:p>
      <w:pPr>
        <w:tabs>
          <w:tab w:val="left" w:pos="9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3.预算：</w:t>
      </w:r>
      <w:r>
        <w:rPr>
          <w:rFonts w:hint="eastAsia" w:ascii="宋体" w:hAnsi="宋体"/>
          <w:color w:val="auto"/>
          <w:szCs w:val="21"/>
          <w:highlight w:val="none"/>
          <w:u w:val="single"/>
        </w:rPr>
        <w:t>35</w:t>
      </w:r>
      <w:r>
        <w:rPr>
          <w:rFonts w:hint="eastAsia" w:ascii="宋体" w:hAnsi="宋体"/>
          <w:color w:val="auto"/>
          <w:szCs w:val="21"/>
          <w:highlight w:val="none"/>
        </w:rPr>
        <w:t>万元。</w:t>
      </w:r>
    </w:p>
    <w:p>
      <w:pPr>
        <w:pStyle w:val="21"/>
        <w:spacing w:line="360" w:lineRule="auto"/>
        <w:ind w:left="0" w:leftChars="0" w:firstLine="422" w:firstLineChars="200"/>
        <w:rPr>
          <w:b/>
          <w:bCs/>
          <w:color w:val="auto"/>
          <w:highlight w:val="none"/>
        </w:rPr>
      </w:pPr>
      <w:r>
        <w:rPr>
          <w:rFonts w:hint="eastAsia"/>
          <w:b/>
          <w:bCs/>
          <w:color w:val="auto"/>
          <w:highlight w:val="none"/>
        </w:rPr>
        <w:t>注：本项目设定最高限价，最高限价为</w:t>
      </w:r>
      <w:r>
        <w:rPr>
          <w:rFonts w:hint="eastAsia"/>
          <w:b/>
          <w:bCs/>
          <w:color w:val="auto"/>
          <w:highlight w:val="none"/>
          <w:u w:val="single"/>
        </w:rPr>
        <w:t>35</w:t>
      </w:r>
      <w:r>
        <w:rPr>
          <w:rFonts w:hint="eastAsia"/>
          <w:b/>
          <w:bCs/>
          <w:color w:val="auto"/>
          <w:highlight w:val="none"/>
        </w:rPr>
        <w:t>万元，</w:t>
      </w:r>
      <w:r>
        <w:rPr>
          <w:rFonts w:hint="eastAsia"/>
          <w:b/>
          <w:bCs/>
          <w:color w:val="auto"/>
          <w:highlight w:val="none"/>
        </w:rPr>
        <w:t>报价超过最高限价的为无效报价，按照无效响应处理。不接受选择性报价和具有附加条件的报价。</w:t>
      </w:r>
    </w:p>
    <w:p>
      <w:pPr>
        <w:tabs>
          <w:tab w:val="left" w:pos="900"/>
        </w:tabs>
        <w:spacing w:line="360" w:lineRule="auto"/>
        <w:ind w:firstLine="422" w:firstLineChars="200"/>
        <w:rPr>
          <w:rFonts w:ascii="宋体" w:hAnsi="宋体" w:cs="Arial"/>
          <w:b/>
          <w:bCs/>
          <w:color w:val="auto"/>
          <w:szCs w:val="21"/>
          <w:highlight w:val="none"/>
        </w:rPr>
      </w:pPr>
      <w:r>
        <w:rPr>
          <w:rFonts w:hint="eastAsia" w:ascii="宋体" w:hAnsi="宋体" w:cs="Arial"/>
          <w:b/>
          <w:bCs/>
          <w:color w:val="auto"/>
          <w:szCs w:val="21"/>
          <w:highlight w:val="none"/>
        </w:rPr>
        <w:t>三、合格磋商供应商资格要求</w:t>
      </w:r>
    </w:p>
    <w:p>
      <w:pPr>
        <w:spacing w:line="360" w:lineRule="auto"/>
        <w:ind w:firstLine="396" w:firstLineChars="200"/>
        <w:rPr>
          <w:rFonts w:ascii="宋体" w:hAnsi="宋体"/>
          <w:color w:val="auto"/>
          <w:szCs w:val="21"/>
          <w:highlight w:val="none"/>
        </w:rPr>
      </w:pPr>
      <w:r>
        <w:rPr>
          <w:rFonts w:hint="eastAsia" w:ascii="宋体" w:hAnsi="宋体" w:cs="Arial"/>
          <w:color w:val="auto"/>
          <w:spacing w:val="-6"/>
          <w:szCs w:val="21"/>
          <w:highlight w:val="none"/>
        </w:rPr>
        <w:t>（一）</w:t>
      </w:r>
      <w:r>
        <w:rPr>
          <w:rFonts w:ascii="宋体" w:hAnsi="宋体" w:cs="Arial"/>
          <w:color w:val="auto"/>
          <w:spacing w:val="-6"/>
          <w:szCs w:val="21"/>
          <w:highlight w:val="none"/>
        </w:rPr>
        <w:t>符合</w:t>
      </w:r>
      <w:r>
        <w:rPr>
          <w:rFonts w:hint="eastAsia" w:ascii="宋体" w:hAnsi="宋体" w:cs="Arial"/>
          <w:color w:val="auto"/>
          <w:spacing w:val="-6"/>
          <w:szCs w:val="21"/>
          <w:highlight w:val="none"/>
        </w:rPr>
        <w:t>相关</w:t>
      </w:r>
      <w:r>
        <w:rPr>
          <w:rFonts w:ascii="宋体" w:hAnsi="宋体" w:cs="Arial"/>
          <w:color w:val="auto"/>
          <w:spacing w:val="-6"/>
          <w:szCs w:val="21"/>
          <w:highlight w:val="none"/>
        </w:rPr>
        <w:t>规定</w:t>
      </w:r>
      <w:r>
        <w:rPr>
          <w:rFonts w:hint="eastAsia" w:ascii="宋体" w:hAnsi="宋体" w:cs="Arial"/>
          <w:color w:val="auto"/>
          <w:spacing w:val="-6"/>
          <w:szCs w:val="21"/>
          <w:highlight w:val="none"/>
        </w:rPr>
        <w:t>的条件，并提供下列材料：</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1 磋商响应函</w:t>
      </w:r>
      <w:r>
        <w:rPr>
          <w:rFonts w:hint="eastAsia" w:ascii="宋体" w:hAnsi="宋体"/>
          <w:b/>
          <w:i/>
          <w:iCs/>
          <w:color w:val="auto"/>
          <w:szCs w:val="21"/>
          <w:highlight w:val="none"/>
          <w:u w:val="single"/>
        </w:rPr>
        <w:t>(原件)</w:t>
      </w:r>
    </w:p>
    <w:p>
      <w:pPr>
        <w:spacing w:line="360" w:lineRule="auto"/>
        <w:ind w:right="312"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2 资格声明</w:t>
      </w:r>
      <w:r>
        <w:rPr>
          <w:rFonts w:hint="eastAsia" w:ascii="宋体" w:hAnsi="宋体"/>
          <w:b/>
          <w:i/>
          <w:iCs/>
          <w:color w:val="auto"/>
          <w:szCs w:val="21"/>
          <w:highlight w:val="none"/>
          <w:u w:val="single"/>
        </w:rPr>
        <w:t>(原件)</w:t>
      </w:r>
    </w:p>
    <w:p>
      <w:pPr>
        <w:spacing w:line="360" w:lineRule="auto"/>
        <w:ind w:right="312"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3</w:t>
      </w:r>
      <w:r>
        <w:rPr>
          <w:rFonts w:hint="eastAsia" w:ascii="宋体" w:hAnsi="宋体"/>
          <w:i/>
          <w:iCs/>
          <w:color w:val="auto"/>
          <w:highlight w:val="none"/>
          <w:u w:val="single"/>
        </w:rPr>
        <w:t>若法定代表人参加磋商的，须提供本人身份证复印件</w:t>
      </w:r>
      <w:r>
        <w:rPr>
          <w:rFonts w:hint="eastAsia" w:ascii="宋体" w:hAnsi="宋体"/>
          <w:b/>
          <w:i/>
          <w:iCs/>
          <w:color w:val="auto"/>
          <w:highlight w:val="none"/>
          <w:u w:val="single"/>
        </w:rPr>
        <w:t>(原件备查)</w:t>
      </w:r>
      <w:r>
        <w:rPr>
          <w:rFonts w:hint="eastAsia" w:ascii="宋体" w:hAnsi="宋体"/>
          <w:i/>
          <w:iCs/>
          <w:color w:val="auto"/>
          <w:highlight w:val="none"/>
          <w:u w:val="single"/>
        </w:rPr>
        <w:t>；若授权代表参加的，须提供《法人授权书》原件和授权代表身份证复印件</w:t>
      </w:r>
      <w:r>
        <w:rPr>
          <w:rFonts w:hint="eastAsia" w:ascii="宋体" w:hAnsi="宋体"/>
          <w:b/>
          <w:i/>
          <w:iCs/>
          <w:color w:val="auto"/>
          <w:highlight w:val="none"/>
          <w:u w:val="single"/>
        </w:rPr>
        <w:t>（原件备查）</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4 营业执照副本</w:t>
      </w:r>
      <w:r>
        <w:rPr>
          <w:rFonts w:hint="eastAsia" w:ascii="宋体" w:hAnsi="宋体"/>
          <w:b/>
          <w:i/>
          <w:iCs/>
          <w:color w:val="auto"/>
          <w:szCs w:val="21"/>
          <w:highlight w:val="none"/>
          <w:u w:val="single"/>
        </w:rPr>
        <w:t xml:space="preserve">(复印件加盖供应商公章) </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5 依法缴纳职工社会保障资金的证明材料</w:t>
      </w:r>
      <w:r>
        <w:rPr>
          <w:rFonts w:hint="eastAsia" w:ascii="宋体" w:hAnsi="宋体"/>
          <w:b/>
          <w:i/>
          <w:iCs/>
          <w:color w:val="auto"/>
          <w:szCs w:val="21"/>
          <w:highlight w:val="none"/>
          <w:u w:val="single"/>
        </w:rPr>
        <w:t>(复印件加盖供应商公章)(税务、银行或社会保险基金管理部门出具的2023年2月-2023年4月三个月内任意一份缴纳职工社会保障资金的缴款凭证或缴款证明)</w:t>
      </w:r>
    </w:p>
    <w:p>
      <w:pPr>
        <w:spacing w:line="360" w:lineRule="auto"/>
        <w:ind w:firstLine="525" w:firstLineChars="250"/>
        <w:rPr>
          <w:rFonts w:ascii="宋体" w:hAnsi="宋体"/>
          <w:b/>
          <w:i/>
          <w:iCs/>
          <w:color w:val="auto"/>
          <w:szCs w:val="21"/>
          <w:highlight w:val="none"/>
          <w:u w:val="single"/>
        </w:rPr>
      </w:pPr>
      <w:r>
        <w:rPr>
          <w:rFonts w:hint="eastAsia" w:ascii="宋体" w:hAnsi="宋体"/>
          <w:i/>
          <w:iCs/>
          <w:color w:val="auto"/>
          <w:szCs w:val="21"/>
          <w:highlight w:val="none"/>
          <w:u w:val="single"/>
        </w:rPr>
        <w:t>6 供应商2023年2月-2023年4月三个月内任意一份依法纳税的缴款凭证</w:t>
      </w:r>
      <w:r>
        <w:rPr>
          <w:rFonts w:hint="eastAsia" w:ascii="宋体" w:hAnsi="宋体"/>
          <w:b/>
          <w:i/>
          <w:iCs/>
          <w:color w:val="auto"/>
          <w:szCs w:val="21"/>
          <w:highlight w:val="none"/>
          <w:u w:val="single"/>
        </w:rPr>
        <w:t>(复印件加盖供应商公章)</w:t>
      </w:r>
    </w:p>
    <w:p>
      <w:pPr>
        <w:spacing w:line="360" w:lineRule="auto"/>
        <w:ind w:firstLine="525" w:firstLineChars="250"/>
        <w:jc w:val="left"/>
        <w:rPr>
          <w:rFonts w:ascii="宋体" w:hAnsi="宋体"/>
          <w:i/>
          <w:iCs/>
          <w:color w:val="auto"/>
          <w:szCs w:val="21"/>
          <w:highlight w:val="none"/>
          <w:u w:val="single"/>
        </w:rPr>
      </w:pPr>
      <w:r>
        <w:rPr>
          <w:rFonts w:hint="eastAsia" w:ascii="宋体" w:hAnsi="宋体"/>
          <w:i/>
          <w:iCs/>
          <w:color w:val="auto"/>
          <w:szCs w:val="21"/>
          <w:highlight w:val="none"/>
          <w:u w:val="single"/>
        </w:rPr>
        <w:t>7  上一年度财务报告</w:t>
      </w:r>
      <w:r>
        <w:rPr>
          <w:rFonts w:hint="eastAsia" w:ascii="宋体" w:hAnsi="宋体"/>
          <w:b/>
          <w:i/>
          <w:iCs/>
          <w:color w:val="auto"/>
          <w:szCs w:val="21"/>
          <w:highlight w:val="none"/>
          <w:u w:val="single"/>
        </w:rPr>
        <w:t xml:space="preserve"> (复印件加盖供应商公章)</w:t>
      </w:r>
    </w:p>
    <w:p>
      <w:pPr>
        <w:spacing w:line="360" w:lineRule="auto"/>
        <w:ind w:firstLine="420" w:firstLineChars="200"/>
        <w:jc w:val="left"/>
        <w:rPr>
          <w:rFonts w:ascii="宋体" w:hAnsi="宋体"/>
          <w:b/>
          <w:bCs/>
          <w:i/>
          <w:iCs/>
          <w:color w:val="auto"/>
          <w:szCs w:val="21"/>
          <w:highlight w:val="none"/>
          <w:u w:val="single"/>
        </w:rPr>
      </w:pPr>
      <w:r>
        <w:rPr>
          <w:rFonts w:hint="eastAsia" w:ascii="宋体" w:hAnsi="宋体"/>
          <w:i/>
          <w:iCs/>
          <w:color w:val="auto"/>
          <w:szCs w:val="21"/>
          <w:highlight w:val="none"/>
          <w:u w:val="single"/>
        </w:rPr>
        <w:t>8 供应商参加本次采购活动前3年内在经营活动中没有重大违法记录的书面声明</w:t>
      </w:r>
      <w:r>
        <w:rPr>
          <w:rFonts w:hint="eastAsia" w:ascii="宋体" w:hAnsi="宋体"/>
          <w:b/>
          <w:bCs/>
          <w:i/>
          <w:iCs/>
          <w:color w:val="auto"/>
          <w:szCs w:val="21"/>
          <w:highlight w:val="none"/>
          <w:u w:val="single"/>
        </w:rPr>
        <w:t>（原件）</w:t>
      </w:r>
    </w:p>
    <w:p>
      <w:pPr>
        <w:spacing w:line="360" w:lineRule="auto"/>
        <w:ind w:firstLine="420" w:firstLineChars="200"/>
        <w:jc w:val="left"/>
        <w:rPr>
          <w:rFonts w:ascii="宋体" w:hAnsi="宋体"/>
          <w:b/>
          <w:bCs/>
          <w:i/>
          <w:iCs/>
          <w:color w:val="auto"/>
          <w:szCs w:val="21"/>
          <w:highlight w:val="none"/>
          <w:u w:val="single"/>
        </w:rPr>
      </w:pPr>
      <w:r>
        <w:rPr>
          <w:rFonts w:hint="eastAsia" w:ascii="宋体" w:hAnsi="宋体" w:cs="宋体"/>
          <w:i/>
          <w:iCs/>
          <w:color w:val="auto"/>
          <w:highlight w:val="none"/>
          <w:u w:val="single"/>
        </w:rPr>
        <w:t>9 供应商信用承诺书</w:t>
      </w:r>
      <w:r>
        <w:rPr>
          <w:rFonts w:hint="eastAsia" w:ascii="宋体" w:hAnsi="宋体" w:cs="宋体"/>
          <w:b/>
          <w:bCs/>
          <w:i/>
          <w:iCs/>
          <w:color w:val="auto"/>
          <w:highlight w:val="none"/>
          <w:u w:val="single"/>
        </w:rPr>
        <w:t>（原件）</w:t>
      </w:r>
    </w:p>
    <w:p>
      <w:pPr>
        <w:adjustRightInd w:val="0"/>
        <w:snapToGrid w:val="0"/>
        <w:spacing w:line="440" w:lineRule="exact"/>
        <w:ind w:firstLine="843" w:firstLineChars="400"/>
        <w:contextualSpacing/>
        <w:rPr>
          <w:rFonts w:ascii="宋体" w:hAnsi="宋体"/>
          <w:b/>
          <w:color w:val="auto"/>
          <w:szCs w:val="21"/>
          <w:highlight w:val="none"/>
        </w:rPr>
      </w:pPr>
      <w:r>
        <w:rPr>
          <w:rFonts w:hint="eastAsia" w:ascii="宋体" w:hAnsi="宋体"/>
          <w:b/>
          <w:bCs/>
          <w:color w:val="auto"/>
          <w:szCs w:val="21"/>
          <w:highlight w:val="none"/>
        </w:rPr>
        <w:t>注：</w:t>
      </w:r>
      <w:r>
        <w:rPr>
          <w:rFonts w:hint="eastAsia" w:ascii="宋体" w:hAnsi="宋体"/>
          <w:b/>
          <w:bCs/>
          <w:color w:val="auto"/>
          <w:szCs w:val="21"/>
          <w:highlight w:val="none"/>
        </w:rPr>
        <w:t>1</w:t>
      </w:r>
      <w:r>
        <w:rPr>
          <w:rFonts w:hint="eastAsia" w:ascii="宋体" w:hAnsi="宋体"/>
          <w:b/>
          <w:color w:val="auto"/>
          <w:szCs w:val="21"/>
          <w:highlight w:val="none"/>
        </w:rPr>
        <w:t>.供应商如有相关政策支持，延期缴纳或暂不缴纳职工社会保障资金的，须提供相关证明材料；</w:t>
      </w:r>
    </w:p>
    <w:p>
      <w:pPr>
        <w:adjustRightInd w:val="0"/>
        <w:snapToGrid w:val="0"/>
        <w:spacing w:line="440" w:lineRule="exact"/>
        <w:ind w:firstLine="843" w:firstLineChars="400"/>
        <w:contextualSpacing/>
        <w:rPr>
          <w:rFonts w:ascii="宋体" w:hAnsi="宋体"/>
          <w:b/>
          <w:color w:val="auto"/>
          <w:szCs w:val="21"/>
          <w:highlight w:val="none"/>
        </w:rPr>
      </w:pPr>
      <w:r>
        <w:rPr>
          <w:rFonts w:hint="eastAsia" w:ascii="宋体" w:hAnsi="宋体"/>
          <w:b/>
          <w:color w:val="auto"/>
          <w:szCs w:val="21"/>
          <w:highlight w:val="none"/>
        </w:rPr>
        <w:t>2.若供应商为新成立公司不能提供5、6、7项，须提供相关证明材料；</w:t>
      </w:r>
    </w:p>
    <w:p>
      <w:pPr>
        <w:adjustRightInd w:val="0"/>
        <w:snapToGrid w:val="0"/>
        <w:spacing w:line="440" w:lineRule="exact"/>
        <w:ind w:firstLine="843" w:firstLineChars="400"/>
        <w:contextualSpacing/>
        <w:rPr>
          <w:color w:val="auto"/>
          <w:highlight w:val="none"/>
        </w:rPr>
      </w:pPr>
      <w:r>
        <w:rPr>
          <w:rFonts w:hint="eastAsia" w:ascii="宋体" w:hAnsi="宋体"/>
          <w:b/>
          <w:color w:val="auto"/>
          <w:szCs w:val="21"/>
          <w:highlight w:val="none"/>
        </w:rPr>
        <w:t>3.如参加本项目的供应商为个体工商户、事业法人等非企业法人，则无需提供上述5、6、7项。</w:t>
      </w:r>
    </w:p>
    <w:p>
      <w:pPr>
        <w:numPr>
          <w:ilvl w:val="0"/>
          <w:numId w:val="2"/>
        </w:num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采购人根据本项目要求规定的特定条件：</w:t>
      </w:r>
    </w:p>
    <w:p>
      <w:pPr>
        <w:pStyle w:val="17"/>
        <w:spacing w:line="360" w:lineRule="auto"/>
        <w:ind w:firstLine="420" w:firstLineChars="200"/>
        <w:jc w:val="left"/>
        <w:rPr>
          <w:rFonts w:ascii="宋体" w:hAnsi="宋体" w:eastAsia="宋体" w:cs="宋体"/>
          <w:i/>
          <w:iCs/>
          <w:color w:val="auto"/>
          <w:kern w:val="2"/>
          <w:sz w:val="21"/>
          <w:szCs w:val="21"/>
          <w:highlight w:val="none"/>
          <w:u w:val="single"/>
        </w:rPr>
      </w:pPr>
      <w:r>
        <w:rPr>
          <w:rFonts w:hint="eastAsia" w:ascii="宋体" w:hAnsi="宋体" w:eastAsia="宋体" w:cs="宋体"/>
          <w:i/>
          <w:iCs/>
          <w:color w:val="auto"/>
          <w:kern w:val="2"/>
          <w:sz w:val="21"/>
          <w:szCs w:val="21"/>
          <w:highlight w:val="none"/>
          <w:u w:val="single"/>
        </w:rPr>
        <w:t>1.供应商可在消防技术服务信息系统（https://shhxf.119.gov.cn/）中，查询到本单位具有消防设施维护保养检测的服务类型，在响应文件中需提供查询结果的页面截图（</w:t>
      </w:r>
      <w:r>
        <w:rPr>
          <w:rFonts w:hint="eastAsia" w:ascii="宋体" w:hAnsi="宋体" w:eastAsia="宋体" w:cs="宋体"/>
          <w:b/>
          <w:bCs/>
          <w:i/>
          <w:iCs/>
          <w:color w:val="auto"/>
          <w:kern w:val="2"/>
          <w:sz w:val="21"/>
          <w:szCs w:val="21"/>
          <w:highlight w:val="none"/>
          <w:u w:val="single"/>
        </w:rPr>
        <w:t>截图加盖投标人公章</w:t>
      </w:r>
      <w:r>
        <w:rPr>
          <w:rFonts w:hint="eastAsia" w:ascii="宋体" w:hAnsi="宋体" w:eastAsia="宋体" w:cs="宋体"/>
          <w:i/>
          <w:iCs/>
          <w:color w:val="auto"/>
          <w:kern w:val="2"/>
          <w:sz w:val="21"/>
          <w:szCs w:val="21"/>
          <w:highlight w:val="none"/>
          <w:u w:val="single"/>
        </w:rPr>
        <w:t>)</w:t>
      </w:r>
      <w:r>
        <w:rPr>
          <w:rFonts w:hint="eastAsia" w:ascii="宋体" w:hAnsi="宋体" w:eastAsia="宋体" w:cs="宋体"/>
          <w:i/>
          <w:iCs/>
          <w:color w:val="auto"/>
          <w:kern w:val="2"/>
          <w:sz w:val="21"/>
          <w:szCs w:val="21"/>
          <w:highlight w:val="none"/>
        </w:rPr>
        <w:t>；</w:t>
      </w:r>
    </w:p>
    <w:p>
      <w:pPr>
        <w:pStyle w:val="28"/>
        <w:spacing w:line="360" w:lineRule="auto"/>
        <w:ind w:firstLine="420" w:firstLineChars="200"/>
        <w:jc w:val="left"/>
        <w:rPr>
          <w:rFonts w:ascii="宋体" w:hAnsi="宋体" w:cs="宋体"/>
          <w:b/>
          <w:i/>
          <w:iCs/>
          <w:color w:val="auto"/>
          <w:szCs w:val="21"/>
          <w:highlight w:val="none"/>
          <w:u w:val="single"/>
        </w:rPr>
      </w:pPr>
      <w:r>
        <w:rPr>
          <w:rFonts w:hint="eastAsia" w:ascii="宋体" w:hAnsi="宋体" w:cs="宋体"/>
          <w:i/>
          <w:iCs/>
          <w:color w:val="auto"/>
          <w:szCs w:val="21"/>
          <w:highlight w:val="none"/>
          <w:u w:val="single"/>
        </w:rPr>
        <w:t>2.</w:t>
      </w:r>
      <w:r>
        <w:rPr>
          <w:rFonts w:hint="eastAsia" w:ascii="宋体" w:hAnsi="宋体" w:cs="宋体"/>
          <w:i/>
          <w:iCs/>
          <w:color w:val="auto"/>
          <w:szCs w:val="21"/>
          <w:highlight w:val="none"/>
          <w:u w:val="single"/>
        </w:rPr>
        <w:t>消防设备生产商技术支持函（东区为“能美”牌）</w:t>
      </w:r>
      <w:r>
        <w:rPr>
          <w:rFonts w:hint="eastAsia" w:ascii="宋体" w:hAnsi="宋体" w:cs="宋体"/>
          <w:b/>
          <w:i/>
          <w:iCs/>
          <w:color w:val="auto"/>
          <w:szCs w:val="21"/>
          <w:highlight w:val="none"/>
          <w:u w:val="single"/>
        </w:rPr>
        <w:t>(复印件加盖投标人公章)</w:t>
      </w:r>
      <w:r>
        <w:rPr>
          <w:rFonts w:hint="eastAsia" w:ascii="宋体" w:hAnsi="宋体" w:cs="宋体"/>
          <w:b/>
          <w:i/>
          <w:iCs/>
          <w:color w:val="auto"/>
          <w:szCs w:val="21"/>
          <w:highlight w:val="none"/>
        </w:rPr>
        <w:t>。</w:t>
      </w:r>
    </w:p>
    <w:p>
      <w:pPr>
        <w:pStyle w:val="28"/>
        <w:ind w:firstLine="420" w:firstLineChars="200"/>
        <w:jc w:val="left"/>
        <w:rPr>
          <w:rFonts w:ascii="宋体" w:hAnsi="宋体"/>
          <w:i/>
          <w:iCs/>
          <w:color w:val="auto"/>
          <w:szCs w:val="21"/>
          <w:highlight w:val="none"/>
          <w:u w:val="single"/>
        </w:rPr>
      </w:pPr>
      <w:r>
        <w:rPr>
          <w:rFonts w:hint="eastAsia" w:ascii="宋体" w:hAnsi="宋体"/>
          <w:color w:val="auto"/>
          <w:szCs w:val="21"/>
          <w:highlight w:val="none"/>
        </w:rPr>
        <w:t>（三）落实政府采购需满足的资格要求：</w:t>
      </w:r>
      <w:r>
        <w:rPr>
          <w:rFonts w:hint="eastAsia" w:ascii="宋体" w:hAnsi="宋体"/>
          <w:i/>
          <w:iCs/>
          <w:color w:val="auto"/>
          <w:szCs w:val="21"/>
          <w:highlight w:val="none"/>
          <w:u w:val="single"/>
        </w:rPr>
        <w:t>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（四）拒绝下述供应商参加本次采购活动：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1供应商单位负责人为同一人或者存在直接控股、管理关系的不同供应商，不得参加同一合同项下的采购活动。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（五）现场考察或召开答疑会：各供应商自行现场勘察</w:t>
      </w:r>
    </w:p>
    <w:p>
      <w:pPr>
        <w:spacing w:line="360" w:lineRule="auto"/>
        <w:ind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（六）本项目不接受联合体参加磋商。</w:t>
      </w:r>
    </w:p>
    <w:p>
      <w:pPr>
        <w:spacing w:line="360" w:lineRule="auto"/>
        <w:ind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（七）本项目不接受进口产品参加磋商。</w:t>
      </w:r>
    </w:p>
    <w:p>
      <w:pPr>
        <w:spacing w:line="360" w:lineRule="auto"/>
        <w:ind w:firstLine="514" w:firstLineChars="244"/>
        <w:rPr>
          <w:rFonts w:ascii="宋体" w:hAnsi="宋体" w:cs="宋体"/>
          <w:b/>
          <w:bCs/>
          <w:color w:val="auto"/>
          <w:szCs w:val="21"/>
          <w:highlight w:val="none"/>
        </w:rPr>
      </w:pPr>
      <w:r>
        <w:rPr>
          <w:rFonts w:hint="eastAsia" w:ascii="宋体" w:hAnsi="宋体" w:cs="宋体"/>
          <w:b/>
          <w:bCs/>
          <w:color w:val="auto"/>
          <w:szCs w:val="21"/>
          <w:highlight w:val="none"/>
        </w:rPr>
        <w:t xml:space="preserve">四、磋商响应文件接收信息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响应文件接收开始时间：</w:t>
      </w:r>
      <w:r>
        <w:rPr>
          <w:rFonts w:hint="eastAsia" w:ascii="宋体" w:hAnsi="宋体" w:cs="宋体"/>
          <w:color w:val="auto"/>
          <w:szCs w:val="21"/>
          <w:highlight w:val="none"/>
        </w:rPr>
        <w:t>2023年6月13日 14:</w:t>
      </w:r>
      <w:r>
        <w:rPr>
          <w:rFonts w:hint="eastAsia" w:ascii="宋体" w:hAnsi="宋体" w:cs="宋体"/>
          <w:color w:val="auto"/>
          <w:szCs w:val="21"/>
          <w:highlight w:val="none"/>
          <w:lang w:val="en-US" w:eastAsia="zh-CN"/>
        </w:rPr>
        <w:t>3</w:t>
      </w:r>
      <w:r>
        <w:rPr>
          <w:rFonts w:ascii="宋体" w:hAnsi="宋体" w:cs="宋体"/>
          <w:color w:val="auto"/>
          <w:szCs w:val="21"/>
          <w:highlight w:val="none"/>
        </w:rPr>
        <w:t>0</w:t>
      </w:r>
      <w:r>
        <w:rPr>
          <w:rFonts w:hint="eastAsia" w:ascii="宋体" w:hAnsi="宋体" w:cs="宋体"/>
          <w:color w:val="auto"/>
          <w:szCs w:val="21"/>
          <w:highlight w:val="none"/>
        </w:rPr>
        <w:t>（北京时间）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响应文件接收截止时间：</w:t>
      </w:r>
      <w:r>
        <w:rPr>
          <w:rFonts w:hint="eastAsia" w:ascii="宋体" w:hAnsi="宋体" w:cs="宋体"/>
          <w:color w:val="auto"/>
          <w:szCs w:val="21"/>
          <w:highlight w:val="none"/>
        </w:rPr>
        <w:t>2023年6月13日 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ascii="宋体" w:hAnsi="宋体" w:cs="宋体"/>
          <w:color w:val="auto"/>
          <w:szCs w:val="21"/>
          <w:highlight w:val="none"/>
        </w:rPr>
        <w:t>0</w:t>
      </w:r>
      <w:r>
        <w:rPr>
          <w:rFonts w:hint="eastAsia" w:ascii="宋体" w:hAnsi="宋体" w:cs="宋体"/>
          <w:color w:val="auto"/>
          <w:szCs w:val="21"/>
          <w:highlight w:val="none"/>
        </w:rPr>
        <w:t>（北京时间）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逾期送达将作无效响应处理</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 响应文件接收地点</w:t>
      </w:r>
      <w:r>
        <w:rPr>
          <w:rFonts w:hint="eastAsia" w:ascii="宋体" w:hAnsi="宋体" w:cs="宋体"/>
          <w:color w:val="auto"/>
          <w:szCs w:val="21"/>
          <w:highlight w:val="none"/>
        </w:rPr>
        <w:t>：扬州大学附属医院西区行政楼四楼采购中心405</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磋商地点：</w:t>
      </w:r>
      <w:r>
        <w:rPr>
          <w:rFonts w:hint="eastAsia" w:ascii="宋体" w:hAnsi="宋体"/>
          <w:bCs/>
          <w:color w:val="auto"/>
          <w:szCs w:val="21"/>
          <w:highlight w:val="none"/>
        </w:rPr>
        <w:t>扬州大学附属医院西区行政楼四楼407会议室</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响应文件接收人：唐磊18752710910/胡老师 0514—82981199—83118</w:t>
      </w:r>
    </w:p>
    <w:p>
      <w:pPr>
        <w:spacing w:afterLines="50" w:line="360" w:lineRule="auto"/>
        <w:ind w:firstLine="413" w:firstLineChars="196"/>
        <w:rPr>
          <w:rFonts w:ascii="宋体" w:hAnsi="宋体"/>
          <w:b/>
          <w:bCs/>
          <w:color w:val="auto"/>
          <w:szCs w:val="21"/>
          <w:highlight w:val="none"/>
        </w:rPr>
      </w:pPr>
      <w:r>
        <w:rPr>
          <w:rFonts w:hint="eastAsia" w:ascii="宋体" w:hAnsi="宋体"/>
          <w:b/>
          <w:bCs/>
          <w:color w:val="auto"/>
          <w:szCs w:val="21"/>
          <w:highlight w:val="none"/>
        </w:rPr>
        <w:t>五、磋商响应文件开启信息</w:t>
      </w:r>
    </w:p>
    <w:p>
      <w:pPr>
        <w:spacing w:afterLines="50" w:line="360" w:lineRule="auto"/>
        <w:ind w:firstLine="411" w:firstLineChars="196"/>
        <w:rPr>
          <w:rFonts w:ascii="宋体" w:hAnsi="宋体"/>
          <w:color w:val="auto"/>
          <w:szCs w:val="21"/>
          <w:highlight w:val="none"/>
        </w:rPr>
      </w:pPr>
      <w:r>
        <w:rPr>
          <w:rFonts w:hint="eastAsia" w:ascii="宋体" w:hAnsi="宋体"/>
          <w:color w:val="auto"/>
          <w:szCs w:val="21"/>
          <w:highlight w:val="none"/>
        </w:rPr>
        <w:t>（一）响应文件开启时间：</w:t>
      </w:r>
      <w:r>
        <w:rPr>
          <w:rFonts w:hint="eastAsia" w:ascii="宋体" w:hAnsi="宋体"/>
          <w:color w:val="auto"/>
          <w:szCs w:val="21"/>
          <w:highlight w:val="none"/>
        </w:rPr>
        <w:t>2023年6月13日</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ascii="宋体" w:hAnsi="宋体"/>
          <w:color w:val="auto"/>
          <w:szCs w:val="21"/>
          <w:highlight w:val="none"/>
        </w:rPr>
        <w:t>0</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（二）响应文件开启地点：扬州大学附属医院西区行政楼四楼407</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（三）磋商地点：扬州大学附属医院西区行政楼四楼407</w:t>
      </w:r>
    </w:p>
    <w:p>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六、本次磋商采购联系事项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1.采购人：扬州大学附属医院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联系人：胡老师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电话：0514—82981199—83118</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地址：</w:t>
      </w:r>
      <w:r>
        <w:rPr>
          <w:rFonts w:hint="eastAsia" w:ascii="宋体" w:hAnsi="宋体"/>
          <w:color w:val="auto"/>
          <w:szCs w:val="21"/>
          <w:highlight w:val="none"/>
        </w:rPr>
        <w:t>扬州市邗江中路368号</w:t>
      </w:r>
    </w:p>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2.代理机构：江苏汇诚投资咨询管理有限公司</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联系人：唐磊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电话：18752710910</w:t>
      </w:r>
    </w:p>
    <w:p>
      <w:pPr>
        <w:pStyle w:val="17"/>
        <w:spacing w:line="360" w:lineRule="auto"/>
        <w:ind w:firstLine="420" w:firstLineChars="20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网址：http://www.yangzhouyiyuan.com/（扬州大学附属医院）</w:t>
      </w:r>
    </w:p>
    <w:p>
      <w:pPr>
        <w:pStyle w:val="17"/>
        <w:spacing w:line="360" w:lineRule="auto"/>
        <w:ind w:firstLine="420" w:firstLineChars="20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http://www.yzu.edu.cn/（扬州大学网）；</w:t>
      </w:r>
    </w:p>
    <w:p>
      <w:pPr>
        <w:spacing w:line="360" w:lineRule="auto"/>
        <w:ind w:firstLine="422" w:firstLineChars="200"/>
        <w:rPr>
          <w:rFonts w:ascii="黑体" w:hAnsi="黑体" w:eastAsia="黑体"/>
          <w:b/>
          <w:color w:val="auto"/>
          <w:szCs w:val="21"/>
          <w:highlight w:val="none"/>
        </w:rPr>
      </w:pPr>
      <w:r>
        <w:rPr>
          <w:rFonts w:hint="eastAsia" w:ascii="宋体" w:hAnsi="宋体"/>
          <w:b/>
          <w:bCs/>
          <w:color w:val="auto"/>
          <w:szCs w:val="21"/>
          <w:highlight w:val="none"/>
        </w:rPr>
        <w:t>七、本次磋商响应文件制作份数要求</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纸质版一式</w:t>
      </w:r>
      <w:r>
        <w:rPr>
          <w:rFonts w:hint="eastAsia" w:ascii="宋体" w:hAnsi="宋体" w:cs="宋体"/>
          <w:color w:val="auto"/>
          <w:szCs w:val="21"/>
          <w:highlight w:val="none"/>
          <w:lang w:val="en-US" w:eastAsia="zh-CN"/>
        </w:rPr>
        <w:t>伍</w:t>
      </w:r>
      <w:r>
        <w:rPr>
          <w:rFonts w:hint="eastAsia" w:ascii="宋体" w:hAnsi="宋体" w:cs="宋体"/>
          <w:color w:val="auto"/>
          <w:szCs w:val="21"/>
          <w:highlight w:val="none"/>
        </w:rPr>
        <w:t>份(壹份正本、</w:t>
      </w:r>
      <w:r>
        <w:rPr>
          <w:rFonts w:hint="eastAsia" w:ascii="宋体" w:hAnsi="宋体" w:cs="宋体"/>
          <w:color w:val="auto"/>
          <w:szCs w:val="21"/>
          <w:highlight w:val="none"/>
          <w:lang w:val="en-US" w:eastAsia="zh-CN"/>
        </w:rPr>
        <w:t>肆</w:t>
      </w:r>
      <w:r>
        <w:rPr>
          <w:rFonts w:hint="eastAsia" w:ascii="宋体" w:hAnsi="宋体" w:cs="宋体"/>
          <w:color w:val="auto"/>
          <w:szCs w:val="21"/>
          <w:highlight w:val="none"/>
        </w:rPr>
        <w:t>份副本)，每份响应文件须清楚标明“正本”或“副本”字样。一旦正本和副本不符，以正本为准</w:t>
      </w:r>
      <w:r>
        <w:rPr>
          <w:rFonts w:hint="eastAsia" w:ascii="宋体" w:hAnsi="宋体"/>
          <w:color w:val="auto"/>
          <w:szCs w:val="21"/>
          <w:highlight w:val="none"/>
        </w:rPr>
        <w:t>。</w:t>
      </w:r>
    </w:p>
    <w:p>
      <w:pPr>
        <w:tabs>
          <w:tab w:val="left" w:pos="900"/>
        </w:tabs>
        <w:spacing w:afterLines="50" w:line="360" w:lineRule="auto"/>
        <w:ind w:firstLine="420" w:firstLineChars="199"/>
        <w:rPr>
          <w:rFonts w:ascii="宋体" w:hAnsi="宋体"/>
          <w:b/>
          <w:bCs/>
          <w:color w:val="auto"/>
          <w:szCs w:val="21"/>
          <w:highlight w:val="none"/>
        </w:rPr>
      </w:pPr>
      <w:r>
        <w:rPr>
          <w:rFonts w:hint="eastAsia" w:ascii="宋体" w:hAnsi="宋体"/>
          <w:b/>
          <w:bCs/>
          <w:color w:val="auto"/>
          <w:szCs w:val="21"/>
          <w:highlight w:val="none"/>
        </w:rPr>
        <w:t>八</w:t>
      </w:r>
      <w:r>
        <w:rPr>
          <w:rFonts w:hint="eastAsia" w:ascii="宋体" w:hAnsi="宋体"/>
          <w:b/>
          <w:color w:val="auto"/>
          <w:szCs w:val="21"/>
          <w:highlight w:val="none"/>
        </w:rPr>
        <w:t>、</w:t>
      </w:r>
      <w:r>
        <w:rPr>
          <w:rFonts w:hint="eastAsia" w:ascii="宋体" w:hAnsi="宋体"/>
          <w:b/>
          <w:bCs/>
          <w:color w:val="auto"/>
          <w:szCs w:val="21"/>
          <w:highlight w:val="none"/>
        </w:rPr>
        <w:t>其他说明事项：</w:t>
      </w:r>
    </w:p>
    <w:p>
      <w:pPr>
        <w:spacing w:afterLines="50" w:line="360" w:lineRule="auto"/>
        <w:ind w:left="1" w:firstLine="315" w:firstLineChars="150"/>
        <w:rPr>
          <w:rFonts w:ascii="宋体" w:hAnsi="宋体"/>
          <w:color w:val="auto"/>
          <w:szCs w:val="21"/>
          <w:highlight w:val="none"/>
        </w:rPr>
      </w:pPr>
      <w:r>
        <w:rPr>
          <w:rFonts w:hint="eastAsia" w:ascii="宋体" w:hAnsi="宋体"/>
          <w:color w:val="auto"/>
          <w:szCs w:val="21"/>
          <w:highlight w:val="none"/>
        </w:rPr>
        <w:t>（一）</w:t>
      </w:r>
      <w:r>
        <w:rPr>
          <w:rFonts w:hint="eastAsia" w:ascii="宋体" w:hAnsi="宋体"/>
          <w:i/>
          <w:color w:val="auto"/>
          <w:szCs w:val="21"/>
          <w:highlight w:val="none"/>
          <w:u w:val="single"/>
        </w:rPr>
        <w:t>本磋商文件中斜体下划线部分为实质性响应条件，为必须遵守的条件，如不满足将作无效响应文件处理。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（二）本</w:t>
      </w:r>
      <w:r>
        <w:rPr>
          <w:rFonts w:hint="eastAsia" w:ascii="宋体" w:hAnsi="宋体" w:cs="Arial"/>
          <w:color w:val="auto"/>
          <w:szCs w:val="21"/>
          <w:highlight w:val="none"/>
        </w:rPr>
        <w:t xml:space="preserve">磋商文件提供及公告期限：自竞争性磋商公告在 </w:t>
      </w:r>
      <w:r>
        <w:rPr>
          <w:rFonts w:hint="eastAsia" w:ascii="宋体" w:hAnsi="宋体" w:cs="Arial"/>
          <w:color w:val="auto"/>
          <w:szCs w:val="21"/>
          <w:highlight w:val="none"/>
        </w:rPr>
        <w:t>“扬州大学附属医院”、“扬州大学网”</w:t>
      </w:r>
      <w:r>
        <w:rPr>
          <w:rFonts w:hint="eastAsia" w:ascii="宋体" w:hAnsi="宋体" w:cs="Arial"/>
          <w:color w:val="auto"/>
          <w:szCs w:val="21"/>
          <w:highlight w:val="none"/>
        </w:rPr>
        <w:t>发布之日起5个工作日（截止至：</w:t>
      </w:r>
      <w:r>
        <w:rPr>
          <w:rFonts w:hint="eastAsia" w:ascii="宋体" w:hAnsi="宋体" w:cs="Arial"/>
          <w:color w:val="auto"/>
          <w:szCs w:val="21"/>
          <w:highlight w:val="none"/>
        </w:rPr>
        <w:t>2023年</w:t>
      </w: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日23:59</w:t>
      </w:r>
      <w:r>
        <w:rPr>
          <w:rFonts w:hint="eastAsia" w:ascii="宋体" w:hAnsi="宋体" w:cs="Arial"/>
          <w:color w:val="auto"/>
          <w:szCs w:val="21"/>
          <w:highlight w:val="none"/>
        </w:rPr>
        <w:t>）。磋商文件</w:t>
      </w:r>
      <w:r>
        <w:rPr>
          <w:rFonts w:hint="eastAsia" w:ascii="宋体" w:hAnsi="宋体"/>
          <w:color w:val="auto"/>
          <w:szCs w:val="21"/>
          <w:highlight w:val="none"/>
        </w:rPr>
        <w:t>在</w:t>
      </w:r>
      <w:r>
        <w:rPr>
          <w:rFonts w:hint="eastAsia" w:ascii="宋体" w:hAnsi="宋体" w:cs="Arial"/>
          <w:color w:val="auto"/>
          <w:szCs w:val="21"/>
          <w:highlight w:val="none"/>
        </w:rPr>
        <w:t>“扬州大学附属医院”、“扬州大学网”</w:t>
      </w:r>
      <w:r>
        <w:rPr>
          <w:rFonts w:hint="eastAsia" w:ascii="宋体" w:hAnsi="宋体"/>
          <w:color w:val="auto"/>
          <w:szCs w:val="21"/>
          <w:highlight w:val="none"/>
        </w:rPr>
        <w:t>上下载，供应商如确定参加磋商，请如实填写《供应商参加磋商确认函》，填写打印后加盖公章，拍照或扫描发送至邮箱（电子邮箱：2263852076@qq.com，邮件标题备注企业全称+项目简称，联系电话：18752710910）</w:t>
      </w:r>
      <w:r>
        <w:rPr>
          <w:rFonts w:ascii="宋体" w:hAnsi="宋体" w:cs="宋体"/>
          <w:color w:val="auto"/>
          <w:sz w:val="24"/>
          <w:szCs w:val="24"/>
          <w:highlight w:val="none"/>
        </w:rPr>
        <w:t>。</w:t>
      </w:r>
      <w:r>
        <w:rPr>
          <w:rFonts w:hint="eastAsia" w:ascii="宋体" w:hAnsi="宋体"/>
          <w:color w:val="auto"/>
          <w:szCs w:val="21"/>
          <w:highlight w:val="none"/>
        </w:rPr>
        <w:t>如供应商未按上述要求去做，将自行承担所产生的风险。有关本次磋商的事项若存在变动或修改，敬请及时关注</w:t>
      </w:r>
      <w:r>
        <w:rPr>
          <w:rFonts w:hint="eastAsia" w:ascii="宋体" w:hAnsi="宋体" w:cs="Arial"/>
          <w:color w:val="auto"/>
          <w:szCs w:val="21"/>
          <w:highlight w:val="none"/>
        </w:rPr>
        <w:t>“扬州大学附属医院”、“扬州大学网”</w:t>
      </w:r>
      <w:r>
        <w:rPr>
          <w:rFonts w:hint="eastAsia" w:ascii="宋体" w:hAnsi="宋体"/>
          <w:color w:val="auto"/>
          <w:szCs w:val="21"/>
          <w:highlight w:val="none"/>
        </w:rPr>
        <w:t>发布的信息或更正公告。</w:t>
      </w:r>
    </w:p>
    <w:p>
      <w:pPr>
        <w:pStyle w:val="2"/>
        <w:rPr>
          <w:rFonts w:hint="eastAsia" w:ascii="宋体" w:hAnsi="宋体"/>
          <w:color w:val="auto"/>
          <w:szCs w:val="21"/>
          <w:highlight w:val="none"/>
        </w:rPr>
      </w:pPr>
    </w:p>
    <w:p>
      <w:pPr>
        <w:pStyle w:val="3"/>
      </w:pPr>
      <w:bookmarkStart w:id="133" w:name="_GoBack"/>
      <w:bookmarkEnd w:id="133"/>
    </w:p>
    <w:p>
      <w:pPr>
        <w:pStyle w:val="21"/>
        <w:ind w:left="1260"/>
        <w:rPr>
          <w:color w:val="auto"/>
          <w:highlight w:val="none"/>
        </w:rPr>
      </w:pPr>
    </w:p>
    <w:p>
      <w:pPr>
        <w:pStyle w:val="25"/>
        <w:rPr>
          <w:color w:val="auto"/>
          <w:highlight w:val="none"/>
        </w:rPr>
      </w:pPr>
    </w:p>
    <w:p>
      <w:pPr>
        <w:spacing w:line="360" w:lineRule="auto"/>
        <w:jc w:val="right"/>
        <w:rPr>
          <w:rFonts w:ascii="宋体" w:hAnsi="宋体"/>
          <w:color w:val="auto"/>
          <w:szCs w:val="21"/>
          <w:highlight w:val="none"/>
        </w:rPr>
      </w:pPr>
      <w:r>
        <w:rPr>
          <w:rFonts w:hint="eastAsia" w:ascii="宋体" w:hAnsi="宋体"/>
          <w:color w:val="auto"/>
          <w:szCs w:val="21"/>
          <w:highlight w:val="none"/>
        </w:rPr>
        <w:t>江苏汇诚投资咨询管理有限公司</w:t>
      </w:r>
    </w:p>
    <w:p>
      <w:pPr>
        <w:spacing w:line="360" w:lineRule="auto"/>
        <w:jc w:val="right"/>
        <w:rPr>
          <w:rFonts w:ascii="Tahoma" w:hAnsi="Tahoma"/>
          <w:color w:val="auto"/>
          <w:highlight w:val="none"/>
        </w:rPr>
      </w:pPr>
      <w:r>
        <w:rPr>
          <w:rFonts w:hint="eastAsia" w:ascii="宋体" w:hAnsi="宋体"/>
          <w:color w:val="auto"/>
          <w:szCs w:val="21"/>
          <w:highlight w:val="none"/>
        </w:rPr>
        <w:t>2023年5月</w:t>
      </w:r>
      <w:r>
        <w:rPr>
          <w:rFonts w:hint="eastAsia" w:ascii="宋体" w:hAnsi="宋体"/>
          <w:color w:val="auto"/>
          <w:szCs w:val="21"/>
          <w:highlight w:val="none"/>
          <w:lang w:val="en-US" w:eastAsia="zh-CN"/>
        </w:rPr>
        <w:t>30</w:t>
      </w:r>
      <w:r>
        <w:rPr>
          <w:rFonts w:ascii="宋体" w:hAnsi="宋体"/>
          <w:color w:val="auto"/>
          <w:szCs w:val="21"/>
          <w:highlight w:val="none"/>
        </w:rPr>
        <w:t>日</w:t>
      </w:r>
    </w:p>
    <w:p>
      <w:pPr>
        <w:pStyle w:val="10"/>
        <w:jc w:val="center"/>
        <w:rPr>
          <w:rFonts w:ascii="宋体" w:hAnsi="宋体"/>
          <w:color w:val="auto"/>
          <w:sz w:val="36"/>
          <w:highlight w:val="none"/>
        </w:rPr>
      </w:pPr>
      <w:bookmarkStart w:id="2" w:name="_Toc497145840"/>
      <w:r>
        <w:rPr>
          <w:rFonts w:hint="eastAsia" w:ascii="宋体" w:hAnsi="宋体"/>
          <w:color w:val="auto"/>
          <w:sz w:val="36"/>
          <w:highlight w:val="none"/>
        </w:rPr>
        <w:br w:type="page"/>
      </w:r>
      <w:r>
        <w:rPr>
          <w:rFonts w:hint="eastAsia" w:ascii="宋体" w:hAnsi="宋体"/>
          <w:color w:val="auto"/>
          <w:sz w:val="36"/>
          <w:highlight w:val="none"/>
        </w:rPr>
        <w:t>第二章 磋商须知</w:t>
      </w:r>
      <w:bookmarkEnd w:id="2"/>
    </w:p>
    <w:p>
      <w:pPr>
        <w:spacing w:line="360" w:lineRule="auto"/>
        <w:jc w:val="center"/>
        <w:rPr>
          <w:rFonts w:ascii="宋体" w:hAnsi="宋体" w:cs="宋体"/>
          <w:b/>
          <w:bCs/>
          <w:color w:val="auto"/>
          <w:szCs w:val="21"/>
          <w:highlight w:val="none"/>
        </w:rPr>
      </w:pPr>
      <w:bookmarkStart w:id="3" w:name="_Toc458694821"/>
      <w:bookmarkStart w:id="4" w:name="_Toc20823276"/>
      <w:bookmarkStart w:id="5" w:name="_Toc513029204"/>
      <w:bookmarkStart w:id="6" w:name="_Toc16938520"/>
      <w:r>
        <w:rPr>
          <w:rFonts w:hint="eastAsia" w:ascii="宋体" w:hAnsi="宋体" w:cs="宋体"/>
          <w:bCs/>
          <w:color w:val="auto"/>
          <w:szCs w:val="21"/>
          <w:highlight w:val="none"/>
        </w:rPr>
        <w:t>（参加竞争性磋商的供应商以下简称“磋商供应商”）</w:t>
      </w:r>
    </w:p>
    <w:bookmarkEnd w:id="3"/>
    <w:bookmarkEnd w:id="4"/>
    <w:bookmarkEnd w:id="5"/>
    <w:bookmarkEnd w:id="6"/>
    <w:p>
      <w:pPr>
        <w:tabs>
          <w:tab w:val="left" w:pos="900"/>
        </w:tabs>
        <w:spacing w:afterLines="50" w:line="360" w:lineRule="auto"/>
        <w:ind w:firstLine="422" w:firstLineChars="200"/>
        <w:rPr>
          <w:rFonts w:ascii="宋体" w:hAnsi="宋体"/>
          <w:b/>
          <w:color w:val="auto"/>
          <w:szCs w:val="21"/>
          <w:highlight w:val="none"/>
        </w:rPr>
      </w:pPr>
      <w:bookmarkStart w:id="7" w:name="OLE_LINK69"/>
      <w:bookmarkEnd w:id="7"/>
      <w:r>
        <w:rPr>
          <w:rFonts w:hint="eastAsia" w:ascii="宋体" w:hAnsi="宋体"/>
          <w:b/>
          <w:color w:val="auto"/>
          <w:szCs w:val="21"/>
          <w:highlight w:val="none"/>
        </w:rPr>
        <w:t>一、总则</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1、适用范围</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本竞争性磋商文件（以下简称磋商文件）仅适用此项目。</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2、项目采购人式</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本次采购采取竞争性磋商的方式。</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3、合格的磋商供应商</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3.1满足本磋商文件“竞争性磋商采购邀请”中合格磋商供应商资格要求的规定。</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 满足本磋商文件实质性要求和条件的规定。</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4、参加磋商费用</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4.1参加磋商供应商应自行承担所有与参加磋商有关的费用。不论最终的成交结果如何，江苏汇诚投资咨询管理有限公司（以下简称代理机构）在任何情况下均无义务和责任承担这些费用。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4.2本次磋商文件售价200元，递交纸质版响应文件时缴纳，售后不退。</w:t>
      </w:r>
    </w:p>
    <w:p>
      <w:pPr>
        <w:tabs>
          <w:tab w:val="left" w:pos="9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4.3本次采购由中标人在领取中标通知书前按照固定价1500元一次性支付给招标代理机构代理服务费。</w:t>
      </w:r>
    </w:p>
    <w:p>
      <w:pPr>
        <w:tabs>
          <w:tab w:val="left" w:pos="9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（1）代理服务费以人民币支付；</w:t>
      </w:r>
    </w:p>
    <w:p>
      <w:pPr>
        <w:tabs>
          <w:tab w:val="left" w:pos="9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（2）代理服务费一次性以电汇或转账等非现金形式支付。</w:t>
      </w:r>
    </w:p>
    <w:p>
      <w:pPr>
        <w:tabs>
          <w:tab w:val="left" w:pos="9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（3）代理服务费不在报价中单列，由成交人支付给代理机构。</w:t>
      </w:r>
    </w:p>
    <w:p>
      <w:pPr>
        <w:tabs>
          <w:tab w:val="left" w:pos="9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代理服务费开户银行：中信银行扬州邗江支行</w:t>
      </w:r>
    </w:p>
    <w:p>
      <w:pPr>
        <w:tabs>
          <w:tab w:val="left" w:pos="9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开户名称：江苏汇诚投资咨询管理有限公司</w:t>
      </w:r>
    </w:p>
    <w:p>
      <w:pPr>
        <w:tabs>
          <w:tab w:val="left" w:pos="9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开户帐号：7328410182600010543</w:t>
      </w:r>
    </w:p>
    <w:p>
      <w:pPr>
        <w:tabs>
          <w:tab w:val="left" w:pos="900"/>
        </w:tabs>
        <w:spacing w:line="360" w:lineRule="auto"/>
        <w:ind w:firstLine="420" w:firstLineChars="200"/>
        <w:rPr>
          <w:color w:val="auto"/>
          <w:highlight w:val="none"/>
        </w:rPr>
      </w:pPr>
      <w:r>
        <w:rPr>
          <w:rFonts w:hint="eastAsia" w:ascii="宋体" w:hAnsi="宋体"/>
          <w:color w:val="auto"/>
          <w:szCs w:val="21"/>
          <w:highlight w:val="none"/>
        </w:rPr>
        <w:t>4.4专家评审费由成交人支付，暂按500元/人，按实结算。</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5、磋商文件的约束力</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bookmarkStart w:id="8" w:name="_Toc16938527"/>
      <w:bookmarkStart w:id="9" w:name="_Toc20823283"/>
      <w:bookmarkStart w:id="10" w:name="_Toc462564070"/>
      <w:bookmarkStart w:id="11" w:name="_Toc513029211"/>
      <w:r>
        <w:rPr>
          <w:rFonts w:hint="eastAsia" w:ascii="宋体" w:hAnsi="宋体" w:cs="宋体"/>
          <w:color w:val="auto"/>
          <w:szCs w:val="21"/>
          <w:highlight w:val="none"/>
        </w:rPr>
        <w:t>磋商文件的</w:t>
      </w:r>
      <w:bookmarkEnd w:id="8"/>
      <w:bookmarkEnd w:id="9"/>
      <w:bookmarkEnd w:id="10"/>
      <w:bookmarkEnd w:id="11"/>
      <w:r>
        <w:rPr>
          <w:rFonts w:hint="eastAsia" w:ascii="宋体" w:hAnsi="宋体" w:cs="宋体"/>
          <w:color w:val="auto"/>
          <w:szCs w:val="21"/>
          <w:highlight w:val="none"/>
        </w:rPr>
        <w:t>询问及修改</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任何要求对磋商文件进行询问的供应商，均应在提交首次响应文件截止时间5日前按采购邀请中的通讯地址，向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扬州大学附属医院网”、“扬州大学网”上发布更正公告通知所有获取磋商文件的供应商。不足5日的，代理机构应当顺延提交首次响应文件截止时间。</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7、磋商文件的解释</w:t>
      </w:r>
    </w:p>
    <w:p>
      <w:pPr>
        <w:spacing w:line="360" w:lineRule="auto"/>
        <w:ind w:firstLine="420" w:firstLineChars="200"/>
        <w:rPr>
          <w:rFonts w:ascii="宋体" w:hAnsi="宋体" w:cs="宋体"/>
          <w:bCs/>
          <w:color w:val="auto"/>
          <w:szCs w:val="21"/>
          <w:highlight w:val="none"/>
        </w:rPr>
      </w:pPr>
      <w:bookmarkStart w:id="12" w:name="_Hlt26668969"/>
      <w:bookmarkEnd w:id="12"/>
      <w:bookmarkStart w:id="13" w:name="_Hlt26954830"/>
      <w:bookmarkEnd w:id="13"/>
      <w:bookmarkStart w:id="14" w:name="_Hlt26670354"/>
      <w:bookmarkEnd w:id="14"/>
      <w:bookmarkStart w:id="15" w:name="_Hlt26670348"/>
      <w:bookmarkEnd w:id="15"/>
      <w:bookmarkStart w:id="16" w:name="_Hlt26954832"/>
      <w:bookmarkEnd w:id="16"/>
      <w:bookmarkStart w:id="17" w:name="_Hlt26954828"/>
      <w:bookmarkEnd w:id="17"/>
      <w:bookmarkStart w:id="18" w:name="_Hlt26670345"/>
      <w:bookmarkEnd w:id="18"/>
      <w:bookmarkStart w:id="19" w:name="_Toc513029213"/>
      <w:bookmarkStart w:id="20" w:name="_Toc61149553"/>
      <w:bookmarkStart w:id="21" w:name="_Toc14577351"/>
      <w:bookmarkStart w:id="22" w:name="_Toc462564072"/>
      <w:r>
        <w:rPr>
          <w:rFonts w:hint="eastAsia" w:ascii="宋体" w:hAnsi="宋体" w:cs="宋体"/>
          <w:bCs/>
          <w:color w:val="auto"/>
          <w:szCs w:val="21"/>
          <w:highlight w:val="none"/>
        </w:rPr>
        <w:t>本磋商文件由代理机构负责解释。</w:t>
      </w:r>
    </w:p>
    <w:p>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二、磋商响应文件的编制</w:t>
      </w:r>
      <w:bookmarkEnd w:id="19"/>
      <w:bookmarkEnd w:id="20"/>
      <w:bookmarkEnd w:id="21"/>
      <w:bookmarkEnd w:id="22"/>
    </w:p>
    <w:p>
      <w:pPr>
        <w:tabs>
          <w:tab w:val="left" w:pos="900"/>
        </w:tabs>
        <w:spacing w:line="360" w:lineRule="auto"/>
        <w:ind w:firstLine="420" w:firstLineChars="200"/>
        <w:rPr>
          <w:rFonts w:ascii="宋体" w:hAnsi="宋体" w:cs="宋体"/>
          <w:color w:val="auto"/>
          <w:szCs w:val="21"/>
          <w:highlight w:val="none"/>
        </w:rPr>
      </w:pPr>
      <w:bookmarkStart w:id="23" w:name="_Toc513029223"/>
      <w:bookmarkStart w:id="24" w:name="_Toc14577361"/>
      <w:bookmarkStart w:id="25" w:name="_Toc61149561"/>
      <w:r>
        <w:rPr>
          <w:rFonts w:hint="eastAsia" w:ascii="宋体" w:hAnsi="宋体" w:cs="宋体"/>
          <w:color w:val="auto"/>
          <w:szCs w:val="21"/>
          <w:highlight w:val="none"/>
        </w:rPr>
        <w:t>1、磋商响应文件份数和签署</w:t>
      </w:r>
      <w:bookmarkEnd w:id="23"/>
      <w:bookmarkEnd w:id="24"/>
      <w:bookmarkEnd w:id="25"/>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1.1磋商供应商应严格按照采购邀请要求准备磋商响应文件（以下简称响应文件），每份响应文件须清楚地标明“正本”或“副本”字样。</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并逐页加盖磋商供应商公章或加盖骑缝章。本磋商文件所表述（指定）的公章是指刻有供应商法定名称的印章，不包括合同、财务、税务、发票等形式的业务专用章。</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 除磋商供应商对错处做必要修改外，响应文件不得行间插字、涂改或增删。如有修改错漏处，必须由响应文件签署人签字或盖章。</w:t>
      </w:r>
    </w:p>
    <w:p>
      <w:pPr>
        <w:tabs>
          <w:tab w:val="left" w:pos="900"/>
        </w:tabs>
        <w:spacing w:line="360" w:lineRule="auto"/>
        <w:ind w:firstLine="420" w:firstLineChars="200"/>
        <w:rPr>
          <w:rFonts w:ascii="宋体" w:hAnsi="宋体" w:cs="宋体"/>
          <w:color w:val="auto"/>
          <w:szCs w:val="21"/>
          <w:highlight w:val="none"/>
        </w:rPr>
      </w:pPr>
      <w:bookmarkStart w:id="26" w:name="_Hlt26954834"/>
      <w:bookmarkEnd w:id="26"/>
      <w:bookmarkStart w:id="27" w:name="_Toc513029215"/>
      <w:bookmarkStart w:id="28" w:name="_Toc462564074"/>
      <w:bookmarkStart w:id="29" w:name="_Toc14577353"/>
      <w:bookmarkStart w:id="30" w:name="_Toc61149555"/>
      <w:bookmarkStart w:id="31" w:name="_Toc462564073"/>
      <w:bookmarkStart w:id="32" w:name="_Toc61149554"/>
      <w:bookmarkStart w:id="33" w:name="_Toc14577352"/>
      <w:bookmarkStart w:id="34" w:name="_Toc513029214"/>
      <w:r>
        <w:rPr>
          <w:rFonts w:hint="eastAsia" w:ascii="宋体" w:hAnsi="宋体" w:cs="宋体"/>
          <w:color w:val="auto"/>
          <w:szCs w:val="21"/>
          <w:highlight w:val="none"/>
        </w:rPr>
        <w:t>2、响应文件</w:t>
      </w:r>
      <w:bookmarkEnd w:id="27"/>
      <w:bookmarkEnd w:id="28"/>
      <w:bookmarkEnd w:id="29"/>
      <w:bookmarkEnd w:id="30"/>
      <w:r>
        <w:rPr>
          <w:rFonts w:hint="eastAsia" w:ascii="宋体" w:hAnsi="宋体" w:cs="宋体"/>
          <w:color w:val="auto"/>
          <w:szCs w:val="21"/>
          <w:highlight w:val="none"/>
        </w:rPr>
        <w:t>编制要求</w:t>
      </w:r>
    </w:p>
    <w:bookmarkEnd w:id="31"/>
    <w:bookmarkEnd w:id="32"/>
    <w:bookmarkEnd w:id="33"/>
    <w:bookmarkEnd w:id="34"/>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2.1磋商供应商提交的响应文件以及磋商供应商与代理机构就有关磋商的所有来往函电均应使用简体中文。磋商文件中既有中文也有外文的，以中文意义为准。</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除技术性能另有规定外，响应文件所使用的度量衡单位，均须采用国家法定计量单位。</w:t>
      </w:r>
    </w:p>
    <w:p>
      <w:pPr>
        <w:tabs>
          <w:tab w:val="left" w:pos="900"/>
        </w:tabs>
        <w:spacing w:line="360" w:lineRule="auto"/>
        <w:ind w:firstLine="420" w:firstLineChars="200"/>
        <w:rPr>
          <w:rFonts w:ascii="宋体" w:hAnsi="宋体" w:cs="宋体"/>
          <w:color w:val="auto"/>
          <w:szCs w:val="21"/>
          <w:highlight w:val="none"/>
        </w:rPr>
      </w:pPr>
      <w:bookmarkStart w:id="35" w:name="_Hlt26670357"/>
      <w:bookmarkEnd w:id="35"/>
      <w:bookmarkStart w:id="36" w:name="_Hlt26954836"/>
      <w:bookmarkEnd w:id="36"/>
      <w:bookmarkStart w:id="37" w:name="_Toc513029219"/>
      <w:bookmarkStart w:id="38" w:name="_Toc61149558"/>
      <w:bookmarkStart w:id="39" w:name="_Toc14577357"/>
      <w:bookmarkStart w:id="40" w:name="_Toc14577355"/>
      <w:bookmarkStart w:id="41" w:name="_Toc513029217"/>
      <w:bookmarkStart w:id="42" w:name="_Toc61149557"/>
      <w:r>
        <w:rPr>
          <w:rFonts w:hint="eastAsia" w:ascii="宋体" w:hAnsi="宋体" w:cs="宋体"/>
          <w:color w:val="auto"/>
          <w:szCs w:val="21"/>
          <w:highlight w:val="none"/>
        </w:rPr>
        <w:t>3、参加磋商供应商资格的文件</w:t>
      </w:r>
      <w:bookmarkEnd w:id="37"/>
      <w:bookmarkEnd w:id="38"/>
      <w:bookmarkEnd w:id="39"/>
      <w:r>
        <w:rPr>
          <w:rFonts w:hint="eastAsia" w:ascii="宋体" w:hAnsi="宋体" w:cs="宋体"/>
          <w:color w:val="auto"/>
          <w:szCs w:val="21"/>
          <w:highlight w:val="none"/>
        </w:rPr>
        <w:t>证明</w:t>
      </w:r>
    </w:p>
    <w:p>
      <w:pPr>
        <w:tabs>
          <w:tab w:val="left" w:pos="900"/>
        </w:tabs>
        <w:spacing w:line="360" w:lineRule="auto"/>
        <w:ind w:firstLine="420" w:firstLineChars="200"/>
        <w:rPr>
          <w:rFonts w:ascii="宋体" w:hAnsi="宋体" w:cs="宋体"/>
          <w:color w:val="auto"/>
          <w:szCs w:val="21"/>
          <w:highlight w:val="none"/>
        </w:rPr>
      </w:pPr>
      <w:bookmarkStart w:id="43" w:name="_Hlt26668999"/>
      <w:bookmarkEnd w:id="43"/>
      <w:r>
        <w:rPr>
          <w:rFonts w:hint="eastAsia" w:ascii="宋体" w:hAnsi="宋体" w:cs="宋体"/>
          <w:color w:val="auto"/>
          <w:szCs w:val="21"/>
          <w:highlight w:val="none"/>
        </w:rPr>
        <w:t>3.1磋商供应商应提交证明其有资格参加磋商和成交后有能力独立履行合同的文件，并作为其响应文件的一部分。</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3.2磋商供应商除必须具有履行合同所需提供的设备以及服务的能力外，还必须具备相应的财务、技术方面的能力。</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3.3磋商供应商应填写并提交磋商文件所附的“资格证明文件”。</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4、磋商响应报价</w:t>
      </w:r>
      <w:bookmarkEnd w:id="40"/>
      <w:bookmarkEnd w:id="41"/>
      <w:bookmarkStart w:id="44" w:name="_Hlt26670373"/>
      <w:bookmarkEnd w:id="44"/>
      <w:r>
        <w:rPr>
          <w:rFonts w:hint="eastAsia" w:ascii="宋体" w:hAnsi="宋体" w:cs="宋体"/>
          <w:color w:val="auto"/>
          <w:szCs w:val="21"/>
          <w:highlight w:val="none"/>
        </w:rPr>
        <w:t>表</w:t>
      </w:r>
      <w:bookmarkEnd w:id="42"/>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供应商应按照磋商文件规定格式填报磋商响应报价表（含分项报价）。如有分项报价表，表中的项目、单价、数量和金额等内容应填写完整，填写不完整的视为无效响应。每项产品或服务只允许有一个报价，任何有选择的报价将不予接受，磋商文件中另有规定的按规定执行。</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4.2标的物</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详见第四章项目需求。</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4.3有关费用处理</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4.4其它费用处理</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4.5报价采用的货币</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 磋商响应报价表上的价格应按磋商文件规定填写。</w:t>
      </w:r>
    </w:p>
    <w:p>
      <w:pPr>
        <w:tabs>
          <w:tab w:val="left" w:pos="900"/>
        </w:tabs>
        <w:spacing w:line="360" w:lineRule="auto"/>
        <w:ind w:firstLine="420" w:firstLineChars="200"/>
        <w:rPr>
          <w:rFonts w:ascii="宋体" w:hAnsi="宋体" w:cs="宋体"/>
          <w:color w:val="auto"/>
          <w:szCs w:val="21"/>
          <w:highlight w:val="none"/>
        </w:rPr>
      </w:pPr>
      <w:bookmarkStart w:id="45" w:name="_Hlt26954842"/>
      <w:bookmarkEnd w:id="45"/>
      <w:bookmarkStart w:id="46" w:name="_Hlt26954731"/>
      <w:bookmarkEnd w:id="46"/>
      <w:bookmarkStart w:id="47" w:name="_Hlt26670486"/>
      <w:bookmarkEnd w:id="47"/>
      <w:bookmarkStart w:id="48" w:name="_Hlt26670482"/>
      <w:bookmarkEnd w:id="48"/>
      <w:bookmarkStart w:id="49" w:name="_Hlt26670425"/>
      <w:bookmarkEnd w:id="49"/>
      <w:bookmarkStart w:id="50" w:name="_Hlt26670403"/>
      <w:bookmarkEnd w:id="50"/>
      <w:bookmarkStart w:id="51" w:name="_Hlt26668983"/>
      <w:bookmarkEnd w:id="51"/>
      <w:bookmarkStart w:id="52" w:name="_Hlt26954844"/>
      <w:bookmarkEnd w:id="52"/>
      <w:bookmarkStart w:id="53" w:name="_Hlt26954846"/>
      <w:bookmarkEnd w:id="53"/>
      <w:bookmarkStart w:id="54" w:name="_Hlt26954848"/>
      <w:bookmarkEnd w:id="54"/>
      <w:bookmarkStart w:id="55" w:name="_Toc513029221"/>
      <w:bookmarkStart w:id="56" w:name="_Toc61149559"/>
      <w:bookmarkStart w:id="57" w:name="_Toc14577359"/>
      <w:r>
        <w:rPr>
          <w:rFonts w:hint="eastAsia" w:ascii="宋体" w:hAnsi="宋体" w:cs="宋体"/>
          <w:color w:val="auto"/>
          <w:szCs w:val="21"/>
          <w:highlight w:val="none"/>
        </w:rPr>
        <w:t>5、项目需求响应方案</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5.1提供为完成本项目的总体实施方案。</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5.2对磋商文件中项目需求的技术与商务条款要求逐项作出应答，并提供依据或说明。</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5.3磋商供应商认为需要的其他技术文件或说明。</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6、磋商保证金</w:t>
      </w:r>
      <w:bookmarkEnd w:id="55"/>
      <w:bookmarkEnd w:id="56"/>
      <w:bookmarkEnd w:id="57"/>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无。</w:t>
      </w:r>
    </w:p>
    <w:p>
      <w:pPr>
        <w:tabs>
          <w:tab w:val="left" w:pos="900"/>
        </w:tabs>
        <w:spacing w:line="360" w:lineRule="auto"/>
        <w:ind w:firstLine="422" w:firstLineChars="200"/>
        <w:rPr>
          <w:rFonts w:ascii="宋体" w:hAnsi="宋体" w:cs="宋体"/>
          <w:b/>
          <w:color w:val="auto"/>
          <w:szCs w:val="21"/>
          <w:highlight w:val="none"/>
        </w:rPr>
      </w:pPr>
      <w:bookmarkStart w:id="58" w:name="_Hlt26670493"/>
      <w:bookmarkEnd w:id="58"/>
      <w:bookmarkStart w:id="59" w:name="_Hlt26954749"/>
      <w:bookmarkEnd w:id="59"/>
      <w:bookmarkStart w:id="60" w:name="_Hlt26954854"/>
      <w:bookmarkEnd w:id="60"/>
      <w:bookmarkStart w:id="61" w:name="_Hlt26954852"/>
      <w:bookmarkEnd w:id="61"/>
      <w:bookmarkStart w:id="62" w:name="_Hlt26670489"/>
      <w:bookmarkEnd w:id="62"/>
      <w:bookmarkStart w:id="63" w:name="_Hlt26954850"/>
      <w:bookmarkEnd w:id="63"/>
      <w:bookmarkStart w:id="64" w:name="_Hlt26954739"/>
      <w:bookmarkEnd w:id="64"/>
      <w:bookmarkStart w:id="65" w:name="_Hlt26954734"/>
      <w:bookmarkEnd w:id="65"/>
      <w:bookmarkStart w:id="66" w:name="_Toc513029224"/>
      <w:bookmarkStart w:id="67" w:name="_Toc61149562"/>
      <w:bookmarkStart w:id="68" w:name="_Toc14577362"/>
      <w:r>
        <w:rPr>
          <w:rFonts w:hint="eastAsia" w:ascii="宋体" w:hAnsi="宋体" w:cs="宋体"/>
          <w:b/>
          <w:color w:val="auto"/>
          <w:szCs w:val="21"/>
          <w:highlight w:val="none"/>
        </w:rPr>
        <w:t>三、响应文件的递交</w:t>
      </w:r>
      <w:bookmarkEnd w:id="66"/>
      <w:bookmarkEnd w:id="67"/>
      <w:bookmarkEnd w:id="68"/>
    </w:p>
    <w:p>
      <w:pPr>
        <w:tabs>
          <w:tab w:val="left" w:pos="900"/>
        </w:tabs>
        <w:spacing w:line="360" w:lineRule="auto"/>
        <w:ind w:firstLine="420" w:firstLineChars="200"/>
        <w:rPr>
          <w:rFonts w:ascii="宋体" w:hAnsi="宋体" w:cs="宋体"/>
          <w:color w:val="auto"/>
          <w:szCs w:val="21"/>
          <w:highlight w:val="none"/>
        </w:rPr>
      </w:pPr>
      <w:bookmarkStart w:id="69" w:name="_Hlt26954856"/>
      <w:bookmarkEnd w:id="69"/>
      <w:bookmarkStart w:id="70" w:name="_Toc462564084"/>
      <w:bookmarkStart w:id="71" w:name="_Toc513029225"/>
      <w:bookmarkStart w:id="72" w:name="_Toc61149563"/>
      <w:bookmarkStart w:id="73" w:name="_Toc14577363"/>
      <w:r>
        <w:rPr>
          <w:rFonts w:hint="eastAsia" w:ascii="宋体" w:hAnsi="宋体" w:cs="宋体"/>
          <w:color w:val="auto"/>
          <w:szCs w:val="21"/>
          <w:highlight w:val="none"/>
        </w:rPr>
        <w:t>1、响应文件</w:t>
      </w:r>
      <w:bookmarkStart w:id="74" w:name="_Hlt26954743"/>
      <w:bookmarkEnd w:id="74"/>
      <w:r>
        <w:rPr>
          <w:rFonts w:hint="eastAsia" w:ascii="宋体" w:hAnsi="宋体" w:cs="宋体"/>
          <w:color w:val="auto"/>
          <w:szCs w:val="21"/>
          <w:highlight w:val="none"/>
        </w:rPr>
        <w:t>的密封和标记</w:t>
      </w:r>
      <w:bookmarkEnd w:id="70"/>
      <w:bookmarkEnd w:id="71"/>
      <w:bookmarkEnd w:id="72"/>
      <w:bookmarkEnd w:id="73"/>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1.2密封的响应文件应：</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（1）按采购邀请中注明的地址送达规定地点；</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（2）注明参加磋商项目名称、磋商文件编号；</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（3）密封包装上应写明磋商供应商名称和地址。</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1.3如果密封包装未按要求密封和加写标记，代理机构对误投或过早启封概不负责。对由此造成提前开封的响应文件，代理机构将予以拒绝，作无效响应处理。</w:t>
      </w:r>
    </w:p>
    <w:p>
      <w:pPr>
        <w:tabs>
          <w:tab w:val="left" w:pos="900"/>
        </w:tabs>
        <w:spacing w:line="360" w:lineRule="auto"/>
        <w:ind w:firstLine="420" w:firstLineChars="200"/>
        <w:rPr>
          <w:rFonts w:ascii="宋体" w:hAnsi="宋体" w:cs="宋体"/>
          <w:color w:val="auto"/>
          <w:szCs w:val="21"/>
          <w:highlight w:val="none"/>
        </w:rPr>
      </w:pPr>
      <w:bookmarkStart w:id="75" w:name="_Hlt26954752"/>
      <w:bookmarkEnd w:id="75"/>
      <w:bookmarkStart w:id="76" w:name="_Hlt26954858"/>
      <w:bookmarkEnd w:id="76"/>
      <w:bookmarkStart w:id="77" w:name="_Hlt26670496"/>
      <w:bookmarkEnd w:id="77"/>
      <w:bookmarkStart w:id="78" w:name="_Toc513029226"/>
      <w:bookmarkStart w:id="79" w:name="_Toc61149564"/>
      <w:bookmarkStart w:id="80" w:name="_Toc14577364"/>
      <w:r>
        <w:rPr>
          <w:rFonts w:hint="eastAsia" w:ascii="宋体" w:hAnsi="宋体" w:cs="宋体"/>
          <w:color w:val="auto"/>
          <w:szCs w:val="21"/>
          <w:highlight w:val="none"/>
        </w:rPr>
        <w:t>2、</w:t>
      </w:r>
      <w:bookmarkEnd w:id="78"/>
      <w:bookmarkEnd w:id="79"/>
      <w:bookmarkEnd w:id="80"/>
      <w:r>
        <w:rPr>
          <w:rFonts w:hint="eastAsia" w:ascii="宋体" w:hAnsi="宋体" w:cs="宋体"/>
          <w:color w:val="auto"/>
          <w:szCs w:val="21"/>
          <w:highlight w:val="none"/>
        </w:rPr>
        <w:t>响应文件开启时间</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2.1代理机构收到响应文件的时间不得迟于本磋商文件规定的响应文件接收截止时间。</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360" w:lineRule="auto"/>
        <w:ind w:firstLine="420" w:firstLineChars="200"/>
        <w:rPr>
          <w:rFonts w:ascii="宋体" w:hAnsi="宋体" w:cs="宋体"/>
          <w:color w:val="auto"/>
          <w:szCs w:val="21"/>
          <w:highlight w:val="none"/>
        </w:rPr>
      </w:pPr>
      <w:bookmarkStart w:id="81" w:name="_Hlt26954860"/>
      <w:bookmarkEnd w:id="81"/>
      <w:bookmarkStart w:id="82" w:name="_Toc14577365"/>
      <w:bookmarkStart w:id="83" w:name="_Toc513029227"/>
      <w:bookmarkStart w:id="84" w:name="_Toc61149565"/>
      <w:r>
        <w:rPr>
          <w:rFonts w:hint="eastAsia" w:ascii="宋体" w:hAnsi="宋体" w:cs="宋体"/>
          <w:color w:val="auto"/>
          <w:szCs w:val="21"/>
          <w:highlight w:val="none"/>
        </w:rPr>
        <w:t>3、迟交的响应文件</w:t>
      </w:r>
      <w:bookmarkEnd w:id="82"/>
      <w:bookmarkEnd w:id="83"/>
      <w:bookmarkEnd w:id="84"/>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3.1代理机构将拒绝在规定的响应文件接收截止时间后接收任何响应文件。</w:t>
      </w:r>
    </w:p>
    <w:p>
      <w:pPr>
        <w:tabs>
          <w:tab w:val="left" w:pos="900"/>
        </w:tabs>
        <w:spacing w:line="360" w:lineRule="auto"/>
        <w:ind w:firstLine="420" w:firstLineChars="200"/>
        <w:rPr>
          <w:rFonts w:ascii="宋体" w:hAnsi="宋体" w:cs="宋体"/>
          <w:color w:val="auto"/>
          <w:szCs w:val="21"/>
          <w:highlight w:val="none"/>
        </w:rPr>
      </w:pPr>
      <w:bookmarkStart w:id="85" w:name="_Hlt26954754"/>
      <w:bookmarkEnd w:id="85"/>
      <w:bookmarkStart w:id="86" w:name="_Hlt26954862"/>
      <w:bookmarkEnd w:id="86"/>
      <w:bookmarkStart w:id="87" w:name="_Toc513029228"/>
      <w:bookmarkStart w:id="88" w:name="_Toc14577366"/>
      <w:bookmarkStart w:id="89" w:name="_Toc61149566"/>
      <w:r>
        <w:rPr>
          <w:rFonts w:hint="eastAsia" w:ascii="宋体" w:hAnsi="宋体" w:cs="宋体"/>
          <w:color w:val="auto"/>
          <w:szCs w:val="21"/>
          <w:highlight w:val="none"/>
        </w:rPr>
        <w:t>4、响应文件</w:t>
      </w:r>
      <w:bookmarkStart w:id="90" w:name="_Hlt26670588"/>
      <w:r>
        <w:rPr>
          <w:rFonts w:hint="eastAsia" w:ascii="宋体" w:hAnsi="宋体" w:cs="宋体"/>
          <w:color w:val="auto"/>
          <w:szCs w:val="21"/>
          <w:highlight w:val="none"/>
        </w:rPr>
        <w:t>的修改</w:t>
      </w:r>
      <w:bookmarkEnd w:id="90"/>
      <w:r>
        <w:rPr>
          <w:rFonts w:hint="eastAsia" w:ascii="宋体" w:hAnsi="宋体" w:cs="宋体"/>
          <w:color w:val="auto"/>
          <w:szCs w:val="21"/>
          <w:highlight w:val="none"/>
        </w:rPr>
        <w:t>和撤回</w:t>
      </w:r>
      <w:bookmarkEnd w:id="87"/>
      <w:bookmarkEnd w:id="88"/>
      <w:bookmarkEnd w:id="89"/>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4.1磋商供应商在递交响应文件后，可以修改或撤回其磋商响应文件，但这种修改和撤回，必须在规定的响应文件接收截止时间前，以书面形式送达指定地点。</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4.2磋商供应商的修改或撤回通知书，应按本文件规定进行编制、密封、标记和发送，并应在封套上加注“修改”和“撤回”字样。</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磋商供应商在提交最后报价之前，可以根据磋商情况退出磋商。</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5、磋商响应有效期</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 磋商响应有效期为代理机构规定的响应文件接收截止时间后三十（30）天。磋商响应有效期比规定短的将被视为非实质性响应性而予以拒绝。</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受磋商响应有效期约束的所有权利与义务均延长至新的有效期。</w:t>
      </w:r>
    </w:p>
    <w:p>
      <w:pPr>
        <w:tabs>
          <w:tab w:val="left" w:pos="900"/>
        </w:tabs>
        <w:spacing w:line="360" w:lineRule="auto"/>
        <w:ind w:firstLine="422" w:firstLineChars="200"/>
        <w:rPr>
          <w:rFonts w:ascii="宋体" w:hAnsi="宋体" w:cs="宋体"/>
          <w:b/>
          <w:color w:val="auto"/>
          <w:szCs w:val="21"/>
          <w:highlight w:val="none"/>
        </w:rPr>
      </w:pPr>
      <w:bookmarkStart w:id="91" w:name="_Hlt26954864"/>
      <w:bookmarkEnd w:id="91"/>
      <w:bookmarkStart w:id="92" w:name="_Hlt26670523"/>
      <w:bookmarkEnd w:id="92"/>
      <w:r>
        <w:rPr>
          <w:rFonts w:hint="eastAsia" w:ascii="宋体" w:hAnsi="宋体" w:cs="宋体"/>
          <w:b/>
          <w:color w:val="auto"/>
          <w:szCs w:val="21"/>
          <w:highlight w:val="none"/>
        </w:rPr>
        <w:t>四、磋商与评审</w:t>
      </w:r>
    </w:p>
    <w:p>
      <w:pPr>
        <w:tabs>
          <w:tab w:val="left" w:pos="900"/>
        </w:tabs>
        <w:spacing w:line="360" w:lineRule="auto"/>
        <w:ind w:firstLine="420" w:firstLineChars="200"/>
        <w:rPr>
          <w:rFonts w:ascii="宋体" w:hAnsi="宋体" w:cs="宋体"/>
          <w:color w:val="auto"/>
          <w:szCs w:val="21"/>
          <w:highlight w:val="none"/>
        </w:rPr>
      </w:pPr>
      <w:bookmarkStart w:id="93" w:name="_Toc20823302"/>
      <w:bookmarkStart w:id="94" w:name="_Toc16938546"/>
      <w:bookmarkStart w:id="95" w:name="_Toc513029230"/>
      <w:r>
        <w:rPr>
          <w:rFonts w:hint="eastAsia" w:ascii="宋体" w:hAnsi="宋体" w:cs="宋体"/>
          <w:color w:val="auto"/>
          <w:szCs w:val="21"/>
          <w:highlight w:val="none"/>
        </w:rPr>
        <w:t>1、</w:t>
      </w:r>
      <w:bookmarkEnd w:id="93"/>
      <w:bookmarkEnd w:id="94"/>
      <w:bookmarkEnd w:id="95"/>
      <w:r>
        <w:rPr>
          <w:rFonts w:hint="eastAsia" w:ascii="宋体" w:hAnsi="宋体" w:cs="宋体"/>
          <w:color w:val="auto"/>
          <w:szCs w:val="21"/>
          <w:highlight w:val="none"/>
        </w:rPr>
        <w:t>磋商仪式</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1.1代理机构将在采购邀请中规定的时间和地点组织磋商开始仪式，仪式由代理机构主持，磋商供应商应委派携带有效证件的代表准时参加，参加仪式的代表需签名以证明其出席。</w:t>
      </w:r>
    </w:p>
    <w:p>
      <w:pPr>
        <w:tabs>
          <w:tab w:val="left" w:pos="900"/>
        </w:tabs>
        <w:spacing w:line="360" w:lineRule="auto"/>
        <w:ind w:firstLine="420" w:firstLineChars="200"/>
        <w:rPr>
          <w:rFonts w:ascii="宋体" w:hAnsi="宋体" w:cs="宋体"/>
          <w:color w:val="auto"/>
          <w:szCs w:val="21"/>
          <w:highlight w:val="none"/>
        </w:rPr>
      </w:pPr>
      <w:bookmarkStart w:id="96" w:name="_Toc513029231"/>
      <w:bookmarkStart w:id="97" w:name="_Toc16938547"/>
      <w:bookmarkStart w:id="98" w:name="_Toc20823303"/>
      <w:r>
        <w:rPr>
          <w:rFonts w:hint="eastAsia" w:ascii="宋体" w:hAnsi="宋体" w:cs="宋体"/>
          <w:color w:val="auto"/>
          <w:szCs w:val="21"/>
          <w:highlight w:val="none"/>
        </w:rPr>
        <w:t>2、磋商小组</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磋商开始仪式结束后，代理机构将立即组织磋商小组进行评审。</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磋商</w:t>
      </w:r>
      <w:r>
        <w:rPr>
          <w:rFonts w:hint="eastAsia" w:ascii="宋体" w:hAnsi="宋体" w:cs="宋体"/>
          <w:color w:val="auto"/>
          <w:szCs w:val="21"/>
          <w:highlight w:val="none"/>
        </w:rPr>
        <w:t>小组人员构成和数量符合采购有关规定。</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3、磋商评审过程的保密</w:t>
      </w:r>
      <w:bookmarkEnd w:id="96"/>
      <w:bookmarkEnd w:id="97"/>
      <w:bookmarkEnd w:id="98"/>
      <w:r>
        <w:rPr>
          <w:rFonts w:hint="eastAsia" w:ascii="宋体" w:hAnsi="宋体" w:cs="宋体"/>
          <w:color w:val="auto"/>
          <w:szCs w:val="21"/>
          <w:highlight w:val="none"/>
        </w:rPr>
        <w:t>与公正</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3.1磋商小组、采购人和代理机构工作人员、相关监督人员等与评审工作有关的人员，对评审情况以及在评审过程中获悉的国家秘密、商业秘密负有保密责任。</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3.2在磋商评审过程中，磋商供应商不得以任何行为影响磋商评审过程，否则其响应文件将被作为无效响应文件。</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360" w:lineRule="auto"/>
        <w:ind w:firstLine="420" w:firstLineChars="200"/>
        <w:rPr>
          <w:rFonts w:ascii="宋体" w:hAnsi="宋体" w:cs="宋体"/>
          <w:color w:val="auto"/>
          <w:szCs w:val="21"/>
          <w:highlight w:val="none"/>
        </w:rPr>
      </w:pPr>
      <w:bookmarkStart w:id="99" w:name="_Toc20823304"/>
      <w:bookmarkStart w:id="100" w:name="_Toc16938548"/>
      <w:bookmarkStart w:id="101" w:name="_Toc513029232"/>
      <w:r>
        <w:rPr>
          <w:rFonts w:hint="eastAsia" w:ascii="宋体" w:hAnsi="宋体" w:cs="宋体"/>
          <w:color w:val="auto"/>
          <w:szCs w:val="21"/>
          <w:highlight w:val="none"/>
        </w:rPr>
        <w:t>4、评审过程的澄清</w:t>
      </w:r>
      <w:bookmarkEnd w:id="99"/>
      <w:bookmarkEnd w:id="100"/>
      <w:bookmarkEnd w:id="101"/>
      <w:r>
        <w:rPr>
          <w:rFonts w:hint="eastAsia" w:ascii="宋体" w:hAnsi="宋体" w:cs="宋体"/>
          <w:color w:val="auto"/>
          <w:szCs w:val="21"/>
          <w:highlight w:val="none"/>
        </w:rPr>
        <w:t>、说明和更正</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接到磋商小组澄清要求的供应商如未按规定做出澄清，其风险由供应商自行承担。</w:t>
      </w:r>
    </w:p>
    <w:p>
      <w:pPr>
        <w:tabs>
          <w:tab w:val="left" w:pos="900"/>
        </w:tabs>
        <w:spacing w:line="360" w:lineRule="auto"/>
        <w:ind w:firstLine="420" w:firstLineChars="200"/>
        <w:rPr>
          <w:rFonts w:ascii="宋体" w:hAnsi="宋体" w:cs="宋体"/>
          <w:color w:val="auto"/>
          <w:szCs w:val="21"/>
          <w:highlight w:val="none"/>
        </w:rPr>
      </w:pPr>
      <w:bookmarkStart w:id="102" w:name="_Toc513029233"/>
      <w:bookmarkStart w:id="103" w:name="_Toc20823305"/>
      <w:bookmarkStart w:id="104" w:name="_Toc16938549"/>
      <w:r>
        <w:rPr>
          <w:rFonts w:hint="eastAsia" w:ascii="宋体" w:hAnsi="宋体" w:cs="宋体"/>
          <w:color w:val="auto"/>
          <w:szCs w:val="21"/>
          <w:highlight w:val="none"/>
        </w:rPr>
        <w:t>5、对响应文件的初审</w:t>
      </w:r>
      <w:bookmarkEnd w:id="102"/>
      <w:bookmarkEnd w:id="103"/>
      <w:bookmarkEnd w:id="104"/>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5.1响应文件初审分为资格性检查和符合性检查。</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资格性检查：依据法律法规和磋商文件的规定，对响应文件中的资格证明文件等进行审查，以确定供应商是否具备参加磋商的资格。</w:t>
      </w:r>
    </w:p>
    <w:p>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采购人在进行资格性审查的同时，应根据查询结果对供应商的不良信用记录逐项甄别确认。以确定供应商是否具备磋商资格。查询结果将以网页打印的形式留存并归档。</w:t>
      </w:r>
    </w:p>
    <w:p>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按照有关规定，下列信用记录属于应依法拒绝供应商参加采购的失信信息：</w:t>
      </w:r>
    </w:p>
    <w:p>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  （1）政府采购严重违法记录，即供应商被全国各级财政部门列入“政府采购严重违法失信行为记录名单”，且在处罚有效期内的。</w:t>
      </w:r>
    </w:p>
    <w:p>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  （2）财政部门与法院、工商、税务等部门联合惩戒的失信信息，包括：</w:t>
      </w:r>
    </w:p>
    <w:p>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  1）被列入失信被执行人名单；</w:t>
      </w:r>
    </w:p>
    <w:p>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  2）被列入重大税收违法案件当事人名单；</w:t>
      </w:r>
    </w:p>
    <w:p>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  3）企业经营异常名录中被责令停产停业、暂扣或者吊销许可证或者执照，或者对经营活动中的违法行为处以200万元以上数额罚款的信用记录。处罚生效日至递交响应文件日未满三年的。</w:t>
      </w:r>
    </w:p>
    <w:p>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 对存在失信信息的供应商，评审小组应填写《供应商失信信息确认函》，由失信供应商应签名确认。同时，采购代理机构工作人员应根据采购人确认的失信信息，登陆到相关来源网站页面进行复核并打印，作为证据留存。</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被认定为未实质性响应磋商文件的响应文件的情形</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（1）未按照磋商文件规定要求密封、签署、盖章的；</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（2）供应商在报价时采用选择性报价；</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（3）供应商不具备磋商文件中规定资格要求的；</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（4）不符合法律、法规和磋商文件中规定的其他实质性要求和条件的（本磋商文件中斜体且有下划线部分为实质性要求和条件）；</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（5）其他法律、法规及本磋商文件规定的属未实质性响应的响应文件的情形。</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360" w:lineRule="auto"/>
        <w:ind w:firstLine="420" w:firstLineChars="200"/>
        <w:rPr>
          <w:rFonts w:ascii="宋体" w:hAnsi="宋体" w:cs="宋体"/>
          <w:color w:val="auto"/>
          <w:szCs w:val="21"/>
          <w:highlight w:val="none"/>
        </w:rPr>
      </w:pPr>
      <w:bookmarkStart w:id="105" w:name="_Toc513029234"/>
      <w:bookmarkStart w:id="106" w:name="_Toc16938550"/>
      <w:bookmarkStart w:id="107" w:name="_Toc20823306"/>
      <w:r>
        <w:rPr>
          <w:rFonts w:hint="eastAsia" w:ascii="宋体" w:hAnsi="宋体" w:cs="宋体"/>
          <w:color w:val="auto"/>
          <w:szCs w:val="21"/>
          <w:highlight w:val="none"/>
        </w:rPr>
        <w:t>6、</w:t>
      </w:r>
      <w:bookmarkEnd w:id="105"/>
      <w:bookmarkEnd w:id="106"/>
      <w:bookmarkEnd w:id="107"/>
      <w:r>
        <w:rPr>
          <w:rFonts w:hint="eastAsia" w:ascii="宋体" w:hAnsi="宋体" w:cs="宋体"/>
          <w:color w:val="auto"/>
          <w:szCs w:val="21"/>
          <w:highlight w:val="none"/>
        </w:rPr>
        <w:t>磋商程序及评审方法和标准</w:t>
      </w:r>
    </w:p>
    <w:p>
      <w:pPr>
        <w:tabs>
          <w:tab w:val="left" w:pos="900"/>
        </w:tabs>
        <w:spacing w:line="360" w:lineRule="auto"/>
        <w:ind w:firstLine="420" w:firstLineChars="200"/>
        <w:rPr>
          <w:rFonts w:ascii="宋体" w:hAnsi="宋体" w:cs="宋体"/>
          <w:color w:val="auto"/>
          <w:szCs w:val="21"/>
          <w:highlight w:val="none"/>
        </w:rPr>
      </w:pPr>
      <w:bookmarkStart w:id="108" w:name="_Toc16938551"/>
      <w:bookmarkStart w:id="109" w:name="_Toc513029235"/>
      <w:bookmarkStart w:id="110" w:name="_Toc20823307"/>
      <w:r>
        <w:rPr>
          <w:rFonts w:hint="eastAsia" w:ascii="宋体" w:hAnsi="宋体" w:cs="宋体"/>
          <w:color w:val="auto"/>
          <w:szCs w:val="21"/>
          <w:highlight w:val="none"/>
        </w:rPr>
        <w:t>6.1磋商程序</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6.1.1 对于通过资格性和符合性审查的供应商，磋商小组所有成员将集中与单一供应商分别进行磋商。</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6.1.2 磋商文件能够详细列明采购标的的技术、服务要求的，磋商结束后，磋商小组将要求所有实质性响应的供应商在规定时间内提交最后报价。</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最后报价是供应商响应文件的有效组成部分。符合《政府采购竞争性磋商采购人式管理暂行办法》第三条第四项及《财政部关于竞争性磋商采购人式管理暂行办法有关问题的补充通知》（财库[2015]124号）规定情形的，提交最后报价的供应商可以为2家。</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 评审方法和标准</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6.2.2评审标准</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见本磋商文件第五章规定。</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6.3采购活动终止的情况</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（1）因情况变化，不再符合规定的竞争性磋商采购人式适用情形的；</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bookmarkEnd w:id="108"/>
    <w:bookmarkEnd w:id="109"/>
    <w:bookmarkEnd w:id="110"/>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（3）除本磋商文件第6.1.2条第三款规定的情形外，在采购过程中符合要求的供应商或者报价未超过采购预算的供应商不足3家的。</w:t>
      </w:r>
    </w:p>
    <w:p>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五、成交</w:t>
      </w:r>
    </w:p>
    <w:p>
      <w:pPr>
        <w:tabs>
          <w:tab w:val="left" w:pos="900"/>
        </w:tabs>
        <w:spacing w:line="360" w:lineRule="auto"/>
        <w:ind w:firstLine="420" w:firstLineChars="200"/>
        <w:rPr>
          <w:rFonts w:ascii="宋体" w:hAnsi="宋体" w:cs="宋体"/>
          <w:color w:val="auto"/>
          <w:szCs w:val="21"/>
          <w:highlight w:val="none"/>
        </w:rPr>
      </w:pPr>
      <w:bookmarkStart w:id="111" w:name="_Toc513029238"/>
      <w:bookmarkStart w:id="112" w:name="_Toc16938554"/>
      <w:bookmarkStart w:id="113" w:name="_Toc20823310"/>
      <w:r>
        <w:rPr>
          <w:rFonts w:hint="eastAsia" w:ascii="宋体" w:hAnsi="宋体" w:cs="宋体"/>
          <w:color w:val="auto"/>
          <w:szCs w:val="21"/>
          <w:highlight w:val="none"/>
        </w:rPr>
        <w:t>1、</w:t>
      </w:r>
      <w:bookmarkEnd w:id="111"/>
      <w:r>
        <w:rPr>
          <w:rFonts w:hint="eastAsia" w:ascii="宋体" w:hAnsi="宋体" w:cs="宋体"/>
          <w:color w:val="auto"/>
          <w:szCs w:val="21"/>
          <w:highlight w:val="none"/>
        </w:rPr>
        <w:t>确定</w:t>
      </w:r>
      <w:bookmarkEnd w:id="112"/>
      <w:bookmarkEnd w:id="113"/>
      <w:r>
        <w:rPr>
          <w:rFonts w:hint="eastAsia" w:ascii="宋体" w:hAnsi="宋体" w:cs="宋体"/>
          <w:color w:val="auto"/>
          <w:szCs w:val="21"/>
          <w:highlight w:val="none"/>
        </w:rPr>
        <w:t>成交单位</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olor w:val="auto"/>
          <w:szCs w:val="21"/>
          <w:highlight w:val="none"/>
        </w:rPr>
        <w:t>磋商小组根据综合评分情况，按照评审得分由高到低顺序推荐3名及以上成交候选供应商，并编写评审报告。符合本文件第6.1.2条情形的，可以推荐2家成交候选供应商。评审得分相同的，按照最后报价由低到高的顺序推荐。评审得分且最后报价相同的，按照技术指标优劣顺序推荐。</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1.2采购人根据磋商小组推荐的成交候选人确定成交人。采购人确定成交人后，代理机构将在“扬州大学附属医院网</w:t>
      </w:r>
      <w:r>
        <w:rPr>
          <w:rFonts w:hint="eastAsia" w:ascii="宋体" w:hAnsi="宋体" w:cs="Arial"/>
          <w:color w:val="auto"/>
          <w:szCs w:val="21"/>
          <w:highlight w:val="none"/>
        </w:rPr>
        <w:t>”、“扬州大学网”</w:t>
      </w:r>
      <w:r>
        <w:rPr>
          <w:rFonts w:hint="eastAsia" w:ascii="宋体" w:hAnsi="宋体" w:cs="宋体"/>
          <w:color w:val="auto"/>
          <w:szCs w:val="21"/>
          <w:highlight w:val="none"/>
        </w:rPr>
        <w:t>发布成交结果公告，公告期限为1个工作日。</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1.3若有充分证据证明，成交人出现下列情况之一的，一经查实，将被取消成交资格：</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（1）提供虚假材料谋取成交的；</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（2）与评审专家、采购人、其他供应商或者代理机构工作人员恶意串通的；</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（3）向评审专家、采购人或代理机构工作人员行贿或者提供其他不正当利益的；</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（4）恶意竞争，最终总报价明显低于其自身合理成本且又无法提供证明的；</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（5）不满足本磋商文件规定的实质性要求，但在评审过程中又未被磋商小组发现的；</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（6）成交后无正当理由拒不与采购人签订采购合同或者未按照磋商文件确定的事项签订采购合同；</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（7）将采购合同转包；</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（8）法律、法规、规章规定的属于成交无效的其他情形。</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2、质疑处理</w:t>
      </w:r>
    </w:p>
    <w:p>
      <w:pPr>
        <w:spacing w:line="360" w:lineRule="auto"/>
        <w:ind w:firstLine="420" w:firstLineChars="200"/>
        <w:rPr>
          <w:rFonts w:ascii="宋体" w:hAnsi="宋体" w:cs="宋体"/>
          <w:snapToGrid w:val="0"/>
          <w:color w:val="auto"/>
          <w:szCs w:val="21"/>
          <w:highlight w:val="none"/>
        </w:rPr>
      </w:pPr>
      <w:r>
        <w:rPr>
          <w:rFonts w:hint="eastAsia" w:ascii="宋体" w:hAnsi="宋体" w:cs="宋体"/>
          <w:color w:val="auto"/>
          <w:szCs w:val="21"/>
          <w:highlight w:val="none"/>
        </w:rPr>
        <w:t>2.1磋商供应商认为磋商文件、采购过程和采购结果使自己的权益受到损害的，可以在知道或应知其权益受到损害之日起七个工作日内，经办人携带《授权委托书》原件、被授权人身份证原件（经办人如为法定代表人只需提供身份证原件），以书面形式向代理机构提出质疑。</w:t>
      </w:r>
      <w:r>
        <w:rPr>
          <w:rFonts w:hint="eastAsia" w:ascii="宋体" w:hAnsi="宋体" w:cs="宋体"/>
          <w:snapToGrid w:val="0"/>
          <w:color w:val="auto"/>
          <w:szCs w:val="21"/>
          <w:highlight w:val="none"/>
        </w:rPr>
        <w:t>《质疑申请书》及《授权委托书》格式见网址：</w:t>
      </w:r>
      <w:r>
        <w:rPr>
          <w:color w:val="auto"/>
          <w:highlight w:val="none"/>
        </w:rPr>
        <w:fldChar w:fldCharType="begin"/>
      </w:r>
      <w:r>
        <w:rPr>
          <w:color w:val="auto"/>
          <w:highlight w:val="none"/>
        </w:rPr>
        <w:instrText xml:space="preserve"> HYPERLINK "http://pan.baidu.com/s/1c1G12Cg" </w:instrText>
      </w:r>
      <w:r>
        <w:rPr>
          <w:color w:val="auto"/>
          <w:highlight w:val="none"/>
        </w:rPr>
        <w:fldChar w:fldCharType="separate"/>
      </w:r>
      <w:r>
        <w:rPr>
          <w:rFonts w:hint="eastAsia" w:ascii="宋体" w:hAnsi="宋体" w:cs="宋体"/>
          <w:snapToGrid w:val="0"/>
          <w:color w:val="auto"/>
          <w:szCs w:val="21"/>
          <w:highlight w:val="none"/>
        </w:rPr>
        <w:t>http://pan.baidu.com/s/1c1G12Cg</w:t>
      </w:r>
      <w:r>
        <w:rPr>
          <w:rFonts w:hint="eastAsia" w:ascii="宋体" w:hAnsi="宋体" w:cs="宋体"/>
          <w:snapToGrid w:val="0"/>
          <w:color w:val="auto"/>
          <w:szCs w:val="21"/>
          <w:highlight w:val="none"/>
        </w:rPr>
        <w:fldChar w:fldCharType="end"/>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2.1.1对采购文件提出质疑的，应当在获取采购文件之日或者采购文件公告期限届满之日起7个工作日内提出。</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2.1.2</w:t>
      </w:r>
      <w:r>
        <w:rPr>
          <w:rFonts w:hint="eastAsia" w:ascii="宋体" w:hAnsi="宋体" w:cs="宋体"/>
          <w:color w:val="auto"/>
          <w:szCs w:val="21"/>
          <w:highlight w:val="none"/>
        </w:rPr>
        <w:t>对采购过程提出质疑的，为各采购程序环节结束之日起7个工作日内提出。</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2.1.3</w:t>
      </w:r>
      <w:r>
        <w:rPr>
          <w:rFonts w:hint="eastAsia" w:ascii="宋体" w:hAnsi="宋体" w:cs="宋体"/>
          <w:color w:val="auto"/>
          <w:szCs w:val="21"/>
          <w:highlight w:val="none"/>
        </w:rPr>
        <w:t>对成交结果提出质疑的，为成交结果公告期限届满之日起7个工作日内提出。</w:t>
      </w:r>
    </w:p>
    <w:p>
      <w:pPr>
        <w:spacing w:line="360" w:lineRule="auto"/>
        <w:ind w:firstLine="420" w:firstLineChars="200"/>
        <w:rPr>
          <w:rFonts w:ascii="宋体" w:hAnsi="宋体"/>
          <w:snapToGrid w:val="0"/>
          <w:color w:val="auto"/>
          <w:szCs w:val="21"/>
          <w:highlight w:val="none"/>
        </w:rPr>
      </w:pPr>
      <w:r>
        <w:rPr>
          <w:rFonts w:hint="eastAsia" w:ascii="宋体" w:hAnsi="宋体"/>
          <w:color w:val="auto"/>
          <w:szCs w:val="21"/>
          <w:highlight w:val="none"/>
        </w:rPr>
        <w:t>2.2供应商应在法定质疑期内一次性提出针对同一采购程序环节的质疑。质疑必须按相关规定提交</w:t>
      </w:r>
      <w:r>
        <w:rPr>
          <w:rFonts w:hint="eastAsia" w:ascii="宋体" w:hAnsi="宋体"/>
          <w:color w:val="auto"/>
          <w:spacing w:val="-20"/>
          <w:szCs w:val="21"/>
          <w:highlight w:val="none"/>
        </w:rPr>
        <w:t>。</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2.3提出质疑的供应商（以下简称质疑供应商）应当是参与所质疑项目采购活动的供应商。</w:t>
      </w:r>
    </w:p>
    <w:p>
      <w:pPr>
        <w:spacing w:line="360" w:lineRule="auto"/>
        <w:ind w:firstLine="409" w:firstLineChars="195"/>
        <w:rPr>
          <w:rFonts w:ascii="宋体" w:hAnsi="宋体"/>
          <w:color w:val="auto"/>
          <w:kern w:val="0"/>
          <w:szCs w:val="21"/>
          <w:highlight w:val="none"/>
        </w:rPr>
      </w:pPr>
      <w:r>
        <w:rPr>
          <w:rFonts w:hint="eastAsia" w:ascii="宋体" w:hAnsi="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2.4供应商提出质疑应当提交质疑函和必要的证明材料。质疑函应当包括下列内容：</w:t>
      </w:r>
    </w:p>
    <w:p>
      <w:pPr>
        <w:spacing w:line="360" w:lineRule="auto"/>
        <w:rPr>
          <w:rFonts w:ascii="宋体" w:hAnsi="宋体"/>
          <w:color w:val="auto"/>
          <w:szCs w:val="21"/>
          <w:highlight w:val="none"/>
        </w:rPr>
      </w:pPr>
      <w:r>
        <w:rPr>
          <w:rFonts w:hint="eastAsia" w:ascii="宋体" w:hAnsi="宋体"/>
          <w:color w:val="auto"/>
          <w:szCs w:val="21"/>
          <w:highlight w:val="none"/>
        </w:rPr>
        <w:t>　　2.4.1供应商的姓名或者名称、地址、邮编、联系人及联系电话；</w:t>
      </w:r>
    </w:p>
    <w:p>
      <w:pPr>
        <w:spacing w:line="360" w:lineRule="auto"/>
        <w:rPr>
          <w:rFonts w:ascii="宋体" w:hAnsi="宋体"/>
          <w:color w:val="auto"/>
          <w:szCs w:val="21"/>
          <w:highlight w:val="none"/>
        </w:rPr>
      </w:pPr>
      <w:r>
        <w:rPr>
          <w:rFonts w:hint="eastAsia" w:ascii="宋体" w:hAnsi="宋体"/>
          <w:color w:val="auto"/>
          <w:szCs w:val="21"/>
          <w:highlight w:val="none"/>
        </w:rPr>
        <w:t>　　2.4.2质疑项目的名称、编号；</w:t>
      </w:r>
    </w:p>
    <w:p>
      <w:pPr>
        <w:spacing w:line="360" w:lineRule="auto"/>
        <w:rPr>
          <w:rFonts w:ascii="宋体" w:hAnsi="宋体"/>
          <w:color w:val="auto"/>
          <w:szCs w:val="21"/>
          <w:highlight w:val="none"/>
        </w:rPr>
      </w:pPr>
      <w:r>
        <w:rPr>
          <w:rFonts w:hint="eastAsia" w:ascii="宋体" w:hAnsi="宋体"/>
          <w:color w:val="auto"/>
          <w:szCs w:val="21"/>
          <w:highlight w:val="none"/>
        </w:rPr>
        <w:t>　　2.4.3具体、明确的质疑事项和与质疑事项相关的请求；</w:t>
      </w:r>
    </w:p>
    <w:p>
      <w:pPr>
        <w:spacing w:line="360" w:lineRule="auto"/>
        <w:rPr>
          <w:rFonts w:ascii="宋体" w:hAnsi="宋体"/>
          <w:color w:val="auto"/>
          <w:szCs w:val="21"/>
          <w:highlight w:val="none"/>
        </w:rPr>
      </w:pPr>
      <w:r>
        <w:rPr>
          <w:rFonts w:hint="eastAsia" w:ascii="宋体" w:hAnsi="宋体"/>
          <w:color w:val="auto"/>
          <w:szCs w:val="21"/>
          <w:highlight w:val="none"/>
        </w:rPr>
        <w:t>　　2.4.4事实依据；</w:t>
      </w:r>
    </w:p>
    <w:p>
      <w:pPr>
        <w:spacing w:line="360" w:lineRule="auto"/>
        <w:rPr>
          <w:rFonts w:ascii="宋体" w:hAnsi="宋体"/>
          <w:color w:val="auto"/>
          <w:szCs w:val="21"/>
          <w:highlight w:val="none"/>
        </w:rPr>
      </w:pPr>
      <w:r>
        <w:rPr>
          <w:rFonts w:hint="eastAsia" w:ascii="宋体" w:hAnsi="宋体"/>
          <w:color w:val="auto"/>
          <w:szCs w:val="21"/>
          <w:highlight w:val="none"/>
        </w:rPr>
        <w:t>　　2.4.5必要的法律依据；</w:t>
      </w:r>
    </w:p>
    <w:p>
      <w:pPr>
        <w:spacing w:line="360" w:lineRule="auto"/>
        <w:rPr>
          <w:rFonts w:ascii="宋体" w:hAnsi="宋体"/>
          <w:color w:val="auto"/>
          <w:szCs w:val="21"/>
          <w:highlight w:val="none"/>
        </w:rPr>
      </w:pPr>
      <w:r>
        <w:rPr>
          <w:rFonts w:hint="eastAsia" w:ascii="宋体" w:hAnsi="宋体"/>
          <w:color w:val="auto"/>
          <w:szCs w:val="21"/>
          <w:highlight w:val="none"/>
        </w:rPr>
        <w:t>　　2.4.6提出质疑的日期。</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供应商为自然人的，应当由本人签字；供应商为法人或者其他组织的，应当由法定代表人、主要负责人，或者其授权代表签字或者盖章，并加盖公章。</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2.5代理机构收到质疑函后，将对质疑的形式和内容进行审查，如质疑函内容、格式不符合规定，代理机构将告知质疑人进行补正。</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2.6质疑人应当在法定质疑期限内进行补正并重新提交质疑函，拒不补正或者在法定期限内未重新提交质疑函的，为无效质疑，代理机构有权不予受理。</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2.8 诚实信用</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2.8.1 供应商之间不得相互串通投标报价，不得妨碍其他供应商的公平竞争，不得损害采购人和其他供应商的合法权益。</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2.8.2 供应商不得以向代理机构工作人员、评标委员会成员行贿或者采取其他不正当手段谋取成交。经查实供应商有此行为的，采购人将供应商列入不良行为记录名单，按照采购人有关规定处理。</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2.8.3 供应商提出书面质疑必须有理、有据，不得虚假质疑和恶意质疑，并对质疑内容的真实性承担责任。一经查实，代理机构有权依据政府采购的有关规定，报请政府采购监管部门对该供应商进行相应的行政处罚并在网站上予以公示。如果供应商或者其他利害关系人通过捏造事实、伪造证明材料等方式提出质疑，干扰采购活动正常进行的，属于严重不良行为，代理机构将提请采购监管部门将其列入不良行为记录名单，并依法予以处罚。</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2.8.4 供应商不得虚假承诺，否则，按照提供虚假材料谋取成交成交处理。</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2.8.5 供应商应自觉遵守开标、评标纪律，扰乱开标评标现场秩序的，属于失信行为，失信行为将被记入供应商诚信档案。</w:t>
      </w:r>
    </w:p>
    <w:p>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六、合同签订相关事项</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1、签订合同</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l成交人确定后，代理机构将向成交人发出成交通知书。成交人应按成交通知书规定的时间、地点,按照磋商文件确定的事项与采购人签订采购合同，且不得迟于成交通知书发出之日起十五日内，由此给采购人造成损失的，成交人还应承担赔偿责任。</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 磋商文件、成交人的响应文件及磋商采购过程中有关澄清、承诺文件均应作为合同附件。</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 签订合同后，</w:t>
      </w:r>
      <w:r>
        <w:rPr>
          <w:rFonts w:hint="eastAsia" w:ascii="宋体" w:hAnsi="宋体" w:cs="宋体"/>
          <w:i/>
          <w:color w:val="auto"/>
          <w:szCs w:val="21"/>
          <w:highlight w:val="none"/>
          <w:u w:val="single"/>
        </w:rPr>
        <w:t>成交供应商不得将成交产品或服务进行转包。</w:t>
      </w:r>
      <w:r>
        <w:rPr>
          <w:rFonts w:hint="eastAsia" w:ascii="宋体" w:hAnsi="宋体" w:cs="宋体"/>
          <w:color w:val="auto"/>
          <w:szCs w:val="21"/>
          <w:highlight w:val="none"/>
        </w:rPr>
        <w:t>否则采购人有权终止合同。造成采购人损失的，成交人应承担相应赔偿责任。</w:t>
      </w:r>
    </w:p>
    <w:p>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w:t>
      </w:r>
    </w:p>
    <w:p>
      <w:pPr>
        <w:spacing w:line="360" w:lineRule="auto"/>
        <w:ind w:firstLine="420" w:firstLineChars="200"/>
        <w:rPr>
          <w:rFonts w:ascii="宋体" w:hAnsi="宋体" w:cs="宋体"/>
          <w:color w:val="auto"/>
          <w:szCs w:val="21"/>
          <w:highlight w:val="none"/>
        </w:rPr>
      </w:pPr>
      <w:bookmarkStart w:id="114" w:name="_Toc497145841"/>
      <w:r>
        <w:rPr>
          <w:rFonts w:hint="eastAsia" w:ascii="宋体" w:hAnsi="宋体" w:cs="宋体"/>
          <w:color w:val="auto"/>
          <w:szCs w:val="21"/>
          <w:highlight w:val="none"/>
        </w:rPr>
        <w:t>2.1</w:t>
      </w:r>
      <w:r>
        <w:rPr>
          <w:rFonts w:hint="eastAsia" w:ascii="宋体" w:hAnsi="宋体" w:cs="宋体"/>
          <w:color w:val="auto"/>
          <w:szCs w:val="21"/>
          <w:highlight w:val="none"/>
        </w:rPr>
        <w:t>成交人在签订合同前须缴纳合同金额的10%的履约保证金至采购人指定账户。</w:t>
      </w:r>
      <w:r>
        <w:rPr>
          <w:rFonts w:hint="eastAsia" w:ascii="宋体" w:hAnsi="宋体" w:cs="宋体"/>
          <w:color w:val="auto"/>
          <w:szCs w:val="21"/>
          <w:highlight w:val="none"/>
        </w:rPr>
        <w:t>履约保证金用以约束供应商在合同履行中的行为，弥补合同执行中由于自身行为可能给采购人带来的各种损失。如果成交人不同意按照规定去做，采购人有权取消本次采购成交决定。</w:t>
      </w:r>
    </w:p>
    <w:p>
      <w:pPr>
        <w:spacing w:line="360" w:lineRule="auto"/>
        <w:ind w:firstLine="420" w:firstLineChars="200"/>
        <w:rPr>
          <w:rFonts w:ascii="宋体" w:hAnsi="宋体" w:cs="宋体"/>
          <w:color w:val="auto"/>
          <w:szCs w:val="21"/>
          <w:highlight w:val="none"/>
        </w:rPr>
        <w:sectPr>
          <w:footerReference r:id="rId5" w:type="default"/>
          <w:pgSz w:w="11906" w:h="16838"/>
          <w:pgMar w:top="1440" w:right="1800" w:bottom="1440" w:left="1800" w:header="851" w:footer="992" w:gutter="0"/>
          <w:cols w:space="720" w:num="1"/>
          <w:docGrid w:type="lines" w:linePitch="312" w:charSpace="0"/>
        </w:sectPr>
      </w:pPr>
      <w:r>
        <w:rPr>
          <w:rFonts w:hint="eastAsia" w:ascii="宋体" w:hAnsi="宋体" w:cs="宋体"/>
          <w:color w:val="auto"/>
          <w:szCs w:val="21"/>
          <w:highlight w:val="none"/>
        </w:rPr>
        <w:t>2.2履约保证金的退还：履约保证金在项目履约验收合格后5个工作日内退还，不计利息。合同履行结束后，成交人凭采购人签署的项目验收单或项目验收报告、履约保证金收据原件，前往采购人处办理保证金退还手续。</w:t>
      </w:r>
    </w:p>
    <w:p>
      <w:pPr>
        <w:pStyle w:val="10"/>
        <w:spacing w:before="0" w:after="0" w:line="360" w:lineRule="auto"/>
        <w:jc w:val="center"/>
        <w:rPr>
          <w:rFonts w:ascii="宋体" w:hAnsi="宋体"/>
          <w:color w:val="auto"/>
          <w:sz w:val="36"/>
          <w:highlight w:val="none"/>
        </w:rPr>
      </w:pPr>
      <w:r>
        <w:rPr>
          <w:rFonts w:hint="eastAsia" w:ascii="宋体" w:hAnsi="宋体"/>
          <w:color w:val="auto"/>
          <w:sz w:val="36"/>
          <w:highlight w:val="none"/>
        </w:rPr>
        <w:t>第三章 合同条款及格式</w:t>
      </w:r>
      <w:bookmarkEnd w:id="114"/>
    </w:p>
    <w:p>
      <w:pPr>
        <w:pStyle w:val="22"/>
        <w:spacing w:line="360" w:lineRule="auto"/>
        <w:ind w:firstLine="400" w:firstLineChars="200"/>
        <w:rPr>
          <w:rFonts w:hAnsi="宋体"/>
          <w:bCs/>
          <w:color w:val="auto"/>
          <w:highlight w:val="none"/>
        </w:rPr>
      </w:pPr>
    </w:p>
    <w:p>
      <w:pPr>
        <w:pStyle w:val="22"/>
        <w:spacing w:line="360" w:lineRule="auto"/>
        <w:ind w:left="-420" w:leftChars="-200" w:right="-313" w:rightChars="-149" w:firstLine="420" w:firstLineChars="200"/>
        <w:rPr>
          <w:rFonts w:hAnsi="宋体"/>
          <w:bCs/>
          <w:color w:val="auto"/>
          <w:sz w:val="21"/>
          <w:highlight w:val="none"/>
        </w:rPr>
      </w:pPr>
      <w:r>
        <w:rPr>
          <w:rFonts w:hint="eastAsia" w:hAnsi="宋体"/>
          <w:bCs/>
          <w:color w:val="auto"/>
          <w:sz w:val="21"/>
          <w:highlight w:val="none"/>
        </w:rPr>
        <w:t>以下为成交后签定本项目合同的通用条款，成交人不得提出实质性的修改，关于专用条款将由采购人与成交人结合本项目具体情况协商后签订。</w:t>
      </w:r>
      <w:bookmarkStart w:id="115" w:name="_Toc497145842"/>
    </w:p>
    <w:p>
      <w:pPr>
        <w:pStyle w:val="22"/>
        <w:spacing w:line="360" w:lineRule="auto"/>
        <w:ind w:left="-420" w:leftChars="-200" w:right="-313" w:rightChars="-149" w:firstLine="400" w:firstLineChars="200"/>
        <w:rPr>
          <w:rFonts w:hAnsi="宋体"/>
          <w:bCs/>
          <w:color w:val="auto"/>
          <w:highlight w:val="none"/>
        </w:rPr>
      </w:pPr>
    </w:p>
    <w:p>
      <w:pPr>
        <w:pStyle w:val="22"/>
        <w:keepNext w:val="0"/>
        <w:keepLines w:val="0"/>
        <w:pageBreakBefore w:val="0"/>
        <w:kinsoku/>
        <w:wordWrap/>
        <w:overflowPunct/>
        <w:topLinePunct w:val="0"/>
        <w:bidi w:val="0"/>
        <w:snapToGrid w:val="0"/>
        <w:spacing w:line="48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扬州大学附属医院东西区消防维保服务项目</w:t>
      </w:r>
      <w:r>
        <w:rPr>
          <w:rFonts w:hint="eastAsia" w:ascii="宋体" w:hAnsi="宋体" w:eastAsia="宋体" w:cs="宋体"/>
          <w:color w:val="auto"/>
          <w:sz w:val="21"/>
          <w:szCs w:val="21"/>
          <w:highlight w:val="none"/>
        </w:rPr>
        <w:t xml:space="preserve">      </w:t>
      </w:r>
    </w:p>
    <w:p>
      <w:pPr>
        <w:pStyle w:val="22"/>
        <w:keepNext w:val="0"/>
        <w:keepLines w:val="0"/>
        <w:pageBreakBefore w:val="0"/>
        <w:kinsoku/>
        <w:wordWrap/>
        <w:overflowPunct/>
        <w:topLinePunct w:val="0"/>
        <w:bidi w:val="0"/>
        <w:snapToGrid w:val="0"/>
        <w:spacing w:line="480" w:lineRule="auto"/>
        <w:ind w:left="0" w:leftChars="0" w:right="0" w:righ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lang w:eastAsia="zh-CN"/>
        </w:rPr>
        <w:t>JSHCZB-2023045</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号 </w:t>
      </w:r>
    </w:p>
    <w:p>
      <w:pPr>
        <w:pStyle w:val="22"/>
        <w:keepNext w:val="0"/>
        <w:keepLines w:val="0"/>
        <w:pageBreakBefore w:val="0"/>
        <w:kinsoku/>
        <w:wordWrap/>
        <w:overflowPunct/>
        <w:topLinePunct w:val="0"/>
        <w:bidi w:val="0"/>
        <w:snapToGrid w:val="0"/>
        <w:spacing w:line="48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甲方（采购人/买方）：扬州大学附属医院      </w:t>
      </w:r>
    </w:p>
    <w:p>
      <w:pPr>
        <w:pStyle w:val="22"/>
        <w:keepNext w:val="0"/>
        <w:keepLines w:val="0"/>
        <w:pageBreakBefore w:val="0"/>
        <w:kinsoku/>
        <w:wordWrap/>
        <w:overflowPunct/>
        <w:topLinePunct w:val="0"/>
        <w:bidi w:val="0"/>
        <w:snapToGrid w:val="0"/>
        <w:spacing w:line="480" w:lineRule="auto"/>
        <w:ind w:left="0" w:leftChars="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乙方（供应商/卖方）：</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6840"/>
          <w:tab w:val="left" w:pos="9283"/>
        </w:tabs>
        <w:kinsoku/>
        <w:wordWrap/>
        <w:overflowPunct/>
        <w:topLinePunct w:val="0"/>
        <w:bidi w:val="0"/>
        <w:adjustRightInd w:val="0"/>
        <w:spacing w:line="360" w:lineRule="auto"/>
        <w:ind w:left="0" w:leftChars="0" w:right="0" w:rightChars="0" w:firstLine="50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bCs/>
          <w:color w:val="auto"/>
          <w:spacing w:val="20"/>
          <w:sz w:val="21"/>
          <w:szCs w:val="21"/>
          <w:highlight w:val="none"/>
        </w:rPr>
        <w:t>依照《中华人民共和国民法典》、</w:t>
      </w:r>
      <w:r>
        <w:rPr>
          <w:rFonts w:hint="eastAsia" w:ascii="宋体" w:hAnsi="宋体" w:eastAsia="宋体" w:cs="宋体"/>
          <w:color w:val="auto"/>
          <w:sz w:val="21"/>
          <w:szCs w:val="21"/>
          <w:highlight w:val="none"/>
          <w:lang w:bidi="he-IL"/>
        </w:rPr>
        <w:t>《中华人民共和国质量法》</w:t>
      </w:r>
      <w:r>
        <w:rPr>
          <w:rFonts w:hint="eastAsia" w:ascii="宋体" w:hAnsi="宋体" w:eastAsia="宋体" w:cs="宋体"/>
          <w:color w:val="auto"/>
          <w:sz w:val="21"/>
          <w:szCs w:val="21"/>
          <w:highlight w:val="none"/>
        </w:rPr>
        <w:t>等相关法律法规</w:t>
      </w:r>
      <w:r>
        <w:rPr>
          <w:rFonts w:hint="eastAsia" w:ascii="宋体" w:hAnsi="宋体" w:eastAsia="宋体" w:cs="宋体"/>
          <w:color w:val="auto"/>
          <w:sz w:val="21"/>
          <w:szCs w:val="21"/>
          <w:highlight w:val="none"/>
          <w:lang w:val="en-US" w:eastAsia="zh-CN"/>
        </w:rPr>
        <w:t>的规定，</w:t>
      </w:r>
      <w:r>
        <w:rPr>
          <w:rFonts w:hint="eastAsia" w:ascii="宋体" w:hAnsi="宋体" w:eastAsia="宋体" w:cs="宋体"/>
          <w:color w:val="auto"/>
          <w:sz w:val="21"/>
          <w:szCs w:val="21"/>
          <w:highlight w:val="none"/>
        </w:rPr>
        <w:t>甲、乙双方按照</w:t>
      </w:r>
      <w:r>
        <w:rPr>
          <w:rFonts w:hint="eastAsia" w:ascii="宋体" w:hAnsi="宋体" w:eastAsia="宋体" w:cs="宋体"/>
          <w:color w:val="auto"/>
          <w:sz w:val="21"/>
          <w:szCs w:val="21"/>
          <w:highlight w:val="none"/>
          <w:lang w:val="en-US" w:eastAsia="zh-CN"/>
        </w:rPr>
        <w:t>江苏汇诚投资咨询管理有限</w:t>
      </w:r>
      <w:r>
        <w:rPr>
          <w:rFonts w:hint="eastAsia" w:ascii="宋体" w:hAnsi="宋体" w:eastAsia="宋体" w:cs="宋体"/>
          <w:color w:val="auto"/>
          <w:sz w:val="21"/>
          <w:szCs w:val="21"/>
          <w:highlight w:val="none"/>
        </w:rPr>
        <w:t>公司关于本项目磋商结果签订本合同。</w:t>
      </w:r>
    </w:p>
    <w:p>
      <w:pPr>
        <w:keepNext w:val="0"/>
        <w:keepLines w:val="0"/>
        <w:pageBreakBefore w:val="0"/>
        <w:tabs>
          <w:tab w:val="left" w:pos="6840"/>
          <w:tab w:val="left" w:pos="9283"/>
        </w:tabs>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pacing w:val="20"/>
          <w:sz w:val="21"/>
          <w:szCs w:val="21"/>
          <w:highlight w:val="none"/>
        </w:rPr>
        <w:t>合同标的</w:t>
      </w:r>
    </w:p>
    <w:p>
      <w:pPr>
        <w:keepNext w:val="0"/>
        <w:keepLines w:val="0"/>
        <w:pageBreakBefore w:val="0"/>
        <w:kinsoku/>
        <w:wordWrap/>
        <w:overflowPunct/>
        <w:topLinePunct w:val="0"/>
        <w:bidi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项目名称：扬州大学附属医院东西区消防维保服务项目</w:t>
      </w:r>
    </w:p>
    <w:p>
      <w:pPr>
        <w:keepNext w:val="0"/>
        <w:keepLines w:val="0"/>
        <w:pageBreakBefore w:val="0"/>
        <w:kinsoku/>
        <w:wordWrap/>
        <w:overflowPunct/>
        <w:topLinePunct w:val="0"/>
        <w:bidi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20"/>
          <w:sz w:val="21"/>
          <w:szCs w:val="21"/>
          <w:highlight w:val="none"/>
        </w:rPr>
        <w:t>维保范围、内容及要求：</w:t>
      </w:r>
      <w:r>
        <w:rPr>
          <w:rFonts w:hint="eastAsia" w:ascii="宋体" w:hAnsi="宋体" w:eastAsia="宋体" w:cs="宋体"/>
          <w:color w:val="auto"/>
          <w:sz w:val="21"/>
          <w:szCs w:val="21"/>
          <w:highlight w:val="none"/>
        </w:rPr>
        <w:t>扬州大学附属医院包括设在医学院的病案库和东区学生宿舍所有的与消防相关的</w:t>
      </w:r>
      <w:r>
        <w:rPr>
          <w:rFonts w:hint="eastAsia" w:ascii="宋体" w:hAnsi="宋体" w:eastAsia="宋体" w:cs="宋体"/>
          <w:color w:val="auto"/>
          <w:sz w:val="21"/>
          <w:szCs w:val="21"/>
          <w:highlight w:val="none"/>
          <w:lang w:val="zh-CN"/>
        </w:rPr>
        <w:t>火灾自动报警系统、自动喷淋灭火系统、消防供水设施、室内外消火栓灭火系统、</w:t>
      </w:r>
      <w:r>
        <w:rPr>
          <w:rFonts w:hint="eastAsia" w:ascii="宋体" w:hAnsi="宋体" w:eastAsia="宋体" w:cs="宋体"/>
          <w:color w:val="auto"/>
          <w:sz w:val="21"/>
          <w:szCs w:val="21"/>
          <w:highlight w:val="none"/>
        </w:rPr>
        <w:t>消防泵房及控制系统(含湿式报警房、消防水池、消防水箱)、</w:t>
      </w:r>
      <w:r>
        <w:rPr>
          <w:rFonts w:hint="eastAsia" w:ascii="宋体" w:hAnsi="宋体" w:eastAsia="宋体" w:cs="宋体"/>
          <w:color w:val="auto"/>
          <w:sz w:val="21"/>
          <w:szCs w:val="21"/>
          <w:highlight w:val="none"/>
          <w:lang w:val="zh-CN"/>
        </w:rPr>
        <w:t>消防广播系统</w:t>
      </w:r>
      <w:r>
        <w:rPr>
          <w:rFonts w:hint="eastAsia" w:ascii="宋体" w:hAnsi="宋体" w:eastAsia="宋体" w:cs="宋体"/>
          <w:color w:val="auto"/>
          <w:sz w:val="21"/>
          <w:szCs w:val="21"/>
          <w:highlight w:val="none"/>
        </w:rPr>
        <w:t>及消防联动控制系统</w:t>
      </w:r>
      <w:r>
        <w:rPr>
          <w:rFonts w:hint="eastAsia" w:ascii="宋体" w:hAnsi="宋体" w:eastAsia="宋体" w:cs="宋体"/>
          <w:color w:val="auto"/>
          <w:sz w:val="21"/>
          <w:szCs w:val="21"/>
          <w:highlight w:val="none"/>
          <w:lang w:val="zh-CN"/>
        </w:rPr>
        <w:t>、消防对讲系统、防排烟系统、防火分隔系统、气体灭火系统、应急照明和疏散指示标志、所有消防设施设备管路、线路等消防设施设备</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zh-CN"/>
        </w:rPr>
        <w:t>维修保养、设备清洁</w:t>
      </w:r>
      <w:r>
        <w:rPr>
          <w:rFonts w:hint="eastAsia" w:ascii="宋体" w:hAnsi="宋体" w:eastAsia="宋体" w:cs="宋体"/>
          <w:color w:val="auto"/>
          <w:sz w:val="21"/>
          <w:szCs w:val="21"/>
          <w:highlight w:val="none"/>
        </w:rPr>
        <w:t>和运行管理(投标报价含所有维修工具设备器具费、调试费和人工费)。</w:t>
      </w:r>
    </w:p>
    <w:p>
      <w:pPr>
        <w:keepNext w:val="0"/>
        <w:keepLines w:val="0"/>
        <w:pageBreakBefore w:val="0"/>
        <w:kinsoku/>
        <w:wordWrap/>
        <w:overflowPunct/>
        <w:topLinePunct w:val="0"/>
        <w:bidi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标的：扬州大学附属医院东西区（包括南区宿舍、医学院病案库房）消防设施、设备维保服务项目，包含但不限于提供的维保服务费、增值税、销售税及其它税费、各种规费、检测费、运输费、装卸费、保险费、维修费、人工费、管理费、调试费、培训费、资料费、</w:t>
      </w:r>
      <w:r>
        <w:rPr>
          <w:rFonts w:hint="eastAsia" w:ascii="宋体" w:hAnsi="宋体" w:eastAsia="宋体" w:cs="宋体"/>
          <w:snapToGrid w:val="0"/>
          <w:color w:val="auto"/>
          <w:sz w:val="21"/>
          <w:szCs w:val="21"/>
          <w:highlight w:val="none"/>
        </w:rPr>
        <w:t>机械使用费、工具使用费、</w:t>
      </w:r>
      <w:r>
        <w:rPr>
          <w:rFonts w:hint="eastAsia" w:ascii="宋体" w:hAnsi="宋体" w:eastAsia="宋体" w:cs="宋体"/>
          <w:color w:val="auto"/>
          <w:sz w:val="21"/>
          <w:szCs w:val="21"/>
          <w:highlight w:val="none"/>
        </w:rPr>
        <w:t>质保期内的维保费</w:t>
      </w:r>
      <w:r>
        <w:rPr>
          <w:rFonts w:hint="eastAsia" w:ascii="宋体" w:hAnsi="宋体" w:eastAsia="宋体" w:cs="宋体"/>
          <w:snapToGrid w:val="0"/>
          <w:color w:val="auto"/>
          <w:sz w:val="21"/>
          <w:szCs w:val="21"/>
          <w:highlight w:val="none"/>
        </w:rPr>
        <w:t>等</w:t>
      </w:r>
      <w:r>
        <w:rPr>
          <w:rFonts w:hint="eastAsia" w:ascii="宋体" w:hAnsi="宋体" w:eastAsia="宋体" w:cs="宋体"/>
          <w:color w:val="auto"/>
          <w:sz w:val="21"/>
          <w:szCs w:val="21"/>
          <w:highlight w:val="none"/>
        </w:rPr>
        <w:t>直至</w:t>
      </w:r>
      <w:r>
        <w:rPr>
          <w:rFonts w:hint="eastAsia" w:ascii="宋体" w:hAnsi="宋体" w:eastAsia="宋体" w:cs="宋体"/>
          <w:snapToGrid w:val="0"/>
          <w:color w:val="auto"/>
          <w:sz w:val="21"/>
          <w:szCs w:val="21"/>
          <w:highlight w:val="none"/>
        </w:rPr>
        <w:t>维</w:t>
      </w:r>
      <w:r>
        <w:rPr>
          <w:rFonts w:hint="eastAsia" w:ascii="宋体" w:hAnsi="宋体" w:eastAsia="宋体" w:cs="宋体"/>
          <w:color w:val="auto"/>
          <w:sz w:val="21"/>
          <w:szCs w:val="21"/>
          <w:highlight w:val="none"/>
        </w:rPr>
        <w:t>保期内所有费用和利润。</w:t>
      </w:r>
    </w:p>
    <w:p>
      <w:pPr>
        <w:keepNext w:val="0"/>
        <w:keepLines w:val="0"/>
        <w:pageBreakBefore w:val="0"/>
        <w:kinsoku/>
        <w:wordWrap/>
        <w:overflowPunct/>
        <w:topLinePunct w:val="0"/>
        <w:bidi w:val="0"/>
        <w:adjustRightInd w:val="0"/>
        <w:spacing w:line="360" w:lineRule="auto"/>
        <w:ind w:left="0" w:leftChars="0" w:right="0" w:rightChars="0" w:firstLine="500" w:firstLineChars="200"/>
        <w:contextualSpacing/>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pacing w:val="20"/>
          <w:sz w:val="21"/>
          <w:szCs w:val="21"/>
          <w:highlight w:val="none"/>
        </w:rPr>
        <w:t>二、保养起止时间：</w:t>
      </w:r>
      <w:r>
        <w:rPr>
          <w:rFonts w:hint="eastAsia" w:ascii="宋体" w:hAnsi="宋体" w:eastAsia="宋体" w:cs="宋体"/>
          <w:b/>
          <w:color w:val="auto"/>
          <w:spacing w:val="20"/>
          <w:sz w:val="21"/>
          <w:szCs w:val="21"/>
          <w:highlight w:val="none"/>
          <w:u w:val="single"/>
        </w:rPr>
        <w:t>2023年7月1日</w:t>
      </w:r>
      <w:r>
        <w:rPr>
          <w:rFonts w:hint="eastAsia" w:ascii="宋体" w:hAnsi="宋体" w:eastAsia="宋体" w:cs="宋体"/>
          <w:b/>
          <w:color w:val="auto"/>
          <w:spacing w:val="20"/>
          <w:sz w:val="21"/>
          <w:szCs w:val="21"/>
          <w:highlight w:val="none"/>
        </w:rPr>
        <w:t>至</w:t>
      </w:r>
      <w:r>
        <w:rPr>
          <w:rFonts w:hint="eastAsia" w:ascii="宋体" w:hAnsi="宋体" w:eastAsia="宋体" w:cs="宋体"/>
          <w:b/>
          <w:color w:val="auto"/>
          <w:spacing w:val="20"/>
          <w:sz w:val="21"/>
          <w:szCs w:val="21"/>
          <w:highlight w:val="none"/>
          <w:u w:val="single"/>
        </w:rPr>
        <w:t>2024年6月30日</w:t>
      </w:r>
      <w:r>
        <w:rPr>
          <w:rFonts w:hint="eastAsia" w:ascii="宋体" w:hAnsi="宋体" w:eastAsia="宋体" w:cs="宋体"/>
          <w:b/>
          <w:color w:val="auto"/>
          <w:spacing w:val="20"/>
          <w:sz w:val="21"/>
          <w:szCs w:val="21"/>
          <w:highlight w:val="none"/>
        </w:rPr>
        <w:t>，</w:t>
      </w:r>
      <w:r>
        <w:rPr>
          <w:rFonts w:hint="eastAsia" w:ascii="宋体" w:hAnsi="宋体" w:eastAsia="宋体" w:cs="宋体"/>
          <w:color w:val="auto"/>
          <w:spacing w:val="20"/>
          <w:sz w:val="21"/>
          <w:szCs w:val="21"/>
          <w:highlight w:val="none"/>
        </w:rPr>
        <w:t>计</w:t>
      </w:r>
      <w:r>
        <w:rPr>
          <w:rFonts w:hint="eastAsia" w:ascii="宋体" w:hAnsi="宋体" w:eastAsia="宋体" w:cs="宋体"/>
          <w:b/>
          <w:bCs/>
          <w:color w:val="auto"/>
          <w:spacing w:val="20"/>
          <w:sz w:val="21"/>
          <w:szCs w:val="21"/>
          <w:highlight w:val="none"/>
          <w:u w:val="single"/>
        </w:rPr>
        <w:t>12</w:t>
      </w:r>
      <w:r>
        <w:rPr>
          <w:rFonts w:hint="eastAsia" w:ascii="宋体" w:hAnsi="宋体" w:eastAsia="宋体" w:cs="宋体"/>
          <w:color w:val="auto"/>
          <w:spacing w:val="20"/>
          <w:sz w:val="21"/>
          <w:szCs w:val="21"/>
          <w:highlight w:val="none"/>
        </w:rPr>
        <w:t>个月。</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三、维修保养服务要求：</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1、甲方委托乙方指派驻专业人员在合同期限内对上述范围内的场所和设备提供日常保养和故障维修。</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2、响应时间：乙方应在接到甲方报修后半小时内到达现场。</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3、乙方每半年对合同内所有手术室进行一次全面的检测并提供检测结果。如甲方需要可另行安排检测并提供检测结果，不再收费。</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若遇一般故障应在2小时内处理完毕，特殊情况（仅限于配件采购需要时间）不超过5天处理完毕。如乙方不能按规定的时间处理完毕或修复，乙方按照每次壹仟元向甲方进行赔偿，如造成甲方经济损失，乙方按损失金额全额赔偿。</w:t>
      </w:r>
    </w:p>
    <w:p>
      <w:pPr>
        <w:keepNext w:val="0"/>
        <w:keepLines w:val="0"/>
        <w:pageBreakBefore w:val="0"/>
        <w:kinsoku/>
        <w:wordWrap/>
        <w:overflowPunct/>
        <w:topLinePunct w:val="0"/>
        <w:bidi w:val="0"/>
        <w:spacing w:line="360" w:lineRule="auto"/>
        <w:ind w:left="0" w:leftChars="0" w:right="0" w:rightChars="0" w:firstLine="50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pacing w:val="20"/>
          <w:sz w:val="21"/>
          <w:szCs w:val="21"/>
          <w:highlight w:val="none"/>
        </w:rPr>
        <w:t>6、</w:t>
      </w:r>
      <w:r>
        <w:rPr>
          <w:rFonts w:hint="eastAsia" w:ascii="宋体" w:hAnsi="宋体" w:eastAsia="宋体" w:cs="宋体"/>
          <w:b/>
          <w:bCs/>
          <w:color w:val="auto"/>
          <w:sz w:val="21"/>
          <w:szCs w:val="21"/>
          <w:highlight w:val="none"/>
        </w:rPr>
        <w:t>乙方须按计划以及消防法律法规对其维保范围内的消防设施设备完成全部维修保养工作，招标人从维护保养完成情况、故障维修及时性、消防设施设备故障率、服务态度、服务质量、维保记录规范性、设备完好率等方面每半年对中标人的维护保养服务进行考核评分。对评分达到90分及以上的全额支付维保费，考核评分每比90分低1分则相应扣减1%的维保费，依次按比例递减。若考核评分低于60分，则全额扣减维保费。甲方有权终止合同，并拒付维保费。</w:t>
      </w:r>
      <w:r>
        <w:rPr>
          <w:rFonts w:hint="eastAsia" w:ascii="宋体" w:hAnsi="宋体" w:eastAsia="宋体" w:cs="宋体"/>
          <w:b/>
          <w:color w:val="auto"/>
          <w:sz w:val="21"/>
          <w:szCs w:val="21"/>
          <w:highlight w:val="none"/>
        </w:rPr>
        <w:t>乙方应承担因乙方被测评不合格而终止合同造成的一切损失。</w:t>
      </w:r>
    </w:p>
    <w:p>
      <w:pPr>
        <w:keepNext w:val="0"/>
        <w:keepLines w:val="0"/>
        <w:pageBreakBefore w:val="0"/>
        <w:kinsoku/>
        <w:wordWrap/>
        <w:overflowPunct/>
        <w:topLinePunct w:val="0"/>
        <w:bidi w:val="0"/>
        <w:spacing w:line="360" w:lineRule="auto"/>
        <w:ind w:left="0" w:leftChars="0" w:right="0" w:rightChars="0" w:firstLine="50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6、</w:t>
      </w:r>
      <w:r>
        <w:rPr>
          <w:rFonts w:hint="eastAsia" w:ascii="宋体" w:hAnsi="宋体" w:eastAsia="宋体" w:cs="宋体"/>
          <w:color w:val="auto"/>
          <w:sz w:val="21"/>
          <w:szCs w:val="21"/>
          <w:highlight w:val="none"/>
        </w:rPr>
        <w:t>维护单位对所维保的项目内容提供7*24小时维保服务，提供东西区消防设备维保服务项目的</w:t>
      </w:r>
      <w:r>
        <w:rPr>
          <w:rFonts w:hint="eastAsia" w:ascii="宋体" w:hAnsi="宋体" w:eastAsia="宋体" w:cs="宋体"/>
          <w:color w:val="auto"/>
          <w:spacing w:val="20"/>
          <w:sz w:val="21"/>
          <w:szCs w:val="21"/>
          <w:highlight w:val="none"/>
        </w:rPr>
        <w:t>报修电话：</w:t>
      </w:r>
      <w:r>
        <w:rPr>
          <w:rFonts w:hint="eastAsia" w:ascii="宋体" w:hAnsi="宋体" w:eastAsia="宋体" w:cs="宋体"/>
          <w:color w:val="auto"/>
          <w:spacing w:val="20"/>
          <w:sz w:val="21"/>
          <w:szCs w:val="21"/>
          <w:highlight w:val="none"/>
          <w:u w:val="single"/>
          <w:lang w:val="en-US" w:eastAsia="zh-CN"/>
        </w:rPr>
        <w:t xml:space="preserve">          </w:t>
      </w:r>
      <w:r>
        <w:rPr>
          <w:rFonts w:hint="eastAsia" w:ascii="宋体" w:hAnsi="宋体" w:eastAsia="宋体" w:cs="宋体"/>
          <w:b/>
          <w:color w:val="auto"/>
          <w:spacing w:val="20"/>
          <w:sz w:val="21"/>
          <w:szCs w:val="21"/>
          <w:highlight w:val="none"/>
        </w:rPr>
        <w:t>。</w:t>
      </w:r>
      <w:r>
        <w:rPr>
          <w:rFonts w:hint="eastAsia" w:ascii="宋体" w:hAnsi="宋体" w:eastAsia="宋体" w:cs="宋体"/>
          <w:color w:val="auto"/>
          <w:spacing w:val="20"/>
          <w:sz w:val="21"/>
          <w:szCs w:val="21"/>
          <w:highlight w:val="none"/>
        </w:rPr>
        <w:t>在正常使用中发生故障时，甲方应立即通知乙方，乙方应在接通知后20</w:t>
      </w:r>
      <w:r>
        <w:rPr>
          <w:rFonts w:hint="eastAsia" w:ascii="宋体" w:hAnsi="宋体" w:eastAsia="宋体" w:cs="宋体"/>
          <w:b/>
          <w:color w:val="auto"/>
          <w:spacing w:val="20"/>
          <w:sz w:val="21"/>
          <w:szCs w:val="21"/>
          <w:highlight w:val="none"/>
          <w:u w:val="single"/>
        </w:rPr>
        <w:t>分钟</w:t>
      </w:r>
      <w:r>
        <w:rPr>
          <w:rFonts w:hint="eastAsia" w:ascii="宋体" w:hAnsi="宋体" w:eastAsia="宋体" w:cs="宋体"/>
          <w:color w:val="auto"/>
          <w:spacing w:val="20"/>
          <w:sz w:val="21"/>
          <w:szCs w:val="21"/>
          <w:highlight w:val="none"/>
        </w:rPr>
        <w:t>内派员到达现场进行处理，一般故障2小时内给予修复，</w:t>
      </w:r>
      <w:r>
        <w:rPr>
          <w:rFonts w:hint="eastAsia" w:ascii="宋体" w:hAnsi="宋体" w:eastAsia="宋体" w:cs="宋体"/>
          <w:color w:val="auto"/>
          <w:sz w:val="21"/>
          <w:szCs w:val="21"/>
          <w:highlight w:val="none"/>
        </w:rPr>
        <w:t>否则甲方有权视情况给予每次200-500元的罚款。</w:t>
      </w:r>
      <w:r>
        <w:rPr>
          <w:rFonts w:hint="eastAsia" w:ascii="宋体" w:hAnsi="宋体" w:eastAsia="宋体" w:cs="宋体"/>
          <w:color w:val="auto"/>
          <w:spacing w:val="20"/>
          <w:sz w:val="21"/>
          <w:szCs w:val="21"/>
          <w:highlight w:val="none"/>
        </w:rPr>
        <w:t>超过三次以上不能及时修复的，甲方按照合同价的10%进行处罚，且甲方有权提前可以终止合同。因合同终止造成的一切损失由乙方承担。</w:t>
      </w:r>
    </w:p>
    <w:p>
      <w:pPr>
        <w:keepNext w:val="0"/>
        <w:keepLines w:val="0"/>
        <w:pageBreakBefore w:val="0"/>
        <w:kinsoku/>
        <w:wordWrap/>
        <w:overflowPunct/>
        <w:topLinePunct w:val="0"/>
        <w:bidi w:val="0"/>
        <w:adjustRightInd w:val="0"/>
        <w:spacing w:line="360" w:lineRule="auto"/>
        <w:ind w:left="0" w:leftChars="0" w:right="0" w:rightChars="0" w:firstLine="50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四、</w:t>
      </w:r>
      <w:r>
        <w:rPr>
          <w:rFonts w:hint="eastAsia" w:ascii="宋体" w:hAnsi="宋体" w:eastAsia="宋体" w:cs="宋体"/>
          <w:color w:val="auto"/>
          <w:sz w:val="21"/>
          <w:szCs w:val="21"/>
          <w:highlight w:val="none"/>
        </w:rPr>
        <w:t>合同价款及付款方式：</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1、合同价格：根据内容和要求，甲方向乙方支付的维修保养费用为东区维保费：大写</w:t>
      </w:r>
      <w:r>
        <w:rPr>
          <w:rFonts w:hint="eastAsia" w:ascii="宋体" w:hAnsi="宋体" w:eastAsia="宋体" w:cs="宋体"/>
          <w:b/>
          <w:bCs/>
          <w:color w:val="auto"/>
          <w:sz w:val="21"/>
          <w:szCs w:val="21"/>
          <w:highlight w:val="none"/>
          <w:u w:val="single"/>
        </w:rPr>
        <w:t>人民币</w:t>
      </w:r>
      <w:r>
        <w:rPr>
          <w:rFonts w:hint="eastAsia" w:ascii="宋体" w:hAnsi="宋体" w:eastAsia="宋体" w:cs="宋体"/>
          <w:b/>
          <w:color w:val="auto"/>
          <w:sz w:val="21"/>
          <w:szCs w:val="21"/>
          <w:highlight w:val="none"/>
          <w:u w:val="single"/>
        </w:rPr>
        <w:t>元</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）；西区维保费：大写</w:t>
      </w:r>
      <w:r>
        <w:rPr>
          <w:rFonts w:hint="eastAsia" w:ascii="宋体" w:hAnsi="宋体" w:eastAsia="宋体" w:cs="宋体"/>
          <w:b/>
          <w:bCs/>
          <w:color w:val="auto"/>
          <w:sz w:val="21"/>
          <w:szCs w:val="21"/>
          <w:highlight w:val="none"/>
          <w:u w:val="single"/>
        </w:rPr>
        <w:t>人民币</w:t>
      </w:r>
      <w:r>
        <w:rPr>
          <w:rFonts w:hint="eastAsia" w:ascii="宋体" w:hAnsi="宋体" w:eastAsia="宋体" w:cs="宋体"/>
          <w:b/>
          <w:color w:val="auto"/>
          <w:sz w:val="21"/>
          <w:szCs w:val="21"/>
          <w:highlight w:val="none"/>
          <w:u w:val="single"/>
        </w:rPr>
        <w:t>元</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。（若考核评分低于90分，每低1分则扣减1%的维保费用。实际支付金额以考核结果为准）</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2、付款方式：</w:t>
      </w:r>
      <w:r>
        <w:rPr>
          <w:rFonts w:hint="eastAsia" w:ascii="宋体" w:hAnsi="宋体" w:eastAsia="宋体" w:cs="宋体"/>
          <w:color w:val="auto"/>
          <w:sz w:val="21"/>
          <w:szCs w:val="21"/>
          <w:highlight w:val="none"/>
        </w:rPr>
        <w:t>合同经双方签字盖章后即生效。乙方按合同要求进行维保，维保期每满6个月，消防设施、设备运行正常无安全隐患，</w:t>
      </w:r>
      <w:r>
        <w:rPr>
          <w:rFonts w:hint="eastAsia" w:ascii="宋体" w:hAnsi="宋体" w:eastAsia="宋体" w:cs="宋体"/>
          <w:bCs/>
          <w:color w:val="auto"/>
          <w:sz w:val="21"/>
          <w:szCs w:val="21"/>
          <w:highlight w:val="none"/>
        </w:rPr>
        <w:t>支付半年的维保费用。（</w:t>
      </w:r>
      <w:r>
        <w:rPr>
          <w:rFonts w:hint="eastAsia" w:ascii="宋体" w:hAnsi="宋体" w:eastAsia="宋体" w:cs="宋体"/>
          <w:color w:val="auto"/>
          <w:sz w:val="21"/>
          <w:szCs w:val="21"/>
          <w:highlight w:val="none"/>
        </w:rPr>
        <w:t>实际支付金额以考核结果为准。若考核评分低于90分，每低1分则扣减1%的维保费用。）（以上均不计息）。</w:t>
      </w:r>
    </w:p>
    <w:p>
      <w:pPr>
        <w:keepNext w:val="0"/>
        <w:keepLines w:val="0"/>
        <w:pageBreakBefore w:val="0"/>
        <w:kinsoku/>
        <w:wordWrap/>
        <w:overflowPunct/>
        <w:topLinePunct w:val="0"/>
        <w:autoSpaceDE w:val="0"/>
        <w:autoSpaceDN w:val="0"/>
        <w:bidi w:val="0"/>
        <w:adjustRightInd w:val="0"/>
        <w:spacing w:line="360" w:lineRule="auto"/>
        <w:ind w:left="0" w:leftChars="0" w:right="0" w:rightChars="0" w:firstLine="420" w:firstLineChars="200"/>
        <w:contextualSpacing/>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3、乙方在甲方支付合同款项时，乙方承诺其</w:t>
      </w:r>
      <w:r>
        <w:rPr>
          <w:rFonts w:hint="eastAsia" w:ascii="宋体" w:hAnsi="宋体" w:eastAsia="宋体" w:cs="宋体"/>
          <w:color w:val="auto"/>
          <w:kern w:val="0"/>
          <w:sz w:val="21"/>
          <w:szCs w:val="21"/>
          <w:highlight w:val="none"/>
        </w:rPr>
        <w:t>开具正规增值税发票</w:t>
      </w:r>
      <w:r>
        <w:rPr>
          <w:rFonts w:hint="eastAsia" w:ascii="宋体" w:hAnsi="宋体" w:eastAsia="宋体" w:cs="宋体"/>
          <w:color w:val="auto"/>
          <w:sz w:val="21"/>
          <w:szCs w:val="21"/>
          <w:highlight w:val="none"/>
        </w:rPr>
        <w:t>的形式与内容均合法、有效、完整、准确，不开具或开具不合格的，甲方有权迟延支付应付款项直至乙方开具合格票据之日且不承担任何违约责任，且乙方的各项合同义务仍应按合同约定履行。</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4、在维护保养期间</w:t>
      </w:r>
      <w:r>
        <w:rPr>
          <w:rFonts w:hint="eastAsia" w:ascii="宋体" w:hAnsi="宋体" w:eastAsia="宋体" w:cs="宋体"/>
          <w:bCs/>
          <w:color w:val="auto"/>
          <w:sz w:val="21"/>
          <w:szCs w:val="21"/>
          <w:highlight w:val="none"/>
        </w:rPr>
        <w:t>更换配件、材料按单价计算，即单个设施、设备三百元以下（含三百元）配件、材料由维保单位承担，</w:t>
      </w:r>
      <w:r>
        <w:rPr>
          <w:rFonts w:hint="eastAsia" w:ascii="宋体" w:hAnsi="宋体" w:eastAsia="宋体" w:cs="宋体"/>
          <w:b/>
          <w:bCs/>
          <w:color w:val="auto"/>
          <w:sz w:val="21"/>
          <w:szCs w:val="21"/>
          <w:highlight w:val="none"/>
        </w:rPr>
        <w:t>三百元以上的配件、材料由甲方承担。</w:t>
      </w:r>
    </w:p>
    <w:p>
      <w:pPr>
        <w:pStyle w:val="12"/>
        <w:keepNext w:val="0"/>
        <w:keepLines w:val="0"/>
        <w:pageBreakBefore w:val="0"/>
        <w:kinsoku/>
        <w:wordWrap/>
        <w:overflowPunct/>
        <w:topLinePunct w:val="0"/>
        <w:bidi w:val="0"/>
        <w:adjustRightInd w:val="0"/>
        <w:snapToGrid w:val="0"/>
        <w:spacing w:before="0" w:after="0" w:line="360" w:lineRule="auto"/>
        <w:ind w:left="0" w:leftChars="0" w:right="0" w:rightChars="0" w:firstLine="420" w:firstLineChars="200"/>
        <w:contextualSpacing/>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5、履约保证金</w:t>
      </w:r>
    </w:p>
    <w:p>
      <w:pPr>
        <w:pStyle w:val="12"/>
        <w:keepNext w:val="0"/>
        <w:keepLines w:val="0"/>
        <w:pageBreakBefore w:val="0"/>
        <w:kinsoku/>
        <w:wordWrap/>
        <w:overflowPunct/>
        <w:topLinePunct w:val="0"/>
        <w:bidi w:val="0"/>
        <w:adjustRightInd w:val="0"/>
        <w:snapToGrid w:val="0"/>
        <w:spacing w:before="0" w:after="0" w:line="360" w:lineRule="auto"/>
        <w:ind w:left="0" w:leftChars="0" w:right="0" w:rightChars="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5.1</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标通知书后，须在签订合同前应向甲方缴纳履约保证金</w:t>
      </w:r>
      <w:r>
        <w:rPr>
          <w:rFonts w:hint="eastAsia" w:ascii="宋体" w:hAnsi="宋体" w:eastAsia="宋体" w:cs="宋体"/>
          <w:color w:val="auto"/>
          <w:sz w:val="21"/>
          <w:szCs w:val="21"/>
          <w:highlight w:val="none"/>
          <w:u w:val="single"/>
        </w:rPr>
        <w:t>人民币   元（¥）</w:t>
      </w:r>
      <w:r>
        <w:rPr>
          <w:rFonts w:hint="eastAsia" w:ascii="宋体" w:hAnsi="宋体" w:eastAsia="宋体" w:cs="宋体"/>
          <w:color w:val="auto"/>
          <w:sz w:val="21"/>
          <w:szCs w:val="21"/>
          <w:highlight w:val="none"/>
        </w:rPr>
        <w:t>。</w:t>
      </w:r>
    </w:p>
    <w:p>
      <w:pPr>
        <w:pStyle w:val="17"/>
        <w:keepNext w:val="0"/>
        <w:keepLines w:val="0"/>
        <w:pageBreakBefore w:val="0"/>
        <w:kinsoku/>
        <w:wordWrap/>
        <w:overflowPunct/>
        <w:topLinePunct w:val="0"/>
        <w:bidi w:val="0"/>
        <w:adjustRightInd w:val="0"/>
        <w:snapToGrid w:val="0"/>
        <w:spacing w:line="360" w:lineRule="auto"/>
        <w:ind w:left="0" w:leftChars="0" w:right="0" w:rightChars="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5.2履约保证金用以约束成交供应商在合同履行中的行为，弥补合同执行中由于自身行为可能给甲方带来的各种损失。如果成交供应商不同意按照规定去做，甲方有权取消本次采购</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决定。</w:t>
      </w:r>
    </w:p>
    <w:p>
      <w:pPr>
        <w:keepNext w:val="0"/>
        <w:keepLines w:val="0"/>
        <w:pageBreakBefore w:val="0"/>
        <w:kinsoku/>
        <w:wordWrap/>
        <w:overflowPunct/>
        <w:topLinePunct w:val="0"/>
        <w:bidi w:val="0"/>
        <w:adjustRightInd w:val="0"/>
        <w:snapToGri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5.3履约保证金的退还：合同履行完毕后无遗留问题的，乙方可向甲方申请退还履约保证金（履约保证金不计利息）</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五、质量标准</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1、乙方在合同期内，对责任范围内提供维修保养服务。发现问题及时处理解决。</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系统设备发生突发故障，甲方应立即通知乙方，同时对故障设备暂时停用或给予适当的保护，以免故障范围和程度扩大。乙方人员在接到甲方通知后须立即赶到现场处理，乙方不能按时到达现场和不能在规定的时间内修复按照每次壹仟元向甲方进行赔偿。如确遇特殊情况，乙方人员未能按时赶到现场需及时告知甲方，并征得甲方的认可。</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3、维保标准和要求：</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（1）《中华人民共和国消防法》；</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江苏省《建筑消防设施技术检验规范》；</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（3）《江苏省建筑消防使用维护管理规定》；</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（4）一次性通过年度消防检测；</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六、甲方的责任</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1、甲方须指定专人负责调</w:t>
      </w:r>
      <w:r>
        <w:rPr>
          <w:rFonts w:hint="eastAsia" w:ascii="宋体" w:hAnsi="宋体" w:eastAsia="宋体" w:cs="宋体"/>
          <w:color w:val="auto"/>
          <w:spacing w:val="20"/>
          <w:sz w:val="21"/>
          <w:szCs w:val="21"/>
          <w:highlight w:val="none"/>
        </w:rPr>
        <w:t>协乙方完成所承担的消防设施维保工作，为消防</w:t>
      </w:r>
      <w:r>
        <w:rPr>
          <w:rFonts w:hint="eastAsia" w:ascii="宋体" w:hAnsi="宋体" w:eastAsia="宋体" w:cs="宋体"/>
          <w:color w:val="auto"/>
          <w:sz w:val="21"/>
          <w:szCs w:val="21"/>
          <w:highlight w:val="none"/>
        </w:rPr>
        <w:t>维保服务工作提供方便。</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2、甲方收到乙方的维修服务报告后若无异议，应在“维修服务报告”上签字确认。</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pacing w:val="20"/>
          <w:sz w:val="21"/>
          <w:szCs w:val="21"/>
          <w:highlight w:val="none"/>
        </w:rPr>
        <w:t>甲方在维保期间须为乙方提供必要的保障与配合，提供维保的用水、用电。</w:t>
      </w:r>
    </w:p>
    <w:p>
      <w:pPr>
        <w:keepNext w:val="0"/>
        <w:keepLines w:val="0"/>
        <w:pageBreakBefore w:val="0"/>
        <w:widowControl/>
        <w:kinsoku/>
        <w:wordWrap/>
        <w:overflowPunct/>
        <w:topLinePunct w:val="0"/>
        <w:bidi w:val="0"/>
        <w:spacing w:line="360" w:lineRule="auto"/>
        <w:ind w:left="0" w:leftChars="0" w:right="0" w:righ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4、甲方负责提供建筑消防竣工图纸、运行维护保养和巡检记录簿、消防设施技术资料及相关编制应用文件和相关密码。</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5、甲方须为乙方维保人员提供维保所需的通行和其他必要的工作辅助工作。</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6、甲方应按合同要求约定按时支付维保费用。</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7、甲方有权利和义务通知乙方进行维修保养,并协调乙方及时修复故障和维护保养相关工作的事宜。</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七、乙方的责任</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委派维修经验丰富有资质的工作人员常驻医院负责日常消防维保，消防设施、设备突发故障的处理等工作，保证每天有2名消防维保人员常驻医院进行消防设施、设备的维保工作，保证甲方消防各系统运行正常。</w:t>
      </w:r>
    </w:p>
    <w:p>
      <w:pPr>
        <w:keepNext w:val="0"/>
        <w:keepLines w:val="0"/>
        <w:pageBreakBefore w:val="0"/>
        <w:widowControl/>
        <w:kinsoku/>
        <w:wordWrap/>
        <w:overflowPunct/>
        <w:topLinePunct w:val="0"/>
        <w:bidi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照合同约定和要求,以及国家及行业标准,负责对医院消防设施定期进行巡查、检测和调试，并做好相关的维护保养记录，维护记录资料由甲乙双方签收保管，同时乙方须配合甲方做好消防年检工作，并确保甲方年度消防检测合格。未按照要求进行例行保养并提供书面保养记录，甲方有权按每次 500元的标准予以罚款。</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3、乙方在承担医院消防设施、设备维保服务期间,要保证甲方消防设施、设备运行正常,能顺利通过消防部门检测、检查和验收。</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设备出现故障或运行不正常时，乙方在接到甲方通知后，乙方须立即作出响应,乙方须在半小时内派员到达甲方现场进行维修及时修复，不能当时修复，应书面形式通知甲方问题的原因及维修故障所需时间，同时配合甲方有关部门加强对消防设施维修期间的消防安全管理。</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维护保养过程中，乙方必须严格遵守甲方单位管理制度,加强维护保养工作的安全管理，按照国家有关施工和维护保养的规范进行施工操作、维护和保养，乙方维护保养人员在维护保养期间造成的人身伤害和安全责任事故，由乙方负责承担。</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必须服从甲方的管理，遵守甲方的规章制度，文明维修，穿工作服，佩戴标识牌，着装干净整齐，态度端正，工作要认真有耐心，遵守安全生产规范，积极采取规范的安全防护措施，严禁违章操作，维保期内人员和设备安全由乙方负责。</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需保证设备每日运行正常，湿温度在正常控制范围内，发现及时处理。接到故障报修电话，及时予以解决处理，如无法处理应及时增派技术人员前来快速解决；半年或年度大型维护保养时乙方应集中派技术人员进行处理</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8、乙方在提供日常保养和应急维修的同时，有义务向甲方管理人员培训设备的使用方法及一般故障的处理方法。</w:t>
      </w:r>
    </w:p>
    <w:p>
      <w:pPr>
        <w:keepNext w:val="0"/>
        <w:keepLines w:val="0"/>
        <w:pageBreakBefore w:val="0"/>
        <w:widowControl/>
        <w:kinsoku/>
        <w:wordWrap/>
        <w:overflowPunct/>
        <w:topLinePunct w:val="0"/>
        <w:bidi w:val="0"/>
        <w:spacing w:line="360" w:lineRule="auto"/>
        <w:ind w:left="0" w:leftChars="0" w:right="0" w:righ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9、因乙方维护保养不当等自身原因造成消防设施的损坏,乙方承担全部责任,并负责赔偿。因乙方维护保养不当造成消防设施的损坏,乙方承担相应赔偿。</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10、因维保不到位等自身原因给甲方造成的损失由乙方承担全部责任,并负责赔偿,且按1000元/次进行罚款。</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11、维护单位对所维保的消防设施提供7*24小时服务，提供维保人员的</w:t>
      </w:r>
      <w:r>
        <w:rPr>
          <w:rFonts w:hint="eastAsia" w:ascii="宋体" w:hAnsi="宋体" w:eastAsia="宋体" w:cs="宋体"/>
          <w:color w:val="auto"/>
          <w:spacing w:val="20"/>
          <w:sz w:val="21"/>
          <w:szCs w:val="21"/>
          <w:highlight w:val="none"/>
        </w:rPr>
        <w:t>报修电话</w:t>
      </w:r>
      <w:r>
        <w:rPr>
          <w:rFonts w:hint="eastAsia" w:ascii="宋体" w:hAnsi="宋体" w:eastAsia="宋体" w:cs="宋体"/>
          <w:b/>
          <w:color w:val="auto"/>
          <w:spacing w:val="20"/>
          <w:sz w:val="21"/>
          <w:szCs w:val="21"/>
          <w:highlight w:val="none"/>
        </w:rPr>
        <w:t>，</w:t>
      </w:r>
      <w:r>
        <w:rPr>
          <w:rFonts w:hint="eastAsia" w:ascii="宋体" w:hAnsi="宋体" w:eastAsia="宋体" w:cs="宋体"/>
          <w:color w:val="auto"/>
          <w:spacing w:val="20"/>
          <w:sz w:val="21"/>
          <w:szCs w:val="21"/>
          <w:highlight w:val="none"/>
        </w:rPr>
        <w:t>确保</w:t>
      </w:r>
      <w:r>
        <w:rPr>
          <w:rFonts w:hint="eastAsia" w:ascii="宋体" w:hAnsi="宋体" w:eastAsia="宋体" w:cs="宋体"/>
          <w:color w:val="auto"/>
          <w:sz w:val="21"/>
          <w:szCs w:val="21"/>
          <w:highlight w:val="none"/>
        </w:rPr>
        <w:t>24小时通讯畅通。东西区维保范围内消防设施</w:t>
      </w:r>
      <w:r>
        <w:rPr>
          <w:rFonts w:hint="eastAsia" w:ascii="宋体" w:hAnsi="宋体" w:eastAsia="宋体" w:cs="宋体"/>
          <w:color w:val="auto"/>
          <w:spacing w:val="20"/>
          <w:sz w:val="21"/>
          <w:szCs w:val="21"/>
          <w:highlight w:val="none"/>
        </w:rPr>
        <w:t>在正常使用中发生故障时，甲方应立即通知乙方，乙方应在接维修通知后</w:t>
      </w:r>
      <w:r>
        <w:rPr>
          <w:rFonts w:hint="eastAsia" w:ascii="宋体" w:hAnsi="宋体" w:eastAsia="宋体" w:cs="宋体"/>
          <w:bCs/>
          <w:color w:val="auto"/>
          <w:spacing w:val="20"/>
          <w:sz w:val="21"/>
          <w:szCs w:val="21"/>
          <w:highlight w:val="none"/>
        </w:rPr>
        <w:t>分钟</w:t>
      </w:r>
      <w:r>
        <w:rPr>
          <w:rFonts w:hint="eastAsia" w:ascii="宋体" w:hAnsi="宋体" w:eastAsia="宋体" w:cs="宋体"/>
          <w:color w:val="auto"/>
          <w:spacing w:val="20"/>
          <w:sz w:val="21"/>
          <w:szCs w:val="21"/>
          <w:highlight w:val="none"/>
        </w:rPr>
        <w:t>内派员到达现场进行处理，一般故障1小时内给予修复，</w:t>
      </w:r>
      <w:r>
        <w:rPr>
          <w:rFonts w:hint="eastAsia" w:ascii="宋体" w:hAnsi="宋体" w:eastAsia="宋体" w:cs="宋体"/>
          <w:color w:val="auto"/>
          <w:sz w:val="21"/>
          <w:szCs w:val="21"/>
          <w:highlight w:val="none"/>
        </w:rPr>
        <w:t>6小时内处理完毕，</w:t>
      </w:r>
      <w:r>
        <w:rPr>
          <w:rFonts w:hint="eastAsia" w:ascii="宋体" w:hAnsi="宋体" w:eastAsia="宋体" w:cs="宋体"/>
          <w:color w:val="auto"/>
          <w:spacing w:val="20"/>
          <w:sz w:val="21"/>
          <w:szCs w:val="21"/>
          <w:highlight w:val="none"/>
        </w:rPr>
        <w:t>重大故障修复时间不得超过24小时，</w:t>
      </w:r>
      <w:r>
        <w:rPr>
          <w:rFonts w:hint="eastAsia" w:ascii="宋体" w:hAnsi="宋体" w:eastAsia="宋体" w:cs="宋体"/>
          <w:color w:val="auto"/>
          <w:sz w:val="21"/>
          <w:szCs w:val="21"/>
          <w:highlight w:val="none"/>
        </w:rPr>
        <w:t>直至消防设施正常运行为止，特殊情况（仅限于配件采购需要时间）不超过5天处理完毕。否则甲方有权视情况给予每次500-1000元的罚款。</w:t>
      </w:r>
      <w:r>
        <w:rPr>
          <w:rFonts w:hint="eastAsia" w:ascii="宋体" w:hAnsi="宋体" w:eastAsia="宋体" w:cs="宋体"/>
          <w:color w:val="auto"/>
          <w:spacing w:val="20"/>
          <w:sz w:val="21"/>
          <w:szCs w:val="21"/>
          <w:highlight w:val="none"/>
        </w:rPr>
        <w:t>超过三次以上不能及时修复的，甲方按照合同价的10%进行处罚，并有权提前终止合同。因合同终止造成的一切损失由乙方承担。</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12、乙方应以书面形式告知甲方设备及系统中零配件的使用期限和更换周期。</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维护保养期内乙方应保证甲方维护范围内的消防设施的正常运行和使用，如因维护保养原因而不能正常运行和使用，造成火灾,乙方应承担相应的经济和法律责任，由此造成的损失和二次消防检测费用由乙方承担。非维保工作内容出现的问题,造成不良后果和损失与乙方无关。</w:t>
      </w:r>
    </w:p>
    <w:p>
      <w:pPr>
        <w:keepNext w:val="0"/>
        <w:keepLines w:val="0"/>
        <w:pageBreakBefore w:val="0"/>
        <w:kinsoku/>
        <w:wordWrap/>
        <w:overflowPunct/>
        <w:topLinePunct w:val="0"/>
        <w:bidi w:val="0"/>
        <w:adjustRightInd w:val="0"/>
        <w:spacing w:line="360" w:lineRule="auto"/>
        <w:ind w:left="0" w:leftChars="0" w:right="0" w:rightChars="0" w:firstLine="50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14、</w:t>
      </w:r>
      <w:r>
        <w:rPr>
          <w:rFonts w:hint="eastAsia" w:ascii="宋体" w:hAnsi="宋体" w:eastAsia="宋体" w:cs="宋体"/>
          <w:color w:val="auto"/>
          <w:sz w:val="21"/>
          <w:szCs w:val="21"/>
          <w:highlight w:val="none"/>
        </w:rPr>
        <w:t>维护单位因自身原因未能保证空调的正常使用、空调出现故障出现后未能及时解决，按500元/次予以罚款。</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15、维护单位应按照要求进行保养记录，每次维修保养后要填写维修登记表，登记表必须包含保养所应包含的所有内容，未按期完成保养工作，甲方有权按每少保养100元/次的标准予以罚款。</w:t>
      </w:r>
    </w:p>
    <w:p>
      <w:pPr>
        <w:keepNext w:val="0"/>
        <w:keepLines w:val="0"/>
        <w:pageBreakBefore w:val="0"/>
        <w:tabs>
          <w:tab w:val="left" w:pos="210"/>
          <w:tab w:val="left" w:pos="525"/>
          <w:tab w:val="left" w:pos="1470"/>
        </w:tabs>
        <w:kinsoku/>
        <w:wordWrap/>
        <w:overflowPunct/>
        <w:topLinePunct w:val="0"/>
        <w:bidi w:val="0"/>
        <w:adjustRightInd w:val="0"/>
        <w:spacing w:line="360" w:lineRule="auto"/>
        <w:ind w:left="0" w:leftChars="0" w:right="0" w:rightChars="0" w:firstLine="50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16、</w:t>
      </w:r>
      <w:r>
        <w:rPr>
          <w:rFonts w:hint="eastAsia" w:ascii="宋体" w:hAnsi="宋体" w:eastAsia="宋体" w:cs="宋体"/>
          <w:color w:val="auto"/>
          <w:sz w:val="21"/>
          <w:szCs w:val="21"/>
          <w:highlight w:val="none"/>
        </w:rPr>
        <w:t>维保单位须确保派驻消防维保人员具有三年以上的专业技术水平。维保单位自行配备工作所需的工具及设备，保证维保工作人员定员定岗。</w:t>
      </w:r>
    </w:p>
    <w:p>
      <w:pPr>
        <w:keepNext w:val="0"/>
        <w:keepLines w:val="0"/>
        <w:pageBreakBefore w:val="0"/>
        <w:tabs>
          <w:tab w:val="left" w:pos="210"/>
          <w:tab w:val="left" w:pos="525"/>
          <w:tab w:val="left" w:pos="1470"/>
        </w:tabs>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r>
        <w:rPr>
          <w:rFonts w:hint="eastAsia" w:ascii="宋体" w:hAnsi="宋体" w:eastAsia="宋体" w:cs="宋体"/>
          <w:bCs/>
          <w:color w:val="auto"/>
          <w:sz w:val="21"/>
          <w:szCs w:val="21"/>
          <w:highlight w:val="none"/>
        </w:rPr>
        <w:t>乙方须严格按照消防规范要求编制每月消防设施、设备维保计划，如实填写每月实际维保工作清单、每月设备运行状况报告、每周工作报告、每周检查记录、每月检查记录、季度维保维修记录。</w:t>
      </w:r>
    </w:p>
    <w:p>
      <w:pPr>
        <w:keepNext w:val="0"/>
        <w:keepLines w:val="0"/>
        <w:pageBreakBefore w:val="0"/>
        <w:kinsoku/>
        <w:wordWrap/>
        <w:overflowPunct/>
        <w:topLinePunct w:val="0"/>
        <w:bidi w:val="0"/>
        <w:spacing w:line="360" w:lineRule="auto"/>
        <w:ind w:left="0" w:leftChars="0" w:right="0" w:rightChars="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18、服务期内年度最后一个月，乙方严格按年度的维护保养内容，全面对消防系统逐项进行检查、检测、测试、试验，提交年度维护保养、设备运行状况报告。</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八、违约责任</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1、甲方对乙方派驻的维保人员进行监督，如遇不能胜任的维保人员，甲方向乙方提出换人要求，乙方应在一周内组织人员进行调换。</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2、乙方应按照双方约定进行维保，甲方每月对乙方人员进行监督管理，如遇违反医院相关规定并口头告知无效的，甲方在该月一次性按2000元标准对乙方进行罚款。</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按照合同约定提供维保、检测、技术指导等服务，如乙方未能及时提供服务，并在收到甲方的书面警告后不在指定的时间内改正，甲方有权雇用第三方提供服务，并有权从应付给乙方的款项中扣除所发生的费用，并加20%的违约金，作为乙方违约赔偿。</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4、乙方违约情况如给甲方造成的损失超过约定的违约金，甲方有权要求乙方赔偿甲方的全部实际损失。</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5、如乙方不能按规定的时间处理完毕或修复，乙方按照每次壹仟元标准向甲方进行赔偿。</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6、因乙方维护保养不当等自身原因造成系统、设备、设施损坏的，乙方承担全部责任，并按损失的金额赔偿。</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7、任何一方违约或单方面终止合同，违约方需赔偿对方合同总价的15%的违约金，如造成对方损失，违约方需赔偿对方所造成的损失。</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因维保不到位,造成二次消防检测费用,由此产生的费用由乙方承担,并按合同价款的10%进行罚款。乙方未按合同及相关要求进行维保,甲方有权终止合同,如因乙方原因造成火灾其责任由乙方承担,同时,乙方承担相应的经济损失和法律责任。</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9、乙方在规定的时间内,不能及时到达现场,一次扣发300元,其罚金在维保款中扣除,如造成火灾和损失,甲方有权终止合同,如因乙方原因造成火灾其责任由乙方承担,同时,乙方承担相应的经济损失和法律责任。</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事故责任：如乙方维护保养工作不当造成甲方系统设备不能正常运行，造成责任事故由乙方承担直接经济损失，如甲方管理操作不当或未及时处理乙方整改意见造成责任事故，甲方承担相应责任，对事故的责任由相关权威部门或扬州市消防支队进行鉴定。</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11、因甲方对建筑进行装修改造造成设施、设备损坏或新增的配件、材料费用，费用按实结算由甲方承担。</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12、非乙方原因造成的设施、设备事故损坏、丢失等情况，乙方须按照合同约定及时进行维修，所发生的配件、材料由甲方另行结算，人工费用含在合同价款中，由乙方自行承担。</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13、因不可抗力（如地震、强风、洪水、战争等）造成的设施、设备损坏，所发生的配件、材料和人工费由甲方另行结算。</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14、每次维保检查，应有甲方人员共同参与，检查完毕后，双方签字认可，对存在的问题，书面通知甲方管理部门,以便得到及时解决。</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九、不可抗力</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与乙方中的任何一方由于不可抗力的原因不能履行合同时，应在事件发生后14天内向对方通报不能履行或不能完全履行的理由；在取得有关主管机关证明以后，允许延期履行、部分履行或者不履行合同，并根据情况可部分或全部免予承担违约责任。本条所述的“不可抗力”指那些不可预见、不可避免、不可克服的事件，包括但不限于：战争、严重火灾、洪水、台风、地震等事件，但不包括乙方的违约或疏忽。</w:t>
      </w:r>
    </w:p>
    <w:p>
      <w:pPr>
        <w:keepNext w:val="0"/>
        <w:keepLines w:val="0"/>
        <w:pageBreakBefore w:val="0"/>
        <w:kinsoku/>
        <w:wordWrap/>
        <w:overflowPunct/>
        <w:topLinePunct w:val="0"/>
        <w:bidi w:val="0"/>
        <w:adjustRightInd w:val="0"/>
        <w:spacing w:line="360" w:lineRule="auto"/>
        <w:ind w:left="0" w:leftChars="0" w:right="0" w:rightChars="0" w:firstLine="500" w:firstLineChars="2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十、免除责任的事项</w:t>
      </w:r>
    </w:p>
    <w:p>
      <w:pPr>
        <w:keepNext w:val="0"/>
        <w:keepLines w:val="0"/>
        <w:pageBreakBefore w:val="0"/>
        <w:tabs>
          <w:tab w:val="left" w:pos="570"/>
          <w:tab w:val="left" w:pos="8306"/>
        </w:tabs>
        <w:kinsoku/>
        <w:wordWrap/>
        <w:overflowPunct/>
        <w:topLinePunct w:val="0"/>
        <w:bidi w:val="0"/>
        <w:adjustRightInd w:val="0"/>
        <w:spacing w:line="360" w:lineRule="auto"/>
        <w:ind w:left="0" w:leftChars="0" w:right="0" w:rightChars="0" w:firstLine="500" w:firstLineChars="2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1、因甲方使用不当、疏忽或</w:t>
      </w:r>
      <w:r>
        <w:rPr>
          <w:rFonts w:hint="eastAsia" w:ascii="宋体" w:hAnsi="宋体" w:eastAsia="宋体" w:cs="宋体"/>
          <w:color w:val="auto"/>
          <w:spacing w:val="20"/>
          <w:sz w:val="21"/>
          <w:szCs w:val="21"/>
          <w:highlight w:val="none"/>
          <w:shd w:val="clear" w:color="auto" w:fill="FFFFFF"/>
        </w:rPr>
        <w:t>人为损坏</w:t>
      </w:r>
      <w:r>
        <w:rPr>
          <w:rFonts w:hint="eastAsia" w:ascii="宋体" w:hAnsi="宋体" w:eastAsia="宋体" w:cs="宋体"/>
          <w:color w:val="auto"/>
          <w:spacing w:val="20"/>
          <w:sz w:val="21"/>
          <w:szCs w:val="21"/>
          <w:highlight w:val="none"/>
        </w:rPr>
        <w:t>导致消防设施、设备发生意外情况，影响消防设施、设备安全运行所引起的经济及法律责任与乙方无关。</w:t>
      </w:r>
    </w:p>
    <w:p>
      <w:pPr>
        <w:keepNext w:val="0"/>
        <w:keepLines w:val="0"/>
        <w:pageBreakBefore w:val="0"/>
        <w:tabs>
          <w:tab w:val="left" w:pos="1060"/>
        </w:tabs>
        <w:kinsoku/>
        <w:wordWrap/>
        <w:overflowPunct/>
        <w:topLinePunct w:val="0"/>
        <w:bidi w:val="0"/>
        <w:adjustRightInd w:val="0"/>
        <w:spacing w:line="360" w:lineRule="auto"/>
        <w:ind w:left="0" w:leftChars="0" w:right="0" w:rightChars="0" w:firstLine="500" w:firstLineChars="2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十一、其他约定</w:t>
      </w:r>
    </w:p>
    <w:p>
      <w:pPr>
        <w:keepNext w:val="0"/>
        <w:keepLines w:val="0"/>
        <w:pageBreakBefore w:val="0"/>
        <w:kinsoku/>
        <w:wordWrap/>
        <w:overflowPunct/>
        <w:topLinePunct w:val="0"/>
        <w:bidi w:val="0"/>
        <w:adjustRightInd w:val="0"/>
        <w:spacing w:line="360" w:lineRule="auto"/>
        <w:ind w:left="0" w:leftChars="0" w:right="0" w:rightChars="0" w:firstLine="50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1、甲方如不能按时支付保养费，必须提前三天书面通知乙方进行协商。</w:t>
      </w:r>
    </w:p>
    <w:p>
      <w:pPr>
        <w:keepNext w:val="0"/>
        <w:keepLines w:val="0"/>
        <w:pageBreakBefore w:val="0"/>
        <w:tabs>
          <w:tab w:val="left" w:pos="8280"/>
        </w:tabs>
        <w:kinsoku/>
        <w:wordWrap/>
        <w:overflowPunct/>
        <w:topLinePunct w:val="0"/>
        <w:bidi w:val="0"/>
        <w:adjustRightInd w:val="0"/>
        <w:spacing w:line="360" w:lineRule="auto"/>
        <w:ind w:left="0" w:leftChars="0" w:right="0" w:rightChars="0" w:firstLine="500" w:firstLineChars="2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2、甲乙双方其中一方在合同期内提出续签合同或解除合同时，应提前二个月书面通知对方，并向对方偿付合同总额10%的违约金（约定情况除外）。</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十二、转让和分包</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乙方不得部分转让或全部转让或分包其他维保公司,甲方如发现乙方部分转让或全部转让现象,甲方有权提前终止合同,乙方无条件的及时退出。</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十三</w:t>
      </w:r>
      <w:r>
        <w:rPr>
          <w:rFonts w:hint="eastAsia" w:ascii="宋体" w:hAnsi="宋体" w:eastAsia="宋体" w:cs="宋体"/>
          <w:color w:val="auto"/>
          <w:spacing w:val="20"/>
          <w:sz w:val="21"/>
          <w:szCs w:val="21"/>
          <w:highlight w:val="none"/>
        </w:rPr>
        <w:t>、争议的解决</w:t>
      </w:r>
    </w:p>
    <w:p>
      <w:pPr>
        <w:keepNext w:val="0"/>
        <w:keepLines w:val="0"/>
        <w:pageBreakBefore w:val="0"/>
        <w:kinsoku/>
        <w:wordWrap/>
        <w:overflowPunct/>
        <w:topLinePunct w:val="0"/>
        <w:bidi w:val="0"/>
        <w:adjustRightInd w:val="0"/>
        <w:spacing w:line="360" w:lineRule="auto"/>
        <w:ind w:left="0" w:leftChars="0" w:right="0" w:rightChars="0" w:firstLine="500" w:firstLineChars="2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本合同如有争议，应由甲乙双方友好协商解决，未能解决的，可向本合同履行地人民法院提起诉讼。</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十四、合同生效及其他</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1、本合同经甲方、乙方法定代表人或其委托人签字并加盖双方公章后生效。</w:t>
      </w:r>
    </w:p>
    <w:p>
      <w:pPr>
        <w:keepNext w:val="0"/>
        <w:keepLines w:val="0"/>
        <w:pageBreakBefore w:val="0"/>
        <w:widowControl/>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2、本合同一式</w:t>
      </w:r>
      <w:r>
        <w:rPr>
          <w:rFonts w:hint="eastAsia" w:ascii="宋体" w:hAnsi="宋体" w:eastAsia="宋体" w:cs="宋体"/>
          <w:b/>
          <w:bCs/>
          <w:color w:val="auto"/>
          <w:kern w:val="0"/>
          <w:sz w:val="21"/>
          <w:szCs w:val="21"/>
          <w:highlight w:val="none"/>
          <w:u w:val="single"/>
          <w:lang w:val="en-US" w:eastAsia="zh-CN"/>
        </w:rPr>
        <w:t>肆</w:t>
      </w:r>
      <w:r>
        <w:rPr>
          <w:rFonts w:hint="eastAsia" w:ascii="宋体" w:hAnsi="宋体" w:eastAsia="宋体" w:cs="宋体"/>
          <w:color w:val="auto"/>
          <w:kern w:val="0"/>
          <w:sz w:val="21"/>
          <w:szCs w:val="21"/>
          <w:highlight w:val="none"/>
        </w:rPr>
        <w:t>份，甲方执</w:t>
      </w:r>
      <w:r>
        <w:rPr>
          <w:rFonts w:hint="eastAsia" w:ascii="宋体" w:hAnsi="宋体" w:eastAsia="宋体" w:cs="宋体"/>
          <w:b/>
          <w:bCs/>
          <w:color w:val="auto"/>
          <w:kern w:val="0"/>
          <w:sz w:val="21"/>
          <w:szCs w:val="21"/>
          <w:highlight w:val="none"/>
          <w:u w:val="single"/>
          <w:lang w:val="en-US" w:eastAsia="zh-CN"/>
        </w:rPr>
        <w:t>贰</w:t>
      </w:r>
      <w:r>
        <w:rPr>
          <w:rFonts w:hint="eastAsia" w:ascii="宋体" w:hAnsi="宋体" w:eastAsia="宋体" w:cs="宋体"/>
          <w:color w:val="auto"/>
          <w:kern w:val="0"/>
          <w:sz w:val="21"/>
          <w:szCs w:val="21"/>
          <w:highlight w:val="none"/>
        </w:rPr>
        <w:t>份，乙方执</w:t>
      </w:r>
      <w:r>
        <w:rPr>
          <w:rFonts w:hint="eastAsia" w:ascii="宋体" w:hAnsi="宋体" w:eastAsia="宋体" w:cs="宋体"/>
          <w:b/>
          <w:bCs/>
          <w:color w:val="auto"/>
          <w:kern w:val="0"/>
          <w:sz w:val="21"/>
          <w:szCs w:val="21"/>
          <w:highlight w:val="none"/>
          <w:u w:val="single"/>
        </w:rPr>
        <w:t>贰</w:t>
      </w:r>
      <w:r>
        <w:rPr>
          <w:rFonts w:hint="eastAsia" w:ascii="宋体" w:hAnsi="宋体" w:eastAsia="宋体" w:cs="宋体"/>
          <w:color w:val="auto"/>
          <w:kern w:val="0"/>
          <w:sz w:val="21"/>
          <w:szCs w:val="21"/>
          <w:highlight w:val="none"/>
        </w:rPr>
        <w:t>份，</w:t>
      </w:r>
      <w:r>
        <w:rPr>
          <w:rFonts w:hint="eastAsia" w:ascii="宋体" w:hAnsi="宋体" w:eastAsia="宋体" w:cs="宋体"/>
          <w:color w:val="auto"/>
          <w:sz w:val="21"/>
          <w:szCs w:val="21"/>
          <w:highlight w:val="none"/>
        </w:rPr>
        <w:t>同时具有法律效力。如需修改或补充合同内容，经协商一致，双方应签订补充协议，补充协议与本合同具有同等效力。</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3、本合同未尽事宜，如需修改或补充合同内容，经协商一致，双方应签订补充协议，补充协议与本合同具有同等效力。</w:t>
      </w:r>
    </w:p>
    <w:p>
      <w:pPr>
        <w:keepNext w:val="0"/>
        <w:keepLines w:val="0"/>
        <w:pageBreakBefore w:val="0"/>
        <w:kinsoku/>
        <w:wordWrap/>
        <w:overflowPunct/>
        <w:topLinePunct w:val="0"/>
        <w:bidi w:val="0"/>
        <w:adjustRightInd w:val="0"/>
        <w:spacing w:line="360" w:lineRule="auto"/>
        <w:ind w:left="0" w:leftChars="0" w:right="0" w:rightChars="0" w:firstLine="50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十六、</w:t>
      </w:r>
      <w:r>
        <w:rPr>
          <w:rFonts w:hint="eastAsia" w:ascii="宋体" w:hAnsi="宋体" w:eastAsia="宋体" w:cs="宋体"/>
          <w:color w:val="auto"/>
          <w:sz w:val="21"/>
          <w:szCs w:val="21"/>
          <w:highlight w:val="none"/>
        </w:rPr>
        <w:t>组成本合同的文件</w:t>
      </w:r>
      <w:r>
        <w:rPr>
          <w:rFonts w:hint="eastAsia" w:ascii="宋体" w:hAnsi="宋体" w:eastAsia="宋体" w:cs="宋体"/>
          <w:color w:val="auto"/>
          <w:spacing w:val="20"/>
          <w:sz w:val="21"/>
          <w:szCs w:val="21"/>
          <w:highlight w:val="none"/>
        </w:rPr>
        <w:t>：是</w:t>
      </w:r>
      <w:r>
        <w:rPr>
          <w:rFonts w:hint="eastAsia" w:ascii="宋体" w:hAnsi="宋体" w:eastAsia="宋体" w:cs="宋体"/>
          <w:color w:val="auto"/>
          <w:sz w:val="21"/>
          <w:szCs w:val="21"/>
          <w:highlight w:val="none"/>
        </w:rPr>
        <w:t>合同不可分割的组成部分，</w:t>
      </w:r>
      <w:r>
        <w:rPr>
          <w:rFonts w:hint="eastAsia" w:ascii="宋体" w:hAnsi="宋体" w:eastAsia="宋体" w:cs="宋体"/>
          <w:color w:val="auto"/>
          <w:spacing w:val="20"/>
          <w:sz w:val="21"/>
          <w:szCs w:val="21"/>
          <w:highlight w:val="none"/>
        </w:rPr>
        <w:t>与合同具有同样的法律效力。</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1、合同（含合同执行过程中双方有关该采购项目的洽商、变更等书面协议或文件）；</w:t>
      </w:r>
    </w:p>
    <w:p>
      <w:pPr>
        <w:keepNext w:val="0"/>
        <w:keepLines w:val="0"/>
        <w:pageBreakBefore w:val="0"/>
        <w:tabs>
          <w:tab w:val="left" w:pos="360"/>
          <w:tab w:val="left" w:pos="4320"/>
        </w:tabs>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2、招标文件及补遗书及澄清答疑文件；</w:t>
      </w:r>
    </w:p>
    <w:p>
      <w:pPr>
        <w:keepNext w:val="0"/>
        <w:keepLines w:val="0"/>
        <w:pageBreakBefore w:val="0"/>
        <w:tabs>
          <w:tab w:val="left" w:pos="360"/>
          <w:tab w:val="left" w:pos="4320"/>
        </w:tabs>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w:t>
      </w:r>
    </w:p>
    <w:p>
      <w:pPr>
        <w:keepNext w:val="0"/>
        <w:keepLines w:val="0"/>
        <w:pageBreakBefore w:val="0"/>
        <w:tabs>
          <w:tab w:val="left" w:pos="360"/>
          <w:tab w:val="left" w:pos="4320"/>
        </w:tabs>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4、投标人投标时所作的申明、承诺、澄清及答复资料等；</w:t>
      </w:r>
    </w:p>
    <w:p>
      <w:pPr>
        <w:keepNext w:val="0"/>
        <w:keepLines w:val="0"/>
        <w:pageBreakBefore w:val="0"/>
        <w:tabs>
          <w:tab w:val="left" w:pos="3420"/>
        </w:tabs>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5、投标报价清单；</w:t>
      </w:r>
    </w:p>
    <w:p>
      <w:pPr>
        <w:pStyle w:val="22"/>
        <w:keepNext w:val="0"/>
        <w:keepLines w:val="0"/>
        <w:pageBreakBefore w:val="0"/>
        <w:kinsoku/>
        <w:wordWrap/>
        <w:overflowPunct/>
        <w:topLinePunct w:val="0"/>
        <w:bidi w:val="0"/>
        <w:spacing w:line="360" w:lineRule="auto"/>
        <w:ind w:left="0" w:leftChars="0" w:right="0" w:rightChars="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6、常用易损易坏的备品备件</w:t>
      </w:r>
      <w:r>
        <w:rPr>
          <w:rFonts w:hint="eastAsia" w:ascii="宋体" w:hAnsi="宋体" w:eastAsia="宋体" w:cs="宋体"/>
          <w:bCs/>
          <w:color w:val="auto"/>
          <w:sz w:val="21"/>
          <w:szCs w:val="21"/>
          <w:highlight w:val="none"/>
        </w:rPr>
        <w:t>报价清单</w:t>
      </w:r>
    </w:p>
    <w:p>
      <w:pPr>
        <w:keepNext w:val="0"/>
        <w:keepLines w:val="0"/>
        <w:pageBreakBefore w:val="0"/>
        <w:kinsoku/>
        <w:wordWrap/>
        <w:overflowPunct/>
        <w:topLinePunct w:val="0"/>
        <w:bidi w:val="0"/>
        <w:adjustRightInd w:val="0"/>
        <w:spacing w:line="360" w:lineRule="auto"/>
        <w:ind w:left="0" w:leftChars="0" w:right="0" w:rightChars="0" w:firstLine="420" w:firstLineChars="200"/>
        <w:contextualSpacing/>
        <w:jc w:val="left"/>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7、国家及行业最新规定的规范标准；</w:t>
      </w:r>
    </w:p>
    <w:p>
      <w:pPr>
        <w:adjustRightInd w:val="0"/>
        <w:spacing w:line="360" w:lineRule="auto"/>
        <w:ind w:firstLine="420" w:firstLineChars="200"/>
        <w:contextualSpacing/>
        <w:jc w:val="left"/>
        <w:rPr>
          <w:rFonts w:ascii="宋体" w:hAnsi="宋体" w:cs="宋体"/>
          <w:bCs/>
          <w:color w:val="auto"/>
          <w:szCs w:val="21"/>
          <w:highlight w:val="none"/>
        </w:rPr>
      </w:pPr>
    </w:p>
    <w:p>
      <w:pPr>
        <w:adjustRightInd w:val="0"/>
        <w:spacing w:line="360" w:lineRule="auto"/>
        <w:ind w:firstLine="420" w:firstLineChars="200"/>
        <w:contextualSpacing/>
        <w:jc w:val="left"/>
        <w:rPr>
          <w:rFonts w:ascii="宋体" w:hAnsi="宋体" w:cs="宋体"/>
          <w:b/>
          <w:color w:val="auto"/>
          <w:szCs w:val="21"/>
          <w:highlight w:val="none"/>
        </w:rPr>
      </w:pPr>
      <w:r>
        <w:rPr>
          <w:rFonts w:hint="eastAsia" w:ascii="宋体" w:hAnsi="宋体" w:cs="宋体"/>
          <w:bCs/>
          <w:color w:val="auto"/>
          <w:szCs w:val="21"/>
          <w:highlight w:val="none"/>
        </w:rPr>
        <w:t>甲方（盖章）：</w:t>
      </w:r>
      <w:r>
        <w:rPr>
          <w:rFonts w:hint="eastAsia" w:ascii="宋体" w:hAnsi="宋体" w:cs="宋体"/>
          <w:b/>
          <w:bCs/>
          <w:color w:val="auto"/>
          <w:szCs w:val="21"/>
          <w:highlight w:val="none"/>
        </w:rPr>
        <w:t>扬州大学附属医院</w:t>
      </w:r>
      <w:r>
        <w:rPr>
          <w:rFonts w:hint="eastAsia" w:ascii="宋体" w:hAnsi="宋体" w:cs="宋体"/>
          <w:b/>
          <w:bCs/>
          <w:color w:val="auto"/>
          <w:szCs w:val="21"/>
          <w:highlight w:val="none"/>
          <w:lang w:val="en-US" w:eastAsia="zh-CN"/>
        </w:rPr>
        <w:t xml:space="preserve">        </w:t>
      </w:r>
      <w:r>
        <w:rPr>
          <w:rFonts w:hint="eastAsia" w:ascii="宋体" w:hAnsi="宋体" w:cs="宋体"/>
          <w:bCs/>
          <w:color w:val="auto"/>
          <w:szCs w:val="21"/>
          <w:highlight w:val="none"/>
        </w:rPr>
        <w:t>乙方（盖章）：</w:t>
      </w:r>
    </w:p>
    <w:p>
      <w:pPr>
        <w:tabs>
          <w:tab w:val="left" w:pos="-235"/>
        </w:tabs>
        <w:adjustRightInd w:val="0"/>
        <w:spacing w:line="360" w:lineRule="auto"/>
        <w:ind w:firstLine="420" w:firstLineChars="200"/>
        <w:contextualSpacing/>
        <w:jc w:val="left"/>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法定代表人或授权代表人：      </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法定代表人或授权代表人：</w:t>
      </w:r>
    </w:p>
    <w:p>
      <w:pPr>
        <w:tabs>
          <w:tab w:val="left" w:pos="-235"/>
        </w:tabs>
        <w:adjustRightInd w:val="0"/>
        <w:spacing w:line="360" w:lineRule="auto"/>
        <w:ind w:firstLine="420" w:firstLineChars="200"/>
        <w:contextualSpacing/>
        <w:jc w:val="left"/>
        <w:rPr>
          <w:rFonts w:ascii="宋体" w:hAnsi="宋体" w:cs="宋体"/>
          <w:bCs/>
          <w:color w:val="auto"/>
          <w:szCs w:val="21"/>
          <w:highlight w:val="none"/>
        </w:rPr>
      </w:pPr>
      <w:r>
        <w:rPr>
          <w:rFonts w:hint="eastAsia" w:ascii="宋体" w:hAnsi="宋体" w:cs="宋体"/>
          <w:bCs/>
          <w:color w:val="auto"/>
          <w:szCs w:val="21"/>
          <w:highlight w:val="none"/>
        </w:rPr>
        <w:t xml:space="preserve">（签章）                       </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（签章）</w:t>
      </w:r>
    </w:p>
    <w:p>
      <w:pPr>
        <w:tabs>
          <w:tab w:val="left" w:pos="-235"/>
        </w:tabs>
        <w:adjustRightInd w:val="0"/>
        <w:spacing w:line="360" w:lineRule="auto"/>
        <w:ind w:firstLine="420" w:firstLineChars="200"/>
        <w:contextualSpacing/>
        <w:jc w:val="left"/>
        <w:rPr>
          <w:rFonts w:ascii="宋体" w:hAnsi="宋体" w:cs="宋体"/>
          <w:bCs/>
          <w:color w:val="auto"/>
          <w:szCs w:val="21"/>
          <w:highlight w:val="none"/>
        </w:rPr>
      </w:pPr>
      <w:r>
        <w:rPr>
          <w:rFonts w:hint="eastAsia" w:ascii="宋体" w:hAnsi="宋体" w:cs="宋体"/>
          <w:bCs/>
          <w:color w:val="auto"/>
          <w:szCs w:val="21"/>
          <w:highlight w:val="none"/>
        </w:rPr>
        <w:t xml:space="preserve">电    话：                     </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电    话：</w:t>
      </w:r>
    </w:p>
    <w:p>
      <w:pPr>
        <w:tabs>
          <w:tab w:val="left" w:pos="-235"/>
        </w:tabs>
        <w:adjustRightInd w:val="0"/>
        <w:spacing w:line="360" w:lineRule="auto"/>
        <w:ind w:firstLine="420" w:firstLineChars="200"/>
        <w:contextualSpacing/>
        <w:jc w:val="left"/>
        <w:rPr>
          <w:rFonts w:ascii="宋体" w:hAnsi="宋体" w:cs="宋体"/>
          <w:bCs/>
          <w:color w:val="auto"/>
          <w:szCs w:val="21"/>
          <w:highlight w:val="none"/>
        </w:rPr>
      </w:pPr>
      <w:r>
        <w:rPr>
          <w:rFonts w:hint="eastAsia" w:ascii="宋体" w:hAnsi="宋体" w:cs="宋体"/>
          <w:bCs/>
          <w:color w:val="auto"/>
          <w:szCs w:val="21"/>
          <w:highlight w:val="none"/>
        </w:rPr>
        <w:t xml:space="preserve">传    真：                    </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 xml:space="preserve"> 传    真：</w:t>
      </w:r>
    </w:p>
    <w:p>
      <w:pPr>
        <w:tabs>
          <w:tab w:val="left" w:pos="-235"/>
        </w:tabs>
        <w:adjustRightInd w:val="0"/>
        <w:spacing w:line="360" w:lineRule="auto"/>
        <w:ind w:firstLine="420" w:firstLineChars="200"/>
        <w:contextualSpacing/>
        <w:jc w:val="left"/>
        <w:rPr>
          <w:rFonts w:ascii="宋体" w:hAnsi="宋体" w:cs="宋体"/>
          <w:color w:val="auto"/>
          <w:szCs w:val="21"/>
          <w:highlight w:val="none"/>
        </w:rPr>
      </w:pPr>
      <w:r>
        <w:rPr>
          <w:rFonts w:hint="eastAsia" w:ascii="宋体" w:hAnsi="宋体" w:cs="宋体"/>
          <w:bCs/>
          <w:color w:val="auto"/>
          <w:szCs w:val="21"/>
          <w:highlight w:val="none"/>
        </w:rPr>
        <w:t xml:space="preserve">地    址：                     </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地    址：</w:t>
      </w:r>
    </w:p>
    <w:p>
      <w:pPr>
        <w:tabs>
          <w:tab w:val="left" w:pos="-235"/>
        </w:tabs>
        <w:adjustRightInd w:val="0"/>
        <w:spacing w:line="360" w:lineRule="auto"/>
        <w:ind w:firstLine="420" w:firstLineChars="200"/>
        <w:contextualSpacing/>
        <w:jc w:val="left"/>
        <w:rPr>
          <w:rFonts w:ascii="宋体" w:hAnsi="宋体" w:cs="宋体"/>
          <w:bCs/>
          <w:color w:val="auto"/>
          <w:szCs w:val="21"/>
          <w:highlight w:val="none"/>
        </w:rPr>
      </w:pPr>
      <w:r>
        <w:rPr>
          <w:rFonts w:hint="eastAsia" w:ascii="宋体" w:hAnsi="宋体" w:cs="宋体"/>
          <w:bCs/>
          <w:color w:val="auto"/>
          <w:szCs w:val="21"/>
          <w:highlight w:val="none"/>
        </w:rPr>
        <w:t xml:space="preserve">开户银行：                    </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开户银行：</w:t>
      </w:r>
    </w:p>
    <w:p>
      <w:pPr>
        <w:tabs>
          <w:tab w:val="left" w:pos="-235"/>
        </w:tabs>
        <w:adjustRightInd w:val="0"/>
        <w:spacing w:line="360" w:lineRule="auto"/>
        <w:ind w:firstLine="420" w:firstLineChars="200"/>
        <w:contextualSpacing/>
        <w:jc w:val="left"/>
        <w:rPr>
          <w:rFonts w:ascii="宋体" w:hAnsi="宋体" w:cs="宋体"/>
          <w:bCs/>
          <w:color w:val="auto"/>
          <w:szCs w:val="21"/>
          <w:highlight w:val="none"/>
        </w:rPr>
      </w:pPr>
      <w:r>
        <w:rPr>
          <w:rFonts w:hint="eastAsia" w:ascii="宋体" w:hAnsi="宋体" w:cs="宋体"/>
          <w:bCs/>
          <w:color w:val="auto"/>
          <w:szCs w:val="21"/>
          <w:highlight w:val="none"/>
        </w:rPr>
        <w:t xml:space="preserve">账    号：                     </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 xml:space="preserve"> 账    号：</w:t>
      </w:r>
    </w:p>
    <w:p>
      <w:pPr>
        <w:adjustRightInd w:val="0"/>
        <w:spacing w:line="360" w:lineRule="auto"/>
        <w:ind w:firstLine="420" w:firstLineChars="200"/>
        <w:contextualSpacing/>
        <w:jc w:val="right"/>
        <w:rPr>
          <w:rFonts w:ascii="宋体" w:hAnsi="宋体" w:cs="宋体"/>
          <w:color w:val="auto"/>
          <w:szCs w:val="21"/>
          <w:highlight w:val="none"/>
        </w:rPr>
      </w:pPr>
    </w:p>
    <w:p>
      <w:pPr>
        <w:adjustRightInd w:val="0"/>
        <w:spacing w:line="360" w:lineRule="auto"/>
        <w:ind w:firstLine="420" w:firstLineChars="200"/>
        <w:contextualSpacing/>
        <w:jc w:val="right"/>
        <w:rPr>
          <w:rFonts w:ascii="宋体" w:hAnsi="宋体" w:cs="宋体"/>
          <w:color w:val="auto"/>
          <w:szCs w:val="21"/>
          <w:highlight w:val="none"/>
        </w:rPr>
      </w:pPr>
    </w:p>
    <w:p>
      <w:pPr>
        <w:adjustRightInd w:val="0"/>
        <w:spacing w:line="360" w:lineRule="auto"/>
        <w:ind w:firstLine="420" w:firstLineChars="200"/>
        <w:contextualSpacing/>
        <w:jc w:val="right"/>
        <w:rPr>
          <w:rFonts w:ascii="宋体" w:hAnsi="宋体" w:cs="宋体"/>
          <w:color w:val="auto"/>
          <w:szCs w:val="21"/>
          <w:highlight w:val="none"/>
        </w:rPr>
      </w:pPr>
      <w:r>
        <w:rPr>
          <w:rFonts w:hint="eastAsia" w:ascii="宋体" w:hAnsi="宋体" w:cs="宋体"/>
          <w:color w:val="auto"/>
          <w:szCs w:val="21"/>
          <w:highlight w:val="none"/>
        </w:rPr>
        <w:t>签订日期：2023年 月 日</w:t>
      </w:r>
    </w:p>
    <w:p>
      <w:pPr>
        <w:pStyle w:val="20"/>
        <w:numPr>
          <w:ilvl w:val="0"/>
          <w:numId w:val="0"/>
        </w:numPr>
        <w:ind w:left="-420" w:leftChars="-200" w:right="-313" w:rightChars="-149" w:firstLine="723" w:firstLineChars="200"/>
        <w:jc w:val="center"/>
        <w:rPr>
          <w:rFonts w:ascii="宋体" w:hAnsi="宋体" w:cs="宋体"/>
          <w:b/>
          <w:bCs/>
          <w:color w:val="auto"/>
          <w:kern w:val="36"/>
          <w:sz w:val="36"/>
          <w:szCs w:val="36"/>
          <w:highlight w:val="none"/>
        </w:rPr>
      </w:pPr>
      <w:r>
        <w:rPr>
          <w:rFonts w:hint="eastAsia" w:ascii="宋体" w:hAnsi="宋体" w:cs="宋体"/>
          <w:b/>
          <w:bCs/>
          <w:color w:val="auto"/>
          <w:kern w:val="36"/>
          <w:sz w:val="36"/>
          <w:szCs w:val="36"/>
          <w:highlight w:val="none"/>
        </w:rPr>
        <w:br w:type="page"/>
      </w:r>
      <w:r>
        <w:rPr>
          <w:rFonts w:hint="eastAsia" w:ascii="宋体" w:hAnsi="宋体" w:cs="宋体"/>
          <w:b/>
          <w:bCs/>
          <w:color w:val="auto"/>
          <w:kern w:val="36"/>
          <w:sz w:val="36"/>
          <w:szCs w:val="36"/>
          <w:highlight w:val="none"/>
        </w:rPr>
        <w:t>廉洁合作协议</w:t>
      </w:r>
    </w:p>
    <w:p>
      <w:pPr>
        <w:adjustRightInd w:val="0"/>
        <w:snapToGrid w:val="0"/>
        <w:spacing w:line="4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合同编号：</w:t>
      </w:r>
      <w:r>
        <w:rPr>
          <w:rFonts w:hint="eastAsia"/>
          <w:b/>
          <w:bCs/>
          <w:color w:val="auto"/>
          <w:highlight w:val="none"/>
        </w:rPr>
        <w:t xml:space="preserve">JSHCZB-20230454号 </w:t>
      </w:r>
    </w:p>
    <w:p>
      <w:pPr>
        <w:adjustRightInd w:val="0"/>
        <w:snapToGrid w:val="0"/>
        <w:spacing w:line="340" w:lineRule="exact"/>
        <w:ind w:left="-420" w:leftChars="-200" w:right="-313" w:rightChars="-149" w:firstLine="480" w:firstLineChars="200"/>
        <w:contextualSpacing/>
        <w:rPr>
          <w:rFonts w:ascii="宋体" w:hAnsi="宋体" w:cs="宋体"/>
          <w:b/>
          <w:color w:val="auto"/>
          <w:kern w:val="0"/>
          <w:sz w:val="24"/>
          <w:highlight w:val="none"/>
        </w:rPr>
      </w:pPr>
      <w:r>
        <w:rPr>
          <w:rFonts w:hint="eastAsia" w:ascii="宋体" w:hAnsi="宋体" w:cs="宋体"/>
          <w:color w:val="auto"/>
          <w:kern w:val="0"/>
          <w:sz w:val="24"/>
          <w:highlight w:val="none"/>
        </w:rPr>
        <w:t>甲方名称：</w:t>
      </w:r>
      <w:r>
        <w:rPr>
          <w:rFonts w:hint="eastAsia" w:ascii="宋体" w:hAnsi="宋体" w:cs="宋体"/>
          <w:b/>
          <w:bCs/>
          <w:color w:val="auto"/>
          <w:kern w:val="0"/>
          <w:sz w:val="24"/>
          <w:highlight w:val="none"/>
        </w:rPr>
        <w:t>扬州大学附属医院</w:t>
      </w:r>
    </w:p>
    <w:p>
      <w:pPr>
        <w:adjustRightInd w:val="0"/>
        <w:snapToGrid w:val="0"/>
        <w:spacing w:line="340" w:lineRule="exact"/>
        <w:ind w:left="-420" w:leftChars="-200" w:right="-313" w:rightChars="-149" w:firstLine="480" w:firstLineChars="200"/>
        <w:contextualSpacing/>
        <w:rPr>
          <w:rFonts w:ascii="宋体" w:hAnsi="宋体" w:cs="宋体"/>
          <w:b/>
          <w:bCs/>
          <w:color w:val="auto"/>
          <w:sz w:val="24"/>
          <w:highlight w:val="none"/>
        </w:rPr>
      </w:pPr>
      <w:r>
        <w:rPr>
          <w:rFonts w:hint="eastAsia" w:ascii="宋体" w:hAnsi="宋体" w:cs="宋体"/>
          <w:color w:val="auto"/>
          <w:kern w:val="0"/>
          <w:sz w:val="24"/>
          <w:highlight w:val="none"/>
        </w:rPr>
        <w:t>乙方名称：</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在甲乙双方订立、履行合同过程中，为保持廉洁自律的工作作风，防止各种不正当行为的发生，甲乙双方订立协议如下：</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一、甲乙双方应当自觉遵守国家、地方法律法规以及本协议的约定，在合同的订立、履行过程中廉洁自律。</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二、甲方工作人员严禁进行商业目的的统方，不得以任何形式向乙方索要和收受个人回扣等好处费。</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三、甲方工作人员应当保持与乙方的正常业务交往，不得接受乙方的礼金、有价证券和贵重物品，不得在乙方报销任何应由其个人承担的费用。</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四、甲方工作人员不得参加可能对公正开展业务有影响的宴请和娱乐活动。如甲方工作人员确因实际情况须参加宴请、进行娱乐活动的，须事先报上一级批准。</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五、甲方工作人员不得要求或者接受乙方为其住房装修、婚丧嫁娶、家属和子女的工作安排以及出国等提供方便。</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六、乙方不得接受甲方工作人员介绍的家属或者亲友从事与合同相关的业务。</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八、乙方如发现甲方工作人员有违反上述协议者，应向甲方举报（甲方举报接待部门：监督检查室；举报电话：82981199转监督检查室）。甲方不得找任何借口对乙方进行报复。甲方对举报属实和严格遵守廉洁协议的乙方，在同等条件下优先考虑与乙方继续合作。</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九、甲方发现乙方有违反本协议或者采用不正当的手段行贿甲方工作人员等不正当竞争行为的，甲方有权解除合同。</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十、本廉洁协议作为合同的附件，与合同具有同等法律效力。经协议双方签署后立即生效。</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十一、本协议一式肆份，甲方贰份、乙方贰份，从签订之日起生效。</w:t>
      </w:r>
    </w:p>
    <w:p>
      <w:pPr>
        <w:pStyle w:val="20"/>
        <w:numPr>
          <w:ilvl w:val="0"/>
          <w:numId w:val="0"/>
        </w:numPr>
        <w:ind w:left="-420" w:leftChars="-200" w:right="-313" w:rightChars="-149" w:firstLine="420" w:firstLineChars="200"/>
        <w:rPr>
          <w:color w:val="auto"/>
          <w:highlight w:val="none"/>
        </w:rPr>
      </w:pPr>
    </w:p>
    <w:p>
      <w:pPr>
        <w:adjustRightInd w:val="0"/>
        <w:snapToGrid w:val="0"/>
        <w:spacing w:line="4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甲方：（盖章）</w:t>
      </w:r>
      <w:r>
        <w:rPr>
          <w:rFonts w:hint="eastAsia" w:ascii="宋体" w:hAnsi="宋体" w:cs="宋体"/>
          <w:b/>
          <w:color w:val="auto"/>
          <w:kern w:val="0"/>
          <w:sz w:val="24"/>
          <w:highlight w:val="none"/>
        </w:rPr>
        <w:t>扬州大学附属医院</w:t>
      </w:r>
      <w:r>
        <w:rPr>
          <w:rFonts w:hint="eastAsia" w:ascii="宋体" w:hAnsi="宋体" w:cs="宋体"/>
          <w:color w:val="auto"/>
          <w:kern w:val="0"/>
          <w:sz w:val="24"/>
          <w:highlight w:val="none"/>
        </w:rPr>
        <w:t xml:space="preserve">     乙方：（盖章）</w:t>
      </w:r>
    </w:p>
    <w:p>
      <w:pPr>
        <w:pStyle w:val="25"/>
        <w:ind w:left="-420" w:leftChars="-200" w:right="-313" w:rightChars="-149" w:firstLine="360" w:firstLineChars="200"/>
        <w:rPr>
          <w:color w:val="auto"/>
          <w:highlight w:val="none"/>
        </w:rPr>
      </w:pP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法定代表人：                       法定代表人：</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（或授权签约人）：                （或授权签约人）：</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p>
    <w:p>
      <w:pPr>
        <w:pStyle w:val="25"/>
        <w:ind w:left="-420" w:leftChars="-200" w:right="-313" w:rightChars="-149" w:firstLine="480" w:firstLineChars="200"/>
        <w:rPr>
          <w:rFonts w:ascii="宋体" w:hAnsi="宋体" w:cs="宋体"/>
          <w:color w:val="auto"/>
          <w:sz w:val="24"/>
          <w:highlight w:val="none"/>
        </w:rPr>
      </w:pP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日期:2023年   月   日              日期：2023年   月   日</w:t>
      </w:r>
    </w:p>
    <w:p>
      <w:pPr>
        <w:pStyle w:val="22"/>
        <w:numPr>
          <w:ilvl w:val="0"/>
          <w:numId w:val="3"/>
        </w:numPr>
        <w:spacing w:line="480" w:lineRule="auto"/>
        <w:jc w:val="center"/>
        <w:rPr>
          <w:rFonts w:hAnsi="宋体"/>
          <w:color w:val="auto"/>
          <w:sz w:val="36"/>
          <w:highlight w:val="none"/>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pPr>
        <w:pStyle w:val="22"/>
        <w:numPr>
          <w:ilvl w:val="0"/>
          <w:numId w:val="3"/>
        </w:numPr>
        <w:spacing w:line="480" w:lineRule="auto"/>
        <w:jc w:val="center"/>
        <w:rPr>
          <w:rFonts w:hAnsi="宋体"/>
          <w:b/>
          <w:bCs/>
          <w:color w:val="auto"/>
          <w:sz w:val="36"/>
          <w:highlight w:val="none"/>
        </w:rPr>
      </w:pPr>
      <w:r>
        <w:rPr>
          <w:rFonts w:hint="eastAsia" w:hAnsi="宋体"/>
          <w:b/>
          <w:bCs/>
          <w:color w:val="auto"/>
          <w:sz w:val="36"/>
          <w:szCs w:val="36"/>
          <w:highlight w:val="none"/>
        </w:rPr>
        <w:t>项目需求、服务承诺</w:t>
      </w:r>
    </w:p>
    <w:bookmarkEnd w:id="115"/>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以下技术参数中如出现产品品牌，均仅作为投标人参与投标时产品质量或标准的参考,投标人所投产品质量或标准不得低于参考品牌，投标人选择的产品不得低于参考品牌产品的参数要求，在满足参数要求的情况下，采购人接受其他品牌产品的投标。招标文件中推荐的型号也非指定的型号，投标人可在货物参数满足招标要求的情况下，选择相应的产品型号。</w:t>
      </w:r>
    </w:p>
    <w:p>
      <w:pPr>
        <w:adjustRightInd w:val="0"/>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一、项目概况</w:t>
      </w:r>
    </w:p>
    <w:p>
      <w:pPr>
        <w:adjustRightInd w:val="0"/>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lang w:val="zh-CN"/>
        </w:rPr>
        <w:t>为确保</w:t>
      </w:r>
      <w:r>
        <w:rPr>
          <w:rFonts w:hint="eastAsia" w:ascii="宋体" w:hAnsi="宋体" w:cs="宋体"/>
          <w:color w:val="auto"/>
          <w:szCs w:val="21"/>
          <w:highlight w:val="none"/>
        </w:rPr>
        <w:t>扬州大学附属医院</w:t>
      </w:r>
      <w:r>
        <w:rPr>
          <w:rFonts w:hint="eastAsia" w:ascii="宋体" w:hAnsi="宋体" w:cs="宋体"/>
          <w:color w:val="auto"/>
          <w:szCs w:val="21"/>
          <w:highlight w:val="none"/>
          <w:lang w:val="zh-CN"/>
        </w:rPr>
        <w:t>建筑消防设施的完好使用，根据《中华人民共和国消防法》和《江苏省消防条例》、《社会消防技术服务管理规定》(公安部第129号令) 、《江苏省建筑消防设施维修保养技术服务管理暂行办法》等相关法律规定，对全院（东、西区）现有建筑消防设施、设备</w:t>
      </w:r>
      <w:r>
        <w:rPr>
          <w:rFonts w:hint="eastAsia" w:ascii="宋体" w:hAnsi="宋体" w:cs="宋体"/>
          <w:color w:val="auto"/>
          <w:szCs w:val="21"/>
          <w:highlight w:val="none"/>
        </w:rPr>
        <w:t>维修保养、运行管理</w:t>
      </w:r>
      <w:r>
        <w:rPr>
          <w:rFonts w:hint="eastAsia" w:ascii="宋体" w:hAnsi="宋体" w:cs="宋体"/>
          <w:color w:val="auto"/>
          <w:szCs w:val="21"/>
          <w:highlight w:val="none"/>
          <w:lang w:val="zh-CN"/>
        </w:rPr>
        <w:t>及检测服务项目进行招标。</w:t>
      </w:r>
    </w:p>
    <w:p>
      <w:pPr>
        <w:adjustRightInd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1.1</w:t>
      </w:r>
      <w:r>
        <w:rPr>
          <w:rFonts w:hint="eastAsia" w:ascii="宋体" w:hAnsi="宋体" w:cs="宋体"/>
          <w:color w:val="auto"/>
          <w:szCs w:val="21"/>
          <w:highlight w:val="none"/>
        </w:rPr>
        <w:t>采购</w:t>
      </w:r>
      <w:r>
        <w:rPr>
          <w:rFonts w:hint="eastAsia" w:ascii="宋体" w:hAnsi="宋体" w:cs="宋体"/>
          <w:color w:val="auto"/>
          <w:szCs w:val="21"/>
          <w:highlight w:val="none"/>
          <w:lang w:val="zh-CN"/>
        </w:rPr>
        <w:t>范围</w:t>
      </w:r>
    </w:p>
    <w:p>
      <w:pPr>
        <w:adjustRightInd w:val="0"/>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消防设施维修保养服务：扬州大学附属医院东、西区</w:t>
      </w:r>
      <w:r>
        <w:rPr>
          <w:rFonts w:hint="eastAsia" w:ascii="宋体" w:hAnsi="宋体" w:cs="宋体"/>
          <w:bCs/>
          <w:color w:val="auto"/>
          <w:kern w:val="0"/>
          <w:szCs w:val="21"/>
          <w:highlight w:val="none"/>
        </w:rPr>
        <w:t>包括设在医学院的病案库和东区学生宿舍的</w:t>
      </w:r>
      <w:r>
        <w:rPr>
          <w:rFonts w:hint="eastAsia" w:ascii="宋体" w:hAnsi="宋体" w:cs="宋体"/>
          <w:color w:val="auto"/>
          <w:szCs w:val="21"/>
          <w:highlight w:val="none"/>
        </w:rPr>
        <w:t>所有消防设施、设备、系统的维保和运行管理(投标报价含所有维修工具设备器具费、检测费、调试费和人工费)。</w:t>
      </w:r>
    </w:p>
    <w:p>
      <w:pPr>
        <w:adjustRightInd w:val="0"/>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包括但不限于以下服务内容：</w:t>
      </w:r>
    </w:p>
    <w:p>
      <w:pPr>
        <w:adjustRightInd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1）火灾自动报警系统的维修保养。</w:t>
      </w:r>
    </w:p>
    <w:p>
      <w:pPr>
        <w:adjustRightInd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2）自动喷淋灭火系统的维修保养。</w:t>
      </w:r>
    </w:p>
    <w:p>
      <w:pPr>
        <w:adjustRightInd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3）消防供水设施的维修保养。</w:t>
      </w:r>
    </w:p>
    <w:p>
      <w:pPr>
        <w:adjustRightInd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4）室内外消火栓灭火系统的维修保养。</w:t>
      </w:r>
    </w:p>
    <w:p>
      <w:pPr>
        <w:adjustRightInd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5）消防广播系统、消防对讲系统的维修保养。</w:t>
      </w:r>
    </w:p>
    <w:p>
      <w:pPr>
        <w:adjustRightInd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6）防排烟系统的维修保养。</w:t>
      </w:r>
    </w:p>
    <w:p>
      <w:pPr>
        <w:adjustRightInd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7）防火分隔系统的维修保养。</w:t>
      </w:r>
    </w:p>
    <w:p>
      <w:pPr>
        <w:adjustRightInd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8）气体灭火系统的维修保养。</w:t>
      </w:r>
    </w:p>
    <w:p>
      <w:pPr>
        <w:adjustRightInd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9）应急照明和疏散指示标志的维修保养。</w:t>
      </w:r>
    </w:p>
    <w:p>
      <w:pPr>
        <w:adjustRightInd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10）所有消防设施设备管路、线路的维修保养。</w:t>
      </w:r>
    </w:p>
    <w:p>
      <w:pPr>
        <w:adjustRightInd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rPr>
        <w:t>11）提供月度、季度检测计划、检测报告、维修保养计划、维修保养记录。</w:t>
      </w:r>
    </w:p>
    <w:p>
      <w:pPr>
        <w:adjustRightInd w:val="0"/>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lang w:val="zh-CN"/>
        </w:rPr>
        <w:t>1.2</w:t>
      </w:r>
      <w:r>
        <w:rPr>
          <w:rFonts w:hint="eastAsia" w:ascii="宋体" w:hAnsi="宋体" w:cs="宋体"/>
          <w:color w:val="auto"/>
          <w:szCs w:val="21"/>
          <w:highlight w:val="none"/>
        </w:rPr>
        <w:t xml:space="preserve"> 主要设备、设施清单</w:t>
      </w:r>
    </w:p>
    <w:p>
      <w:pPr>
        <w:adjustRightInd w:val="0"/>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采购人向响应单位提供的资料和数据，仅供响应单位磋商时参考，响应单位须自行全面、细致地考察项目情况，以充分了解任何可能会影响到磋商价格的事项，并在磋商中给予充分考虑。在提交响应文件之后，若响应单位以误解项目情况或其他任何理由提出修改成交价格的要求，将不获考虑，由此产生的风险由投标单位自行承担。</w:t>
      </w:r>
    </w:p>
    <w:p>
      <w:pPr>
        <w:tabs>
          <w:tab w:val="left" w:pos="900"/>
        </w:tabs>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1.3</w:t>
      </w:r>
      <w:r>
        <w:rPr>
          <w:rFonts w:hint="eastAsia" w:ascii="宋体" w:hAnsi="宋体" w:cs="宋体"/>
          <w:color w:val="auto"/>
          <w:kern w:val="0"/>
          <w:szCs w:val="21"/>
          <w:highlight w:val="none"/>
          <w:lang w:val="zh-CN"/>
        </w:rPr>
        <w:t>合同服务期限</w:t>
      </w:r>
      <w:r>
        <w:rPr>
          <w:rFonts w:hint="eastAsia" w:ascii="宋体" w:hAnsi="宋体" w:cs="宋体"/>
          <w:color w:val="auto"/>
          <w:kern w:val="0"/>
          <w:szCs w:val="21"/>
          <w:highlight w:val="none"/>
        </w:rPr>
        <w:t>：</w:t>
      </w:r>
      <w:r>
        <w:rPr>
          <w:rFonts w:hint="eastAsia" w:ascii="宋体" w:hAnsi="宋体"/>
          <w:color w:val="auto"/>
          <w:szCs w:val="21"/>
          <w:highlight w:val="none"/>
        </w:rPr>
        <w:t>服务期壹年，2023年7月1日至2024年6月30日</w:t>
      </w:r>
      <w:r>
        <w:rPr>
          <w:rFonts w:hint="eastAsia" w:ascii="宋体" w:hAnsi="宋体"/>
          <w:color w:val="auto"/>
          <w:szCs w:val="21"/>
          <w:highlight w:val="none"/>
          <w:lang w:eastAsia="zh-CN"/>
        </w:rPr>
        <w:t>。</w:t>
      </w:r>
    </w:p>
    <w:p>
      <w:pPr>
        <w:adjustRightInd w:val="0"/>
        <w:spacing w:line="360" w:lineRule="auto"/>
        <w:ind w:firstLine="422" w:firstLineChars="200"/>
        <w:contextualSpacing/>
        <w:rPr>
          <w:rFonts w:ascii="宋体" w:hAnsi="宋体" w:cs="宋体"/>
          <w:b/>
          <w:bCs/>
          <w:color w:val="auto"/>
          <w:szCs w:val="21"/>
          <w:highlight w:val="none"/>
          <w:lang w:val="zh-CN"/>
        </w:rPr>
      </w:pPr>
      <w:r>
        <w:rPr>
          <w:rFonts w:hint="eastAsia" w:ascii="宋体" w:hAnsi="宋体" w:cs="宋体"/>
          <w:b/>
          <w:bCs/>
          <w:color w:val="auto"/>
          <w:szCs w:val="21"/>
          <w:highlight w:val="none"/>
          <w:lang w:val="zh-CN"/>
        </w:rPr>
        <w:t>二、</w:t>
      </w:r>
      <w:r>
        <w:rPr>
          <w:rFonts w:hint="eastAsia" w:ascii="宋体" w:hAnsi="宋体" w:cs="宋体"/>
          <w:b/>
          <w:bCs/>
          <w:color w:val="auto"/>
          <w:szCs w:val="21"/>
          <w:highlight w:val="none"/>
        </w:rPr>
        <w:t>技术标准(包括但不限于以下内容) </w:t>
      </w:r>
    </w:p>
    <w:p>
      <w:pPr>
        <w:adjustRightInd w:val="0"/>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执行国家、省、市现行的消防要求及施工验收规范、施工技术标准、程序，以及有关建筑质量、安全施工等有关文件、规定。</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2.1招标服务要求按照《建筑消防设施检测技术规程》(GA503-2004)执行；</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2.2技术方案按照《火灾自动报警系统施工及验收规范》(GB50166-2007)、《建筑消防设施检测技术规程》(GA503-2004)、《建筑消防设施的维护管理》(GB25201-2010)执行。</w:t>
      </w:r>
    </w:p>
    <w:p>
      <w:pPr>
        <w:adjustRightInd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三、消防设施维修保养作业要求</w:t>
      </w:r>
    </w:p>
    <w:p>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3.1火灾自动报警系统</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1.每月检查和试验火灾自动报警系统的下列功能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(1)检查复位、事故广播、故障报警等功能是否正常。如发现不正常，做好记录并及时处理；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(2)试验火灾警报装置的声、光显示是否正常；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(3)主电源和备用电源自动转换试验，检查其功能是否正常。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2.每季检查和试验火灾自动报警系统的下列功能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(1)采用加烟(或加温)的方法分期分批试验探测器的动作是否正常，显示灯是否正常，试验中发现有故障或失效的探测器应及时拆换。</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(2)试验火灾警报装置的声、光显示是否正常；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(3)主电源和备用电源自动转换试验，检查其功能是否正常；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(4)检查手动／自动转换开关，如电源转换开关、灭火转换开关等是否正常；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(5)直观检查所有消防用电设备的动力线、控制线、报警信号传输线、接地线、接线盒及设备等是否处于安全无损状态；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(6)巡视检查探测器、手动报警按钮和指示装置的位置是否准确，有无缺漏、脱落和丢失，每个探测器的下方及周围各方向，手动报警按钮的周围是否留有规定的空白空间。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(7)其中火灾报警探测器和手动报警按钮的报警功能的检查数量不少于总数25%。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3.每年检查和试验火灾自动报警系统的下列功能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(1)采用加烟(或加温)的方法对安装的所有探测器全部检查试验一遍；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(2)主电源和备用电源自动转换试验，检查其功能是否正常；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(3)检查手动／自动转换开关，如电源转换开关、灭火转换开关等转换开关是否正常；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(4)检查所有接线端子是否有松动、破损和脱落现象；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(5)探测器全部清洗一遍。清洗后作响应阈值及其他必要的功能试验，试验不合格的探测器一律报废，更换新的探测器。 </w:t>
      </w:r>
    </w:p>
    <w:p>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3.2 室内和室外消火栓系统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1.每月检查项目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(1)检查室内和室外消火栓设备及配件是否齐全，是否破损、老化、霉变；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(2)外观检查消火栓管道、阀门有无漏水，阀门是否位于开启状态；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(3)检查破玻按钮外观有无破损，远程启动水泵测试；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(4)检查水泵控制箱所处控制状态是否正确；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(5)消防水泵手动、自动状态下启动试验。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2.每季检查项目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(1)检查破玻按钮外观有无破损，远程启动水泵测试；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(2)检查水泵控制箱所处控制状态是否正确；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(3)消防水泵手动、自动状态下启动试验；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(4)检查室内外消火栓开关是否老化，进行润滑防锈，并应对保证消防用水不被挪作他用的措施进行检查，发现故障，应及时进行处理； 检查数量不少于总数量25%。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3.每年检查项目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(1)检查电动机是否损伤、锈蚀，机械性能是否良好；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(2)检查水泵轴与电动机连接部位是否松动、变形、损伤和严重锈蚀；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(3)检查轴承润滑油是否加足，油污严重污染、变质现象，用手转动检查转动是否正常；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(4)检查继电器是否脱落、松动，接触器接点是否烧损。 </w:t>
      </w:r>
    </w:p>
    <w:p>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3.3 自动水喷淋灭火系统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1.每月检查项目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(1)消防水池、消防水箱及消防气压给水设备应每月检查一次，对其消防储备水位进行检查，并应对保证消防用水不被挪作他用的措施进行检查，发现故障，应及时进行处理；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(2)消防水泵应每月启动运转一次。当消防水泵为自动控制启动时，应每月摸拟自动控制的条件启动运转一次；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(3)电磁阀应每月检查并应作启动试验，动作失常时应及时更换；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(4)每月应对系统上所有的铅封、锁链进行一次检查，当有损坏时，应及时修理或更换；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(5)消防水泵接合器的接口及附件应每月检查一次，并应保证接口完好、无渗漏、闷盖齐全；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(6)每月应对喷头进行一次外观检查，当发现有不正常的喷头应及时更换；当喷头上有异物时应及时清除。更换或安装喷头均应使用专用扳手。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2.每季检查项目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(1)每季度应对报警阀旁的放水试验阀进行一次供水试验，验证系统的供水能力；检查数量不少于总数量25%。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(2)室外阀门井中，进水管上的控制阀门应每个季度检查一次，核实处于全开启状态。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3.每年检查项目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(1)每年应对水源的供水能力进行一次测定；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(2)每年应对消防储水设备进行检查，修补缺损和重新油漆。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(3)每年对包括但不限于喷头等自动水喷淋灭火系统工作环境温度，进行防爆检查。</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4.喷头的检查与维护方法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(1)外观检查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检查喷头有无损坏、锈蚀、漏水现象，如存在应及时维修或更换；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(2)抽样检查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使用年限较长的系统，应按要求对喷头进行抽查，对不符合喷头产品要求的喷头要更换；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(3)维护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对轻质粉尘可用空气吹除或用软布擦净；对容易形成结垢的尘埃，如喷漆雾粒、水泥粉等就不易清除，只能分批拆换喷头，集中清理，但不能用酸或碱溶液洗刷易熔元件洒水喷头，也不要用热水或热的溶液洗刷，在对喷头工作环境温度，进行防爆检查。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5.管路系统的检查与维护方法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(1)外观检查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检查管道有无机械损伤、油漆脱落、锈蚀等，管道固定是否牢固，发现问题及时处理；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(2)清除堵塞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自动喷水灭火系统管路中，可能因施工疏忽残留有砂、石、木屑或水源带来的垃圾、铁锈等，这样会造成喷头堵塞、报警阀关闭不严、水力警铃输水管堵塞等，从而影响灭火效果。如发现管路有沉积物，应进行冲洗；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(3)防漏措施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平时严禁将管子用作其他支撑；拆装喷头时必须按操作规程应用合适的工具，切忌直接钳住喷头悬臂进行旋紧或拧松；管路的防腐涂层应视情况而定，一般每隔3～5年应重新涂刷一次。要加强对管道工作环境温度，进行防爆防漏检查。</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6.报警阀的检查与维护方法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开阀试验。对报警阀应进行开阀试验，观察阀门开启性能和密封性能，以及水力警铃、延迟器等性能。此试验可通过末端试验装置进行。如发现阀门开启不畅或密封不严，可拆开阀门检查，视情况调换阀瓣密封件；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(2)对安装的压力表要定期检查。检查报警阀前、后压力表指示是否正常。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7.水源及水泵的检查与维护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检查消防水池的水位能否保持消防用水量：水位标尺是否正常工作：水池各种阀门是否处于正常状态：有无受冻的可能。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检查消防水箱的水量能否满足要求；消防气压给水装置能否保证水量和水压；自动控制系统能否正常工作。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检查消防水泵能否正常运转，流量和压力能否保证；消防水泵的动力是否可靠；电力上有无保证不间断供电设施，其性能是否良好；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检查消防水泵接合器是否正常，附近的室外消火栓使用是否便利。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8.系统功能检查与维护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应按照各类系统的设计规定，通过末端试验装置喷水试验，对系统功能进行检查，即检查各种组件在火灾状态时，能否按设计要求动作，火灾报警设备是否正常。如发现系统有不正常的部件时，应及时进行维修，直到系统全部功能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9.使用环境检查与维护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使用环境及保护对象改变，往往会制约消防系统功能的发挥。例如在仓库内货物堆放高度不适当地增大而阻挡了喷头的喷洒范围；喷头被刷漆而延迟了动作灵敏度等，因而对使用环境和条件要定期检查，不符合要求的要改正。 </w:t>
      </w:r>
    </w:p>
    <w:p>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3.4防排烟系统</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1.外观检查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(1)排烟风口有无变形、损伤，周围有无影响排烟的障碍；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用于自动启动装置的感烟(感温)探测器有无变形、损伤，安装是否松动脱落。手动启动装置的操作箱有无变形、损伤：手柄、操作杆等有无损伤、脱落：操作部位标志有无破损、脏污、脱落，有无使用方法的说明；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(3)风管有无变形、损伤，支撑是否松动；风管是否与可然物接触；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(4)送风、排烟风机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①周围有无可燃物；安装螺栓是否松动、损伤；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②传动机构是否变形、损伤；叶轮是否与外壳接触；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③电动机的接线是否松动：电动机的外壳有无腐蚀现象；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④电源的供电是否正常(检查电压表或电源指示灯)。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(5)排烟口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①风机与排烟口连接部位的法兰有无损伤，螺栓是否松动；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②雨淋部分有无锈蚀、损伤；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③排烟口周围有无影响烟气排出的障碍。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2.性能检查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(1)排烟风口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①进行手动启闭操作，检查是否可完全打开(与排烟风机联动时，应停止联动机构的动作)；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②吸烟口架、操作盘、排烟阀及安装架是否锈蚀、有无杂物粘附；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③旋转机构是否灵活，是否完全打开；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④制动机构、限位器是否符合要求；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⑤关闭部位是否生锈、粘附灰尘。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(2)风管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①风管底部有无异物；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②防火阀是否因涂漆、杂物粘附而影响启闭，安装部位是否松动；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③连接部位是否漏烟。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(3)启动装置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①打开启动盘，检查内部有无变形、损伤及动作异常，用万用表检查电源情况，是否有影响送风(排烟)风机启动的电压下降情况；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②开关类有无变形、损伤、脱落，开关位置是否正常；接线端子是否松动、脱落；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③保险丝的容量是否符合送风(排烟)风机的性能要求，是否损伤、脱落，有无备件；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④继电器是否脱落、端子是否松动、接点是否烧损、有无灰尘粘附，动作是否正常；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⑤导线连接是否牢固，有无脱落。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(4)自动启动装置的火灾探测器端子、引线是否断线、松动。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(5)手动启动装置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①与送风(排烟)风机有联动装置时，应将联动机构脱开，用单手转动或拉动操作箱手柄，检查动作是否正常；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②手柄是否破损、钢丝绳是否折断生锈。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(6)送风(排烟)风机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①检查轴承部分润滑油状态是否异常(脏污、混入泥沙、尘等)；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②启动电动机，检查风机旋转是否正常(转向、振动、杂音等)；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③检查电动机的轴承部位润滑油是否正常；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④检查传动皮带是否松动(用手按时，轴距为1m时，皮带下降小于一个皮带的厚度)；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⑤启动电动机，旋转时有无异常振动、杂音。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3.综合检查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操作手动或自动启动装置，进行每个防烟分区的动作试验，检查下列事项：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(1)手动或自动能否完成启动；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(2)运转电流是否正常；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(3)运转中是否有不规则或不连续杂音及异常振动；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(4)叶轮旋转方向是否正确。 </w:t>
      </w:r>
    </w:p>
    <w:p>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3.5防火卷帘门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1.每月检查、测试内容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(1)检查、测试防火卷帘门两侧手动按钮功能是否正常；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(2)检查、测试声光报警工作是否正常；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(3)检查、测试升降是否平稳，有无卡死、停顿等现象。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2.每季检查、测试内容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(1)加烟、加温测试烟、温感报警并联动防火卷帘门动作是否正常；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(2)检查、测试防火卷帘门两侧手动按钮功能是否正常;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(3)检查、测试声光报警工作是否正常;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(4)检查、测试升降是否平稳，有无卡死、停顿等现象。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3.每年检查、测试内容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(1)加烟、加温测试烟、温感报警并联动防火卷帘门动作是否正常；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(2)检查、测试声光报警工作是否正常；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(3)检查、测试防火卷帘门两侧手动按钮功能是否正常；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(4)检查、测试卷帘门升降是否平稳，有无卡死、停顿等现象；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(5)检查控制箱显示是否正常。 </w:t>
      </w:r>
    </w:p>
    <w:p>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3.6气体灭火系统(气溶胶自动灭火装置)</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1.消防系统进行维保，包括但不限于如下内容</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每月对各套气体灭火系统的阀驱动装置管网喷嘴等系统组成件进行外观检查。观察各组件有无碰撞变形受损，保护涂层有无脱落，各组件有无生锈，铭牌应清晰完整，手动操作装置的防护罩铅封和安全标志应完整。</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(2)每月对各套的监测装置进行细致检查，检查方法与火灾自动报警系统所述的相同，但注意检查试验时应先断开启动气瓶电磁阀的电路，避免发生误喷气。</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(3)每月检查灭火剂贮存容器和气动验动装置的气动源的压力。</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2.气体灭火系统的维护保养内容</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(1)对防护分区环境的维护保养：</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①检查保护区必要的出入通道应通畅无阻;各种报警信号和安全标志应清洁、齐全并醒目易见；采光照明和事故照明应完好。</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②检查烟感、温感探测器外表面应清洁、无灰尘和环境污染(例如轻质粉尘、漆等)，以保证其灵敏度;检查喷嘴孔口应无堵塞。</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(2)对灭火剂贮存容器的维护保养：</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对灭火剂贮存容器进行称重或检查贮存压力，若低于允许值极限位置以下，必须予以重新灌装或替换。</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(3)对灭火控制盘的维护保养：</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①电源、指示灯的可靠程度检查;</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②灭火控制盘的启动试验的工作情况是否正常。</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(4)对系统的维护保养：</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①检查电磁阀与控制阀的连接导线是否完好，端子有否松动或脱落。</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②从启动钢瓶上卸下电磁阀，检查其动作是否灵活。</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③卸下报警及控制系统与执行机构的连接装置，用模拟试验方法，检查自动控制、报警及延时功能的灵敏度和动作可靠性。</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④检查贮存容器开启机构灵活可靠性。</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⑤检查灭火剂贮存容器阀和启动容器阀的安全装置和管路安全阀放气口。</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⑥检查所有钢瓶外表有无腐蚀和镀层脱落现象。</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⑦对系统中所有软管进行外观检查，若发现有任何缺陷，更换或对软管进行耐压试验。</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⑧将止回阀从系统上卸下，检查其密封情况和开启动作灵活程度。</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⑨用气动和手动方式，检查所有选择阀的开启动作是否灵活可靠。</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3.7每年进行一次全面检查，除上述内容，还应明确下列内容</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火灾自动报警装置每层、每回路报警系统和联动控制设备的功能试验。每12个月累计，对每只探测器、手动报警按钮检查不少于一次；火灾报警探测器等消防电子设备，应根据产品的技术性能需要进行清洗保养。</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2.自动喷水灭火系统末端放水，进行系统功能联动试验，水流指示器报警，对消防设施上的仪器仪表进行院验；每12个月累计对每个喷头、末端放水阀检查不少于一次。</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3.消防给水系统最不利点消火栓出水，并用水泵接合器供水。每12个月累计对每个消火栓、卷盘、水炮检查不少于一次。</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4.通过报警联动，检查气体灭火系统功能，并进行模拟喷气试验；院验仪器仪表，存储容器称重。</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5.通过报警联动，检查电梯迫降功能；通过报警联动，检查防火卷帘门及电动防火门的功能；通过报警联动，检查消防广播切换功能；通过报警联动，检查正压送风或机械排烟系统功能，并测试风速、风压值。</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6.防供电设施功能检查，主备电源切换，检验供电能力。</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7.灭火器称重、气压和药剂有效期检查。</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8.维保方应根据实际情况，进行消防设施设备资料、档案等书面台账和电子数据台账整理工作，并提交院方。</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9.原则上院方所保养的消防设施设备需大修或中修一般由维保方负责，若维保方报价过高，院方有权选择其他单位进行维修，且维保方应无条件免费配合院方的工作。</w:t>
      </w:r>
    </w:p>
    <w:p>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四、消防维保服务要求</w:t>
      </w:r>
    </w:p>
    <w:p>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4.1故障排除</w:t>
      </w:r>
    </w:p>
    <w:p>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4.1.1当维保方接到招标方的故障通知书或电话通知时，应在1小时内派员对该故障进行排除。一般故障应该立即排除，严重故障应该在</w:t>
      </w:r>
      <w:r>
        <w:rPr>
          <w:rFonts w:hint="eastAsia" w:ascii="宋体" w:hAnsi="宋体" w:cs="宋体"/>
          <w:color w:val="auto"/>
          <w:szCs w:val="21"/>
          <w:highlight w:val="none"/>
        </w:rPr>
        <w:t>24</w:t>
      </w:r>
      <w:r>
        <w:rPr>
          <w:rFonts w:hint="eastAsia" w:ascii="宋体" w:hAnsi="宋体" w:cs="宋体"/>
          <w:color w:val="auto"/>
          <w:szCs w:val="21"/>
          <w:highlight w:val="none"/>
          <w:lang w:val="zh-CN"/>
        </w:rPr>
        <w:t>小时内修复。当需超过</w:t>
      </w:r>
      <w:r>
        <w:rPr>
          <w:rFonts w:hint="eastAsia" w:ascii="宋体" w:hAnsi="宋体" w:cs="宋体"/>
          <w:color w:val="auto"/>
          <w:szCs w:val="21"/>
          <w:highlight w:val="none"/>
        </w:rPr>
        <w:t>2</w:t>
      </w:r>
      <w:r>
        <w:rPr>
          <w:rFonts w:hint="eastAsia" w:ascii="宋体" w:hAnsi="宋体" w:cs="宋体"/>
          <w:color w:val="auto"/>
          <w:szCs w:val="21"/>
          <w:highlight w:val="none"/>
          <w:lang w:val="zh-CN"/>
        </w:rPr>
        <w:t>天尚无法修复时，需书面通知院方，增加日常管理人员与维保单位工作人员一同作好维修期间的安全防范。同时维保方增加技术力量，尽快修复故障。如果维保方维修不及时，院方可以请第三方开展维修，所发生维修费用从维保费用中扣除。</w:t>
      </w:r>
    </w:p>
    <w:p>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4.2必须明确人员负责扬州大学附属医院的消防维护保养日常运行工作要求：</w:t>
      </w:r>
    </w:p>
    <w:p>
      <w:pPr>
        <w:adjustRightInd w:val="0"/>
        <w:spacing w:line="360" w:lineRule="auto"/>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4.2.1工作时间：</w:t>
      </w:r>
      <w:r>
        <w:rPr>
          <w:rFonts w:hint="eastAsia" w:ascii="宋体" w:hAnsi="宋体" w:cs="宋体"/>
          <w:b/>
          <w:bCs/>
          <w:color w:val="auto"/>
          <w:szCs w:val="21"/>
          <w:highlight w:val="none"/>
        </w:rPr>
        <w:t>8小时/天</w:t>
      </w:r>
    </w:p>
    <w:p>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4.2.2维保方常驻现场消防维保专业人员不低于2人，确保节假日有人。维护人员需接受院方检查，驻场维保人员中至少1人应具备建(构)筑物消防员中级及以上职业资格证书。</w:t>
      </w:r>
      <w:r>
        <w:rPr>
          <w:rFonts w:hint="eastAsia" w:ascii="宋体" w:hAnsi="宋体" w:cs="宋体"/>
          <w:color w:val="auto"/>
          <w:szCs w:val="21"/>
          <w:highlight w:val="none"/>
          <w:lang w:val="zh-CN"/>
        </w:rPr>
        <w:t>合同期内未经院方同意不得擅自更换项目负责人。</w:t>
      </w:r>
    </w:p>
    <w:p>
      <w:pPr>
        <w:adjustRightInd w:val="0"/>
        <w:spacing w:line="360" w:lineRule="auto"/>
        <w:ind w:firstLine="420" w:firstLineChars="200"/>
        <w:rPr>
          <w:rFonts w:ascii="宋体" w:hAnsi="宋体" w:cs="宋体"/>
          <w:color w:val="auto"/>
          <w:szCs w:val="21"/>
          <w:highlight w:val="none"/>
        </w:rPr>
      </w:pPr>
      <w:bookmarkStart w:id="116" w:name="_Toc261856747"/>
      <w:r>
        <w:rPr>
          <w:rFonts w:hint="eastAsia" w:ascii="宋体" w:hAnsi="宋体" w:cs="宋体"/>
          <w:color w:val="auto"/>
          <w:szCs w:val="21"/>
          <w:highlight w:val="none"/>
        </w:rPr>
        <w:t>4.3维修保养</w:t>
      </w:r>
      <w:bookmarkEnd w:id="116"/>
      <w:r>
        <w:rPr>
          <w:rFonts w:hint="eastAsia" w:ascii="宋体" w:hAnsi="宋体" w:cs="宋体"/>
          <w:color w:val="auto"/>
          <w:szCs w:val="21"/>
          <w:highlight w:val="none"/>
        </w:rPr>
        <w:t xml:space="preserve">记录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4.3.1成交供应商在签订合同后一周内，编制消防系统月度、季度、年度维保计划，并经招标方审核。维保服务期满，编制服务期内维修保养总结，并提交招标方审核。</w:t>
      </w:r>
    </w:p>
    <w:p>
      <w:pPr>
        <w:adjustRightInd w:val="0"/>
        <w:spacing w:line="360" w:lineRule="auto"/>
        <w:ind w:firstLine="420" w:firstLineChars="200"/>
        <w:rPr>
          <w:rFonts w:ascii="宋体" w:hAnsi="宋体" w:cs="宋体"/>
          <w:color w:val="auto"/>
          <w:szCs w:val="21"/>
          <w:highlight w:val="none"/>
        </w:rPr>
      </w:pPr>
      <w:bookmarkStart w:id="117" w:name="_Toc261856748"/>
      <w:r>
        <w:rPr>
          <w:rFonts w:hint="eastAsia" w:ascii="宋体" w:hAnsi="宋体" w:cs="宋体"/>
          <w:color w:val="auto"/>
          <w:szCs w:val="21"/>
          <w:highlight w:val="none"/>
        </w:rPr>
        <w:t>4.3.1.1每月维修保养</w:t>
      </w:r>
    </w:p>
    <w:bookmarkEnd w:id="117"/>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按每月维修保养内容，对消防系统逐项进行检查、检测、测试、试验。并提交月度维护保养、设备运行状况报告。 </w:t>
      </w:r>
    </w:p>
    <w:p>
      <w:pPr>
        <w:adjustRightInd w:val="0"/>
        <w:spacing w:line="360" w:lineRule="auto"/>
        <w:ind w:firstLine="420" w:firstLineChars="200"/>
        <w:rPr>
          <w:rFonts w:ascii="宋体" w:hAnsi="宋体" w:cs="宋体"/>
          <w:color w:val="auto"/>
          <w:szCs w:val="21"/>
          <w:highlight w:val="none"/>
        </w:rPr>
      </w:pPr>
      <w:bookmarkStart w:id="118" w:name="_Toc261856749"/>
      <w:r>
        <w:rPr>
          <w:rFonts w:hint="eastAsia" w:ascii="宋体" w:hAnsi="宋体" w:cs="宋体"/>
          <w:color w:val="auto"/>
          <w:szCs w:val="21"/>
          <w:highlight w:val="none"/>
        </w:rPr>
        <w:t>4.3.2季度维修保养</w:t>
      </w:r>
      <w:bookmarkEnd w:id="118"/>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每季度最后一个月的第二个星期，将该月的维修保养项目与季度维修保养内容合在一起，按每月、季的维护保养内容，对消防系统逐项进行检查、检测、测试、试验。并提交季度维护保养、设备运行状况报告。 </w:t>
      </w:r>
    </w:p>
    <w:p>
      <w:pPr>
        <w:adjustRightInd w:val="0"/>
        <w:spacing w:line="360" w:lineRule="auto"/>
        <w:ind w:firstLine="420" w:firstLineChars="200"/>
        <w:rPr>
          <w:rFonts w:ascii="宋体" w:hAnsi="宋体" w:cs="宋体"/>
          <w:color w:val="auto"/>
          <w:szCs w:val="21"/>
          <w:highlight w:val="none"/>
        </w:rPr>
      </w:pPr>
      <w:bookmarkStart w:id="119" w:name="_Toc261856750"/>
      <w:r>
        <w:rPr>
          <w:rFonts w:hint="eastAsia" w:ascii="宋体" w:hAnsi="宋体" w:cs="宋体"/>
          <w:color w:val="auto"/>
          <w:szCs w:val="21"/>
          <w:highlight w:val="none"/>
        </w:rPr>
        <w:t>4.3.3服务期维修保养</w:t>
      </w:r>
      <w:bookmarkEnd w:id="119"/>
    </w:p>
    <w:p>
      <w:pPr>
        <w:adjustRightInd w:val="0"/>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服务期内年度最后一个月，按年度的维护保养内容，全面对消防系统逐项进行检查、检测、测试、试验。提交年度维护保养、设备运行状况报告。</w:t>
      </w:r>
    </w:p>
    <w:p>
      <w:pPr>
        <w:adjustRightInd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五、其它要求</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zh-CN"/>
        </w:rPr>
        <w:t>.1</w:t>
      </w:r>
      <w:r>
        <w:rPr>
          <w:rFonts w:hint="eastAsia" w:ascii="宋体" w:hAnsi="宋体" w:cs="宋体"/>
          <w:color w:val="auto"/>
          <w:szCs w:val="21"/>
          <w:highlight w:val="none"/>
        </w:rPr>
        <w:t>响应供应商可与采购人预约自行现场踏勘，</w:t>
      </w: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朱斌</w:t>
      </w:r>
      <w:r>
        <w:rPr>
          <w:rFonts w:hint="eastAsia" w:ascii="宋体" w:hAnsi="宋体" w:cs="宋体"/>
          <w:color w:val="auto"/>
          <w:szCs w:val="21"/>
          <w:highlight w:val="none"/>
        </w:rPr>
        <w:t xml:space="preserve"> ，联系电话：15905272227 。</w:t>
      </w:r>
    </w:p>
    <w:p>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5.2供应商</w:t>
      </w:r>
      <w:r>
        <w:rPr>
          <w:rFonts w:hint="eastAsia" w:ascii="宋体" w:hAnsi="宋体" w:cs="宋体"/>
          <w:color w:val="auto"/>
          <w:szCs w:val="21"/>
          <w:highlight w:val="none"/>
          <w:lang w:val="zh-CN"/>
        </w:rPr>
        <w:t>一旦参加</w:t>
      </w:r>
      <w:r>
        <w:rPr>
          <w:rFonts w:hint="eastAsia" w:ascii="宋体" w:hAnsi="宋体" w:cs="宋体"/>
          <w:color w:val="auto"/>
          <w:szCs w:val="21"/>
          <w:highlight w:val="none"/>
        </w:rPr>
        <w:t>磋商</w:t>
      </w:r>
      <w:r>
        <w:rPr>
          <w:rFonts w:hint="eastAsia" w:ascii="宋体" w:hAnsi="宋体" w:cs="宋体"/>
          <w:color w:val="auto"/>
          <w:szCs w:val="21"/>
          <w:highlight w:val="none"/>
          <w:lang w:val="zh-CN"/>
        </w:rPr>
        <w:t>，就意味着已接受</w:t>
      </w:r>
      <w:r>
        <w:rPr>
          <w:rFonts w:hint="eastAsia" w:ascii="宋体" w:hAnsi="宋体" w:cs="宋体"/>
          <w:color w:val="auto"/>
          <w:szCs w:val="21"/>
          <w:highlight w:val="none"/>
        </w:rPr>
        <w:t>采购</w:t>
      </w:r>
      <w:r>
        <w:rPr>
          <w:rFonts w:hint="eastAsia" w:ascii="宋体" w:hAnsi="宋体" w:cs="宋体"/>
          <w:color w:val="auto"/>
          <w:szCs w:val="21"/>
          <w:highlight w:val="none"/>
          <w:lang w:val="zh-CN"/>
        </w:rPr>
        <w:t>文件所有条款及要求，并受其约束。</w:t>
      </w:r>
    </w:p>
    <w:p>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除</w:t>
      </w:r>
      <w:r>
        <w:rPr>
          <w:rFonts w:hint="eastAsia" w:ascii="宋体" w:hAnsi="宋体" w:cs="宋体"/>
          <w:color w:val="auto"/>
          <w:szCs w:val="21"/>
          <w:highlight w:val="none"/>
        </w:rPr>
        <w:t>采购</w:t>
      </w:r>
      <w:r>
        <w:rPr>
          <w:rFonts w:hint="eastAsia" w:ascii="宋体" w:hAnsi="宋体" w:cs="宋体"/>
          <w:color w:val="auto"/>
          <w:szCs w:val="21"/>
          <w:highlight w:val="none"/>
          <w:lang w:val="zh-CN"/>
        </w:rPr>
        <w:t>文件中规定</w:t>
      </w:r>
      <w:r>
        <w:rPr>
          <w:rFonts w:hint="eastAsia" w:ascii="宋体" w:hAnsi="宋体" w:cs="宋体"/>
          <w:color w:val="auto"/>
          <w:szCs w:val="21"/>
          <w:highlight w:val="none"/>
        </w:rPr>
        <w:t>采购</w:t>
      </w:r>
      <w:r>
        <w:rPr>
          <w:rFonts w:hint="eastAsia" w:ascii="宋体" w:hAnsi="宋体" w:cs="宋体"/>
          <w:color w:val="auto"/>
          <w:szCs w:val="21"/>
          <w:highlight w:val="none"/>
          <w:lang w:val="zh-CN"/>
        </w:rPr>
        <w:t>人负责的工作外，在维修保养过程中，</w:t>
      </w:r>
      <w:r>
        <w:rPr>
          <w:rFonts w:hint="eastAsia" w:ascii="宋体" w:hAnsi="宋体" w:cs="宋体"/>
          <w:color w:val="auto"/>
          <w:szCs w:val="21"/>
          <w:highlight w:val="none"/>
        </w:rPr>
        <w:t>成交</w:t>
      </w:r>
      <w:r>
        <w:rPr>
          <w:rFonts w:hint="eastAsia" w:ascii="宋体" w:hAnsi="宋体" w:cs="宋体"/>
          <w:color w:val="auto"/>
          <w:szCs w:val="21"/>
          <w:highlight w:val="none"/>
          <w:lang w:val="zh-CN"/>
        </w:rPr>
        <w:t>单位发生的任何纠纷与交涉以及由此造成的损失，均由</w:t>
      </w:r>
      <w:r>
        <w:rPr>
          <w:rFonts w:hint="eastAsia" w:ascii="宋体" w:hAnsi="宋体" w:cs="宋体"/>
          <w:color w:val="auto"/>
          <w:szCs w:val="21"/>
          <w:highlight w:val="none"/>
        </w:rPr>
        <w:t>成交</w:t>
      </w:r>
      <w:r>
        <w:rPr>
          <w:rFonts w:hint="eastAsia" w:ascii="宋体" w:hAnsi="宋体" w:cs="宋体"/>
          <w:color w:val="auto"/>
          <w:szCs w:val="21"/>
          <w:highlight w:val="none"/>
          <w:lang w:val="zh-CN"/>
        </w:rPr>
        <w:t>单位自行解决，如需</w:t>
      </w:r>
      <w:r>
        <w:rPr>
          <w:rFonts w:hint="eastAsia" w:ascii="宋体" w:hAnsi="宋体" w:cs="宋体"/>
          <w:color w:val="auto"/>
          <w:szCs w:val="21"/>
          <w:highlight w:val="none"/>
        </w:rPr>
        <w:t>采购</w:t>
      </w:r>
      <w:r>
        <w:rPr>
          <w:rFonts w:hint="eastAsia" w:ascii="宋体" w:hAnsi="宋体" w:cs="宋体"/>
          <w:color w:val="auto"/>
          <w:szCs w:val="21"/>
          <w:highlight w:val="none"/>
          <w:lang w:val="zh-CN"/>
        </w:rPr>
        <w:t>人进行协调，则协调所发生的费用由</w:t>
      </w:r>
      <w:r>
        <w:rPr>
          <w:rFonts w:hint="eastAsia" w:ascii="宋体" w:hAnsi="宋体" w:cs="宋体"/>
          <w:color w:val="auto"/>
          <w:szCs w:val="21"/>
          <w:highlight w:val="none"/>
        </w:rPr>
        <w:t>成交供应商</w:t>
      </w:r>
      <w:r>
        <w:rPr>
          <w:rFonts w:hint="eastAsia" w:ascii="宋体" w:hAnsi="宋体" w:cs="宋体"/>
          <w:color w:val="auto"/>
          <w:szCs w:val="21"/>
          <w:highlight w:val="none"/>
          <w:lang w:val="zh-CN"/>
        </w:rPr>
        <w:t>承担。</w:t>
      </w:r>
    </w:p>
    <w:p>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w:t>
      </w:r>
      <w:r>
        <w:rPr>
          <w:rFonts w:hint="eastAsia" w:ascii="宋体" w:hAnsi="宋体" w:cs="宋体"/>
          <w:color w:val="auto"/>
          <w:szCs w:val="21"/>
          <w:highlight w:val="none"/>
        </w:rPr>
        <w:t>4响应供应商</w:t>
      </w:r>
      <w:r>
        <w:rPr>
          <w:rFonts w:hint="eastAsia" w:ascii="宋体" w:hAnsi="宋体" w:cs="宋体"/>
          <w:color w:val="auto"/>
          <w:szCs w:val="21"/>
          <w:highlight w:val="none"/>
          <w:lang w:val="zh-CN"/>
        </w:rPr>
        <w:t>应具备丰富的维修保养经验及良好的社会信誉，近2年内在江苏消防网无消防安全不良记录。</w:t>
      </w:r>
    </w:p>
    <w:p>
      <w:pPr>
        <w:adjustRightInd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rPr>
        <w:t>5</w:t>
      </w: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5</w:t>
      </w:r>
      <w:r>
        <w:rPr>
          <w:rFonts w:hint="eastAsia" w:ascii="宋体" w:hAnsi="宋体" w:cs="宋体"/>
          <w:b/>
          <w:bCs/>
          <w:color w:val="auto"/>
          <w:szCs w:val="21"/>
          <w:highlight w:val="none"/>
          <w:lang w:val="zh-CN"/>
        </w:rPr>
        <w:t>维保方有责任和义务配合院方及上级主管部门组织的安全检查、防冻检查，工程审图、工程验收，宣传培训演练及其它消防相关工作。</w:t>
      </w:r>
    </w:p>
    <w:p>
      <w:pPr>
        <w:adjustRightInd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rPr>
        <w:t>5</w:t>
      </w: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6</w:t>
      </w:r>
      <w:r>
        <w:rPr>
          <w:rFonts w:hint="eastAsia" w:ascii="宋体" w:hAnsi="宋体" w:cs="宋体"/>
          <w:b/>
          <w:bCs/>
          <w:color w:val="auto"/>
          <w:szCs w:val="21"/>
          <w:highlight w:val="none"/>
          <w:lang w:val="zh-CN"/>
        </w:rPr>
        <w:t>供应商如</w:t>
      </w:r>
      <w:r>
        <w:rPr>
          <w:rFonts w:hint="eastAsia" w:ascii="宋体" w:hAnsi="宋体" w:cs="宋体"/>
          <w:b/>
          <w:bCs/>
          <w:color w:val="auto"/>
          <w:szCs w:val="21"/>
          <w:highlight w:val="none"/>
        </w:rPr>
        <w:t>成交</w:t>
      </w:r>
      <w:r>
        <w:rPr>
          <w:rFonts w:hint="eastAsia" w:ascii="宋体" w:hAnsi="宋体" w:cs="宋体"/>
          <w:b/>
          <w:bCs/>
          <w:color w:val="auto"/>
          <w:szCs w:val="21"/>
          <w:highlight w:val="none"/>
          <w:lang w:val="zh-CN"/>
        </w:rPr>
        <w:t>，在进入施工现场后，应遵守国家相关法律法规、学院管理规定，并负责施工范围内的一切安全防护措施、承担施工范围内的一切安全责任及其经济赔偿(含交通事故)，并依法购买驻院维保人员、施工等有关工作人员的包括但不限于工伤、医疗等保险及相关企业责任保险，</w:t>
      </w:r>
      <w:r>
        <w:rPr>
          <w:rFonts w:hint="eastAsia" w:ascii="宋体" w:hAnsi="宋体" w:cs="宋体"/>
          <w:b/>
          <w:bCs/>
          <w:color w:val="auto"/>
          <w:szCs w:val="21"/>
          <w:highlight w:val="none"/>
        </w:rPr>
        <w:t>供应商</w:t>
      </w:r>
      <w:r>
        <w:rPr>
          <w:rFonts w:hint="eastAsia" w:ascii="宋体" w:hAnsi="宋体" w:cs="宋体"/>
          <w:b/>
          <w:bCs/>
          <w:color w:val="auto"/>
          <w:szCs w:val="21"/>
          <w:highlight w:val="none"/>
          <w:lang w:val="zh-CN"/>
        </w:rPr>
        <w:t>应在其</w:t>
      </w:r>
      <w:r>
        <w:rPr>
          <w:rFonts w:hint="eastAsia" w:ascii="宋体" w:hAnsi="宋体" w:cs="宋体"/>
          <w:b/>
          <w:bCs/>
          <w:color w:val="auto"/>
          <w:szCs w:val="21"/>
          <w:highlight w:val="none"/>
        </w:rPr>
        <w:t>响应</w:t>
      </w:r>
      <w:r>
        <w:rPr>
          <w:rFonts w:hint="eastAsia" w:ascii="宋体" w:hAnsi="宋体" w:cs="宋体"/>
          <w:b/>
          <w:bCs/>
          <w:color w:val="auto"/>
          <w:szCs w:val="21"/>
          <w:highlight w:val="none"/>
          <w:lang w:val="zh-CN"/>
        </w:rPr>
        <w:t>文件中作出承诺。</w:t>
      </w:r>
    </w:p>
    <w:p>
      <w:pPr>
        <w:adjustRightInd w:val="0"/>
        <w:spacing w:line="360" w:lineRule="auto"/>
        <w:ind w:firstLine="422" w:firstLineChars="200"/>
        <w:contextualSpacing/>
        <w:rPr>
          <w:rFonts w:ascii="宋体" w:hAnsi="宋体" w:cs="宋体"/>
          <w:b/>
          <w:bCs/>
          <w:color w:val="auto"/>
          <w:szCs w:val="21"/>
          <w:highlight w:val="none"/>
          <w:lang w:val="zh-CN"/>
        </w:rPr>
      </w:pPr>
      <w:r>
        <w:rPr>
          <w:rFonts w:hint="eastAsia" w:ascii="宋体" w:hAnsi="宋体" w:cs="宋体"/>
          <w:b/>
          <w:bCs/>
          <w:color w:val="auto"/>
          <w:szCs w:val="21"/>
          <w:highlight w:val="none"/>
          <w:lang w:val="zh-CN"/>
        </w:rPr>
        <w:t>六、招标要求及相关事宜</w:t>
      </w:r>
    </w:p>
    <w:p>
      <w:pPr>
        <w:adjustRightInd w:val="0"/>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6.1本项目服务期限：服务期壹年，2023年7月1日至2024年6月30日</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6.2.付款：</w:t>
      </w:r>
    </w:p>
    <w:p>
      <w:pPr>
        <w:spacing w:line="360" w:lineRule="auto"/>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(1)付款方式：</w:t>
      </w:r>
      <w:r>
        <w:rPr>
          <w:rFonts w:hint="eastAsia" w:ascii="宋体" w:hAnsi="宋体" w:cs="宋体"/>
          <w:color w:val="auto"/>
          <w:szCs w:val="21"/>
          <w:highlight w:val="none"/>
        </w:rPr>
        <w:t>维保期每满6个月，消防设施、设备运行正常无安全隐患，</w:t>
      </w:r>
      <w:r>
        <w:rPr>
          <w:rFonts w:hint="eastAsia" w:ascii="宋体" w:hAnsi="宋体" w:cs="宋体"/>
          <w:bCs/>
          <w:color w:val="auto"/>
          <w:szCs w:val="21"/>
          <w:highlight w:val="none"/>
        </w:rPr>
        <w:t>支付半年的维保费用。（支付金额以考核结果为准）。</w:t>
      </w:r>
    </w:p>
    <w:p>
      <w:pPr>
        <w:spacing w:line="360" w:lineRule="auto"/>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(2)结算前，成交供应商必须提供如下材料：</w:t>
      </w:r>
      <w:r>
        <w:rPr>
          <w:rFonts w:hint="eastAsia" w:ascii="宋体" w:hAnsi="宋体" w:cs="宋体"/>
          <w:b/>
          <w:bCs/>
          <w:color w:val="auto"/>
          <w:szCs w:val="21"/>
          <w:highlight w:val="none"/>
        </w:rPr>
        <w:t>按照消防规范要求的每月维保计划、每月实际维保工作清单、每月设备运行状况报告、每周工作报告、每周检查记录、每月检查记录、季度维保维修记录等工作总结。更换配件、材料按单价计算，即单个设备三百元以下（含三百元）配件、材料由维保单位承担，三百元以上的配件、材料由采购人承担。</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成交供应商必须按计划以及消防法律法规对其维保范围内的消防设施设备完成全部维修保养工作，招标人从维护保养完成情况、故障维修及时性、消防设施设备故障率、服务态度、服务质量、维保记录规范性、设备完好率等方面每半年对成交供应商的维护保养服务进行考核评分。对评分达到90分及以上的全额支付维保费，考核评分每比90分低1分则相应扣减1%的维保费，依次按比例递减。若考核评分低于60分，则全额扣减维保费。招标人有权终止合同，并拒付维保费。</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(4)服务期内年度最后一个月，按年度的维护保养内容，全面对消防系统逐项进行检查、检测、测试、试验。提交年度维护保养、设备运行状况报告。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6.3.维保方案及服务承诺：请投标单位根据扬州大学附属医院对消防设施使用的特点，以书面形式提供详细的维保方案和服务承诺。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6.4.维修责任与承诺：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(1)在维保范围内有消防设施设备不能正常运行时，成交供应商必须迅速免费进行维修前检查，查找故障原因，提出书面维修方案，5万元以内的维修项目，采购人可以直接委托</w:t>
      </w:r>
      <w:r>
        <w:rPr>
          <w:rFonts w:hint="eastAsia" w:ascii="宋体" w:hAnsi="宋体" w:cs="宋体"/>
          <w:bCs/>
          <w:color w:val="auto"/>
          <w:szCs w:val="21"/>
          <w:highlight w:val="none"/>
        </w:rPr>
        <w:t>成交供应商</w:t>
      </w:r>
      <w:r>
        <w:rPr>
          <w:rFonts w:hint="eastAsia" w:ascii="宋体" w:hAnsi="宋体" w:cs="宋体"/>
          <w:color w:val="auto"/>
          <w:szCs w:val="21"/>
          <w:highlight w:val="none"/>
        </w:rPr>
        <w:t>实施，</w:t>
      </w:r>
      <w:r>
        <w:rPr>
          <w:rFonts w:hint="eastAsia" w:ascii="宋体" w:hAnsi="宋体" w:cs="宋体"/>
          <w:bCs/>
          <w:color w:val="auto"/>
          <w:szCs w:val="21"/>
          <w:highlight w:val="none"/>
        </w:rPr>
        <w:t>成交供应商</w:t>
      </w:r>
      <w:r>
        <w:rPr>
          <w:rFonts w:hint="eastAsia" w:ascii="宋体" w:hAnsi="宋体" w:cs="宋体"/>
          <w:color w:val="auto"/>
          <w:szCs w:val="21"/>
          <w:highlight w:val="none"/>
        </w:rPr>
        <w:t>不得推诿。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成交供应商</w:t>
      </w:r>
      <w:r>
        <w:rPr>
          <w:rFonts w:hint="eastAsia" w:ascii="宋体" w:hAnsi="宋体" w:cs="宋体"/>
          <w:color w:val="auto"/>
          <w:szCs w:val="21"/>
          <w:highlight w:val="none"/>
        </w:rPr>
        <w:t>结算维修费用时，应免除维修中的人工费和机械费，仅收取材料费、设备费、税金和项目管理费（不超过材料费、设备费总和的3%）等费用。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(3)投标价内的3%，作为</w:t>
      </w:r>
      <w:r>
        <w:rPr>
          <w:rFonts w:hint="eastAsia" w:ascii="宋体" w:hAnsi="宋体" w:cs="宋体"/>
          <w:bCs/>
          <w:color w:val="auto"/>
          <w:szCs w:val="21"/>
          <w:highlight w:val="none"/>
        </w:rPr>
        <w:t>成交供应商</w:t>
      </w:r>
      <w:r>
        <w:rPr>
          <w:rFonts w:hint="eastAsia" w:ascii="宋体" w:hAnsi="宋体" w:cs="宋体"/>
          <w:color w:val="auto"/>
          <w:szCs w:val="21"/>
          <w:highlight w:val="none"/>
        </w:rPr>
        <w:t>用于维保范围内消防设施设备平时小型维修费用(包含配件费)，累计维修费用超出时，采购人另于支付。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(4)请投标单位根据扬州大学附属医院对消防设施使用的特点，以书面形式提供详细的维修方案和服务承诺。</w:t>
      </w:r>
    </w:p>
    <w:p>
      <w:pPr>
        <w:adjustRightInd w:val="0"/>
        <w:spacing w:line="360" w:lineRule="auto"/>
        <w:ind w:firstLine="420" w:firstLineChars="200"/>
        <w:contextualSpacing/>
        <w:rPr>
          <w:rFonts w:ascii="宋体" w:hAnsi="宋体" w:cs="宋体"/>
          <w:bCs/>
          <w:color w:val="auto"/>
          <w:szCs w:val="21"/>
          <w:highlight w:val="none"/>
          <w:lang w:val="zh-CN"/>
        </w:rPr>
      </w:pPr>
      <w:r>
        <w:rPr>
          <w:rFonts w:hint="eastAsia" w:ascii="宋体" w:hAnsi="宋体" w:cs="宋体"/>
          <w:bCs/>
          <w:color w:val="auto"/>
          <w:szCs w:val="21"/>
          <w:highlight w:val="none"/>
        </w:rPr>
        <w:t>6.5、维保方现场消防维保专业人员不低于2人，确保节假日有人。维护人员需接受院方检查，驻场维保人员中应具备建(构)筑物消防员中级及以上职业资格证书。</w:t>
      </w:r>
      <w:r>
        <w:rPr>
          <w:rFonts w:hint="eastAsia" w:ascii="宋体" w:hAnsi="宋体" w:cs="宋体"/>
          <w:bCs/>
          <w:color w:val="auto"/>
          <w:szCs w:val="21"/>
          <w:highlight w:val="none"/>
          <w:lang w:val="zh-CN"/>
        </w:rPr>
        <w:t>合同期内未经院方同意不得擅自更换项目负责人。</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6.6、维修保养记录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成交供应商在签订合同后一周内，编制消防系统月度、季度、年度维保计划，并经采购人审核。维保服务期满，编制服务期内维修保养总结，并提交采购人审核。</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1.每月维修保养</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按每月维修保养内容，对消防系统逐项进行检查、检测、测试、试验。并提交月度维护保养、设备运行状况报告。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2.季度维修保养</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每季度最后一个月的第二个星期，将该月的维修保养项目与季度维修保养内容合在一起，按每月、季的维护保养内容，对消防系统逐项进行检查、检测、测试、试验。并提交季度维护保养、设备运行状况报告。 </w:t>
      </w:r>
    </w:p>
    <w:p>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3.服务期维修保养</w:t>
      </w:r>
    </w:p>
    <w:p>
      <w:pPr>
        <w:pStyle w:val="17"/>
        <w:rPr>
          <w:color w:val="auto"/>
          <w:highlight w:val="none"/>
        </w:rPr>
      </w:pPr>
    </w:p>
    <w:p>
      <w:pPr>
        <w:pStyle w:val="17"/>
        <w:rPr>
          <w:color w:val="auto"/>
          <w:highlight w:val="none"/>
        </w:rPr>
      </w:pPr>
    </w:p>
    <w:p>
      <w:pPr>
        <w:pStyle w:val="16"/>
        <w:rPr>
          <w:color w:val="auto"/>
          <w:highlight w:val="none"/>
        </w:rPr>
      </w:pPr>
    </w:p>
    <w:p>
      <w:pPr>
        <w:rPr>
          <w:color w:val="auto"/>
          <w:highlight w:val="none"/>
        </w:rPr>
      </w:pPr>
    </w:p>
    <w:p>
      <w:pPr>
        <w:pStyle w:val="17"/>
        <w:rPr>
          <w:color w:val="auto"/>
          <w:highlight w:val="none"/>
        </w:rPr>
      </w:pPr>
    </w:p>
    <w:p>
      <w:pPr>
        <w:pStyle w:val="16"/>
        <w:rPr>
          <w:color w:val="auto"/>
          <w:highlight w:val="none"/>
        </w:rPr>
      </w:pPr>
    </w:p>
    <w:p>
      <w:pPr>
        <w:rPr>
          <w:color w:val="auto"/>
          <w:highlight w:val="none"/>
        </w:rPr>
      </w:pPr>
    </w:p>
    <w:p>
      <w:pPr>
        <w:pStyle w:val="17"/>
        <w:rPr>
          <w:color w:val="auto"/>
          <w:highlight w:val="none"/>
        </w:rPr>
      </w:pPr>
    </w:p>
    <w:p>
      <w:pPr>
        <w:pStyle w:val="16"/>
        <w:rPr>
          <w:color w:val="auto"/>
          <w:highlight w:val="none"/>
        </w:rPr>
      </w:pPr>
    </w:p>
    <w:p>
      <w:pPr>
        <w:rPr>
          <w:color w:val="auto"/>
          <w:highlight w:val="none"/>
        </w:rPr>
      </w:pPr>
    </w:p>
    <w:p>
      <w:pPr>
        <w:pStyle w:val="17"/>
        <w:rPr>
          <w:color w:val="auto"/>
          <w:highlight w:val="none"/>
        </w:rPr>
      </w:pPr>
    </w:p>
    <w:p>
      <w:pPr>
        <w:pStyle w:val="16"/>
        <w:rPr>
          <w:color w:val="auto"/>
          <w:highlight w:val="none"/>
        </w:rPr>
      </w:pPr>
    </w:p>
    <w:p>
      <w:pPr>
        <w:rPr>
          <w:color w:val="auto"/>
          <w:highlight w:val="none"/>
        </w:rPr>
      </w:pPr>
    </w:p>
    <w:p>
      <w:pPr>
        <w:pStyle w:val="17"/>
        <w:rPr>
          <w:color w:val="auto"/>
          <w:highlight w:val="none"/>
        </w:rPr>
      </w:pPr>
    </w:p>
    <w:p>
      <w:pPr>
        <w:pStyle w:val="16"/>
        <w:rPr>
          <w:color w:val="auto"/>
          <w:highlight w:val="none"/>
        </w:rPr>
      </w:pPr>
    </w:p>
    <w:p>
      <w:pPr>
        <w:rPr>
          <w:rFonts w:hint="eastAsia"/>
          <w:color w:val="auto"/>
          <w:highlight w:val="none"/>
        </w:rPr>
      </w:pPr>
    </w:p>
    <w:p>
      <w:pPr>
        <w:pStyle w:val="17"/>
        <w:rPr>
          <w:color w:val="auto"/>
          <w:highlight w:val="none"/>
        </w:rPr>
      </w:pPr>
    </w:p>
    <w:p>
      <w:pPr>
        <w:jc w:val="center"/>
        <w:rPr>
          <w:b/>
          <w:color w:val="auto"/>
          <w:sz w:val="36"/>
          <w:szCs w:val="36"/>
          <w:highlight w:val="none"/>
        </w:rPr>
      </w:pPr>
      <w:r>
        <w:rPr>
          <w:rFonts w:hint="eastAsia"/>
          <w:b/>
          <w:color w:val="auto"/>
          <w:sz w:val="36"/>
          <w:szCs w:val="36"/>
          <w:highlight w:val="none"/>
        </w:rPr>
        <w:t>服务承诺</w:t>
      </w:r>
    </w:p>
    <w:p>
      <w:pPr>
        <w:spacing w:line="440" w:lineRule="exact"/>
        <w:ind w:firstLine="424" w:firstLineChars="177"/>
        <w:contextualSpacing/>
        <w:rPr>
          <w:color w:val="auto"/>
          <w:sz w:val="24"/>
          <w:szCs w:val="24"/>
          <w:highlight w:val="none"/>
        </w:rPr>
      </w:pPr>
      <w:r>
        <w:rPr>
          <w:rFonts w:hint="eastAsia"/>
          <w:color w:val="auto"/>
          <w:sz w:val="24"/>
          <w:szCs w:val="24"/>
          <w:highlight w:val="none"/>
        </w:rPr>
        <w:t>供应商的服务承诺应按不低于采购文件中提出的所有服务要求的标准做出响应。其基本服务要求如下：</w:t>
      </w:r>
    </w:p>
    <w:p>
      <w:pPr>
        <w:spacing w:line="440" w:lineRule="exact"/>
        <w:ind w:firstLine="424" w:firstLineChars="177"/>
        <w:contextualSpacing/>
        <w:rPr>
          <w:color w:val="auto"/>
          <w:sz w:val="24"/>
          <w:szCs w:val="24"/>
          <w:highlight w:val="none"/>
        </w:rPr>
      </w:pPr>
      <w:r>
        <w:rPr>
          <w:rFonts w:hint="eastAsia"/>
          <w:color w:val="auto"/>
          <w:sz w:val="24"/>
          <w:szCs w:val="24"/>
          <w:highlight w:val="none"/>
        </w:rPr>
        <w:t>1、明确维保服务能力（包括交货期、保修期时限、培训、售后服务、维护响应时间、是否提供备用机、软件升级等）。</w:t>
      </w:r>
    </w:p>
    <w:p>
      <w:pPr>
        <w:spacing w:line="440" w:lineRule="exact"/>
        <w:ind w:firstLine="424" w:firstLineChars="177"/>
        <w:contextualSpacing/>
        <w:rPr>
          <w:color w:val="auto"/>
          <w:sz w:val="24"/>
          <w:szCs w:val="24"/>
          <w:highlight w:val="none"/>
        </w:rPr>
      </w:pPr>
      <w:r>
        <w:rPr>
          <w:rFonts w:hint="eastAsia"/>
          <w:color w:val="auto"/>
          <w:sz w:val="24"/>
          <w:szCs w:val="24"/>
          <w:highlight w:val="none"/>
        </w:rPr>
        <w:t>3、在设备的设计使用寿命期内，供应商应能保证使用方更换到原厂正宗的零部件，确保设备的正常使用。</w:t>
      </w:r>
    </w:p>
    <w:p>
      <w:pPr>
        <w:spacing w:line="440" w:lineRule="exact"/>
        <w:ind w:firstLine="424" w:firstLineChars="177"/>
        <w:contextualSpacing/>
        <w:rPr>
          <w:color w:val="auto"/>
          <w:sz w:val="24"/>
          <w:szCs w:val="24"/>
          <w:highlight w:val="none"/>
        </w:rPr>
      </w:pPr>
      <w:r>
        <w:rPr>
          <w:rFonts w:hint="eastAsia"/>
          <w:color w:val="auto"/>
          <w:sz w:val="24"/>
          <w:szCs w:val="24"/>
          <w:highlight w:val="none"/>
        </w:rPr>
        <w:t>4、供应商应写明维修备件库地点（离东区医院最近）、及维修站地点（离东区医院最近）。</w:t>
      </w:r>
    </w:p>
    <w:p>
      <w:pPr>
        <w:spacing w:line="440" w:lineRule="exact"/>
        <w:ind w:firstLine="424" w:firstLineChars="177"/>
        <w:contextualSpacing/>
        <w:rPr>
          <w:color w:val="auto"/>
          <w:sz w:val="24"/>
          <w:szCs w:val="24"/>
          <w:highlight w:val="none"/>
        </w:rPr>
      </w:pPr>
      <w:r>
        <w:rPr>
          <w:rFonts w:hint="eastAsia"/>
          <w:color w:val="auto"/>
          <w:sz w:val="24"/>
          <w:szCs w:val="24"/>
          <w:highlight w:val="none"/>
        </w:rPr>
        <w:t>5、列出易损件及主要配件保障情况，包括备品清单、数量。</w:t>
      </w:r>
    </w:p>
    <w:p>
      <w:pPr>
        <w:spacing w:line="440" w:lineRule="exact"/>
        <w:ind w:firstLine="424" w:firstLineChars="177"/>
        <w:contextualSpacing/>
        <w:rPr>
          <w:color w:val="auto"/>
          <w:sz w:val="24"/>
          <w:szCs w:val="24"/>
          <w:highlight w:val="none"/>
        </w:rPr>
      </w:pPr>
      <w:r>
        <w:rPr>
          <w:rFonts w:hint="eastAsia"/>
          <w:color w:val="auto"/>
          <w:sz w:val="24"/>
          <w:szCs w:val="24"/>
          <w:highlight w:val="none"/>
        </w:rPr>
        <w:t>6、其他服务。</w:t>
      </w:r>
    </w:p>
    <w:p>
      <w:pPr>
        <w:rPr>
          <w:color w:val="auto"/>
          <w:sz w:val="24"/>
          <w:szCs w:val="24"/>
          <w:highlight w:val="none"/>
        </w:rPr>
      </w:pPr>
    </w:p>
    <w:p>
      <w:pPr>
        <w:pStyle w:val="17"/>
        <w:rPr>
          <w:color w:val="auto"/>
          <w:highlight w:val="none"/>
        </w:rPr>
      </w:pPr>
    </w:p>
    <w:p>
      <w:pPr>
        <w:pStyle w:val="16"/>
        <w:rPr>
          <w:color w:val="auto"/>
          <w:highlight w:val="none"/>
        </w:rPr>
      </w:pPr>
    </w:p>
    <w:p>
      <w:pPr>
        <w:rPr>
          <w:color w:val="auto"/>
          <w:highlight w:val="none"/>
        </w:rPr>
      </w:pPr>
    </w:p>
    <w:p>
      <w:pPr>
        <w:pStyle w:val="17"/>
        <w:rPr>
          <w:color w:val="auto"/>
          <w:highlight w:val="none"/>
        </w:rPr>
      </w:pPr>
    </w:p>
    <w:p>
      <w:pPr>
        <w:pStyle w:val="16"/>
        <w:rPr>
          <w:color w:val="auto"/>
          <w:highlight w:val="none"/>
        </w:rPr>
      </w:pPr>
    </w:p>
    <w:p>
      <w:pPr>
        <w:rPr>
          <w:color w:val="auto"/>
          <w:highlight w:val="none"/>
        </w:rPr>
      </w:pPr>
    </w:p>
    <w:p>
      <w:pPr>
        <w:pStyle w:val="17"/>
        <w:rPr>
          <w:color w:val="auto"/>
          <w:highlight w:val="none"/>
        </w:rPr>
      </w:pPr>
    </w:p>
    <w:p>
      <w:pPr>
        <w:pStyle w:val="16"/>
        <w:rPr>
          <w:color w:val="auto"/>
          <w:highlight w:val="none"/>
        </w:rPr>
      </w:pPr>
    </w:p>
    <w:p>
      <w:pPr>
        <w:rPr>
          <w:color w:val="auto"/>
          <w:highlight w:val="none"/>
        </w:rPr>
      </w:pPr>
    </w:p>
    <w:p>
      <w:pPr>
        <w:pStyle w:val="17"/>
        <w:rPr>
          <w:color w:val="auto"/>
          <w:highlight w:val="none"/>
        </w:rPr>
      </w:pPr>
    </w:p>
    <w:p>
      <w:pPr>
        <w:pStyle w:val="16"/>
        <w:rPr>
          <w:color w:val="auto"/>
          <w:highlight w:val="none"/>
        </w:rPr>
      </w:pPr>
    </w:p>
    <w:p>
      <w:pPr>
        <w:rPr>
          <w:color w:val="auto"/>
          <w:highlight w:val="none"/>
        </w:rPr>
      </w:pPr>
    </w:p>
    <w:p>
      <w:pPr>
        <w:pStyle w:val="17"/>
        <w:rPr>
          <w:color w:val="auto"/>
          <w:highlight w:val="none"/>
        </w:rPr>
      </w:pPr>
    </w:p>
    <w:p>
      <w:pPr>
        <w:pStyle w:val="16"/>
        <w:rPr>
          <w:color w:val="auto"/>
          <w:highlight w:val="none"/>
        </w:rPr>
      </w:pPr>
    </w:p>
    <w:p>
      <w:pPr>
        <w:rPr>
          <w:color w:val="auto"/>
          <w:highlight w:val="none"/>
        </w:rPr>
      </w:pPr>
    </w:p>
    <w:p>
      <w:pPr>
        <w:pStyle w:val="17"/>
        <w:rPr>
          <w:color w:val="auto"/>
          <w:highlight w:val="none"/>
        </w:rPr>
      </w:pPr>
    </w:p>
    <w:p>
      <w:pPr>
        <w:pStyle w:val="16"/>
        <w:rPr>
          <w:rFonts w:hint="eastAsia"/>
          <w:color w:val="auto"/>
          <w:highlight w:val="none"/>
        </w:rPr>
      </w:pPr>
    </w:p>
    <w:p>
      <w:pPr>
        <w:rPr>
          <w:rFonts w:hint="eastAsia"/>
          <w:color w:val="auto"/>
          <w:highlight w:val="none"/>
        </w:rPr>
      </w:pPr>
    </w:p>
    <w:p>
      <w:pPr>
        <w:pStyle w:val="17"/>
        <w:rPr>
          <w:color w:val="auto"/>
          <w:highlight w:val="none"/>
        </w:rPr>
      </w:pPr>
    </w:p>
    <w:p>
      <w:pPr>
        <w:rPr>
          <w:color w:val="auto"/>
          <w:highlight w:val="none"/>
        </w:rPr>
      </w:pPr>
    </w:p>
    <w:p>
      <w:pPr>
        <w:widowControl/>
        <w:numPr>
          <w:ilvl w:val="0"/>
          <w:numId w:val="4"/>
        </w:numPr>
        <w:snapToGrid w:val="0"/>
        <w:spacing w:line="360" w:lineRule="auto"/>
        <w:jc w:val="center"/>
        <w:outlineLvl w:val="0"/>
        <w:rPr>
          <w:rFonts w:ascii="宋体" w:hAnsi="宋体"/>
          <w:b/>
          <w:bCs/>
          <w:color w:val="auto"/>
          <w:sz w:val="36"/>
          <w:highlight w:val="none"/>
        </w:rPr>
      </w:pPr>
      <w:bookmarkStart w:id="120" w:name="_Toc497145843"/>
      <w:r>
        <w:rPr>
          <w:rFonts w:hint="eastAsia" w:ascii="宋体" w:hAnsi="宋体"/>
          <w:b/>
          <w:bCs/>
          <w:color w:val="auto"/>
          <w:sz w:val="36"/>
          <w:highlight w:val="none"/>
        </w:rPr>
        <w:t>评审方法和评审标准</w:t>
      </w:r>
      <w:bookmarkEnd w:id="120"/>
    </w:p>
    <w:p>
      <w:pPr>
        <w:pStyle w:val="36"/>
        <w:ind w:firstLine="422" w:firstLineChars="200"/>
        <w:rPr>
          <w:rFonts w:ascii="宋体" w:hAnsi="宋体"/>
          <w:b/>
          <w:color w:val="auto"/>
          <w:kern w:val="2"/>
          <w:sz w:val="21"/>
          <w:szCs w:val="21"/>
          <w:highlight w:val="none"/>
        </w:rPr>
      </w:pPr>
      <w:r>
        <w:rPr>
          <w:rFonts w:hint="eastAsia" w:ascii="宋体" w:hAnsi="宋体"/>
          <w:b/>
          <w:color w:val="auto"/>
          <w:kern w:val="2"/>
          <w:sz w:val="21"/>
          <w:szCs w:val="21"/>
          <w:highlight w:val="none"/>
        </w:rPr>
        <w:t>一、评标方法</w:t>
      </w:r>
    </w:p>
    <w:p>
      <w:pPr>
        <w:spacing w:line="360" w:lineRule="auto"/>
        <w:ind w:firstLine="420" w:firstLineChars="200"/>
        <w:rPr>
          <w:color w:val="auto"/>
          <w:highlight w:val="none"/>
        </w:rPr>
      </w:pPr>
      <w:r>
        <w:rPr>
          <w:rFonts w:hint="eastAsia"/>
          <w:color w:val="auto"/>
          <w:highlight w:val="none"/>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供应商为排名第一的成交候选人。</w:t>
      </w:r>
    </w:p>
    <w:p>
      <w:pPr>
        <w:spacing w:line="360" w:lineRule="auto"/>
        <w:ind w:firstLine="422" w:firstLineChars="200"/>
        <w:rPr>
          <w:rFonts w:ascii="宋体" w:hAnsi="宋体"/>
          <w:b/>
          <w:color w:val="auto"/>
          <w:szCs w:val="21"/>
          <w:highlight w:val="none"/>
        </w:rPr>
      </w:pPr>
      <w:bookmarkStart w:id="121" w:name="_Toc449017024"/>
      <w:bookmarkStart w:id="122" w:name="_Toc449016388"/>
      <w:r>
        <w:rPr>
          <w:rFonts w:ascii="宋体" w:hAnsi="宋体"/>
          <w:b/>
          <w:color w:val="auto"/>
          <w:szCs w:val="21"/>
          <w:highlight w:val="none"/>
        </w:rPr>
        <w:t>二、</w:t>
      </w:r>
      <w:r>
        <w:rPr>
          <w:rFonts w:hint="eastAsia" w:ascii="宋体" w:hAnsi="宋体"/>
          <w:b/>
          <w:color w:val="auto"/>
          <w:szCs w:val="21"/>
          <w:highlight w:val="none"/>
        </w:rPr>
        <w:t>落实政府采购政策</w:t>
      </w:r>
      <w:r>
        <w:rPr>
          <w:rFonts w:ascii="宋体" w:hAnsi="宋体"/>
          <w:b/>
          <w:color w:val="auto"/>
          <w:szCs w:val="21"/>
          <w:highlight w:val="none"/>
        </w:rPr>
        <w:t>及政府采购不诚信记录扣分评审</w:t>
      </w:r>
      <w:bookmarkEnd w:id="121"/>
      <w:bookmarkEnd w:id="122"/>
    </w:p>
    <w:p>
      <w:pPr>
        <w:spacing w:line="360" w:lineRule="auto"/>
        <w:ind w:firstLine="420" w:firstLineChars="200"/>
        <w:rPr>
          <w:color w:val="auto"/>
          <w:highlight w:val="none"/>
        </w:rPr>
      </w:pPr>
      <w:r>
        <w:rPr>
          <w:rFonts w:hint="eastAsia" w:ascii="宋体" w:hAnsi="宋体" w:cs="宋体"/>
          <w:color w:val="auto"/>
          <w:szCs w:val="21"/>
          <w:highlight w:val="none"/>
        </w:rPr>
        <w:t>无</w:t>
      </w:r>
    </w:p>
    <w:p>
      <w:pPr>
        <w:numPr>
          <w:ilvl w:val="0"/>
          <w:numId w:val="5"/>
        </w:numPr>
        <w:spacing w:line="360" w:lineRule="auto"/>
        <w:ind w:firstLine="422" w:firstLineChars="200"/>
        <w:rPr>
          <w:color w:val="auto"/>
          <w:highlight w:val="none"/>
        </w:rPr>
      </w:pPr>
      <w:r>
        <w:rPr>
          <w:rFonts w:hint="eastAsia"/>
          <w:b/>
          <w:color w:val="auto"/>
          <w:highlight w:val="none"/>
        </w:rPr>
        <w:t>评分标准</w:t>
      </w:r>
    </w:p>
    <w:tbl>
      <w:tblPr>
        <w:tblStyle w:val="31"/>
        <w:tblW w:w="10048" w:type="dxa"/>
        <w:jc w:val="center"/>
        <w:tblLayout w:type="fixed"/>
        <w:tblCellMar>
          <w:top w:w="0" w:type="dxa"/>
          <w:left w:w="0" w:type="dxa"/>
          <w:bottom w:w="0" w:type="dxa"/>
          <w:right w:w="0" w:type="dxa"/>
        </w:tblCellMar>
      </w:tblPr>
      <w:tblGrid>
        <w:gridCol w:w="1538"/>
        <w:gridCol w:w="8510"/>
      </w:tblGrid>
      <w:tr>
        <w:tblPrEx>
          <w:tblCellMar>
            <w:top w:w="0" w:type="dxa"/>
            <w:left w:w="0" w:type="dxa"/>
            <w:bottom w:w="0" w:type="dxa"/>
            <w:right w:w="0" w:type="dxa"/>
          </w:tblCellMar>
        </w:tblPrEx>
        <w:trPr>
          <w:trHeight w:val="420" w:hRule="atLeast"/>
          <w:jc w:val="center"/>
        </w:trPr>
        <w:tc>
          <w:tcPr>
            <w:tcW w:w="153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tabs>
                <w:tab w:val="left" w:pos="90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评分项目</w:t>
            </w:r>
          </w:p>
        </w:tc>
        <w:tc>
          <w:tcPr>
            <w:tcW w:w="851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tabs>
                <w:tab w:val="left" w:pos="90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tblPrEx>
          <w:tblCellMar>
            <w:top w:w="0" w:type="dxa"/>
            <w:left w:w="0" w:type="dxa"/>
            <w:bottom w:w="0" w:type="dxa"/>
            <w:right w:w="0" w:type="dxa"/>
          </w:tblCellMar>
        </w:tblPrEx>
        <w:trPr>
          <w:trHeight w:val="1534" w:hRule="atLeast"/>
          <w:jc w:val="center"/>
        </w:trPr>
        <w:tc>
          <w:tcPr>
            <w:tcW w:w="153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tabs>
                <w:tab w:val="left" w:pos="90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价格分</w:t>
            </w:r>
          </w:p>
          <w:p>
            <w:pPr>
              <w:tabs>
                <w:tab w:val="left" w:pos="90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（30分）</w:t>
            </w:r>
          </w:p>
        </w:tc>
        <w:tc>
          <w:tcPr>
            <w:tcW w:w="851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tabs>
                <w:tab w:val="left" w:pos="90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价格评审采用低价优先法计算，即满足采购文件要求且价格最低的最终报价为基准价，其价格分为满分30分。其他供应商的价格分按照下列公式计算＝（基准价/最终报价）×30×100％，保留壹位小数。</w:t>
            </w:r>
          </w:p>
        </w:tc>
      </w:tr>
      <w:tr>
        <w:tblPrEx>
          <w:tblCellMar>
            <w:top w:w="0" w:type="dxa"/>
            <w:left w:w="0" w:type="dxa"/>
            <w:bottom w:w="0" w:type="dxa"/>
            <w:right w:w="0" w:type="dxa"/>
          </w:tblCellMar>
        </w:tblPrEx>
        <w:trPr>
          <w:trHeight w:val="1481" w:hRule="atLeast"/>
          <w:jc w:val="center"/>
        </w:trPr>
        <w:tc>
          <w:tcPr>
            <w:tcW w:w="1538" w:type="dxa"/>
            <w:vMerge w:val="restart"/>
            <w:tcBorders>
              <w:top w:val="single" w:color="000000" w:sz="8" w:space="0"/>
              <w:left w:val="single" w:color="000000" w:sz="8" w:space="0"/>
              <w:right w:val="single" w:color="000000" w:sz="8" w:space="0"/>
            </w:tcBorders>
            <w:noWrap/>
            <w:tcMar>
              <w:top w:w="15" w:type="dxa"/>
              <w:left w:w="15" w:type="dxa"/>
              <w:right w:w="15" w:type="dxa"/>
            </w:tcMar>
            <w:vAlign w:val="center"/>
          </w:tcPr>
          <w:p>
            <w:pPr>
              <w:tabs>
                <w:tab w:val="left" w:pos="90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消防维保</w:t>
            </w:r>
          </w:p>
          <w:p>
            <w:pPr>
              <w:tabs>
                <w:tab w:val="left" w:pos="90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服务方案</w:t>
            </w:r>
          </w:p>
          <w:p>
            <w:pPr>
              <w:tabs>
                <w:tab w:val="left" w:pos="90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（56分）</w:t>
            </w:r>
          </w:p>
        </w:tc>
        <w:tc>
          <w:tcPr>
            <w:tcW w:w="851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tcPr>
          <w:p>
            <w:pPr>
              <w:adjustRightInd w:val="0"/>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1、</w:t>
            </w:r>
            <w:r>
              <w:rPr>
                <w:rFonts w:hint="eastAsia" w:ascii="宋体" w:hAnsi="宋体" w:cs="宋体"/>
                <w:b/>
                <w:bCs/>
                <w:color w:val="auto"/>
                <w:kern w:val="1"/>
                <w:szCs w:val="21"/>
                <w:highlight w:val="none"/>
              </w:rPr>
              <w:t>维护保养方案（满分30）</w:t>
            </w:r>
            <w:r>
              <w:rPr>
                <w:rFonts w:hint="eastAsia" w:ascii="宋体" w:hAnsi="宋体" w:cs="宋体"/>
                <w:color w:val="auto"/>
                <w:kern w:val="1"/>
                <w:szCs w:val="21"/>
                <w:highlight w:val="none"/>
              </w:rPr>
              <w:t>：针对本项目的维保范围、方式及目的要求包括（①维护保养计划、②</w:t>
            </w:r>
            <w:r>
              <w:rPr>
                <w:rFonts w:hint="eastAsia" w:ascii="宋体" w:hAnsi="宋体" w:cs="宋体"/>
                <w:color w:val="auto"/>
                <w:szCs w:val="21"/>
                <w:highlight w:val="none"/>
                <w:lang w:val="zh-CN"/>
              </w:rPr>
              <w:t>火灾自动报警系统、③自动喷淋灭火系统、④消防供水设施、⑤室内外消火栓灭火系统、⑥</w:t>
            </w:r>
            <w:r>
              <w:rPr>
                <w:rFonts w:hint="eastAsia" w:ascii="宋体" w:hAnsi="宋体" w:cs="宋体"/>
                <w:color w:val="auto"/>
                <w:szCs w:val="21"/>
                <w:highlight w:val="none"/>
              </w:rPr>
              <w:t>消防泵房及控制系统(含湿式报警房、消防水池、消防水箱)、⑦</w:t>
            </w:r>
            <w:r>
              <w:rPr>
                <w:rFonts w:hint="eastAsia" w:ascii="宋体" w:hAnsi="宋体" w:cs="宋体"/>
                <w:color w:val="auto"/>
                <w:szCs w:val="21"/>
                <w:highlight w:val="none"/>
                <w:lang w:val="zh-CN"/>
              </w:rPr>
              <w:t>消防广播系统</w:t>
            </w:r>
            <w:r>
              <w:rPr>
                <w:rFonts w:hint="eastAsia" w:ascii="宋体" w:hAnsi="宋体" w:cs="宋体"/>
                <w:color w:val="auto"/>
                <w:szCs w:val="21"/>
                <w:highlight w:val="none"/>
              </w:rPr>
              <w:t>、⑧消防联动控制系统</w:t>
            </w:r>
            <w:r>
              <w:rPr>
                <w:rFonts w:hint="eastAsia" w:ascii="宋体" w:hAnsi="宋体" w:cs="宋体"/>
                <w:color w:val="auto"/>
                <w:szCs w:val="21"/>
                <w:highlight w:val="none"/>
                <w:lang w:val="zh-CN"/>
              </w:rPr>
              <w:t>及消防对讲系统、⑨防排烟系统、⑩防火分隔系统、⑪气体灭火系统、⑫应急照明和疏散指示标志、⑬所有消防设施设备管路、⑭线路等消防设施设备</w:t>
            </w:r>
            <w:r>
              <w:rPr>
                <w:rFonts w:hint="eastAsia" w:ascii="宋体" w:hAnsi="宋体" w:cs="宋体"/>
                <w:color w:val="auto"/>
                <w:szCs w:val="21"/>
                <w:highlight w:val="none"/>
              </w:rPr>
              <w:t>的</w:t>
            </w:r>
            <w:r>
              <w:rPr>
                <w:rFonts w:hint="eastAsia" w:ascii="宋体" w:hAnsi="宋体" w:cs="宋体"/>
                <w:color w:val="auto"/>
                <w:szCs w:val="21"/>
                <w:highlight w:val="none"/>
                <w:lang w:val="zh-CN"/>
              </w:rPr>
              <w:t>维修保养、⑮设备清洁</w:t>
            </w:r>
            <w:r>
              <w:rPr>
                <w:rFonts w:hint="eastAsia" w:ascii="宋体" w:hAnsi="宋体" w:cs="宋体"/>
                <w:color w:val="auto"/>
                <w:szCs w:val="21"/>
                <w:highlight w:val="none"/>
              </w:rPr>
              <w:t>和运行管理及</w:t>
            </w:r>
            <w:r>
              <w:rPr>
                <w:rFonts w:hint="eastAsia" w:ascii="宋体" w:hAnsi="宋体" w:cs="宋体"/>
                <w:color w:val="auto"/>
                <w:kern w:val="1"/>
                <w:szCs w:val="21"/>
                <w:highlight w:val="none"/>
              </w:rPr>
              <w:t>第三方检测等方面）的方案描述及具体实施措施。</w:t>
            </w:r>
          </w:p>
          <w:p>
            <w:pPr>
              <w:adjustRightInd w:val="0"/>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各分项单独打分。每项方案具体、详细、可操作性强得2分；方案可操作性一般得1分；没有不得分。本项满分30分</w:t>
            </w:r>
          </w:p>
        </w:tc>
      </w:tr>
      <w:tr>
        <w:tblPrEx>
          <w:tblCellMar>
            <w:top w:w="0" w:type="dxa"/>
            <w:left w:w="0" w:type="dxa"/>
            <w:bottom w:w="0" w:type="dxa"/>
            <w:right w:w="0" w:type="dxa"/>
          </w:tblCellMar>
        </w:tblPrEx>
        <w:trPr>
          <w:trHeight w:val="424" w:hRule="atLeast"/>
          <w:jc w:val="center"/>
        </w:trPr>
        <w:tc>
          <w:tcPr>
            <w:tcW w:w="1538" w:type="dxa"/>
            <w:vMerge w:val="continue"/>
            <w:tcBorders>
              <w:left w:val="single" w:color="000000" w:sz="8" w:space="0"/>
              <w:right w:val="single" w:color="000000" w:sz="8" w:space="0"/>
            </w:tcBorders>
            <w:noWrap/>
            <w:tcMar>
              <w:top w:w="15" w:type="dxa"/>
              <w:left w:w="15" w:type="dxa"/>
              <w:right w:w="15" w:type="dxa"/>
            </w:tcMar>
            <w:vAlign w:val="center"/>
          </w:tcPr>
          <w:p>
            <w:pPr>
              <w:tabs>
                <w:tab w:val="left" w:pos="900"/>
              </w:tabs>
              <w:spacing w:line="360" w:lineRule="auto"/>
              <w:jc w:val="center"/>
              <w:rPr>
                <w:rFonts w:ascii="宋体" w:hAnsi="宋体" w:cs="宋体"/>
                <w:color w:val="auto"/>
                <w:szCs w:val="21"/>
                <w:highlight w:val="none"/>
              </w:rPr>
            </w:pPr>
          </w:p>
        </w:tc>
        <w:tc>
          <w:tcPr>
            <w:tcW w:w="851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adjustRightInd w:val="0"/>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维保期间的服务承诺（满分3分）</w:t>
            </w:r>
            <w:r>
              <w:rPr>
                <w:rFonts w:hint="eastAsia" w:ascii="宋体" w:hAnsi="宋体" w:cs="宋体"/>
                <w:color w:val="auto"/>
                <w:szCs w:val="21"/>
                <w:highlight w:val="none"/>
              </w:rPr>
              <w:t>：</w:t>
            </w:r>
          </w:p>
          <w:p>
            <w:pPr>
              <w:adjustRightInd w:val="0"/>
              <w:spacing w:line="360" w:lineRule="auto"/>
              <w:ind w:firstLine="420" w:firstLineChars="200"/>
              <w:contextualSpacing/>
              <w:jc w:val="left"/>
              <w:rPr>
                <w:rFonts w:ascii="宋体" w:hAnsi="宋体" w:cs="宋体"/>
                <w:b/>
                <w:bCs/>
                <w:color w:val="auto"/>
                <w:szCs w:val="21"/>
                <w:highlight w:val="none"/>
              </w:rPr>
            </w:pPr>
            <w:r>
              <w:rPr>
                <w:rFonts w:hint="eastAsia" w:ascii="宋体" w:hAnsi="宋体" w:cs="宋体"/>
                <w:color w:val="auto"/>
                <w:szCs w:val="21"/>
                <w:highlight w:val="none"/>
              </w:rPr>
              <w:t>(1)投标人承诺结算维修费用时，应免除维修中的人工费和机械费，仅收取材料费、设备费、税金和项目管理费（不超过材料费、设备费总和的3%）等费用。</w:t>
            </w:r>
            <w:r>
              <w:rPr>
                <w:rFonts w:hint="eastAsia" w:ascii="宋体" w:hAnsi="宋体" w:cs="宋体"/>
                <w:b/>
                <w:bCs/>
                <w:color w:val="auto"/>
                <w:szCs w:val="21"/>
                <w:highlight w:val="none"/>
              </w:rPr>
              <w:t>提供承诺函加盖投标人公章。</w:t>
            </w:r>
          </w:p>
          <w:p>
            <w:pPr>
              <w:adjustRightInd w:val="0"/>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(2)投标人承诺投标价内的3%，作为中标人用于维保范围内消防设施设备平时小型维修费用(包含配件费)，累计维修费用超出时，招标人另于支付。</w:t>
            </w:r>
            <w:r>
              <w:rPr>
                <w:rFonts w:hint="eastAsia" w:ascii="宋体" w:hAnsi="宋体" w:cs="宋体"/>
                <w:b/>
                <w:bCs/>
                <w:color w:val="auto"/>
                <w:szCs w:val="21"/>
                <w:highlight w:val="none"/>
              </w:rPr>
              <w:t>提供承诺函加盖投标人公章</w:t>
            </w:r>
            <w:r>
              <w:rPr>
                <w:rFonts w:hint="eastAsia" w:ascii="宋体" w:hAnsi="宋体" w:cs="宋体"/>
                <w:color w:val="auto"/>
                <w:szCs w:val="21"/>
                <w:highlight w:val="none"/>
              </w:rPr>
              <w:t>。</w:t>
            </w:r>
          </w:p>
          <w:p>
            <w:pPr>
              <w:pStyle w:val="30"/>
              <w:spacing w:line="360" w:lineRule="auto"/>
              <w:ind w:firstLine="473"/>
              <w:rPr>
                <w:rFonts w:ascii="宋体" w:hAnsi="宋体" w:cs="宋体"/>
                <w:color w:val="auto"/>
                <w:sz w:val="21"/>
                <w:szCs w:val="21"/>
                <w:highlight w:val="none"/>
              </w:rPr>
            </w:pPr>
            <w:r>
              <w:rPr>
                <w:rFonts w:hint="eastAsia" w:ascii="宋体" w:hAnsi="宋体" w:cs="宋体"/>
                <w:color w:val="auto"/>
                <w:sz w:val="21"/>
                <w:szCs w:val="21"/>
                <w:highlight w:val="none"/>
              </w:rPr>
              <w:t>每提供一个承诺函得1.5分，满分3分。</w:t>
            </w:r>
          </w:p>
        </w:tc>
      </w:tr>
      <w:tr>
        <w:tblPrEx>
          <w:tblCellMar>
            <w:top w:w="0" w:type="dxa"/>
            <w:left w:w="0" w:type="dxa"/>
            <w:bottom w:w="0" w:type="dxa"/>
            <w:right w:w="0" w:type="dxa"/>
          </w:tblCellMar>
        </w:tblPrEx>
        <w:trPr>
          <w:trHeight w:val="1481" w:hRule="atLeast"/>
          <w:jc w:val="center"/>
        </w:trPr>
        <w:tc>
          <w:tcPr>
            <w:tcW w:w="1538" w:type="dxa"/>
            <w:vMerge w:val="continue"/>
            <w:tcBorders>
              <w:left w:val="single" w:color="000000" w:sz="8" w:space="0"/>
              <w:right w:val="single" w:color="000000" w:sz="8" w:space="0"/>
            </w:tcBorders>
            <w:noWrap/>
            <w:tcMar>
              <w:top w:w="15" w:type="dxa"/>
              <w:left w:w="15" w:type="dxa"/>
              <w:right w:w="15" w:type="dxa"/>
            </w:tcMar>
            <w:vAlign w:val="center"/>
          </w:tcPr>
          <w:p>
            <w:pPr>
              <w:tabs>
                <w:tab w:val="left" w:pos="900"/>
              </w:tabs>
              <w:spacing w:line="360" w:lineRule="auto"/>
              <w:jc w:val="center"/>
              <w:rPr>
                <w:rFonts w:ascii="宋体" w:hAnsi="宋体" w:cs="宋体"/>
                <w:color w:val="auto"/>
                <w:szCs w:val="21"/>
                <w:highlight w:val="none"/>
              </w:rPr>
            </w:pPr>
          </w:p>
        </w:tc>
        <w:tc>
          <w:tcPr>
            <w:tcW w:w="851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tcPr>
          <w:p>
            <w:pPr>
              <w:adjustRightInd w:val="0"/>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bCs/>
                <w:color w:val="auto"/>
                <w:szCs w:val="21"/>
                <w:highlight w:val="none"/>
              </w:rPr>
              <w:t>针对本维保项目服务方案（满分9分）</w:t>
            </w:r>
            <w:r>
              <w:rPr>
                <w:rFonts w:hint="eastAsia" w:ascii="宋体" w:hAnsi="宋体" w:cs="宋体"/>
                <w:color w:val="auto"/>
                <w:szCs w:val="21"/>
                <w:highlight w:val="none"/>
              </w:rPr>
              <w:t>：提供的①维保工作流程、②维保接管程序、</w:t>
            </w:r>
            <w:r>
              <w:rPr>
                <w:rFonts w:hint="eastAsia" w:ascii="宋体" w:hAnsi="宋体" w:cs="宋体"/>
                <w:color w:val="auto"/>
                <w:szCs w:val="21"/>
                <w:highlight w:val="none"/>
                <w:lang w:val="zh-CN"/>
              </w:rPr>
              <w:t>③</w:t>
            </w:r>
            <w:r>
              <w:rPr>
                <w:rFonts w:hint="eastAsia" w:ascii="宋体" w:hAnsi="宋体" w:cs="宋体"/>
                <w:color w:val="auto"/>
                <w:szCs w:val="21"/>
                <w:highlight w:val="none"/>
              </w:rPr>
              <w:t>现场支援服务、</w:t>
            </w:r>
            <w:r>
              <w:rPr>
                <w:rFonts w:hint="eastAsia" w:ascii="宋体" w:hAnsi="宋体" w:cs="宋体"/>
                <w:color w:val="auto"/>
                <w:szCs w:val="21"/>
                <w:highlight w:val="none"/>
                <w:lang w:val="zh-CN"/>
              </w:rPr>
              <w:t>④</w:t>
            </w:r>
            <w:r>
              <w:rPr>
                <w:rFonts w:hint="eastAsia" w:ascii="宋体" w:hAnsi="宋体" w:cs="宋体"/>
                <w:color w:val="auto"/>
                <w:szCs w:val="21"/>
                <w:highlight w:val="none"/>
              </w:rPr>
              <w:t>设备材料更换、故障报告及故障(含防漏防冻)预防措施、</w:t>
            </w:r>
            <w:r>
              <w:rPr>
                <w:rFonts w:hint="eastAsia" w:ascii="宋体" w:hAnsi="宋体" w:cs="宋体"/>
                <w:color w:val="auto"/>
                <w:szCs w:val="21"/>
                <w:highlight w:val="none"/>
                <w:lang w:val="zh-CN"/>
              </w:rPr>
              <w:t>⑤</w:t>
            </w:r>
            <w:r>
              <w:rPr>
                <w:rFonts w:hint="eastAsia" w:ascii="宋体" w:hAnsi="宋体" w:cs="宋体"/>
                <w:color w:val="auto"/>
                <w:szCs w:val="21"/>
                <w:highlight w:val="none"/>
              </w:rPr>
              <w:t>应急预案及措施、</w:t>
            </w:r>
            <w:r>
              <w:rPr>
                <w:rFonts w:hint="eastAsia" w:ascii="宋体" w:hAnsi="宋体" w:cs="宋体"/>
                <w:color w:val="auto"/>
                <w:szCs w:val="21"/>
                <w:highlight w:val="none"/>
                <w:lang w:val="zh-CN"/>
              </w:rPr>
              <w:t>⑥</w:t>
            </w:r>
            <w:r>
              <w:rPr>
                <w:rFonts w:hint="eastAsia" w:ascii="宋体" w:hAnsi="宋体" w:cs="宋体"/>
                <w:color w:val="auto"/>
                <w:szCs w:val="21"/>
                <w:highlight w:val="none"/>
              </w:rPr>
              <w:t>安全管理措施方案（针对本项目的安全目标、安全培训、基本技术要求、作业安全保障措施）、⑦消防资料档案管理、⑧维保服务的监督管理机制、</w:t>
            </w:r>
            <w:r>
              <w:rPr>
                <w:rFonts w:hint="eastAsia" w:ascii="宋体" w:hAnsi="宋体" w:cs="宋体"/>
                <w:color w:val="auto"/>
                <w:szCs w:val="21"/>
                <w:highlight w:val="none"/>
                <w:lang w:val="zh-CN"/>
              </w:rPr>
              <w:t>⑨</w:t>
            </w:r>
            <w:r>
              <w:rPr>
                <w:rFonts w:hint="eastAsia" w:ascii="宋体" w:hAnsi="宋体" w:cs="宋体"/>
                <w:color w:val="auto"/>
                <w:szCs w:val="21"/>
                <w:highlight w:val="none"/>
              </w:rPr>
              <w:t>综合协调方案，</w:t>
            </w:r>
          </w:p>
          <w:p>
            <w:pPr>
              <w:adjustRightInd w:val="0"/>
              <w:spacing w:line="360" w:lineRule="auto"/>
              <w:ind w:firstLine="420" w:firstLineChars="200"/>
              <w:contextualSpacing/>
              <w:jc w:val="left"/>
              <w:rPr>
                <w:rFonts w:ascii="宋体" w:hAnsi="宋体" w:cs="宋体"/>
                <w:color w:val="auto"/>
                <w:kern w:val="1"/>
                <w:szCs w:val="21"/>
                <w:highlight w:val="none"/>
              </w:rPr>
            </w:pPr>
            <w:r>
              <w:rPr>
                <w:rFonts w:hint="eastAsia" w:ascii="宋体" w:hAnsi="宋体" w:cs="宋体"/>
                <w:color w:val="auto"/>
                <w:szCs w:val="21"/>
                <w:highlight w:val="none"/>
              </w:rPr>
              <w:t>各分项单独打分。每项方案具体、详细、可操作性强得1分；方案可操作性一般得0.5分；没有不得分。本项满分9分</w:t>
            </w:r>
          </w:p>
        </w:tc>
      </w:tr>
      <w:tr>
        <w:tblPrEx>
          <w:tblCellMar>
            <w:top w:w="0" w:type="dxa"/>
            <w:left w:w="0" w:type="dxa"/>
            <w:bottom w:w="0" w:type="dxa"/>
            <w:right w:w="0" w:type="dxa"/>
          </w:tblCellMar>
        </w:tblPrEx>
        <w:trPr>
          <w:trHeight w:val="1481" w:hRule="atLeast"/>
          <w:jc w:val="center"/>
        </w:trPr>
        <w:tc>
          <w:tcPr>
            <w:tcW w:w="1538" w:type="dxa"/>
            <w:vMerge w:val="continue"/>
            <w:tcBorders>
              <w:left w:val="single" w:color="000000" w:sz="8" w:space="0"/>
              <w:right w:val="single" w:color="000000" w:sz="8" w:space="0"/>
            </w:tcBorders>
            <w:noWrap/>
            <w:tcMar>
              <w:top w:w="15" w:type="dxa"/>
              <w:left w:w="15" w:type="dxa"/>
              <w:right w:w="15" w:type="dxa"/>
            </w:tcMar>
            <w:vAlign w:val="center"/>
          </w:tcPr>
          <w:p>
            <w:pPr>
              <w:tabs>
                <w:tab w:val="left" w:pos="900"/>
              </w:tabs>
              <w:spacing w:line="360" w:lineRule="auto"/>
              <w:jc w:val="center"/>
              <w:rPr>
                <w:rFonts w:ascii="宋体" w:hAnsi="宋体" w:cs="宋体"/>
                <w:color w:val="auto"/>
                <w:szCs w:val="21"/>
                <w:highlight w:val="none"/>
              </w:rPr>
            </w:pPr>
          </w:p>
        </w:tc>
        <w:tc>
          <w:tcPr>
            <w:tcW w:w="851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adjustRightInd w:val="0"/>
              <w:spacing w:line="360" w:lineRule="auto"/>
              <w:contextualSpacing/>
              <w:jc w:val="left"/>
              <w:rPr>
                <w:rFonts w:ascii="宋体" w:hAnsi="宋体" w:cs="宋体"/>
                <w:color w:val="auto"/>
                <w:kern w:val="1"/>
                <w:szCs w:val="21"/>
                <w:highlight w:val="none"/>
              </w:rPr>
            </w:pPr>
            <w:r>
              <w:rPr>
                <w:rFonts w:hint="eastAsia" w:ascii="宋体" w:hAnsi="宋体" w:cs="宋体"/>
                <w:color w:val="auto"/>
                <w:kern w:val="1"/>
                <w:szCs w:val="21"/>
                <w:highlight w:val="none"/>
              </w:rPr>
              <w:t>4、</w:t>
            </w:r>
            <w:r>
              <w:rPr>
                <w:rFonts w:hint="eastAsia" w:ascii="宋体" w:hAnsi="宋体" w:cs="宋体"/>
                <w:b/>
                <w:bCs/>
                <w:color w:val="auto"/>
                <w:kern w:val="1"/>
                <w:szCs w:val="21"/>
                <w:highlight w:val="none"/>
              </w:rPr>
              <w:t>特色化服务</w:t>
            </w:r>
            <w:r>
              <w:rPr>
                <w:rFonts w:hint="eastAsia" w:ascii="宋体" w:hAnsi="宋体" w:cs="宋体"/>
                <w:b/>
                <w:bCs/>
                <w:color w:val="auto"/>
                <w:szCs w:val="21"/>
                <w:highlight w:val="none"/>
              </w:rPr>
              <w:t>（满分4分）</w:t>
            </w:r>
            <w:r>
              <w:rPr>
                <w:rFonts w:hint="eastAsia" w:ascii="宋体" w:hAnsi="宋体" w:cs="宋体"/>
                <w:color w:val="auto"/>
                <w:kern w:val="1"/>
                <w:szCs w:val="21"/>
                <w:highlight w:val="none"/>
              </w:rPr>
              <w:t xml:space="preserve">：结合本项目实际情况，针对本项目重点部位、重点工作环节的特色服务和个性化建议，重点部位、重点工作环节的特色服务和个性化建议科学、合理、操作性强得4分，方案可操作性一般得2分，不科学、不合理、操作性不强不得分。 </w:t>
            </w:r>
          </w:p>
        </w:tc>
      </w:tr>
      <w:tr>
        <w:tblPrEx>
          <w:tblCellMar>
            <w:top w:w="0" w:type="dxa"/>
            <w:left w:w="0" w:type="dxa"/>
            <w:bottom w:w="0" w:type="dxa"/>
            <w:right w:w="0" w:type="dxa"/>
          </w:tblCellMar>
        </w:tblPrEx>
        <w:trPr>
          <w:trHeight w:val="1481" w:hRule="atLeast"/>
          <w:jc w:val="center"/>
        </w:trPr>
        <w:tc>
          <w:tcPr>
            <w:tcW w:w="1538" w:type="dxa"/>
            <w:vMerge w:val="continue"/>
            <w:tcBorders>
              <w:left w:val="single" w:color="000000" w:sz="8" w:space="0"/>
              <w:right w:val="single" w:color="000000" w:sz="8" w:space="0"/>
            </w:tcBorders>
            <w:noWrap/>
            <w:tcMar>
              <w:top w:w="15" w:type="dxa"/>
              <w:left w:w="15" w:type="dxa"/>
              <w:right w:w="15" w:type="dxa"/>
            </w:tcMar>
            <w:vAlign w:val="center"/>
          </w:tcPr>
          <w:p>
            <w:pPr>
              <w:tabs>
                <w:tab w:val="left" w:pos="900"/>
              </w:tabs>
              <w:spacing w:line="360" w:lineRule="auto"/>
              <w:jc w:val="center"/>
              <w:rPr>
                <w:rFonts w:ascii="宋体" w:hAnsi="宋体" w:cs="宋体"/>
                <w:color w:val="auto"/>
                <w:szCs w:val="21"/>
                <w:highlight w:val="none"/>
              </w:rPr>
            </w:pPr>
          </w:p>
        </w:tc>
        <w:tc>
          <w:tcPr>
            <w:tcW w:w="851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spacing w:line="360" w:lineRule="auto"/>
              <w:rPr>
                <w:rFonts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b/>
                <w:bCs/>
                <w:color w:val="auto"/>
                <w:szCs w:val="21"/>
                <w:highlight w:val="none"/>
                <w:lang w:val="zh-CN"/>
              </w:rPr>
              <w:t>备品备件报价清单（满分</w:t>
            </w:r>
            <w:r>
              <w:rPr>
                <w:rFonts w:hint="eastAsia" w:ascii="宋体" w:hAnsi="宋体" w:cs="宋体"/>
                <w:b/>
                <w:bCs/>
                <w:color w:val="auto"/>
                <w:szCs w:val="21"/>
                <w:highlight w:val="none"/>
              </w:rPr>
              <w:t>5分</w:t>
            </w:r>
            <w:r>
              <w:rPr>
                <w:rFonts w:hint="eastAsia" w:ascii="宋体" w:hAnsi="宋体" w:cs="宋体"/>
                <w:b/>
                <w:bCs/>
                <w:color w:val="auto"/>
                <w:szCs w:val="21"/>
                <w:highlight w:val="none"/>
                <w:lang w:val="zh-CN"/>
              </w:rPr>
              <w:t>）</w:t>
            </w:r>
            <w:r>
              <w:rPr>
                <w:rFonts w:hint="eastAsia" w:ascii="宋体" w:hAnsi="宋体" w:cs="宋体"/>
                <w:color w:val="auto"/>
                <w:szCs w:val="21"/>
                <w:highlight w:val="none"/>
              </w:rPr>
              <w:t>维保期间</w:t>
            </w:r>
            <w:r>
              <w:rPr>
                <w:rFonts w:hint="eastAsia" w:ascii="宋体" w:hAnsi="宋体" w:cs="宋体"/>
                <w:color w:val="auto"/>
                <w:szCs w:val="21"/>
                <w:highlight w:val="none"/>
                <w:lang w:val="zh-CN"/>
              </w:rPr>
              <w:t>提供满足货物常用易损易坏</w:t>
            </w:r>
            <w:r>
              <w:rPr>
                <w:rFonts w:hint="eastAsia" w:ascii="宋体" w:hAnsi="宋体" w:cs="宋体"/>
                <w:color w:val="auto"/>
                <w:kern w:val="1"/>
                <w:szCs w:val="21"/>
                <w:highlight w:val="none"/>
              </w:rPr>
              <w:t>详尽</w:t>
            </w:r>
            <w:r>
              <w:rPr>
                <w:rFonts w:hint="eastAsia" w:ascii="宋体" w:hAnsi="宋体" w:cs="宋体"/>
                <w:color w:val="auto"/>
                <w:szCs w:val="21"/>
                <w:highlight w:val="none"/>
                <w:lang w:val="zh-CN"/>
              </w:rPr>
              <w:t>的备品备件报价清单：报价清单</w:t>
            </w:r>
            <w:r>
              <w:rPr>
                <w:rFonts w:hint="eastAsia" w:ascii="宋体" w:hAnsi="宋体" w:cs="宋体"/>
                <w:color w:val="auto"/>
                <w:kern w:val="1"/>
                <w:szCs w:val="21"/>
                <w:highlight w:val="none"/>
              </w:rPr>
              <w:t>详尽</w:t>
            </w:r>
            <w:r>
              <w:rPr>
                <w:rFonts w:hint="eastAsia" w:ascii="宋体" w:hAnsi="宋体" w:cs="宋体"/>
                <w:color w:val="auto"/>
                <w:szCs w:val="21"/>
                <w:highlight w:val="none"/>
                <w:lang w:val="zh-CN"/>
              </w:rPr>
              <w:t>完整且报价优惠得</w:t>
            </w:r>
            <w:r>
              <w:rPr>
                <w:rFonts w:hint="eastAsia" w:ascii="宋体" w:hAnsi="宋体" w:cs="宋体"/>
                <w:color w:val="auto"/>
                <w:szCs w:val="21"/>
                <w:highlight w:val="none"/>
              </w:rPr>
              <w:t>5</w:t>
            </w:r>
            <w:r>
              <w:rPr>
                <w:rFonts w:hint="eastAsia" w:ascii="宋体" w:hAnsi="宋体" w:cs="宋体"/>
                <w:color w:val="auto"/>
                <w:szCs w:val="21"/>
                <w:highlight w:val="none"/>
                <w:lang w:val="zh-CN"/>
              </w:rPr>
              <w:t>分；清单完整，价格适中得</w:t>
            </w:r>
            <w:r>
              <w:rPr>
                <w:rFonts w:hint="eastAsia" w:ascii="宋体" w:hAnsi="宋体" w:cs="宋体"/>
                <w:color w:val="auto"/>
                <w:szCs w:val="21"/>
                <w:highlight w:val="none"/>
              </w:rPr>
              <w:t>2</w:t>
            </w:r>
            <w:r>
              <w:rPr>
                <w:rFonts w:hint="eastAsia" w:ascii="宋体" w:hAnsi="宋体" w:cs="宋体"/>
                <w:color w:val="auto"/>
                <w:szCs w:val="21"/>
                <w:highlight w:val="none"/>
                <w:lang w:val="zh-CN"/>
              </w:rPr>
              <w:t>分；报价清单不</w:t>
            </w:r>
            <w:r>
              <w:rPr>
                <w:rFonts w:hint="eastAsia" w:ascii="宋体" w:hAnsi="宋体" w:cs="宋体"/>
                <w:color w:val="auto"/>
                <w:kern w:val="1"/>
                <w:szCs w:val="21"/>
                <w:highlight w:val="none"/>
              </w:rPr>
              <w:t>详尽</w:t>
            </w:r>
            <w:r>
              <w:rPr>
                <w:rFonts w:hint="eastAsia" w:ascii="宋体" w:hAnsi="宋体" w:cs="宋体"/>
                <w:color w:val="auto"/>
                <w:szCs w:val="21"/>
                <w:highlight w:val="none"/>
                <w:lang w:val="zh-CN"/>
              </w:rPr>
              <w:t>不完整且价格不优惠不得分。</w:t>
            </w:r>
          </w:p>
        </w:tc>
      </w:tr>
      <w:tr>
        <w:tblPrEx>
          <w:tblCellMar>
            <w:top w:w="0" w:type="dxa"/>
            <w:left w:w="0" w:type="dxa"/>
            <w:bottom w:w="0" w:type="dxa"/>
            <w:right w:w="0" w:type="dxa"/>
          </w:tblCellMar>
        </w:tblPrEx>
        <w:trPr>
          <w:trHeight w:val="1481" w:hRule="atLeast"/>
          <w:jc w:val="center"/>
        </w:trPr>
        <w:tc>
          <w:tcPr>
            <w:tcW w:w="1538"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tabs>
                <w:tab w:val="left" w:pos="900"/>
              </w:tabs>
              <w:spacing w:line="360" w:lineRule="auto"/>
              <w:jc w:val="center"/>
              <w:rPr>
                <w:rFonts w:ascii="宋体" w:hAnsi="宋体" w:cs="宋体"/>
                <w:color w:val="auto"/>
                <w:szCs w:val="21"/>
                <w:highlight w:val="none"/>
              </w:rPr>
            </w:pPr>
          </w:p>
        </w:tc>
        <w:tc>
          <w:tcPr>
            <w:tcW w:w="851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adjustRightInd w:val="0"/>
              <w:spacing w:line="360" w:lineRule="auto"/>
              <w:contextualSpacing/>
              <w:jc w:val="left"/>
              <w:rPr>
                <w:rFonts w:ascii="宋体" w:hAnsi="宋体" w:cs="宋体"/>
                <w:color w:val="auto"/>
                <w:kern w:val="1"/>
                <w:szCs w:val="21"/>
                <w:highlight w:val="none"/>
              </w:rPr>
            </w:pPr>
            <w:r>
              <w:rPr>
                <w:rFonts w:hint="eastAsia" w:ascii="宋体" w:hAnsi="宋体" w:cs="宋体"/>
                <w:color w:val="auto"/>
                <w:kern w:val="1"/>
                <w:szCs w:val="21"/>
                <w:highlight w:val="none"/>
              </w:rPr>
              <w:t>6、</w:t>
            </w:r>
            <w:r>
              <w:rPr>
                <w:rFonts w:hint="eastAsia" w:ascii="宋体" w:hAnsi="宋体" w:cs="宋体"/>
                <w:b/>
                <w:bCs/>
                <w:color w:val="auto"/>
                <w:kern w:val="1"/>
                <w:szCs w:val="21"/>
                <w:highlight w:val="none"/>
              </w:rPr>
              <w:t>拟派本项目</w:t>
            </w:r>
            <w:r>
              <w:rPr>
                <w:rFonts w:hint="eastAsia" w:ascii="宋体" w:hAnsi="宋体" w:cs="宋体"/>
                <w:b/>
                <w:bCs/>
                <w:color w:val="auto"/>
                <w:szCs w:val="21"/>
                <w:highlight w:val="none"/>
              </w:rPr>
              <w:t>驻点维保服务</w:t>
            </w:r>
            <w:r>
              <w:rPr>
                <w:rFonts w:hint="eastAsia" w:ascii="宋体" w:hAnsi="宋体" w:cs="宋体"/>
                <w:b/>
                <w:bCs/>
                <w:color w:val="auto"/>
                <w:kern w:val="1"/>
                <w:szCs w:val="21"/>
                <w:highlight w:val="none"/>
              </w:rPr>
              <w:t>人员（满分5分）</w:t>
            </w:r>
            <w:r>
              <w:rPr>
                <w:rFonts w:hint="eastAsia" w:ascii="宋体" w:hAnsi="宋体" w:cs="宋体"/>
                <w:color w:val="auto"/>
                <w:kern w:val="1"/>
                <w:szCs w:val="21"/>
                <w:highlight w:val="none"/>
              </w:rPr>
              <w:t>：针对本项目提供</w:t>
            </w:r>
            <w:r>
              <w:rPr>
                <w:rFonts w:hint="eastAsia" w:ascii="宋体" w:hAnsi="宋体" w:cs="宋体"/>
                <w:color w:val="auto"/>
                <w:szCs w:val="21"/>
                <w:highlight w:val="none"/>
              </w:rPr>
              <w:t>①驻点专职维保服务</w:t>
            </w:r>
            <w:r>
              <w:rPr>
                <w:rFonts w:hint="eastAsia" w:ascii="宋体" w:hAnsi="宋体" w:cs="宋体"/>
                <w:color w:val="auto"/>
                <w:kern w:val="1"/>
                <w:szCs w:val="21"/>
                <w:highlight w:val="none"/>
              </w:rPr>
              <w:t>人员的配置及配置计划、</w:t>
            </w:r>
            <w:r>
              <w:rPr>
                <w:rFonts w:hint="eastAsia" w:ascii="宋体" w:hAnsi="宋体" w:cs="宋体"/>
                <w:color w:val="auto"/>
                <w:szCs w:val="21"/>
                <w:highlight w:val="none"/>
              </w:rPr>
              <w:t>②</w:t>
            </w:r>
            <w:r>
              <w:rPr>
                <w:rFonts w:hint="eastAsia" w:ascii="宋体" w:hAnsi="宋体" w:cs="宋体"/>
                <w:color w:val="auto"/>
                <w:kern w:val="1"/>
                <w:szCs w:val="21"/>
                <w:highlight w:val="none"/>
              </w:rPr>
              <w:t>组织架构图、</w:t>
            </w:r>
            <w:r>
              <w:rPr>
                <w:rFonts w:hint="eastAsia" w:ascii="宋体" w:hAnsi="宋体" w:cs="宋体"/>
                <w:color w:val="auto"/>
                <w:szCs w:val="21"/>
                <w:highlight w:val="none"/>
                <w:lang w:val="zh-CN"/>
              </w:rPr>
              <w:t>③</w:t>
            </w:r>
            <w:r>
              <w:rPr>
                <w:rFonts w:hint="eastAsia" w:ascii="宋体" w:hAnsi="宋体" w:cs="宋体"/>
                <w:color w:val="auto"/>
                <w:kern w:val="1"/>
                <w:szCs w:val="21"/>
                <w:highlight w:val="none"/>
              </w:rPr>
              <w:t>维保人员履历、</w:t>
            </w:r>
            <w:r>
              <w:rPr>
                <w:rFonts w:hint="eastAsia" w:ascii="宋体" w:hAnsi="宋体" w:cs="宋体"/>
                <w:color w:val="auto"/>
                <w:szCs w:val="21"/>
                <w:highlight w:val="none"/>
                <w:lang w:val="zh-CN"/>
              </w:rPr>
              <w:t>④</w:t>
            </w:r>
            <w:r>
              <w:rPr>
                <w:rFonts w:hint="eastAsia" w:ascii="宋体" w:hAnsi="宋体" w:cs="宋体"/>
                <w:color w:val="auto"/>
                <w:kern w:val="1"/>
                <w:szCs w:val="21"/>
                <w:highlight w:val="none"/>
              </w:rPr>
              <w:t>维保人员主要物资配备、</w:t>
            </w:r>
            <w:r>
              <w:rPr>
                <w:rFonts w:hint="eastAsia" w:ascii="宋体" w:hAnsi="宋体" w:cs="宋体"/>
                <w:color w:val="auto"/>
                <w:szCs w:val="21"/>
                <w:highlight w:val="none"/>
                <w:lang w:val="zh-CN"/>
              </w:rPr>
              <w:t>⑤</w:t>
            </w:r>
            <w:r>
              <w:rPr>
                <w:rFonts w:hint="eastAsia" w:ascii="宋体" w:hAnsi="宋体" w:cs="宋体"/>
                <w:color w:val="auto"/>
                <w:kern w:val="1"/>
                <w:szCs w:val="21"/>
                <w:highlight w:val="none"/>
              </w:rPr>
              <w:t>维保维修管理制度及培训管理等相关内容。</w:t>
            </w:r>
          </w:p>
          <w:p>
            <w:pPr>
              <w:adjustRightInd w:val="0"/>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各分项单独打分。每项方案具体、详细、可操作性强得1分；方案可操作性一般得0.5分；没有不得分。本项满分5分</w:t>
            </w:r>
          </w:p>
          <w:p>
            <w:pPr>
              <w:pStyle w:val="30"/>
              <w:spacing w:line="360" w:lineRule="auto"/>
              <w:ind w:firstLine="0" w:firstLineChars="0"/>
              <w:rPr>
                <w:rFonts w:ascii="宋体" w:hAnsi="宋体" w:cs="宋体"/>
                <w:color w:val="auto"/>
                <w:kern w:val="1"/>
                <w:sz w:val="21"/>
                <w:szCs w:val="21"/>
                <w:highlight w:val="none"/>
              </w:rPr>
            </w:pP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需提供供应商为驻场人员缴纳的2023年2月到2023年4月连续三个月的社保证明材料复印件加盖供应商公章</w:t>
            </w:r>
            <w:r>
              <w:rPr>
                <w:rFonts w:hint="eastAsia" w:ascii="宋体" w:hAnsi="宋体" w:cs="宋体"/>
                <w:color w:val="auto"/>
                <w:sz w:val="21"/>
                <w:szCs w:val="21"/>
                <w:highlight w:val="none"/>
              </w:rPr>
              <w:t>）；</w:t>
            </w:r>
          </w:p>
        </w:tc>
      </w:tr>
      <w:tr>
        <w:tblPrEx>
          <w:tblCellMar>
            <w:top w:w="0" w:type="dxa"/>
            <w:left w:w="0" w:type="dxa"/>
            <w:bottom w:w="0" w:type="dxa"/>
            <w:right w:w="0" w:type="dxa"/>
          </w:tblCellMar>
        </w:tblPrEx>
        <w:trPr>
          <w:trHeight w:val="1747" w:hRule="atLeast"/>
          <w:jc w:val="center"/>
        </w:trPr>
        <w:tc>
          <w:tcPr>
            <w:tcW w:w="1538" w:type="dxa"/>
            <w:vMerge w:val="restart"/>
            <w:tcBorders>
              <w:top w:val="single" w:color="000000" w:sz="8" w:space="0"/>
              <w:left w:val="single" w:color="000000" w:sz="8" w:space="0"/>
              <w:right w:val="single" w:color="000000" w:sz="8" w:space="0"/>
            </w:tcBorders>
            <w:noWrap/>
            <w:tcMar>
              <w:top w:w="15" w:type="dxa"/>
              <w:left w:w="15" w:type="dxa"/>
              <w:right w:w="15" w:type="dxa"/>
            </w:tcMar>
            <w:vAlign w:val="center"/>
          </w:tcPr>
          <w:p>
            <w:pPr>
              <w:adjustRightInd w:val="0"/>
              <w:spacing w:line="360" w:lineRule="auto"/>
              <w:contextualSpacing/>
              <w:jc w:val="center"/>
              <w:rPr>
                <w:color w:val="auto"/>
                <w:kern w:val="1"/>
                <w:szCs w:val="21"/>
                <w:highlight w:val="none"/>
              </w:rPr>
            </w:pPr>
            <w:r>
              <w:rPr>
                <w:color w:val="auto"/>
                <w:kern w:val="1"/>
                <w:szCs w:val="21"/>
                <w:highlight w:val="none"/>
              </w:rPr>
              <w:t>供应商综合实力</w:t>
            </w:r>
          </w:p>
          <w:p>
            <w:pPr>
              <w:tabs>
                <w:tab w:val="left" w:pos="900"/>
              </w:tabs>
              <w:spacing w:line="360" w:lineRule="auto"/>
              <w:jc w:val="center"/>
              <w:rPr>
                <w:rFonts w:ascii="宋体" w:hAnsi="宋体" w:cs="宋体"/>
                <w:color w:val="auto"/>
                <w:szCs w:val="21"/>
                <w:highlight w:val="none"/>
              </w:rPr>
            </w:pPr>
            <w:r>
              <w:rPr>
                <w:color w:val="auto"/>
                <w:kern w:val="1"/>
                <w:szCs w:val="21"/>
                <w:highlight w:val="none"/>
              </w:rPr>
              <w:t>(</w:t>
            </w:r>
            <w:r>
              <w:rPr>
                <w:rFonts w:hint="eastAsia"/>
                <w:color w:val="auto"/>
                <w:kern w:val="1"/>
                <w:szCs w:val="21"/>
                <w:highlight w:val="none"/>
              </w:rPr>
              <w:t>10分</w:t>
            </w:r>
            <w:r>
              <w:rPr>
                <w:color w:val="auto"/>
                <w:kern w:val="1"/>
                <w:szCs w:val="21"/>
                <w:highlight w:val="none"/>
              </w:rPr>
              <w:t>)</w:t>
            </w:r>
          </w:p>
        </w:tc>
        <w:tc>
          <w:tcPr>
            <w:tcW w:w="851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tcPr>
          <w:p>
            <w:pPr>
              <w:adjustRightInd w:val="0"/>
              <w:spacing w:line="360" w:lineRule="auto"/>
              <w:contextualSpacing/>
              <w:jc w:val="left"/>
              <w:rPr>
                <w:rFonts w:ascii="宋体" w:hAnsi="宋体" w:cs="宋体"/>
                <w:color w:val="auto"/>
                <w:szCs w:val="21"/>
                <w:highlight w:val="none"/>
              </w:rPr>
            </w:pPr>
            <w:r>
              <w:rPr>
                <w:rFonts w:hint="eastAsia"/>
                <w:color w:val="auto"/>
                <w:kern w:val="1"/>
                <w:szCs w:val="21"/>
                <w:highlight w:val="none"/>
              </w:rPr>
              <w:t>1、</w:t>
            </w:r>
            <w:r>
              <w:rPr>
                <w:rFonts w:hint="eastAsia"/>
                <w:b/>
                <w:bCs/>
                <w:color w:val="auto"/>
                <w:kern w:val="1"/>
                <w:szCs w:val="21"/>
                <w:highlight w:val="none"/>
              </w:rPr>
              <w:t>供应商</w:t>
            </w:r>
            <w:r>
              <w:rPr>
                <w:b/>
                <w:bCs/>
                <w:color w:val="auto"/>
                <w:kern w:val="1"/>
                <w:szCs w:val="21"/>
                <w:highlight w:val="none"/>
              </w:rPr>
              <w:t>维保检测工具具备经法定计量检测机构检测合格(</w:t>
            </w:r>
            <w:r>
              <w:rPr>
                <w:rFonts w:hint="eastAsia"/>
                <w:b/>
                <w:bCs/>
                <w:color w:val="auto"/>
                <w:kern w:val="1"/>
                <w:szCs w:val="21"/>
                <w:highlight w:val="none"/>
              </w:rPr>
              <w:t>满分3分)</w:t>
            </w:r>
            <w:r>
              <w:rPr>
                <w:color w:val="auto"/>
                <w:kern w:val="1"/>
                <w:szCs w:val="21"/>
                <w:highlight w:val="none"/>
              </w:rPr>
              <w:t>：包括水喷淋系统试水检测装置、消火栓系统试水检测装置、数字照度计、数字温湿度计、数字万用表、钳形万用表、按地电阻测量仪、绝缘电阻测量仪、泡沫称重电子秤、激光测距仪、磁性测厚仪、测厚仪、数字风速计、数字声级计等，</w:t>
            </w:r>
            <w:r>
              <w:rPr>
                <w:rFonts w:hint="eastAsia"/>
                <w:color w:val="auto"/>
                <w:kern w:val="1"/>
                <w:szCs w:val="21"/>
                <w:highlight w:val="none"/>
              </w:rPr>
              <w:t>每</w:t>
            </w:r>
            <w:r>
              <w:rPr>
                <w:color w:val="auto"/>
                <w:kern w:val="1"/>
                <w:szCs w:val="21"/>
                <w:highlight w:val="none"/>
              </w:rPr>
              <w:t>有一种工具得0.</w:t>
            </w:r>
            <w:r>
              <w:rPr>
                <w:rFonts w:hint="eastAsia"/>
                <w:color w:val="auto"/>
                <w:kern w:val="1"/>
                <w:szCs w:val="21"/>
                <w:highlight w:val="none"/>
              </w:rPr>
              <w:t>3</w:t>
            </w:r>
            <w:r>
              <w:rPr>
                <w:color w:val="auto"/>
                <w:kern w:val="1"/>
                <w:szCs w:val="21"/>
                <w:highlight w:val="none"/>
              </w:rPr>
              <w:t>分，最高得</w:t>
            </w:r>
            <w:r>
              <w:rPr>
                <w:rFonts w:hint="eastAsia"/>
                <w:color w:val="auto"/>
                <w:kern w:val="1"/>
                <w:szCs w:val="21"/>
                <w:highlight w:val="none"/>
              </w:rPr>
              <w:t>3</w:t>
            </w:r>
            <w:r>
              <w:rPr>
                <w:color w:val="auto"/>
                <w:kern w:val="1"/>
                <w:szCs w:val="21"/>
                <w:highlight w:val="none"/>
              </w:rPr>
              <w:t>分(</w:t>
            </w:r>
            <w:r>
              <w:rPr>
                <w:b/>
                <w:bCs/>
                <w:color w:val="auto"/>
                <w:kern w:val="1"/>
                <w:szCs w:val="21"/>
                <w:highlight w:val="none"/>
              </w:rPr>
              <w:t>维保检测工具需提供有效期限内检测合格证明为准</w:t>
            </w:r>
            <w:r>
              <w:rPr>
                <w:rFonts w:hint="eastAsia"/>
                <w:b/>
                <w:bCs/>
                <w:color w:val="auto"/>
                <w:kern w:val="1"/>
                <w:szCs w:val="21"/>
                <w:highlight w:val="none"/>
              </w:rPr>
              <w:t>，</w:t>
            </w:r>
            <w:r>
              <w:rPr>
                <w:rFonts w:hint="eastAsia"/>
                <w:b/>
                <w:bCs/>
                <w:color w:val="auto"/>
                <w:kern w:val="1"/>
                <w:szCs w:val="21"/>
                <w:highlight w:val="none"/>
              </w:rPr>
              <w:t>复印件加盖供应商公章，原件备查，无原件不得分</w:t>
            </w:r>
            <w:r>
              <w:rPr>
                <w:color w:val="auto"/>
                <w:kern w:val="1"/>
                <w:szCs w:val="21"/>
                <w:highlight w:val="none"/>
              </w:rPr>
              <w:t>)</w:t>
            </w:r>
            <w:r>
              <w:rPr>
                <w:color w:val="auto"/>
                <w:kern w:val="1"/>
                <w:szCs w:val="21"/>
                <w:highlight w:val="none"/>
              </w:rPr>
              <w:t>；</w:t>
            </w:r>
          </w:p>
        </w:tc>
      </w:tr>
      <w:tr>
        <w:tblPrEx>
          <w:tblCellMar>
            <w:top w:w="0" w:type="dxa"/>
            <w:left w:w="0" w:type="dxa"/>
            <w:bottom w:w="0" w:type="dxa"/>
            <w:right w:w="0" w:type="dxa"/>
          </w:tblCellMar>
        </w:tblPrEx>
        <w:trPr>
          <w:trHeight w:val="2538" w:hRule="atLeast"/>
          <w:jc w:val="center"/>
        </w:trPr>
        <w:tc>
          <w:tcPr>
            <w:tcW w:w="1538" w:type="dxa"/>
            <w:vMerge w:val="continue"/>
            <w:tcBorders>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tabs>
                <w:tab w:val="left" w:pos="900"/>
              </w:tabs>
              <w:spacing w:line="360" w:lineRule="auto"/>
              <w:jc w:val="center"/>
              <w:rPr>
                <w:rFonts w:ascii="宋体" w:hAnsi="宋体" w:cs="宋体"/>
                <w:color w:val="auto"/>
                <w:szCs w:val="21"/>
                <w:highlight w:val="none"/>
              </w:rPr>
            </w:pPr>
          </w:p>
        </w:tc>
        <w:tc>
          <w:tcPr>
            <w:tcW w:w="8510" w:type="dxa"/>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13"/>
              <w:spacing w:line="360" w:lineRule="auto"/>
              <w:ind w:firstLine="0"/>
              <w:rPr>
                <w:rFonts w:ascii="宋体" w:hAnsi="宋体" w:cs="宋体"/>
                <w:color w:val="auto"/>
                <w:highlight w:val="none"/>
              </w:rPr>
            </w:pPr>
            <w:r>
              <w:rPr>
                <w:rFonts w:hint="eastAsia"/>
                <w:color w:val="auto"/>
                <w:highlight w:val="none"/>
              </w:rPr>
              <w:t>2、</w:t>
            </w:r>
            <w:r>
              <w:rPr>
                <w:rFonts w:hint="eastAsia"/>
                <w:b/>
                <w:bCs/>
                <w:color w:val="auto"/>
                <w:highlight w:val="none"/>
              </w:rPr>
              <w:t>供应商</w:t>
            </w:r>
            <w:r>
              <w:rPr>
                <w:b/>
                <w:bCs/>
                <w:color w:val="auto"/>
                <w:highlight w:val="none"/>
              </w:rPr>
              <w:t>从业人员维保资格(</w:t>
            </w:r>
            <w:r>
              <w:rPr>
                <w:rFonts w:hint="eastAsia"/>
                <w:b/>
                <w:bCs/>
                <w:color w:val="auto"/>
                <w:highlight w:val="none"/>
              </w:rPr>
              <w:t>满分7分)</w:t>
            </w:r>
            <w:r>
              <w:rPr>
                <w:color w:val="auto"/>
                <w:highlight w:val="none"/>
              </w:rPr>
              <w:t>：</w:t>
            </w:r>
            <w:r>
              <w:rPr>
                <w:rFonts w:hint="eastAsia" w:ascii="宋体" w:hAnsi="宋体" w:cs="宋体"/>
                <w:color w:val="auto"/>
                <w:highlight w:val="none"/>
              </w:rPr>
              <w:t>基本人员要求：拟投入项目组成员（含项目负责人）最低按3人配置，成员均应具有中级及以上职业资格证书或江苏省消防技术服务执业资格证书，满足基本人员要求的基础上项目组成员中每有一名具有中级及以上职称的人员，每有1人得1分，项目组成员中具有高处安装、维护特种作业操作证的加4分。</w:t>
            </w:r>
          </w:p>
          <w:p>
            <w:pPr>
              <w:adjustRightInd w:val="0"/>
              <w:spacing w:line="360" w:lineRule="auto"/>
              <w:contextualSpacing/>
              <w:jc w:val="left"/>
              <w:rPr>
                <w:rFonts w:ascii="宋体" w:hAnsi="宋体" w:cs="宋体"/>
                <w:color w:val="auto"/>
                <w:szCs w:val="21"/>
                <w:highlight w:val="none"/>
              </w:rPr>
            </w:pPr>
            <w:r>
              <w:rPr>
                <w:rFonts w:hint="eastAsia"/>
                <w:color w:val="auto"/>
                <w:highlight w:val="none"/>
              </w:rPr>
              <w:t>（</w:t>
            </w:r>
            <w:r>
              <w:rPr>
                <w:rFonts w:hint="eastAsia"/>
                <w:b/>
                <w:bCs/>
                <w:color w:val="auto"/>
                <w:highlight w:val="none"/>
              </w:rPr>
              <w:t>提供人员证书</w:t>
            </w:r>
            <w:r>
              <w:rPr>
                <w:rFonts w:hint="eastAsia"/>
                <w:b/>
                <w:bCs/>
                <w:color w:val="auto"/>
                <w:highlight w:val="none"/>
                <w:lang w:val="en-US" w:eastAsia="zh-CN"/>
              </w:rPr>
              <w:t>复印件</w:t>
            </w:r>
            <w:r>
              <w:rPr>
                <w:rFonts w:hint="eastAsia"/>
                <w:b/>
                <w:bCs/>
                <w:color w:val="auto"/>
                <w:highlight w:val="none"/>
              </w:rPr>
              <w:t>加盖投标人公章及供应商</w:t>
            </w:r>
            <w:r>
              <w:rPr>
                <w:rFonts w:hint="eastAsia" w:cs="宋体"/>
                <w:b/>
                <w:bCs/>
                <w:color w:val="auto"/>
                <w:szCs w:val="21"/>
                <w:highlight w:val="none"/>
              </w:rPr>
              <w:t>为其缴纳的2023年2月到2023年4月连续三个月的社保证明材料</w:t>
            </w:r>
            <w:r>
              <w:rPr>
                <w:rFonts w:hint="eastAsia"/>
                <w:color w:val="auto"/>
                <w:highlight w:val="none"/>
              </w:rPr>
              <w:t>）</w:t>
            </w:r>
          </w:p>
        </w:tc>
      </w:tr>
      <w:tr>
        <w:tblPrEx>
          <w:tblCellMar>
            <w:top w:w="0" w:type="dxa"/>
            <w:left w:w="0" w:type="dxa"/>
            <w:bottom w:w="0" w:type="dxa"/>
            <w:right w:w="0" w:type="dxa"/>
          </w:tblCellMar>
        </w:tblPrEx>
        <w:trPr>
          <w:trHeight w:val="284" w:hRule="atLeast"/>
          <w:jc w:val="center"/>
        </w:trPr>
        <w:tc>
          <w:tcPr>
            <w:tcW w:w="153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tabs>
                <w:tab w:val="left" w:pos="90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业绩</w:t>
            </w:r>
          </w:p>
          <w:p>
            <w:pPr>
              <w:tabs>
                <w:tab w:val="left" w:pos="90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（8分）</w:t>
            </w:r>
          </w:p>
        </w:tc>
        <w:tc>
          <w:tcPr>
            <w:tcW w:w="851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tabs>
                <w:tab w:val="left" w:pos="90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提供2020年1月1日后消防维保服务</w:t>
            </w:r>
            <w:r>
              <w:rPr>
                <w:rFonts w:hint="eastAsia" w:ascii="宋体" w:hAnsi="宋体" w:cs="宋体"/>
                <w:color w:val="auto"/>
                <w:szCs w:val="21"/>
                <w:highlight w:val="none"/>
                <w:lang w:val="en-US" w:eastAsia="zh-CN"/>
              </w:rPr>
              <w:t>类似</w:t>
            </w:r>
            <w:r>
              <w:rPr>
                <w:rFonts w:hint="eastAsia" w:ascii="宋体" w:hAnsi="宋体" w:cs="宋体"/>
                <w:color w:val="auto"/>
                <w:szCs w:val="21"/>
                <w:highlight w:val="none"/>
              </w:rPr>
              <w:t>项目业绩，每有一份得 2分，最多得8分（</w:t>
            </w:r>
            <w:r>
              <w:rPr>
                <w:rFonts w:hint="eastAsia" w:ascii="宋体" w:hAnsi="宋体" w:cs="宋体"/>
                <w:b/>
                <w:bCs/>
                <w:color w:val="auto"/>
                <w:szCs w:val="21"/>
                <w:highlight w:val="none"/>
              </w:rPr>
              <w:t>须提供合同</w:t>
            </w:r>
            <w:r>
              <w:rPr>
                <w:rFonts w:hint="eastAsia" w:ascii="宋体" w:hAnsi="宋体" w:cs="宋体"/>
                <w:b/>
                <w:bCs/>
                <w:color w:val="auto"/>
                <w:szCs w:val="21"/>
                <w:highlight w:val="none"/>
                <w:lang w:val="en-US" w:eastAsia="zh-CN"/>
              </w:rPr>
              <w:t>复印件</w:t>
            </w:r>
            <w:r>
              <w:rPr>
                <w:rFonts w:hint="eastAsia" w:ascii="宋体" w:hAnsi="宋体" w:cs="宋体"/>
                <w:b/>
                <w:bCs/>
                <w:color w:val="auto"/>
                <w:szCs w:val="21"/>
                <w:highlight w:val="none"/>
              </w:rPr>
              <w:t>加盖供应商公章，原件核查，不提供不得分</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788" w:hRule="atLeast"/>
          <w:jc w:val="center"/>
        </w:trPr>
        <w:tc>
          <w:tcPr>
            <w:tcW w:w="153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tabs>
                <w:tab w:val="left" w:pos="90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851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tabs>
                <w:tab w:val="left" w:pos="90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100分</w:t>
            </w:r>
          </w:p>
        </w:tc>
      </w:tr>
    </w:tbl>
    <w:p>
      <w:pPr>
        <w:pStyle w:val="25"/>
        <w:spacing w:line="360" w:lineRule="auto"/>
        <w:rPr>
          <w:rFonts w:ascii="宋体" w:hAnsi="宋体" w:cs="宋体"/>
          <w:b/>
          <w:bCs/>
          <w:color w:val="auto"/>
          <w:sz w:val="21"/>
          <w:szCs w:val="21"/>
          <w:highlight w:val="none"/>
        </w:rPr>
      </w:pPr>
      <w:bookmarkStart w:id="123" w:name="_Toc497145844"/>
    </w:p>
    <w:p>
      <w:pPr>
        <w:adjustRightInd w:val="0"/>
        <w:snapToGrid w:val="0"/>
        <w:spacing w:line="360" w:lineRule="auto"/>
        <w:ind w:firstLine="422" w:firstLineChars="200"/>
        <w:contextualSpacing/>
        <w:rPr>
          <w:rFonts w:ascii="宋体" w:hAnsi="宋体" w:cs="宋体"/>
          <w:color w:val="auto"/>
          <w:szCs w:val="21"/>
          <w:highlight w:val="none"/>
        </w:rPr>
      </w:pPr>
      <w:r>
        <w:rPr>
          <w:rFonts w:hint="eastAsia" w:ascii="宋体" w:hAnsi="宋体" w:cs="宋体"/>
          <w:b/>
          <w:color w:val="auto"/>
          <w:szCs w:val="21"/>
          <w:highlight w:val="none"/>
        </w:rPr>
        <w:t>注：成交供应商须在签订采购合同前向采购人提交原件审核，签订合同前无法提供原件或原件与本次磋商响应文件中递交的彩色扫描件不符、存在虚假响应，将被取消成交资格，并追究相关责任。</w:t>
      </w:r>
    </w:p>
    <w:p>
      <w:pPr>
        <w:pStyle w:val="18"/>
        <w:ind w:firstLine="0" w:firstLineChars="0"/>
        <w:rPr>
          <w:color w:val="auto"/>
          <w:highlight w:val="none"/>
        </w:rPr>
      </w:pPr>
    </w:p>
    <w:p>
      <w:pPr>
        <w:tabs>
          <w:tab w:val="left" w:pos="3629"/>
        </w:tabs>
        <w:spacing w:line="360" w:lineRule="auto"/>
        <w:ind w:firstLine="200"/>
        <w:jc w:val="center"/>
        <w:rPr>
          <w:rFonts w:ascii="宋体" w:hAnsi="宋体"/>
          <w:b/>
          <w:bCs/>
          <w:color w:val="auto"/>
          <w:sz w:val="36"/>
          <w:highlight w:val="none"/>
        </w:rPr>
      </w:pPr>
    </w:p>
    <w:p>
      <w:pPr>
        <w:tabs>
          <w:tab w:val="left" w:pos="3629"/>
        </w:tabs>
        <w:spacing w:line="360" w:lineRule="auto"/>
        <w:ind w:firstLine="200"/>
        <w:jc w:val="center"/>
        <w:rPr>
          <w:rFonts w:ascii="宋体" w:hAnsi="宋体"/>
          <w:b/>
          <w:bCs/>
          <w:color w:val="auto"/>
          <w:sz w:val="36"/>
          <w:highlight w:val="none"/>
        </w:rPr>
      </w:pPr>
    </w:p>
    <w:p>
      <w:pPr>
        <w:tabs>
          <w:tab w:val="left" w:pos="3629"/>
        </w:tabs>
        <w:spacing w:line="360" w:lineRule="auto"/>
        <w:ind w:firstLine="200"/>
        <w:jc w:val="center"/>
        <w:rPr>
          <w:rFonts w:ascii="宋体" w:hAnsi="宋体"/>
          <w:b/>
          <w:bCs/>
          <w:color w:val="auto"/>
          <w:sz w:val="36"/>
          <w:highlight w:val="none"/>
        </w:rPr>
      </w:pPr>
    </w:p>
    <w:p>
      <w:pPr>
        <w:tabs>
          <w:tab w:val="left" w:pos="3629"/>
        </w:tabs>
        <w:spacing w:line="360" w:lineRule="auto"/>
        <w:ind w:firstLine="200"/>
        <w:jc w:val="center"/>
        <w:rPr>
          <w:rFonts w:ascii="宋体" w:hAnsi="宋体"/>
          <w:b/>
          <w:bCs/>
          <w:color w:val="auto"/>
          <w:sz w:val="36"/>
          <w:highlight w:val="none"/>
        </w:rPr>
      </w:pPr>
    </w:p>
    <w:p>
      <w:pPr>
        <w:tabs>
          <w:tab w:val="left" w:pos="3629"/>
        </w:tabs>
        <w:spacing w:line="360" w:lineRule="auto"/>
        <w:ind w:firstLine="200"/>
        <w:jc w:val="center"/>
        <w:rPr>
          <w:rFonts w:ascii="宋体" w:hAnsi="宋体"/>
          <w:b/>
          <w:bCs/>
          <w:color w:val="auto"/>
          <w:sz w:val="36"/>
          <w:highlight w:val="none"/>
        </w:rPr>
      </w:pPr>
    </w:p>
    <w:p>
      <w:pPr>
        <w:tabs>
          <w:tab w:val="left" w:pos="3629"/>
        </w:tabs>
        <w:spacing w:line="360" w:lineRule="auto"/>
        <w:ind w:firstLine="200"/>
        <w:jc w:val="center"/>
        <w:rPr>
          <w:rFonts w:ascii="宋体" w:hAnsi="宋体"/>
          <w:b/>
          <w:bCs/>
          <w:color w:val="auto"/>
          <w:sz w:val="36"/>
          <w:highlight w:val="none"/>
        </w:rPr>
      </w:pPr>
    </w:p>
    <w:p>
      <w:pPr>
        <w:tabs>
          <w:tab w:val="left" w:pos="3629"/>
        </w:tabs>
        <w:spacing w:line="360" w:lineRule="auto"/>
        <w:ind w:firstLine="200"/>
        <w:jc w:val="center"/>
        <w:rPr>
          <w:rFonts w:ascii="宋体" w:hAnsi="宋体"/>
          <w:b/>
          <w:bCs/>
          <w:color w:val="auto"/>
          <w:sz w:val="36"/>
          <w:highlight w:val="none"/>
        </w:rPr>
      </w:pPr>
    </w:p>
    <w:p>
      <w:pPr>
        <w:tabs>
          <w:tab w:val="left" w:pos="3629"/>
        </w:tabs>
        <w:spacing w:line="360" w:lineRule="auto"/>
        <w:ind w:firstLine="200"/>
        <w:jc w:val="center"/>
        <w:rPr>
          <w:rFonts w:ascii="宋体" w:hAnsi="宋体"/>
          <w:b/>
          <w:bCs/>
          <w:color w:val="auto"/>
          <w:sz w:val="36"/>
          <w:highlight w:val="none"/>
        </w:rPr>
      </w:pPr>
    </w:p>
    <w:p>
      <w:pPr>
        <w:tabs>
          <w:tab w:val="left" w:pos="3629"/>
        </w:tabs>
        <w:spacing w:line="360" w:lineRule="auto"/>
        <w:ind w:firstLine="200"/>
        <w:jc w:val="center"/>
        <w:rPr>
          <w:rFonts w:ascii="宋体" w:hAnsi="宋体"/>
          <w:b/>
          <w:bCs/>
          <w:color w:val="auto"/>
          <w:sz w:val="36"/>
          <w:highlight w:val="none"/>
        </w:rPr>
      </w:pPr>
    </w:p>
    <w:p>
      <w:pPr>
        <w:tabs>
          <w:tab w:val="left" w:pos="3629"/>
        </w:tabs>
        <w:spacing w:line="360" w:lineRule="auto"/>
        <w:rPr>
          <w:rFonts w:ascii="宋体" w:hAnsi="宋体"/>
          <w:b/>
          <w:bCs/>
          <w:color w:val="auto"/>
          <w:sz w:val="36"/>
          <w:highlight w:val="none"/>
        </w:rPr>
      </w:pPr>
    </w:p>
    <w:p>
      <w:pPr>
        <w:pStyle w:val="17"/>
        <w:rPr>
          <w:rFonts w:ascii="宋体" w:hAnsi="宋体"/>
          <w:b/>
          <w:bCs/>
          <w:color w:val="auto"/>
          <w:sz w:val="36"/>
          <w:highlight w:val="none"/>
        </w:rPr>
      </w:pPr>
    </w:p>
    <w:p>
      <w:pPr>
        <w:pStyle w:val="16"/>
        <w:rPr>
          <w:rFonts w:ascii="宋体" w:hAnsi="宋体"/>
          <w:b/>
          <w:bCs/>
          <w:color w:val="auto"/>
          <w:sz w:val="36"/>
          <w:highlight w:val="none"/>
        </w:rPr>
      </w:pPr>
    </w:p>
    <w:p>
      <w:pPr>
        <w:rPr>
          <w:color w:val="auto"/>
          <w:highlight w:val="none"/>
        </w:rPr>
      </w:pPr>
    </w:p>
    <w:p>
      <w:pPr>
        <w:tabs>
          <w:tab w:val="left" w:pos="3629"/>
        </w:tabs>
        <w:spacing w:line="360" w:lineRule="auto"/>
        <w:ind w:firstLine="200"/>
        <w:jc w:val="center"/>
        <w:rPr>
          <w:rFonts w:ascii="宋体" w:hAnsi="宋体"/>
          <w:b/>
          <w:bCs/>
          <w:color w:val="auto"/>
          <w:sz w:val="36"/>
          <w:highlight w:val="none"/>
        </w:rPr>
      </w:pPr>
    </w:p>
    <w:p>
      <w:pPr>
        <w:tabs>
          <w:tab w:val="left" w:pos="3629"/>
        </w:tabs>
        <w:spacing w:line="360" w:lineRule="auto"/>
        <w:ind w:firstLine="200"/>
        <w:jc w:val="center"/>
        <w:rPr>
          <w:rFonts w:ascii="宋体" w:hAnsi="宋体"/>
          <w:color w:val="auto"/>
          <w:sz w:val="36"/>
          <w:highlight w:val="none"/>
        </w:rPr>
      </w:pPr>
      <w:r>
        <w:rPr>
          <w:rFonts w:hint="eastAsia" w:ascii="宋体" w:hAnsi="宋体"/>
          <w:b/>
          <w:bCs/>
          <w:color w:val="auto"/>
          <w:sz w:val="36"/>
          <w:highlight w:val="none"/>
        </w:rPr>
        <w:t>第六章 竞争性磋商响应文件格式</w:t>
      </w:r>
      <w:bookmarkEnd w:id="123"/>
    </w:p>
    <w:p>
      <w:pPr>
        <w:jc w:val="center"/>
        <w:rPr>
          <w:rFonts w:ascii="宋体" w:hAnsi="宋体"/>
          <w:b/>
          <w:color w:val="auto"/>
          <w:sz w:val="36"/>
          <w:highlight w:val="none"/>
        </w:rPr>
      </w:pPr>
    </w:p>
    <w:p>
      <w:pPr>
        <w:jc w:val="center"/>
        <w:rPr>
          <w:rFonts w:ascii="宋体" w:hAnsi="宋体"/>
          <w:b/>
          <w:color w:val="auto"/>
          <w:szCs w:val="21"/>
          <w:highlight w:val="none"/>
        </w:rPr>
      </w:pPr>
    </w:p>
    <w:p>
      <w:pPr>
        <w:jc w:val="center"/>
        <w:rPr>
          <w:rFonts w:ascii="宋体" w:hAnsi="宋体"/>
          <w:b/>
          <w:color w:val="auto"/>
          <w:sz w:val="22"/>
          <w:szCs w:val="21"/>
          <w:highlight w:val="none"/>
        </w:rPr>
      </w:pPr>
    </w:p>
    <w:p>
      <w:pPr>
        <w:jc w:val="center"/>
        <w:rPr>
          <w:rFonts w:ascii="宋体" w:hAnsi="宋体"/>
          <w:b/>
          <w:color w:val="auto"/>
          <w:sz w:val="72"/>
          <w:highlight w:val="none"/>
        </w:rPr>
      </w:pPr>
      <w:bookmarkStart w:id="124" w:name="OLE_LINK141"/>
      <w:bookmarkEnd w:id="124"/>
      <w:bookmarkStart w:id="125" w:name="OLE_LINK137"/>
      <w:bookmarkEnd w:id="125"/>
    </w:p>
    <w:p>
      <w:pPr>
        <w:pStyle w:val="11"/>
        <w:spacing w:line="480" w:lineRule="auto"/>
        <w:rPr>
          <w:rFonts w:ascii="宋体" w:hAnsi="宋体" w:eastAsia="宋体" w:cs="Arial"/>
          <w:bCs w:val="0"/>
          <w:color w:val="auto"/>
          <w:highlight w:val="none"/>
        </w:rPr>
      </w:pPr>
      <w:bookmarkStart w:id="126" w:name="OLE_LINK144"/>
      <w:bookmarkEnd w:id="126"/>
      <w:bookmarkStart w:id="127" w:name="_Toc497145845"/>
      <w:r>
        <w:rPr>
          <w:rFonts w:hint="eastAsia" w:ascii="宋体" w:hAnsi="宋体" w:eastAsia="宋体" w:cs="Arial"/>
          <w:bCs w:val="0"/>
          <w:color w:val="auto"/>
          <w:highlight w:val="none"/>
        </w:rPr>
        <w:t>竞争性磋商响应文件</w:t>
      </w:r>
      <w:bookmarkEnd w:id="127"/>
    </w:p>
    <w:p>
      <w:pPr>
        <w:pStyle w:val="13"/>
        <w:jc w:val="center"/>
        <w:rPr>
          <w:b/>
          <w:bCs/>
          <w:color w:val="auto"/>
          <w:sz w:val="44"/>
          <w:szCs w:val="44"/>
          <w:highlight w:val="none"/>
        </w:rPr>
      </w:pPr>
      <w:r>
        <w:rPr>
          <w:rFonts w:hint="eastAsia" w:ascii="宋体" w:hAnsi="宋体" w:cs="Arial"/>
          <w:b/>
          <w:bCs/>
          <w:color w:val="auto"/>
          <w:sz w:val="44"/>
          <w:szCs w:val="44"/>
          <w:highlight w:val="none"/>
        </w:rPr>
        <w:t>（正或副本）</w:t>
      </w:r>
    </w:p>
    <w:p>
      <w:pPr>
        <w:jc w:val="center"/>
        <w:rPr>
          <w:rFonts w:ascii="宋体" w:hAnsi="宋体"/>
          <w:b/>
          <w:color w:val="auto"/>
          <w:sz w:val="36"/>
          <w:highlight w:val="none"/>
        </w:rPr>
      </w:pPr>
    </w:p>
    <w:p>
      <w:pPr>
        <w:jc w:val="center"/>
        <w:rPr>
          <w:rFonts w:ascii="宋体" w:hAnsi="宋体"/>
          <w:b/>
          <w:color w:val="auto"/>
          <w:sz w:val="36"/>
          <w:highlight w:val="none"/>
        </w:rPr>
      </w:pPr>
    </w:p>
    <w:p>
      <w:pPr>
        <w:ind w:firstLine="843" w:firstLineChars="300"/>
        <w:rPr>
          <w:rFonts w:ascii="宋体" w:hAnsi="宋体"/>
          <w:b/>
          <w:color w:val="auto"/>
          <w:sz w:val="28"/>
          <w:szCs w:val="20"/>
          <w:highlight w:val="none"/>
          <w:u w:val="single"/>
        </w:rPr>
      </w:pPr>
      <w:r>
        <w:rPr>
          <w:rFonts w:hint="eastAsia" w:ascii="宋体" w:hAnsi="宋体"/>
          <w:b/>
          <w:color w:val="auto"/>
          <w:sz w:val="28"/>
          <w:szCs w:val="20"/>
          <w:highlight w:val="none"/>
        </w:rPr>
        <w:t>项 目 名 称：</w:t>
      </w:r>
      <w:r>
        <w:rPr>
          <w:rFonts w:hint="eastAsia" w:ascii="宋体" w:hAnsi="宋体"/>
          <w:color w:val="auto"/>
          <w:sz w:val="28"/>
          <w:szCs w:val="28"/>
          <w:highlight w:val="none"/>
        </w:rPr>
        <w:t>扬州大学附属医院扬州大学附属医院东西区消防维保服务项目</w:t>
      </w:r>
    </w:p>
    <w:p>
      <w:pPr>
        <w:ind w:firstLine="843" w:firstLineChars="300"/>
        <w:rPr>
          <w:rFonts w:ascii="宋体" w:hAnsi="宋体"/>
          <w:b/>
          <w:color w:val="auto"/>
          <w:sz w:val="28"/>
          <w:szCs w:val="20"/>
          <w:highlight w:val="none"/>
          <w:u w:val="single"/>
        </w:rPr>
      </w:pPr>
      <w:r>
        <w:rPr>
          <w:rFonts w:hint="eastAsia" w:ascii="宋体" w:hAnsi="宋体"/>
          <w:b/>
          <w:color w:val="auto"/>
          <w:sz w:val="28"/>
          <w:szCs w:val="20"/>
          <w:highlight w:val="none"/>
        </w:rPr>
        <w:t>项 目 编 号：</w:t>
      </w:r>
      <w:r>
        <w:rPr>
          <w:rFonts w:hint="eastAsia" w:ascii="宋体" w:hAnsi="宋体"/>
          <w:color w:val="auto"/>
          <w:sz w:val="28"/>
          <w:szCs w:val="28"/>
          <w:highlight w:val="none"/>
        </w:rPr>
        <w:t xml:space="preserve">JSHCZB-20230454号 </w:t>
      </w:r>
    </w:p>
    <w:p>
      <w:pPr>
        <w:rPr>
          <w:rFonts w:ascii="宋体" w:hAnsi="宋体"/>
          <w:b/>
          <w:color w:val="auto"/>
          <w:sz w:val="28"/>
          <w:szCs w:val="20"/>
          <w:highlight w:val="none"/>
          <w:u w:val="single"/>
        </w:rPr>
      </w:pPr>
      <w:r>
        <w:rPr>
          <w:rFonts w:hint="eastAsia" w:ascii="宋体" w:hAnsi="宋体"/>
          <w:b/>
          <w:color w:val="auto"/>
          <w:sz w:val="28"/>
          <w:szCs w:val="20"/>
          <w:highlight w:val="none"/>
        </w:rPr>
        <w:t xml:space="preserve">      磋商供应商名称 ：</w:t>
      </w:r>
    </w:p>
    <w:p>
      <w:pPr>
        <w:rPr>
          <w:rFonts w:ascii="宋体" w:hAnsi="宋体"/>
          <w:b/>
          <w:color w:val="auto"/>
          <w:sz w:val="28"/>
          <w:szCs w:val="20"/>
          <w:highlight w:val="none"/>
        </w:rPr>
      </w:pPr>
      <w:r>
        <w:rPr>
          <w:rFonts w:hint="eastAsia" w:ascii="宋体" w:hAnsi="宋体"/>
          <w:b/>
          <w:color w:val="auto"/>
          <w:sz w:val="28"/>
          <w:szCs w:val="20"/>
          <w:highlight w:val="none"/>
        </w:rPr>
        <w:t xml:space="preserve">      日      期 ：</w:t>
      </w:r>
    </w:p>
    <w:p>
      <w:pPr>
        <w:autoSpaceDE w:val="0"/>
        <w:autoSpaceDN w:val="0"/>
        <w:adjustRightInd w:val="0"/>
        <w:spacing w:line="360" w:lineRule="auto"/>
        <w:rPr>
          <w:rFonts w:ascii="宋体" w:hAnsi="宋体"/>
          <w:b/>
          <w:bCs/>
          <w:color w:val="auto"/>
          <w:sz w:val="28"/>
          <w:szCs w:val="28"/>
          <w:highlight w:val="none"/>
        </w:rPr>
      </w:pPr>
      <w:r>
        <w:rPr>
          <w:rFonts w:hint="eastAsia" w:ascii="宋体" w:hAnsi="宋体" w:cs="宋体"/>
          <w:b/>
          <w:bCs/>
          <w:color w:val="auto"/>
          <w:sz w:val="28"/>
          <w:szCs w:val="28"/>
          <w:highlight w:val="none"/>
          <w:lang w:val="zh-CN"/>
        </w:rPr>
        <w:t>说明：</w:t>
      </w:r>
    </w:p>
    <w:p>
      <w:pPr>
        <w:autoSpaceDE w:val="0"/>
        <w:autoSpaceDN w:val="0"/>
        <w:adjustRightInd w:val="0"/>
        <w:spacing w:line="360" w:lineRule="auto"/>
        <w:ind w:firstLine="618" w:firstLineChars="220"/>
        <w:rPr>
          <w:rFonts w:ascii="宋体" w:hAnsi="宋体"/>
          <w:b/>
          <w:bCs/>
          <w:color w:val="auto"/>
          <w:sz w:val="28"/>
          <w:szCs w:val="28"/>
          <w:highlight w:val="none"/>
        </w:rPr>
      </w:pPr>
      <w:r>
        <w:rPr>
          <w:rFonts w:hint="eastAsia" w:ascii="宋体" w:hAnsi="宋体" w:cs="宋体"/>
          <w:b/>
          <w:bCs/>
          <w:color w:val="auto"/>
          <w:sz w:val="28"/>
          <w:szCs w:val="28"/>
          <w:highlight w:val="none"/>
          <w:lang w:val="zh-CN"/>
        </w:rPr>
        <w:t>对本章所有的响应文件格式 ，供应商可根据自身情况进行补充和修改，但补充和修改不得造成与本格式内容有实质性的违背。</w:t>
      </w:r>
    </w:p>
    <w:p>
      <w:pPr>
        <w:spacing w:beforeLines="100" w:afterLines="100"/>
        <w:jc w:val="center"/>
        <w:rPr>
          <w:rFonts w:ascii="宋体" w:hAnsi="宋体"/>
          <w:b/>
          <w:color w:val="auto"/>
          <w:szCs w:val="21"/>
          <w:highlight w:val="none"/>
        </w:rPr>
      </w:pPr>
      <w:r>
        <w:rPr>
          <w:rFonts w:hint="eastAsia" w:ascii="宋体" w:hAnsi="宋体"/>
          <w:color w:val="auto"/>
          <w:sz w:val="24"/>
          <w:highlight w:val="none"/>
        </w:rPr>
        <w:br w:type="page"/>
      </w:r>
      <w:r>
        <w:rPr>
          <w:rFonts w:hint="eastAsia" w:ascii="宋体" w:hAnsi="宋体"/>
          <w:b/>
          <w:color w:val="auto"/>
          <w:szCs w:val="21"/>
          <w:highlight w:val="none"/>
        </w:rPr>
        <w:t>评分索引表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jc w:val="center"/>
              <w:rPr>
                <w:rFonts w:ascii="宋体" w:hAnsi="宋体"/>
                <w:b/>
                <w:bCs/>
                <w:color w:val="auto"/>
                <w:sz w:val="21"/>
                <w:szCs w:val="21"/>
                <w:highlight w:val="none"/>
                <w:lang w:eastAsia="zh-CN"/>
              </w:rPr>
            </w:pPr>
            <w:r>
              <w:rPr>
                <w:rFonts w:hint="eastAsia" w:ascii="宋体" w:hAnsi="宋体"/>
                <w:b/>
                <w:color w:val="auto"/>
                <w:sz w:val="21"/>
                <w:szCs w:val="21"/>
                <w:highlight w:val="none"/>
              </w:rPr>
              <w:t>评分项目</w:t>
            </w: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b/>
                <w:color w:val="auto"/>
                <w:szCs w:val="21"/>
                <w:highlight w:val="none"/>
              </w:rPr>
            </w:pPr>
            <w:r>
              <w:rPr>
                <w:rFonts w:hint="eastAsia" w:ascii="宋体" w:hAnsi="宋体"/>
                <w:b/>
                <w:color w:val="auto"/>
                <w:kern w:val="0"/>
                <w:szCs w:val="21"/>
                <w:highlight w:val="none"/>
                <w:lang w:bidi="en-US"/>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jc w:val="both"/>
              <w:rPr>
                <w:rFonts w:ascii="宋体" w:hAnsi="宋体"/>
                <w:b/>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b/>
                <w:color w:val="auto"/>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jc w:val="both"/>
              <w:rPr>
                <w:rFonts w:ascii="宋体" w:hAns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jc w:val="both"/>
              <w:rPr>
                <w:rFonts w:ascii="宋体" w:hAns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jc w:val="both"/>
              <w:rPr>
                <w:rFonts w:ascii="宋体" w:hAnsi="宋体"/>
                <w:b/>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rPr>
                <w:rFonts w:ascii="宋体" w:hAnsi="宋体"/>
                <w:b/>
                <w:bCs/>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rPr>
                <w:rFonts w:ascii="宋体" w:hAnsi="宋体"/>
                <w:b/>
                <w:bCs/>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420"/>
              <w:jc w:val="both"/>
              <w:rPr>
                <w:rFonts w:ascii="宋体" w:hAnsi="宋体"/>
                <w:b/>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0" w:firstLine="480" w:firstLineChars="200"/>
              <w:rPr>
                <w:rFonts w:ascii="宋体" w:hAnsi="宋体"/>
                <w:color w:val="auto"/>
                <w:szCs w:val="21"/>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noWrap/>
          </w:tcPr>
          <w:p>
            <w:pPr>
              <w:pStyle w:val="37"/>
              <w:shd w:val="clear" w:color="auto" w:fill="FFFFFF"/>
              <w:spacing w:line="265" w:lineRule="atLeast"/>
              <w:ind w:left="0" w:firstLine="480" w:firstLineChars="20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rPr>
                <w:rFonts w:ascii="宋体" w:hAnsi="宋体"/>
                <w:color w:val="auto"/>
                <w:highlight w:val="none"/>
              </w:rPr>
            </w:pPr>
          </w:p>
        </w:tc>
      </w:tr>
    </w:tbl>
    <w:p>
      <w:pPr>
        <w:rPr>
          <w:rFonts w:ascii="宋体" w:hAnsi="宋体" w:eastAsia="微软雅黑"/>
          <w:color w:val="auto"/>
          <w:highlight w:val="none"/>
        </w:rPr>
      </w:pPr>
    </w:p>
    <w:p>
      <w:pPr>
        <w:spacing w:afterLines="100" w:line="360" w:lineRule="auto"/>
        <w:jc w:val="center"/>
        <w:rPr>
          <w:rFonts w:ascii="宋体" w:hAnsi="宋体"/>
          <w:b/>
          <w:bCs/>
          <w:color w:val="auto"/>
          <w:kern w:val="0"/>
          <w:szCs w:val="21"/>
          <w:highlight w:val="none"/>
        </w:rPr>
      </w:pPr>
      <w:r>
        <w:rPr>
          <w:rFonts w:hint="eastAsia" w:ascii="宋体" w:hAnsi="宋体"/>
          <w:b/>
          <w:color w:val="auto"/>
          <w:sz w:val="36"/>
          <w:highlight w:val="none"/>
          <w:u w:val="single"/>
        </w:rPr>
        <w:br w:type="page"/>
      </w:r>
      <w:r>
        <w:rPr>
          <w:rFonts w:hint="eastAsia" w:ascii="宋体" w:hAnsi="宋体"/>
          <w:b/>
          <w:bCs/>
          <w:color w:val="auto"/>
          <w:szCs w:val="21"/>
          <w:highlight w:val="none"/>
        </w:rPr>
        <w:t>响应文件主要目录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一、资格性和符合性检查响应对照表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二、资信证明文件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三、磋商响应函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四、磋商响应报价表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五、分项报价表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六、技术参数响应及偏离表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七、商务条款响应及偏离表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八、拟投入人员一览表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九、供应商信用承诺书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p>
    <w:p>
      <w:pPr>
        <w:jc w:val="left"/>
        <w:rPr>
          <w:rFonts w:ascii="宋体" w:hAnsi="宋体"/>
          <w:b/>
          <w:color w:val="auto"/>
          <w:szCs w:val="21"/>
          <w:highlight w:val="none"/>
        </w:rPr>
      </w:pPr>
    </w:p>
    <w:p>
      <w:pPr>
        <w:jc w:val="left"/>
        <w:rPr>
          <w:rFonts w:ascii="宋体" w:hAnsi="宋体"/>
          <w:b/>
          <w:color w:val="auto"/>
          <w:sz w:val="22"/>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color w:val="auto"/>
          <w:szCs w:val="21"/>
          <w:highlight w:val="none"/>
        </w:rPr>
      </w:pPr>
      <w:bookmarkStart w:id="128" w:name="OLE_LINK168"/>
      <w:bookmarkEnd w:id="128"/>
      <w:bookmarkStart w:id="129" w:name="OLE_LINK166"/>
      <w:bookmarkEnd w:id="129"/>
      <w:r>
        <w:rPr>
          <w:rFonts w:hint="eastAsia" w:ascii="宋体" w:hAnsi="宋体"/>
          <w:b/>
          <w:color w:val="auto"/>
          <w:szCs w:val="21"/>
          <w:highlight w:val="none"/>
        </w:rPr>
        <w:t>一、资格性和符合性检查响应对照表</w:t>
      </w:r>
    </w:p>
    <w:p>
      <w:pPr>
        <w:spacing w:line="360" w:lineRule="auto"/>
        <w:ind w:firstLine="309"/>
        <w:rPr>
          <w:rFonts w:ascii="宋体" w:hAnsi="宋体"/>
          <w:color w:val="auto"/>
          <w:szCs w:val="21"/>
          <w:highlight w:val="none"/>
        </w:rPr>
      </w:pPr>
      <w:r>
        <w:rPr>
          <w:rFonts w:hint="eastAsia" w:ascii="宋体" w:hAnsi="宋体"/>
          <w:color w:val="auto"/>
          <w:szCs w:val="21"/>
          <w:highlight w:val="none"/>
        </w:rPr>
        <w:t>磋商供应商全称（加盖公章）：</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noWrap/>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5447" w:type="dxa"/>
            <w:noWrap/>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资格和符合性检查响应内容</w:t>
            </w:r>
          </w:p>
        </w:tc>
        <w:tc>
          <w:tcPr>
            <w:tcW w:w="1680" w:type="dxa"/>
            <w:noWrap/>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（填是或者否）</w:t>
            </w:r>
          </w:p>
        </w:tc>
        <w:tc>
          <w:tcPr>
            <w:tcW w:w="1785" w:type="dxa"/>
            <w:noWrap/>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ign w:val="center"/>
          </w:tcPr>
          <w:p>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1</w:t>
            </w:r>
          </w:p>
        </w:tc>
        <w:tc>
          <w:tcPr>
            <w:tcW w:w="5447" w:type="dxa"/>
            <w:noWrap/>
            <w:vAlign w:val="center"/>
          </w:tcPr>
          <w:p>
            <w:pPr>
              <w:spacing w:line="360" w:lineRule="auto"/>
              <w:rPr>
                <w:rFonts w:ascii="宋体" w:hAnsi="宋体"/>
                <w:i/>
                <w:iCs/>
                <w:color w:val="auto"/>
                <w:szCs w:val="21"/>
                <w:highlight w:val="none"/>
                <w:u w:val="single"/>
              </w:rPr>
            </w:pPr>
          </w:p>
        </w:tc>
        <w:tc>
          <w:tcPr>
            <w:tcW w:w="1680" w:type="dxa"/>
            <w:noWrap/>
            <w:vAlign w:val="center"/>
          </w:tcPr>
          <w:p>
            <w:pPr>
              <w:spacing w:line="360" w:lineRule="auto"/>
              <w:rPr>
                <w:rFonts w:ascii="宋体" w:hAnsi="宋体"/>
                <w:color w:val="auto"/>
                <w:szCs w:val="21"/>
                <w:highlight w:val="none"/>
              </w:rPr>
            </w:pPr>
          </w:p>
        </w:tc>
        <w:tc>
          <w:tcPr>
            <w:tcW w:w="1785" w:type="dxa"/>
            <w:noWrap/>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ign w:val="center"/>
          </w:tcPr>
          <w:p>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2</w:t>
            </w:r>
          </w:p>
        </w:tc>
        <w:tc>
          <w:tcPr>
            <w:tcW w:w="5447" w:type="dxa"/>
            <w:noWrap/>
            <w:vAlign w:val="center"/>
          </w:tcPr>
          <w:p>
            <w:pPr>
              <w:spacing w:line="360" w:lineRule="auto"/>
              <w:rPr>
                <w:rFonts w:ascii="宋体" w:hAnsi="宋体"/>
                <w:i/>
                <w:iCs/>
                <w:color w:val="auto"/>
                <w:szCs w:val="21"/>
                <w:highlight w:val="none"/>
                <w:u w:val="single"/>
              </w:rPr>
            </w:pPr>
          </w:p>
        </w:tc>
        <w:tc>
          <w:tcPr>
            <w:tcW w:w="1680" w:type="dxa"/>
            <w:noWrap/>
            <w:vAlign w:val="center"/>
          </w:tcPr>
          <w:p>
            <w:pPr>
              <w:spacing w:line="360" w:lineRule="auto"/>
              <w:rPr>
                <w:rFonts w:ascii="宋体" w:hAnsi="宋体"/>
                <w:color w:val="auto"/>
                <w:szCs w:val="21"/>
                <w:highlight w:val="none"/>
              </w:rPr>
            </w:pPr>
          </w:p>
        </w:tc>
        <w:tc>
          <w:tcPr>
            <w:tcW w:w="1785" w:type="dxa"/>
            <w:noWrap/>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ign w:val="center"/>
          </w:tcPr>
          <w:p>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3</w:t>
            </w:r>
          </w:p>
        </w:tc>
        <w:tc>
          <w:tcPr>
            <w:tcW w:w="5447" w:type="dxa"/>
            <w:noWrap/>
            <w:vAlign w:val="center"/>
          </w:tcPr>
          <w:p>
            <w:pPr>
              <w:spacing w:line="360" w:lineRule="auto"/>
              <w:rPr>
                <w:rFonts w:ascii="宋体" w:hAnsi="宋体"/>
                <w:i/>
                <w:iCs/>
                <w:color w:val="auto"/>
                <w:szCs w:val="21"/>
                <w:highlight w:val="none"/>
                <w:u w:val="single"/>
              </w:rPr>
            </w:pPr>
          </w:p>
        </w:tc>
        <w:tc>
          <w:tcPr>
            <w:tcW w:w="1680" w:type="dxa"/>
            <w:noWrap/>
            <w:vAlign w:val="center"/>
          </w:tcPr>
          <w:p>
            <w:pPr>
              <w:spacing w:line="360" w:lineRule="auto"/>
              <w:rPr>
                <w:rFonts w:ascii="宋体" w:hAnsi="宋体"/>
                <w:color w:val="auto"/>
                <w:szCs w:val="21"/>
                <w:highlight w:val="none"/>
              </w:rPr>
            </w:pPr>
          </w:p>
        </w:tc>
        <w:tc>
          <w:tcPr>
            <w:tcW w:w="1785" w:type="dxa"/>
            <w:noWrap/>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noWrap/>
            <w:vAlign w:val="center"/>
          </w:tcPr>
          <w:p>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4</w:t>
            </w:r>
          </w:p>
        </w:tc>
        <w:tc>
          <w:tcPr>
            <w:tcW w:w="5447" w:type="dxa"/>
            <w:noWrap/>
            <w:vAlign w:val="center"/>
          </w:tcPr>
          <w:p>
            <w:pPr>
              <w:spacing w:line="360" w:lineRule="auto"/>
              <w:rPr>
                <w:rFonts w:ascii="宋体" w:hAnsi="宋体"/>
                <w:i/>
                <w:iCs/>
                <w:color w:val="auto"/>
                <w:szCs w:val="21"/>
                <w:highlight w:val="none"/>
                <w:u w:val="single"/>
              </w:rPr>
            </w:pPr>
          </w:p>
        </w:tc>
        <w:tc>
          <w:tcPr>
            <w:tcW w:w="1680" w:type="dxa"/>
            <w:noWrap/>
            <w:vAlign w:val="center"/>
          </w:tcPr>
          <w:p>
            <w:pPr>
              <w:spacing w:line="360" w:lineRule="auto"/>
              <w:rPr>
                <w:rFonts w:ascii="宋体" w:hAnsi="宋体"/>
                <w:color w:val="auto"/>
                <w:szCs w:val="21"/>
                <w:highlight w:val="none"/>
              </w:rPr>
            </w:pPr>
          </w:p>
        </w:tc>
        <w:tc>
          <w:tcPr>
            <w:tcW w:w="1785" w:type="dxa"/>
            <w:noWrap/>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noWrap/>
            <w:vAlign w:val="center"/>
          </w:tcPr>
          <w:p>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5</w:t>
            </w:r>
          </w:p>
        </w:tc>
        <w:tc>
          <w:tcPr>
            <w:tcW w:w="5447" w:type="dxa"/>
            <w:noWrap/>
            <w:vAlign w:val="center"/>
          </w:tcPr>
          <w:p>
            <w:pPr>
              <w:snapToGrid w:val="0"/>
              <w:spacing w:line="360" w:lineRule="auto"/>
              <w:rPr>
                <w:rFonts w:ascii="宋体" w:hAnsi="宋体"/>
                <w:i/>
                <w:iCs/>
                <w:color w:val="auto"/>
                <w:szCs w:val="21"/>
                <w:highlight w:val="none"/>
                <w:u w:val="single"/>
              </w:rPr>
            </w:pPr>
          </w:p>
        </w:tc>
        <w:tc>
          <w:tcPr>
            <w:tcW w:w="1680" w:type="dxa"/>
            <w:noWrap/>
            <w:vAlign w:val="center"/>
          </w:tcPr>
          <w:p>
            <w:pPr>
              <w:spacing w:line="360" w:lineRule="auto"/>
              <w:rPr>
                <w:rFonts w:ascii="宋体" w:hAnsi="宋体"/>
                <w:color w:val="auto"/>
                <w:szCs w:val="21"/>
                <w:highlight w:val="none"/>
              </w:rPr>
            </w:pPr>
          </w:p>
        </w:tc>
        <w:tc>
          <w:tcPr>
            <w:tcW w:w="1785" w:type="dxa"/>
            <w:noWrap/>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noWrap/>
            <w:vAlign w:val="center"/>
          </w:tcPr>
          <w:p>
            <w:pPr>
              <w:spacing w:line="360" w:lineRule="auto"/>
              <w:rPr>
                <w:rFonts w:ascii="宋体" w:hAnsi="宋体"/>
                <w:i/>
                <w:color w:val="auto"/>
                <w:szCs w:val="21"/>
                <w:highlight w:val="none"/>
                <w:u w:val="single"/>
              </w:rPr>
            </w:pPr>
          </w:p>
        </w:tc>
        <w:tc>
          <w:tcPr>
            <w:tcW w:w="5447" w:type="dxa"/>
            <w:noWrap/>
            <w:vAlign w:val="center"/>
          </w:tcPr>
          <w:p>
            <w:pPr>
              <w:snapToGrid w:val="0"/>
              <w:spacing w:line="360" w:lineRule="auto"/>
              <w:jc w:val="center"/>
              <w:rPr>
                <w:rFonts w:ascii="宋体" w:hAnsi="宋体"/>
                <w:i/>
                <w:iCs/>
                <w:color w:val="auto"/>
                <w:szCs w:val="21"/>
                <w:highlight w:val="none"/>
                <w:u w:val="single"/>
              </w:rPr>
            </w:pPr>
            <w:r>
              <w:rPr>
                <w:rFonts w:hint="eastAsia" w:ascii="宋体" w:hAnsi="宋体"/>
                <w:i/>
                <w:iCs/>
                <w:color w:val="auto"/>
                <w:szCs w:val="21"/>
                <w:highlight w:val="none"/>
              </w:rPr>
              <w:t>...</w:t>
            </w:r>
          </w:p>
        </w:tc>
        <w:tc>
          <w:tcPr>
            <w:tcW w:w="1680" w:type="dxa"/>
            <w:noWrap/>
            <w:vAlign w:val="center"/>
          </w:tcPr>
          <w:p>
            <w:pPr>
              <w:spacing w:line="360" w:lineRule="auto"/>
              <w:rPr>
                <w:rFonts w:ascii="宋体" w:hAnsi="宋体"/>
                <w:color w:val="auto"/>
                <w:szCs w:val="21"/>
                <w:highlight w:val="none"/>
              </w:rPr>
            </w:pPr>
          </w:p>
        </w:tc>
        <w:tc>
          <w:tcPr>
            <w:tcW w:w="1785" w:type="dxa"/>
            <w:noWrap/>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noWrap/>
            <w:vAlign w:val="center"/>
          </w:tcPr>
          <w:p>
            <w:pPr>
              <w:spacing w:line="360" w:lineRule="auto"/>
              <w:rPr>
                <w:rFonts w:ascii="宋体" w:hAnsi="宋体"/>
                <w:i/>
                <w:color w:val="auto"/>
                <w:szCs w:val="21"/>
                <w:highlight w:val="none"/>
                <w:u w:val="single"/>
              </w:rPr>
            </w:pPr>
          </w:p>
        </w:tc>
        <w:tc>
          <w:tcPr>
            <w:tcW w:w="5447" w:type="dxa"/>
            <w:noWrap/>
            <w:vAlign w:val="center"/>
          </w:tcPr>
          <w:p>
            <w:pPr>
              <w:snapToGrid w:val="0"/>
              <w:spacing w:line="360" w:lineRule="auto"/>
              <w:rPr>
                <w:rFonts w:ascii="宋体" w:hAnsi="宋体"/>
                <w:i/>
                <w:iCs/>
                <w:color w:val="auto"/>
                <w:szCs w:val="21"/>
                <w:highlight w:val="none"/>
                <w:u w:val="single"/>
              </w:rPr>
            </w:pPr>
            <w:r>
              <w:rPr>
                <w:rFonts w:hint="eastAsia" w:ascii="宋体" w:hAnsi="宋体"/>
                <w:i/>
                <w:iCs/>
                <w:color w:val="auto"/>
                <w:szCs w:val="21"/>
                <w:highlight w:val="none"/>
                <w:u w:val="single"/>
              </w:rPr>
              <w:t>磋商文件中的其他实质性要求</w:t>
            </w:r>
          </w:p>
        </w:tc>
        <w:tc>
          <w:tcPr>
            <w:tcW w:w="1680" w:type="dxa"/>
            <w:noWrap/>
            <w:vAlign w:val="center"/>
          </w:tcPr>
          <w:p>
            <w:pPr>
              <w:spacing w:line="360" w:lineRule="auto"/>
              <w:rPr>
                <w:rFonts w:ascii="宋体" w:hAnsi="宋体"/>
                <w:color w:val="auto"/>
                <w:szCs w:val="21"/>
                <w:highlight w:val="none"/>
              </w:rPr>
            </w:pPr>
          </w:p>
        </w:tc>
        <w:tc>
          <w:tcPr>
            <w:tcW w:w="1785" w:type="dxa"/>
            <w:noWrap/>
            <w:vAlign w:val="center"/>
          </w:tcPr>
          <w:p>
            <w:pPr>
              <w:spacing w:line="360" w:lineRule="auto"/>
              <w:rPr>
                <w:rFonts w:ascii="宋体" w:hAnsi="宋体"/>
                <w:color w:val="auto"/>
                <w:szCs w:val="21"/>
                <w:highlight w:val="none"/>
              </w:rPr>
            </w:pPr>
          </w:p>
        </w:tc>
      </w:tr>
    </w:tbl>
    <w:p>
      <w:pPr>
        <w:spacing w:before="50" w:after="50"/>
        <w:rPr>
          <w:rFonts w:ascii="黑体" w:eastAsia="黑体"/>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r>
        <w:rPr>
          <w:rFonts w:hint="eastAsia" w:ascii="宋体" w:hAnsi="宋体"/>
          <w:b/>
          <w:color w:val="auto"/>
          <w:szCs w:val="21"/>
          <w:highlight w:val="none"/>
        </w:rPr>
        <w:t>二、资信证明文件</w:t>
      </w:r>
    </w:p>
    <w:p>
      <w:pPr>
        <w:snapToGrid w:val="0"/>
        <w:spacing w:before="50" w:after="50" w:line="360" w:lineRule="auto"/>
        <w:rPr>
          <w:rFonts w:ascii="宋体" w:hAnsi="宋体" w:cs="宋体"/>
          <w:color w:val="auto"/>
          <w:szCs w:val="21"/>
          <w:highlight w:val="none"/>
        </w:rPr>
      </w:pPr>
      <w:r>
        <w:rPr>
          <w:rFonts w:hint="eastAsia" w:ascii="宋体" w:hAnsi="宋体" w:cs="宋体"/>
          <w:b/>
          <w:bCs/>
          <w:color w:val="auto"/>
          <w:szCs w:val="21"/>
          <w:highlight w:val="none"/>
        </w:rPr>
        <w:t>1、实质性资格证明文件目录</w:t>
      </w:r>
    </w:p>
    <w:p>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（一）符合相关规定的条件，并提供下列材料：</w:t>
      </w:r>
    </w:p>
    <w:p>
      <w:pPr>
        <w:spacing w:line="360" w:lineRule="auto"/>
        <w:ind w:firstLine="525" w:firstLineChars="250"/>
        <w:rPr>
          <w:rFonts w:ascii="宋体" w:hAnsi="宋体" w:cs="宋体"/>
          <w:i/>
          <w:iCs/>
          <w:color w:val="auto"/>
          <w:szCs w:val="21"/>
          <w:highlight w:val="none"/>
          <w:u w:val="single"/>
        </w:rPr>
      </w:pPr>
      <w:r>
        <w:rPr>
          <w:rFonts w:hint="eastAsia" w:ascii="宋体" w:hAnsi="宋体" w:cs="宋体"/>
          <w:i/>
          <w:iCs/>
          <w:color w:val="auto"/>
          <w:szCs w:val="21"/>
          <w:highlight w:val="none"/>
          <w:u w:val="single"/>
        </w:rPr>
        <w:t>1 磋商响应函</w:t>
      </w:r>
      <w:r>
        <w:rPr>
          <w:rFonts w:hint="eastAsia" w:ascii="宋体" w:hAnsi="宋体" w:cs="宋体"/>
          <w:b/>
          <w:i/>
          <w:iCs/>
          <w:color w:val="auto"/>
          <w:szCs w:val="21"/>
          <w:highlight w:val="none"/>
          <w:u w:val="single"/>
        </w:rPr>
        <w:t>(原件)</w:t>
      </w:r>
    </w:p>
    <w:p>
      <w:pPr>
        <w:spacing w:line="360" w:lineRule="auto"/>
        <w:ind w:right="312" w:firstLine="525" w:firstLineChars="250"/>
        <w:rPr>
          <w:rFonts w:ascii="宋体" w:hAnsi="宋体" w:cs="宋体"/>
          <w:i/>
          <w:iCs/>
          <w:color w:val="auto"/>
          <w:szCs w:val="21"/>
          <w:highlight w:val="none"/>
          <w:u w:val="single"/>
        </w:rPr>
      </w:pPr>
      <w:r>
        <w:rPr>
          <w:rFonts w:hint="eastAsia" w:ascii="宋体" w:hAnsi="宋体" w:cs="宋体"/>
          <w:i/>
          <w:iCs/>
          <w:color w:val="auto"/>
          <w:szCs w:val="21"/>
          <w:highlight w:val="none"/>
          <w:u w:val="single"/>
        </w:rPr>
        <w:t>2 资格声明</w:t>
      </w:r>
      <w:r>
        <w:rPr>
          <w:rFonts w:hint="eastAsia" w:ascii="宋体" w:hAnsi="宋体" w:cs="宋体"/>
          <w:b/>
          <w:i/>
          <w:iCs/>
          <w:color w:val="auto"/>
          <w:szCs w:val="21"/>
          <w:highlight w:val="none"/>
          <w:u w:val="single"/>
        </w:rPr>
        <w:t>(原件)</w:t>
      </w:r>
    </w:p>
    <w:p>
      <w:pPr>
        <w:spacing w:line="360" w:lineRule="auto"/>
        <w:ind w:right="312" w:firstLine="525" w:firstLineChars="250"/>
        <w:rPr>
          <w:rFonts w:ascii="宋体" w:hAnsi="宋体" w:cs="宋体"/>
          <w:i/>
          <w:iCs/>
          <w:color w:val="auto"/>
          <w:szCs w:val="21"/>
          <w:highlight w:val="none"/>
          <w:u w:val="single"/>
        </w:rPr>
      </w:pPr>
      <w:r>
        <w:rPr>
          <w:rFonts w:hint="eastAsia" w:ascii="宋体" w:hAnsi="宋体" w:cs="宋体"/>
          <w:i/>
          <w:iCs/>
          <w:color w:val="auto"/>
          <w:szCs w:val="21"/>
          <w:highlight w:val="none"/>
          <w:u w:val="single"/>
        </w:rPr>
        <w:t>3若法定代表人参加磋商的，须提供本人身份证复印件</w:t>
      </w:r>
      <w:r>
        <w:rPr>
          <w:rFonts w:hint="eastAsia" w:ascii="宋体" w:hAnsi="宋体" w:cs="宋体"/>
          <w:b/>
          <w:i/>
          <w:iCs/>
          <w:color w:val="auto"/>
          <w:szCs w:val="21"/>
          <w:highlight w:val="none"/>
          <w:u w:val="single"/>
        </w:rPr>
        <w:t>(原件备查)</w:t>
      </w:r>
      <w:r>
        <w:rPr>
          <w:rFonts w:hint="eastAsia" w:ascii="宋体" w:hAnsi="宋体" w:cs="宋体"/>
          <w:i/>
          <w:iCs/>
          <w:color w:val="auto"/>
          <w:szCs w:val="21"/>
          <w:highlight w:val="none"/>
          <w:u w:val="single"/>
        </w:rPr>
        <w:t>；若授权代表参加的，须提供《法人授权书》原件和授权代表身份证复印件</w:t>
      </w:r>
      <w:r>
        <w:rPr>
          <w:rFonts w:hint="eastAsia" w:ascii="宋体" w:hAnsi="宋体" w:cs="宋体"/>
          <w:b/>
          <w:i/>
          <w:iCs/>
          <w:color w:val="auto"/>
          <w:szCs w:val="21"/>
          <w:highlight w:val="none"/>
          <w:u w:val="single"/>
        </w:rPr>
        <w:t>（原件备查）</w:t>
      </w:r>
    </w:p>
    <w:p>
      <w:pPr>
        <w:spacing w:line="360" w:lineRule="auto"/>
        <w:ind w:firstLine="525" w:firstLineChars="250"/>
        <w:rPr>
          <w:rFonts w:ascii="宋体" w:hAnsi="宋体" w:cs="宋体"/>
          <w:i/>
          <w:iCs/>
          <w:color w:val="auto"/>
          <w:szCs w:val="21"/>
          <w:highlight w:val="none"/>
          <w:u w:val="single"/>
        </w:rPr>
      </w:pPr>
      <w:r>
        <w:rPr>
          <w:rFonts w:hint="eastAsia" w:ascii="宋体" w:hAnsi="宋体" w:cs="宋体"/>
          <w:i/>
          <w:iCs/>
          <w:color w:val="auto"/>
          <w:szCs w:val="21"/>
          <w:highlight w:val="none"/>
          <w:u w:val="single"/>
        </w:rPr>
        <w:t>4 营业执照副本</w:t>
      </w:r>
      <w:r>
        <w:rPr>
          <w:rFonts w:hint="eastAsia" w:ascii="宋体" w:hAnsi="宋体" w:cs="宋体"/>
          <w:b/>
          <w:i/>
          <w:iCs/>
          <w:color w:val="auto"/>
          <w:szCs w:val="21"/>
          <w:highlight w:val="none"/>
          <w:u w:val="single"/>
        </w:rPr>
        <w:t xml:space="preserve">(复印件加盖供应商公章) </w:t>
      </w:r>
    </w:p>
    <w:p>
      <w:pPr>
        <w:spacing w:line="360" w:lineRule="auto"/>
        <w:ind w:firstLine="525" w:firstLineChars="250"/>
        <w:rPr>
          <w:rFonts w:ascii="宋体" w:hAnsi="宋体" w:cs="宋体"/>
          <w:i/>
          <w:iCs/>
          <w:color w:val="auto"/>
          <w:szCs w:val="21"/>
          <w:highlight w:val="none"/>
          <w:u w:val="single"/>
        </w:rPr>
      </w:pPr>
      <w:r>
        <w:rPr>
          <w:rFonts w:hint="eastAsia" w:ascii="宋体" w:hAnsi="宋体" w:cs="宋体"/>
          <w:i/>
          <w:iCs/>
          <w:color w:val="auto"/>
          <w:szCs w:val="21"/>
          <w:highlight w:val="none"/>
          <w:u w:val="single"/>
        </w:rPr>
        <w:t>5 依法缴纳职工社会保障资金的证明材料</w:t>
      </w:r>
      <w:r>
        <w:rPr>
          <w:rFonts w:hint="eastAsia" w:ascii="宋体" w:hAnsi="宋体" w:cs="宋体"/>
          <w:b/>
          <w:i/>
          <w:iCs/>
          <w:color w:val="auto"/>
          <w:szCs w:val="21"/>
          <w:highlight w:val="none"/>
          <w:u w:val="single"/>
        </w:rPr>
        <w:t>(复印件加盖供应商公章)(税务、银行或社会保险基金管理部门出具的2023年2月-2023年4月三个月内任意一份缴纳职工社会保障资金的缴款凭证或缴款证明)</w:t>
      </w:r>
    </w:p>
    <w:p>
      <w:pPr>
        <w:spacing w:line="360" w:lineRule="auto"/>
        <w:ind w:firstLine="525" w:firstLineChars="250"/>
        <w:rPr>
          <w:rFonts w:ascii="宋体" w:hAnsi="宋体" w:cs="宋体"/>
          <w:b/>
          <w:i/>
          <w:iCs/>
          <w:color w:val="auto"/>
          <w:szCs w:val="21"/>
          <w:highlight w:val="none"/>
          <w:u w:val="single"/>
        </w:rPr>
      </w:pPr>
      <w:r>
        <w:rPr>
          <w:rFonts w:hint="eastAsia" w:ascii="宋体" w:hAnsi="宋体" w:cs="宋体"/>
          <w:i/>
          <w:iCs/>
          <w:color w:val="auto"/>
          <w:szCs w:val="21"/>
          <w:highlight w:val="none"/>
          <w:u w:val="single"/>
        </w:rPr>
        <w:t>6 供应商2023年2月-2023年4月三个月内任意一份依法纳税的缴款凭证</w:t>
      </w:r>
      <w:r>
        <w:rPr>
          <w:rFonts w:hint="eastAsia" w:ascii="宋体" w:hAnsi="宋体" w:cs="宋体"/>
          <w:b/>
          <w:i/>
          <w:iCs/>
          <w:color w:val="auto"/>
          <w:szCs w:val="21"/>
          <w:highlight w:val="none"/>
          <w:u w:val="single"/>
        </w:rPr>
        <w:t>(复印件加盖供应商公章)</w:t>
      </w:r>
    </w:p>
    <w:p>
      <w:pPr>
        <w:spacing w:line="360" w:lineRule="auto"/>
        <w:ind w:firstLine="525" w:firstLineChars="250"/>
        <w:jc w:val="left"/>
        <w:rPr>
          <w:rFonts w:ascii="宋体" w:hAnsi="宋体" w:cs="宋体"/>
          <w:i/>
          <w:iCs/>
          <w:color w:val="auto"/>
          <w:szCs w:val="21"/>
          <w:highlight w:val="none"/>
          <w:u w:val="single"/>
        </w:rPr>
      </w:pPr>
      <w:r>
        <w:rPr>
          <w:rFonts w:hint="eastAsia" w:ascii="宋体" w:hAnsi="宋体" w:cs="宋体"/>
          <w:i/>
          <w:iCs/>
          <w:color w:val="auto"/>
          <w:szCs w:val="21"/>
          <w:highlight w:val="none"/>
          <w:u w:val="single"/>
        </w:rPr>
        <w:t>7  上一年度财务报告</w:t>
      </w:r>
      <w:r>
        <w:rPr>
          <w:rFonts w:hint="eastAsia" w:ascii="宋体" w:hAnsi="宋体" w:cs="宋体"/>
          <w:b/>
          <w:i/>
          <w:iCs/>
          <w:color w:val="auto"/>
          <w:szCs w:val="21"/>
          <w:highlight w:val="none"/>
          <w:u w:val="single"/>
        </w:rPr>
        <w:t xml:space="preserve"> (复印件加盖供应商公章)</w:t>
      </w:r>
    </w:p>
    <w:p>
      <w:pPr>
        <w:spacing w:line="360" w:lineRule="auto"/>
        <w:ind w:firstLine="420" w:firstLineChars="200"/>
        <w:jc w:val="left"/>
        <w:rPr>
          <w:rFonts w:ascii="宋体" w:hAnsi="宋体" w:cs="宋体"/>
          <w:b/>
          <w:bCs/>
          <w:i/>
          <w:iCs/>
          <w:color w:val="auto"/>
          <w:szCs w:val="21"/>
          <w:highlight w:val="none"/>
          <w:u w:val="single"/>
        </w:rPr>
      </w:pPr>
      <w:r>
        <w:rPr>
          <w:rFonts w:hint="eastAsia" w:ascii="宋体" w:hAnsi="宋体" w:cs="宋体"/>
          <w:i/>
          <w:iCs/>
          <w:color w:val="auto"/>
          <w:szCs w:val="21"/>
          <w:highlight w:val="none"/>
          <w:u w:val="single"/>
        </w:rPr>
        <w:t>8 供应商参加本次采购活动前3年内在经营活动中没有重大违法记录的书面声明</w:t>
      </w:r>
      <w:r>
        <w:rPr>
          <w:rFonts w:hint="eastAsia" w:ascii="宋体" w:hAnsi="宋体" w:cs="宋体"/>
          <w:b/>
          <w:bCs/>
          <w:i/>
          <w:iCs/>
          <w:color w:val="auto"/>
          <w:szCs w:val="21"/>
          <w:highlight w:val="none"/>
          <w:u w:val="single"/>
        </w:rPr>
        <w:t>（原件）</w:t>
      </w:r>
    </w:p>
    <w:p>
      <w:pPr>
        <w:spacing w:line="360" w:lineRule="auto"/>
        <w:ind w:firstLine="420" w:firstLineChars="200"/>
        <w:rPr>
          <w:rFonts w:ascii="宋体" w:hAnsi="宋体" w:cs="宋体"/>
          <w:b/>
          <w:bCs/>
          <w:i/>
          <w:iCs/>
          <w:color w:val="auto"/>
          <w:szCs w:val="21"/>
          <w:highlight w:val="none"/>
          <w:u w:val="single"/>
        </w:rPr>
      </w:pPr>
      <w:r>
        <w:rPr>
          <w:rFonts w:hint="eastAsia" w:ascii="宋体" w:hAnsi="宋体" w:cs="宋体"/>
          <w:i/>
          <w:iCs/>
          <w:color w:val="auto"/>
          <w:szCs w:val="21"/>
          <w:highlight w:val="none"/>
          <w:u w:val="single"/>
        </w:rPr>
        <w:t>9 供应商信用承诺书</w:t>
      </w:r>
      <w:r>
        <w:rPr>
          <w:rFonts w:hint="eastAsia" w:ascii="宋体" w:hAnsi="宋体" w:cs="宋体"/>
          <w:b/>
          <w:bCs/>
          <w:i/>
          <w:iCs/>
          <w:color w:val="auto"/>
          <w:szCs w:val="21"/>
          <w:highlight w:val="none"/>
          <w:u w:val="single"/>
        </w:rPr>
        <w:t>（原件）</w:t>
      </w:r>
    </w:p>
    <w:p>
      <w:pPr>
        <w:numPr>
          <w:ilvl w:val="0"/>
          <w:numId w:val="2"/>
        </w:numPr>
        <w:spacing w:line="360" w:lineRule="auto"/>
        <w:ind w:firstLine="420" w:firstLineChars="200"/>
        <w:rPr>
          <w:rFonts w:ascii="宋体" w:hAnsi="宋体" w:cs="宋体"/>
          <w:i/>
          <w:iCs/>
          <w:color w:val="auto"/>
          <w:szCs w:val="21"/>
          <w:highlight w:val="none"/>
          <w:u w:val="single"/>
        </w:rPr>
      </w:pPr>
      <w:r>
        <w:rPr>
          <w:rFonts w:hint="eastAsia" w:ascii="宋体" w:hAnsi="宋体" w:cs="宋体"/>
          <w:color w:val="auto"/>
          <w:szCs w:val="21"/>
          <w:highlight w:val="none"/>
        </w:rPr>
        <w:t>采购人根据本项目要求规定的特定条件：</w:t>
      </w:r>
    </w:p>
    <w:p>
      <w:pPr>
        <w:spacing w:line="360" w:lineRule="auto"/>
        <w:ind w:left="420" w:left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1.供应商可在消防技术服务信息系统（https://shhxf.119.gov.cn/）中，查询到本单位具有消防设施维护保养检测的服务类型，在响应文件中需提供查询结果的页面截图（截图加盖投标人公章)；</w:t>
      </w:r>
    </w:p>
    <w:p>
      <w:pPr>
        <w:spacing w:line="360" w:lineRule="auto"/>
        <w:ind w:left="420" w:left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2.消防设备生产商技术支持函（东区为“能美”牌 ）(复印件加盖投标人公章)。</w:t>
      </w:r>
    </w:p>
    <w:p>
      <w:pPr>
        <w:numPr>
          <w:ilvl w:val="0"/>
          <w:numId w:val="2"/>
        </w:numPr>
        <w:spacing w:line="360" w:lineRule="auto"/>
        <w:ind w:firstLine="420" w:firstLineChars="200"/>
        <w:rPr>
          <w:rFonts w:ascii="宋体" w:hAnsi="宋体" w:cs="宋体"/>
          <w:i/>
          <w:iCs/>
          <w:color w:val="auto"/>
          <w:szCs w:val="21"/>
          <w:highlight w:val="none"/>
          <w:u w:val="single"/>
        </w:rPr>
      </w:pPr>
      <w:r>
        <w:rPr>
          <w:rFonts w:hint="eastAsia" w:ascii="宋体" w:hAnsi="宋体" w:cs="宋体"/>
          <w:color w:val="auto"/>
          <w:szCs w:val="21"/>
          <w:highlight w:val="none"/>
        </w:rPr>
        <w:t>落实政府采购需满足的资格要求：</w:t>
      </w:r>
      <w:r>
        <w:rPr>
          <w:rFonts w:hint="eastAsia" w:ascii="宋体" w:hAnsi="宋体" w:cs="宋体"/>
          <w:i/>
          <w:iCs/>
          <w:color w:val="auto"/>
          <w:szCs w:val="21"/>
          <w:highlight w:val="none"/>
          <w:u w:val="single"/>
        </w:rPr>
        <w:t>无</w:t>
      </w:r>
    </w:p>
    <w:p>
      <w:pPr>
        <w:adjustRightInd w:val="0"/>
        <w:snapToGrid w:val="0"/>
        <w:spacing w:line="360" w:lineRule="auto"/>
        <w:ind w:firstLine="843" w:firstLineChars="400"/>
        <w:contextualSpacing/>
        <w:rPr>
          <w:rFonts w:ascii="宋体" w:hAnsi="宋体" w:cs="宋体"/>
          <w:b/>
          <w:color w:val="auto"/>
          <w:szCs w:val="21"/>
          <w:highlight w:val="none"/>
        </w:rPr>
      </w:pPr>
      <w:r>
        <w:rPr>
          <w:rFonts w:hint="eastAsia" w:ascii="宋体" w:hAnsi="宋体" w:cs="宋体"/>
          <w:b/>
          <w:bCs/>
          <w:color w:val="auto"/>
          <w:szCs w:val="21"/>
          <w:highlight w:val="none"/>
        </w:rPr>
        <w:t>注：</w:t>
      </w:r>
      <w:r>
        <w:rPr>
          <w:rFonts w:hint="eastAsia" w:ascii="宋体" w:hAnsi="宋体" w:cs="宋体"/>
          <w:b/>
          <w:bCs/>
          <w:color w:val="auto"/>
          <w:szCs w:val="21"/>
          <w:highlight w:val="none"/>
        </w:rPr>
        <w:t>1</w:t>
      </w:r>
      <w:r>
        <w:rPr>
          <w:rFonts w:hint="eastAsia" w:ascii="宋体" w:hAnsi="宋体" w:cs="宋体"/>
          <w:b/>
          <w:color w:val="auto"/>
          <w:szCs w:val="21"/>
          <w:highlight w:val="none"/>
        </w:rPr>
        <w:t>.供应商如有相关政策支持，延期缴纳或暂不缴纳职工社会保障资金的，须提供相关证明材料；</w:t>
      </w:r>
    </w:p>
    <w:p>
      <w:pPr>
        <w:adjustRightInd w:val="0"/>
        <w:snapToGrid w:val="0"/>
        <w:spacing w:line="360" w:lineRule="auto"/>
        <w:ind w:firstLine="843" w:firstLineChars="400"/>
        <w:contextualSpacing/>
        <w:rPr>
          <w:rFonts w:ascii="宋体" w:hAnsi="宋体" w:cs="宋体"/>
          <w:b/>
          <w:color w:val="auto"/>
          <w:szCs w:val="21"/>
          <w:highlight w:val="none"/>
        </w:rPr>
      </w:pPr>
      <w:r>
        <w:rPr>
          <w:rFonts w:hint="eastAsia" w:ascii="宋体" w:hAnsi="宋体" w:cs="宋体"/>
          <w:b/>
          <w:color w:val="auto"/>
          <w:szCs w:val="21"/>
          <w:highlight w:val="none"/>
        </w:rPr>
        <w:t>2.若供应商为新成立公司不能提供5、6、7项，须提供相关证明材料；</w:t>
      </w:r>
    </w:p>
    <w:p>
      <w:pPr>
        <w:adjustRightInd w:val="0"/>
        <w:snapToGrid w:val="0"/>
        <w:spacing w:line="360" w:lineRule="auto"/>
        <w:ind w:firstLine="843" w:firstLineChars="400"/>
        <w:contextualSpacing/>
        <w:rPr>
          <w:rFonts w:ascii="宋体" w:hAnsi="宋体" w:cs="宋体"/>
          <w:color w:val="auto"/>
          <w:szCs w:val="21"/>
          <w:highlight w:val="none"/>
        </w:rPr>
      </w:pPr>
      <w:r>
        <w:rPr>
          <w:rFonts w:hint="eastAsia" w:ascii="宋体" w:hAnsi="宋体" w:cs="宋体"/>
          <w:b/>
          <w:color w:val="auto"/>
          <w:szCs w:val="21"/>
          <w:highlight w:val="none"/>
        </w:rPr>
        <w:t>3.如参加本项目的供应商为个体工商户、事业法人等非企业法人，则无需提供上述5、6、7项。</w:t>
      </w:r>
    </w:p>
    <w:p>
      <w:pPr>
        <w:pStyle w:val="18"/>
        <w:ind w:left="420" w:leftChars="200" w:firstLine="0" w:firstLineChars="0"/>
        <w:rPr>
          <w:color w:val="auto"/>
          <w:highlight w:val="none"/>
        </w:rPr>
      </w:pPr>
    </w:p>
    <w:p>
      <w:pPr>
        <w:pStyle w:val="38"/>
        <w:spacing w:line="360" w:lineRule="auto"/>
        <w:ind w:firstLine="0" w:firstLineChars="0"/>
        <w:rPr>
          <w:rFonts w:ascii="宋体" w:hAnsi="宋体"/>
          <w:b/>
          <w:bCs/>
          <w:color w:val="auto"/>
          <w:sz w:val="21"/>
          <w:szCs w:val="21"/>
          <w:highlight w:val="none"/>
        </w:rPr>
      </w:pPr>
    </w:p>
    <w:p>
      <w:pPr>
        <w:pStyle w:val="38"/>
        <w:spacing w:line="360" w:lineRule="auto"/>
        <w:ind w:firstLine="422"/>
        <w:jc w:val="center"/>
        <w:rPr>
          <w:rFonts w:ascii="宋体" w:hAnsi="宋体"/>
          <w:b/>
          <w:bCs/>
          <w:color w:val="auto"/>
          <w:sz w:val="21"/>
          <w:szCs w:val="21"/>
          <w:highlight w:val="none"/>
        </w:rPr>
        <w:sectPr>
          <w:pgSz w:w="11906" w:h="16838"/>
          <w:pgMar w:top="1440" w:right="1800" w:bottom="1440" w:left="1800" w:header="851" w:footer="992" w:gutter="0"/>
          <w:cols w:space="720" w:num="1"/>
          <w:docGrid w:type="lines" w:linePitch="312" w:charSpace="0"/>
        </w:sectPr>
      </w:pPr>
    </w:p>
    <w:p>
      <w:pPr>
        <w:pStyle w:val="38"/>
        <w:spacing w:line="360" w:lineRule="auto"/>
        <w:ind w:firstLine="422"/>
        <w:jc w:val="center"/>
        <w:rPr>
          <w:rFonts w:ascii="宋体" w:hAnsi="宋体"/>
          <w:b/>
          <w:color w:val="auto"/>
          <w:sz w:val="21"/>
          <w:szCs w:val="21"/>
          <w:highlight w:val="none"/>
        </w:rPr>
      </w:pPr>
      <w:r>
        <w:rPr>
          <w:rFonts w:hint="eastAsia" w:ascii="宋体" w:hAnsi="宋体"/>
          <w:b/>
          <w:bCs/>
          <w:color w:val="auto"/>
          <w:sz w:val="21"/>
          <w:szCs w:val="21"/>
          <w:highlight w:val="none"/>
        </w:rPr>
        <w:t>法人</w:t>
      </w:r>
      <w:r>
        <w:rPr>
          <w:rFonts w:hint="eastAsia" w:ascii="宋体" w:hAnsi="宋体"/>
          <w:b/>
          <w:color w:val="auto"/>
          <w:sz w:val="21"/>
          <w:szCs w:val="21"/>
          <w:highlight w:val="none"/>
        </w:rPr>
        <w:t>授权书</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本授权书声明：____________（供应商名称）授权________________（被授权人的姓名）为我方就 号项目采购活动的合法代理人，以本公司名义全权处理一切与该项目采购有关的事务。</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本授权书于______年____月____日起生效，特此声明。</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代理人（被授权人）：_______________________</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单位名称：_____________________________________</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授权单位盖章：_________________________________</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单位名称：_____________________________________</w:t>
      </w:r>
    </w:p>
    <w:p>
      <w:pPr>
        <w:pStyle w:val="38"/>
        <w:spacing w:line="360" w:lineRule="auto"/>
        <w:ind w:firstLine="420"/>
        <w:rPr>
          <w:rFonts w:ascii="宋体" w:hAnsi="宋体"/>
          <w:color w:val="auto"/>
          <w:sz w:val="21"/>
          <w:szCs w:val="21"/>
          <w:highlight w:val="none"/>
          <w:u w:val="single"/>
        </w:rPr>
      </w:pPr>
      <w:r>
        <w:rPr>
          <w:rFonts w:hint="eastAsia" w:ascii="宋体" w:hAnsi="宋体"/>
          <w:color w:val="auto"/>
          <w:sz w:val="21"/>
          <w:szCs w:val="21"/>
          <w:highlight w:val="none"/>
        </w:rPr>
        <w:t>地址：</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日期：</w:t>
      </w:r>
      <w:bookmarkStart w:id="130" w:name="_Hlt26671380"/>
      <w:bookmarkEnd w:id="130"/>
      <w:bookmarkStart w:id="131" w:name="_Hlt26955070"/>
      <w:bookmarkEnd w:id="131"/>
      <w:bookmarkStart w:id="132" w:name="_格式3__银行出具的资信证明"/>
      <w:bookmarkEnd w:id="132"/>
      <w:r>
        <w:rPr>
          <w:rFonts w:hint="eastAsia" w:ascii="宋体" w:hAnsi="宋体"/>
          <w:color w:val="auto"/>
          <w:sz w:val="21"/>
          <w:szCs w:val="21"/>
          <w:highlight w:val="none"/>
        </w:rPr>
        <w:t>年月日</w:t>
      </w: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r>
        <w:rPr>
          <w:rFonts w:hint="eastAsia" w:ascii="宋体" w:hAnsi="宋体"/>
          <w:bCs/>
          <w:color w:val="auto"/>
          <w:sz w:val="24"/>
          <w:highlight w:val="none"/>
        </w:rPr>
        <w:t>身份证复印件：</w:t>
      </w:r>
    </w:p>
    <w:p>
      <w:pPr>
        <w:spacing w:line="460" w:lineRule="exact"/>
        <w:rPr>
          <w:rFonts w:ascii="宋体" w:hAnsi="宋体"/>
          <w:bCs/>
          <w:color w:val="auto"/>
          <w:sz w:val="24"/>
          <w:highlight w:val="none"/>
        </w:rPr>
      </w:pPr>
      <w:r>
        <w:rPr>
          <w:rFonts w:hint="eastAsia" w:ascii="宋体" w:hAnsi="宋体"/>
          <w:bCs/>
          <w:color w:val="auto"/>
          <w:sz w:val="24"/>
          <w:highlight w:val="none"/>
        </w:rPr>
        <w:tab/>
      </w:r>
    </w:p>
    <w:p>
      <w:pPr>
        <w:pStyle w:val="38"/>
        <w:spacing w:line="360" w:lineRule="auto"/>
        <w:ind w:firstLine="801" w:firstLineChars="380"/>
        <w:rPr>
          <w:rFonts w:ascii="宋体" w:hAnsi="宋体"/>
          <w:b/>
          <w:color w:val="auto"/>
          <w:sz w:val="21"/>
          <w:szCs w:val="21"/>
          <w:highlight w:val="none"/>
        </w:rPr>
      </w:pPr>
    </w:p>
    <w:p>
      <w:pPr>
        <w:pStyle w:val="38"/>
        <w:spacing w:line="360" w:lineRule="auto"/>
        <w:ind w:firstLine="801" w:firstLineChars="380"/>
        <w:rPr>
          <w:rFonts w:ascii="宋体" w:hAnsi="宋体"/>
          <w:b/>
          <w:color w:val="auto"/>
          <w:sz w:val="21"/>
          <w:szCs w:val="21"/>
          <w:highlight w:val="none"/>
        </w:rPr>
      </w:pPr>
    </w:p>
    <w:p>
      <w:pPr>
        <w:pStyle w:val="38"/>
        <w:spacing w:line="360" w:lineRule="auto"/>
        <w:ind w:firstLine="801" w:firstLineChars="380"/>
        <w:rPr>
          <w:rFonts w:ascii="宋体" w:hAnsi="宋体"/>
          <w:color w:val="auto"/>
          <w:sz w:val="21"/>
          <w:szCs w:val="21"/>
          <w:highlight w:val="none"/>
        </w:rPr>
      </w:pPr>
      <w:r>
        <w:rPr>
          <w:rFonts w:hint="eastAsia" w:ascii="宋体" w:hAnsi="宋体"/>
          <w:b/>
          <w:color w:val="auto"/>
          <w:sz w:val="21"/>
          <w:szCs w:val="21"/>
          <w:highlight w:val="none"/>
        </w:rPr>
        <w:t>参加采购活动前 3 年内在经营活动中没有重大违法记录的书面声明</w:t>
      </w:r>
    </w:p>
    <w:p>
      <w:pPr>
        <w:spacing w:line="360" w:lineRule="auto"/>
        <w:rPr>
          <w:rFonts w:ascii="宋体" w:hAnsi="宋体"/>
          <w:b/>
          <w:bCs/>
          <w:color w:val="auto"/>
          <w:szCs w:val="21"/>
          <w:highlight w:val="none"/>
        </w:rPr>
      </w:pPr>
    </w:p>
    <w:p>
      <w:pPr>
        <w:spacing w:line="360" w:lineRule="auto"/>
        <w:rPr>
          <w:rFonts w:ascii="宋体" w:hAnsi="宋体"/>
          <w:b/>
          <w:bCs/>
          <w:color w:val="auto"/>
          <w:szCs w:val="21"/>
          <w:highlight w:val="none"/>
        </w:rPr>
      </w:pPr>
      <w:r>
        <w:rPr>
          <w:rFonts w:hint="eastAsia" w:ascii="宋体" w:hAnsi="宋体"/>
          <w:b/>
          <w:bCs/>
          <w:color w:val="auto"/>
          <w:szCs w:val="21"/>
          <w:highlight w:val="none"/>
        </w:rPr>
        <w:t xml:space="preserve">                              声  明   </w:t>
      </w:r>
    </w:p>
    <w:p>
      <w:pPr>
        <w:spacing w:line="360" w:lineRule="auto"/>
        <w:rPr>
          <w:rFonts w:ascii="宋体" w:hAnsi="宋体"/>
          <w:bCs/>
          <w:color w:val="auto"/>
          <w:szCs w:val="21"/>
          <w:highlight w:val="none"/>
        </w:rPr>
      </w:pPr>
      <w:r>
        <w:rPr>
          <w:rFonts w:hint="eastAsia" w:ascii="宋体" w:hAnsi="宋体"/>
          <w:bCs/>
          <w:color w:val="auto"/>
          <w:szCs w:val="21"/>
          <w:highlight w:val="none"/>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bCs/>
          <w:color w:val="auto"/>
          <w:szCs w:val="21"/>
          <w:highlight w:val="none"/>
        </w:rPr>
      </w:pPr>
    </w:p>
    <w:p>
      <w:pPr>
        <w:spacing w:line="360" w:lineRule="auto"/>
        <w:ind w:firstLine="4410" w:firstLineChars="2100"/>
        <w:rPr>
          <w:rFonts w:ascii="宋体" w:hAnsi="宋体"/>
          <w:bCs/>
          <w:color w:val="auto"/>
          <w:szCs w:val="21"/>
          <w:highlight w:val="none"/>
        </w:rPr>
      </w:pPr>
      <w:r>
        <w:rPr>
          <w:rFonts w:hint="eastAsia" w:ascii="宋体" w:hAnsi="宋体"/>
          <w:bCs/>
          <w:color w:val="auto"/>
          <w:szCs w:val="21"/>
          <w:highlight w:val="none"/>
        </w:rPr>
        <w:t>供应商名称（公章）：</w:t>
      </w: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法定代表人或授权代表签字：</w:t>
      </w:r>
      <w:r>
        <w:rPr>
          <w:rFonts w:hint="eastAsia" w:ascii="宋体" w:hAnsi="宋体"/>
          <w:bCs/>
          <w:color w:val="auto"/>
          <w:szCs w:val="21"/>
          <w:highlight w:val="none"/>
          <w:u w:val="single"/>
        </w:rPr>
        <w:t>______</w:t>
      </w: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日期：</w:t>
      </w:r>
      <w:r>
        <w:rPr>
          <w:rFonts w:hint="eastAsia" w:ascii="宋体" w:hAnsi="宋体"/>
          <w:bCs/>
          <w:color w:val="auto"/>
          <w:szCs w:val="21"/>
          <w:highlight w:val="none"/>
          <w:u w:val="single"/>
        </w:rPr>
        <w:t>______</w:t>
      </w:r>
      <w:r>
        <w:rPr>
          <w:rFonts w:hint="eastAsia" w:ascii="宋体" w:hAnsi="宋体"/>
          <w:bCs/>
          <w:color w:val="auto"/>
          <w:szCs w:val="21"/>
          <w:highlight w:val="none"/>
        </w:rPr>
        <w:t>年月日</w:t>
      </w:r>
    </w:p>
    <w:p>
      <w:pPr>
        <w:spacing w:line="360" w:lineRule="auto"/>
        <w:jc w:val="center"/>
        <w:rPr>
          <w:rFonts w:ascii="黑体" w:hAnsi="黑体" w:eastAsia="黑体"/>
          <w:b/>
          <w:color w:val="auto"/>
          <w:sz w:val="32"/>
          <w:szCs w:val="32"/>
          <w:highlight w:val="none"/>
        </w:rPr>
        <w:sectPr>
          <w:pgSz w:w="11906" w:h="16838"/>
          <w:pgMar w:top="1440" w:right="1800" w:bottom="1440" w:left="1800" w:header="851" w:footer="992" w:gutter="0"/>
          <w:cols w:space="720" w:num="1"/>
          <w:docGrid w:type="lines" w:linePitch="312" w:charSpace="0"/>
        </w:sectPr>
      </w:pPr>
    </w:p>
    <w:p>
      <w:pPr>
        <w:spacing w:line="360" w:lineRule="auto"/>
        <w:jc w:val="center"/>
        <w:rPr>
          <w:rFonts w:ascii="方正仿宋_GBK"/>
          <w:color w:val="auto"/>
          <w:szCs w:val="32"/>
          <w:highlight w:val="none"/>
        </w:rPr>
      </w:pPr>
      <w:r>
        <w:rPr>
          <w:rFonts w:hint="eastAsia" w:ascii="宋体" w:hAnsi="宋体" w:cs="宋体"/>
          <w:b/>
          <w:color w:val="auto"/>
          <w:szCs w:val="21"/>
          <w:highlight w:val="none"/>
        </w:rPr>
        <w:t>供应商信用承诺书</w:t>
      </w:r>
    </w:p>
    <w:p>
      <w:pPr>
        <w:spacing w:line="480" w:lineRule="exact"/>
        <w:rPr>
          <w:rFonts w:ascii="宋体" w:hAnsi="宋体" w:cs="宋体"/>
          <w:color w:val="auto"/>
          <w:szCs w:val="32"/>
          <w:highlight w:val="none"/>
        </w:rPr>
      </w:pPr>
      <w:r>
        <w:rPr>
          <w:rFonts w:hint="eastAsia" w:ascii="宋体" w:hAnsi="宋体" w:cs="宋体"/>
          <w:color w:val="auto"/>
          <w:szCs w:val="32"/>
          <w:highlight w:val="none"/>
        </w:rPr>
        <w:t>承诺主体名称：</w:t>
      </w:r>
    </w:p>
    <w:p>
      <w:pPr>
        <w:spacing w:line="480" w:lineRule="exact"/>
        <w:rPr>
          <w:rFonts w:ascii="宋体" w:hAnsi="宋体" w:cs="宋体"/>
          <w:color w:val="auto"/>
          <w:szCs w:val="32"/>
          <w:highlight w:val="none"/>
        </w:rPr>
      </w:pPr>
      <w:r>
        <w:rPr>
          <w:rFonts w:hint="eastAsia" w:ascii="宋体" w:hAnsi="宋体" w:cs="宋体"/>
          <w:color w:val="auto"/>
          <w:szCs w:val="32"/>
          <w:highlight w:val="none"/>
        </w:rPr>
        <w:t>统一社会信用代码：</w:t>
      </w:r>
    </w:p>
    <w:p>
      <w:pPr>
        <w:spacing w:line="48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为维护公平竞争、规范有序的市场秩序，营造诚实守信的信用环境，共同推进社会信用体系建设完善，树立企业诚信守法形象，本企业对________________________项目采购活动郑重承诺如下:</w:t>
      </w:r>
    </w:p>
    <w:p>
      <w:pPr>
        <w:spacing w:line="48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一、对提供给注册登记部门、行业管理部门、司法部门、行业组织以及在采购活动中提交的所有资料的合法性、真实性、准确性和有效性负责；</w:t>
      </w:r>
    </w:p>
    <w:p>
      <w:pPr>
        <w:spacing w:line="48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二、严格按照国家法律、法规和规章开展采购活动，全面履行应尽的责任和义务，全面做到履约守信，具备《中华人民共和国政府采购法》第二十二条第一款规定的条件;</w:t>
      </w:r>
    </w:p>
    <w:p>
      <w:pPr>
        <w:spacing w:line="48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三、严格依法开展生产经营活动，主动接受行业监管，自愿接受依法开展的日常检查；违法失信经营后将自愿接受约束和惩戒，并依法承担相应责任；</w:t>
      </w:r>
    </w:p>
    <w:p>
      <w:pPr>
        <w:spacing w:line="48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四、自觉接受行政管理部门、行业组织、社会公众、新闻舆论的监督；</w:t>
      </w:r>
    </w:p>
    <w:p>
      <w:pPr>
        <w:spacing w:line="48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五、自觉做到自我约束、自我管理，不制假售假、商标侵权、虚假宣传、违约毁约、恶意逃债、偷税漏税、垄断和不正当竞争，维护经营者、消费者的合法权益；</w:t>
      </w:r>
    </w:p>
    <w:p>
      <w:pPr>
        <w:spacing w:line="48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六、提出政府采购质疑和投诉坚持依法依规、诚实信用原则，在全国范围12个月内没有三次以上查无实据的政府采购投诉；</w:t>
      </w:r>
    </w:p>
    <w:p>
      <w:pPr>
        <w:spacing w:line="48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七、严格遵守信用信息公示相关规定，向社会公示信用信息；</w:t>
      </w:r>
    </w:p>
    <w:p>
      <w:pPr>
        <w:spacing w:line="48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八、在“信用中国”和“中国政府采购网”网站中无违法违规、较重或严重失信记录；</w:t>
      </w:r>
    </w:p>
    <w:p>
      <w:pPr>
        <w:spacing w:line="48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九、如违反承诺，自愿接受管理部门依法给予的行政处罚，同意将违反承诺的行为作为不良记录记入信用档案，依法依规进行信息公示，并承担所产生的一切法律责任和经济损失。</w:t>
      </w:r>
    </w:p>
    <w:p>
      <w:pPr>
        <w:spacing w:line="48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十、本承诺书自签订之日起生效。</w:t>
      </w:r>
    </w:p>
    <w:p>
      <w:pPr>
        <w:spacing w:line="48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 （注：法定代表人或负责人、主体名称发生变更的应当重新做出承诺。）</w:t>
      </w:r>
    </w:p>
    <w:p>
      <w:pPr>
        <w:spacing w:line="480" w:lineRule="exact"/>
        <w:jc w:val="center"/>
        <w:rPr>
          <w:rFonts w:ascii="宋体" w:hAnsi="宋体" w:cs="宋体"/>
          <w:color w:val="auto"/>
          <w:szCs w:val="32"/>
          <w:highlight w:val="none"/>
        </w:rPr>
      </w:pPr>
      <w:r>
        <w:rPr>
          <w:rFonts w:hint="eastAsia" w:ascii="宋体" w:hAnsi="宋体" w:cs="宋体"/>
          <w:color w:val="auto"/>
          <w:szCs w:val="32"/>
          <w:highlight w:val="none"/>
        </w:rPr>
        <w:t xml:space="preserve">　　　　　　　　　　        承诺单位（签章）：           </w:t>
      </w:r>
    </w:p>
    <w:p>
      <w:pPr>
        <w:spacing w:line="480" w:lineRule="exact"/>
        <w:jc w:val="center"/>
        <w:rPr>
          <w:rFonts w:ascii="宋体" w:hAnsi="宋体" w:cs="宋体"/>
          <w:color w:val="auto"/>
          <w:szCs w:val="32"/>
          <w:highlight w:val="none"/>
        </w:rPr>
      </w:pPr>
      <w:r>
        <w:rPr>
          <w:rFonts w:hint="eastAsia" w:ascii="宋体" w:hAnsi="宋体" w:cs="宋体"/>
          <w:color w:val="auto"/>
          <w:szCs w:val="32"/>
          <w:highlight w:val="none"/>
        </w:rPr>
        <w:t>　　　　　　　　　   　  法定代表人（负责人）：</w:t>
      </w:r>
    </w:p>
    <w:p>
      <w:pPr>
        <w:spacing w:line="480" w:lineRule="exact"/>
        <w:jc w:val="center"/>
        <w:rPr>
          <w:rFonts w:ascii="宋体" w:hAnsi="宋体" w:cs="宋体"/>
          <w:color w:val="auto"/>
          <w:szCs w:val="32"/>
          <w:highlight w:val="none"/>
        </w:rPr>
        <w:sectPr>
          <w:pgSz w:w="11906" w:h="16838"/>
          <w:pgMar w:top="1440" w:right="1800" w:bottom="1440" w:left="1800" w:header="851" w:footer="992" w:gutter="0"/>
          <w:cols w:space="720" w:num="1"/>
          <w:docGrid w:type="lines" w:linePitch="312" w:charSpace="0"/>
        </w:sectPr>
      </w:pPr>
      <w:r>
        <w:rPr>
          <w:rFonts w:hint="eastAsia" w:ascii="宋体" w:hAnsi="宋体" w:cs="宋体"/>
          <w:color w:val="auto"/>
          <w:szCs w:val="32"/>
          <w:highlight w:val="none"/>
        </w:rPr>
        <w:t>　　　　　　　　　      　年    月    日</w:t>
      </w:r>
    </w:p>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资 格 声 明</w:t>
      </w:r>
    </w:p>
    <w:p>
      <w:pPr>
        <w:spacing w:line="360" w:lineRule="auto"/>
        <w:rPr>
          <w:rFonts w:ascii="宋体" w:hAnsi="宋体"/>
          <w:color w:val="auto"/>
          <w:szCs w:val="21"/>
          <w:highlight w:val="none"/>
        </w:rPr>
      </w:pPr>
      <w:r>
        <w:rPr>
          <w:rFonts w:hint="eastAsia" w:ascii="宋体" w:hAnsi="宋体"/>
          <w:color w:val="auto"/>
          <w:szCs w:val="21"/>
          <w:highlight w:val="none"/>
        </w:rPr>
        <w:t>1、名称及其它情况：</w:t>
      </w:r>
    </w:p>
    <w:p>
      <w:pPr>
        <w:spacing w:line="360" w:lineRule="auto"/>
        <w:rPr>
          <w:rFonts w:ascii="宋体" w:hAnsi="宋体"/>
          <w:color w:val="auto"/>
          <w:szCs w:val="21"/>
          <w:highlight w:val="none"/>
        </w:rPr>
      </w:pPr>
      <w:r>
        <w:rPr>
          <w:rFonts w:hint="eastAsia" w:ascii="宋体" w:hAnsi="宋体"/>
          <w:color w:val="auto"/>
          <w:szCs w:val="21"/>
          <w:highlight w:val="none"/>
        </w:rPr>
        <w:t>（1）供应商名称：</w:t>
      </w:r>
    </w:p>
    <w:p>
      <w:pPr>
        <w:tabs>
          <w:tab w:val="left" w:pos="4530"/>
        </w:tabs>
        <w:spacing w:line="360" w:lineRule="auto"/>
        <w:rPr>
          <w:rFonts w:ascii="宋体" w:hAnsi="宋体"/>
          <w:color w:val="auto"/>
          <w:szCs w:val="21"/>
          <w:highlight w:val="none"/>
        </w:rPr>
      </w:pPr>
      <w:r>
        <w:rPr>
          <w:rFonts w:hint="eastAsia" w:ascii="宋体" w:hAnsi="宋体"/>
          <w:color w:val="auto"/>
          <w:szCs w:val="21"/>
          <w:highlight w:val="none"/>
        </w:rPr>
        <w:t>（2）地址：</w:t>
      </w:r>
      <w:r>
        <w:rPr>
          <w:rFonts w:hint="eastAsia" w:ascii="宋体" w:hAnsi="宋体"/>
          <w:color w:val="auto"/>
          <w:szCs w:val="21"/>
          <w:highlight w:val="none"/>
        </w:rPr>
        <w:tab/>
      </w:r>
      <w:r>
        <w:rPr>
          <w:rFonts w:hint="eastAsia" w:ascii="宋体" w:hAnsi="宋体"/>
          <w:color w:val="auto"/>
          <w:szCs w:val="21"/>
          <w:highlight w:val="none"/>
        </w:rPr>
        <w:t>邮编：</w:t>
      </w:r>
    </w:p>
    <w:p>
      <w:pPr>
        <w:tabs>
          <w:tab w:val="left" w:pos="600"/>
          <w:tab w:val="left" w:pos="4320"/>
        </w:tabs>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电话：     传真：</w:t>
      </w:r>
    </w:p>
    <w:p>
      <w:pPr>
        <w:spacing w:line="360" w:lineRule="auto"/>
        <w:rPr>
          <w:rFonts w:ascii="宋体" w:hAnsi="宋体"/>
          <w:color w:val="auto"/>
          <w:szCs w:val="21"/>
          <w:highlight w:val="none"/>
          <w:u w:val="single"/>
        </w:rPr>
      </w:pPr>
      <w:r>
        <w:rPr>
          <w:rFonts w:hint="eastAsia" w:ascii="宋体" w:hAnsi="宋体"/>
          <w:color w:val="auto"/>
          <w:szCs w:val="21"/>
          <w:highlight w:val="none"/>
        </w:rPr>
        <w:t>（3）成立和/或注册日期：</w:t>
      </w:r>
    </w:p>
    <w:p>
      <w:pPr>
        <w:spacing w:line="360" w:lineRule="auto"/>
        <w:rPr>
          <w:rFonts w:ascii="宋体" w:hAnsi="宋体"/>
          <w:color w:val="auto"/>
          <w:szCs w:val="21"/>
          <w:highlight w:val="none"/>
        </w:rPr>
      </w:pPr>
      <w:r>
        <w:rPr>
          <w:rFonts w:hint="eastAsia" w:ascii="宋体" w:hAnsi="宋体"/>
          <w:color w:val="auto"/>
          <w:szCs w:val="21"/>
          <w:highlight w:val="none"/>
        </w:rPr>
        <w:t>（4）法定代表人：</w:t>
      </w:r>
    </w:p>
    <w:p>
      <w:pPr>
        <w:spacing w:line="360" w:lineRule="auto"/>
        <w:rPr>
          <w:rFonts w:ascii="宋体" w:hAnsi="宋体"/>
          <w:color w:val="auto"/>
          <w:szCs w:val="21"/>
          <w:highlight w:val="none"/>
          <w:u w:val="single"/>
        </w:rPr>
      </w:pPr>
      <w:r>
        <w:rPr>
          <w:rFonts w:hint="eastAsia" w:ascii="宋体" w:hAnsi="宋体"/>
          <w:color w:val="auto"/>
          <w:szCs w:val="21"/>
          <w:highlight w:val="none"/>
        </w:rPr>
        <w:t>（5）实收资本：</w:t>
      </w:r>
    </w:p>
    <w:p>
      <w:pPr>
        <w:spacing w:line="360" w:lineRule="auto"/>
        <w:rPr>
          <w:rFonts w:ascii="宋体" w:hAnsi="宋体"/>
          <w:color w:val="auto"/>
          <w:szCs w:val="21"/>
          <w:highlight w:val="none"/>
        </w:rPr>
      </w:pPr>
      <w:r>
        <w:rPr>
          <w:rFonts w:hint="eastAsia" w:ascii="宋体" w:hAnsi="宋体"/>
          <w:color w:val="auto"/>
          <w:szCs w:val="21"/>
          <w:highlight w:val="none"/>
        </w:rPr>
        <w:t>（6）近期资产负债表：（到</w:t>
      </w:r>
      <w:r>
        <w:rPr>
          <w:rFonts w:hint="eastAsia" w:ascii="宋体" w:hAnsi="宋体"/>
          <w:color w:val="auto"/>
          <w:szCs w:val="21"/>
          <w:highlight w:val="none"/>
          <w:u w:val="single"/>
        </w:rPr>
        <w:t>20  年12月31日</w:t>
      </w:r>
      <w:r>
        <w:rPr>
          <w:rFonts w:hint="eastAsia" w:ascii="宋体" w:hAnsi="宋体"/>
          <w:color w:val="auto"/>
          <w:szCs w:val="21"/>
          <w:highlight w:val="none"/>
        </w:rPr>
        <w:t>）</w:t>
      </w:r>
    </w:p>
    <w:p>
      <w:pPr>
        <w:spacing w:line="360" w:lineRule="auto"/>
        <w:ind w:firstLine="240"/>
        <w:rPr>
          <w:rFonts w:ascii="宋体" w:hAnsi="宋体"/>
          <w:color w:val="auto"/>
          <w:szCs w:val="21"/>
          <w:highlight w:val="none"/>
        </w:rPr>
      </w:pPr>
      <w:r>
        <w:rPr>
          <w:rFonts w:hint="eastAsia" w:ascii="宋体" w:hAnsi="宋体"/>
          <w:color w:val="auto"/>
          <w:szCs w:val="21"/>
          <w:highlight w:val="none"/>
        </w:rPr>
        <w:t>&lt;1&gt; 固定资产：</w:t>
      </w:r>
    </w:p>
    <w:p>
      <w:pPr>
        <w:spacing w:line="360" w:lineRule="auto"/>
        <w:ind w:firstLine="240"/>
        <w:rPr>
          <w:rFonts w:ascii="宋体" w:hAnsi="宋体"/>
          <w:color w:val="auto"/>
          <w:szCs w:val="21"/>
          <w:highlight w:val="none"/>
        </w:rPr>
      </w:pPr>
      <w:r>
        <w:rPr>
          <w:rFonts w:hint="eastAsia" w:ascii="宋体" w:hAnsi="宋体"/>
          <w:color w:val="auto"/>
          <w:szCs w:val="21"/>
          <w:highlight w:val="none"/>
        </w:rPr>
        <w:t>&lt;2&gt; 流动资金：</w:t>
      </w:r>
    </w:p>
    <w:p>
      <w:pPr>
        <w:spacing w:line="360" w:lineRule="auto"/>
        <w:ind w:firstLine="240"/>
        <w:rPr>
          <w:rFonts w:ascii="宋体" w:hAnsi="宋体"/>
          <w:color w:val="auto"/>
          <w:szCs w:val="21"/>
          <w:highlight w:val="none"/>
        </w:rPr>
      </w:pPr>
      <w:r>
        <w:rPr>
          <w:rFonts w:hint="eastAsia" w:ascii="宋体" w:hAnsi="宋体"/>
          <w:color w:val="auto"/>
          <w:szCs w:val="21"/>
          <w:highlight w:val="none"/>
        </w:rPr>
        <w:t>&lt;3&gt; 长期负债：</w:t>
      </w:r>
    </w:p>
    <w:p>
      <w:pPr>
        <w:spacing w:line="360" w:lineRule="auto"/>
        <w:ind w:firstLine="240"/>
        <w:rPr>
          <w:rFonts w:ascii="宋体" w:hAnsi="宋体"/>
          <w:color w:val="auto"/>
          <w:szCs w:val="21"/>
          <w:highlight w:val="none"/>
        </w:rPr>
      </w:pPr>
      <w:r>
        <w:rPr>
          <w:rFonts w:hint="eastAsia" w:ascii="宋体" w:hAnsi="宋体"/>
          <w:color w:val="auto"/>
          <w:szCs w:val="21"/>
          <w:highlight w:val="none"/>
        </w:rPr>
        <w:t>&lt;4&gt; 短期负债：</w:t>
      </w:r>
    </w:p>
    <w:p>
      <w:pPr>
        <w:spacing w:line="360" w:lineRule="auto"/>
        <w:rPr>
          <w:rFonts w:ascii="宋体" w:hAnsi="宋体"/>
          <w:color w:val="auto"/>
          <w:szCs w:val="21"/>
          <w:highlight w:val="none"/>
        </w:rPr>
      </w:pPr>
      <w:r>
        <w:rPr>
          <w:rFonts w:hint="eastAsia" w:ascii="宋体" w:hAnsi="宋体"/>
          <w:color w:val="auto"/>
          <w:szCs w:val="21"/>
          <w:highlight w:val="none"/>
        </w:rPr>
        <w:t>2、近三年同类货物和服务的主要销售业绩（无有效联系人、联系方式和合同复印件的视为未填报本项目）：</w:t>
      </w:r>
    </w:p>
    <w:tbl>
      <w:tblPr>
        <w:tblStyle w:val="31"/>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noWrap/>
          </w:tcPr>
          <w:p>
            <w:pPr>
              <w:spacing w:line="360" w:lineRule="auto"/>
              <w:jc w:val="center"/>
              <w:rPr>
                <w:rFonts w:ascii="宋体" w:hAnsi="宋体"/>
                <w:color w:val="auto"/>
                <w:szCs w:val="21"/>
                <w:highlight w:val="none"/>
                <w:u w:val="single"/>
              </w:rPr>
            </w:pPr>
            <w:r>
              <w:rPr>
                <w:rFonts w:hint="eastAsia" w:ascii="宋体" w:hAnsi="宋体"/>
                <w:color w:val="auto"/>
                <w:szCs w:val="21"/>
                <w:highlight w:val="none"/>
                <w:u w:val="single"/>
              </w:rPr>
              <w:t>甲方名称、联系人、联系方式</w:t>
            </w:r>
          </w:p>
        </w:tc>
        <w:tc>
          <w:tcPr>
            <w:tcW w:w="4251" w:type="dxa"/>
            <w:noWrap/>
          </w:tcPr>
          <w:p>
            <w:pPr>
              <w:spacing w:line="360" w:lineRule="auto"/>
              <w:jc w:val="center"/>
              <w:rPr>
                <w:rFonts w:ascii="宋体" w:hAnsi="宋体"/>
                <w:color w:val="auto"/>
                <w:szCs w:val="21"/>
                <w:highlight w:val="none"/>
                <w:u w:val="single"/>
              </w:rPr>
            </w:pPr>
            <w:r>
              <w:rPr>
                <w:rFonts w:hint="eastAsia" w:ascii="宋体" w:hAnsi="宋体"/>
                <w:color w:val="auto"/>
                <w:szCs w:val="21"/>
                <w:highlight w:val="none"/>
                <w:u w:val="single"/>
              </w:rPr>
              <w:t>项   目   名   称</w:t>
            </w:r>
          </w:p>
        </w:tc>
      </w:tr>
      <w:tr>
        <w:tblPrEx>
          <w:tblCellMar>
            <w:top w:w="0" w:type="dxa"/>
            <w:left w:w="108" w:type="dxa"/>
            <w:bottom w:w="0" w:type="dxa"/>
            <w:right w:w="108" w:type="dxa"/>
          </w:tblCellMar>
        </w:tblPrEx>
        <w:tc>
          <w:tcPr>
            <w:tcW w:w="4271" w:type="dxa"/>
            <w:noWrap/>
          </w:tcPr>
          <w:p>
            <w:pPr>
              <w:spacing w:line="360" w:lineRule="auto"/>
              <w:rPr>
                <w:rFonts w:ascii="宋体" w:hAnsi="宋体"/>
                <w:color w:val="auto"/>
                <w:szCs w:val="21"/>
                <w:highlight w:val="none"/>
              </w:rPr>
            </w:pPr>
          </w:p>
        </w:tc>
        <w:tc>
          <w:tcPr>
            <w:tcW w:w="4251" w:type="dxa"/>
            <w:noWrap/>
          </w:tcPr>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c>
          <w:tcPr>
            <w:tcW w:w="4271" w:type="dxa"/>
            <w:noWrap/>
          </w:tcPr>
          <w:p>
            <w:pPr>
              <w:spacing w:line="360" w:lineRule="auto"/>
              <w:rPr>
                <w:rFonts w:ascii="宋体" w:hAnsi="宋体"/>
                <w:color w:val="auto"/>
                <w:szCs w:val="21"/>
                <w:highlight w:val="none"/>
              </w:rPr>
            </w:pPr>
          </w:p>
        </w:tc>
        <w:tc>
          <w:tcPr>
            <w:tcW w:w="4251" w:type="dxa"/>
            <w:noWrap/>
          </w:tcPr>
          <w:p>
            <w:pPr>
              <w:spacing w:line="360" w:lineRule="auto"/>
              <w:rPr>
                <w:rFonts w:ascii="宋体" w:hAnsi="宋体"/>
                <w:color w:val="auto"/>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ind w:left="410" w:hanging="410"/>
        <w:rPr>
          <w:rFonts w:ascii="宋体" w:hAnsi="宋体"/>
          <w:color w:val="auto"/>
          <w:szCs w:val="21"/>
          <w:highlight w:val="none"/>
        </w:rPr>
      </w:pPr>
      <w:r>
        <w:rPr>
          <w:rFonts w:hint="eastAsia" w:ascii="宋体" w:hAnsi="宋体"/>
          <w:color w:val="auto"/>
          <w:szCs w:val="21"/>
          <w:highlight w:val="none"/>
        </w:rPr>
        <w:t>3、本次采购要求的其他资格文件以及供应商认为需要声明的其他情况：</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兹证明上述声明是真实的、正确的，并提供了全部能提供的资料和数据，我们同意遵照贵方要求出示有关证明文件，如有虚假，自愿丧失成交资格，一年内退出采购人采购市场。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供应商公章：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法定代表人或授权代表签字：</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日期：年月日        </w:t>
      </w:r>
    </w:p>
    <w:p>
      <w:pPr>
        <w:spacing w:line="360" w:lineRule="auto"/>
        <w:jc w:val="center"/>
        <w:rPr>
          <w:rFonts w:ascii="宋体" w:hAnsi="宋体"/>
          <w:b/>
          <w:bCs/>
          <w:color w:val="auto"/>
          <w:szCs w:val="21"/>
          <w:highlight w:val="none"/>
        </w:rPr>
        <w:sectPr>
          <w:pgSz w:w="11906" w:h="16838"/>
          <w:pgMar w:top="1440" w:right="1800" w:bottom="1440" w:left="1800" w:header="851" w:footer="992" w:gutter="0"/>
          <w:cols w:space="720" w:num="1"/>
          <w:docGrid w:type="lines" w:linePitch="312" w:charSpace="0"/>
        </w:sectPr>
      </w:pPr>
      <w:r>
        <w:rPr>
          <w:rFonts w:hint="eastAsia" w:ascii="宋体" w:hAnsi="宋体"/>
          <w:b/>
          <w:bCs/>
          <w:color w:val="auto"/>
          <w:szCs w:val="21"/>
          <w:highlight w:val="none"/>
        </w:rPr>
        <w:t>（注：资格声明为格式文件,实质性内容请勿修改，否则将导致响应文件无效）</w:t>
      </w: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r>
        <w:rPr>
          <w:rFonts w:hint="eastAsia" w:ascii="宋体" w:hAnsi="宋体"/>
          <w:b/>
          <w:color w:val="auto"/>
          <w:szCs w:val="21"/>
          <w:highlight w:val="none"/>
        </w:rPr>
        <w:t>三、磋商响应函</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致：扬州大学附属医院代理机构公司</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根据贵方的号磋商文件，正式授权下述签字人_________ (姓名和职务)代表我方______________（供应商的名称），全权处理本次项目磋商采购的有关事宜。</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据此函，__________（签字人）兹宣布同意如下：</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1.按磋商文件规定的各项要求，向买方提供所需服务。</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2.我们已详细审核全部磋商文件及其有效补充文件，我们知道必须放弃提出含糊不清或误解问题的权利。</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3.我们同意从规定的响应文件接收截止时间起遵循本响应文件，并在规定的磋商有效期期满之前均具有约束力。</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4.同意向贵方提供贵方可能另外要求的与磋商采购有关的任何证据或资料，并保证我方已提供和将要提供的文件是真实的、准确的。</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5.一旦我方成交，我方将根据磋商文件的规定，严格履行合同的责任和义务，并保证在磋商文件规定的时间完成项目，交付买方验收、使用。</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6.遵守磋商文件中要求的收费项目和标准。</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7.与本磋商采购有关的正式通讯地址为：</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地 址：                         邮 编：</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电 话：                         传 真：</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供应商开户行：                  账 户： </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法定代表人或授权代表姓名（签字）：     联系电话：</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供应商名称（公章）：            </w:t>
      </w:r>
    </w:p>
    <w:p>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日 期：________年____月____日</w:t>
      </w:r>
    </w:p>
    <w:p>
      <w:pPr>
        <w:spacing w:before="50" w:afterLines="50" w:line="360" w:lineRule="auto"/>
        <w:rPr>
          <w:rFonts w:eastAsia="仿宋_GB2312" w:cs="Calibri"/>
          <w:color w:val="auto"/>
          <w:sz w:val="24"/>
          <w:szCs w:val="20"/>
          <w:highlight w:val="none"/>
        </w:rPr>
      </w:pPr>
    </w:p>
    <w:p>
      <w:pPr>
        <w:spacing w:line="360" w:lineRule="auto"/>
        <w:jc w:val="center"/>
        <w:rPr>
          <w:rFonts w:ascii="宋体" w:hAnsi="宋体"/>
          <w:b/>
          <w:color w:val="auto"/>
          <w:szCs w:val="21"/>
          <w:highlight w:val="none"/>
        </w:rPr>
      </w:pPr>
      <w:r>
        <w:rPr>
          <w:rFonts w:hint="eastAsia" w:ascii="宋体" w:hAnsi="宋体"/>
          <w:b/>
          <w:bCs/>
          <w:color w:val="auto"/>
          <w:sz w:val="32"/>
          <w:szCs w:val="32"/>
          <w:highlight w:val="none"/>
        </w:rPr>
        <w:br w:type="page"/>
      </w:r>
      <w:r>
        <w:rPr>
          <w:rFonts w:hint="eastAsia" w:ascii="宋体" w:hAnsi="宋体"/>
          <w:b/>
          <w:color w:val="auto"/>
          <w:szCs w:val="21"/>
          <w:highlight w:val="none"/>
        </w:rPr>
        <w:t>四、磋商响应报价表</w:t>
      </w:r>
    </w:p>
    <w:p>
      <w:pPr>
        <w:spacing w:line="360" w:lineRule="auto"/>
        <w:rPr>
          <w:rFonts w:ascii="宋体" w:hAnsi="宋体"/>
          <w:color w:val="auto"/>
          <w:szCs w:val="21"/>
          <w:highlight w:val="none"/>
        </w:rPr>
      </w:pPr>
    </w:p>
    <w:p>
      <w:pPr>
        <w:pStyle w:val="23"/>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项目名称： </w:t>
      </w:r>
    </w:p>
    <w:p>
      <w:pPr>
        <w:spacing w:line="360" w:lineRule="auto"/>
        <w:rPr>
          <w:rFonts w:ascii="宋体" w:hAnsi="宋体"/>
          <w:color w:val="auto"/>
          <w:szCs w:val="21"/>
          <w:highlight w:val="none"/>
        </w:rPr>
      </w:pPr>
      <w:r>
        <w:rPr>
          <w:rFonts w:hint="eastAsia" w:ascii="宋体" w:hAnsi="宋体"/>
          <w:color w:val="auto"/>
          <w:szCs w:val="21"/>
          <w:highlight w:val="none"/>
        </w:rPr>
        <w:t>项目编号：</w:t>
      </w:r>
    </w:p>
    <w:p>
      <w:pPr>
        <w:spacing w:line="360" w:lineRule="auto"/>
        <w:rPr>
          <w:rFonts w:ascii="宋体" w:hAnsi="宋体"/>
          <w:color w:val="auto"/>
          <w:szCs w:val="21"/>
          <w:highlight w:val="none"/>
        </w:rPr>
      </w:pPr>
    </w:p>
    <w:tbl>
      <w:tblPr>
        <w:tblStyle w:val="31"/>
        <w:tblW w:w="45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6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946" w:type="pct"/>
            <w:tcBorders>
              <w:top w:val="single" w:color="auto" w:sz="4" w:space="0"/>
              <w:left w:val="single" w:color="auto" w:sz="4" w:space="0"/>
              <w:bottom w:val="single" w:color="auto" w:sz="4" w:space="0"/>
              <w:right w:val="single" w:color="auto" w:sz="4" w:space="0"/>
            </w:tcBorders>
            <w:noWrap/>
            <w:vAlign w:val="center"/>
          </w:tcPr>
          <w:p>
            <w:pPr>
              <w:pStyle w:val="17"/>
              <w:adjustRightInd w:val="0"/>
              <w:snapToGrid w:val="0"/>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服务名称</w:t>
            </w:r>
          </w:p>
        </w:tc>
        <w:tc>
          <w:tcPr>
            <w:tcW w:w="405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第一轮报价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64" w:hRule="atLeast"/>
          <w:jc w:val="center"/>
        </w:trPr>
        <w:tc>
          <w:tcPr>
            <w:tcW w:w="946" w:type="pct"/>
            <w:tcBorders>
              <w:top w:val="single" w:color="auto" w:sz="4" w:space="0"/>
              <w:left w:val="single" w:color="auto" w:sz="4" w:space="0"/>
              <w:bottom w:val="single" w:color="auto" w:sz="4" w:space="0"/>
              <w:right w:val="single" w:color="auto" w:sz="4" w:space="0"/>
            </w:tcBorders>
            <w:noWrap/>
            <w:vAlign w:val="center"/>
          </w:tcPr>
          <w:p>
            <w:pPr>
              <w:pStyle w:val="17"/>
              <w:adjustRightInd w:val="0"/>
              <w:snapToGrid w:val="0"/>
              <w:spacing w:line="300" w:lineRule="auto"/>
              <w:rPr>
                <w:rFonts w:ascii="宋体" w:hAnsi="宋体" w:eastAsia="宋体" w:cs="宋体"/>
                <w:color w:val="auto"/>
                <w:kern w:val="2"/>
                <w:sz w:val="21"/>
                <w:szCs w:val="21"/>
                <w:highlight w:val="none"/>
              </w:rPr>
            </w:pPr>
          </w:p>
        </w:tc>
        <w:tc>
          <w:tcPr>
            <w:tcW w:w="4053" w:type="pct"/>
            <w:tcBorders>
              <w:top w:val="single" w:color="auto" w:sz="4" w:space="0"/>
              <w:left w:val="single" w:color="auto" w:sz="4" w:space="0"/>
              <w:bottom w:val="single" w:color="auto" w:sz="4" w:space="0"/>
              <w:right w:val="single" w:color="auto" w:sz="4" w:space="0"/>
            </w:tcBorders>
            <w:noWrap/>
            <w:vAlign w:val="center"/>
          </w:tcPr>
          <w:p>
            <w:pPr>
              <w:pStyle w:val="17"/>
              <w:adjustRightInd w:val="0"/>
              <w:snapToGrid w:val="0"/>
              <w:spacing w:line="30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大写：</w:t>
            </w:r>
          </w:p>
          <w:p>
            <w:pPr>
              <w:pStyle w:val="36"/>
              <w:spacing w:before="0" w:after="0" w:line="500" w:lineRule="exact"/>
              <w:ind w:firstLine="0"/>
              <w:rPr>
                <w:rFonts w:ascii="宋体" w:hAnsi="宋体" w:cs="宋体"/>
                <w:color w:val="auto"/>
                <w:sz w:val="21"/>
                <w:szCs w:val="21"/>
                <w:highlight w:val="none"/>
              </w:rPr>
            </w:pPr>
            <w:r>
              <w:rPr>
                <w:rFonts w:hint="eastAsia" w:ascii="宋体" w:hAnsi="宋体" w:cs="宋体"/>
                <w:color w:val="auto"/>
                <w:sz w:val="21"/>
                <w:szCs w:val="21"/>
                <w:highlight w:val="none"/>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946" w:type="pct"/>
            <w:tcBorders>
              <w:top w:val="single" w:color="auto" w:sz="4" w:space="0"/>
              <w:left w:val="single" w:color="auto" w:sz="4" w:space="0"/>
              <w:bottom w:val="single" w:color="auto" w:sz="4" w:space="0"/>
              <w:right w:val="single" w:color="auto" w:sz="4" w:space="0"/>
            </w:tcBorders>
            <w:noWrap/>
            <w:vAlign w:val="center"/>
          </w:tcPr>
          <w:p>
            <w:pPr>
              <w:pStyle w:val="17"/>
              <w:adjustRightInd w:val="0"/>
              <w:snapToGrid w:val="0"/>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c>
          <w:tcPr>
            <w:tcW w:w="4053" w:type="pct"/>
            <w:tcBorders>
              <w:top w:val="single" w:color="auto" w:sz="4" w:space="0"/>
              <w:left w:val="single" w:color="auto" w:sz="4" w:space="0"/>
              <w:bottom w:val="single" w:color="auto" w:sz="4" w:space="0"/>
              <w:right w:val="single" w:color="auto" w:sz="4" w:space="0"/>
            </w:tcBorders>
            <w:noWrap/>
            <w:vAlign w:val="center"/>
          </w:tcPr>
          <w:p>
            <w:pPr>
              <w:pStyle w:val="17"/>
              <w:adjustRightInd w:val="0"/>
              <w:snapToGrid w:val="0"/>
              <w:spacing w:line="300" w:lineRule="auto"/>
              <w:rPr>
                <w:rFonts w:ascii="宋体" w:hAnsi="宋体" w:cs="宋体"/>
                <w:color w:val="auto"/>
                <w:kern w:val="2"/>
                <w:sz w:val="21"/>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法定代表人或者授权代表（签字或盖章）：                    </w:t>
      </w:r>
    </w:p>
    <w:p>
      <w:pPr>
        <w:spacing w:line="360" w:lineRule="auto"/>
        <w:rPr>
          <w:rFonts w:ascii="宋体" w:hAnsi="宋体"/>
          <w:color w:val="auto"/>
          <w:szCs w:val="21"/>
          <w:highlight w:val="none"/>
          <w:u w:val="single"/>
        </w:rPr>
      </w:pPr>
      <w:r>
        <w:rPr>
          <w:rFonts w:hint="eastAsia" w:ascii="宋体" w:hAnsi="宋体"/>
          <w:color w:val="auto"/>
          <w:szCs w:val="21"/>
          <w:highlight w:val="none"/>
        </w:rPr>
        <w:t>磋商供应商全称（盖章）：</w:t>
      </w:r>
    </w:p>
    <w:p>
      <w:pPr>
        <w:spacing w:line="360" w:lineRule="auto"/>
        <w:rPr>
          <w:rFonts w:ascii="宋体" w:hAnsi="宋体"/>
          <w:color w:val="auto"/>
          <w:szCs w:val="21"/>
          <w:highlight w:val="none"/>
        </w:rPr>
      </w:pPr>
      <w:r>
        <w:rPr>
          <w:rFonts w:hint="eastAsia" w:ascii="宋体" w:hAnsi="宋体"/>
          <w:color w:val="auto"/>
          <w:szCs w:val="21"/>
          <w:highlight w:val="none"/>
        </w:rPr>
        <w:t xml:space="preserve">                                               日期：    年   月    日</w:t>
      </w: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sectPr>
          <w:pgSz w:w="11906" w:h="16838"/>
          <w:pgMar w:top="1440" w:right="1800" w:bottom="1440" w:left="1800" w:header="851" w:footer="992" w:gutter="0"/>
          <w:cols w:space="720" w:num="1"/>
          <w:docGrid w:type="lines" w:linePitch="312" w:charSpace="0"/>
        </w:sectPr>
      </w:pPr>
    </w:p>
    <w:p>
      <w:pPr>
        <w:jc w:val="center"/>
        <w:rPr>
          <w:rFonts w:ascii="宋体" w:hAnsi="宋体"/>
          <w:b/>
          <w:color w:val="auto"/>
          <w:szCs w:val="21"/>
          <w:highlight w:val="none"/>
        </w:rPr>
      </w:pPr>
      <w:r>
        <w:rPr>
          <w:rFonts w:hint="eastAsia" w:ascii="宋体" w:hAnsi="宋体"/>
          <w:b/>
          <w:color w:val="auto"/>
          <w:szCs w:val="21"/>
          <w:highlight w:val="none"/>
        </w:rPr>
        <w:t>五、分项报价表</w:t>
      </w:r>
    </w:p>
    <w:p>
      <w:pPr>
        <w:pStyle w:val="13"/>
        <w:spacing w:line="360" w:lineRule="auto"/>
        <w:rPr>
          <w:rFonts w:ascii="宋体" w:hAnsi="宋体"/>
          <w:color w:val="auto"/>
          <w:highlight w:val="none"/>
        </w:rPr>
      </w:pPr>
    </w:p>
    <w:p>
      <w:pPr>
        <w:pStyle w:val="13"/>
        <w:spacing w:line="360" w:lineRule="auto"/>
        <w:rPr>
          <w:rFonts w:ascii="宋体" w:hAnsi="宋体" w:cs="宋体"/>
          <w:color w:val="auto"/>
          <w:sz w:val="21"/>
          <w:highlight w:val="none"/>
        </w:rPr>
      </w:pPr>
      <w:r>
        <w:rPr>
          <w:rFonts w:hint="eastAsia" w:ascii="宋体" w:hAnsi="宋体" w:cs="宋体"/>
          <w:color w:val="auto"/>
          <w:sz w:val="21"/>
          <w:highlight w:val="none"/>
        </w:rPr>
        <w:t xml:space="preserve">供应商全称（加盖公章）：            </w:t>
      </w:r>
    </w:p>
    <w:p>
      <w:pPr>
        <w:pStyle w:val="13"/>
        <w:spacing w:line="360" w:lineRule="auto"/>
        <w:rPr>
          <w:rFonts w:ascii="宋体" w:hAnsi="宋体" w:cs="宋体"/>
          <w:color w:val="auto"/>
          <w:sz w:val="21"/>
          <w:highlight w:val="none"/>
        </w:rPr>
      </w:pPr>
      <w:r>
        <w:rPr>
          <w:rFonts w:hint="eastAsia" w:ascii="宋体" w:hAnsi="宋体" w:cs="宋体"/>
          <w:color w:val="auto"/>
          <w:sz w:val="21"/>
          <w:highlight w:val="none"/>
        </w:rPr>
        <w:t>项目编号：</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296"/>
        <w:gridCol w:w="2346"/>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noWrap/>
          </w:tcPr>
          <w:p>
            <w:pPr>
              <w:tabs>
                <w:tab w:val="left" w:pos="808"/>
              </w:tabs>
              <w:spacing w:line="360" w:lineRule="auto"/>
              <w:rPr>
                <w:rFonts w:ascii="宋体" w:hAnsi="宋体" w:cs="宋体"/>
                <w:b/>
                <w:color w:val="auto"/>
                <w:szCs w:val="21"/>
                <w:highlight w:val="none"/>
              </w:rPr>
            </w:pPr>
            <w:r>
              <w:rPr>
                <w:rFonts w:hint="eastAsia" w:ascii="宋体" w:hAnsi="宋体" w:cs="宋体"/>
                <w:b/>
                <w:color w:val="auto"/>
                <w:szCs w:val="21"/>
                <w:highlight w:val="none"/>
              </w:rPr>
              <w:t>东区消防设施、设备维保服务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96"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服务地点</w:t>
            </w:r>
          </w:p>
        </w:tc>
        <w:tc>
          <w:tcPr>
            <w:tcW w:w="2346"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单价</w:t>
            </w:r>
          </w:p>
        </w:tc>
        <w:tc>
          <w:tcPr>
            <w:tcW w:w="2677"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229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c>
          <w:tcPr>
            <w:tcW w:w="234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c>
          <w:tcPr>
            <w:tcW w:w="267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229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c>
          <w:tcPr>
            <w:tcW w:w="234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c>
          <w:tcPr>
            <w:tcW w:w="267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3</w:t>
            </w:r>
          </w:p>
        </w:tc>
        <w:tc>
          <w:tcPr>
            <w:tcW w:w="229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c>
          <w:tcPr>
            <w:tcW w:w="234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c>
          <w:tcPr>
            <w:tcW w:w="267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auto"/>
                <w:szCs w:val="21"/>
                <w:highlight w:val="none"/>
              </w:rPr>
            </w:pPr>
            <w:r>
              <w:rPr>
                <w:rFonts w:hint="eastAsia" w:ascii="宋体" w:hAnsi="宋体" w:cs="宋体"/>
                <w:b/>
                <w:bCs/>
                <w:color w:val="auto"/>
                <w:szCs w:val="21"/>
                <w:highlight w:val="none"/>
              </w:rPr>
              <w:t>东区合计</w:t>
            </w:r>
          </w:p>
        </w:tc>
        <w:tc>
          <w:tcPr>
            <w:tcW w:w="7319" w:type="dxa"/>
            <w:gridSpan w:val="3"/>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auto"/>
                <w:szCs w:val="21"/>
                <w:highlight w:val="none"/>
              </w:rPr>
            </w:pPr>
            <w:r>
              <w:rPr>
                <w:rFonts w:hint="eastAsia" w:ascii="宋体" w:hAnsi="宋体" w:cs="宋体"/>
                <w:b/>
                <w:color w:val="auto"/>
                <w:szCs w:val="21"/>
                <w:highlight w:val="none"/>
              </w:rPr>
              <w:t>西区消防设施、设备维保服务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229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c>
          <w:tcPr>
            <w:tcW w:w="234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c>
          <w:tcPr>
            <w:tcW w:w="267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229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c>
          <w:tcPr>
            <w:tcW w:w="234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c>
          <w:tcPr>
            <w:tcW w:w="267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3</w:t>
            </w:r>
          </w:p>
        </w:tc>
        <w:tc>
          <w:tcPr>
            <w:tcW w:w="229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c>
          <w:tcPr>
            <w:tcW w:w="234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c>
          <w:tcPr>
            <w:tcW w:w="267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auto"/>
                <w:szCs w:val="21"/>
                <w:highlight w:val="none"/>
              </w:rPr>
            </w:pPr>
            <w:r>
              <w:rPr>
                <w:rFonts w:hint="eastAsia" w:ascii="宋体" w:hAnsi="宋体" w:cs="宋体"/>
                <w:b/>
                <w:bCs/>
                <w:color w:val="auto"/>
                <w:szCs w:val="21"/>
                <w:highlight w:val="none"/>
              </w:rPr>
              <w:t>西区合计</w:t>
            </w:r>
          </w:p>
        </w:tc>
        <w:tc>
          <w:tcPr>
            <w:tcW w:w="7319" w:type="dxa"/>
            <w:gridSpan w:val="3"/>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总价</w:t>
            </w:r>
          </w:p>
        </w:tc>
        <w:tc>
          <w:tcPr>
            <w:tcW w:w="7319" w:type="dxa"/>
            <w:gridSpan w:val="3"/>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r>
              <w:rPr>
                <w:rFonts w:hint="eastAsia" w:ascii="宋体" w:hAnsi="宋体" w:cs="宋体"/>
                <w:color w:val="auto"/>
                <w:szCs w:val="21"/>
                <w:highlight w:val="none"/>
              </w:rPr>
              <w:t>人民币（大写）：                   元</w:t>
            </w:r>
          </w:p>
        </w:tc>
      </w:tr>
    </w:tbl>
    <w:p>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备注：</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1、各供应商可以根据实际情况合理安排，对上述项目适当予以调整。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2、所有报价（含各分项报价）必须符合国家法律法规及本次磋商文件要求。总报价明显低于其自身合理成本且又无法提供证明的，属于恶意竞争情形，被评委认定为恶意竞争的，为无效报价。</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法定代表人或授权代表（签字或盖章）</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           年    月    日</w:t>
      </w:r>
    </w:p>
    <w:p>
      <w:pPr>
        <w:spacing w:line="360" w:lineRule="auto"/>
        <w:rPr>
          <w:rFonts w:ascii="宋体" w:hAnsi="宋体"/>
          <w:b/>
          <w:color w:val="auto"/>
          <w:szCs w:val="21"/>
          <w:highlight w:val="none"/>
        </w:rPr>
      </w:pPr>
    </w:p>
    <w:p>
      <w:pPr>
        <w:spacing w:line="360" w:lineRule="auto"/>
        <w:rPr>
          <w:rFonts w:ascii="宋体" w:hAnsi="宋体"/>
          <w:color w:val="auto"/>
          <w:szCs w:val="21"/>
          <w:highlight w:val="none"/>
        </w:rPr>
      </w:pPr>
    </w:p>
    <w:p>
      <w:pPr>
        <w:spacing w:line="360" w:lineRule="auto"/>
        <w:jc w:val="center"/>
        <w:rPr>
          <w:rFonts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六、技术参数响应及偏离表</w:t>
      </w:r>
    </w:p>
    <w:p>
      <w:pPr>
        <w:spacing w:line="360" w:lineRule="auto"/>
        <w:rPr>
          <w:rFonts w:ascii="宋体" w:hAnsi="宋体"/>
          <w:bCs/>
          <w:color w:val="auto"/>
          <w:szCs w:val="21"/>
          <w:highlight w:val="none"/>
        </w:rPr>
      </w:pPr>
      <w:r>
        <w:rPr>
          <w:rFonts w:hint="eastAsia" w:ascii="宋体" w:hAnsi="宋体"/>
          <w:bCs/>
          <w:color w:val="auto"/>
          <w:szCs w:val="21"/>
          <w:highlight w:val="none"/>
        </w:rPr>
        <w:t>供应商全称（加盖公章）：</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序号</w:t>
            </w:r>
          </w:p>
        </w:tc>
        <w:tc>
          <w:tcPr>
            <w:tcW w:w="201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color w:val="auto"/>
                <w:szCs w:val="21"/>
                <w:highlight w:val="none"/>
              </w:rPr>
            </w:pPr>
            <w:r>
              <w:rPr>
                <w:rFonts w:hint="eastAsia" w:ascii="宋体" w:hAnsi="宋体"/>
                <w:color w:val="auto"/>
                <w:szCs w:val="21"/>
                <w:highlight w:val="none"/>
              </w:rPr>
              <w:t xml:space="preserve">       项目</w:t>
            </w:r>
          </w:p>
        </w:tc>
        <w:tc>
          <w:tcPr>
            <w:tcW w:w="184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ind w:firstLine="315" w:firstLineChars="150"/>
              <w:rPr>
                <w:rFonts w:ascii="宋体" w:hAnsi="宋体"/>
                <w:color w:val="auto"/>
                <w:szCs w:val="21"/>
                <w:highlight w:val="none"/>
              </w:rPr>
            </w:pPr>
            <w:r>
              <w:rPr>
                <w:rFonts w:hint="eastAsia" w:ascii="宋体" w:hAnsi="宋体"/>
                <w:color w:val="auto"/>
                <w:szCs w:val="21"/>
                <w:highlight w:val="none"/>
              </w:rPr>
              <w:t>磋商要求</w:t>
            </w:r>
          </w:p>
        </w:tc>
        <w:tc>
          <w:tcPr>
            <w:tcW w:w="12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color w:val="auto"/>
                <w:szCs w:val="21"/>
                <w:highlight w:val="none"/>
              </w:rPr>
            </w:pPr>
            <w:r>
              <w:rPr>
                <w:rFonts w:hint="eastAsia" w:ascii="宋体" w:hAnsi="宋体"/>
                <w:color w:val="auto"/>
                <w:szCs w:val="21"/>
                <w:highlight w:val="none"/>
              </w:rPr>
              <w:t>磋商响应</w:t>
            </w:r>
          </w:p>
        </w:tc>
        <w:tc>
          <w:tcPr>
            <w:tcW w:w="113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color w:val="auto"/>
                <w:szCs w:val="21"/>
                <w:highlight w:val="none"/>
              </w:rPr>
            </w:pPr>
            <w:r>
              <w:rPr>
                <w:rFonts w:hint="eastAsia" w:ascii="宋体" w:hAnsi="宋体"/>
                <w:color w:val="auto"/>
                <w:szCs w:val="21"/>
                <w:highlight w:val="none"/>
              </w:rPr>
              <w:t>超出、符合或偏离</w:t>
            </w:r>
          </w:p>
        </w:tc>
        <w:tc>
          <w:tcPr>
            <w:tcW w:w="13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color w:val="auto"/>
                <w:sz w:val="24"/>
                <w:szCs w:val="24"/>
                <w:highlight w:val="none"/>
              </w:rPr>
            </w:pPr>
          </w:p>
        </w:tc>
      </w:tr>
    </w:tbl>
    <w:p>
      <w:pPr>
        <w:spacing w:line="360" w:lineRule="auto"/>
        <w:rPr>
          <w:rFonts w:ascii="宋体" w:hAnsi="宋体"/>
          <w:color w:val="auto"/>
          <w:szCs w:val="21"/>
          <w:highlight w:val="none"/>
        </w:rPr>
      </w:pPr>
      <w:r>
        <w:rPr>
          <w:rFonts w:hint="eastAsia" w:ascii="宋体" w:hAnsi="宋体"/>
          <w:color w:val="auto"/>
          <w:szCs w:val="21"/>
          <w:highlight w:val="none"/>
        </w:rPr>
        <w:t>法定代表人或授权代表（签字或盖章）</w:t>
      </w:r>
    </w:p>
    <w:p>
      <w:pPr>
        <w:spacing w:line="360" w:lineRule="auto"/>
        <w:rPr>
          <w:rFonts w:ascii="宋体" w:hAnsi="宋体"/>
          <w:color w:val="auto"/>
          <w:szCs w:val="21"/>
          <w:highlight w:val="none"/>
        </w:rPr>
      </w:pPr>
      <w:r>
        <w:rPr>
          <w:rFonts w:hint="eastAsia" w:ascii="宋体" w:hAnsi="宋体"/>
          <w:color w:val="auto"/>
          <w:szCs w:val="21"/>
          <w:highlight w:val="none"/>
        </w:rPr>
        <w:t xml:space="preserve">                                             日期：     年    月     日</w:t>
      </w:r>
    </w:p>
    <w:p>
      <w:pPr>
        <w:spacing w:line="360" w:lineRule="auto"/>
        <w:rPr>
          <w:rFonts w:ascii="宋体" w:hAnsi="宋体"/>
          <w:b/>
          <w:color w:val="auto"/>
          <w:szCs w:val="21"/>
          <w:highlight w:val="none"/>
        </w:rPr>
      </w:pPr>
    </w:p>
    <w:p>
      <w:pPr>
        <w:spacing w:line="360" w:lineRule="auto"/>
        <w:rPr>
          <w:rFonts w:ascii="宋体" w:hAnsi="宋体"/>
          <w:bCs/>
          <w:color w:val="auto"/>
          <w:szCs w:val="21"/>
          <w:highlight w:val="none"/>
        </w:rPr>
      </w:pPr>
      <w:r>
        <w:rPr>
          <w:rFonts w:hint="eastAsia" w:ascii="宋体" w:hAnsi="宋体"/>
          <w:b/>
          <w:color w:val="auto"/>
          <w:szCs w:val="21"/>
          <w:highlight w:val="none"/>
        </w:rPr>
        <w:t>注：</w:t>
      </w:r>
      <w:r>
        <w:rPr>
          <w:rFonts w:hint="eastAsia" w:ascii="宋体" w:hAnsi="宋体"/>
          <w:bCs/>
          <w:color w:val="auto"/>
          <w:szCs w:val="21"/>
          <w:highlight w:val="none"/>
        </w:rPr>
        <w:t>1、按照基本技术要求详细填列；</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2、行数不够，可自行添加。</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3、技术偏离表应针对项目需求逐条应答。</w:t>
      </w: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spacing w:line="360" w:lineRule="auto"/>
        <w:jc w:val="center"/>
        <w:rPr>
          <w:rFonts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七、商务条款响应及偏离表</w:t>
      </w:r>
    </w:p>
    <w:p>
      <w:pPr>
        <w:rPr>
          <w:rFonts w:ascii="宋体" w:hAnsi="宋体"/>
          <w:color w:val="auto"/>
          <w:szCs w:val="21"/>
          <w:highlight w:val="none"/>
        </w:rPr>
      </w:pPr>
      <w:r>
        <w:rPr>
          <w:rFonts w:hint="eastAsia" w:ascii="宋体" w:hAnsi="宋体"/>
          <w:color w:val="auto"/>
          <w:szCs w:val="21"/>
          <w:highlight w:val="none"/>
        </w:rPr>
        <w:t xml:space="preserve">供应商全称（加盖公章）：     </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项目名称：</w:t>
      </w:r>
    </w:p>
    <w:tbl>
      <w:tblPr>
        <w:tblStyle w:val="31"/>
        <w:tblW w:w="0" w:type="auto"/>
        <w:tblInd w:w="-42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6"/>
        <w:gridCol w:w="1896"/>
        <w:gridCol w:w="2256"/>
        <w:gridCol w:w="1601"/>
        <w:gridCol w:w="23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8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225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磋商要求</w:t>
            </w:r>
          </w:p>
        </w:tc>
        <w:tc>
          <w:tcPr>
            <w:tcW w:w="16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231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896"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维保期</w:t>
            </w:r>
          </w:p>
        </w:tc>
        <w:tc>
          <w:tcPr>
            <w:tcW w:w="225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896"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售后技术</w:t>
            </w:r>
          </w:p>
          <w:p>
            <w:pPr>
              <w:adjustRightInd w:val="0"/>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服务要求</w:t>
            </w:r>
          </w:p>
        </w:tc>
        <w:tc>
          <w:tcPr>
            <w:tcW w:w="225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896"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交货时间</w:t>
            </w:r>
          </w:p>
        </w:tc>
        <w:tc>
          <w:tcPr>
            <w:tcW w:w="225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896"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交货方式</w:t>
            </w:r>
          </w:p>
        </w:tc>
        <w:tc>
          <w:tcPr>
            <w:tcW w:w="225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896"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交货地点</w:t>
            </w:r>
          </w:p>
        </w:tc>
        <w:tc>
          <w:tcPr>
            <w:tcW w:w="225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896"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225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896"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投标货币</w:t>
            </w:r>
          </w:p>
        </w:tc>
        <w:tc>
          <w:tcPr>
            <w:tcW w:w="225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896"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备品备件及耗材等要求</w:t>
            </w:r>
          </w:p>
        </w:tc>
        <w:tc>
          <w:tcPr>
            <w:tcW w:w="225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8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896"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225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ascii="宋体" w:hAnsi="宋体" w:cs="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法定代表人或授权代表签字：</w:t>
      </w:r>
    </w:p>
    <w:p>
      <w:pPr>
        <w:jc w:val="right"/>
        <w:rPr>
          <w:rFonts w:ascii="宋体" w:hAnsi="宋体"/>
          <w:color w:val="auto"/>
          <w:szCs w:val="21"/>
          <w:highlight w:val="none"/>
        </w:rPr>
      </w:pPr>
    </w:p>
    <w:p>
      <w:pPr>
        <w:jc w:val="right"/>
        <w:rPr>
          <w:rFonts w:ascii="宋体" w:hAnsi="宋体"/>
          <w:color w:val="auto"/>
          <w:szCs w:val="21"/>
          <w:highlight w:val="none"/>
        </w:rPr>
        <w:sectPr>
          <w:pgSz w:w="11906" w:h="16838"/>
          <w:pgMar w:top="1440" w:right="1800" w:bottom="1440" w:left="1800" w:header="851" w:footer="992" w:gutter="0"/>
          <w:cols w:space="720" w:num="1"/>
          <w:docGrid w:type="lines" w:linePitch="312" w:charSpace="0"/>
        </w:sectPr>
      </w:pPr>
      <w:r>
        <w:rPr>
          <w:rFonts w:hint="eastAsia" w:ascii="宋体" w:hAnsi="宋体"/>
          <w:color w:val="auto"/>
          <w:szCs w:val="21"/>
          <w:highlight w:val="none"/>
        </w:rPr>
        <w:t xml:space="preserve">日期：     年    月     </w:t>
      </w:r>
    </w:p>
    <w:p>
      <w:pPr>
        <w:rPr>
          <w:rFonts w:ascii="宋体" w:hAnsi="宋体"/>
          <w:color w:val="auto"/>
          <w:szCs w:val="21"/>
          <w:highlight w:val="none"/>
        </w:rPr>
      </w:pPr>
    </w:p>
    <w:p>
      <w:pPr>
        <w:numPr>
          <w:ilvl w:val="0"/>
          <w:numId w:val="6"/>
        </w:numPr>
        <w:spacing w:line="360" w:lineRule="auto"/>
        <w:jc w:val="center"/>
        <w:rPr>
          <w:rFonts w:ascii="宋体" w:hAnsi="宋体"/>
          <w:b/>
          <w:color w:val="auto"/>
          <w:szCs w:val="21"/>
          <w:highlight w:val="none"/>
        </w:rPr>
      </w:pPr>
      <w:r>
        <w:rPr>
          <w:rFonts w:hint="eastAsia" w:ascii="宋体" w:hAnsi="宋体"/>
          <w:b/>
          <w:color w:val="auto"/>
          <w:szCs w:val="21"/>
          <w:highlight w:val="none"/>
        </w:rPr>
        <w:t>常用易损易坏的备品备件报价清单</w:t>
      </w:r>
    </w:p>
    <w:p>
      <w:pPr>
        <w:rPr>
          <w:rFonts w:ascii="宋体" w:hAnsi="宋体"/>
          <w:color w:val="auto"/>
          <w:szCs w:val="21"/>
          <w:highlight w:val="none"/>
        </w:rPr>
      </w:pPr>
      <w:r>
        <w:rPr>
          <w:rFonts w:hint="eastAsia" w:ascii="宋体" w:hAnsi="宋体"/>
          <w:color w:val="auto"/>
          <w:szCs w:val="21"/>
          <w:highlight w:val="none"/>
        </w:rPr>
        <w:t xml:space="preserve">供应商全称（加盖公章）：     </w:t>
      </w:r>
    </w:p>
    <w:p>
      <w:pPr>
        <w:rPr>
          <w:rFonts w:ascii="宋体" w:hAnsi="宋体"/>
          <w:color w:val="auto"/>
          <w:szCs w:val="21"/>
          <w:highlight w:val="none"/>
        </w:rPr>
      </w:pPr>
    </w:p>
    <w:p>
      <w:pPr>
        <w:rPr>
          <w:color w:val="auto"/>
          <w:highlight w:val="none"/>
        </w:rPr>
      </w:pPr>
      <w:r>
        <w:rPr>
          <w:rFonts w:hint="eastAsia" w:ascii="宋体" w:hAnsi="宋体"/>
          <w:color w:val="auto"/>
          <w:szCs w:val="21"/>
          <w:highlight w:val="none"/>
        </w:rPr>
        <w:t>项目名称：</w:t>
      </w:r>
    </w:p>
    <w:tbl>
      <w:tblPr>
        <w:tblStyle w:val="31"/>
        <w:tblpPr w:leftFromText="180" w:rightFromText="180" w:vertAnchor="text" w:horzAnchor="margin" w:tblpY="1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09"/>
        <w:gridCol w:w="817"/>
        <w:gridCol w:w="127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993" w:type="dxa"/>
            <w:noWrap/>
            <w:vAlign w:val="center"/>
          </w:tcPr>
          <w:p>
            <w:pPr>
              <w:pStyle w:val="22"/>
              <w:spacing w:line="400" w:lineRule="exact"/>
              <w:jc w:val="center"/>
              <w:rPr>
                <w:rFonts w:hAnsi="宋体" w:cs="仿宋"/>
                <w:b/>
                <w:color w:val="auto"/>
                <w:sz w:val="24"/>
                <w:szCs w:val="24"/>
                <w:highlight w:val="none"/>
              </w:rPr>
            </w:pPr>
            <w:r>
              <w:rPr>
                <w:rFonts w:hAnsi="宋体" w:cs="仿宋"/>
                <w:b/>
                <w:color w:val="auto"/>
                <w:sz w:val="24"/>
                <w:szCs w:val="24"/>
                <w:highlight w:val="none"/>
              </w:rPr>
              <w:t>序号</w:t>
            </w:r>
          </w:p>
        </w:tc>
        <w:tc>
          <w:tcPr>
            <w:tcW w:w="2409" w:type="dxa"/>
            <w:noWrap/>
            <w:vAlign w:val="center"/>
          </w:tcPr>
          <w:p>
            <w:pPr>
              <w:pStyle w:val="22"/>
              <w:spacing w:line="400" w:lineRule="exact"/>
              <w:jc w:val="center"/>
              <w:rPr>
                <w:rFonts w:hAnsi="宋体" w:cs="仿宋"/>
                <w:b/>
                <w:color w:val="auto"/>
                <w:sz w:val="24"/>
                <w:szCs w:val="24"/>
                <w:highlight w:val="none"/>
              </w:rPr>
            </w:pPr>
            <w:r>
              <w:rPr>
                <w:rFonts w:hAnsi="宋体" w:cs="仿宋"/>
                <w:b/>
                <w:color w:val="auto"/>
                <w:sz w:val="24"/>
                <w:szCs w:val="24"/>
                <w:highlight w:val="none"/>
              </w:rPr>
              <w:t>品 名</w:t>
            </w:r>
          </w:p>
        </w:tc>
        <w:tc>
          <w:tcPr>
            <w:tcW w:w="817" w:type="dxa"/>
            <w:noWrap/>
            <w:vAlign w:val="center"/>
          </w:tcPr>
          <w:p>
            <w:pPr>
              <w:pStyle w:val="22"/>
              <w:spacing w:line="400" w:lineRule="exact"/>
              <w:jc w:val="center"/>
              <w:rPr>
                <w:rFonts w:hAnsi="宋体" w:cs="仿宋"/>
                <w:b/>
                <w:color w:val="auto"/>
                <w:sz w:val="24"/>
                <w:szCs w:val="24"/>
                <w:highlight w:val="none"/>
              </w:rPr>
            </w:pPr>
            <w:r>
              <w:rPr>
                <w:rFonts w:hAnsi="宋体" w:cs="仿宋"/>
                <w:b/>
                <w:color w:val="auto"/>
                <w:sz w:val="24"/>
                <w:szCs w:val="24"/>
                <w:highlight w:val="none"/>
              </w:rPr>
              <w:t>数 量</w:t>
            </w:r>
          </w:p>
        </w:tc>
        <w:tc>
          <w:tcPr>
            <w:tcW w:w="1276" w:type="dxa"/>
            <w:noWrap/>
            <w:vAlign w:val="center"/>
          </w:tcPr>
          <w:p>
            <w:pPr>
              <w:pStyle w:val="22"/>
              <w:spacing w:line="400" w:lineRule="exact"/>
              <w:jc w:val="center"/>
              <w:rPr>
                <w:rFonts w:hAnsi="宋体" w:cs="仿宋"/>
                <w:b/>
                <w:color w:val="auto"/>
                <w:sz w:val="24"/>
                <w:szCs w:val="24"/>
                <w:highlight w:val="none"/>
              </w:rPr>
            </w:pPr>
            <w:r>
              <w:rPr>
                <w:rFonts w:hAnsi="宋体" w:cs="仿宋"/>
                <w:b/>
                <w:color w:val="auto"/>
                <w:sz w:val="24"/>
                <w:szCs w:val="24"/>
                <w:highlight w:val="none"/>
              </w:rPr>
              <w:t>单 价</w:t>
            </w:r>
          </w:p>
        </w:tc>
        <w:tc>
          <w:tcPr>
            <w:tcW w:w="2977" w:type="dxa"/>
            <w:noWrap/>
            <w:vAlign w:val="center"/>
          </w:tcPr>
          <w:p>
            <w:pPr>
              <w:pStyle w:val="22"/>
              <w:spacing w:line="400" w:lineRule="exact"/>
              <w:jc w:val="center"/>
              <w:rPr>
                <w:rFonts w:hAnsi="宋体" w:cs="仿宋"/>
                <w:b/>
                <w:color w:val="auto"/>
                <w:sz w:val="24"/>
                <w:szCs w:val="24"/>
                <w:highlight w:val="none"/>
              </w:rPr>
            </w:pPr>
            <w:r>
              <w:rPr>
                <w:rFonts w:hAnsi="宋体" w:cs="仿宋"/>
                <w:b/>
                <w:color w:val="auto"/>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rPr>
            </w:pPr>
          </w:p>
        </w:tc>
        <w:tc>
          <w:tcPr>
            <w:tcW w:w="1276" w:type="dxa"/>
            <w:noWrap/>
            <w:vAlign w:val="center"/>
          </w:tcPr>
          <w:p>
            <w:pPr>
              <w:pStyle w:val="22"/>
              <w:spacing w:line="400" w:lineRule="exact"/>
              <w:jc w:val="center"/>
              <w:rPr>
                <w:rFonts w:hAnsi="宋体" w:cs="仿宋"/>
                <w:b/>
                <w:color w:val="auto"/>
                <w:sz w:val="24"/>
                <w:szCs w:val="24"/>
                <w:highlight w:val="none"/>
              </w:rPr>
            </w:pPr>
          </w:p>
        </w:tc>
        <w:tc>
          <w:tcPr>
            <w:tcW w:w="2977" w:type="dxa"/>
            <w:noWrap/>
            <w:vAlign w:val="center"/>
          </w:tcPr>
          <w:p>
            <w:pPr>
              <w:pStyle w:val="22"/>
              <w:spacing w:line="400" w:lineRule="exact"/>
              <w:jc w:val="center"/>
              <w:rPr>
                <w:rFonts w:hAnsi="宋体"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jc w:val="center"/>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jc w:val="center"/>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jc w:val="center"/>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93" w:type="dxa"/>
            <w:noWrap/>
            <w:vAlign w:val="center"/>
          </w:tcPr>
          <w:p>
            <w:pPr>
              <w:pStyle w:val="22"/>
              <w:spacing w:line="400" w:lineRule="exact"/>
              <w:jc w:val="center"/>
              <w:rPr>
                <w:rFonts w:hAnsi="宋体" w:cs="仿宋"/>
                <w:b/>
                <w:color w:val="auto"/>
                <w:sz w:val="24"/>
                <w:szCs w:val="24"/>
                <w:highlight w:val="none"/>
              </w:rPr>
            </w:pPr>
          </w:p>
        </w:tc>
        <w:tc>
          <w:tcPr>
            <w:tcW w:w="2409" w:type="dxa"/>
            <w:noWrap/>
            <w:vAlign w:val="center"/>
          </w:tcPr>
          <w:p>
            <w:pPr>
              <w:pStyle w:val="22"/>
              <w:spacing w:line="400" w:lineRule="exact"/>
              <w:jc w:val="center"/>
              <w:rPr>
                <w:rFonts w:hAnsi="宋体" w:cs="仿宋"/>
                <w:b/>
                <w:color w:val="auto"/>
                <w:sz w:val="24"/>
                <w:szCs w:val="24"/>
                <w:highlight w:val="none"/>
              </w:rPr>
            </w:pPr>
          </w:p>
        </w:tc>
        <w:tc>
          <w:tcPr>
            <w:tcW w:w="817" w:type="dxa"/>
            <w:noWrap/>
            <w:vAlign w:val="center"/>
          </w:tcPr>
          <w:p>
            <w:pPr>
              <w:pStyle w:val="22"/>
              <w:spacing w:line="400" w:lineRule="exact"/>
              <w:jc w:val="center"/>
              <w:rPr>
                <w:rFonts w:hAnsi="宋体" w:cs="仿宋"/>
                <w:b/>
                <w:color w:val="auto"/>
                <w:sz w:val="24"/>
                <w:szCs w:val="24"/>
                <w:highlight w:val="none"/>
                <w:u w:val="single"/>
              </w:rPr>
            </w:pPr>
          </w:p>
        </w:tc>
        <w:tc>
          <w:tcPr>
            <w:tcW w:w="1276" w:type="dxa"/>
            <w:noWrap/>
            <w:vAlign w:val="center"/>
          </w:tcPr>
          <w:p>
            <w:pPr>
              <w:pStyle w:val="22"/>
              <w:spacing w:line="400" w:lineRule="exact"/>
              <w:rPr>
                <w:rFonts w:hAnsi="宋体" w:cs="仿宋"/>
                <w:b/>
                <w:color w:val="auto"/>
                <w:sz w:val="24"/>
                <w:szCs w:val="24"/>
                <w:highlight w:val="none"/>
                <w:u w:val="single"/>
              </w:rPr>
            </w:pPr>
          </w:p>
        </w:tc>
        <w:tc>
          <w:tcPr>
            <w:tcW w:w="2977" w:type="dxa"/>
            <w:noWrap/>
            <w:vAlign w:val="center"/>
          </w:tcPr>
          <w:p>
            <w:pPr>
              <w:pStyle w:val="22"/>
              <w:spacing w:line="400" w:lineRule="exact"/>
              <w:jc w:val="center"/>
              <w:rPr>
                <w:rFonts w:hAnsi="宋体" w:cs="仿宋"/>
                <w:b/>
                <w:color w:val="auto"/>
                <w:sz w:val="24"/>
                <w:szCs w:val="24"/>
                <w:highlight w:val="none"/>
                <w:u w:val="single"/>
              </w:rPr>
            </w:pPr>
          </w:p>
        </w:tc>
      </w:tr>
    </w:tbl>
    <w:p>
      <w:pPr>
        <w:spacing w:line="360" w:lineRule="auto"/>
        <w:ind w:right="-2"/>
        <w:rPr>
          <w:rFonts w:ascii="宋体" w:hAnsi="宋体"/>
          <w:b/>
          <w:bCs/>
          <w:color w:val="auto"/>
          <w:szCs w:val="21"/>
          <w:highlight w:val="none"/>
        </w:rPr>
      </w:pPr>
    </w:p>
    <w:p>
      <w:pPr>
        <w:pStyle w:val="17"/>
        <w:rPr>
          <w:color w:val="auto"/>
          <w:highlight w:val="none"/>
        </w:rPr>
      </w:pPr>
    </w:p>
    <w:p>
      <w:pPr>
        <w:spacing w:line="360" w:lineRule="auto"/>
        <w:ind w:right="-2"/>
        <w:jc w:val="center"/>
        <w:rPr>
          <w:rFonts w:ascii="宋体" w:hAnsi="宋体"/>
          <w:b/>
          <w:bCs/>
          <w:color w:val="auto"/>
          <w:szCs w:val="21"/>
          <w:highlight w:val="none"/>
        </w:rPr>
      </w:pPr>
      <w:r>
        <w:rPr>
          <w:rFonts w:hint="eastAsia" w:ascii="宋体" w:hAnsi="宋体"/>
          <w:b/>
          <w:bCs/>
          <w:color w:val="auto"/>
          <w:szCs w:val="21"/>
          <w:highlight w:val="none"/>
        </w:rPr>
        <w:t>九、拟投入人员一览表</w:t>
      </w:r>
    </w:p>
    <w:p>
      <w:pPr>
        <w:rPr>
          <w:rFonts w:ascii="宋体" w:hAnsi="宋体"/>
          <w:color w:val="auto"/>
          <w:szCs w:val="21"/>
          <w:highlight w:val="none"/>
        </w:rPr>
      </w:pPr>
      <w:r>
        <w:rPr>
          <w:rFonts w:hint="eastAsia" w:ascii="宋体" w:hAnsi="宋体"/>
          <w:color w:val="auto"/>
          <w:szCs w:val="21"/>
          <w:highlight w:val="none"/>
        </w:rPr>
        <w:t xml:space="preserve">供应商全称（加盖公章）：     </w:t>
      </w:r>
    </w:p>
    <w:p>
      <w:pPr>
        <w:rPr>
          <w:rFonts w:ascii="宋体" w:hAnsi="宋体"/>
          <w:color w:val="auto"/>
          <w:szCs w:val="21"/>
          <w:highlight w:val="none"/>
        </w:rPr>
      </w:pPr>
    </w:p>
    <w:p>
      <w:pPr>
        <w:rPr>
          <w:rFonts w:ascii="宋体" w:hAnsi="宋体"/>
          <w:b/>
          <w:bCs/>
          <w:color w:val="auto"/>
          <w:szCs w:val="21"/>
          <w:highlight w:val="none"/>
        </w:rPr>
      </w:pPr>
      <w:r>
        <w:rPr>
          <w:rFonts w:hint="eastAsia" w:ascii="宋体" w:hAnsi="宋体"/>
          <w:color w:val="auto"/>
          <w:szCs w:val="21"/>
          <w:highlight w:val="none"/>
        </w:rPr>
        <w:t>项目名称：</w:t>
      </w:r>
    </w:p>
    <w:tbl>
      <w:tblPr>
        <w:tblStyle w:val="3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697"/>
        <w:gridCol w:w="744"/>
        <w:gridCol w:w="801"/>
        <w:gridCol w:w="687"/>
        <w:gridCol w:w="1072"/>
        <w:gridCol w:w="823"/>
        <w:gridCol w:w="1117"/>
        <w:gridCol w:w="1709"/>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22" w:type="dxa"/>
            <w:noWrap/>
            <w:vAlign w:val="center"/>
          </w:tcPr>
          <w:p>
            <w:pPr>
              <w:spacing w:beforeLines="100" w:line="360" w:lineRule="auto"/>
              <w:ind w:right="-2"/>
              <w:jc w:val="center"/>
              <w:rPr>
                <w:rFonts w:ascii="宋体" w:hAnsi="宋体"/>
                <w:color w:val="auto"/>
                <w:szCs w:val="21"/>
                <w:highlight w:val="none"/>
              </w:rPr>
            </w:pPr>
            <w:r>
              <w:rPr>
                <w:rFonts w:hint="eastAsia" w:ascii="宋体" w:hAnsi="宋体"/>
                <w:color w:val="auto"/>
                <w:szCs w:val="21"/>
                <w:highlight w:val="none"/>
              </w:rPr>
              <w:t>序号</w:t>
            </w:r>
          </w:p>
        </w:tc>
        <w:tc>
          <w:tcPr>
            <w:tcW w:w="697" w:type="dxa"/>
            <w:noWrap/>
            <w:vAlign w:val="center"/>
          </w:tcPr>
          <w:p>
            <w:pPr>
              <w:spacing w:beforeLines="100" w:line="360" w:lineRule="auto"/>
              <w:ind w:right="-2"/>
              <w:jc w:val="center"/>
              <w:rPr>
                <w:rFonts w:ascii="宋体" w:hAnsi="宋体"/>
                <w:color w:val="auto"/>
                <w:szCs w:val="21"/>
                <w:highlight w:val="none"/>
              </w:rPr>
            </w:pPr>
            <w:r>
              <w:rPr>
                <w:rFonts w:hint="eastAsia" w:ascii="宋体" w:hAnsi="宋体"/>
                <w:color w:val="auto"/>
                <w:szCs w:val="21"/>
                <w:highlight w:val="none"/>
              </w:rPr>
              <w:t>岗位</w:t>
            </w:r>
          </w:p>
        </w:tc>
        <w:tc>
          <w:tcPr>
            <w:tcW w:w="744" w:type="dxa"/>
            <w:noWrap/>
            <w:vAlign w:val="center"/>
          </w:tcPr>
          <w:p>
            <w:pPr>
              <w:spacing w:beforeLines="100" w:line="360" w:lineRule="auto"/>
              <w:ind w:right="-2"/>
              <w:jc w:val="center"/>
              <w:rPr>
                <w:rFonts w:ascii="宋体" w:hAnsi="宋体"/>
                <w:color w:val="auto"/>
                <w:szCs w:val="21"/>
                <w:highlight w:val="none"/>
              </w:rPr>
            </w:pPr>
            <w:r>
              <w:rPr>
                <w:rFonts w:hint="eastAsia" w:ascii="宋体" w:hAnsi="宋体"/>
                <w:color w:val="auto"/>
                <w:szCs w:val="21"/>
                <w:highlight w:val="none"/>
              </w:rPr>
              <w:t>姓 名</w:t>
            </w:r>
          </w:p>
        </w:tc>
        <w:tc>
          <w:tcPr>
            <w:tcW w:w="801" w:type="dxa"/>
            <w:noWrap/>
            <w:vAlign w:val="center"/>
          </w:tcPr>
          <w:p>
            <w:pPr>
              <w:spacing w:beforeLines="100" w:line="360" w:lineRule="auto"/>
              <w:ind w:right="-2"/>
              <w:jc w:val="center"/>
              <w:rPr>
                <w:rFonts w:ascii="宋体" w:hAnsi="宋体"/>
                <w:color w:val="auto"/>
                <w:szCs w:val="21"/>
                <w:highlight w:val="none"/>
              </w:rPr>
            </w:pPr>
            <w:r>
              <w:rPr>
                <w:rFonts w:hint="eastAsia" w:ascii="宋体" w:hAnsi="宋体"/>
                <w:color w:val="auto"/>
                <w:szCs w:val="21"/>
                <w:highlight w:val="none"/>
              </w:rPr>
              <w:t>性别</w:t>
            </w:r>
          </w:p>
        </w:tc>
        <w:tc>
          <w:tcPr>
            <w:tcW w:w="687" w:type="dxa"/>
            <w:noWrap/>
            <w:vAlign w:val="center"/>
          </w:tcPr>
          <w:p>
            <w:pPr>
              <w:spacing w:beforeLines="100" w:line="360" w:lineRule="auto"/>
              <w:ind w:right="-2"/>
              <w:jc w:val="center"/>
              <w:rPr>
                <w:rFonts w:ascii="宋体" w:hAnsi="宋体"/>
                <w:color w:val="auto"/>
                <w:szCs w:val="21"/>
                <w:highlight w:val="none"/>
              </w:rPr>
            </w:pPr>
            <w:r>
              <w:rPr>
                <w:rFonts w:hint="eastAsia" w:ascii="宋体" w:hAnsi="宋体"/>
                <w:color w:val="auto"/>
                <w:szCs w:val="21"/>
                <w:highlight w:val="none"/>
              </w:rPr>
              <w:t>学历</w:t>
            </w:r>
          </w:p>
        </w:tc>
        <w:tc>
          <w:tcPr>
            <w:tcW w:w="1072" w:type="dxa"/>
            <w:noWrap/>
            <w:vAlign w:val="center"/>
          </w:tcPr>
          <w:p>
            <w:pPr>
              <w:spacing w:beforeLines="100" w:line="360" w:lineRule="auto"/>
              <w:ind w:right="-2"/>
              <w:jc w:val="center"/>
              <w:rPr>
                <w:rFonts w:ascii="宋体" w:hAnsi="宋体"/>
                <w:color w:val="auto"/>
                <w:szCs w:val="21"/>
                <w:highlight w:val="none"/>
              </w:rPr>
            </w:pPr>
            <w:r>
              <w:rPr>
                <w:rFonts w:hint="eastAsia" w:ascii="宋体" w:hAnsi="宋体"/>
                <w:color w:val="auto"/>
                <w:szCs w:val="21"/>
                <w:highlight w:val="none"/>
              </w:rPr>
              <w:t>出生年月</w:t>
            </w:r>
          </w:p>
        </w:tc>
        <w:tc>
          <w:tcPr>
            <w:tcW w:w="823" w:type="dxa"/>
            <w:noWrap/>
            <w:vAlign w:val="center"/>
          </w:tcPr>
          <w:p>
            <w:pPr>
              <w:spacing w:beforeLines="100" w:line="360" w:lineRule="auto"/>
              <w:ind w:right="-2"/>
              <w:jc w:val="center"/>
              <w:rPr>
                <w:rFonts w:ascii="宋体" w:hAnsi="宋体"/>
                <w:color w:val="auto"/>
                <w:szCs w:val="21"/>
                <w:highlight w:val="none"/>
              </w:rPr>
            </w:pPr>
            <w:r>
              <w:rPr>
                <w:rFonts w:hint="eastAsia" w:ascii="宋体" w:hAnsi="宋体"/>
                <w:color w:val="auto"/>
                <w:szCs w:val="21"/>
                <w:highlight w:val="none"/>
              </w:rPr>
              <w:t>专业</w:t>
            </w:r>
          </w:p>
        </w:tc>
        <w:tc>
          <w:tcPr>
            <w:tcW w:w="1117" w:type="dxa"/>
            <w:noWrap/>
            <w:vAlign w:val="center"/>
          </w:tcPr>
          <w:p>
            <w:pPr>
              <w:spacing w:beforeLines="100" w:line="360" w:lineRule="auto"/>
              <w:ind w:right="-2"/>
              <w:jc w:val="center"/>
              <w:rPr>
                <w:rFonts w:ascii="宋体" w:hAnsi="宋体"/>
                <w:color w:val="auto"/>
                <w:szCs w:val="21"/>
                <w:highlight w:val="none"/>
              </w:rPr>
            </w:pPr>
            <w:r>
              <w:rPr>
                <w:rFonts w:hint="eastAsia" w:ascii="宋体" w:hAnsi="宋体"/>
                <w:color w:val="auto"/>
                <w:szCs w:val="21"/>
                <w:highlight w:val="none"/>
              </w:rPr>
              <w:t>职称</w:t>
            </w:r>
          </w:p>
        </w:tc>
        <w:tc>
          <w:tcPr>
            <w:tcW w:w="1709" w:type="dxa"/>
            <w:noWrap/>
            <w:vAlign w:val="center"/>
          </w:tcPr>
          <w:p>
            <w:pPr>
              <w:spacing w:beforeLines="100" w:line="360" w:lineRule="auto"/>
              <w:ind w:right="-2"/>
              <w:jc w:val="center"/>
              <w:rPr>
                <w:rFonts w:ascii="宋体" w:hAnsi="宋体"/>
                <w:color w:val="auto"/>
                <w:szCs w:val="21"/>
                <w:highlight w:val="none"/>
              </w:rPr>
            </w:pPr>
            <w:r>
              <w:rPr>
                <w:rFonts w:hint="eastAsia" w:ascii="宋体" w:hAnsi="宋体"/>
                <w:color w:val="auto"/>
                <w:szCs w:val="21"/>
                <w:highlight w:val="none"/>
              </w:rPr>
              <w:t>证书及编号</w:t>
            </w:r>
          </w:p>
        </w:tc>
        <w:tc>
          <w:tcPr>
            <w:tcW w:w="1409" w:type="dxa"/>
            <w:noWrap/>
            <w:vAlign w:val="center"/>
          </w:tcPr>
          <w:p>
            <w:pPr>
              <w:spacing w:beforeLines="100" w:line="360" w:lineRule="auto"/>
              <w:ind w:right="-2"/>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ign w:val="center"/>
          </w:tcPr>
          <w:p>
            <w:pPr>
              <w:spacing w:line="360" w:lineRule="auto"/>
              <w:ind w:right="-2"/>
              <w:jc w:val="center"/>
              <w:rPr>
                <w:rFonts w:ascii="宋体" w:hAnsi="宋体"/>
                <w:color w:val="auto"/>
                <w:szCs w:val="21"/>
                <w:highlight w:val="none"/>
              </w:rPr>
            </w:pPr>
          </w:p>
        </w:tc>
        <w:tc>
          <w:tcPr>
            <w:tcW w:w="697" w:type="dxa"/>
            <w:noWrap/>
            <w:vAlign w:val="center"/>
          </w:tcPr>
          <w:p>
            <w:pPr>
              <w:spacing w:line="360" w:lineRule="auto"/>
              <w:ind w:right="-2"/>
              <w:jc w:val="center"/>
              <w:rPr>
                <w:rFonts w:ascii="宋体" w:hAnsi="宋体"/>
                <w:color w:val="auto"/>
                <w:szCs w:val="21"/>
                <w:highlight w:val="none"/>
              </w:rPr>
            </w:pPr>
          </w:p>
        </w:tc>
        <w:tc>
          <w:tcPr>
            <w:tcW w:w="744" w:type="dxa"/>
            <w:noWrap/>
            <w:vAlign w:val="center"/>
          </w:tcPr>
          <w:p>
            <w:pPr>
              <w:spacing w:line="360" w:lineRule="auto"/>
              <w:ind w:right="-2"/>
              <w:jc w:val="center"/>
              <w:rPr>
                <w:rFonts w:ascii="宋体" w:hAnsi="宋体"/>
                <w:color w:val="auto"/>
                <w:szCs w:val="21"/>
                <w:highlight w:val="none"/>
              </w:rPr>
            </w:pPr>
          </w:p>
        </w:tc>
        <w:tc>
          <w:tcPr>
            <w:tcW w:w="801" w:type="dxa"/>
            <w:noWrap/>
            <w:vAlign w:val="center"/>
          </w:tcPr>
          <w:p>
            <w:pPr>
              <w:spacing w:line="360" w:lineRule="auto"/>
              <w:ind w:right="-2"/>
              <w:jc w:val="center"/>
              <w:rPr>
                <w:rFonts w:ascii="宋体" w:hAnsi="宋体"/>
                <w:color w:val="auto"/>
                <w:szCs w:val="21"/>
                <w:highlight w:val="none"/>
              </w:rPr>
            </w:pPr>
          </w:p>
        </w:tc>
        <w:tc>
          <w:tcPr>
            <w:tcW w:w="687" w:type="dxa"/>
            <w:noWrap/>
            <w:vAlign w:val="center"/>
          </w:tcPr>
          <w:p>
            <w:pPr>
              <w:spacing w:line="360" w:lineRule="auto"/>
              <w:ind w:right="-2"/>
              <w:jc w:val="center"/>
              <w:rPr>
                <w:rFonts w:ascii="宋体" w:hAnsi="宋体"/>
                <w:color w:val="auto"/>
                <w:szCs w:val="21"/>
                <w:highlight w:val="none"/>
              </w:rPr>
            </w:pPr>
          </w:p>
        </w:tc>
        <w:tc>
          <w:tcPr>
            <w:tcW w:w="1072" w:type="dxa"/>
            <w:noWrap/>
            <w:vAlign w:val="center"/>
          </w:tcPr>
          <w:p>
            <w:pPr>
              <w:spacing w:line="360" w:lineRule="auto"/>
              <w:ind w:right="-2"/>
              <w:jc w:val="center"/>
              <w:rPr>
                <w:rFonts w:ascii="宋体" w:hAnsi="宋体"/>
                <w:color w:val="auto"/>
                <w:szCs w:val="21"/>
                <w:highlight w:val="none"/>
              </w:rPr>
            </w:pPr>
          </w:p>
        </w:tc>
        <w:tc>
          <w:tcPr>
            <w:tcW w:w="823" w:type="dxa"/>
            <w:noWrap/>
            <w:vAlign w:val="center"/>
          </w:tcPr>
          <w:p>
            <w:pPr>
              <w:spacing w:line="360" w:lineRule="auto"/>
              <w:ind w:right="-2"/>
              <w:jc w:val="center"/>
              <w:rPr>
                <w:rFonts w:ascii="宋体" w:hAnsi="宋体"/>
                <w:color w:val="auto"/>
                <w:szCs w:val="21"/>
                <w:highlight w:val="none"/>
              </w:rPr>
            </w:pPr>
          </w:p>
        </w:tc>
        <w:tc>
          <w:tcPr>
            <w:tcW w:w="1117" w:type="dxa"/>
            <w:noWrap/>
            <w:vAlign w:val="center"/>
          </w:tcPr>
          <w:p>
            <w:pPr>
              <w:spacing w:line="360" w:lineRule="auto"/>
              <w:ind w:right="-2"/>
              <w:jc w:val="center"/>
              <w:rPr>
                <w:rFonts w:ascii="宋体" w:hAnsi="宋体"/>
                <w:color w:val="auto"/>
                <w:szCs w:val="21"/>
                <w:highlight w:val="none"/>
              </w:rPr>
            </w:pPr>
          </w:p>
        </w:tc>
        <w:tc>
          <w:tcPr>
            <w:tcW w:w="1709" w:type="dxa"/>
            <w:noWrap/>
            <w:vAlign w:val="center"/>
          </w:tcPr>
          <w:p>
            <w:pPr>
              <w:spacing w:line="360" w:lineRule="auto"/>
              <w:ind w:right="-2"/>
              <w:jc w:val="center"/>
              <w:rPr>
                <w:rFonts w:ascii="宋体" w:hAnsi="宋体"/>
                <w:color w:val="auto"/>
                <w:szCs w:val="21"/>
                <w:highlight w:val="none"/>
              </w:rPr>
            </w:pPr>
          </w:p>
        </w:tc>
        <w:tc>
          <w:tcPr>
            <w:tcW w:w="1409" w:type="dxa"/>
            <w:noWrap/>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ign w:val="center"/>
          </w:tcPr>
          <w:p>
            <w:pPr>
              <w:spacing w:line="360" w:lineRule="auto"/>
              <w:ind w:right="-2"/>
              <w:jc w:val="center"/>
              <w:rPr>
                <w:rFonts w:ascii="宋体" w:hAnsi="宋体"/>
                <w:color w:val="auto"/>
                <w:szCs w:val="21"/>
                <w:highlight w:val="none"/>
              </w:rPr>
            </w:pPr>
          </w:p>
        </w:tc>
        <w:tc>
          <w:tcPr>
            <w:tcW w:w="697" w:type="dxa"/>
            <w:noWrap/>
            <w:vAlign w:val="center"/>
          </w:tcPr>
          <w:p>
            <w:pPr>
              <w:spacing w:line="360" w:lineRule="auto"/>
              <w:ind w:right="-2"/>
              <w:jc w:val="center"/>
              <w:rPr>
                <w:rFonts w:ascii="宋体" w:hAnsi="宋体"/>
                <w:color w:val="auto"/>
                <w:szCs w:val="21"/>
                <w:highlight w:val="none"/>
              </w:rPr>
            </w:pPr>
          </w:p>
        </w:tc>
        <w:tc>
          <w:tcPr>
            <w:tcW w:w="744" w:type="dxa"/>
            <w:noWrap/>
            <w:vAlign w:val="center"/>
          </w:tcPr>
          <w:p>
            <w:pPr>
              <w:spacing w:line="360" w:lineRule="auto"/>
              <w:ind w:right="-2"/>
              <w:jc w:val="center"/>
              <w:rPr>
                <w:rFonts w:ascii="宋体" w:hAnsi="宋体"/>
                <w:color w:val="auto"/>
                <w:szCs w:val="21"/>
                <w:highlight w:val="none"/>
              </w:rPr>
            </w:pPr>
          </w:p>
        </w:tc>
        <w:tc>
          <w:tcPr>
            <w:tcW w:w="801" w:type="dxa"/>
            <w:noWrap/>
            <w:vAlign w:val="center"/>
          </w:tcPr>
          <w:p>
            <w:pPr>
              <w:spacing w:line="360" w:lineRule="auto"/>
              <w:ind w:right="-2"/>
              <w:jc w:val="center"/>
              <w:rPr>
                <w:rFonts w:ascii="宋体" w:hAnsi="宋体"/>
                <w:color w:val="auto"/>
                <w:szCs w:val="21"/>
                <w:highlight w:val="none"/>
              </w:rPr>
            </w:pPr>
          </w:p>
        </w:tc>
        <w:tc>
          <w:tcPr>
            <w:tcW w:w="687" w:type="dxa"/>
            <w:noWrap/>
            <w:vAlign w:val="center"/>
          </w:tcPr>
          <w:p>
            <w:pPr>
              <w:spacing w:line="360" w:lineRule="auto"/>
              <w:ind w:right="-2"/>
              <w:jc w:val="center"/>
              <w:rPr>
                <w:rFonts w:ascii="宋体" w:hAnsi="宋体"/>
                <w:color w:val="auto"/>
                <w:szCs w:val="21"/>
                <w:highlight w:val="none"/>
              </w:rPr>
            </w:pPr>
          </w:p>
        </w:tc>
        <w:tc>
          <w:tcPr>
            <w:tcW w:w="1072" w:type="dxa"/>
            <w:noWrap/>
            <w:vAlign w:val="center"/>
          </w:tcPr>
          <w:p>
            <w:pPr>
              <w:spacing w:line="360" w:lineRule="auto"/>
              <w:ind w:right="-2"/>
              <w:jc w:val="center"/>
              <w:rPr>
                <w:rFonts w:ascii="宋体" w:hAnsi="宋体"/>
                <w:color w:val="auto"/>
                <w:szCs w:val="21"/>
                <w:highlight w:val="none"/>
              </w:rPr>
            </w:pPr>
          </w:p>
        </w:tc>
        <w:tc>
          <w:tcPr>
            <w:tcW w:w="823" w:type="dxa"/>
            <w:noWrap/>
            <w:vAlign w:val="center"/>
          </w:tcPr>
          <w:p>
            <w:pPr>
              <w:spacing w:line="360" w:lineRule="auto"/>
              <w:ind w:right="-2"/>
              <w:jc w:val="center"/>
              <w:rPr>
                <w:rFonts w:ascii="宋体" w:hAnsi="宋体"/>
                <w:color w:val="auto"/>
                <w:szCs w:val="21"/>
                <w:highlight w:val="none"/>
              </w:rPr>
            </w:pPr>
          </w:p>
        </w:tc>
        <w:tc>
          <w:tcPr>
            <w:tcW w:w="1117" w:type="dxa"/>
            <w:noWrap/>
            <w:vAlign w:val="center"/>
          </w:tcPr>
          <w:p>
            <w:pPr>
              <w:spacing w:line="360" w:lineRule="auto"/>
              <w:ind w:right="-2"/>
              <w:jc w:val="center"/>
              <w:rPr>
                <w:rFonts w:ascii="宋体" w:hAnsi="宋体"/>
                <w:color w:val="auto"/>
                <w:szCs w:val="21"/>
                <w:highlight w:val="none"/>
              </w:rPr>
            </w:pPr>
          </w:p>
        </w:tc>
        <w:tc>
          <w:tcPr>
            <w:tcW w:w="1709" w:type="dxa"/>
            <w:noWrap/>
            <w:vAlign w:val="center"/>
          </w:tcPr>
          <w:p>
            <w:pPr>
              <w:spacing w:line="360" w:lineRule="auto"/>
              <w:ind w:right="-2"/>
              <w:jc w:val="center"/>
              <w:rPr>
                <w:rFonts w:ascii="宋体" w:hAnsi="宋体"/>
                <w:color w:val="auto"/>
                <w:szCs w:val="21"/>
                <w:highlight w:val="none"/>
              </w:rPr>
            </w:pPr>
          </w:p>
        </w:tc>
        <w:tc>
          <w:tcPr>
            <w:tcW w:w="1409" w:type="dxa"/>
            <w:noWrap/>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ign w:val="center"/>
          </w:tcPr>
          <w:p>
            <w:pPr>
              <w:spacing w:line="360" w:lineRule="auto"/>
              <w:ind w:right="-2"/>
              <w:jc w:val="center"/>
              <w:rPr>
                <w:rFonts w:ascii="宋体" w:hAnsi="宋体"/>
                <w:color w:val="auto"/>
                <w:szCs w:val="21"/>
                <w:highlight w:val="none"/>
              </w:rPr>
            </w:pPr>
          </w:p>
        </w:tc>
        <w:tc>
          <w:tcPr>
            <w:tcW w:w="697" w:type="dxa"/>
            <w:noWrap/>
            <w:vAlign w:val="center"/>
          </w:tcPr>
          <w:p>
            <w:pPr>
              <w:spacing w:line="360" w:lineRule="auto"/>
              <w:ind w:right="-2"/>
              <w:jc w:val="center"/>
              <w:rPr>
                <w:rFonts w:ascii="宋体" w:hAnsi="宋体"/>
                <w:color w:val="auto"/>
                <w:szCs w:val="21"/>
                <w:highlight w:val="none"/>
              </w:rPr>
            </w:pPr>
          </w:p>
        </w:tc>
        <w:tc>
          <w:tcPr>
            <w:tcW w:w="744" w:type="dxa"/>
            <w:noWrap/>
            <w:vAlign w:val="center"/>
          </w:tcPr>
          <w:p>
            <w:pPr>
              <w:spacing w:line="360" w:lineRule="auto"/>
              <w:ind w:right="-2"/>
              <w:jc w:val="center"/>
              <w:rPr>
                <w:rFonts w:ascii="宋体" w:hAnsi="宋体"/>
                <w:color w:val="auto"/>
                <w:szCs w:val="21"/>
                <w:highlight w:val="none"/>
              </w:rPr>
            </w:pPr>
          </w:p>
        </w:tc>
        <w:tc>
          <w:tcPr>
            <w:tcW w:w="801" w:type="dxa"/>
            <w:noWrap/>
            <w:vAlign w:val="center"/>
          </w:tcPr>
          <w:p>
            <w:pPr>
              <w:spacing w:line="360" w:lineRule="auto"/>
              <w:ind w:right="-2"/>
              <w:jc w:val="center"/>
              <w:rPr>
                <w:rFonts w:ascii="宋体" w:hAnsi="宋体"/>
                <w:color w:val="auto"/>
                <w:szCs w:val="21"/>
                <w:highlight w:val="none"/>
              </w:rPr>
            </w:pPr>
          </w:p>
        </w:tc>
        <w:tc>
          <w:tcPr>
            <w:tcW w:w="687" w:type="dxa"/>
            <w:noWrap/>
            <w:vAlign w:val="center"/>
          </w:tcPr>
          <w:p>
            <w:pPr>
              <w:spacing w:line="360" w:lineRule="auto"/>
              <w:ind w:right="-2"/>
              <w:jc w:val="center"/>
              <w:rPr>
                <w:rFonts w:ascii="宋体" w:hAnsi="宋体"/>
                <w:color w:val="auto"/>
                <w:szCs w:val="21"/>
                <w:highlight w:val="none"/>
              </w:rPr>
            </w:pPr>
          </w:p>
        </w:tc>
        <w:tc>
          <w:tcPr>
            <w:tcW w:w="1072" w:type="dxa"/>
            <w:noWrap/>
            <w:vAlign w:val="center"/>
          </w:tcPr>
          <w:p>
            <w:pPr>
              <w:spacing w:line="360" w:lineRule="auto"/>
              <w:ind w:right="-2"/>
              <w:jc w:val="center"/>
              <w:rPr>
                <w:rFonts w:ascii="宋体" w:hAnsi="宋体"/>
                <w:color w:val="auto"/>
                <w:szCs w:val="21"/>
                <w:highlight w:val="none"/>
              </w:rPr>
            </w:pPr>
          </w:p>
        </w:tc>
        <w:tc>
          <w:tcPr>
            <w:tcW w:w="823" w:type="dxa"/>
            <w:noWrap/>
            <w:vAlign w:val="center"/>
          </w:tcPr>
          <w:p>
            <w:pPr>
              <w:spacing w:line="360" w:lineRule="auto"/>
              <w:ind w:right="-2"/>
              <w:jc w:val="center"/>
              <w:rPr>
                <w:rFonts w:ascii="宋体" w:hAnsi="宋体"/>
                <w:color w:val="auto"/>
                <w:szCs w:val="21"/>
                <w:highlight w:val="none"/>
              </w:rPr>
            </w:pPr>
          </w:p>
        </w:tc>
        <w:tc>
          <w:tcPr>
            <w:tcW w:w="1117" w:type="dxa"/>
            <w:noWrap/>
            <w:vAlign w:val="center"/>
          </w:tcPr>
          <w:p>
            <w:pPr>
              <w:spacing w:line="360" w:lineRule="auto"/>
              <w:ind w:right="-2"/>
              <w:jc w:val="center"/>
              <w:rPr>
                <w:rFonts w:ascii="宋体" w:hAnsi="宋体"/>
                <w:color w:val="auto"/>
                <w:szCs w:val="21"/>
                <w:highlight w:val="none"/>
              </w:rPr>
            </w:pPr>
          </w:p>
        </w:tc>
        <w:tc>
          <w:tcPr>
            <w:tcW w:w="1709" w:type="dxa"/>
            <w:noWrap/>
            <w:vAlign w:val="center"/>
          </w:tcPr>
          <w:p>
            <w:pPr>
              <w:spacing w:line="360" w:lineRule="auto"/>
              <w:ind w:right="-2"/>
              <w:jc w:val="center"/>
              <w:rPr>
                <w:rFonts w:ascii="宋体" w:hAnsi="宋体"/>
                <w:color w:val="auto"/>
                <w:szCs w:val="21"/>
                <w:highlight w:val="none"/>
              </w:rPr>
            </w:pPr>
          </w:p>
        </w:tc>
        <w:tc>
          <w:tcPr>
            <w:tcW w:w="1409" w:type="dxa"/>
            <w:noWrap/>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ign w:val="center"/>
          </w:tcPr>
          <w:p>
            <w:pPr>
              <w:spacing w:line="360" w:lineRule="auto"/>
              <w:ind w:right="-2"/>
              <w:jc w:val="center"/>
              <w:rPr>
                <w:rFonts w:ascii="宋体" w:hAnsi="宋体"/>
                <w:color w:val="auto"/>
                <w:szCs w:val="21"/>
                <w:highlight w:val="none"/>
              </w:rPr>
            </w:pPr>
          </w:p>
        </w:tc>
        <w:tc>
          <w:tcPr>
            <w:tcW w:w="697" w:type="dxa"/>
            <w:noWrap/>
            <w:vAlign w:val="center"/>
          </w:tcPr>
          <w:p>
            <w:pPr>
              <w:spacing w:line="360" w:lineRule="auto"/>
              <w:ind w:right="-2"/>
              <w:jc w:val="center"/>
              <w:rPr>
                <w:rFonts w:ascii="宋体" w:hAnsi="宋体"/>
                <w:color w:val="auto"/>
                <w:szCs w:val="21"/>
                <w:highlight w:val="none"/>
              </w:rPr>
            </w:pPr>
          </w:p>
        </w:tc>
        <w:tc>
          <w:tcPr>
            <w:tcW w:w="744" w:type="dxa"/>
            <w:noWrap/>
            <w:vAlign w:val="center"/>
          </w:tcPr>
          <w:p>
            <w:pPr>
              <w:spacing w:line="360" w:lineRule="auto"/>
              <w:ind w:right="-2"/>
              <w:jc w:val="center"/>
              <w:rPr>
                <w:rFonts w:ascii="宋体" w:hAnsi="宋体"/>
                <w:color w:val="auto"/>
                <w:szCs w:val="21"/>
                <w:highlight w:val="none"/>
              </w:rPr>
            </w:pPr>
          </w:p>
        </w:tc>
        <w:tc>
          <w:tcPr>
            <w:tcW w:w="801" w:type="dxa"/>
            <w:noWrap/>
            <w:vAlign w:val="center"/>
          </w:tcPr>
          <w:p>
            <w:pPr>
              <w:spacing w:line="360" w:lineRule="auto"/>
              <w:ind w:right="-2"/>
              <w:jc w:val="center"/>
              <w:rPr>
                <w:rFonts w:ascii="宋体" w:hAnsi="宋体"/>
                <w:color w:val="auto"/>
                <w:szCs w:val="21"/>
                <w:highlight w:val="none"/>
              </w:rPr>
            </w:pPr>
          </w:p>
        </w:tc>
        <w:tc>
          <w:tcPr>
            <w:tcW w:w="687" w:type="dxa"/>
            <w:noWrap/>
            <w:vAlign w:val="center"/>
          </w:tcPr>
          <w:p>
            <w:pPr>
              <w:spacing w:line="360" w:lineRule="auto"/>
              <w:ind w:right="-2"/>
              <w:jc w:val="center"/>
              <w:rPr>
                <w:rFonts w:ascii="宋体" w:hAnsi="宋体"/>
                <w:color w:val="auto"/>
                <w:szCs w:val="21"/>
                <w:highlight w:val="none"/>
              </w:rPr>
            </w:pPr>
          </w:p>
        </w:tc>
        <w:tc>
          <w:tcPr>
            <w:tcW w:w="1072" w:type="dxa"/>
            <w:noWrap/>
            <w:vAlign w:val="center"/>
          </w:tcPr>
          <w:p>
            <w:pPr>
              <w:spacing w:line="360" w:lineRule="auto"/>
              <w:ind w:right="-2"/>
              <w:jc w:val="center"/>
              <w:rPr>
                <w:rFonts w:ascii="宋体" w:hAnsi="宋体"/>
                <w:color w:val="auto"/>
                <w:szCs w:val="21"/>
                <w:highlight w:val="none"/>
              </w:rPr>
            </w:pPr>
          </w:p>
        </w:tc>
        <w:tc>
          <w:tcPr>
            <w:tcW w:w="823" w:type="dxa"/>
            <w:noWrap/>
            <w:vAlign w:val="center"/>
          </w:tcPr>
          <w:p>
            <w:pPr>
              <w:spacing w:line="360" w:lineRule="auto"/>
              <w:ind w:right="-2"/>
              <w:jc w:val="center"/>
              <w:rPr>
                <w:rFonts w:ascii="宋体" w:hAnsi="宋体"/>
                <w:color w:val="auto"/>
                <w:szCs w:val="21"/>
                <w:highlight w:val="none"/>
              </w:rPr>
            </w:pPr>
          </w:p>
        </w:tc>
        <w:tc>
          <w:tcPr>
            <w:tcW w:w="1117" w:type="dxa"/>
            <w:noWrap/>
            <w:vAlign w:val="center"/>
          </w:tcPr>
          <w:p>
            <w:pPr>
              <w:spacing w:line="360" w:lineRule="auto"/>
              <w:ind w:right="-2"/>
              <w:jc w:val="center"/>
              <w:rPr>
                <w:rFonts w:ascii="宋体" w:hAnsi="宋体"/>
                <w:color w:val="auto"/>
                <w:szCs w:val="21"/>
                <w:highlight w:val="none"/>
              </w:rPr>
            </w:pPr>
          </w:p>
        </w:tc>
        <w:tc>
          <w:tcPr>
            <w:tcW w:w="1709" w:type="dxa"/>
            <w:noWrap/>
            <w:vAlign w:val="center"/>
          </w:tcPr>
          <w:p>
            <w:pPr>
              <w:spacing w:line="360" w:lineRule="auto"/>
              <w:ind w:right="-2"/>
              <w:jc w:val="center"/>
              <w:rPr>
                <w:rFonts w:ascii="宋体" w:hAnsi="宋体"/>
                <w:color w:val="auto"/>
                <w:szCs w:val="21"/>
                <w:highlight w:val="none"/>
              </w:rPr>
            </w:pPr>
          </w:p>
        </w:tc>
        <w:tc>
          <w:tcPr>
            <w:tcW w:w="1409" w:type="dxa"/>
            <w:noWrap/>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ign w:val="center"/>
          </w:tcPr>
          <w:p>
            <w:pPr>
              <w:spacing w:line="360" w:lineRule="auto"/>
              <w:ind w:right="-2"/>
              <w:jc w:val="center"/>
              <w:rPr>
                <w:rFonts w:ascii="宋体" w:hAnsi="宋体"/>
                <w:color w:val="auto"/>
                <w:szCs w:val="21"/>
                <w:highlight w:val="none"/>
              </w:rPr>
            </w:pPr>
          </w:p>
        </w:tc>
        <w:tc>
          <w:tcPr>
            <w:tcW w:w="697" w:type="dxa"/>
            <w:noWrap/>
            <w:vAlign w:val="center"/>
          </w:tcPr>
          <w:p>
            <w:pPr>
              <w:spacing w:line="360" w:lineRule="auto"/>
              <w:ind w:right="-2"/>
              <w:jc w:val="center"/>
              <w:rPr>
                <w:rFonts w:ascii="宋体" w:hAnsi="宋体"/>
                <w:color w:val="auto"/>
                <w:szCs w:val="21"/>
                <w:highlight w:val="none"/>
              </w:rPr>
            </w:pPr>
          </w:p>
        </w:tc>
        <w:tc>
          <w:tcPr>
            <w:tcW w:w="744" w:type="dxa"/>
            <w:noWrap/>
            <w:vAlign w:val="center"/>
          </w:tcPr>
          <w:p>
            <w:pPr>
              <w:spacing w:line="360" w:lineRule="auto"/>
              <w:ind w:right="-2"/>
              <w:jc w:val="center"/>
              <w:rPr>
                <w:rFonts w:ascii="宋体" w:hAnsi="宋体"/>
                <w:color w:val="auto"/>
                <w:szCs w:val="21"/>
                <w:highlight w:val="none"/>
              </w:rPr>
            </w:pPr>
          </w:p>
        </w:tc>
        <w:tc>
          <w:tcPr>
            <w:tcW w:w="801" w:type="dxa"/>
            <w:noWrap/>
            <w:vAlign w:val="center"/>
          </w:tcPr>
          <w:p>
            <w:pPr>
              <w:spacing w:line="360" w:lineRule="auto"/>
              <w:ind w:right="-2"/>
              <w:jc w:val="center"/>
              <w:rPr>
                <w:rFonts w:ascii="宋体" w:hAnsi="宋体"/>
                <w:color w:val="auto"/>
                <w:szCs w:val="21"/>
                <w:highlight w:val="none"/>
              </w:rPr>
            </w:pPr>
          </w:p>
        </w:tc>
        <w:tc>
          <w:tcPr>
            <w:tcW w:w="687" w:type="dxa"/>
            <w:noWrap/>
            <w:vAlign w:val="center"/>
          </w:tcPr>
          <w:p>
            <w:pPr>
              <w:spacing w:line="360" w:lineRule="auto"/>
              <w:ind w:right="-2"/>
              <w:jc w:val="center"/>
              <w:rPr>
                <w:rFonts w:ascii="宋体" w:hAnsi="宋体"/>
                <w:color w:val="auto"/>
                <w:szCs w:val="21"/>
                <w:highlight w:val="none"/>
              </w:rPr>
            </w:pPr>
          </w:p>
        </w:tc>
        <w:tc>
          <w:tcPr>
            <w:tcW w:w="1072" w:type="dxa"/>
            <w:noWrap/>
            <w:vAlign w:val="center"/>
          </w:tcPr>
          <w:p>
            <w:pPr>
              <w:spacing w:line="360" w:lineRule="auto"/>
              <w:ind w:right="-2"/>
              <w:jc w:val="center"/>
              <w:rPr>
                <w:rFonts w:ascii="宋体" w:hAnsi="宋体"/>
                <w:color w:val="auto"/>
                <w:szCs w:val="21"/>
                <w:highlight w:val="none"/>
              </w:rPr>
            </w:pPr>
          </w:p>
        </w:tc>
        <w:tc>
          <w:tcPr>
            <w:tcW w:w="823" w:type="dxa"/>
            <w:noWrap/>
            <w:vAlign w:val="center"/>
          </w:tcPr>
          <w:p>
            <w:pPr>
              <w:spacing w:line="360" w:lineRule="auto"/>
              <w:ind w:right="-2"/>
              <w:jc w:val="center"/>
              <w:rPr>
                <w:rFonts w:ascii="宋体" w:hAnsi="宋体"/>
                <w:color w:val="auto"/>
                <w:szCs w:val="21"/>
                <w:highlight w:val="none"/>
              </w:rPr>
            </w:pPr>
          </w:p>
        </w:tc>
        <w:tc>
          <w:tcPr>
            <w:tcW w:w="1117" w:type="dxa"/>
            <w:noWrap/>
            <w:vAlign w:val="center"/>
          </w:tcPr>
          <w:p>
            <w:pPr>
              <w:spacing w:line="360" w:lineRule="auto"/>
              <w:ind w:right="-2"/>
              <w:jc w:val="center"/>
              <w:rPr>
                <w:rFonts w:ascii="宋体" w:hAnsi="宋体"/>
                <w:color w:val="auto"/>
                <w:szCs w:val="21"/>
                <w:highlight w:val="none"/>
              </w:rPr>
            </w:pPr>
          </w:p>
        </w:tc>
        <w:tc>
          <w:tcPr>
            <w:tcW w:w="1709" w:type="dxa"/>
            <w:noWrap/>
            <w:vAlign w:val="center"/>
          </w:tcPr>
          <w:p>
            <w:pPr>
              <w:spacing w:line="360" w:lineRule="auto"/>
              <w:ind w:right="-2"/>
              <w:jc w:val="center"/>
              <w:rPr>
                <w:rFonts w:ascii="宋体" w:hAnsi="宋体"/>
                <w:color w:val="auto"/>
                <w:szCs w:val="21"/>
                <w:highlight w:val="none"/>
              </w:rPr>
            </w:pPr>
          </w:p>
        </w:tc>
        <w:tc>
          <w:tcPr>
            <w:tcW w:w="1409" w:type="dxa"/>
            <w:noWrap/>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ign w:val="center"/>
          </w:tcPr>
          <w:p>
            <w:pPr>
              <w:spacing w:line="360" w:lineRule="auto"/>
              <w:ind w:right="-2"/>
              <w:jc w:val="center"/>
              <w:rPr>
                <w:rFonts w:ascii="宋体" w:hAnsi="宋体"/>
                <w:color w:val="auto"/>
                <w:szCs w:val="21"/>
                <w:highlight w:val="none"/>
              </w:rPr>
            </w:pPr>
          </w:p>
        </w:tc>
        <w:tc>
          <w:tcPr>
            <w:tcW w:w="697" w:type="dxa"/>
            <w:noWrap/>
            <w:vAlign w:val="center"/>
          </w:tcPr>
          <w:p>
            <w:pPr>
              <w:spacing w:line="360" w:lineRule="auto"/>
              <w:ind w:right="-2"/>
              <w:jc w:val="center"/>
              <w:rPr>
                <w:rFonts w:ascii="宋体" w:hAnsi="宋体"/>
                <w:color w:val="auto"/>
                <w:szCs w:val="21"/>
                <w:highlight w:val="none"/>
              </w:rPr>
            </w:pPr>
          </w:p>
        </w:tc>
        <w:tc>
          <w:tcPr>
            <w:tcW w:w="744" w:type="dxa"/>
            <w:noWrap/>
            <w:vAlign w:val="center"/>
          </w:tcPr>
          <w:p>
            <w:pPr>
              <w:spacing w:line="360" w:lineRule="auto"/>
              <w:ind w:right="-2"/>
              <w:jc w:val="center"/>
              <w:rPr>
                <w:rFonts w:ascii="宋体" w:hAnsi="宋体"/>
                <w:color w:val="auto"/>
                <w:szCs w:val="21"/>
                <w:highlight w:val="none"/>
              </w:rPr>
            </w:pPr>
          </w:p>
        </w:tc>
        <w:tc>
          <w:tcPr>
            <w:tcW w:w="801" w:type="dxa"/>
            <w:noWrap/>
            <w:vAlign w:val="center"/>
          </w:tcPr>
          <w:p>
            <w:pPr>
              <w:spacing w:line="360" w:lineRule="auto"/>
              <w:ind w:right="-2"/>
              <w:jc w:val="center"/>
              <w:rPr>
                <w:rFonts w:ascii="宋体" w:hAnsi="宋体"/>
                <w:color w:val="auto"/>
                <w:szCs w:val="21"/>
                <w:highlight w:val="none"/>
              </w:rPr>
            </w:pPr>
          </w:p>
        </w:tc>
        <w:tc>
          <w:tcPr>
            <w:tcW w:w="687" w:type="dxa"/>
            <w:noWrap/>
            <w:vAlign w:val="center"/>
          </w:tcPr>
          <w:p>
            <w:pPr>
              <w:spacing w:line="360" w:lineRule="auto"/>
              <w:ind w:right="-2"/>
              <w:jc w:val="center"/>
              <w:rPr>
                <w:rFonts w:ascii="宋体" w:hAnsi="宋体"/>
                <w:color w:val="auto"/>
                <w:szCs w:val="21"/>
                <w:highlight w:val="none"/>
              </w:rPr>
            </w:pPr>
          </w:p>
        </w:tc>
        <w:tc>
          <w:tcPr>
            <w:tcW w:w="1072" w:type="dxa"/>
            <w:noWrap/>
            <w:vAlign w:val="center"/>
          </w:tcPr>
          <w:p>
            <w:pPr>
              <w:spacing w:line="360" w:lineRule="auto"/>
              <w:ind w:right="-2"/>
              <w:jc w:val="center"/>
              <w:rPr>
                <w:rFonts w:ascii="宋体" w:hAnsi="宋体"/>
                <w:color w:val="auto"/>
                <w:szCs w:val="21"/>
                <w:highlight w:val="none"/>
              </w:rPr>
            </w:pPr>
          </w:p>
        </w:tc>
        <w:tc>
          <w:tcPr>
            <w:tcW w:w="823" w:type="dxa"/>
            <w:noWrap/>
            <w:vAlign w:val="center"/>
          </w:tcPr>
          <w:p>
            <w:pPr>
              <w:spacing w:line="360" w:lineRule="auto"/>
              <w:ind w:right="-2"/>
              <w:jc w:val="center"/>
              <w:rPr>
                <w:rFonts w:ascii="宋体" w:hAnsi="宋体"/>
                <w:color w:val="auto"/>
                <w:szCs w:val="21"/>
                <w:highlight w:val="none"/>
              </w:rPr>
            </w:pPr>
          </w:p>
        </w:tc>
        <w:tc>
          <w:tcPr>
            <w:tcW w:w="1117" w:type="dxa"/>
            <w:noWrap/>
            <w:vAlign w:val="center"/>
          </w:tcPr>
          <w:p>
            <w:pPr>
              <w:spacing w:line="360" w:lineRule="auto"/>
              <w:ind w:right="-2"/>
              <w:jc w:val="center"/>
              <w:rPr>
                <w:rFonts w:ascii="宋体" w:hAnsi="宋体"/>
                <w:color w:val="auto"/>
                <w:szCs w:val="21"/>
                <w:highlight w:val="none"/>
              </w:rPr>
            </w:pPr>
          </w:p>
        </w:tc>
        <w:tc>
          <w:tcPr>
            <w:tcW w:w="1709" w:type="dxa"/>
            <w:noWrap/>
            <w:vAlign w:val="center"/>
          </w:tcPr>
          <w:p>
            <w:pPr>
              <w:spacing w:line="360" w:lineRule="auto"/>
              <w:ind w:right="-2"/>
              <w:jc w:val="center"/>
              <w:rPr>
                <w:rFonts w:ascii="宋体" w:hAnsi="宋体"/>
                <w:color w:val="auto"/>
                <w:szCs w:val="21"/>
                <w:highlight w:val="none"/>
              </w:rPr>
            </w:pPr>
          </w:p>
        </w:tc>
        <w:tc>
          <w:tcPr>
            <w:tcW w:w="1409" w:type="dxa"/>
            <w:noWrap/>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ign w:val="center"/>
          </w:tcPr>
          <w:p>
            <w:pPr>
              <w:spacing w:line="360" w:lineRule="auto"/>
              <w:ind w:right="-2"/>
              <w:jc w:val="center"/>
              <w:rPr>
                <w:rFonts w:ascii="宋体" w:hAnsi="宋体"/>
                <w:color w:val="auto"/>
                <w:szCs w:val="21"/>
                <w:highlight w:val="none"/>
              </w:rPr>
            </w:pPr>
          </w:p>
        </w:tc>
        <w:tc>
          <w:tcPr>
            <w:tcW w:w="697" w:type="dxa"/>
            <w:noWrap/>
            <w:vAlign w:val="center"/>
          </w:tcPr>
          <w:p>
            <w:pPr>
              <w:spacing w:line="360" w:lineRule="auto"/>
              <w:ind w:right="-2"/>
              <w:jc w:val="center"/>
              <w:rPr>
                <w:rFonts w:ascii="宋体" w:hAnsi="宋体"/>
                <w:color w:val="auto"/>
                <w:szCs w:val="21"/>
                <w:highlight w:val="none"/>
              </w:rPr>
            </w:pPr>
          </w:p>
        </w:tc>
        <w:tc>
          <w:tcPr>
            <w:tcW w:w="744" w:type="dxa"/>
            <w:noWrap/>
            <w:vAlign w:val="center"/>
          </w:tcPr>
          <w:p>
            <w:pPr>
              <w:spacing w:line="360" w:lineRule="auto"/>
              <w:ind w:right="-2"/>
              <w:jc w:val="center"/>
              <w:rPr>
                <w:rFonts w:ascii="宋体" w:hAnsi="宋体"/>
                <w:color w:val="auto"/>
                <w:szCs w:val="21"/>
                <w:highlight w:val="none"/>
              </w:rPr>
            </w:pPr>
          </w:p>
        </w:tc>
        <w:tc>
          <w:tcPr>
            <w:tcW w:w="801" w:type="dxa"/>
            <w:noWrap/>
            <w:vAlign w:val="center"/>
          </w:tcPr>
          <w:p>
            <w:pPr>
              <w:spacing w:line="360" w:lineRule="auto"/>
              <w:ind w:right="-2"/>
              <w:jc w:val="center"/>
              <w:rPr>
                <w:rFonts w:ascii="宋体" w:hAnsi="宋体"/>
                <w:color w:val="auto"/>
                <w:szCs w:val="21"/>
                <w:highlight w:val="none"/>
              </w:rPr>
            </w:pPr>
          </w:p>
        </w:tc>
        <w:tc>
          <w:tcPr>
            <w:tcW w:w="687" w:type="dxa"/>
            <w:noWrap/>
            <w:vAlign w:val="center"/>
          </w:tcPr>
          <w:p>
            <w:pPr>
              <w:spacing w:line="360" w:lineRule="auto"/>
              <w:ind w:right="-2"/>
              <w:jc w:val="center"/>
              <w:rPr>
                <w:rFonts w:ascii="宋体" w:hAnsi="宋体"/>
                <w:color w:val="auto"/>
                <w:szCs w:val="21"/>
                <w:highlight w:val="none"/>
              </w:rPr>
            </w:pPr>
          </w:p>
        </w:tc>
        <w:tc>
          <w:tcPr>
            <w:tcW w:w="1072" w:type="dxa"/>
            <w:noWrap/>
            <w:vAlign w:val="center"/>
          </w:tcPr>
          <w:p>
            <w:pPr>
              <w:spacing w:line="360" w:lineRule="auto"/>
              <w:ind w:right="-2"/>
              <w:jc w:val="center"/>
              <w:rPr>
                <w:rFonts w:ascii="宋体" w:hAnsi="宋体"/>
                <w:color w:val="auto"/>
                <w:szCs w:val="21"/>
                <w:highlight w:val="none"/>
              </w:rPr>
            </w:pPr>
          </w:p>
        </w:tc>
        <w:tc>
          <w:tcPr>
            <w:tcW w:w="823" w:type="dxa"/>
            <w:noWrap/>
            <w:vAlign w:val="center"/>
          </w:tcPr>
          <w:p>
            <w:pPr>
              <w:spacing w:line="360" w:lineRule="auto"/>
              <w:ind w:right="-2"/>
              <w:jc w:val="center"/>
              <w:rPr>
                <w:rFonts w:ascii="宋体" w:hAnsi="宋体"/>
                <w:color w:val="auto"/>
                <w:szCs w:val="21"/>
                <w:highlight w:val="none"/>
              </w:rPr>
            </w:pPr>
          </w:p>
        </w:tc>
        <w:tc>
          <w:tcPr>
            <w:tcW w:w="1117" w:type="dxa"/>
            <w:noWrap/>
            <w:vAlign w:val="center"/>
          </w:tcPr>
          <w:p>
            <w:pPr>
              <w:spacing w:line="360" w:lineRule="auto"/>
              <w:ind w:right="-2"/>
              <w:jc w:val="center"/>
              <w:rPr>
                <w:rFonts w:ascii="宋体" w:hAnsi="宋体"/>
                <w:color w:val="auto"/>
                <w:szCs w:val="21"/>
                <w:highlight w:val="none"/>
              </w:rPr>
            </w:pPr>
          </w:p>
        </w:tc>
        <w:tc>
          <w:tcPr>
            <w:tcW w:w="1709" w:type="dxa"/>
            <w:noWrap/>
            <w:vAlign w:val="center"/>
          </w:tcPr>
          <w:p>
            <w:pPr>
              <w:spacing w:line="360" w:lineRule="auto"/>
              <w:ind w:right="-2"/>
              <w:jc w:val="center"/>
              <w:rPr>
                <w:rFonts w:ascii="宋体" w:hAnsi="宋体"/>
                <w:color w:val="auto"/>
                <w:szCs w:val="21"/>
                <w:highlight w:val="none"/>
              </w:rPr>
            </w:pPr>
          </w:p>
        </w:tc>
        <w:tc>
          <w:tcPr>
            <w:tcW w:w="1409" w:type="dxa"/>
            <w:noWrap/>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ign w:val="center"/>
          </w:tcPr>
          <w:p>
            <w:pPr>
              <w:spacing w:line="360" w:lineRule="auto"/>
              <w:ind w:right="-2"/>
              <w:jc w:val="center"/>
              <w:rPr>
                <w:rFonts w:ascii="宋体" w:hAnsi="宋体"/>
                <w:color w:val="auto"/>
                <w:szCs w:val="21"/>
                <w:highlight w:val="none"/>
              </w:rPr>
            </w:pPr>
          </w:p>
        </w:tc>
        <w:tc>
          <w:tcPr>
            <w:tcW w:w="697" w:type="dxa"/>
            <w:noWrap/>
            <w:vAlign w:val="center"/>
          </w:tcPr>
          <w:p>
            <w:pPr>
              <w:spacing w:line="360" w:lineRule="auto"/>
              <w:ind w:right="-2"/>
              <w:jc w:val="center"/>
              <w:rPr>
                <w:rFonts w:ascii="宋体" w:hAnsi="宋体"/>
                <w:color w:val="auto"/>
                <w:szCs w:val="21"/>
                <w:highlight w:val="none"/>
              </w:rPr>
            </w:pPr>
          </w:p>
        </w:tc>
        <w:tc>
          <w:tcPr>
            <w:tcW w:w="744" w:type="dxa"/>
            <w:noWrap/>
            <w:vAlign w:val="center"/>
          </w:tcPr>
          <w:p>
            <w:pPr>
              <w:spacing w:line="360" w:lineRule="auto"/>
              <w:ind w:right="-2"/>
              <w:jc w:val="center"/>
              <w:rPr>
                <w:rFonts w:ascii="宋体" w:hAnsi="宋体"/>
                <w:color w:val="auto"/>
                <w:szCs w:val="21"/>
                <w:highlight w:val="none"/>
              </w:rPr>
            </w:pPr>
          </w:p>
        </w:tc>
        <w:tc>
          <w:tcPr>
            <w:tcW w:w="801" w:type="dxa"/>
            <w:noWrap/>
            <w:vAlign w:val="center"/>
          </w:tcPr>
          <w:p>
            <w:pPr>
              <w:spacing w:line="360" w:lineRule="auto"/>
              <w:ind w:right="-2"/>
              <w:jc w:val="center"/>
              <w:rPr>
                <w:rFonts w:ascii="宋体" w:hAnsi="宋体"/>
                <w:color w:val="auto"/>
                <w:szCs w:val="21"/>
                <w:highlight w:val="none"/>
              </w:rPr>
            </w:pPr>
          </w:p>
        </w:tc>
        <w:tc>
          <w:tcPr>
            <w:tcW w:w="687" w:type="dxa"/>
            <w:noWrap/>
            <w:vAlign w:val="center"/>
          </w:tcPr>
          <w:p>
            <w:pPr>
              <w:spacing w:line="360" w:lineRule="auto"/>
              <w:ind w:right="-2"/>
              <w:jc w:val="center"/>
              <w:rPr>
                <w:rFonts w:ascii="宋体" w:hAnsi="宋体"/>
                <w:color w:val="auto"/>
                <w:szCs w:val="21"/>
                <w:highlight w:val="none"/>
              </w:rPr>
            </w:pPr>
          </w:p>
        </w:tc>
        <w:tc>
          <w:tcPr>
            <w:tcW w:w="1072" w:type="dxa"/>
            <w:noWrap/>
            <w:vAlign w:val="center"/>
          </w:tcPr>
          <w:p>
            <w:pPr>
              <w:spacing w:line="360" w:lineRule="auto"/>
              <w:ind w:right="-2"/>
              <w:jc w:val="center"/>
              <w:rPr>
                <w:rFonts w:ascii="宋体" w:hAnsi="宋体"/>
                <w:color w:val="auto"/>
                <w:szCs w:val="21"/>
                <w:highlight w:val="none"/>
              </w:rPr>
            </w:pPr>
          </w:p>
        </w:tc>
        <w:tc>
          <w:tcPr>
            <w:tcW w:w="823" w:type="dxa"/>
            <w:noWrap/>
            <w:vAlign w:val="center"/>
          </w:tcPr>
          <w:p>
            <w:pPr>
              <w:spacing w:line="360" w:lineRule="auto"/>
              <w:ind w:right="-2"/>
              <w:jc w:val="center"/>
              <w:rPr>
                <w:rFonts w:ascii="宋体" w:hAnsi="宋体"/>
                <w:color w:val="auto"/>
                <w:szCs w:val="21"/>
                <w:highlight w:val="none"/>
              </w:rPr>
            </w:pPr>
          </w:p>
        </w:tc>
        <w:tc>
          <w:tcPr>
            <w:tcW w:w="1117" w:type="dxa"/>
            <w:noWrap/>
            <w:vAlign w:val="center"/>
          </w:tcPr>
          <w:p>
            <w:pPr>
              <w:spacing w:line="360" w:lineRule="auto"/>
              <w:ind w:right="-2"/>
              <w:jc w:val="center"/>
              <w:rPr>
                <w:rFonts w:ascii="宋体" w:hAnsi="宋体"/>
                <w:color w:val="auto"/>
                <w:szCs w:val="21"/>
                <w:highlight w:val="none"/>
              </w:rPr>
            </w:pPr>
          </w:p>
        </w:tc>
        <w:tc>
          <w:tcPr>
            <w:tcW w:w="1709" w:type="dxa"/>
            <w:noWrap/>
            <w:vAlign w:val="center"/>
          </w:tcPr>
          <w:p>
            <w:pPr>
              <w:spacing w:line="360" w:lineRule="auto"/>
              <w:ind w:right="-2"/>
              <w:jc w:val="center"/>
              <w:rPr>
                <w:rFonts w:ascii="宋体" w:hAnsi="宋体"/>
                <w:color w:val="auto"/>
                <w:szCs w:val="21"/>
                <w:highlight w:val="none"/>
              </w:rPr>
            </w:pPr>
          </w:p>
        </w:tc>
        <w:tc>
          <w:tcPr>
            <w:tcW w:w="1409" w:type="dxa"/>
            <w:noWrap/>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2" w:type="dxa"/>
            <w:noWrap/>
            <w:vAlign w:val="center"/>
          </w:tcPr>
          <w:p>
            <w:pPr>
              <w:spacing w:line="360" w:lineRule="auto"/>
              <w:ind w:right="-2"/>
              <w:jc w:val="center"/>
              <w:rPr>
                <w:rFonts w:ascii="宋体" w:hAnsi="宋体"/>
                <w:color w:val="auto"/>
                <w:szCs w:val="21"/>
                <w:highlight w:val="none"/>
              </w:rPr>
            </w:pPr>
          </w:p>
        </w:tc>
        <w:tc>
          <w:tcPr>
            <w:tcW w:w="697" w:type="dxa"/>
            <w:noWrap/>
            <w:vAlign w:val="center"/>
          </w:tcPr>
          <w:p>
            <w:pPr>
              <w:spacing w:line="360" w:lineRule="auto"/>
              <w:ind w:right="-2"/>
              <w:jc w:val="center"/>
              <w:rPr>
                <w:rFonts w:ascii="宋体" w:hAnsi="宋体"/>
                <w:color w:val="auto"/>
                <w:szCs w:val="21"/>
                <w:highlight w:val="none"/>
              </w:rPr>
            </w:pPr>
          </w:p>
        </w:tc>
        <w:tc>
          <w:tcPr>
            <w:tcW w:w="744" w:type="dxa"/>
            <w:noWrap/>
            <w:vAlign w:val="center"/>
          </w:tcPr>
          <w:p>
            <w:pPr>
              <w:spacing w:line="360" w:lineRule="auto"/>
              <w:ind w:right="-2"/>
              <w:jc w:val="center"/>
              <w:rPr>
                <w:rFonts w:ascii="宋体" w:hAnsi="宋体"/>
                <w:color w:val="auto"/>
                <w:szCs w:val="21"/>
                <w:highlight w:val="none"/>
              </w:rPr>
            </w:pPr>
          </w:p>
        </w:tc>
        <w:tc>
          <w:tcPr>
            <w:tcW w:w="801" w:type="dxa"/>
            <w:noWrap/>
            <w:vAlign w:val="center"/>
          </w:tcPr>
          <w:p>
            <w:pPr>
              <w:spacing w:line="360" w:lineRule="auto"/>
              <w:ind w:right="-2"/>
              <w:jc w:val="center"/>
              <w:rPr>
                <w:rFonts w:ascii="宋体" w:hAnsi="宋体"/>
                <w:color w:val="auto"/>
                <w:szCs w:val="21"/>
                <w:highlight w:val="none"/>
              </w:rPr>
            </w:pPr>
          </w:p>
        </w:tc>
        <w:tc>
          <w:tcPr>
            <w:tcW w:w="687" w:type="dxa"/>
            <w:noWrap/>
            <w:vAlign w:val="center"/>
          </w:tcPr>
          <w:p>
            <w:pPr>
              <w:spacing w:line="360" w:lineRule="auto"/>
              <w:ind w:right="-2"/>
              <w:jc w:val="center"/>
              <w:rPr>
                <w:rFonts w:ascii="宋体" w:hAnsi="宋体"/>
                <w:color w:val="auto"/>
                <w:szCs w:val="21"/>
                <w:highlight w:val="none"/>
              </w:rPr>
            </w:pPr>
          </w:p>
        </w:tc>
        <w:tc>
          <w:tcPr>
            <w:tcW w:w="1072" w:type="dxa"/>
            <w:noWrap/>
            <w:vAlign w:val="center"/>
          </w:tcPr>
          <w:p>
            <w:pPr>
              <w:spacing w:line="360" w:lineRule="auto"/>
              <w:ind w:right="-2"/>
              <w:jc w:val="center"/>
              <w:rPr>
                <w:rFonts w:ascii="宋体" w:hAnsi="宋体"/>
                <w:color w:val="auto"/>
                <w:szCs w:val="21"/>
                <w:highlight w:val="none"/>
              </w:rPr>
            </w:pPr>
          </w:p>
        </w:tc>
        <w:tc>
          <w:tcPr>
            <w:tcW w:w="823" w:type="dxa"/>
            <w:noWrap/>
            <w:vAlign w:val="center"/>
          </w:tcPr>
          <w:p>
            <w:pPr>
              <w:spacing w:line="360" w:lineRule="auto"/>
              <w:ind w:right="-2"/>
              <w:jc w:val="center"/>
              <w:rPr>
                <w:rFonts w:ascii="宋体" w:hAnsi="宋体"/>
                <w:color w:val="auto"/>
                <w:szCs w:val="21"/>
                <w:highlight w:val="none"/>
              </w:rPr>
            </w:pPr>
          </w:p>
        </w:tc>
        <w:tc>
          <w:tcPr>
            <w:tcW w:w="1117" w:type="dxa"/>
            <w:noWrap/>
            <w:vAlign w:val="center"/>
          </w:tcPr>
          <w:p>
            <w:pPr>
              <w:spacing w:line="360" w:lineRule="auto"/>
              <w:ind w:right="-2"/>
              <w:jc w:val="center"/>
              <w:rPr>
                <w:rFonts w:ascii="宋体" w:hAnsi="宋体"/>
                <w:color w:val="auto"/>
                <w:szCs w:val="21"/>
                <w:highlight w:val="none"/>
              </w:rPr>
            </w:pPr>
          </w:p>
        </w:tc>
        <w:tc>
          <w:tcPr>
            <w:tcW w:w="1709" w:type="dxa"/>
            <w:noWrap/>
            <w:vAlign w:val="center"/>
          </w:tcPr>
          <w:p>
            <w:pPr>
              <w:spacing w:line="360" w:lineRule="auto"/>
              <w:ind w:right="-2"/>
              <w:jc w:val="center"/>
              <w:rPr>
                <w:rFonts w:ascii="宋体" w:hAnsi="宋体"/>
                <w:color w:val="auto"/>
                <w:szCs w:val="21"/>
                <w:highlight w:val="none"/>
              </w:rPr>
            </w:pPr>
          </w:p>
        </w:tc>
        <w:tc>
          <w:tcPr>
            <w:tcW w:w="1409" w:type="dxa"/>
            <w:noWrap/>
            <w:vAlign w:val="center"/>
          </w:tcPr>
          <w:p>
            <w:pPr>
              <w:spacing w:line="360" w:lineRule="auto"/>
              <w:ind w:right="-2"/>
              <w:jc w:val="center"/>
              <w:rPr>
                <w:rFonts w:ascii="宋体" w:hAnsi="宋体"/>
                <w:color w:val="auto"/>
                <w:szCs w:val="21"/>
                <w:highlight w:val="none"/>
              </w:rPr>
            </w:pPr>
          </w:p>
        </w:tc>
      </w:tr>
    </w:tbl>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t>法定代表人或授权代表签字：</w:t>
      </w:r>
    </w:p>
    <w:p>
      <w:pPr>
        <w:jc w:val="right"/>
        <w:rPr>
          <w:rFonts w:ascii="宋体" w:hAnsi="宋体"/>
          <w:color w:val="auto"/>
          <w:szCs w:val="21"/>
          <w:highlight w:val="none"/>
        </w:rPr>
      </w:pPr>
    </w:p>
    <w:p>
      <w:pPr>
        <w:jc w:val="right"/>
        <w:rPr>
          <w:rFonts w:ascii="宋体" w:hAnsi="宋体"/>
          <w:color w:val="auto"/>
          <w:szCs w:val="21"/>
          <w:highlight w:val="none"/>
        </w:rPr>
      </w:pPr>
      <w:r>
        <w:rPr>
          <w:rFonts w:hint="eastAsia" w:ascii="宋体" w:hAnsi="宋体"/>
          <w:color w:val="auto"/>
          <w:szCs w:val="21"/>
          <w:highlight w:val="none"/>
        </w:rPr>
        <w:t>日期：     年    月     日</w:t>
      </w:r>
    </w:p>
    <w:p>
      <w:pPr>
        <w:jc w:val="right"/>
        <w:rPr>
          <w:rFonts w:ascii="宋体" w:hAnsi="宋体"/>
          <w:color w:val="auto"/>
          <w:szCs w:val="21"/>
          <w:highlight w:val="none"/>
        </w:rPr>
      </w:pPr>
    </w:p>
    <w:p>
      <w:pPr>
        <w:rPr>
          <w:color w:val="auto"/>
          <w:highlight w:val="none"/>
        </w:rPr>
      </w:pPr>
    </w:p>
    <w:p>
      <w:pPr>
        <w:jc w:val="center"/>
        <w:rPr>
          <w:rFonts w:ascii="楷体_GB2312" w:hAnsi="宋体" w:eastAsia="楷体_GB2312"/>
          <w:b/>
          <w:color w:val="auto"/>
          <w:sz w:val="44"/>
          <w:szCs w:val="44"/>
          <w:highlight w:val="none"/>
        </w:rPr>
        <w:sectPr>
          <w:pgSz w:w="11906" w:h="16838"/>
          <w:pgMar w:top="1440" w:right="1800" w:bottom="1440" w:left="1800" w:header="851" w:footer="992" w:gutter="0"/>
          <w:cols w:space="720" w:num="1"/>
          <w:docGrid w:type="lines" w:linePitch="312" w:charSpace="0"/>
        </w:sectPr>
      </w:pPr>
    </w:p>
    <w:p>
      <w:pPr>
        <w:jc w:val="center"/>
        <w:rPr>
          <w:rFonts w:ascii="楷体_GB2312" w:hAnsi="宋体" w:eastAsia="楷体_GB2312"/>
          <w:b/>
          <w:color w:val="auto"/>
          <w:sz w:val="44"/>
          <w:szCs w:val="44"/>
          <w:highlight w:val="none"/>
        </w:rPr>
      </w:pPr>
      <w:r>
        <w:rPr>
          <w:rFonts w:hint="eastAsia" w:ascii="楷体_GB2312" w:hAnsi="宋体" w:eastAsia="楷体_GB2312"/>
          <w:b/>
          <w:color w:val="auto"/>
          <w:sz w:val="44"/>
          <w:szCs w:val="44"/>
          <w:highlight w:val="none"/>
        </w:rPr>
        <w:t>供应商参加磋商确认函</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扬州大学附属医院代理机构：</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本公司将参加贵单位于月日开标的采购编号为的项目的投标。本单位已在扬州大学附属医院网站、扬州大学网成功下载标书，特发函确认。</w:t>
      </w:r>
    </w:p>
    <w:p>
      <w:pPr>
        <w:spacing w:line="360" w:lineRule="auto"/>
        <w:ind w:left="2730" w:hanging="2730" w:hangingChars="1300"/>
        <w:jc w:val="righ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（单位公章）</w:t>
      </w:r>
    </w:p>
    <w:p>
      <w:pPr>
        <w:pBdr>
          <w:bottom w:val="single" w:color="auto" w:sz="6" w:space="1"/>
        </w:pBdr>
        <w:spacing w:line="360" w:lineRule="auto"/>
        <w:ind w:left="3465" w:hanging="3465" w:hangingChars="1650"/>
        <w:jc w:val="right"/>
        <w:rPr>
          <w:rFonts w:ascii="宋体" w:hAnsi="宋体" w:cs="宋体"/>
          <w:color w:val="auto"/>
          <w:szCs w:val="21"/>
          <w:highlight w:val="none"/>
        </w:rPr>
      </w:pPr>
      <w:r>
        <w:rPr>
          <w:rFonts w:hint="eastAsia" w:ascii="宋体" w:hAnsi="宋体" w:cs="宋体"/>
          <w:color w:val="auto"/>
          <w:szCs w:val="21"/>
          <w:highlight w:val="none"/>
        </w:rPr>
        <w:t>　　　　　　　　　　　　　    　年　　　月　　　日</w:t>
      </w:r>
    </w:p>
    <w:p>
      <w:pPr>
        <w:spacing w:line="360" w:lineRule="auto"/>
        <w:ind w:left="3465" w:hanging="3465" w:hangingChars="1650"/>
        <w:rPr>
          <w:rFonts w:ascii="宋体" w:hAnsi="宋体" w:cs="宋体"/>
          <w:color w:val="auto"/>
          <w:szCs w:val="21"/>
          <w:highlight w:val="none"/>
        </w:rPr>
      </w:pPr>
      <w:r>
        <w:rPr>
          <w:rFonts w:hint="eastAsia" w:ascii="宋体" w:hAnsi="宋体" w:cs="宋体"/>
          <w:color w:val="auto"/>
          <w:szCs w:val="21"/>
          <w:highlight w:val="none"/>
        </w:rPr>
        <w:t>附：</w:t>
      </w:r>
    </w:p>
    <w:p>
      <w:pPr>
        <w:ind w:left="3479" w:hanging="3479" w:hangingChars="1650"/>
        <w:jc w:val="center"/>
        <w:rPr>
          <w:rFonts w:ascii="宋体" w:hAnsi="宋体" w:cs="宋体"/>
          <w:b/>
          <w:color w:val="auto"/>
          <w:szCs w:val="21"/>
          <w:highlight w:val="none"/>
        </w:rPr>
      </w:pPr>
      <w:r>
        <w:rPr>
          <w:rFonts w:hint="eastAsia" w:ascii="宋体" w:hAnsi="宋体" w:cs="宋体"/>
          <w:b/>
          <w:color w:val="auto"/>
          <w:szCs w:val="21"/>
          <w:highlight w:val="none"/>
        </w:rPr>
        <w:t xml:space="preserve"> 供应商联系表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2101"/>
        <w:gridCol w:w="1812"/>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55" w:type="dxa"/>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单位名称</w:t>
            </w:r>
          </w:p>
        </w:tc>
        <w:tc>
          <w:tcPr>
            <w:tcW w:w="5904" w:type="dxa"/>
            <w:gridSpan w:val="3"/>
            <w:noWrap/>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单位地址</w:t>
            </w:r>
          </w:p>
        </w:tc>
        <w:tc>
          <w:tcPr>
            <w:tcW w:w="5904" w:type="dxa"/>
            <w:gridSpan w:val="3"/>
            <w:noWrap/>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2101" w:type="dxa"/>
            <w:noWrap/>
            <w:vAlign w:val="center"/>
          </w:tcPr>
          <w:p>
            <w:pPr>
              <w:spacing w:line="360" w:lineRule="auto"/>
              <w:jc w:val="center"/>
              <w:rPr>
                <w:rFonts w:ascii="宋体" w:hAnsi="宋体" w:cs="宋体"/>
                <w:color w:val="auto"/>
                <w:szCs w:val="21"/>
                <w:highlight w:val="none"/>
              </w:rPr>
            </w:pPr>
          </w:p>
        </w:tc>
        <w:tc>
          <w:tcPr>
            <w:tcW w:w="1812" w:type="dxa"/>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单位电话</w:t>
            </w:r>
          </w:p>
        </w:tc>
        <w:tc>
          <w:tcPr>
            <w:tcW w:w="1991" w:type="dxa"/>
            <w:noWrap/>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2455" w:type="dxa"/>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项目联系人</w:t>
            </w:r>
          </w:p>
        </w:tc>
        <w:tc>
          <w:tcPr>
            <w:tcW w:w="2101" w:type="dxa"/>
            <w:noWrap/>
            <w:vAlign w:val="center"/>
          </w:tcPr>
          <w:p>
            <w:pPr>
              <w:spacing w:line="360" w:lineRule="auto"/>
              <w:jc w:val="center"/>
              <w:rPr>
                <w:rFonts w:ascii="宋体" w:hAnsi="宋体" w:cs="宋体"/>
                <w:color w:val="auto"/>
                <w:szCs w:val="21"/>
                <w:highlight w:val="none"/>
              </w:rPr>
            </w:pPr>
          </w:p>
        </w:tc>
        <w:tc>
          <w:tcPr>
            <w:tcW w:w="1812" w:type="dxa"/>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邮    箱</w:t>
            </w:r>
          </w:p>
        </w:tc>
        <w:tc>
          <w:tcPr>
            <w:tcW w:w="1991" w:type="dxa"/>
            <w:noWrap/>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联系人固定电话</w:t>
            </w:r>
          </w:p>
        </w:tc>
        <w:tc>
          <w:tcPr>
            <w:tcW w:w="2101" w:type="dxa"/>
            <w:noWrap/>
            <w:vAlign w:val="center"/>
          </w:tcPr>
          <w:p>
            <w:pPr>
              <w:spacing w:line="360" w:lineRule="auto"/>
              <w:jc w:val="center"/>
              <w:rPr>
                <w:rFonts w:ascii="宋体" w:hAnsi="宋体" w:cs="宋体"/>
                <w:color w:val="auto"/>
                <w:szCs w:val="21"/>
                <w:highlight w:val="none"/>
              </w:rPr>
            </w:pPr>
          </w:p>
        </w:tc>
        <w:tc>
          <w:tcPr>
            <w:tcW w:w="1812" w:type="dxa"/>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联系人手机</w:t>
            </w:r>
          </w:p>
        </w:tc>
        <w:tc>
          <w:tcPr>
            <w:tcW w:w="1991" w:type="dxa"/>
            <w:noWrap/>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2455" w:type="dxa"/>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所投项目名称</w:t>
            </w:r>
          </w:p>
        </w:tc>
        <w:tc>
          <w:tcPr>
            <w:tcW w:w="5904" w:type="dxa"/>
            <w:gridSpan w:val="3"/>
            <w:noWrap/>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2455" w:type="dxa"/>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所投标段（如有）</w:t>
            </w:r>
          </w:p>
        </w:tc>
        <w:tc>
          <w:tcPr>
            <w:tcW w:w="5904" w:type="dxa"/>
            <w:gridSpan w:val="3"/>
            <w:noWrap/>
            <w:vAlign w:val="center"/>
          </w:tcPr>
          <w:p>
            <w:pPr>
              <w:adjustRightInd w:val="0"/>
              <w:snapToGrid w:val="0"/>
              <w:spacing w:line="360" w:lineRule="auto"/>
              <w:jc w:val="center"/>
              <w:rPr>
                <w:rFonts w:ascii="宋体" w:hAnsi="宋体" w:cs="宋体"/>
                <w:color w:val="auto"/>
                <w:szCs w:val="21"/>
                <w:highlight w:val="none"/>
              </w:rPr>
            </w:pPr>
          </w:p>
        </w:tc>
      </w:tr>
    </w:tbl>
    <w:p>
      <w:pPr>
        <w:spacing w:line="360" w:lineRule="auto"/>
        <w:rPr>
          <w:rFonts w:ascii="宋体" w:hAnsi="宋体" w:cs="宋体"/>
          <w:b/>
          <w:color w:val="auto"/>
          <w:szCs w:val="21"/>
          <w:highlight w:val="none"/>
        </w:rPr>
      </w:pPr>
      <w:r>
        <w:rPr>
          <w:rFonts w:hint="eastAsia" w:ascii="宋体" w:hAnsi="宋体" w:cs="宋体"/>
          <w:b/>
          <w:color w:val="auto"/>
          <w:sz w:val="24"/>
          <w:szCs w:val="24"/>
          <w:highlight w:val="none"/>
        </w:rPr>
        <w:t>备注：</w:t>
      </w:r>
      <w:r>
        <w:rPr>
          <w:rFonts w:hint="eastAsia" w:ascii="宋体" w:hAnsi="宋体" w:cs="宋体"/>
          <w:b/>
          <w:color w:val="auto"/>
          <w:szCs w:val="21"/>
          <w:highlight w:val="none"/>
        </w:rPr>
        <w:t>1、请准备参与本项目磋商的供应商如实填写（以上信息均为必填内容）后邮件至采购代理机构（邮箱：2263852076@qq.com，固定电话：18752710910）。</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      2、因供应商填写有误，造成以上信息资料的不实将由供应商承担责任。</w:t>
      </w:r>
    </w:p>
    <w:p>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      3、已确认参加磋商的供应商，故意迟到或无故不参加，影响磋商活动正常进行的，根据《江苏省政府采购信用管理暂行办法》，将被列为一般失信行为。</w:t>
      </w:r>
    </w:p>
    <w:p>
      <w:pPr>
        <w:spacing w:line="360" w:lineRule="auto"/>
        <w:ind w:firstLine="632" w:firstLineChars="300"/>
        <w:rPr>
          <w:rFonts w:ascii="宋体" w:hAnsi="宋体" w:cs="宋体"/>
          <w:b/>
          <w:bCs/>
          <w:color w:val="auto"/>
          <w:szCs w:val="21"/>
          <w:highlight w:val="none"/>
        </w:rPr>
      </w:pPr>
      <w:r>
        <w:rPr>
          <w:rFonts w:hint="eastAsia" w:ascii="宋体" w:hAnsi="宋体" w:cs="宋体"/>
          <w:b/>
          <w:bCs/>
          <w:color w:val="auto"/>
          <w:szCs w:val="21"/>
          <w:highlight w:val="none"/>
        </w:rPr>
        <w:t>4、此表手写无效。</w:t>
      </w:r>
    </w:p>
    <w:p>
      <w:pPr>
        <w:spacing w:line="360" w:lineRule="auto"/>
        <w:ind w:left="3479" w:hanging="3479" w:hangingChars="1650"/>
        <w:jc w:val="center"/>
        <w:rPr>
          <w:rFonts w:ascii="宋体" w:hAnsi="宋体" w:cs="宋体"/>
          <w:b/>
          <w:color w:val="auto"/>
          <w:szCs w:val="21"/>
          <w:highlight w:val="none"/>
        </w:rPr>
      </w:pPr>
      <w:r>
        <w:rPr>
          <w:rFonts w:hint="eastAsia" w:ascii="宋体" w:hAnsi="宋体" w:cs="宋体"/>
          <w:b/>
          <w:color w:val="auto"/>
          <w:szCs w:val="21"/>
          <w:highlight w:val="none"/>
        </w:rPr>
        <w:t>代理机构确认（盖章确认后获取招标、采购文件）</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5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55" w:type="dxa"/>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经办人确认</w:t>
            </w:r>
          </w:p>
        </w:tc>
        <w:tc>
          <w:tcPr>
            <w:tcW w:w="5904" w:type="dxa"/>
            <w:noWrap/>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资料费金额</w:t>
            </w:r>
          </w:p>
        </w:tc>
        <w:tc>
          <w:tcPr>
            <w:tcW w:w="5904" w:type="dxa"/>
            <w:noWrap/>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财务确认</w:t>
            </w:r>
          </w:p>
        </w:tc>
        <w:tc>
          <w:tcPr>
            <w:tcW w:w="5904" w:type="dxa"/>
            <w:noWrap/>
            <w:vAlign w:val="center"/>
          </w:tcPr>
          <w:p>
            <w:pPr>
              <w:spacing w:line="360" w:lineRule="auto"/>
              <w:jc w:val="center"/>
              <w:rPr>
                <w:rFonts w:ascii="宋体" w:hAnsi="宋体" w:cs="宋体"/>
                <w:color w:val="auto"/>
                <w:szCs w:val="21"/>
                <w:highlight w:val="none"/>
              </w:rPr>
            </w:pPr>
          </w:p>
        </w:tc>
      </w:tr>
    </w:tbl>
    <w:p>
      <w:pPr>
        <w:spacing w:line="360" w:lineRule="auto"/>
        <w:rPr>
          <w:rFonts w:ascii="宋体" w:hAnsi="宋体" w:cs="宋体"/>
          <w:b/>
          <w:bCs/>
          <w:color w:val="auto"/>
          <w:szCs w:val="21"/>
          <w:highlight w:val="none"/>
        </w:rPr>
      </w:pP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法人授权书</w:t>
      </w:r>
    </w:p>
    <w:p>
      <w:pPr>
        <w:pStyle w:val="38"/>
        <w:spacing w:line="360" w:lineRule="auto"/>
        <w:ind w:firstLine="422"/>
        <w:jc w:val="center"/>
        <w:rPr>
          <w:rFonts w:ascii="宋体" w:hAnsi="宋体" w:cs="宋体"/>
          <w:b/>
          <w:color w:val="auto"/>
          <w:sz w:val="21"/>
          <w:szCs w:val="21"/>
          <w:highlight w:val="none"/>
        </w:rPr>
      </w:pPr>
    </w:p>
    <w:p>
      <w:pPr>
        <w:tabs>
          <w:tab w:val="left" w:pos="36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本授权书声明：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（投标人、供应商名称）授权（被授权人的姓名）为我方就（项目编号）（项目名称）招标、采购活动的合法代理人，以本公司名义全权处理一切与该项目采购有关的事务。</w:t>
      </w:r>
    </w:p>
    <w:p>
      <w:pPr>
        <w:tabs>
          <w:tab w:val="left" w:pos="36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本授权书于______年____月____日起生效，特此声明。</w:t>
      </w:r>
    </w:p>
    <w:p>
      <w:pPr>
        <w:tabs>
          <w:tab w:val="left" w:pos="36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代理人（被授权人）：</w:t>
      </w:r>
      <w:r>
        <w:rPr>
          <w:rFonts w:hint="eastAsia" w:ascii="宋体" w:hAnsi="宋体" w:cs="宋体"/>
          <w:color w:val="auto"/>
          <w:szCs w:val="21"/>
          <w:highlight w:val="none"/>
          <w:u w:val="single"/>
        </w:rPr>
        <w:t xml:space="preserve">  　  </w:t>
      </w:r>
    </w:p>
    <w:p>
      <w:pPr>
        <w:tabs>
          <w:tab w:val="left" w:pos="36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w:t>
      </w:r>
    </w:p>
    <w:p>
      <w:pPr>
        <w:tabs>
          <w:tab w:val="left" w:pos="36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授权单位盖章：</w:t>
      </w:r>
      <w:r>
        <w:rPr>
          <w:rFonts w:hint="eastAsia" w:ascii="宋体" w:hAnsi="宋体" w:cs="宋体"/>
          <w:color w:val="auto"/>
          <w:szCs w:val="21"/>
          <w:highlight w:val="none"/>
          <w:u w:val="single"/>
        </w:rPr>
        <w:t xml:space="preserve">  　  </w:t>
      </w:r>
    </w:p>
    <w:p>
      <w:pPr>
        <w:tabs>
          <w:tab w:val="left" w:pos="36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w:t>
      </w:r>
    </w:p>
    <w:p>
      <w:pPr>
        <w:tabs>
          <w:tab w:val="left" w:pos="360"/>
        </w:tabs>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pPr>
        <w:tabs>
          <w:tab w:val="left" w:pos="36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日期：年月日</w:t>
      </w:r>
    </w:p>
    <w:p>
      <w:pPr>
        <w:spacing w:line="460" w:lineRule="exact"/>
        <w:ind w:firstLine="420" w:firstLineChars="200"/>
        <w:rPr>
          <w:rFonts w:ascii="宋体" w:hAnsi="宋体" w:cs="宋体"/>
          <w:bCs/>
          <w:color w:val="auto"/>
          <w:szCs w:val="21"/>
          <w:highlight w:val="none"/>
        </w:rPr>
      </w:pPr>
    </w:p>
    <w:p>
      <w:pPr>
        <w:spacing w:line="460" w:lineRule="exact"/>
        <w:ind w:firstLine="420" w:firstLineChars="200"/>
        <w:rPr>
          <w:rFonts w:ascii="宋体" w:hAnsi="宋体"/>
          <w:bCs/>
          <w:color w:val="auto"/>
          <w:szCs w:val="21"/>
          <w:highlight w:val="none"/>
        </w:rPr>
      </w:pPr>
      <w:r>
        <w:rPr>
          <w:rFonts w:hint="eastAsia" w:ascii="宋体" w:hAnsi="宋体"/>
          <w:bCs/>
          <w:color w:val="auto"/>
          <w:szCs w:val="21"/>
          <w:highlight w:val="none"/>
        </w:rPr>
        <w:t>法定代表人身份证复印件：</w:t>
      </w:r>
    </w:p>
    <w:p>
      <w:pPr>
        <w:spacing w:line="460" w:lineRule="exact"/>
        <w:ind w:firstLine="420" w:firstLineChars="200"/>
        <w:rPr>
          <w:rFonts w:ascii="宋体" w:hAnsi="宋体"/>
          <w:bCs/>
          <w:color w:val="auto"/>
          <w:szCs w:val="21"/>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color w:val="auto"/>
          <w:highlight w:val="none"/>
        </w:rPr>
      </w:pPr>
    </w:p>
    <w:p>
      <w:pPr>
        <w:spacing w:line="460" w:lineRule="exact"/>
        <w:ind w:firstLine="420" w:firstLineChars="200"/>
        <w:rPr>
          <w:rFonts w:ascii="宋体" w:hAnsi="宋体"/>
          <w:bCs/>
          <w:color w:val="auto"/>
          <w:szCs w:val="21"/>
          <w:highlight w:val="none"/>
        </w:rPr>
      </w:pPr>
      <w:r>
        <w:rPr>
          <w:rFonts w:hint="eastAsia" w:ascii="宋体" w:hAnsi="宋体"/>
          <w:bCs/>
          <w:color w:val="auto"/>
          <w:szCs w:val="21"/>
          <w:highlight w:val="none"/>
        </w:rPr>
        <w:t>被授权人身份证复印件：</w:t>
      </w:r>
    </w:p>
    <w:p>
      <w:pPr>
        <w:spacing w:line="360" w:lineRule="auto"/>
        <w:rPr>
          <w:rFonts w:ascii="宋体" w:hAnsi="宋体" w:cs="宋体"/>
          <w:b/>
          <w:bCs/>
          <w:color w:val="auto"/>
          <w:szCs w:val="21"/>
          <w:highlight w:val="none"/>
        </w:rPr>
      </w:pPr>
    </w:p>
    <w:p>
      <w:pPr>
        <w:pStyle w:val="17"/>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宋体_GB2312">
    <w:altName w:val="宋体"/>
    <w:panose1 w:val="00000000000000000000"/>
    <w:charset w:val="86"/>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ascii="宋体_GB2312" w:hAnsi="宋体_GB2312" w:eastAsia="宋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4S+80BAACp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4S+80BAACpAwAADgAAAAAAAAABACAAAAAeAQAAZHJzL2Uy&#10;b0RvYy54bWxQSwUGAAAAAAYABgBZAQAAXQ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5"/>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5"/>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17</w:t>
                    </w:r>
                    <w:r>
                      <w:fldChar w:fldCharType="end"/>
                    </w:r>
                  </w:p>
                </w:txbxContent>
              </v:textbox>
            </v:shape>
          </w:pict>
        </mc:Fallback>
      </mc:AlternateConten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r>
      <w:rPr>
        <w:rFonts w:hint="eastAsia"/>
      </w:rPr>
      <w:t>JSHCZB-20230454号</w:t>
    </w:r>
    <w:r>
      <w:rPr>
        <w:rFonts w:hint="eastAsia"/>
        <w:lang w:val="en-US" w:eastAsia="zh-CN"/>
      </w:rPr>
      <w:t xml:space="preserve">                                             </w:t>
    </w:r>
    <w:r>
      <w:rPr>
        <w:rFonts w:hint="eastAsia"/>
      </w:rPr>
      <w:t>江苏汇诚投资咨询管理有限公司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r>
      <w:rPr>
        <w:rFonts w:hint="eastAsia"/>
      </w:rPr>
      <w:t>JSHCZB-20230454号</w:t>
    </w:r>
    <w:r>
      <w:rPr>
        <w:rFonts w:hint="eastAsia"/>
        <w:lang w:val="en-US" w:eastAsia="zh-CN"/>
      </w:rPr>
      <w:t xml:space="preserve">                                             </w:t>
    </w:r>
    <w:r>
      <w:rPr>
        <w:rFonts w:hint="eastAsia"/>
      </w:rPr>
      <w:t>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64FE8"/>
    <w:multiLevelType w:val="singleLevel"/>
    <w:tmpl w:val="9BA64FE8"/>
    <w:lvl w:ilvl="0" w:tentative="0">
      <w:start w:val="4"/>
      <w:numFmt w:val="chineseCounting"/>
      <w:suff w:val="space"/>
      <w:lvlText w:val="第%1章"/>
      <w:lvlJc w:val="left"/>
      <w:rPr>
        <w:rFonts w:hint="eastAsia"/>
      </w:rPr>
    </w:lvl>
  </w:abstractNum>
  <w:abstractNum w:abstractNumId="1">
    <w:nsid w:val="B4A6C067"/>
    <w:multiLevelType w:val="singleLevel"/>
    <w:tmpl w:val="B4A6C067"/>
    <w:lvl w:ilvl="0" w:tentative="0">
      <w:start w:val="2"/>
      <w:numFmt w:val="chineseCounting"/>
      <w:suff w:val="nothing"/>
      <w:lvlText w:val="（%1）"/>
      <w:lvlJc w:val="left"/>
      <w:rPr>
        <w:rFonts w:hint="eastAsia"/>
      </w:rPr>
    </w:lvl>
  </w:abstractNum>
  <w:abstractNum w:abstractNumId="2">
    <w:nsid w:val="E8BB828F"/>
    <w:multiLevelType w:val="singleLevel"/>
    <w:tmpl w:val="E8BB828F"/>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3">
    <w:nsid w:val="14E0F544"/>
    <w:multiLevelType w:val="singleLevel"/>
    <w:tmpl w:val="14E0F544"/>
    <w:lvl w:ilvl="0" w:tentative="0">
      <w:start w:val="3"/>
      <w:numFmt w:val="chineseCounting"/>
      <w:suff w:val="nothing"/>
      <w:lvlText w:val="%1、"/>
      <w:lvlJc w:val="left"/>
      <w:rPr>
        <w:rFonts w:hint="eastAsia"/>
      </w:rPr>
    </w:lvl>
  </w:abstractNum>
  <w:abstractNum w:abstractNumId="4">
    <w:nsid w:val="16126E66"/>
    <w:multiLevelType w:val="singleLevel"/>
    <w:tmpl w:val="16126E66"/>
    <w:lvl w:ilvl="0" w:tentative="0">
      <w:start w:val="8"/>
      <w:numFmt w:val="chineseCounting"/>
      <w:suff w:val="nothing"/>
      <w:lvlText w:val="%1、"/>
      <w:lvlJc w:val="left"/>
      <w:rPr>
        <w:rFonts w:hint="eastAsia"/>
      </w:rPr>
    </w:lvl>
  </w:abstractNum>
  <w:abstractNum w:abstractNumId="5">
    <w:nsid w:val="5A4CB95F"/>
    <w:multiLevelType w:val="singleLevel"/>
    <w:tmpl w:val="5A4CB95F"/>
    <w:lvl w:ilvl="0" w:tentative="0">
      <w:start w:val="5"/>
      <w:numFmt w:val="chineseCounting"/>
      <w:suff w:val="space"/>
      <w:lvlText w:val="第%1章"/>
      <w:lvlJc w:val="left"/>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YTNlZTVkNGM0ZWQwOGI5ZjE2MGNhYWFkNmNlYWYifQ=="/>
  </w:docVars>
  <w:rsids>
    <w:rsidRoot w:val="363634F9"/>
    <w:rsid w:val="008D6DBF"/>
    <w:rsid w:val="00BA1055"/>
    <w:rsid w:val="00E47624"/>
    <w:rsid w:val="03A00863"/>
    <w:rsid w:val="045F6B9B"/>
    <w:rsid w:val="09AF2373"/>
    <w:rsid w:val="0C322DE7"/>
    <w:rsid w:val="0EA53D42"/>
    <w:rsid w:val="0FC718F8"/>
    <w:rsid w:val="101A606C"/>
    <w:rsid w:val="10260EB5"/>
    <w:rsid w:val="134F0723"/>
    <w:rsid w:val="1B1A33C4"/>
    <w:rsid w:val="1D164B43"/>
    <w:rsid w:val="1E6E4153"/>
    <w:rsid w:val="21487A4A"/>
    <w:rsid w:val="23F8626D"/>
    <w:rsid w:val="26722306"/>
    <w:rsid w:val="27982240"/>
    <w:rsid w:val="28C055AB"/>
    <w:rsid w:val="2B0025D7"/>
    <w:rsid w:val="2D5C381D"/>
    <w:rsid w:val="2FA15A0A"/>
    <w:rsid w:val="301306B6"/>
    <w:rsid w:val="30416C65"/>
    <w:rsid w:val="363634F9"/>
    <w:rsid w:val="369B2542"/>
    <w:rsid w:val="37540586"/>
    <w:rsid w:val="3C1F7FAA"/>
    <w:rsid w:val="3E3F4D6C"/>
    <w:rsid w:val="43034CC7"/>
    <w:rsid w:val="44C85ABB"/>
    <w:rsid w:val="44CD4E35"/>
    <w:rsid w:val="465C7A25"/>
    <w:rsid w:val="47B642F1"/>
    <w:rsid w:val="4B0E160C"/>
    <w:rsid w:val="4CCB5B7E"/>
    <w:rsid w:val="4F9A0054"/>
    <w:rsid w:val="54647FC2"/>
    <w:rsid w:val="549932EC"/>
    <w:rsid w:val="580556A2"/>
    <w:rsid w:val="580B0C56"/>
    <w:rsid w:val="5CA2679A"/>
    <w:rsid w:val="60804772"/>
    <w:rsid w:val="609A4358"/>
    <w:rsid w:val="69F557BF"/>
    <w:rsid w:val="6C4448D4"/>
    <w:rsid w:val="6D9F57EA"/>
    <w:rsid w:val="6DD14A67"/>
    <w:rsid w:val="6E7004A6"/>
    <w:rsid w:val="6FA737B6"/>
    <w:rsid w:val="701248C3"/>
    <w:rsid w:val="75EC7C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heading 1"/>
    <w:basedOn w:val="1"/>
    <w:next w:val="1"/>
    <w:qFormat/>
    <w:uiPriority w:val="9"/>
    <w:pPr>
      <w:keepNext/>
      <w:keepLines/>
      <w:spacing w:before="340" w:after="330" w:line="578" w:lineRule="auto"/>
      <w:outlineLvl w:val="0"/>
    </w:pPr>
    <w:rPr>
      <w:b/>
      <w:bCs/>
      <w:kern w:val="44"/>
      <w:sz w:val="44"/>
      <w:szCs w:val="44"/>
    </w:rPr>
  </w:style>
  <w:style w:type="paragraph" w:styleId="11">
    <w:name w:val="heading 2"/>
    <w:basedOn w:val="1"/>
    <w:next w:val="1"/>
    <w:qFormat/>
    <w:uiPriority w:val="0"/>
    <w:pPr>
      <w:keepNext/>
      <w:keepLines/>
      <w:spacing w:before="260" w:after="260" w:line="416" w:lineRule="auto"/>
      <w:jc w:val="center"/>
      <w:outlineLvl w:val="1"/>
    </w:pPr>
    <w:rPr>
      <w:rFonts w:ascii="Arial" w:hAnsi="Arial" w:eastAsia="幼圆"/>
      <w:b/>
      <w:bCs/>
      <w:kern w:val="0"/>
      <w:sz w:val="44"/>
      <w:szCs w:val="44"/>
    </w:rPr>
  </w:style>
  <w:style w:type="paragraph" w:styleId="12">
    <w:name w:val="heading 4"/>
    <w:basedOn w:val="1"/>
    <w:next w:val="13"/>
    <w:qFormat/>
    <w:uiPriority w:val="99"/>
    <w:pPr>
      <w:spacing w:before="280" w:after="290" w:line="377" w:lineRule="auto"/>
      <w:outlineLvl w:val="3"/>
    </w:pPr>
    <w:rPr>
      <w:rFonts w:ascii="Arial" w:hAnsi="Arial" w:eastAsia="黑体"/>
      <w:b/>
      <w:bCs/>
      <w:kern w:val="0"/>
      <w:sz w:val="28"/>
      <w:szCs w:val="28"/>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next w:val="3"/>
    <w:qFormat/>
    <w:uiPriority w:val="0"/>
    <w:pPr>
      <w:ind w:firstLine="480"/>
    </w:pPr>
  </w:style>
  <w:style w:type="paragraph" w:customStyle="1" w:styleId="3">
    <w:name w:val="Char Char Char Char Char Char Char Char Char"/>
    <w:basedOn w:val="1"/>
    <w:next w:val="4"/>
    <w:qFormat/>
    <w:uiPriority w:val="99"/>
    <w:pPr>
      <w:ind w:left="360" w:firstLine="5784"/>
    </w:pPr>
  </w:style>
  <w:style w:type="paragraph" w:customStyle="1" w:styleId="4">
    <w:name w:val="正文文本 21"/>
    <w:basedOn w:val="1"/>
    <w:next w:val="5"/>
    <w:qFormat/>
    <w:uiPriority w:val="99"/>
    <w:pPr>
      <w:widowControl/>
      <w:autoSpaceDE w:val="0"/>
      <w:autoSpaceDN w:val="0"/>
      <w:ind w:left="720" w:firstLine="5680"/>
    </w:pPr>
  </w:style>
  <w:style w:type="paragraph" w:customStyle="1" w:styleId="5">
    <w:name w:val="默认段落字体 Para Char Char Char Char Char Char Char"/>
    <w:basedOn w:val="1"/>
    <w:next w:val="6"/>
    <w:qFormat/>
    <w:uiPriority w:val="99"/>
    <w:pPr>
      <w:ind w:firstLine="200" w:firstLineChars="200"/>
    </w:pPr>
    <w:rPr>
      <w:rFonts w:cs="Arial"/>
    </w:rPr>
  </w:style>
  <w:style w:type="paragraph" w:customStyle="1" w:styleId="6">
    <w:name w:val="样式 首行缩进:  2 字符"/>
    <w:basedOn w:val="1"/>
    <w:next w:val="7"/>
    <w:qFormat/>
    <w:uiPriority w:val="99"/>
    <w:pPr>
      <w:spacing w:line="360" w:lineRule="auto"/>
      <w:ind w:left="480" w:firstLine="5856"/>
    </w:pPr>
  </w:style>
  <w:style w:type="paragraph" w:customStyle="1" w:styleId="7">
    <w:name w:val="样式 段后: 0.25 行"/>
    <w:basedOn w:val="1"/>
    <w:next w:val="8"/>
    <w:qFormat/>
    <w:uiPriority w:val="99"/>
    <w:pPr>
      <w:widowControl/>
      <w:spacing w:line="300" w:lineRule="auto"/>
      <w:ind w:left="420" w:firstLine="5796"/>
    </w:pPr>
  </w:style>
  <w:style w:type="paragraph" w:customStyle="1" w:styleId="8">
    <w:name w:val="正文 New New New New New New New New New New New New New New"/>
    <w:next w:val="9"/>
    <w:qFormat/>
    <w:uiPriority w:val="99"/>
    <w:pPr>
      <w:widowControl w:val="0"/>
      <w:ind w:firstLine="2048"/>
      <w:jc w:val="both"/>
    </w:pPr>
    <w:rPr>
      <w:rFonts w:ascii="Calibri" w:hAnsi="Calibri" w:eastAsia="宋体" w:cs="Times New Roman"/>
      <w:lang w:val="en-US" w:eastAsia="zh-CN" w:bidi="ar-SA"/>
    </w:rPr>
  </w:style>
  <w:style w:type="paragraph" w:styleId="9">
    <w:name w:val="toc 9"/>
    <w:basedOn w:val="1"/>
    <w:next w:val="1"/>
    <w:qFormat/>
    <w:uiPriority w:val="99"/>
    <w:pPr>
      <w:ind w:left="3360" w:leftChars="1600"/>
    </w:pPr>
  </w:style>
  <w:style w:type="paragraph" w:styleId="13">
    <w:name w:val="Normal Indent"/>
    <w:basedOn w:val="1"/>
    <w:next w:val="1"/>
    <w:qFormat/>
    <w:uiPriority w:val="0"/>
    <w:pPr>
      <w:ind w:firstLine="420"/>
    </w:pPr>
    <w:rPr>
      <w:kern w:val="0"/>
      <w:sz w:val="20"/>
      <w:szCs w:val="21"/>
    </w:rPr>
  </w:style>
  <w:style w:type="paragraph" w:styleId="14">
    <w:name w:val="toa heading"/>
    <w:basedOn w:val="1"/>
    <w:next w:val="1"/>
    <w:unhideWhenUsed/>
    <w:qFormat/>
    <w:uiPriority w:val="99"/>
    <w:pPr>
      <w:spacing w:before="120"/>
    </w:pPr>
    <w:rPr>
      <w:rFonts w:ascii="Cambria" w:hAnsi="Cambria"/>
      <w:sz w:val="24"/>
    </w:rPr>
  </w:style>
  <w:style w:type="paragraph" w:styleId="15">
    <w:name w:val="annotation text"/>
    <w:basedOn w:val="1"/>
    <w:qFormat/>
    <w:uiPriority w:val="0"/>
    <w:pPr>
      <w:jc w:val="left"/>
    </w:pPr>
  </w:style>
  <w:style w:type="paragraph" w:styleId="16">
    <w:name w:val="Body Text 3"/>
    <w:basedOn w:val="1"/>
    <w:next w:val="1"/>
    <w:qFormat/>
    <w:uiPriority w:val="0"/>
    <w:rPr>
      <w:sz w:val="16"/>
      <w:szCs w:val="16"/>
    </w:rPr>
  </w:style>
  <w:style w:type="paragraph" w:styleId="17">
    <w:name w:val="Body Text"/>
    <w:basedOn w:val="1"/>
    <w:next w:val="16"/>
    <w:unhideWhenUsed/>
    <w:qFormat/>
    <w:uiPriority w:val="99"/>
    <w:rPr>
      <w:rFonts w:ascii="楷体_GB2312" w:hAnsi="Arial" w:eastAsia="楷体_GB2312"/>
      <w:kern w:val="0"/>
      <w:sz w:val="28"/>
      <w:szCs w:val="28"/>
    </w:rPr>
  </w:style>
  <w:style w:type="paragraph" w:styleId="18">
    <w:name w:val="Body Text Indent"/>
    <w:basedOn w:val="1"/>
    <w:next w:val="19"/>
    <w:unhideWhenUsed/>
    <w:qFormat/>
    <w:uiPriority w:val="99"/>
    <w:pPr>
      <w:spacing w:line="400" w:lineRule="exact"/>
      <w:ind w:firstLine="540" w:firstLineChars="225"/>
    </w:pPr>
    <w:rPr>
      <w:sz w:val="24"/>
    </w:rPr>
  </w:style>
  <w:style w:type="paragraph" w:styleId="19">
    <w:name w:val="envelope return"/>
    <w:basedOn w:val="1"/>
    <w:unhideWhenUsed/>
    <w:qFormat/>
    <w:uiPriority w:val="99"/>
    <w:pPr>
      <w:snapToGrid w:val="0"/>
    </w:pPr>
    <w:rPr>
      <w:rFonts w:ascii="Cambria" w:hAnsi="Cambria"/>
    </w:rPr>
  </w:style>
  <w:style w:type="paragraph" w:styleId="20">
    <w:name w:val="List Bullet 2"/>
    <w:basedOn w:val="1"/>
    <w:qFormat/>
    <w:uiPriority w:val="0"/>
    <w:pPr>
      <w:numPr>
        <w:ilvl w:val="0"/>
        <w:numId w:val="1"/>
      </w:numPr>
    </w:pPr>
  </w:style>
  <w:style w:type="paragraph" w:styleId="21">
    <w:name w:val="index 4"/>
    <w:basedOn w:val="1"/>
    <w:next w:val="1"/>
    <w:unhideWhenUsed/>
    <w:qFormat/>
    <w:uiPriority w:val="99"/>
    <w:pPr>
      <w:ind w:left="600" w:leftChars="600"/>
    </w:pPr>
    <w:rPr>
      <w:rFonts w:ascii="Verdana" w:hAnsi="Verdana"/>
      <w:szCs w:val="20"/>
    </w:rPr>
  </w:style>
  <w:style w:type="paragraph" w:styleId="22">
    <w:name w:val="Plain Text"/>
    <w:basedOn w:val="1"/>
    <w:qFormat/>
    <w:uiPriority w:val="0"/>
    <w:rPr>
      <w:rFonts w:ascii="宋体" w:hAnsi="Courier New"/>
      <w:kern w:val="0"/>
      <w:sz w:val="20"/>
      <w:szCs w:val="21"/>
    </w:rPr>
  </w:style>
  <w:style w:type="paragraph" w:styleId="23">
    <w:name w:val="Date"/>
    <w:basedOn w:val="1"/>
    <w:next w:val="1"/>
    <w:qFormat/>
    <w:uiPriority w:val="0"/>
    <w:rPr>
      <w:kern w:val="0"/>
      <w:sz w:val="24"/>
      <w:szCs w:val="20"/>
    </w:rPr>
  </w:style>
  <w:style w:type="paragraph" w:styleId="24">
    <w:name w:val="Balloon Text"/>
    <w:basedOn w:val="1"/>
    <w:link w:val="40"/>
    <w:qFormat/>
    <w:uiPriority w:val="0"/>
    <w:rPr>
      <w:sz w:val="18"/>
      <w:szCs w:val="18"/>
    </w:rPr>
  </w:style>
  <w:style w:type="paragraph" w:styleId="25">
    <w:name w:val="footer"/>
    <w:basedOn w:val="1"/>
    <w:unhideWhenUsed/>
    <w:qFormat/>
    <w:uiPriority w:val="99"/>
    <w:pPr>
      <w:tabs>
        <w:tab w:val="center" w:pos="4153"/>
        <w:tab w:val="right" w:pos="8306"/>
      </w:tabs>
      <w:snapToGrid w:val="0"/>
      <w:jc w:val="left"/>
    </w:pPr>
    <w:rPr>
      <w:kern w:val="0"/>
      <w:sz w:val="18"/>
      <w:szCs w:val="18"/>
    </w:rPr>
  </w:style>
  <w:style w:type="paragraph" w:styleId="2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unhideWhenUsed/>
    <w:qFormat/>
    <w:uiPriority w:val="39"/>
  </w:style>
  <w:style w:type="paragraph" w:styleId="28">
    <w:name w:val="Body Text 2"/>
    <w:basedOn w:val="1"/>
    <w:qFormat/>
    <w:uiPriority w:val="0"/>
    <w:pPr>
      <w:spacing w:after="120" w:line="480" w:lineRule="auto"/>
    </w:pPr>
  </w:style>
  <w:style w:type="paragraph" w:styleId="29">
    <w:name w:val="Body Text First Indent"/>
    <w:basedOn w:val="1"/>
    <w:qFormat/>
    <w:uiPriority w:val="0"/>
    <w:pPr>
      <w:spacing w:line="360" w:lineRule="auto"/>
      <w:ind w:firstLine="200" w:firstLineChars="200"/>
    </w:pPr>
    <w:rPr>
      <w:rFonts w:ascii="仿宋_GB2312" w:eastAsia="仿宋_GB2312"/>
      <w:kern w:val="0"/>
      <w:sz w:val="30"/>
      <w:szCs w:val="30"/>
    </w:rPr>
  </w:style>
  <w:style w:type="paragraph" w:styleId="30">
    <w:name w:val="Body Text First Indent 2"/>
    <w:basedOn w:val="18"/>
    <w:qFormat/>
    <w:uiPriority w:val="0"/>
    <w:pPr>
      <w:ind w:firstLine="42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ascii="Times New Roman" w:hAnsi="宋体" w:eastAsia="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3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7">
    <w:name w:val="列出段落1"/>
    <w:basedOn w:val="1"/>
    <w:qFormat/>
    <w:uiPriority w:val="0"/>
    <w:pPr>
      <w:widowControl/>
      <w:ind w:left="720"/>
      <w:contextualSpacing/>
      <w:jc w:val="left"/>
    </w:pPr>
    <w:rPr>
      <w:rFonts w:ascii="Calibri" w:hAnsi="Calibri"/>
      <w:kern w:val="0"/>
      <w:sz w:val="24"/>
      <w:szCs w:val="24"/>
      <w:lang w:eastAsia="en-US" w:bidi="en-US"/>
    </w:rPr>
  </w:style>
  <w:style w:type="paragraph" w:customStyle="1" w:styleId="38">
    <w:name w:val="Char"/>
    <w:basedOn w:val="1"/>
    <w:qFormat/>
    <w:uiPriority w:val="0"/>
    <w:pPr>
      <w:tabs>
        <w:tab w:val="left" w:pos="360"/>
      </w:tabs>
      <w:ind w:firstLine="200" w:firstLineChars="200"/>
    </w:pPr>
    <w:rPr>
      <w:sz w:val="28"/>
      <w:szCs w:val="30"/>
    </w:rPr>
  </w:style>
  <w:style w:type="character" w:customStyle="1" w:styleId="39">
    <w:name w:val="NormalCharacter"/>
    <w:qFormat/>
    <w:uiPriority w:val="0"/>
    <w:rPr>
      <w:rFonts w:ascii="Times New Roman" w:hAnsi="Times New Roman" w:eastAsia="宋体" w:cs="Times New Roman"/>
    </w:rPr>
  </w:style>
  <w:style w:type="character" w:customStyle="1" w:styleId="40">
    <w:name w:val="批注框文本 Char"/>
    <w:basedOn w:val="32"/>
    <w:link w:val="2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30933</Words>
  <Characters>32418</Characters>
  <Lines>250</Lines>
  <Paragraphs>70</Paragraphs>
  <TotalTime>28</TotalTime>
  <ScaleCrop>false</ScaleCrop>
  <LinksUpToDate>false</LinksUpToDate>
  <CharactersWithSpaces>33701</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2023-05-29T01:46:00Z</dcterms:created>
  <dc:creator>rr</dc:creator>
  <cp:lastModifiedBy>唐磊</cp:lastModifiedBy>
  <dcterms:modified xsi:type="dcterms:W3CDTF">2023-05-30T06:52:55Z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C04F18A1CC3A4E9D90AC139E1F895D33_13</vt:lpwstr>
  </property>
</Properties>
</file>