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检验科不锈钢转椅采购项目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检验科不锈钢转椅采购项目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检验科不锈钢转椅采购项目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检验科不锈钢转椅采购项目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检验科不锈钢转椅采购项目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10</w:t>
      </w:r>
      <w:r>
        <w:rPr>
          <w:rStyle w:val="36"/>
          <w:rFonts w:ascii="宋体" w:hAnsi="宋体"/>
          <w:b/>
          <w:sz w:val="24"/>
          <w:highlight w:val="none"/>
        </w:rPr>
        <w:t>月</w:t>
      </w:r>
      <w:r>
        <w:rPr>
          <w:rStyle w:val="36"/>
          <w:rFonts w:hint="eastAsia" w:ascii="宋体" w:hAnsi="宋体"/>
          <w:b/>
          <w:sz w:val="24"/>
          <w:highlight w:val="none"/>
          <w:lang w:val="en-US" w:eastAsia="zh-CN"/>
        </w:rPr>
        <w:t>9</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检验科不锈钢转椅采购项目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8"/>
        <w:tblW w:w="9360" w:type="dxa"/>
        <w:tblInd w:w="-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95"/>
        <w:gridCol w:w="1230"/>
        <w:gridCol w:w="2700"/>
        <w:gridCol w:w="1701"/>
        <w:gridCol w:w="789"/>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0" w:type="dxa"/>
          </w:tcPr>
          <w:p>
            <w:pPr>
              <w:pStyle w:val="4"/>
              <w:jc w:val="center"/>
              <w:rPr>
                <w:rFonts w:hint="eastAsia" w:ascii="宋体" w:hAnsi="宋体" w:eastAsia="宋体" w:cs="宋体"/>
                <w:sz w:val="24"/>
                <w:szCs w:val="24"/>
                <w:vertAlign w:val="baseline"/>
                <w:lang w:val="en-US" w:eastAsia="zh-CN"/>
              </w:rPr>
            </w:pPr>
          </w:p>
        </w:tc>
        <w:tc>
          <w:tcPr>
            <w:tcW w:w="1095"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样图</w:t>
            </w:r>
          </w:p>
        </w:tc>
        <w:tc>
          <w:tcPr>
            <w:tcW w:w="1230"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2700"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材质说明</w:t>
            </w:r>
          </w:p>
        </w:tc>
        <w:tc>
          <w:tcPr>
            <w:tcW w:w="1701"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参考尺寸</w:t>
            </w:r>
          </w:p>
        </w:tc>
        <w:tc>
          <w:tcPr>
            <w:tcW w:w="789"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975"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70" w:type="dxa"/>
          </w:tcPr>
          <w:p>
            <w:pPr>
              <w:pStyle w:val="4"/>
              <w:jc w:val="center"/>
              <w:rPr>
                <w:rFonts w:hint="eastAsia" w:ascii="宋体" w:hAnsi="宋体" w:eastAsia="宋体" w:cs="宋体"/>
                <w:sz w:val="24"/>
                <w:szCs w:val="24"/>
                <w:vertAlign w:val="baseline"/>
                <w:lang w:val="en-US" w:eastAsia="zh-CN"/>
              </w:rPr>
            </w:pPr>
          </w:p>
          <w:p>
            <w:pPr>
              <w:pStyle w:val="4"/>
              <w:jc w:val="center"/>
              <w:rPr>
                <w:rFonts w:hint="eastAsia" w:ascii="宋体" w:hAnsi="宋体" w:eastAsia="宋体" w:cs="宋体"/>
                <w:sz w:val="24"/>
                <w:szCs w:val="24"/>
                <w:vertAlign w:val="baseline"/>
                <w:lang w:val="en-US" w:eastAsia="zh-CN"/>
              </w:rPr>
            </w:pPr>
          </w:p>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95" w:type="dxa"/>
          </w:tcPr>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114935</wp:posOffset>
                  </wp:positionV>
                  <wp:extent cx="575945" cy="1149350"/>
                  <wp:effectExtent l="0" t="0" r="14605" b="12700"/>
                  <wp:wrapNone/>
                  <wp:docPr id="2" name="图片_22"/>
                  <wp:cNvGraphicFramePr/>
                  <a:graphic xmlns:a="http://schemas.openxmlformats.org/drawingml/2006/main">
                    <a:graphicData uri="http://schemas.openxmlformats.org/drawingml/2006/picture">
                      <pic:pic xmlns:pic="http://schemas.openxmlformats.org/drawingml/2006/picture">
                        <pic:nvPicPr>
                          <pic:cNvPr id="2" name="图片_22"/>
                          <pic:cNvPicPr/>
                        </pic:nvPicPr>
                        <pic:blipFill>
                          <a:blip r:embed="rId6"/>
                          <a:srcRect t="8441" b="24117"/>
                          <a:stretch>
                            <a:fillRect/>
                          </a:stretch>
                        </pic:blipFill>
                        <pic:spPr>
                          <a:xfrm>
                            <a:off x="0" y="0"/>
                            <a:ext cx="575945" cy="1149350"/>
                          </a:xfrm>
                          <a:prstGeom prst="rect">
                            <a:avLst/>
                          </a:prstGeom>
                          <a:noFill/>
                          <a:ln>
                            <a:noFill/>
                          </a:ln>
                        </pic:spPr>
                      </pic:pic>
                    </a:graphicData>
                  </a:graphic>
                </wp:anchor>
              </w:drawing>
            </w:r>
          </w:p>
        </w:tc>
        <w:tc>
          <w:tcPr>
            <w:tcW w:w="1230" w:type="dxa"/>
          </w:tcPr>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不锈钢转椅</w:t>
            </w:r>
          </w:p>
        </w:tc>
        <w:tc>
          <w:tcPr>
            <w:tcW w:w="2700" w:type="dxa"/>
          </w:tcPr>
          <w:p>
            <w:pPr>
              <w:jc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采用优质304不锈钢材裸板厚度≥1.5mm一级不锈钢板冲折制作，表面经拉丝抛光；无焊接缝隙，无倒角毛刺，边缘处理光滑，不挂手。高度可上下调节。</w:t>
            </w:r>
            <w:r>
              <w:rPr>
                <w:rFonts w:hint="eastAsia" w:ascii="宋体" w:hAnsi="宋体" w:cs="宋体"/>
                <w:i w:val="0"/>
                <w:iCs w:val="0"/>
                <w:color w:val="000000"/>
                <w:kern w:val="0"/>
                <w:sz w:val="24"/>
                <w:szCs w:val="24"/>
                <w:u w:val="none"/>
                <w:lang w:val="en-US" w:eastAsia="zh-CN" w:bidi="ar"/>
              </w:rPr>
              <w:t>凳腿带静音防滑软垫。</w:t>
            </w:r>
          </w:p>
        </w:tc>
        <w:tc>
          <w:tcPr>
            <w:tcW w:w="1701" w:type="dxa"/>
          </w:tcPr>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300*350*450-600MM</w:t>
            </w:r>
          </w:p>
        </w:tc>
        <w:tc>
          <w:tcPr>
            <w:tcW w:w="789" w:type="dxa"/>
          </w:tcPr>
          <w:p>
            <w:pPr>
              <w:pStyle w:val="4"/>
              <w:jc w:val="center"/>
              <w:rPr>
                <w:rFonts w:hint="eastAsia" w:ascii="宋体" w:hAnsi="宋体" w:eastAsia="宋体" w:cs="宋体"/>
                <w:sz w:val="24"/>
                <w:szCs w:val="24"/>
                <w:vertAlign w:val="baseline"/>
                <w:lang w:val="en-US" w:eastAsia="zh-CN"/>
              </w:rPr>
            </w:pPr>
          </w:p>
          <w:p>
            <w:pPr>
              <w:pStyle w:val="4"/>
              <w:jc w:val="center"/>
              <w:rPr>
                <w:rFonts w:hint="eastAsia" w:ascii="宋体" w:hAnsi="宋体" w:eastAsia="宋体" w:cs="宋体"/>
                <w:sz w:val="24"/>
                <w:szCs w:val="24"/>
                <w:vertAlign w:val="baseline"/>
                <w:lang w:val="en-US" w:eastAsia="zh-CN"/>
              </w:rPr>
            </w:pPr>
          </w:p>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75" w:type="dxa"/>
          </w:tcPr>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i w:val="0"/>
                <w:iCs w:val="0"/>
                <w:color w:val="000000"/>
                <w:kern w:val="0"/>
                <w:sz w:val="24"/>
                <w:szCs w:val="24"/>
                <w:u w:val="none"/>
                <w:lang w:val="en-US" w:eastAsia="zh-CN" w:bidi="ar"/>
              </w:rPr>
            </w:pPr>
          </w:p>
          <w:p>
            <w:pPr>
              <w:pStyle w:val="4"/>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把</w:t>
            </w:r>
          </w:p>
        </w:tc>
      </w:tr>
    </w:tbl>
    <w:p>
      <w:pPr>
        <w:pStyle w:val="15"/>
        <w:shd w:val="clear" w:color="auto" w:fill="FFFFFF"/>
        <w:spacing w:before="0" w:beforeAutospacing="0" w:after="0" w:afterAutospacing="0"/>
        <w:rPr>
          <w:rFonts w:hint="default" w:cs="宋体"/>
          <w:snapToGrid w:val="0"/>
          <w:kern w:val="0"/>
          <w:sz w:val="24"/>
          <w:highlight w:val="none"/>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检验科不锈钢转椅采购项目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检验科不锈钢转椅采购项目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检验科不锈钢转椅采购项目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检验科不锈钢转椅采购项目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bookmarkStart w:id="4" w:name="_GoBack"/>
      <w:bookmarkEnd w:id="4"/>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2F3C10"/>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styleId="4">
    <w:name w:val="Body Text 3"/>
    <w:basedOn w:val="1"/>
    <w:next w:val="1"/>
    <w:qFormat/>
    <w:uiPriority w:val="0"/>
    <w:pPr>
      <w:spacing w:after="120" w:afterLines="0"/>
    </w:pPr>
    <w:rPr>
      <w:sz w:val="16"/>
      <w:szCs w:val="16"/>
    </w:rPr>
  </w:style>
  <w:style w:type="paragraph" w:styleId="5">
    <w:name w:val="table of authorities"/>
    <w:basedOn w:val="1"/>
    <w:next w:val="1"/>
    <w:qFormat/>
    <w:uiPriority w:val="0"/>
    <w:pPr>
      <w:ind w:left="420" w:leftChars="200"/>
    </w:pPr>
  </w:style>
  <w:style w:type="paragraph" w:styleId="6">
    <w:name w:val="Normal Indent"/>
    <w:basedOn w:val="1"/>
    <w:link w:val="35"/>
    <w:unhideWhenUsed/>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30"/>
    <w:qFormat/>
    <w:uiPriority w:val="99"/>
    <w:rPr>
      <w:rFonts w:ascii="宋体" w:hAnsi="Courier New"/>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qFormat/>
    <w:uiPriority w:val="0"/>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2"/>
    <w:next w:val="6"/>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19"/>
    <w:link w:val="12"/>
    <w:semiHidden/>
    <w:qFormat/>
    <w:uiPriority w:val="99"/>
    <w:rPr>
      <w:rFonts w:eastAsia="宋体"/>
      <w:kern w:val="2"/>
      <w:sz w:val="18"/>
      <w:szCs w:val="18"/>
    </w:rPr>
  </w:style>
  <w:style w:type="character" w:customStyle="1" w:styleId="28">
    <w:name w:val="页脚 Char"/>
    <w:basedOn w:val="19"/>
    <w:link w:val="11"/>
    <w:semiHidden/>
    <w:qFormat/>
    <w:uiPriority w:val="99"/>
    <w:rPr>
      <w:rFonts w:eastAsia="宋体"/>
      <w:kern w:val="2"/>
      <w:sz w:val="18"/>
      <w:szCs w:val="18"/>
    </w:rPr>
  </w:style>
  <w:style w:type="character" w:customStyle="1" w:styleId="29">
    <w:name w:val="批注框文本 Char"/>
    <w:basedOn w:val="19"/>
    <w:link w:val="10"/>
    <w:semiHidden/>
    <w:qFormat/>
    <w:uiPriority w:val="99"/>
    <w:rPr>
      <w:rFonts w:eastAsia="宋体"/>
      <w:kern w:val="2"/>
      <w:sz w:val="18"/>
      <w:szCs w:val="18"/>
    </w:rPr>
  </w:style>
  <w:style w:type="character" w:customStyle="1" w:styleId="30">
    <w:name w:val="纯文本 Char"/>
    <w:basedOn w:val="19"/>
    <w:link w:val="9"/>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19"/>
    <w:link w:val="13"/>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6"/>
    <w:qFormat/>
    <w:uiPriority w:val="0"/>
    <w:rPr>
      <w:kern w:val="2"/>
      <w:sz w:val="21"/>
      <w:szCs w:val="24"/>
    </w:rPr>
  </w:style>
  <w:style w:type="character" w:customStyle="1" w:styleId="36">
    <w:name w:val="NormalCharacter"/>
    <w:qFormat/>
    <w:uiPriority w:val="0"/>
  </w:style>
  <w:style w:type="character" w:customStyle="1" w:styleId="37">
    <w:name w:val="font11"/>
    <w:basedOn w:val="19"/>
    <w:qFormat/>
    <w:uiPriority w:val="0"/>
    <w:rPr>
      <w:rFonts w:hint="eastAsia" w:ascii="宋体" w:hAnsi="宋体" w:eastAsia="宋体" w:cs="宋体"/>
      <w:b/>
      <w:bCs/>
      <w:color w:val="000000"/>
      <w:sz w:val="22"/>
      <w:szCs w:val="22"/>
      <w:u w:val="none"/>
    </w:rPr>
  </w:style>
  <w:style w:type="character" w:customStyle="1" w:styleId="38">
    <w:name w:val="font71"/>
    <w:basedOn w:val="19"/>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4246</Words>
  <Characters>4589</Characters>
  <Lines>70</Lines>
  <Paragraphs>19</Paragraphs>
  <TotalTime>3</TotalTime>
  <ScaleCrop>false</ScaleCrop>
  <LinksUpToDate>false</LinksUpToDate>
  <CharactersWithSpaces>5240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2023-09-26T01:50:14Z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