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YDFYXJ-20231005</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4"/>
          <w:szCs w:val="44"/>
        </w:rPr>
      </w:pPr>
      <w:r>
        <w:rPr>
          <w:rFonts w:hint="eastAsia"/>
          <w:b/>
          <w:sz w:val="44"/>
          <w:szCs w:val="44"/>
        </w:rPr>
        <w:t>扬州大学附属医院</w:t>
      </w:r>
    </w:p>
    <w:p>
      <w:pPr>
        <w:adjustRightInd w:val="0"/>
        <w:snapToGrid w:val="0"/>
        <w:spacing w:line="800" w:lineRule="exact"/>
        <w:contextualSpacing/>
        <w:jc w:val="center"/>
        <w:rPr>
          <w:rFonts w:hint="default" w:ascii="宋体" w:hAnsi="宋体" w:cs="宋体"/>
          <w:b/>
          <w:snapToGrid w:val="0"/>
          <w:kern w:val="0"/>
          <w:sz w:val="44"/>
          <w:szCs w:val="44"/>
          <w:highlight w:val="none"/>
          <w:lang w:val="en-US" w:eastAsia="zh-CN"/>
        </w:rPr>
      </w:pPr>
      <w:r>
        <w:rPr>
          <w:rFonts w:hint="eastAsia" w:ascii="宋体" w:hAnsi="宋体" w:cs="宋体"/>
          <w:b/>
          <w:snapToGrid w:val="0"/>
          <w:kern w:val="0"/>
          <w:sz w:val="44"/>
          <w:szCs w:val="44"/>
          <w:highlight w:val="none"/>
          <w:lang w:val="en-US" w:eastAsia="zh-CN"/>
        </w:rPr>
        <w:t>西区流调大棚拆除服务项目</w:t>
      </w:r>
    </w:p>
    <w:p>
      <w:pPr>
        <w:adjustRightInd w:val="0"/>
        <w:snapToGrid w:val="0"/>
        <w:spacing w:line="800" w:lineRule="exact"/>
        <w:contextualSpacing/>
        <w:jc w:val="center"/>
        <w:rPr>
          <w:b/>
          <w:sz w:val="44"/>
          <w:szCs w:val="44"/>
          <w:highlight w:val="none"/>
        </w:rPr>
      </w:pPr>
      <w:r>
        <w:rPr>
          <w:rFonts w:hint="eastAsia"/>
          <w:b/>
          <w:sz w:val="44"/>
          <w:szCs w:val="44"/>
          <w:highlight w:val="none"/>
        </w:rPr>
        <w:t>询价文件</w:t>
      </w:r>
    </w:p>
    <w:p>
      <w:pPr>
        <w:pStyle w:val="2"/>
        <w:ind w:firstLine="0"/>
      </w:pPr>
    </w:p>
    <w:p>
      <w:pPr>
        <w:pStyle w:val="2"/>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10</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17</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6"/>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西区流调大棚拆除服务项目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YDFYXJ-20231005</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西区流调大棚拆除服务项目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0.28</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10</w:t>
      </w:r>
      <w:r>
        <w:rPr>
          <w:rFonts w:hint="eastAsia" w:ascii="宋体" w:hAnsi="宋体"/>
          <w:b/>
          <w:sz w:val="24"/>
          <w:highlight w:val="none"/>
        </w:rPr>
        <w:t>月</w:t>
      </w:r>
      <w:r>
        <w:rPr>
          <w:rFonts w:hint="eastAsia" w:ascii="宋体" w:hAnsi="宋体"/>
          <w:b/>
          <w:sz w:val="24"/>
          <w:highlight w:val="none"/>
          <w:lang w:val="en-US" w:eastAsia="zh-CN"/>
        </w:rPr>
        <w:t>24</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西区流调大棚拆除服务项目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西区流调大棚拆除服务项目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10</w:t>
      </w:r>
      <w:r>
        <w:rPr>
          <w:rFonts w:hint="eastAsia" w:cs="微软雅黑"/>
          <w:b/>
          <w:highlight w:val="none"/>
        </w:rPr>
        <w:t>月</w:t>
      </w:r>
      <w:r>
        <w:rPr>
          <w:rFonts w:hint="eastAsia" w:cs="微软雅黑"/>
          <w:b/>
          <w:highlight w:val="none"/>
          <w:lang w:val="en-US" w:eastAsia="zh-CN"/>
        </w:rPr>
        <w:t>24</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7"/>
          <w:rFonts w:ascii="宋体" w:hAnsi="宋体"/>
          <w:b/>
          <w:sz w:val="24"/>
          <w:highlight w:val="none"/>
        </w:rPr>
        <w:t>（北</w:t>
      </w:r>
      <w:r>
        <w:rPr>
          <w:rStyle w:val="37"/>
          <w:rFonts w:ascii="宋体" w:hAnsi="宋体"/>
          <w:b/>
          <w:color w:val="000000"/>
          <w:sz w:val="24"/>
          <w:highlight w:val="none"/>
        </w:rPr>
        <w:t>京时间）</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7"/>
          <w:rFonts w:ascii="宋体" w:hAnsi="宋体"/>
          <w:sz w:val="24"/>
        </w:rPr>
      </w:pPr>
      <w:r>
        <w:rPr>
          <w:rStyle w:val="37"/>
          <w:rFonts w:hint="eastAsia" w:ascii="宋体" w:hAnsi="宋体"/>
          <w:sz w:val="24"/>
        </w:rPr>
        <w:t>15.</w:t>
      </w:r>
      <w:r>
        <w:rPr>
          <w:rStyle w:val="37"/>
          <w:rFonts w:ascii="宋体" w:hAnsi="宋体"/>
          <w:sz w:val="24"/>
        </w:rPr>
        <w:t>开标有关信息</w:t>
      </w:r>
    </w:p>
    <w:p>
      <w:pPr>
        <w:adjustRightInd w:val="0"/>
        <w:snapToGrid w:val="0"/>
        <w:spacing w:line="420" w:lineRule="exact"/>
        <w:ind w:firstLine="480" w:firstLineChars="200"/>
        <w:contextualSpacing/>
        <w:rPr>
          <w:rStyle w:val="37"/>
          <w:rFonts w:ascii="宋体" w:hAnsi="宋体"/>
          <w:color w:val="000000"/>
          <w:sz w:val="24"/>
        </w:rPr>
      </w:pPr>
      <w:r>
        <w:rPr>
          <w:rStyle w:val="37"/>
          <w:rFonts w:ascii="宋体" w:hAnsi="宋体"/>
          <w:sz w:val="24"/>
        </w:rPr>
        <w:t>开标时间：</w:t>
      </w:r>
      <w:r>
        <w:rPr>
          <w:rStyle w:val="37"/>
          <w:rFonts w:ascii="宋体" w:hAnsi="宋体"/>
          <w:b/>
          <w:sz w:val="24"/>
          <w:highlight w:val="none"/>
        </w:rPr>
        <w:t>202</w:t>
      </w:r>
      <w:r>
        <w:rPr>
          <w:rStyle w:val="37"/>
          <w:rFonts w:hint="eastAsia" w:ascii="宋体" w:hAnsi="宋体"/>
          <w:b/>
          <w:sz w:val="24"/>
          <w:highlight w:val="none"/>
          <w:lang w:val="en-US" w:eastAsia="zh-CN"/>
        </w:rPr>
        <w:t>3</w:t>
      </w:r>
      <w:r>
        <w:rPr>
          <w:rStyle w:val="37"/>
          <w:rFonts w:ascii="宋体" w:hAnsi="宋体"/>
          <w:b/>
          <w:sz w:val="24"/>
          <w:highlight w:val="none"/>
        </w:rPr>
        <w:t>年</w:t>
      </w:r>
      <w:r>
        <w:rPr>
          <w:rStyle w:val="37"/>
          <w:rFonts w:hint="eastAsia" w:ascii="宋体" w:hAnsi="宋体"/>
          <w:b/>
          <w:sz w:val="24"/>
          <w:highlight w:val="none"/>
          <w:lang w:val="en-US" w:eastAsia="zh-CN"/>
        </w:rPr>
        <w:t>10月24</w:t>
      </w:r>
      <w:r>
        <w:rPr>
          <w:rStyle w:val="37"/>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7"/>
          <w:rFonts w:ascii="宋体" w:hAnsi="宋体"/>
          <w:b/>
          <w:sz w:val="24"/>
          <w:highlight w:val="none"/>
        </w:rPr>
        <w:t>（北</w:t>
      </w:r>
      <w:r>
        <w:rPr>
          <w:rStyle w:val="37"/>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10</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24</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napToGrid w:val="0"/>
          <w:kern w:val="0"/>
          <w:sz w:val="24"/>
          <w:highlight w:val="none"/>
        </w:rPr>
        <w:t>联系电话：0514—</w:t>
      </w:r>
      <w:r>
        <w:rPr>
          <w:rFonts w:hint="eastAsia" w:ascii="宋体" w:hAnsi="宋体" w:cs="宋体"/>
          <w:snapToGrid w:val="0"/>
          <w:kern w:val="0"/>
          <w:sz w:val="24"/>
          <w:highlight w:val="none"/>
          <w:lang w:eastAsia="zh-CN"/>
        </w:rPr>
        <w:t>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西区流调大棚拆除服务项目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YDFYXJ-20231005</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0.28</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2.1项目简介：拆除流调棚面积约409平方米。拆除包含水电、吊顶、结构、顶部地板、门窗、墙体，主体框架，拆除物由乙方负责统一清运处理。</w:t>
      </w:r>
      <w:bookmarkStart w:id="4" w:name="_GoBack"/>
      <w:bookmarkEnd w:id="4"/>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2.2详细施工方案：</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（1）准备工作：拆除建筑周边用围挡建立建筑区“红线”，围挡高度不低于1.8m，使建筑区与外部行人分隔。拆除期间现场需配备＞4m³的雾炮车一台。</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（2）拆除顺序：先安装装修，后非结构件，结构件先辅后主由上而下拆除。</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拆除内部钢方管龙骨吊顶，石膏板与钢方管龙骨分类处理，石膏板垃圾需要及时清理运出。随后拆除顶部外立面女儿墙、排水渠、屋顶面，垃圾统一规放。随后切割作业拆除顶部上下弦、腹杆、钢檩条。顶部作业拆除物件拆除后需及时清运地面，进行分类处理，不得在顶部堆放。超150kg大型结构件需吊车绳索辅助慢降，不得乱扔乱。砸随后拆除门窗，墙体。同规格门窗需进行分类，统一规放。拆除底部混领土与生态地板，沿长边拆除，分类统一规放。垃圾清理运出。最后拆除承重立柱，沿边线拆除，主体立柱与地面刚性连接，拆除后含路基面恢复。</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登高作业需专业登高辅助设施，不得攀爬作业，拆除现场堆放物体不得超1.5m，不可回收垃圾需及时运出。拆除物由乙方负责统一清运处理。</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2.3</w:t>
      </w:r>
      <w:r>
        <w:rPr>
          <w:rFonts w:hint="eastAsia" w:ascii="宋体" w:hAnsi="宋体" w:cs="宋体"/>
          <w:snapToGrid w:val="0"/>
          <w:kern w:val="0"/>
          <w:sz w:val="24"/>
          <w:highlight w:val="none"/>
        </w:rPr>
        <w:t>工期要求：7</w:t>
      </w:r>
      <w:r>
        <w:rPr>
          <w:rFonts w:hint="eastAsia" w:ascii="宋体" w:hAnsi="宋体" w:cs="宋体"/>
          <w:snapToGrid w:val="0"/>
          <w:kern w:val="0"/>
          <w:sz w:val="24"/>
          <w:highlight w:val="none"/>
          <w:lang w:val="en-US" w:eastAsia="zh-CN"/>
        </w:rPr>
        <w:t>日历</w:t>
      </w:r>
      <w:r>
        <w:rPr>
          <w:rFonts w:hint="eastAsia" w:ascii="宋体" w:hAnsi="宋体" w:cs="宋体"/>
          <w:snapToGrid w:val="0"/>
          <w:kern w:val="0"/>
          <w:sz w:val="24"/>
          <w:highlight w:val="none"/>
        </w:rPr>
        <w:t>天</w:t>
      </w:r>
      <w:r>
        <w:rPr>
          <w:rFonts w:hint="eastAsia" w:ascii="宋体" w:hAnsi="宋体" w:cs="宋体"/>
          <w:snapToGrid w:val="0"/>
          <w:kern w:val="0"/>
          <w:sz w:val="24"/>
          <w:highlight w:val="none"/>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2"/>
        <w:ind w:firstLine="0"/>
      </w:pPr>
    </w:p>
    <w:p>
      <w:pPr>
        <w:jc w:val="center"/>
        <w:rPr>
          <w:rFonts w:ascii="宋体" w:hAnsi="宋体"/>
          <w:b/>
          <w:bCs/>
          <w:sz w:val="36"/>
          <w:szCs w:val="36"/>
        </w:rPr>
      </w:pPr>
      <w:r>
        <w:rPr>
          <w:rFonts w:hint="eastAsia" w:ascii="宋体" w:hAnsi="宋体"/>
          <w:b/>
          <w:bCs/>
          <w:sz w:val="36"/>
          <w:szCs w:val="36"/>
        </w:rPr>
        <w:t>投标文件</w:t>
      </w:r>
    </w:p>
    <w:p>
      <w:pPr>
        <w:pStyle w:val="2"/>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2"/>
        <w:ind w:firstLine="0"/>
      </w:pPr>
    </w:p>
    <w:p>
      <w:pPr>
        <w:pStyle w:val="2"/>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2"/>
        <w:rPr>
          <w:sz w:val="36"/>
          <w:szCs w:val="36"/>
        </w:rPr>
      </w:pPr>
    </w:p>
    <w:p>
      <w:pPr>
        <w:pStyle w:val="2"/>
        <w:rPr>
          <w:sz w:val="36"/>
          <w:szCs w:val="36"/>
        </w:rPr>
      </w:pPr>
    </w:p>
    <w:p>
      <w:pPr>
        <w:pStyle w:val="2"/>
        <w:rPr>
          <w:sz w:val="36"/>
          <w:szCs w:val="36"/>
        </w:rPr>
      </w:pPr>
    </w:p>
    <w:p>
      <w:pPr>
        <w:rPr>
          <w:b/>
          <w:sz w:val="36"/>
          <w:szCs w:val="36"/>
        </w:rPr>
      </w:pPr>
    </w:p>
    <w:p>
      <w:pPr>
        <w:pStyle w:val="2"/>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西区流调大棚拆除服务项目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YDFYXJ-20231005</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2"/>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2"/>
        <w:rPr>
          <w:rFonts w:ascii="宋体" w:hAnsi="宋体" w:cs="宋体"/>
          <w:sz w:val="28"/>
          <w:szCs w:val="28"/>
        </w:rPr>
      </w:pPr>
    </w:p>
    <w:p>
      <w:pPr>
        <w:pStyle w:val="6"/>
        <w:ind w:left="0" w:leftChars="0" w:firstLine="0" w:firstLineChars="0"/>
        <w:rPr>
          <w:b/>
          <w:sz w:val="36"/>
          <w:szCs w:val="36"/>
        </w:rPr>
      </w:pPr>
    </w:p>
    <w:p>
      <w:pPr>
        <w:pStyle w:val="6"/>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firstLine="0"/>
      </w:pPr>
    </w:p>
    <w:p>
      <w:pPr>
        <w:pStyle w:val="2"/>
        <w:ind w:firstLine="0"/>
      </w:pPr>
    </w:p>
    <w:p>
      <w:pPr>
        <w:pStyle w:val="2"/>
        <w:ind w:firstLine="0"/>
      </w:pPr>
    </w:p>
    <w:p>
      <w:pPr>
        <w:pStyle w:val="2"/>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rPr>
          <w:rFonts w:asciiTheme="minorEastAsia" w:hAnsiTheme="minorEastAsia" w:eastAsiaTheme="minorEastAsia"/>
          <w:b/>
          <w:sz w:val="36"/>
        </w:rPr>
      </w:pPr>
    </w:p>
    <w:p>
      <w:pPr>
        <w:pStyle w:val="11"/>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1"/>
        <w:rPr>
          <w:rFonts w:ascii="Times New Roman" w:hAnsi="Times New Roman"/>
          <w:b/>
          <w:sz w:val="36"/>
        </w:rPr>
      </w:pPr>
    </w:p>
    <w:p>
      <w:pPr>
        <w:pStyle w:val="11"/>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1"/>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1"/>
        <w:adjustRightInd w:val="0"/>
        <w:snapToGrid w:val="0"/>
        <w:spacing w:line="440" w:lineRule="exact"/>
        <w:ind w:firstLine="420"/>
        <w:contextualSpacing/>
        <w:rPr>
          <w:rFonts w:asciiTheme="minorEastAsia" w:hAnsiTheme="minorEastAsia" w:eastAsiaTheme="minorEastAsia"/>
          <w:sz w:val="24"/>
          <w:szCs w:val="24"/>
        </w:rPr>
      </w:pPr>
    </w:p>
    <w:p>
      <w:pPr>
        <w:pStyle w:val="11"/>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1"/>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1"/>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1"/>
        <w:adjustRightInd w:val="0"/>
        <w:snapToGrid w:val="0"/>
        <w:spacing w:line="500" w:lineRule="exact"/>
        <w:ind w:firstLine="420"/>
        <w:contextualSpacing/>
        <w:rPr>
          <w:rFonts w:asciiTheme="minorEastAsia" w:hAnsiTheme="minorEastAsia" w:eastAsiaTheme="minorEastAsia"/>
          <w:sz w:val="24"/>
          <w:szCs w:val="24"/>
        </w:rPr>
      </w:pPr>
    </w:p>
    <w:p>
      <w:pPr>
        <w:pStyle w:val="11"/>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1"/>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9"/>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6"/>
            </w:pPr>
          </w:p>
          <w:p/>
          <w:p>
            <w:pPr>
              <w:pStyle w:val="6"/>
            </w:pPr>
          </w:p>
          <w:p/>
          <w:p>
            <w:pPr>
              <w:pStyle w:val="6"/>
            </w:pPr>
          </w:p>
          <w:p/>
          <w:p>
            <w:pPr>
              <w:pStyle w:val="6"/>
            </w:pPr>
          </w:p>
          <w:p/>
          <w:p>
            <w:pPr>
              <w:pStyle w:val="6"/>
            </w:pPr>
          </w:p>
          <w:p/>
          <w:p>
            <w:pPr>
              <w:pStyle w:val="6"/>
            </w:pPr>
          </w:p>
          <w:p/>
          <w:p>
            <w:pPr>
              <w:pStyle w:val="6"/>
            </w:pPr>
          </w:p>
          <w:p/>
          <w:p>
            <w:pPr>
              <w:pStyle w:val="6"/>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6"/>
        <w:ind w:left="0" w:leftChars="0" w:firstLine="0" w:firstLineChars="0"/>
        <w:rPr>
          <w:rFonts w:ascii="宋体" w:hAnsi="宋体"/>
          <w:kern w:val="0"/>
          <w:sz w:val="36"/>
          <w:szCs w:val="36"/>
        </w:rPr>
      </w:pPr>
    </w:p>
    <w:p/>
    <w:p>
      <w:pPr>
        <w:pStyle w:val="15"/>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6"/>
        <w:rPr>
          <w:rFonts w:ascii="宋体" w:hAnsi="宋体"/>
        </w:rPr>
      </w:pPr>
    </w:p>
    <w:p>
      <w:pPr>
        <w:rPr>
          <w:rFonts w:ascii="宋体" w:hAnsi="宋体"/>
        </w:rPr>
      </w:pPr>
    </w:p>
    <w:p>
      <w:pPr>
        <w:pStyle w:val="6"/>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8"/>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5"/>
              <w:adjustRightInd w:val="0"/>
              <w:snapToGrid w:val="0"/>
              <w:spacing w:line="440" w:lineRule="exact"/>
              <w:contextualSpacing/>
              <w:jc w:val="center"/>
              <w:rPr>
                <w:rFonts w:ascii="Times New Roman"/>
                <w:bCs/>
              </w:rPr>
            </w:pPr>
          </w:p>
        </w:tc>
        <w:tc>
          <w:tcPr>
            <w:tcW w:w="3244" w:type="pct"/>
            <w:vAlign w:val="center"/>
          </w:tcPr>
          <w:p>
            <w:pPr>
              <w:pStyle w:val="35"/>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5"/>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6"/>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
      </w:pPr>
    </w:p>
    <w:p>
      <w:pPr>
        <w:rPr>
          <w:rFonts w:hint="eastAsia" w:ascii="宋体" w:hAnsi="宋体"/>
          <w:b/>
          <w:sz w:val="36"/>
          <w:szCs w:val="36"/>
        </w:rPr>
      </w:pPr>
      <w:bookmarkStart w:id="1" w:name="_Toc513029243"/>
      <w:bookmarkStart w:id="2" w:name="_Toc20823315"/>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1"/>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西区流调大棚拆除服务项目</w:t>
      </w:r>
    </w:p>
    <w:p>
      <w:pPr>
        <w:pStyle w:val="11"/>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YDFYXJ-20231005</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1"/>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西区流调大棚拆除服务项目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西区流调大棚拆除服务项目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1"/>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1"/>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rPr>
        <w:t>年，质保期自甲方验收合格之日起计算。</w:t>
      </w:r>
    </w:p>
    <w:p>
      <w:pPr>
        <w:pStyle w:val="11"/>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 xml:space="preserve">7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10"/>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0"/>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777804"/>
    <w:rsid w:val="018D678E"/>
    <w:rsid w:val="02A1423A"/>
    <w:rsid w:val="034D4BC8"/>
    <w:rsid w:val="0473288B"/>
    <w:rsid w:val="04E61983"/>
    <w:rsid w:val="04F93EF7"/>
    <w:rsid w:val="053E3F8C"/>
    <w:rsid w:val="05EB5497"/>
    <w:rsid w:val="06835001"/>
    <w:rsid w:val="07CD3AA2"/>
    <w:rsid w:val="0907213E"/>
    <w:rsid w:val="0BE47D69"/>
    <w:rsid w:val="0C067990"/>
    <w:rsid w:val="0C4A2728"/>
    <w:rsid w:val="0C704CF9"/>
    <w:rsid w:val="0CF140C8"/>
    <w:rsid w:val="0D095E3B"/>
    <w:rsid w:val="0D2E16CF"/>
    <w:rsid w:val="0D4515B4"/>
    <w:rsid w:val="0E126F52"/>
    <w:rsid w:val="0E2A13BF"/>
    <w:rsid w:val="0EE42777"/>
    <w:rsid w:val="0F825E34"/>
    <w:rsid w:val="110961DE"/>
    <w:rsid w:val="11202626"/>
    <w:rsid w:val="12860106"/>
    <w:rsid w:val="135E7630"/>
    <w:rsid w:val="14574206"/>
    <w:rsid w:val="14A043CE"/>
    <w:rsid w:val="14CA0422"/>
    <w:rsid w:val="151678B8"/>
    <w:rsid w:val="15D76399"/>
    <w:rsid w:val="15F35842"/>
    <w:rsid w:val="171674CF"/>
    <w:rsid w:val="172469D5"/>
    <w:rsid w:val="17407202"/>
    <w:rsid w:val="17754BB0"/>
    <w:rsid w:val="186D5CBC"/>
    <w:rsid w:val="19826916"/>
    <w:rsid w:val="1A965BFC"/>
    <w:rsid w:val="1B0E6D6D"/>
    <w:rsid w:val="1C94789B"/>
    <w:rsid w:val="1D762024"/>
    <w:rsid w:val="1E1B2D66"/>
    <w:rsid w:val="1E525F06"/>
    <w:rsid w:val="1EAC0AAC"/>
    <w:rsid w:val="1F104C9D"/>
    <w:rsid w:val="1FF236E2"/>
    <w:rsid w:val="205648A9"/>
    <w:rsid w:val="21C93434"/>
    <w:rsid w:val="22A022B9"/>
    <w:rsid w:val="22EC14F1"/>
    <w:rsid w:val="23735059"/>
    <w:rsid w:val="23E9338C"/>
    <w:rsid w:val="2466755A"/>
    <w:rsid w:val="24782FEE"/>
    <w:rsid w:val="24E27B0B"/>
    <w:rsid w:val="270244AF"/>
    <w:rsid w:val="279829B9"/>
    <w:rsid w:val="28795CAE"/>
    <w:rsid w:val="28CF6D5C"/>
    <w:rsid w:val="28D728FE"/>
    <w:rsid w:val="290E1224"/>
    <w:rsid w:val="292206E7"/>
    <w:rsid w:val="298A42A2"/>
    <w:rsid w:val="2A6C65F7"/>
    <w:rsid w:val="2AA6133D"/>
    <w:rsid w:val="2BCB5B07"/>
    <w:rsid w:val="2E026BA2"/>
    <w:rsid w:val="2E0A00DD"/>
    <w:rsid w:val="2E237847"/>
    <w:rsid w:val="2EE7735A"/>
    <w:rsid w:val="2F716810"/>
    <w:rsid w:val="2F877A0A"/>
    <w:rsid w:val="304A7173"/>
    <w:rsid w:val="30D304E7"/>
    <w:rsid w:val="30DF7E8F"/>
    <w:rsid w:val="310442A6"/>
    <w:rsid w:val="312D648E"/>
    <w:rsid w:val="318E7998"/>
    <w:rsid w:val="31FF36A9"/>
    <w:rsid w:val="32542738"/>
    <w:rsid w:val="337C4795"/>
    <w:rsid w:val="349B0B50"/>
    <w:rsid w:val="354C2853"/>
    <w:rsid w:val="35CA1979"/>
    <w:rsid w:val="35D6255E"/>
    <w:rsid w:val="375A406B"/>
    <w:rsid w:val="37CB42F0"/>
    <w:rsid w:val="395873E0"/>
    <w:rsid w:val="398427FF"/>
    <w:rsid w:val="3B6B7997"/>
    <w:rsid w:val="3C7E55A0"/>
    <w:rsid w:val="3C7E7E4D"/>
    <w:rsid w:val="3C8D3C65"/>
    <w:rsid w:val="3CF9739D"/>
    <w:rsid w:val="3D920AB3"/>
    <w:rsid w:val="3E4F54B3"/>
    <w:rsid w:val="3EA006FD"/>
    <w:rsid w:val="406A6438"/>
    <w:rsid w:val="4093055E"/>
    <w:rsid w:val="40C726B4"/>
    <w:rsid w:val="424B0DFC"/>
    <w:rsid w:val="42832D91"/>
    <w:rsid w:val="43487107"/>
    <w:rsid w:val="43F56786"/>
    <w:rsid w:val="4417638D"/>
    <w:rsid w:val="45977351"/>
    <w:rsid w:val="45F42EB8"/>
    <w:rsid w:val="45F855C9"/>
    <w:rsid w:val="46056344"/>
    <w:rsid w:val="467B4C8A"/>
    <w:rsid w:val="4689608C"/>
    <w:rsid w:val="47CE0BEB"/>
    <w:rsid w:val="47DD46E6"/>
    <w:rsid w:val="48B5696C"/>
    <w:rsid w:val="49AC543C"/>
    <w:rsid w:val="4ACD2A51"/>
    <w:rsid w:val="4B4053E3"/>
    <w:rsid w:val="4B8D08A2"/>
    <w:rsid w:val="4BD6274F"/>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2126F84"/>
    <w:rsid w:val="537760B9"/>
    <w:rsid w:val="54422408"/>
    <w:rsid w:val="54AC3518"/>
    <w:rsid w:val="54C65CDC"/>
    <w:rsid w:val="560560AD"/>
    <w:rsid w:val="56410E61"/>
    <w:rsid w:val="56881779"/>
    <w:rsid w:val="56EE7C77"/>
    <w:rsid w:val="57DA3AB3"/>
    <w:rsid w:val="58A415C5"/>
    <w:rsid w:val="590F082F"/>
    <w:rsid w:val="59104CF0"/>
    <w:rsid w:val="591C0A3A"/>
    <w:rsid w:val="5AA53F71"/>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4D65B4F"/>
    <w:rsid w:val="65F2258C"/>
    <w:rsid w:val="662F3C10"/>
    <w:rsid w:val="66A07C1E"/>
    <w:rsid w:val="66AF19DA"/>
    <w:rsid w:val="6710513C"/>
    <w:rsid w:val="673E62A6"/>
    <w:rsid w:val="675A5AE8"/>
    <w:rsid w:val="677A6507"/>
    <w:rsid w:val="678D2F92"/>
    <w:rsid w:val="687B1D33"/>
    <w:rsid w:val="6D633984"/>
    <w:rsid w:val="6D6C156B"/>
    <w:rsid w:val="6DF60098"/>
    <w:rsid w:val="6E1F0C2D"/>
    <w:rsid w:val="6F882E18"/>
    <w:rsid w:val="708C2B36"/>
    <w:rsid w:val="70952B65"/>
    <w:rsid w:val="70A153BD"/>
    <w:rsid w:val="70C57A02"/>
    <w:rsid w:val="70DB38A7"/>
    <w:rsid w:val="70FE780D"/>
    <w:rsid w:val="71D1780D"/>
    <w:rsid w:val="71DC1AE4"/>
    <w:rsid w:val="72217603"/>
    <w:rsid w:val="72487296"/>
    <w:rsid w:val="7282207E"/>
    <w:rsid w:val="74226CB9"/>
    <w:rsid w:val="745D7ED4"/>
    <w:rsid w:val="75006B73"/>
    <w:rsid w:val="750721CD"/>
    <w:rsid w:val="75126C7B"/>
    <w:rsid w:val="764E69E8"/>
    <w:rsid w:val="7787662E"/>
    <w:rsid w:val="77BD4B49"/>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pPr>
  </w:style>
  <w:style w:type="paragraph" w:styleId="3">
    <w:name w:val="Body Text Indent"/>
    <w:basedOn w:val="1"/>
    <w:next w:val="4"/>
    <w:qFormat/>
    <w:uiPriority w:val="0"/>
    <w:pPr>
      <w:ind w:firstLine="576"/>
    </w:pPr>
    <w:rPr>
      <w:b/>
      <w:sz w:val="30"/>
    </w:rPr>
  </w:style>
  <w:style w:type="paragraph" w:styleId="4">
    <w:name w:val="envelope return"/>
    <w:basedOn w:val="1"/>
    <w:unhideWhenUsed/>
    <w:qFormat/>
    <w:uiPriority w:val="99"/>
    <w:pPr>
      <w:snapToGrid w:val="0"/>
    </w:pPr>
    <w:rPr>
      <w:rFonts w:ascii="Cambria" w:hAnsi="Cambria" w:eastAsia="宋体" w:cs="Times New Roman"/>
    </w:rPr>
  </w:style>
  <w:style w:type="paragraph" w:styleId="5">
    <w:name w:val="Normal Indent"/>
    <w:basedOn w:val="1"/>
    <w:link w:val="36"/>
    <w:unhideWhenUsed/>
    <w:qFormat/>
    <w:uiPriority w:val="0"/>
    <w:pPr>
      <w:ind w:firstLine="420" w:firstLineChars="200"/>
    </w:pPr>
  </w:style>
  <w:style w:type="paragraph" w:styleId="6">
    <w:name w:val="table of authorities"/>
    <w:basedOn w:val="1"/>
    <w:next w:val="1"/>
    <w:qFormat/>
    <w:uiPriority w:val="0"/>
    <w:pPr>
      <w:ind w:left="420" w:leftChars="200"/>
    </w:pPr>
  </w:style>
  <w:style w:type="paragraph" w:styleId="7">
    <w:name w:val="annotation text"/>
    <w:basedOn w:val="1"/>
    <w:semiHidden/>
    <w:unhideWhenUsed/>
    <w:qFormat/>
    <w:uiPriority w:val="99"/>
    <w:pPr>
      <w:jc w:val="left"/>
    </w:pPr>
  </w:style>
  <w:style w:type="paragraph" w:styleId="8">
    <w:name w:val="Body Text 3"/>
    <w:basedOn w:val="1"/>
    <w:next w:val="1"/>
    <w:qFormat/>
    <w:uiPriority w:val="0"/>
    <w:pPr>
      <w:spacing w:after="120" w:afterLines="0"/>
    </w:pPr>
    <w:rPr>
      <w:sz w:val="16"/>
      <w:szCs w:val="16"/>
    </w:rPr>
  </w:style>
  <w:style w:type="paragraph" w:styleId="9">
    <w:name w:val="Body Text"/>
    <w:basedOn w:val="1"/>
    <w:next w:val="8"/>
    <w:qFormat/>
    <w:uiPriority w:val="99"/>
    <w:rPr>
      <w:rFonts w:ascii="楷体_GB2312" w:hAnsi="Arial" w:eastAsia="楷体_GB2312"/>
      <w:kern w:val="0"/>
      <w:sz w:val="28"/>
      <w:szCs w:val="28"/>
    </w:rPr>
  </w:style>
  <w:style w:type="paragraph" w:styleId="10">
    <w:name w:val="List Bullet 2"/>
    <w:basedOn w:val="1"/>
    <w:unhideWhenUsed/>
    <w:qFormat/>
    <w:uiPriority w:val="0"/>
    <w:pPr>
      <w:numPr>
        <w:ilvl w:val="0"/>
        <w:numId w:val="1"/>
      </w:numPr>
      <w:contextualSpacing/>
    </w:pPr>
    <w:rPr>
      <w:rFonts w:ascii="Calibri" w:hAnsi="Calibri"/>
    </w:rPr>
  </w:style>
  <w:style w:type="paragraph" w:styleId="11">
    <w:name w:val="Plain Text"/>
    <w:basedOn w:val="1"/>
    <w:link w:val="31"/>
    <w:qFormat/>
    <w:uiPriority w:val="99"/>
    <w:rPr>
      <w:rFonts w:ascii="宋体" w:hAnsi="Courier New"/>
      <w:szCs w:val="20"/>
    </w:rPr>
  </w:style>
  <w:style w:type="paragraph" w:styleId="12">
    <w:name w:val="Balloon Text"/>
    <w:basedOn w:val="1"/>
    <w:link w:val="30"/>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3"/>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6">
    <w:name w:val="Body Text 2"/>
    <w:basedOn w:val="1"/>
    <w:qFormat/>
    <w:uiPriority w:val="0"/>
    <w:pPr>
      <w:spacing w:after="120" w:line="480" w:lineRule="auto"/>
    </w:p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semiHidden/>
    <w:unhideWhenUsed/>
    <w:qFormat/>
    <w:uiPriority w:val="99"/>
    <w:rPr>
      <w:color w:val="222222"/>
      <w:u w:val="none"/>
    </w:rPr>
  </w:style>
  <w:style w:type="character" w:styleId="22">
    <w:name w:val="Hyperlink"/>
    <w:basedOn w:val="20"/>
    <w:unhideWhenUsed/>
    <w:qFormat/>
    <w:uiPriority w:val="99"/>
    <w:rPr>
      <w:color w:val="0000FF" w:themeColor="hyperlink"/>
      <w:u w:val="single"/>
    </w:rPr>
  </w:style>
  <w:style w:type="paragraph" w:customStyle="1" w:styleId="23">
    <w:name w:val="一级条标题"/>
    <w:basedOn w:val="24"/>
    <w:next w:val="25"/>
    <w:qFormat/>
    <w:uiPriority w:val="0"/>
    <w:pPr>
      <w:spacing w:line="240" w:lineRule="auto"/>
      <w:ind w:left="420"/>
      <w:outlineLvl w:val="2"/>
    </w:pPr>
  </w:style>
  <w:style w:type="paragraph" w:customStyle="1" w:styleId="24">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25">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6">
    <w:name w:val="正文（缩进）"/>
    <w:basedOn w:val="1"/>
    <w:qFormat/>
    <w:uiPriority w:val="0"/>
    <w:pPr>
      <w:ind w:firstLine="480" w:firstLineChars="200"/>
    </w:pPr>
  </w:style>
  <w:style w:type="paragraph" w:customStyle="1" w:styleId="27">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8">
    <w:name w:val="页眉 Char"/>
    <w:basedOn w:val="20"/>
    <w:link w:val="14"/>
    <w:semiHidden/>
    <w:qFormat/>
    <w:uiPriority w:val="99"/>
    <w:rPr>
      <w:rFonts w:eastAsia="宋体"/>
      <w:kern w:val="2"/>
      <w:sz w:val="18"/>
      <w:szCs w:val="18"/>
    </w:rPr>
  </w:style>
  <w:style w:type="character" w:customStyle="1" w:styleId="29">
    <w:name w:val="页脚 Char"/>
    <w:basedOn w:val="20"/>
    <w:link w:val="13"/>
    <w:semiHidden/>
    <w:qFormat/>
    <w:uiPriority w:val="99"/>
    <w:rPr>
      <w:rFonts w:eastAsia="宋体"/>
      <w:kern w:val="2"/>
      <w:sz w:val="18"/>
      <w:szCs w:val="18"/>
    </w:rPr>
  </w:style>
  <w:style w:type="character" w:customStyle="1" w:styleId="30">
    <w:name w:val="批注框文本 Char"/>
    <w:basedOn w:val="20"/>
    <w:link w:val="12"/>
    <w:semiHidden/>
    <w:qFormat/>
    <w:uiPriority w:val="99"/>
    <w:rPr>
      <w:rFonts w:eastAsia="宋体"/>
      <w:kern w:val="2"/>
      <w:sz w:val="18"/>
      <w:szCs w:val="18"/>
    </w:rPr>
  </w:style>
  <w:style w:type="character" w:customStyle="1" w:styleId="31">
    <w:name w:val="纯文本 Char"/>
    <w:basedOn w:val="20"/>
    <w:link w:val="11"/>
    <w:qFormat/>
    <w:uiPriority w:val="99"/>
    <w:rPr>
      <w:rFonts w:ascii="宋体" w:hAnsi="Courier New" w:eastAsia="宋体"/>
      <w:kern w:val="2"/>
      <w:sz w:val="21"/>
    </w:rPr>
  </w:style>
  <w:style w:type="character" w:customStyle="1" w:styleId="32">
    <w:name w:val="副标题 Char"/>
    <w:qFormat/>
    <w:uiPriority w:val="0"/>
    <w:rPr>
      <w:rFonts w:ascii="Cambria" w:hAnsi="Cambria"/>
      <w:b/>
      <w:bCs/>
      <w:kern w:val="28"/>
      <w:sz w:val="32"/>
      <w:szCs w:val="32"/>
    </w:rPr>
  </w:style>
  <w:style w:type="character" w:customStyle="1" w:styleId="33">
    <w:name w:val="副标题 Char1"/>
    <w:basedOn w:val="20"/>
    <w:link w:val="15"/>
    <w:qFormat/>
    <w:uiPriority w:val="0"/>
    <w:rPr>
      <w:rFonts w:eastAsia="宋体" w:asciiTheme="majorHAnsi" w:hAnsiTheme="majorHAnsi" w:cstheme="majorBidi"/>
      <w:b/>
      <w:bCs/>
      <w:kern w:val="28"/>
      <w:sz w:val="32"/>
      <w:szCs w:val="32"/>
    </w:rPr>
  </w:style>
  <w:style w:type="paragraph" w:styleId="34">
    <w:name w:val="List Paragraph"/>
    <w:basedOn w:val="1"/>
    <w:unhideWhenUsed/>
    <w:qFormat/>
    <w:uiPriority w:val="99"/>
    <w:pPr>
      <w:ind w:firstLine="420" w:firstLineChars="200"/>
    </w:pPr>
  </w:style>
  <w:style w:type="paragraph" w:customStyle="1" w:styleId="35">
    <w:name w:val="普通文字"/>
    <w:basedOn w:val="1"/>
    <w:next w:val="1"/>
    <w:qFormat/>
    <w:uiPriority w:val="0"/>
    <w:rPr>
      <w:rFonts w:ascii="宋体"/>
      <w:kern w:val="0"/>
      <w:sz w:val="24"/>
      <w:u w:color="000000"/>
    </w:rPr>
  </w:style>
  <w:style w:type="character" w:customStyle="1" w:styleId="36">
    <w:name w:val="正文缩进 Char"/>
    <w:link w:val="5"/>
    <w:qFormat/>
    <w:uiPriority w:val="0"/>
    <w:rPr>
      <w:kern w:val="2"/>
      <w:sz w:val="21"/>
      <w:szCs w:val="24"/>
    </w:rPr>
  </w:style>
  <w:style w:type="character" w:customStyle="1" w:styleId="37">
    <w:name w:val="NormalCharacter"/>
    <w:qFormat/>
    <w:uiPriority w:val="0"/>
  </w:style>
  <w:style w:type="character" w:customStyle="1" w:styleId="38">
    <w:name w:val="font11"/>
    <w:basedOn w:val="20"/>
    <w:qFormat/>
    <w:uiPriority w:val="0"/>
    <w:rPr>
      <w:rFonts w:hint="eastAsia" w:ascii="宋体" w:hAnsi="宋体" w:eastAsia="宋体" w:cs="宋体"/>
      <w:b/>
      <w:bCs/>
      <w:color w:val="000000"/>
      <w:sz w:val="22"/>
      <w:szCs w:val="22"/>
      <w:u w:val="none"/>
    </w:rPr>
  </w:style>
  <w:style w:type="character" w:customStyle="1" w:styleId="39">
    <w:name w:val="font71"/>
    <w:basedOn w:val="20"/>
    <w:qFormat/>
    <w:uiPriority w:val="0"/>
    <w:rPr>
      <w:rFonts w:hint="eastAsia" w:ascii="宋体" w:hAnsi="宋体" w:eastAsia="宋体" w:cs="宋体"/>
      <w:b/>
      <w:bCs/>
      <w:color w:val="000000"/>
      <w:sz w:val="22"/>
      <w:szCs w:val="22"/>
      <w:u w:val="none"/>
    </w:rPr>
  </w:style>
  <w:style w:type="paragraph" w:customStyle="1" w:styleId="40">
    <w:name w:val="CM20"/>
    <w:basedOn w:val="41"/>
    <w:next w:val="41"/>
    <w:qFormat/>
    <w:uiPriority w:val="0"/>
    <w:pPr>
      <w:spacing w:line="411" w:lineRule="atLeast"/>
    </w:pPr>
    <w:rPr>
      <w:rFonts w:cs="Times New Roman"/>
      <w:color w:val="auto"/>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font2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4506</Words>
  <Characters>4839</Characters>
  <Lines>70</Lines>
  <Paragraphs>19</Paragraphs>
  <TotalTime>32</TotalTime>
  <ScaleCrop>false</ScaleCrop>
  <LinksUpToDate>false</LinksUpToDate>
  <CharactersWithSpaces>5490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2023-10-17T01:00:34Z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