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highlight w:val="none"/>
          <w:lang w:eastAsia="zh-CN"/>
        </w:rPr>
        <w:t>YDFYXJ-20231103</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0"/>
          <w:szCs w:val="40"/>
        </w:rPr>
      </w:pPr>
      <w:r>
        <w:rPr>
          <w:rFonts w:hint="eastAsia"/>
          <w:b/>
          <w:sz w:val="40"/>
          <w:szCs w:val="40"/>
        </w:rPr>
        <w:t>扬州大学附属医院</w:t>
      </w:r>
    </w:p>
    <w:p>
      <w:pPr>
        <w:adjustRightInd w:val="0"/>
        <w:snapToGrid w:val="0"/>
        <w:spacing w:line="800" w:lineRule="exact"/>
        <w:contextualSpacing/>
        <w:jc w:val="center"/>
        <w:rPr>
          <w:rFonts w:hint="default" w:ascii="宋体" w:hAnsi="宋体" w:cs="宋体"/>
          <w:b/>
          <w:snapToGrid w:val="0"/>
          <w:kern w:val="0"/>
          <w:sz w:val="40"/>
          <w:szCs w:val="40"/>
          <w:highlight w:val="none"/>
          <w:lang w:val="en-US" w:eastAsia="zh-CN"/>
        </w:rPr>
      </w:pPr>
      <w:r>
        <w:rPr>
          <w:rFonts w:hint="eastAsia" w:ascii="宋体" w:hAnsi="宋体" w:cs="宋体"/>
          <w:b/>
          <w:snapToGrid w:val="0"/>
          <w:kern w:val="0"/>
          <w:sz w:val="40"/>
          <w:szCs w:val="40"/>
          <w:highlight w:val="none"/>
          <w:lang w:val="en-US" w:eastAsia="zh-CN"/>
        </w:rPr>
        <w:t>东西区危废处置（HW49)服务项目</w:t>
      </w:r>
    </w:p>
    <w:p>
      <w:pPr>
        <w:adjustRightInd w:val="0"/>
        <w:snapToGrid w:val="0"/>
        <w:spacing w:line="800" w:lineRule="exact"/>
        <w:contextualSpacing/>
        <w:jc w:val="center"/>
        <w:rPr>
          <w:b/>
          <w:sz w:val="40"/>
          <w:szCs w:val="40"/>
          <w:highlight w:val="none"/>
        </w:rPr>
      </w:pPr>
      <w:r>
        <w:rPr>
          <w:rFonts w:hint="eastAsia"/>
          <w:b/>
          <w:sz w:val="40"/>
          <w:szCs w:val="40"/>
          <w:highlight w:val="none"/>
        </w:rPr>
        <w:t>询价文件</w:t>
      </w:r>
    </w:p>
    <w:p>
      <w:pPr>
        <w:pStyle w:val="20"/>
        <w:ind w:firstLine="0"/>
      </w:pPr>
    </w:p>
    <w:p>
      <w:pPr>
        <w:pStyle w:val="20"/>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highlight w:val="none"/>
        </w:rPr>
        <w:t>20</w:t>
      </w:r>
      <w:r>
        <w:rPr>
          <w:rFonts w:hint="eastAsia" w:asciiTheme="minorEastAsia" w:hAnsiTheme="minorEastAsia" w:eastAsiaTheme="minorEastAsia"/>
          <w:b/>
          <w:w w:val="90"/>
          <w:kern w:val="0"/>
          <w:sz w:val="32"/>
          <w:szCs w:val="32"/>
          <w:highlight w:val="none"/>
        </w:rPr>
        <w:t>2</w:t>
      </w:r>
      <w:r>
        <w:rPr>
          <w:rFonts w:hint="eastAsia" w:asciiTheme="minorEastAsia" w:hAnsiTheme="minorEastAsia" w:eastAsiaTheme="minorEastAsia"/>
          <w:b/>
          <w:w w:val="90"/>
          <w:kern w:val="0"/>
          <w:sz w:val="32"/>
          <w:szCs w:val="32"/>
          <w:highlight w:val="none"/>
          <w:lang w:val="en-US" w:eastAsia="zh-CN"/>
        </w:rPr>
        <w:t>3</w:t>
      </w:r>
      <w:r>
        <w:rPr>
          <w:rFonts w:hint="eastAsia" w:asciiTheme="minorEastAsia" w:hAnsiTheme="minorEastAsia" w:eastAsiaTheme="minorEastAsia"/>
          <w:b/>
          <w:w w:val="90"/>
          <w:kern w:val="0"/>
          <w:sz w:val="32"/>
          <w:szCs w:val="32"/>
          <w:highlight w:val="none"/>
        </w:rPr>
        <w:t>年</w:t>
      </w:r>
      <w:r>
        <w:rPr>
          <w:rFonts w:hint="eastAsia" w:asciiTheme="minorEastAsia" w:hAnsiTheme="minorEastAsia" w:eastAsiaTheme="minorEastAsia"/>
          <w:b/>
          <w:color w:val="000000" w:themeColor="text1"/>
          <w:w w:val="90"/>
          <w:kern w:val="0"/>
          <w:sz w:val="32"/>
          <w:szCs w:val="32"/>
          <w:highlight w:val="none"/>
          <w:lang w:val="en-US" w:eastAsia="zh-CN"/>
        </w:rPr>
        <w:t>11</w:t>
      </w:r>
      <w:r>
        <w:rPr>
          <w:rFonts w:hint="eastAsia" w:asciiTheme="minorEastAsia" w:hAnsiTheme="minorEastAsia" w:eastAsiaTheme="minorEastAsia"/>
          <w:b/>
          <w:color w:val="000000" w:themeColor="text1"/>
          <w:w w:val="90"/>
          <w:kern w:val="0"/>
          <w:sz w:val="32"/>
          <w:szCs w:val="32"/>
          <w:highlight w:val="none"/>
        </w:rPr>
        <w:t>月</w:t>
      </w:r>
      <w:r>
        <w:rPr>
          <w:rFonts w:hint="eastAsia" w:asciiTheme="minorEastAsia" w:hAnsiTheme="minorEastAsia" w:eastAsiaTheme="minorEastAsia"/>
          <w:b/>
          <w:color w:val="000000" w:themeColor="text1"/>
          <w:w w:val="90"/>
          <w:kern w:val="0"/>
          <w:sz w:val="32"/>
          <w:szCs w:val="32"/>
          <w:highlight w:val="none"/>
          <w:lang w:val="en-US" w:eastAsia="zh-CN"/>
        </w:rPr>
        <w:t>7</w:t>
      </w:r>
      <w:r>
        <w:rPr>
          <w:rFonts w:hint="eastAsia" w:asciiTheme="minorEastAsia" w:hAnsiTheme="minorEastAsia" w:eastAsiaTheme="minorEastAsia"/>
          <w:b/>
          <w:color w:val="000000" w:themeColor="text1"/>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3"/>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东西区危废处置（HW49)服务项目</w:t>
      </w:r>
      <w:r>
        <w:rPr>
          <w:rFonts w:hint="eastAsia" w:ascii="宋体" w:hAnsi="宋体" w:cs="宋体"/>
          <w:snapToGrid w:val="0"/>
          <w:kern w:val="0"/>
          <w:sz w:val="24"/>
          <w:highlight w:val="none"/>
        </w:rPr>
        <w:t>（编号：</w:t>
      </w:r>
      <w:r>
        <w:rPr>
          <w:rFonts w:hint="eastAsia" w:ascii="宋体" w:hAnsi="宋体" w:cs="宋体"/>
          <w:snapToGrid w:val="0"/>
          <w:kern w:val="0"/>
          <w:sz w:val="24"/>
          <w:highlight w:val="none"/>
          <w:lang w:eastAsia="zh-CN"/>
        </w:rPr>
        <w:t>YDFYXJ-20231103</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东西区危废处置（HW49)服务项目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1</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w:t>
      </w:r>
      <w:r>
        <w:rPr>
          <w:rFonts w:hint="eastAsia" w:ascii="宋体" w:hAnsi="宋体" w:cs="微软雅黑"/>
          <w:color w:val="000000"/>
          <w:sz w:val="24"/>
          <w:lang w:val="en-US" w:eastAsia="zh-CN"/>
        </w:rPr>
        <w:t>进口</w:t>
      </w:r>
      <w:r>
        <w:rPr>
          <w:rFonts w:hint="eastAsia" w:ascii="宋体" w:hAnsi="宋体" w:cs="微软雅黑"/>
          <w:color w:val="000000"/>
          <w:sz w:val="24"/>
        </w:rPr>
        <w:t>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被邀请的供应商应就以下采购清单中的货物及相关要求，</w:t>
      </w:r>
      <w:r>
        <w:rPr>
          <w:rFonts w:hint="eastAsia" w:ascii="宋体" w:hAnsi="宋体"/>
          <w:b/>
          <w:sz w:val="24"/>
        </w:rPr>
        <w:t>在</w:t>
      </w:r>
      <w:r>
        <w:rPr>
          <w:rFonts w:hint="eastAsia" w:ascii="宋体" w:hAnsi="宋体"/>
          <w:b/>
          <w:sz w:val="24"/>
          <w:highlight w:val="none"/>
        </w:rPr>
        <w:t>202</w:t>
      </w:r>
      <w:r>
        <w:rPr>
          <w:rFonts w:hint="eastAsia" w:ascii="宋体" w:hAnsi="宋体"/>
          <w:b/>
          <w:sz w:val="24"/>
          <w:highlight w:val="none"/>
          <w:lang w:val="en-US" w:eastAsia="zh-CN"/>
        </w:rPr>
        <w:t>3</w:t>
      </w:r>
      <w:r>
        <w:rPr>
          <w:rFonts w:hint="eastAsia" w:ascii="宋体" w:hAnsi="宋体"/>
          <w:b/>
          <w:sz w:val="24"/>
          <w:highlight w:val="none"/>
        </w:rPr>
        <w:t>年</w:t>
      </w:r>
      <w:r>
        <w:rPr>
          <w:rFonts w:hint="eastAsia" w:ascii="宋体" w:hAnsi="宋体"/>
          <w:b/>
          <w:sz w:val="24"/>
          <w:highlight w:val="none"/>
          <w:lang w:val="en-US" w:eastAsia="zh-CN"/>
        </w:rPr>
        <w:t>11</w:t>
      </w:r>
      <w:r>
        <w:rPr>
          <w:rFonts w:hint="eastAsia" w:ascii="宋体" w:hAnsi="宋体"/>
          <w:b/>
          <w:sz w:val="24"/>
          <w:highlight w:val="none"/>
        </w:rPr>
        <w:t>月</w:t>
      </w:r>
      <w:r>
        <w:rPr>
          <w:rFonts w:hint="eastAsia" w:ascii="宋体" w:hAnsi="宋体"/>
          <w:b/>
          <w:sz w:val="24"/>
          <w:highlight w:val="none"/>
          <w:lang w:val="en-US" w:eastAsia="zh-CN"/>
        </w:rPr>
        <w:t>21</w:t>
      </w:r>
      <w:r>
        <w:rPr>
          <w:rFonts w:hint="eastAsia"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东西区危废处置（HW49)服务项目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东西区危废处置（HW49)服务项目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napToGrid w:val="0"/>
          <w:kern w:val="0"/>
          <w:sz w:val="24"/>
          <w:highlight w:val="none"/>
          <w:lang w:val="en-US" w:eastAsia="zh-CN"/>
        </w:rPr>
        <w:t>付款方式为在安装完成后，乙方凭开具的正规增值税发票等材料向甲方办理付款手续，甲方凭手续齐全的票据付合同价的100%。（以上均不计息）</w:t>
      </w:r>
    </w:p>
    <w:p>
      <w:pPr>
        <w:pStyle w:val="19"/>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rPr>
        <w:t>202</w:t>
      </w:r>
      <w:r>
        <w:rPr>
          <w:rFonts w:hint="eastAsia" w:cs="微软雅黑"/>
          <w:b/>
          <w:highlight w:val="none"/>
          <w:lang w:val="en-US" w:eastAsia="zh-CN"/>
        </w:rPr>
        <w:t>3</w:t>
      </w:r>
      <w:r>
        <w:rPr>
          <w:rFonts w:hint="eastAsia" w:cs="微软雅黑"/>
          <w:b/>
          <w:highlight w:val="none"/>
        </w:rPr>
        <w:t>年</w:t>
      </w:r>
      <w:r>
        <w:rPr>
          <w:rFonts w:hint="eastAsia" w:cs="微软雅黑"/>
          <w:b/>
          <w:highlight w:val="none"/>
          <w:lang w:val="en-US" w:eastAsia="zh-CN"/>
        </w:rPr>
        <w:t>11</w:t>
      </w:r>
      <w:r>
        <w:rPr>
          <w:rFonts w:hint="eastAsia" w:cs="微软雅黑"/>
          <w:b/>
          <w:highlight w:val="none"/>
        </w:rPr>
        <w:t>月</w:t>
      </w:r>
      <w:r>
        <w:rPr>
          <w:rFonts w:hint="eastAsia" w:cs="微软雅黑"/>
          <w:b/>
          <w:highlight w:val="none"/>
          <w:lang w:val="en-US" w:eastAsia="zh-CN"/>
        </w:rPr>
        <w:t>21</w:t>
      </w:r>
      <w:r>
        <w:rPr>
          <w:rFonts w:hint="eastAsia" w:cs="微软雅黑"/>
          <w:b/>
          <w:highlight w:val="none"/>
        </w:rPr>
        <w:t>日</w:t>
      </w:r>
      <w:r>
        <w:rPr>
          <w:rFonts w:hint="eastAsia"/>
          <w:b/>
          <w:sz w:val="24"/>
          <w:highlight w:val="none"/>
          <w:lang w:val="en-US" w:eastAsia="zh-CN"/>
        </w:rPr>
        <w:t>上午10</w:t>
      </w:r>
      <w:r>
        <w:rPr>
          <w:rFonts w:hint="eastAsia" w:ascii="宋体" w:hAnsi="宋体"/>
          <w:b/>
          <w:sz w:val="24"/>
          <w:highlight w:val="none"/>
        </w:rPr>
        <w:t>：30</w:t>
      </w:r>
      <w:r>
        <w:rPr>
          <w:rFonts w:hint="eastAsia" w:cs="微软雅黑"/>
          <w:color w:val="000000"/>
          <w:highlight w:val="none"/>
        </w:rPr>
        <w:t>前</w:t>
      </w:r>
      <w:r>
        <w:rPr>
          <w:rStyle w:val="37"/>
          <w:rFonts w:ascii="宋体" w:hAnsi="宋体"/>
          <w:b/>
          <w:sz w:val="24"/>
          <w:highlight w:val="none"/>
        </w:rPr>
        <w:t>（北</w:t>
      </w:r>
      <w:r>
        <w:rPr>
          <w:rStyle w:val="37"/>
          <w:rFonts w:ascii="宋体" w:hAnsi="宋体"/>
          <w:b/>
          <w:color w:val="000000"/>
          <w:sz w:val="24"/>
          <w:highlight w:val="none"/>
        </w:rPr>
        <w:t>京时间）</w:t>
      </w:r>
    </w:p>
    <w:p>
      <w:pPr>
        <w:pStyle w:val="19"/>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扬州大学附属医院西区</w:t>
      </w:r>
      <w:r>
        <w:rPr>
          <w:rFonts w:hint="eastAsia" w:cs="微软雅黑"/>
          <w:color w:val="000000"/>
          <w:lang w:eastAsia="zh-CN"/>
        </w:rPr>
        <w:t>行政楼</w:t>
      </w:r>
      <w:r>
        <w:rPr>
          <w:rFonts w:hint="eastAsia" w:cs="微软雅黑"/>
          <w:color w:val="000000"/>
        </w:rPr>
        <w:t>四楼采购中心405</w:t>
      </w:r>
    </w:p>
    <w:p>
      <w:pPr>
        <w:pStyle w:val="19"/>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0514—82099555</w:t>
      </w:r>
    </w:p>
    <w:p>
      <w:pPr>
        <w:adjustRightInd w:val="0"/>
        <w:snapToGrid w:val="0"/>
        <w:spacing w:line="420" w:lineRule="exact"/>
        <w:ind w:firstLine="480" w:firstLineChars="200"/>
        <w:contextualSpacing/>
        <w:rPr>
          <w:rStyle w:val="37"/>
          <w:rFonts w:ascii="宋体" w:hAnsi="宋体"/>
          <w:sz w:val="24"/>
        </w:rPr>
      </w:pPr>
      <w:r>
        <w:rPr>
          <w:rStyle w:val="37"/>
          <w:rFonts w:hint="eastAsia" w:ascii="宋体" w:hAnsi="宋体"/>
          <w:sz w:val="24"/>
        </w:rPr>
        <w:t>15.</w:t>
      </w:r>
      <w:r>
        <w:rPr>
          <w:rStyle w:val="37"/>
          <w:rFonts w:ascii="宋体" w:hAnsi="宋体"/>
          <w:sz w:val="24"/>
        </w:rPr>
        <w:t>开标有关信息</w:t>
      </w:r>
    </w:p>
    <w:p>
      <w:pPr>
        <w:adjustRightInd w:val="0"/>
        <w:snapToGrid w:val="0"/>
        <w:spacing w:line="420" w:lineRule="exact"/>
        <w:ind w:firstLine="480" w:firstLineChars="200"/>
        <w:contextualSpacing/>
        <w:rPr>
          <w:rStyle w:val="37"/>
          <w:rFonts w:ascii="宋体" w:hAnsi="宋体"/>
          <w:color w:val="000000"/>
          <w:sz w:val="24"/>
        </w:rPr>
      </w:pPr>
      <w:r>
        <w:rPr>
          <w:rStyle w:val="37"/>
          <w:rFonts w:ascii="宋体" w:hAnsi="宋体"/>
          <w:sz w:val="24"/>
        </w:rPr>
        <w:t>开标时间：</w:t>
      </w:r>
      <w:r>
        <w:rPr>
          <w:rStyle w:val="37"/>
          <w:rFonts w:ascii="宋体" w:hAnsi="宋体"/>
          <w:b/>
          <w:sz w:val="24"/>
          <w:highlight w:val="none"/>
        </w:rPr>
        <w:t>202</w:t>
      </w:r>
      <w:r>
        <w:rPr>
          <w:rStyle w:val="37"/>
          <w:rFonts w:hint="eastAsia" w:ascii="宋体" w:hAnsi="宋体"/>
          <w:b/>
          <w:sz w:val="24"/>
          <w:highlight w:val="none"/>
          <w:lang w:val="en-US" w:eastAsia="zh-CN"/>
        </w:rPr>
        <w:t>3</w:t>
      </w:r>
      <w:r>
        <w:rPr>
          <w:rStyle w:val="37"/>
          <w:rFonts w:ascii="宋体" w:hAnsi="宋体"/>
          <w:b/>
          <w:sz w:val="24"/>
          <w:highlight w:val="none"/>
        </w:rPr>
        <w:t>年</w:t>
      </w:r>
      <w:r>
        <w:rPr>
          <w:rStyle w:val="37"/>
          <w:rFonts w:hint="eastAsia" w:ascii="宋体" w:hAnsi="宋体"/>
          <w:b/>
          <w:sz w:val="24"/>
          <w:highlight w:val="none"/>
          <w:lang w:val="en-US" w:eastAsia="zh-CN"/>
        </w:rPr>
        <w:t>11月21</w:t>
      </w:r>
      <w:r>
        <w:rPr>
          <w:rStyle w:val="37"/>
          <w:rFonts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Style w:val="37"/>
          <w:rFonts w:ascii="宋体" w:hAnsi="宋体"/>
          <w:b/>
          <w:sz w:val="24"/>
          <w:highlight w:val="none"/>
        </w:rPr>
        <w:t>（北</w:t>
      </w:r>
      <w:r>
        <w:rPr>
          <w:rStyle w:val="37"/>
          <w:rFonts w:ascii="宋体" w:hAnsi="宋体"/>
          <w:b/>
          <w:color w:val="000000"/>
          <w:sz w:val="24"/>
          <w:highlight w:val="none"/>
        </w:rPr>
        <w:t>京时间）</w:t>
      </w:r>
    </w:p>
    <w:p>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w:t>
      </w:r>
      <w:r>
        <w:rPr>
          <w:rFonts w:hint="eastAsia" w:ascii="宋体" w:hAnsi="宋体"/>
          <w:sz w:val="24"/>
          <w:lang w:eastAsia="zh-CN"/>
        </w:rPr>
        <w:t>行政楼</w:t>
      </w:r>
      <w:r>
        <w:rPr>
          <w:rFonts w:hint="eastAsia" w:ascii="宋体" w:hAnsi="宋体"/>
          <w:sz w:val="24"/>
        </w:rPr>
        <w:t>四楼采购中心</w:t>
      </w:r>
      <w:r>
        <w:rPr>
          <w:rFonts w:hint="eastAsia" w:ascii="宋体" w:hAnsi="宋体"/>
          <w:sz w:val="24"/>
          <w:lang w:val="en-US" w:eastAsia="zh-CN"/>
        </w:rPr>
        <w:t>404</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将加盖公章的确认函扫描件发送至电子邮箱（hoytyzdx@163.com）</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rPr>
        <w:t>202</w:t>
      </w:r>
      <w:r>
        <w:rPr>
          <w:rFonts w:hint="eastAsia" w:ascii="宋体" w:hAnsi="宋体" w:cs="宋体"/>
          <w:b/>
          <w:snapToGrid w:val="0"/>
          <w:spacing w:val="-4"/>
          <w:kern w:val="0"/>
          <w:sz w:val="24"/>
          <w:highlight w:val="none"/>
          <w:lang w:val="en-US" w:eastAsia="zh-CN"/>
        </w:rPr>
        <w:t>3</w:t>
      </w:r>
      <w:r>
        <w:rPr>
          <w:rFonts w:hint="eastAsia" w:ascii="宋体" w:hAnsi="宋体" w:cs="宋体"/>
          <w:b/>
          <w:snapToGrid w:val="0"/>
          <w:spacing w:val="-4"/>
          <w:kern w:val="0"/>
          <w:sz w:val="24"/>
          <w:highlight w:val="none"/>
        </w:rPr>
        <w:t>年</w:t>
      </w:r>
      <w:r>
        <w:rPr>
          <w:rFonts w:hint="eastAsia" w:ascii="宋体" w:hAnsi="宋体" w:cs="宋体"/>
          <w:b/>
          <w:snapToGrid w:val="0"/>
          <w:spacing w:val="-4"/>
          <w:kern w:val="0"/>
          <w:sz w:val="24"/>
          <w:highlight w:val="none"/>
          <w:lang w:val="en-US" w:eastAsia="zh-CN"/>
        </w:rPr>
        <w:t>11</w:t>
      </w:r>
      <w:r>
        <w:rPr>
          <w:rFonts w:hint="eastAsia" w:ascii="宋体" w:hAnsi="宋体" w:cs="宋体"/>
          <w:b/>
          <w:snapToGrid w:val="0"/>
          <w:spacing w:val="-4"/>
          <w:kern w:val="0"/>
          <w:sz w:val="24"/>
          <w:highlight w:val="none"/>
        </w:rPr>
        <w:t>月</w:t>
      </w:r>
      <w:r>
        <w:rPr>
          <w:rFonts w:hint="eastAsia" w:ascii="宋体" w:hAnsi="宋体" w:cs="宋体"/>
          <w:b/>
          <w:snapToGrid w:val="0"/>
          <w:spacing w:val="-4"/>
          <w:kern w:val="0"/>
          <w:sz w:val="24"/>
          <w:highlight w:val="none"/>
          <w:lang w:val="en-US" w:eastAsia="zh-CN"/>
        </w:rPr>
        <w:t>21</w:t>
      </w:r>
      <w:r>
        <w:rPr>
          <w:rFonts w:hint="eastAsia" w:ascii="宋体" w:hAnsi="宋体" w:cs="宋体"/>
          <w:b/>
          <w:snapToGrid w:val="0"/>
          <w:spacing w:val="-4"/>
          <w:kern w:val="0"/>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w:t>
      </w:r>
      <w:r>
        <w:rPr>
          <w:rFonts w:hint="eastAsia" w:ascii="宋体" w:hAnsi="宋体" w:cs="宋体"/>
          <w:snapToGrid w:val="0"/>
          <w:spacing w:val="-4"/>
          <w:kern w:val="0"/>
          <w:sz w:val="24"/>
          <w:u w:val="single"/>
          <w:lang w:val="en-US" w:eastAsia="zh-CN"/>
        </w:rPr>
        <w:t>西区</w:t>
      </w:r>
      <w:r>
        <w:rPr>
          <w:rFonts w:hint="eastAsia" w:ascii="宋体" w:hAnsi="宋体" w:cs="宋体"/>
          <w:snapToGrid w:val="0"/>
          <w:spacing w:val="-4"/>
          <w:kern w:val="0"/>
          <w:sz w:val="24"/>
          <w:u w:val="single"/>
          <w:lang w:eastAsia="zh-CN"/>
        </w:rPr>
        <w:t>行政楼</w:t>
      </w:r>
      <w:r>
        <w:rPr>
          <w:rFonts w:hint="eastAsia" w:ascii="宋体" w:hAnsi="宋体" w:cs="宋体"/>
          <w:snapToGrid w:val="0"/>
          <w:spacing w:val="-4"/>
          <w:kern w:val="0"/>
          <w:sz w:val="24"/>
          <w:u w:val="single"/>
        </w:rPr>
        <w:t>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napToGrid w:val="0"/>
          <w:kern w:val="0"/>
          <w:sz w:val="24"/>
          <w:highlight w:val="none"/>
        </w:rPr>
        <w:t>联系电话：0514—</w:t>
      </w:r>
      <w:r>
        <w:rPr>
          <w:rFonts w:hint="eastAsia" w:ascii="宋体" w:hAnsi="宋体" w:cs="宋体"/>
          <w:snapToGrid w:val="0"/>
          <w:kern w:val="0"/>
          <w:sz w:val="24"/>
          <w:highlight w:val="none"/>
          <w:lang w:eastAsia="zh-CN"/>
        </w:rPr>
        <w:t>82099555</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left="0" w:leftChars="0" w:firstLine="0" w:firstLineChars="0"/>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left="0" w:leftChars="0" w:firstLine="0" w:firstLineChars="0"/>
        <w:contextualSpacing/>
        <w:rPr>
          <w:rFonts w:hint="eastAsia" w:ascii="宋体" w:hAnsi="宋体" w:eastAsia="宋体" w:cs="宋体"/>
          <w:snapToGrid w:val="0"/>
          <w:kern w:val="0"/>
          <w:sz w:val="24"/>
          <w:highlight w:val="none"/>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东西区危废处置（HW49)服务项目</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1.2项目编号：</w:t>
      </w:r>
      <w:r>
        <w:rPr>
          <w:rFonts w:hint="eastAsia" w:ascii="宋体" w:hAnsi="宋体" w:cs="宋体"/>
          <w:snapToGrid w:val="0"/>
          <w:kern w:val="0"/>
          <w:sz w:val="24"/>
          <w:highlight w:val="none"/>
          <w:lang w:eastAsia="zh-CN"/>
        </w:rPr>
        <w:t>YDFYXJ-20231103</w:t>
      </w:r>
      <w:r>
        <w:rPr>
          <w:rFonts w:hint="eastAsia" w:ascii="宋体" w:hAnsi="宋体" w:cs="宋体"/>
          <w:snapToGrid w:val="0"/>
          <w:kern w:val="0"/>
          <w:sz w:val="24"/>
          <w:highlight w:val="none"/>
        </w:rPr>
        <w:t>号</w:t>
      </w:r>
    </w:p>
    <w:p>
      <w:pPr>
        <w:adjustRightInd w:val="0"/>
        <w:snapToGrid w:val="0"/>
        <w:spacing w:line="440" w:lineRule="exact"/>
        <w:ind w:left="0" w:leftChars="0" w:firstLine="0" w:firstLineChars="0"/>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1</w:t>
      </w:r>
      <w:r>
        <w:rPr>
          <w:rFonts w:hint="eastAsia" w:ascii="宋体" w:hAnsi="宋体" w:cs="宋体"/>
          <w:snapToGrid w:val="0"/>
          <w:kern w:val="0"/>
          <w:sz w:val="24"/>
          <w:highlight w:val="none"/>
        </w:rPr>
        <w:t>万元，投标报价高于最高限价作废标处理。</w:t>
      </w:r>
    </w:p>
    <w:p>
      <w:pPr>
        <w:numPr>
          <w:ilvl w:val="0"/>
          <w:numId w:val="2"/>
        </w:numPr>
        <w:adjustRightInd w:val="0"/>
        <w:snapToGrid w:val="0"/>
        <w:spacing w:line="440" w:lineRule="exact"/>
        <w:ind w:left="0" w:leftChars="0" w:firstLine="0" w:firstLineChars="0"/>
        <w:contextualSpacing/>
        <w:rPr>
          <w:rFonts w:hint="eastAsia" w:ascii="宋体" w:hAnsi="宋体" w:cs="宋体"/>
          <w:b/>
          <w:bCs/>
          <w:snapToGrid w:val="0"/>
          <w:kern w:val="0"/>
          <w:sz w:val="24"/>
          <w:highlight w:val="none"/>
        </w:rPr>
      </w:pPr>
      <w:r>
        <w:rPr>
          <w:rFonts w:hint="eastAsia" w:ascii="宋体" w:hAnsi="宋体" w:cs="宋体"/>
          <w:b/>
          <w:bCs/>
          <w:snapToGrid w:val="0"/>
          <w:kern w:val="0"/>
          <w:sz w:val="24"/>
          <w:highlight w:val="none"/>
        </w:rPr>
        <w:t>采购项目内容及要求</w:t>
      </w:r>
    </w:p>
    <w:p>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40" w:lineRule="atLeast"/>
        <w:ind w:leftChars="0" w:right="0" w:rightChars="0" w:firstLine="480"/>
        <w:jc w:val="both"/>
        <w:textAlignment w:val="baseline"/>
        <w:rPr>
          <w:rFonts w:ascii="Times New Roman" w:hAnsi="Times New Roman"/>
          <w:b/>
          <w:color w:val="000000"/>
          <w:sz w:val="24"/>
          <w:szCs w:val="24"/>
        </w:rPr>
      </w:pPr>
      <w:r>
        <w:rPr>
          <w:rFonts w:hint="eastAsia" w:ascii="宋体" w:hAnsi="宋体" w:eastAsia="宋体" w:cs="宋体"/>
          <w:b w:val="0"/>
          <w:bCs w:val="0"/>
          <w:i w:val="0"/>
          <w:iCs w:val="0"/>
          <w:caps w:val="0"/>
          <w:color w:val="333333"/>
          <w:spacing w:val="0"/>
          <w:sz w:val="24"/>
          <w:szCs w:val="24"/>
          <w:shd w:val="clear" w:color="auto" w:fill="FFFFFF"/>
          <w:vertAlign w:val="baseline"/>
          <w:lang w:val="en-US" w:eastAsia="zh-CN"/>
        </w:rPr>
        <w:t>2.1</w:t>
      </w:r>
      <w:r>
        <w:rPr>
          <w:rFonts w:hint="eastAsia" w:ascii="Times New Roman" w:hAnsi="Times New Roman" w:eastAsia="宋体"/>
          <w:b/>
          <w:color w:val="000000"/>
          <w:sz w:val="24"/>
          <w:szCs w:val="24"/>
          <w:lang w:val="en-US" w:eastAsia="zh-CN"/>
        </w:rPr>
        <w:t>产生源类型</w:t>
      </w:r>
      <w:r>
        <w:rPr>
          <w:rFonts w:ascii="Times New Roman" w:hAnsi="Times New Roman"/>
          <w:b/>
          <w:color w:val="000000"/>
          <w:sz w:val="24"/>
          <w:szCs w:val="24"/>
        </w:rPr>
        <w:t>、名录编号</w:t>
      </w:r>
    </w:p>
    <w:tbl>
      <w:tblPr>
        <w:tblStyle w:val="21"/>
        <w:tblW w:w="77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7"/>
        <w:gridCol w:w="2216"/>
        <w:gridCol w:w="1595"/>
        <w:gridCol w:w="718"/>
        <w:gridCol w:w="23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6" w:hRule="atLeast"/>
          <w:jc w:val="center"/>
        </w:trPr>
        <w:tc>
          <w:tcPr>
            <w:tcW w:w="827" w:type="dxa"/>
            <w:noWrap w:val="0"/>
            <w:vAlign w:val="center"/>
          </w:tcPr>
          <w:p>
            <w:pPr>
              <w:pStyle w:val="12"/>
              <w:snapToGrid w:val="0"/>
              <w:spacing w:beforeLines="50" w:afterLines="50" w:line="440" w:lineRule="exact"/>
              <w:jc w:val="center"/>
              <w:rPr>
                <w:rFonts w:ascii="Times New Roman" w:hAnsi="Times New Roman" w:cs="Times New Roman"/>
                <w:b/>
                <w:color w:val="000000"/>
                <w:sz w:val="24"/>
                <w:szCs w:val="24"/>
              </w:rPr>
            </w:pPr>
            <w:r>
              <w:rPr>
                <w:rFonts w:ascii="Times New Roman" w:hAnsi="Times New Roman" w:cs="Times New Roman"/>
                <w:b/>
                <w:color w:val="000000"/>
                <w:sz w:val="24"/>
                <w:szCs w:val="24"/>
              </w:rPr>
              <w:t>序号</w:t>
            </w:r>
          </w:p>
        </w:tc>
        <w:tc>
          <w:tcPr>
            <w:tcW w:w="2216" w:type="dxa"/>
            <w:noWrap w:val="0"/>
            <w:vAlign w:val="center"/>
          </w:tcPr>
          <w:p>
            <w:pPr>
              <w:pStyle w:val="12"/>
              <w:snapToGrid w:val="0"/>
              <w:spacing w:beforeLines="50" w:afterLines="50" w:line="440" w:lineRule="exact"/>
              <w:jc w:val="center"/>
              <w:rPr>
                <w:rFonts w:hint="default" w:ascii="Times New Roman" w:hAnsi="Times New Roman" w:eastAsia="宋体" w:cs="Times New Roman"/>
                <w:b/>
                <w:color w:val="000000"/>
                <w:sz w:val="24"/>
                <w:szCs w:val="24"/>
                <w:lang w:val="en-US" w:eastAsia="zh-CN"/>
              </w:rPr>
            </w:pPr>
            <w:r>
              <w:rPr>
                <w:rFonts w:hint="eastAsia" w:ascii="Times New Roman" w:hAnsi="Times New Roman" w:cs="Times New Roman"/>
                <w:b/>
                <w:color w:val="000000"/>
                <w:sz w:val="24"/>
                <w:szCs w:val="24"/>
                <w:lang w:val="en-US" w:eastAsia="zh-CN"/>
              </w:rPr>
              <w:t>危废名称</w:t>
            </w:r>
          </w:p>
        </w:tc>
        <w:tc>
          <w:tcPr>
            <w:tcW w:w="1595" w:type="dxa"/>
            <w:noWrap w:val="0"/>
            <w:vAlign w:val="center"/>
          </w:tcPr>
          <w:p>
            <w:pPr>
              <w:pStyle w:val="12"/>
              <w:snapToGrid w:val="0"/>
              <w:spacing w:beforeLines="50" w:afterLines="50" w:line="440" w:lineRule="exact"/>
              <w:jc w:val="center"/>
              <w:rPr>
                <w:rFonts w:ascii="Times New Roman" w:hAnsi="Times New Roman" w:cs="Times New Roman"/>
                <w:b/>
                <w:color w:val="000000"/>
                <w:sz w:val="24"/>
                <w:szCs w:val="24"/>
              </w:rPr>
            </w:pPr>
            <w:r>
              <w:rPr>
                <w:rFonts w:ascii="Times New Roman" w:hAnsi="Times New Roman" w:cs="Times New Roman"/>
                <w:b/>
                <w:color w:val="000000"/>
                <w:sz w:val="24"/>
                <w:szCs w:val="24"/>
              </w:rPr>
              <w:t>名录编号</w:t>
            </w:r>
          </w:p>
        </w:tc>
        <w:tc>
          <w:tcPr>
            <w:tcW w:w="718" w:type="dxa"/>
            <w:noWrap w:val="0"/>
            <w:vAlign w:val="center"/>
          </w:tcPr>
          <w:p>
            <w:pPr>
              <w:pStyle w:val="12"/>
              <w:snapToGrid w:val="0"/>
              <w:spacing w:beforeLines="50" w:afterLines="50" w:line="440" w:lineRule="exact"/>
              <w:jc w:val="center"/>
              <w:rPr>
                <w:rFonts w:ascii="Times New Roman" w:hAnsi="Times New Roman" w:cs="Times New Roman"/>
                <w:b/>
                <w:color w:val="000000"/>
                <w:sz w:val="24"/>
                <w:szCs w:val="24"/>
              </w:rPr>
            </w:pPr>
            <w:r>
              <w:rPr>
                <w:rFonts w:hint="eastAsia" w:ascii="Times New Roman" w:hAnsi="Times New Roman" w:cs="Times New Roman"/>
                <w:b/>
                <w:color w:val="000000"/>
                <w:sz w:val="24"/>
                <w:szCs w:val="24"/>
              </w:rPr>
              <w:t>形态</w:t>
            </w:r>
          </w:p>
        </w:tc>
        <w:tc>
          <w:tcPr>
            <w:tcW w:w="2361" w:type="dxa"/>
            <w:noWrap w:val="0"/>
            <w:vAlign w:val="center"/>
          </w:tcPr>
          <w:p>
            <w:pPr>
              <w:pStyle w:val="12"/>
              <w:snapToGrid w:val="0"/>
              <w:spacing w:beforeLines="50" w:afterLines="50" w:line="440" w:lineRule="exact"/>
              <w:jc w:val="center"/>
              <w:rPr>
                <w:rFonts w:ascii="Times New Roman" w:hAnsi="Times New Roman" w:cs="Times New Roman"/>
                <w:b/>
                <w:color w:val="000000"/>
                <w:sz w:val="24"/>
                <w:szCs w:val="24"/>
              </w:rPr>
            </w:pPr>
            <w:r>
              <w:rPr>
                <w:rFonts w:ascii="Times New Roman" w:hAnsi="Times New Roman" w:cs="Times New Roman"/>
                <w:b/>
                <w:color w:val="000000"/>
                <w:sz w:val="24"/>
                <w:szCs w:val="24"/>
              </w:rPr>
              <w:t>预处置总量（公斤）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6" w:hRule="atLeast"/>
          <w:jc w:val="center"/>
        </w:trPr>
        <w:tc>
          <w:tcPr>
            <w:tcW w:w="827" w:type="dxa"/>
            <w:noWrap w:val="0"/>
            <w:vAlign w:val="center"/>
          </w:tcPr>
          <w:p>
            <w:pPr>
              <w:pStyle w:val="12"/>
              <w:snapToGrid w:val="0"/>
              <w:spacing w:beforeLines="50" w:afterLines="50" w:line="440" w:lineRule="exact"/>
              <w:jc w:val="center"/>
              <w:rPr>
                <w:rFonts w:ascii="Times New Roman" w:hAnsi="Times New Roman" w:cs="Times New Roman"/>
                <w:color w:val="000000"/>
                <w:sz w:val="24"/>
                <w:szCs w:val="24"/>
              </w:rPr>
            </w:pPr>
            <w:r>
              <w:rPr>
                <w:rFonts w:hint="eastAsia" w:ascii="Times New Roman" w:hAnsi="Times New Roman" w:cs="Times New Roman"/>
                <w:color w:val="000000"/>
                <w:sz w:val="24"/>
                <w:szCs w:val="24"/>
              </w:rPr>
              <w:t>1</w:t>
            </w:r>
          </w:p>
        </w:tc>
        <w:tc>
          <w:tcPr>
            <w:tcW w:w="2216" w:type="dxa"/>
            <w:noWrap w:val="0"/>
            <w:vAlign w:val="center"/>
          </w:tcPr>
          <w:p>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40" w:lineRule="atLeast"/>
              <w:ind w:right="0" w:rightChars="0"/>
              <w:jc w:val="center"/>
              <w:textAlignment w:val="baseline"/>
              <w:rPr>
                <w:rFonts w:hint="default" w:ascii="宋体" w:hAnsi="宋体" w:eastAsia="宋体" w:cs="宋体"/>
                <w:kern w:val="2"/>
                <w:sz w:val="21"/>
                <w:szCs w:val="24"/>
                <w:lang w:val="en-US" w:eastAsia="zh-CN" w:bidi="ar-SA"/>
              </w:rPr>
            </w:pPr>
            <w:r>
              <w:rPr>
                <w:rFonts w:hint="eastAsia" w:ascii="宋体" w:hAnsi="宋体"/>
                <w:kern w:val="0"/>
                <w:szCs w:val="21"/>
                <w:lang w:val="en-US" w:eastAsia="zh-CN"/>
              </w:rPr>
              <w:t>COD检测废液</w:t>
            </w:r>
            <w:r>
              <w:rPr>
                <w:rFonts w:hint="eastAsia" w:ascii="宋体" w:hAnsi="宋体" w:cs="宋体"/>
                <w:kern w:val="2"/>
                <w:sz w:val="21"/>
                <w:szCs w:val="24"/>
                <w:lang w:val="en-US" w:eastAsia="zh-CN" w:bidi="ar-SA"/>
              </w:rPr>
              <w:t>等</w:t>
            </w:r>
          </w:p>
        </w:tc>
        <w:tc>
          <w:tcPr>
            <w:tcW w:w="1595" w:type="dxa"/>
            <w:noWrap w:val="0"/>
            <w:vAlign w:val="top"/>
          </w:tcPr>
          <w:p>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40" w:lineRule="atLeast"/>
              <w:ind w:right="0" w:rightChars="0"/>
              <w:jc w:val="center"/>
              <w:textAlignment w:val="baseline"/>
              <w:rPr>
                <w:rFonts w:hint="default" w:ascii="宋体" w:hAnsi="宋体" w:eastAsia="宋体" w:cs="宋体"/>
                <w:kern w:val="2"/>
                <w:sz w:val="21"/>
                <w:szCs w:val="24"/>
                <w:lang w:val="en-US" w:eastAsia="zh-CN" w:bidi="ar-SA"/>
              </w:rPr>
            </w:pPr>
            <w:r>
              <w:rPr>
                <w:rFonts w:hint="eastAsia" w:ascii="宋体" w:hAnsi="宋体"/>
                <w:kern w:val="0"/>
                <w:szCs w:val="21"/>
                <w:lang w:val="en-US" w:eastAsia="zh-CN"/>
              </w:rPr>
              <w:t>900-047-49</w:t>
            </w:r>
          </w:p>
        </w:tc>
        <w:tc>
          <w:tcPr>
            <w:tcW w:w="718" w:type="dxa"/>
            <w:noWrap w:val="0"/>
            <w:vAlign w:val="center"/>
          </w:tcPr>
          <w:p>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40" w:lineRule="atLeast"/>
              <w:ind w:right="0" w:rightChars="0"/>
              <w:jc w:val="center"/>
              <w:textAlignment w:val="baseline"/>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液</w:t>
            </w:r>
          </w:p>
        </w:tc>
        <w:tc>
          <w:tcPr>
            <w:tcW w:w="2361" w:type="dxa"/>
            <w:noWrap w:val="0"/>
            <w:vAlign w:val="center"/>
          </w:tcPr>
          <w:p>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40" w:lineRule="atLeast"/>
              <w:ind w:right="0" w:rightChars="0"/>
              <w:jc w:val="center"/>
              <w:textAlignment w:val="baseline"/>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410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5" w:hRule="atLeast"/>
          <w:jc w:val="center"/>
        </w:trPr>
        <w:tc>
          <w:tcPr>
            <w:tcW w:w="827" w:type="dxa"/>
            <w:noWrap w:val="0"/>
            <w:vAlign w:val="center"/>
          </w:tcPr>
          <w:p>
            <w:pPr>
              <w:pStyle w:val="12"/>
              <w:snapToGrid w:val="0"/>
              <w:spacing w:beforeLines="50" w:afterLines="50" w:line="440" w:lineRule="exact"/>
              <w:jc w:val="center"/>
              <w:rPr>
                <w:rFonts w:hint="eastAsia" w:ascii="Times New Roman" w:hAnsi="Times New Roman" w:eastAsia="宋体" w:cs="Times New Roman"/>
                <w:color w:val="000000"/>
                <w:sz w:val="24"/>
                <w:szCs w:val="24"/>
                <w:lang w:val="en-US" w:eastAsia="zh-CN"/>
              </w:rPr>
            </w:pPr>
            <w:r>
              <w:rPr>
                <w:rFonts w:hint="eastAsia" w:ascii="Times New Roman" w:hAnsi="Times New Roman" w:cs="Times New Roman"/>
                <w:color w:val="000000"/>
                <w:sz w:val="24"/>
                <w:szCs w:val="24"/>
                <w:lang w:val="en-US" w:eastAsia="zh-CN"/>
              </w:rPr>
              <w:t>2</w:t>
            </w:r>
          </w:p>
        </w:tc>
        <w:tc>
          <w:tcPr>
            <w:tcW w:w="2216" w:type="dxa"/>
            <w:noWrap w:val="0"/>
            <w:vAlign w:val="center"/>
          </w:tcPr>
          <w:p>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40" w:lineRule="atLeast"/>
              <w:ind w:right="0" w:rightChars="0"/>
              <w:jc w:val="center"/>
              <w:textAlignment w:val="baseline"/>
              <w:rPr>
                <w:rFonts w:hint="default" w:ascii="宋体" w:hAnsi="宋体"/>
                <w:kern w:val="0"/>
                <w:szCs w:val="21"/>
                <w:lang w:val="en-US" w:eastAsia="zh-CN"/>
              </w:rPr>
            </w:pPr>
            <w:r>
              <w:rPr>
                <w:rFonts w:hint="eastAsia" w:ascii="宋体" w:hAnsi="宋体"/>
                <w:kern w:val="0"/>
                <w:szCs w:val="21"/>
                <w:lang w:val="en-US" w:eastAsia="zh-CN"/>
              </w:rPr>
              <w:t>废气处理废活性炭</w:t>
            </w:r>
          </w:p>
        </w:tc>
        <w:tc>
          <w:tcPr>
            <w:tcW w:w="1595" w:type="dxa"/>
            <w:noWrap w:val="0"/>
            <w:vAlign w:val="top"/>
          </w:tcPr>
          <w:p>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40" w:lineRule="atLeast"/>
              <w:ind w:right="0" w:rightChars="0"/>
              <w:jc w:val="center"/>
              <w:textAlignment w:val="baseline"/>
              <w:rPr>
                <w:rFonts w:hint="default" w:ascii="宋体" w:hAnsi="宋体"/>
                <w:kern w:val="0"/>
                <w:szCs w:val="21"/>
                <w:lang w:val="en-US" w:eastAsia="zh-CN"/>
              </w:rPr>
            </w:pPr>
            <w:r>
              <w:rPr>
                <w:rFonts w:hint="eastAsia" w:ascii="宋体" w:hAnsi="宋体"/>
                <w:kern w:val="0"/>
                <w:szCs w:val="21"/>
                <w:lang w:val="en-US" w:eastAsia="zh-CN"/>
              </w:rPr>
              <w:t>900-041-49</w:t>
            </w:r>
          </w:p>
        </w:tc>
        <w:tc>
          <w:tcPr>
            <w:tcW w:w="718" w:type="dxa"/>
            <w:noWrap w:val="0"/>
            <w:vAlign w:val="center"/>
          </w:tcPr>
          <w:p>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40" w:lineRule="atLeast"/>
              <w:ind w:right="0" w:rightChars="0"/>
              <w:jc w:val="center"/>
              <w:textAlignment w:val="baseline"/>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固</w:t>
            </w:r>
          </w:p>
        </w:tc>
        <w:tc>
          <w:tcPr>
            <w:tcW w:w="2361" w:type="dxa"/>
            <w:noWrap w:val="0"/>
            <w:vAlign w:val="center"/>
          </w:tcPr>
          <w:p>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40" w:lineRule="atLeast"/>
              <w:ind w:right="0" w:rightChars="0"/>
              <w:jc w:val="center"/>
              <w:textAlignment w:val="baseline"/>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500</w:t>
            </w:r>
          </w:p>
        </w:tc>
      </w:tr>
    </w:tbl>
    <w:p>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40" w:lineRule="atLeast"/>
        <w:ind w:leftChars="0" w:right="0" w:rightChars="0" w:firstLine="480"/>
        <w:jc w:val="both"/>
        <w:textAlignment w:val="baseline"/>
        <w:rPr>
          <w:rFonts w:hint="eastAsia" w:ascii="宋体" w:hAnsi="宋体" w:eastAsia="宋体" w:cs="宋体"/>
          <w:b/>
          <w:bCs/>
          <w:i w:val="0"/>
          <w:iCs w:val="0"/>
          <w:caps w:val="0"/>
          <w:color w:val="333333"/>
          <w:spacing w:val="0"/>
          <w:sz w:val="24"/>
          <w:szCs w:val="24"/>
          <w:shd w:val="clear" w:color="auto" w:fill="FFFFFF"/>
          <w:vertAlign w:val="baseline"/>
          <w:lang w:val="en-US" w:eastAsia="zh-CN"/>
        </w:rPr>
      </w:pPr>
      <w:r>
        <w:rPr>
          <w:rFonts w:hint="eastAsia" w:ascii="宋体" w:hAnsi="宋体" w:eastAsia="宋体" w:cs="宋体"/>
          <w:b/>
          <w:bCs/>
          <w:i w:val="0"/>
          <w:iCs w:val="0"/>
          <w:caps w:val="0"/>
          <w:color w:val="333333"/>
          <w:spacing w:val="0"/>
          <w:sz w:val="24"/>
          <w:szCs w:val="24"/>
          <w:shd w:val="clear" w:color="auto" w:fill="FFFFFF"/>
          <w:vertAlign w:val="baseline"/>
          <w:lang w:val="en-US" w:eastAsia="zh-CN"/>
        </w:rPr>
        <w:t>2.2服务要求</w:t>
      </w:r>
    </w:p>
    <w:p>
      <w:pPr>
        <w:spacing w:line="440" w:lineRule="exact"/>
        <w:ind w:firstLine="422" w:firstLineChars="200"/>
        <w:rPr>
          <w:rFonts w:ascii="宋体" w:hAnsi="宋体"/>
          <w:b/>
        </w:rPr>
      </w:pPr>
      <w:r>
        <w:rPr>
          <w:rFonts w:ascii="宋体" w:hAnsi="宋体"/>
          <w:b/>
        </w:rPr>
        <w:t>（一）总体要求：</w:t>
      </w:r>
    </w:p>
    <w:p>
      <w:pPr>
        <w:spacing w:line="44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供应商需具备HW49处置资质</w:t>
      </w:r>
      <w:r>
        <w:rPr>
          <w:rFonts w:hint="eastAsia" w:ascii="宋体" w:hAnsi="宋体" w:cs="宋体"/>
          <w:kern w:val="2"/>
          <w:sz w:val="21"/>
          <w:szCs w:val="24"/>
          <w:lang w:val="en-US" w:eastAsia="zh-CN" w:bidi="ar-SA"/>
        </w:rPr>
        <w:t>，</w:t>
      </w:r>
      <w:r>
        <w:rPr>
          <w:rFonts w:hint="eastAsia" w:ascii="宋体" w:hAnsi="宋体" w:eastAsia="宋体" w:cs="宋体"/>
          <w:kern w:val="2"/>
          <w:sz w:val="21"/>
          <w:szCs w:val="24"/>
          <w:lang w:val="en-US" w:eastAsia="zh-CN" w:bidi="ar-SA"/>
        </w:rPr>
        <w:t>对本项目内所有废弃</w:t>
      </w:r>
      <w:r>
        <w:rPr>
          <w:rFonts w:hint="eastAsia" w:ascii="宋体" w:hAnsi="宋体" w:cs="宋体"/>
          <w:kern w:val="2"/>
          <w:sz w:val="21"/>
          <w:szCs w:val="24"/>
          <w:lang w:val="en-US" w:eastAsia="zh-CN" w:bidi="ar-SA"/>
        </w:rPr>
        <w:t>物</w:t>
      </w:r>
      <w:r>
        <w:rPr>
          <w:rFonts w:hint="eastAsia" w:ascii="宋体" w:hAnsi="宋体" w:eastAsia="宋体" w:cs="宋体"/>
          <w:kern w:val="2"/>
          <w:sz w:val="21"/>
          <w:szCs w:val="24"/>
          <w:lang w:val="en-US" w:eastAsia="zh-CN" w:bidi="ar-SA"/>
        </w:rPr>
        <w:t>进行无害化处理，从运送到处置，全程符合环保及安全要求。</w:t>
      </w:r>
    </w:p>
    <w:p>
      <w:pPr>
        <w:spacing w:line="440" w:lineRule="exact"/>
        <w:ind w:firstLine="422" w:firstLineChars="200"/>
        <w:rPr>
          <w:rFonts w:hint="eastAsia" w:ascii="宋体" w:hAnsi="宋体" w:cs="宋体"/>
          <w:b/>
          <w:bCs/>
          <w:kern w:val="2"/>
          <w:sz w:val="21"/>
          <w:szCs w:val="24"/>
          <w:lang w:val="en-US" w:eastAsia="zh-CN" w:bidi="ar-SA"/>
        </w:rPr>
      </w:pPr>
      <w:r>
        <w:rPr>
          <w:rFonts w:hint="eastAsia" w:ascii="宋体" w:hAnsi="宋体" w:cs="宋体"/>
          <w:b/>
          <w:bCs/>
          <w:kern w:val="2"/>
          <w:sz w:val="21"/>
          <w:szCs w:val="24"/>
          <w:lang w:val="en-US" w:eastAsia="zh-CN" w:bidi="ar-SA"/>
        </w:rPr>
        <w:t>（二）废弃物清理处置具体要求：</w:t>
      </w:r>
    </w:p>
    <w:p>
      <w:pPr>
        <w:spacing w:line="44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1、服务人员要求：</w:t>
      </w:r>
    </w:p>
    <w:p>
      <w:pPr>
        <w:spacing w:line="44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w:t>
      </w:r>
      <w:r>
        <w:rPr>
          <w:rFonts w:hint="eastAsia" w:ascii="宋体" w:hAnsi="宋体" w:cs="宋体"/>
          <w:kern w:val="2"/>
          <w:sz w:val="21"/>
          <w:szCs w:val="24"/>
          <w:lang w:val="en-US" w:eastAsia="zh-CN" w:bidi="ar-SA"/>
        </w:rPr>
        <w:t>1</w:t>
      </w:r>
      <w:r>
        <w:rPr>
          <w:rFonts w:hint="eastAsia" w:ascii="宋体" w:hAnsi="宋体" w:eastAsia="宋体" w:cs="宋体"/>
          <w:kern w:val="2"/>
          <w:sz w:val="21"/>
          <w:szCs w:val="24"/>
          <w:lang w:val="en-US" w:eastAsia="zh-CN" w:bidi="ar-SA"/>
        </w:rPr>
        <w:t>服务人员应具备全面、可靠的专业知识、专业技能及现场操作经验，并具有主管部门颁发的有效培训或上岗证件。</w:t>
      </w:r>
    </w:p>
    <w:p>
      <w:pPr>
        <w:spacing w:line="44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w:t>
      </w:r>
      <w:r>
        <w:rPr>
          <w:rFonts w:hint="eastAsia" w:ascii="宋体" w:hAnsi="宋体" w:cs="宋体"/>
          <w:kern w:val="2"/>
          <w:sz w:val="21"/>
          <w:szCs w:val="24"/>
          <w:lang w:val="en-US" w:eastAsia="zh-CN" w:bidi="ar-SA"/>
        </w:rPr>
        <w:t>2</w:t>
      </w:r>
      <w:r>
        <w:rPr>
          <w:rFonts w:hint="eastAsia" w:ascii="宋体" w:hAnsi="宋体" w:eastAsia="宋体" w:cs="宋体"/>
          <w:kern w:val="2"/>
          <w:sz w:val="21"/>
          <w:szCs w:val="24"/>
          <w:lang w:val="en-US" w:eastAsia="zh-CN" w:bidi="ar-SA"/>
        </w:rPr>
        <w:t>服务人员应佩戴安全、可靠、使用的劳动防护设备。</w:t>
      </w:r>
    </w:p>
    <w:p>
      <w:pPr>
        <w:spacing w:line="44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2、设施、设备要求：</w:t>
      </w:r>
    </w:p>
    <w:p>
      <w:pPr>
        <w:spacing w:line="44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2.1供应商应为本项目合理配备符合危废运输要求的相关交通工具。</w:t>
      </w:r>
    </w:p>
    <w:p>
      <w:pPr>
        <w:numPr>
          <w:ilvl w:val="0"/>
          <w:numId w:val="3"/>
        </w:numPr>
        <w:spacing w:line="44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废弃物清理处置要求：</w:t>
      </w:r>
    </w:p>
    <w:p>
      <w:pPr>
        <w:numPr>
          <w:ilvl w:val="0"/>
          <w:numId w:val="0"/>
        </w:numPr>
        <w:spacing w:line="440" w:lineRule="exact"/>
        <w:ind w:firstLine="420" w:firstLineChars="200"/>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3.1处置流程：合同前小样送检化验室-合格后签订合同-约定转运时间-全生命周期出转移联单和报备-拉货-入场前化验室取样分析-转移至仓库-配伍-焚烧炉焚烧。</w:t>
      </w:r>
    </w:p>
    <w:p>
      <w:pPr>
        <w:spacing w:line="44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3.</w:t>
      </w:r>
      <w:r>
        <w:rPr>
          <w:rFonts w:hint="eastAsia" w:ascii="宋体" w:hAnsi="宋体" w:cs="宋体"/>
          <w:kern w:val="2"/>
          <w:sz w:val="21"/>
          <w:szCs w:val="24"/>
          <w:lang w:val="en-US" w:eastAsia="zh-CN" w:bidi="ar-SA"/>
        </w:rPr>
        <w:t>2</w:t>
      </w:r>
      <w:r>
        <w:rPr>
          <w:rFonts w:hint="eastAsia" w:ascii="宋体" w:hAnsi="宋体" w:eastAsia="宋体" w:cs="宋体"/>
          <w:kern w:val="2"/>
          <w:sz w:val="21"/>
          <w:szCs w:val="24"/>
          <w:lang w:val="en-US" w:eastAsia="zh-CN" w:bidi="ar-SA"/>
        </w:rPr>
        <w:t>供应商在严格按照国家有关规定填报《危险废物转移联单》后，才可转移该批危废。</w:t>
      </w:r>
    </w:p>
    <w:p>
      <w:pPr>
        <w:spacing w:line="44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3.</w:t>
      </w:r>
      <w:r>
        <w:rPr>
          <w:rFonts w:hint="eastAsia" w:ascii="宋体" w:hAnsi="宋体" w:cs="宋体"/>
          <w:kern w:val="2"/>
          <w:sz w:val="21"/>
          <w:szCs w:val="24"/>
          <w:lang w:val="en-US" w:eastAsia="zh-CN" w:bidi="ar-SA"/>
        </w:rPr>
        <w:t>3</w:t>
      </w:r>
      <w:r>
        <w:rPr>
          <w:rFonts w:hint="eastAsia" w:ascii="宋体" w:hAnsi="宋体" w:eastAsia="宋体" w:cs="宋体"/>
          <w:kern w:val="2"/>
          <w:sz w:val="21"/>
          <w:szCs w:val="24"/>
          <w:lang w:val="en-US" w:eastAsia="zh-CN" w:bidi="ar-SA"/>
        </w:rPr>
        <w:t>危险废物的转移运输，可由供应商自身或供应商委托的其他具有法定道路危险货物运输经营许可资质的单位负责运输，但所有单位必须符合《中华人民共和国道路交通安全法》、《危险化学品安全管理条例》、《危险货物道路运输安全管理办法》、《中华人民共和国固体废物污染环境防治法》等有关法律法规要求，并具有有效的相关证件。</w:t>
      </w:r>
    </w:p>
    <w:p>
      <w:pPr>
        <w:spacing w:line="44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3.</w:t>
      </w:r>
      <w:r>
        <w:rPr>
          <w:rFonts w:hint="eastAsia" w:ascii="宋体" w:hAnsi="宋体" w:cs="宋体"/>
          <w:kern w:val="2"/>
          <w:sz w:val="21"/>
          <w:szCs w:val="24"/>
          <w:lang w:val="en-US" w:eastAsia="zh-CN" w:bidi="ar-SA"/>
        </w:rPr>
        <w:t>4</w:t>
      </w:r>
      <w:r>
        <w:rPr>
          <w:rFonts w:hint="eastAsia" w:ascii="宋体" w:hAnsi="宋体" w:eastAsia="宋体" w:cs="宋体"/>
          <w:kern w:val="2"/>
          <w:sz w:val="21"/>
          <w:szCs w:val="24"/>
          <w:lang w:val="en-US" w:eastAsia="zh-CN" w:bidi="ar-SA"/>
        </w:rPr>
        <w:t>化学品运输至供应商处理地点后，由供应商按照中华人民共和国相关法律法规规定进行焚烧处置，处置过程应符合环保及安全要求。</w:t>
      </w:r>
    </w:p>
    <w:p>
      <w:pPr>
        <w:spacing w:line="440" w:lineRule="exact"/>
        <w:ind w:firstLine="422" w:firstLineChars="200"/>
        <w:rPr>
          <w:rFonts w:ascii="宋体" w:hAnsi="宋体"/>
          <w:b/>
        </w:rPr>
      </w:pPr>
      <w:r>
        <w:rPr>
          <w:rFonts w:ascii="宋体" w:hAnsi="宋体"/>
          <w:b/>
        </w:rPr>
        <w:t>（四）</w:t>
      </w:r>
      <w:r>
        <w:rPr>
          <w:rFonts w:hint="eastAsia" w:ascii="宋体" w:hAnsi="宋体"/>
          <w:b/>
        </w:rPr>
        <w:t>其他</w:t>
      </w:r>
      <w:r>
        <w:rPr>
          <w:rFonts w:ascii="宋体" w:hAnsi="宋体"/>
          <w:b/>
        </w:rPr>
        <w:t>要求：</w:t>
      </w:r>
    </w:p>
    <w:p>
      <w:pPr>
        <w:spacing w:line="44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w:t>
      </w:r>
      <w:r>
        <w:rPr>
          <w:rFonts w:hint="eastAsia" w:ascii="宋体" w:hAnsi="宋体" w:eastAsia="宋体" w:cs="宋体"/>
          <w:kern w:val="2"/>
          <w:sz w:val="21"/>
          <w:szCs w:val="24"/>
          <w:lang w:val="zh-CN" w:eastAsia="zh-CN" w:bidi="ar-SA"/>
        </w:rPr>
        <w:t>供应商应根据项目实施要求，合理配备服务人员</w:t>
      </w:r>
      <w:r>
        <w:rPr>
          <w:rFonts w:hint="eastAsia" w:ascii="宋体" w:hAnsi="宋体" w:eastAsia="宋体" w:cs="宋体"/>
          <w:kern w:val="2"/>
          <w:sz w:val="21"/>
          <w:szCs w:val="24"/>
          <w:lang w:val="en-US" w:eastAsia="zh-CN" w:bidi="ar-SA"/>
        </w:rPr>
        <w:t>及设备工具</w:t>
      </w:r>
      <w:r>
        <w:rPr>
          <w:rFonts w:hint="eastAsia" w:ascii="宋体" w:hAnsi="宋体" w:eastAsia="宋体" w:cs="宋体"/>
          <w:kern w:val="2"/>
          <w:sz w:val="21"/>
          <w:szCs w:val="24"/>
          <w:lang w:val="zh-CN" w:eastAsia="zh-CN" w:bidi="ar-SA"/>
        </w:rPr>
        <w:t>，确保项目实施进度</w:t>
      </w:r>
      <w:r>
        <w:rPr>
          <w:rFonts w:hint="eastAsia" w:ascii="宋体" w:hAnsi="宋体" w:eastAsia="宋体" w:cs="宋体"/>
          <w:kern w:val="2"/>
          <w:sz w:val="21"/>
          <w:szCs w:val="24"/>
          <w:lang w:val="en-US" w:eastAsia="zh-CN" w:bidi="ar-SA"/>
        </w:rPr>
        <w:t>。采购人将督促积极协助供应商完成</w:t>
      </w:r>
      <w:r>
        <w:rPr>
          <w:rFonts w:hint="eastAsia" w:ascii="宋体" w:hAnsi="宋体" w:eastAsia="宋体" w:cs="宋体"/>
          <w:kern w:val="2"/>
          <w:sz w:val="21"/>
          <w:szCs w:val="24"/>
          <w:lang w:val="zh-CN" w:eastAsia="zh-CN" w:bidi="ar-SA"/>
        </w:rPr>
        <w:t>清理</w:t>
      </w:r>
      <w:r>
        <w:rPr>
          <w:rFonts w:hint="eastAsia" w:ascii="宋体" w:hAnsi="宋体" w:eastAsia="宋体" w:cs="宋体"/>
          <w:kern w:val="2"/>
          <w:sz w:val="21"/>
          <w:szCs w:val="24"/>
          <w:lang w:val="en-US" w:eastAsia="zh-CN" w:bidi="ar-SA"/>
        </w:rPr>
        <w:t>服务。</w:t>
      </w:r>
    </w:p>
    <w:p>
      <w:pPr>
        <w:spacing w:line="44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供应商及供应商所派遣的项目服务人员在项目实施过程中，应严格遵守相应的安全操作规范，严格采取安全防护措施。在项目服务过程中，供应商承担一切与本项目危险废物收集、转移、处理与处置过程中产生的安全事故、环境污染事故、交通事故等责任和后果，采购人不负责。</w:t>
      </w:r>
    </w:p>
    <w:p>
      <w:pPr>
        <w:spacing w:line="44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3、供应商实施服务前，应做到定人、定车、定岗，将前往本项目的相关服务人员情况、证件、车辆等信息向采购人报备后，方可实施相应服务。</w:t>
      </w:r>
    </w:p>
    <w:p>
      <w:pPr>
        <w:spacing w:line="44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4、项目服务过程中，如涉及相关运输车辆进出扬州市区的，供应商应自行办理车辆进入扬州市城区的相关通行证，相关费用包含在报价总价中。</w:t>
      </w:r>
    </w:p>
    <w:p>
      <w:pPr>
        <w:spacing w:line="440" w:lineRule="exact"/>
        <w:ind w:firstLine="420" w:firstLineChars="200"/>
        <w:rPr>
          <w:rFonts w:hint="eastAsia"/>
        </w:rPr>
      </w:pPr>
      <w:r>
        <w:rPr>
          <w:rFonts w:hint="eastAsia" w:ascii="宋体" w:hAnsi="宋体" w:eastAsia="宋体" w:cs="宋体"/>
          <w:kern w:val="2"/>
          <w:sz w:val="21"/>
          <w:szCs w:val="24"/>
          <w:lang w:val="en-US" w:eastAsia="zh-CN" w:bidi="ar-SA"/>
        </w:rPr>
        <w:t>5、如因供应商自身原因，导致废弃物无法处置的，相关风险及责任均由供应商承担。</w:t>
      </w:r>
    </w:p>
    <w:p>
      <w:pPr>
        <w:numPr>
          <w:ilvl w:val="0"/>
          <w:numId w:val="2"/>
        </w:numPr>
        <w:adjustRightInd w:val="0"/>
        <w:snapToGrid w:val="0"/>
        <w:spacing w:line="440" w:lineRule="exact"/>
        <w:ind w:left="0" w:leftChars="0" w:firstLine="0" w:firstLineChars="0"/>
        <w:contextualSpacing/>
        <w:rPr>
          <w:rFonts w:hint="eastAsia" w:ascii="宋体" w:hAnsi="宋体" w:cs="宋体"/>
          <w:b/>
          <w:bCs/>
          <w:snapToGrid w:val="0"/>
          <w:kern w:val="0"/>
          <w:sz w:val="24"/>
          <w:highlight w:val="none"/>
        </w:rPr>
      </w:pPr>
      <w:r>
        <w:rPr>
          <w:rFonts w:hint="eastAsia" w:ascii="宋体" w:hAnsi="宋体" w:cs="宋体"/>
          <w:b/>
          <w:bCs/>
          <w:snapToGrid w:val="0"/>
          <w:kern w:val="0"/>
          <w:sz w:val="24"/>
          <w:highlight w:val="none"/>
        </w:rPr>
        <w:t>服务协议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hint="eastAsia" w:ascii="宋体" w:hAnsi="宋体"/>
          <w:b/>
          <w:sz w:val="36"/>
          <w:szCs w:val="36"/>
        </w:rPr>
      </w:pPr>
      <w:r>
        <w:rPr>
          <w:rFonts w:hint="eastAsia" w:ascii="宋体" w:hAnsi="宋体"/>
          <w:sz w:val="24"/>
        </w:rPr>
        <w:t>3.4其他服务。</w:t>
      </w: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20"/>
        <w:ind w:firstLine="0"/>
      </w:pPr>
    </w:p>
    <w:p>
      <w:pPr>
        <w:jc w:val="center"/>
        <w:rPr>
          <w:rFonts w:ascii="宋体" w:hAnsi="宋体"/>
          <w:b/>
          <w:bCs/>
          <w:sz w:val="36"/>
          <w:szCs w:val="36"/>
        </w:rPr>
      </w:pPr>
      <w:r>
        <w:rPr>
          <w:rFonts w:hint="eastAsia" w:ascii="宋体" w:hAnsi="宋体"/>
          <w:b/>
          <w:bCs/>
          <w:sz w:val="36"/>
          <w:szCs w:val="36"/>
        </w:rPr>
        <w:t>投标文件</w:t>
      </w:r>
    </w:p>
    <w:p>
      <w:pPr>
        <w:pStyle w:val="20"/>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20"/>
        <w:ind w:firstLine="0"/>
      </w:pPr>
    </w:p>
    <w:p>
      <w:pPr>
        <w:pStyle w:val="20"/>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20"/>
        <w:rPr>
          <w:sz w:val="36"/>
          <w:szCs w:val="36"/>
        </w:rPr>
      </w:pPr>
    </w:p>
    <w:p>
      <w:pPr>
        <w:pStyle w:val="20"/>
        <w:ind w:firstLine="0"/>
        <w:jc w:val="left"/>
      </w:pPr>
    </w:p>
    <w:p>
      <w:pPr>
        <w:pStyle w:val="2"/>
      </w:pPr>
    </w:p>
    <w:p>
      <w:pPr>
        <w:pStyle w:val="2"/>
      </w:pPr>
    </w:p>
    <w:p>
      <w:pPr>
        <w:pStyle w:val="2"/>
      </w:pPr>
    </w:p>
    <w:p>
      <w:pPr>
        <w:pStyle w:val="2"/>
      </w:pPr>
    </w:p>
    <w:p>
      <w:pPr>
        <w:pStyle w:val="2"/>
      </w:pPr>
    </w:p>
    <w:p>
      <w:pPr>
        <w:pStyle w:val="2"/>
      </w:pPr>
    </w:p>
    <w:p>
      <w:pPr>
        <w:pStyle w:val="2"/>
      </w:pPr>
    </w:p>
    <w:p>
      <w:pPr>
        <w:jc w:val="center"/>
        <w:rPr>
          <w:rFonts w:ascii="宋体" w:hAnsi="宋体"/>
          <w:b/>
          <w:sz w:val="36"/>
          <w:szCs w:val="36"/>
          <w:u w:val="single"/>
        </w:rPr>
      </w:pPr>
      <w:r>
        <w:rPr>
          <w:rFonts w:hint="eastAsia"/>
          <w:b/>
          <w:sz w:val="36"/>
          <w:szCs w:val="36"/>
        </w:rPr>
        <w:t>目录</w:t>
      </w:r>
    </w:p>
    <w:p>
      <w:pPr>
        <w:pStyle w:val="2"/>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bCs/>
          <w:sz w:val="24"/>
          <w:highlight w:val="none"/>
          <w:u w:val="single"/>
          <w:lang w:eastAsia="zh-CN"/>
        </w:rPr>
        <w:t>东西区危废处置（HW49)服务项目</w:t>
      </w:r>
      <w:r>
        <w:rPr>
          <w:rFonts w:hint="eastAsia" w:ascii="宋体" w:hAnsi="宋体" w:cs="宋体"/>
          <w:sz w:val="24"/>
          <w:highlight w:val="none"/>
        </w:rPr>
        <w:t>（编号：</w:t>
      </w:r>
      <w:r>
        <w:rPr>
          <w:rFonts w:hint="eastAsia" w:ascii="宋体" w:hAnsi="宋体" w:cs="宋体"/>
          <w:snapToGrid w:val="0"/>
          <w:kern w:val="0"/>
          <w:sz w:val="24"/>
          <w:highlight w:val="none"/>
          <w:lang w:eastAsia="zh-CN"/>
        </w:rPr>
        <w:t>YDFYXJ-20231103</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20"/>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w:t>
      </w:r>
      <w:r>
        <w:rPr>
          <w:rFonts w:hint="eastAsia" w:ascii="宋体" w:hAnsi="宋体" w:cs="宋体"/>
          <w:sz w:val="24"/>
          <w:lang w:val="en-US" w:eastAsia="zh-CN"/>
        </w:rPr>
        <w:t>3</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hoytyzdx@163.com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0514-82099555</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20"/>
        <w:rPr>
          <w:rFonts w:ascii="宋体" w:hAnsi="宋体" w:cs="宋体"/>
          <w:sz w:val="28"/>
          <w:szCs w:val="28"/>
        </w:rPr>
      </w:pPr>
    </w:p>
    <w:p>
      <w:pPr>
        <w:pStyle w:val="3"/>
        <w:ind w:left="0" w:leftChars="0" w:firstLine="0" w:firstLineChars="0"/>
        <w:rPr>
          <w:b/>
          <w:sz w:val="36"/>
          <w:szCs w:val="36"/>
        </w:rPr>
      </w:pPr>
    </w:p>
    <w:p>
      <w:pPr>
        <w:pStyle w:val="3"/>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ind w:firstLine="0"/>
      </w:pPr>
    </w:p>
    <w:p>
      <w:pPr>
        <w:pStyle w:val="20"/>
        <w:ind w:firstLine="0"/>
      </w:pPr>
    </w:p>
    <w:p>
      <w:pPr>
        <w:pStyle w:val="20"/>
        <w:ind w:firstLine="0"/>
      </w:pPr>
    </w:p>
    <w:p>
      <w:pPr>
        <w:pStyle w:val="20"/>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2"/>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20"/>
        <w:rPr>
          <w:rFonts w:ascii="宋体" w:hAnsi="宋体"/>
          <w:bCs/>
          <w:sz w:val="24"/>
        </w:rPr>
      </w:pPr>
    </w:p>
    <w:p>
      <w:pPr>
        <w:pStyle w:val="20"/>
        <w:rPr>
          <w:rFonts w:ascii="宋体" w:hAnsi="宋体"/>
          <w:bCs/>
          <w:sz w:val="24"/>
        </w:rPr>
      </w:pPr>
    </w:p>
    <w:p>
      <w:pPr>
        <w:pStyle w:val="20"/>
        <w:rPr>
          <w:rFonts w:ascii="宋体" w:hAnsi="宋体"/>
          <w:bCs/>
          <w:sz w:val="24"/>
        </w:rPr>
      </w:pPr>
    </w:p>
    <w:p>
      <w:pPr>
        <w:pStyle w:val="20"/>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rPr>
          <w:rFonts w:asciiTheme="minorEastAsia" w:hAnsiTheme="minorEastAsia" w:eastAsiaTheme="minorEastAsia"/>
          <w:b/>
          <w:sz w:val="36"/>
        </w:rPr>
      </w:pPr>
    </w:p>
    <w:p>
      <w:pPr>
        <w:pStyle w:val="12"/>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12"/>
        <w:rPr>
          <w:rFonts w:ascii="Times New Roman" w:hAnsi="Times New Roman"/>
          <w:b/>
          <w:sz w:val="36"/>
        </w:rPr>
      </w:pPr>
    </w:p>
    <w:p>
      <w:pPr>
        <w:pStyle w:val="12"/>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12"/>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12"/>
        <w:adjustRightInd w:val="0"/>
        <w:snapToGrid w:val="0"/>
        <w:spacing w:line="440" w:lineRule="exact"/>
        <w:ind w:firstLine="420"/>
        <w:contextualSpacing/>
        <w:rPr>
          <w:rFonts w:asciiTheme="minorEastAsia" w:hAnsiTheme="minorEastAsia" w:eastAsiaTheme="minorEastAsia"/>
          <w:sz w:val="24"/>
          <w:szCs w:val="24"/>
        </w:rPr>
      </w:pPr>
    </w:p>
    <w:p>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12"/>
        <w:adjustRightInd w:val="0"/>
        <w:snapToGrid w:val="0"/>
        <w:spacing w:line="500" w:lineRule="exact"/>
        <w:ind w:firstLine="420"/>
        <w:contextualSpacing/>
        <w:rPr>
          <w:rFonts w:asciiTheme="minorEastAsia" w:hAnsiTheme="minorEastAsia" w:eastAsiaTheme="minorEastAsia"/>
          <w:sz w:val="24"/>
          <w:szCs w:val="24"/>
        </w:rPr>
      </w:pPr>
    </w:p>
    <w:p>
      <w:pPr>
        <w:pStyle w:val="12"/>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12"/>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22"/>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3"/>
            </w:pPr>
          </w:p>
          <w:p/>
          <w:p>
            <w:pPr>
              <w:pStyle w:val="3"/>
            </w:pPr>
          </w:p>
          <w:p/>
          <w:p>
            <w:pPr>
              <w:pStyle w:val="3"/>
            </w:pPr>
          </w:p>
          <w:p/>
          <w:p>
            <w:pPr>
              <w:pStyle w:val="3"/>
            </w:pPr>
          </w:p>
          <w:p/>
          <w:p>
            <w:pPr>
              <w:pStyle w:val="3"/>
            </w:pPr>
          </w:p>
          <w:p/>
          <w:p>
            <w:pPr>
              <w:pStyle w:val="3"/>
            </w:pPr>
          </w:p>
          <w:p/>
          <w:p>
            <w:pPr>
              <w:pStyle w:val="3"/>
            </w:pPr>
          </w:p>
          <w:p/>
          <w:p>
            <w:pPr>
              <w:pStyle w:val="3"/>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3"/>
        <w:ind w:left="0" w:leftChars="0" w:firstLine="0" w:firstLineChars="0"/>
        <w:rPr>
          <w:rFonts w:ascii="宋体" w:hAnsi="宋体"/>
          <w:kern w:val="0"/>
          <w:sz w:val="36"/>
          <w:szCs w:val="36"/>
        </w:rPr>
      </w:pPr>
    </w:p>
    <w:p/>
    <w:p>
      <w:pPr>
        <w:pStyle w:val="17"/>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3"/>
        <w:rPr>
          <w:rFonts w:ascii="宋体" w:hAnsi="宋体"/>
        </w:rPr>
      </w:pPr>
    </w:p>
    <w:p>
      <w:pPr>
        <w:rPr>
          <w:rFonts w:ascii="宋体" w:hAnsi="宋体"/>
        </w:rPr>
      </w:pPr>
    </w:p>
    <w:p>
      <w:pPr>
        <w:pStyle w:val="3"/>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21"/>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5"/>
              <w:adjustRightInd w:val="0"/>
              <w:snapToGrid w:val="0"/>
              <w:spacing w:line="440" w:lineRule="exact"/>
              <w:contextualSpacing/>
              <w:jc w:val="center"/>
              <w:rPr>
                <w:rFonts w:ascii="Times New Roman"/>
                <w:bCs/>
              </w:rPr>
            </w:pPr>
          </w:p>
        </w:tc>
        <w:tc>
          <w:tcPr>
            <w:tcW w:w="3244" w:type="pct"/>
            <w:vAlign w:val="center"/>
          </w:tcPr>
          <w:p>
            <w:pPr>
              <w:pStyle w:val="35"/>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5"/>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3"/>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20"/>
      </w:pPr>
    </w:p>
    <w:p>
      <w:pPr>
        <w:rPr>
          <w:rFonts w:hint="eastAsia" w:ascii="宋体" w:hAnsi="宋体"/>
          <w:b/>
          <w:sz w:val="36"/>
          <w:szCs w:val="36"/>
        </w:rPr>
      </w:pPr>
      <w:bookmarkStart w:id="1" w:name="_Toc513029243"/>
      <w:bookmarkStart w:id="2" w:name="_Toc16938559"/>
      <w:bookmarkStart w:id="3" w:name="_Toc20823315"/>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bCs/>
          <w:szCs w:val="21"/>
        </w:rPr>
      </w:pPr>
      <w:r>
        <w:rPr>
          <w:rFonts w:hint="eastAsia" w:ascii="宋体" w:hAnsi="宋体"/>
          <w:b/>
          <w:sz w:val="36"/>
          <w:szCs w:val="36"/>
          <w:lang w:val="en-US" w:eastAsia="zh-CN"/>
        </w:rPr>
        <w:t>服务协议</w:t>
      </w:r>
    </w:p>
    <w:p>
      <w:pPr>
        <w:pStyle w:val="12"/>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highlight w:val="none"/>
          <w:lang w:val="en-US" w:eastAsia="zh-CN"/>
        </w:rPr>
      </w:pPr>
      <w:r>
        <w:rPr>
          <w:rFonts w:hint="eastAsia" w:hAnsi="宋体" w:cs="宋体"/>
          <w:snapToGrid w:val="0"/>
          <w:spacing w:val="-4"/>
          <w:kern w:val="0"/>
          <w:sz w:val="24"/>
          <w:szCs w:val="24"/>
        </w:rPr>
        <w:t>项目名称：</w:t>
      </w:r>
      <w:r>
        <w:rPr>
          <w:rFonts w:hint="eastAsia" w:hAnsi="宋体" w:cs="宋体"/>
          <w:b/>
          <w:snapToGrid w:val="0"/>
          <w:kern w:val="0"/>
          <w:sz w:val="24"/>
          <w:highlight w:val="none"/>
        </w:rPr>
        <w:t>扬州大学附属医院</w:t>
      </w:r>
      <w:r>
        <w:rPr>
          <w:rFonts w:hint="eastAsia" w:hAnsi="宋体" w:cs="宋体"/>
          <w:b/>
          <w:snapToGrid w:val="0"/>
          <w:kern w:val="0"/>
          <w:sz w:val="24"/>
          <w:highlight w:val="none"/>
          <w:lang w:eastAsia="zh-CN"/>
        </w:rPr>
        <w:t>东西区危废处置（HW49)服务项目</w:t>
      </w:r>
    </w:p>
    <w:p>
      <w:pPr>
        <w:pStyle w:val="12"/>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sz w:val="24"/>
          <w:highlight w:val="none"/>
          <w:lang w:val="en-US" w:eastAsia="zh-CN"/>
        </w:rPr>
      </w:pPr>
      <w:r>
        <w:rPr>
          <w:rFonts w:hint="eastAsia" w:hAnsi="宋体" w:cs="宋体"/>
          <w:sz w:val="24"/>
          <w:highlight w:val="none"/>
          <w:lang w:eastAsia="zh-CN"/>
        </w:rPr>
        <w:t>协议</w:t>
      </w:r>
      <w:r>
        <w:rPr>
          <w:rFonts w:hint="eastAsia" w:hAnsi="宋体" w:cs="宋体"/>
          <w:sz w:val="24"/>
          <w:highlight w:val="none"/>
        </w:rPr>
        <w:t>编号：</w:t>
      </w:r>
      <w:r>
        <w:rPr>
          <w:rFonts w:hint="eastAsia" w:hAnsi="宋体" w:cs="宋体"/>
          <w:b/>
          <w:bCs/>
          <w:sz w:val="24"/>
          <w:highlight w:val="none"/>
          <w:lang w:eastAsia="zh-CN"/>
        </w:rPr>
        <w:t>YDFYXJ-20231103</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rPr>
        <w:t>甲方：</w:t>
      </w:r>
      <w:r>
        <w:rPr>
          <w:rFonts w:hint="eastAsia" w:ascii="宋体" w:hAnsi="宋体" w:cs="宋体"/>
          <w:b/>
          <w:color w:val="000000"/>
          <w:kern w:val="0"/>
          <w:sz w:val="24"/>
        </w:rPr>
        <w:t>扬州大学附属医院</w:t>
      </w:r>
      <w:r>
        <w:rPr>
          <w:rFonts w:hint="eastAsia" w:ascii="宋体" w:hAnsi="宋体" w:cs="宋体"/>
          <w:b/>
          <w:color w:val="000000"/>
          <w:kern w:val="0"/>
          <w:sz w:val="24"/>
          <w:lang w:val="en-US" w:eastAsia="zh-CN"/>
        </w:rPr>
        <w:t>采购中心</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rPr>
        <w:t>乙方：</w:t>
      </w:r>
      <w:r>
        <w:rPr>
          <w:rFonts w:hint="eastAsia" w:ascii="宋体" w:hAnsi="宋体" w:cs="宋体"/>
          <w:b/>
          <w:bCs/>
          <w:sz w:val="24"/>
          <w:lang w:val="en-US" w:eastAsia="zh-CN"/>
        </w:rPr>
        <w:t xml:space="preserve"> </w:t>
      </w:r>
    </w:p>
    <w:p>
      <w:pPr>
        <w:pStyle w:val="12"/>
        <w:keepNext w:val="0"/>
        <w:keepLines w:val="0"/>
        <w:pageBreakBefore w:val="0"/>
        <w:widowControl w:val="0"/>
        <w:kinsoku/>
        <w:wordWrap/>
        <w:overflowPunct/>
        <w:topLinePunct w:val="0"/>
        <w:autoSpaceDE/>
        <w:autoSpaceDN/>
        <w:bidi w:val="0"/>
        <w:adjustRightInd w:val="0"/>
        <w:snapToGrid w:val="0"/>
        <w:spacing w:line="340" w:lineRule="exact"/>
        <w:ind w:firstLine="464" w:firstLineChars="200"/>
        <w:contextualSpacing/>
        <w:textAlignment w:val="auto"/>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rPr>
        <w:t>扬州大学附属医院</w:t>
      </w:r>
      <w:r>
        <w:rPr>
          <w:rFonts w:hint="eastAsia" w:hAnsi="宋体" w:cs="宋体"/>
          <w:color w:val="000000"/>
          <w:kern w:val="0"/>
          <w:sz w:val="24"/>
          <w:highlight w:val="none"/>
          <w:lang w:eastAsia="zh-CN"/>
        </w:rPr>
        <w:t>东西区危废处置（HW49)服务项目</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w:t>
      </w:r>
      <w:r>
        <w:rPr>
          <w:rFonts w:hint="eastAsia" w:hAnsi="宋体" w:cs="宋体"/>
          <w:sz w:val="24"/>
          <w:lang w:eastAsia="zh-CN"/>
        </w:rPr>
        <w:t>协议</w:t>
      </w:r>
      <w:r>
        <w:rPr>
          <w:rFonts w:hint="eastAsia" w:hAnsi="宋体" w:cs="宋体"/>
          <w:kern w:val="0"/>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sz w:val="24"/>
        </w:rPr>
      </w:pPr>
      <w:r>
        <w:rPr>
          <w:rFonts w:hint="eastAsia" w:ascii="宋体" w:hAnsi="宋体" w:cs="宋体"/>
          <w:b/>
          <w:sz w:val="24"/>
        </w:rPr>
        <w:t>一、</w:t>
      </w:r>
      <w:r>
        <w:rPr>
          <w:rFonts w:hint="eastAsia" w:ascii="宋体" w:hAnsi="宋体" w:cs="宋体"/>
          <w:b/>
          <w:sz w:val="24"/>
          <w:lang w:eastAsia="zh-CN"/>
        </w:rPr>
        <w:t>协议</w:t>
      </w:r>
      <w:r>
        <w:rPr>
          <w:rFonts w:hint="eastAsia" w:ascii="宋体" w:hAnsi="宋体" w:cs="宋体"/>
          <w:b/>
          <w:sz w:val="24"/>
        </w:rPr>
        <w:t>项目</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sz w:val="24"/>
        </w:rPr>
        <w:t>1.项目名称</w:t>
      </w:r>
      <w:r>
        <w:rPr>
          <w:rFonts w:hint="eastAsia" w:ascii="宋体" w:hAnsi="宋体"/>
          <w:sz w:val="24"/>
          <w:lang w:eastAsia="zh-CN"/>
        </w:rPr>
        <w:t>：</w:t>
      </w:r>
      <w:r>
        <w:rPr>
          <w:rFonts w:hint="eastAsia" w:hAnsi="宋体" w:cs="宋体"/>
          <w:b/>
          <w:snapToGrid w:val="0"/>
          <w:kern w:val="0"/>
          <w:sz w:val="24"/>
          <w:highlight w:val="none"/>
          <w:u w:val="single"/>
        </w:rPr>
        <w:t>扬州大学附属医院</w:t>
      </w:r>
      <w:r>
        <w:rPr>
          <w:rFonts w:hint="eastAsia" w:hAnsi="宋体" w:cs="宋体"/>
          <w:b/>
          <w:snapToGrid w:val="0"/>
          <w:kern w:val="0"/>
          <w:sz w:val="24"/>
          <w:highlight w:val="none"/>
          <w:u w:val="single"/>
          <w:lang w:eastAsia="zh-CN"/>
        </w:rPr>
        <w:t>东西区危废处置（HW49)服务项目</w:t>
      </w:r>
      <w:r>
        <w:rPr>
          <w:rFonts w:hint="eastAsia" w:ascii="宋体" w:hAnsi="宋体" w:cs="宋体"/>
          <w:b/>
          <w:bCs/>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sz w:val="24"/>
        </w:rPr>
      </w:pPr>
      <w:r>
        <w:rPr>
          <w:rFonts w:hint="eastAsia" w:ascii="宋体" w:hAnsi="宋体"/>
          <w:sz w:val="24"/>
        </w:rPr>
        <w:t>2.本项目</w:t>
      </w:r>
      <w:r>
        <w:rPr>
          <w:rFonts w:hint="eastAsia" w:ascii="宋体" w:hAnsi="宋体"/>
          <w:sz w:val="24"/>
          <w:lang w:val="en-US" w:eastAsia="zh-CN"/>
        </w:rPr>
        <w:t>服务</w:t>
      </w:r>
      <w:r>
        <w:rPr>
          <w:rFonts w:hint="eastAsia" w:ascii="宋体" w:hAnsi="宋体"/>
          <w:sz w:val="24"/>
        </w:rPr>
        <w:t>要求。</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jc w:val="left"/>
        <w:textAlignment w:val="auto"/>
        <w:rPr>
          <w:rFonts w:ascii="宋体" w:hAnsi="宋体"/>
          <w:b/>
          <w:sz w:val="24"/>
        </w:rPr>
      </w:pPr>
      <w:r>
        <w:rPr>
          <w:rFonts w:hint="eastAsia" w:ascii="宋体" w:hAnsi="宋体"/>
          <w:b/>
          <w:sz w:val="24"/>
        </w:rPr>
        <w:t>二、</w:t>
      </w:r>
      <w:r>
        <w:rPr>
          <w:rFonts w:hint="eastAsia" w:ascii="宋体" w:hAnsi="宋体"/>
          <w:b/>
          <w:sz w:val="24"/>
          <w:lang w:eastAsia="zh-CN"/>
        </w:rPr>
        <w:t>协议</w:t>
      </w:r>
      <w:r>
        <w:rPr>
          <w:rFonts w:hint="eastAsia" w:ascii="宋体" w:hAnsi="宋体"/>
          <w:b/>
          <w:sz w:val="24"/>
        </w:rPr>
        <w:t>金额</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pPr>
      <w:r>
        <w:rPr>
          <w:rFonts w:hint="eastAsia" w:ascii="宋体" w:hAnsi="宋体"/>
          <w:sz w:val="24"/>
        </w:rPr>
        <w:t>1.本</w:t>
      </w:r>
      <w:r>
        <w:rPr>
          <w:rFonts w:hint="eastAsia" w:ascii="宋体" w:hAnsi="宋体"/>
          <w:sz w:val="24"/>
          <w:lang w:eastAsia="zh-CN"/>
        </w:rPr>
        <w:t>协议</w:t>
      </w:r>
      <w:r>
        <w:rPr>
          <w:rFonts w:hint="eastAsia" w:ascii="宋体" w:hAnsi="宋体"/>
          <w:sz w:val="24"/>
        </w:rPr>
        <w:t>总价：</w:t>
      </w:r>
      <w:r>
        <w:rPr>
          <w:rFonts w:hint="eastAsia" w:ascii="宋体" w:hAnsi="宋体"/>
          <w:b/>
          <w:bCs/>
          <w:sz w:val="24"/>
          <w:highlight w:val="none"/>
          <w:u w:val="single"/>
        </w:rPr>
        <w:t>人民币</w:t>
      </w:r>
      <w:r>
        <w:rPr>
          <w:rFonts w:hint="eastAsia" w:ascii="宋体" w:hAnsi="宋体"/>
          <w:b/>
          <w:bCs/>
          <w:sz w:val="24"/>
          <w:highlight w:val="none"/>
          <w:u w:val="single"/>
          <w:lang w:val="en-US" w:eastAsia="zh-CN"/>
        </w:rPr>
        <w:t>元整（¥）</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rPr>
        <w:t>2.以上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进品商品关税等进口环节税、政策性文件规定的各项应有费用</w:t>
      </w:r>
      <w:r>
        <w:rPr>
          <w:rFonts w:hint="eastAsia" w:hAnsi="宋体"/>
          <w:sz w:val="24"/>
          <w:szCs w:val="24"/>
        </w:rPr>
        <w:t>、质保期内的维保费</w:t>
      </w:r>
      <w:r>
        <w:rPr>
          <w:rFonts w:hint="eastAsia" w:hAnsi="宋体"/>
          <w:snapToGrid w:val="0"/>
          <w:sz w:val="24"/>
          <w:szCs w:val="24"/>
        </w:rPr>
        <w:t>等</w:t>
      </w:r>
      <w:r>
        <w:rPr>
          <w:rFonts w:hint="eastAsia" w:hAnsi="宋体"/>
          <w:sz w:val="24"/>
          <w:szCs w:val="24"/>
        </w:rPr>
        <w:t>直至</w:t>
      </w:r>
      <w:r>
        <w:rPr>
          <w:rFonts w:hint="eastAsia" w:hAnsi="宋体" w:cs="宋体"/>
          <w:b w:val="0"/>
          <w:bCs w:val="0"/>
          <w:sz w:val="24"/>
          <w:szCs w:val="24"/>
          <w:lang w:val="en-US" w:eastAsia="zh-CN"/>
        </w:rPr>
        <w:t>完成</w:t>
      </w:r>
      <w:r>
        <w:rPr>
          <w:rFonts w:hint="eastAsia" w:hAnsi="宋体" w:cs="宋体"/>
          <w:bCs/>
          <w:sz w:val="24"/>
          <w:szCs w:val="24"/>
        </w:rPr>
        <w:t>本项目发生的</w:t>
      </w:r>
      <w:r>
        <w:rPr>
          <w:rFonts w:hint="eastAsia" w:hAnsi="宋体"/>
          <w:sz w:val="24"/>
          <w:szCs w:val="24"/>
        </w:rPr>
        <w:t>所有费用和利润。</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9"/>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w:t>
      </w:r>
      <w:r>
        <w:rPr>
          <w:rFonts w:hint="eastAsia" w:ascii="宋体" w:hAnsi="宋体" w:cs="宋体"/>
          <w:sz w:val="24"/>
          <w:highlight w:val="none"/>
        </w:rPr>
        <w:t>付款方式为在</w:t>
      </w:r>
      <w:r>
        <w:rPr>
          <w:rFonts w:hint="eastAsia" w:cs="宋体"/>
          <w:sz w:val="24"/>
          <w:highlight w:val="none"/>
          <w:lang w:val="en-US" w:eastAsia="zh-CN"/>
        </w:rPr>
        <w:t>转运处置完成</w:t>
      </w:r>
      <w:bookmarkStart w:id="4" w:name="_GoBack"/>
      <w:bookmarkEnd w:id="4"/>
      <w:r>
        <w:rPr>
          <w:rFonts w:hint="eastAsia" w:ascii="宋体" w:hAnsi="宋体" w:cs="宋体"/>
          <w:sz w:val="24"/>
          <w:highlight w:val="none"/>
        </w:rPr>
        <w:t>后，乙方凭开具的正规增值税发票等材料向甲方办理付款手续，甲方凭手续齐全的票据向乙方支付</w:t>
      </w:r>
      <w:r>
        <w:rPr>
          <w:rFonts w:hint="eastAsia" w:cs="宋体"/>
          <w:sz w:val="24"/>
          <w:highlight w:val="none"/>
          <w:lang w:eastAsia="zh-CN"/>
        </w:rPr>
        <w:t>协议</w:t>
      </w:r>
      <w:r>
        <w:rPr>
          <w:rFonts w:hint="eastAsia" w:ascii="宋体" w:hAnsi="宋体" w:cs="宋体"/>
          <w:sz w:val="24"/>
          <w:highlight w:val="none"/>
        </w:rPr>
        <w:t>价的</w:t>
      </w:r>
      <w:r>
        <w:rPr>
          <w:rFonts w:hint="eastAsia" w:cs="宋体"/>
          <w:sz w:val="24"/>
          <w:highlight w:val="none"/>
          <w:lang w:val="en-US" w:eastAsia="zh-CN"/>
        </w:rPr>
        <w:t>100%</w:t>
      </w:r>
      <w:r>
        <w:rPr>
          <w:rFonts w:hint="eastAsia" w:ascii="宋体" w:hAnsi="宋体" w:cs="宋体"/>
          <w:sz w:val="24"/>
          <w:highlight w:val="none"/>
        </w:rPr>
        <w:t>。（</w:t>
      </w:r>
      <w:r>
        <w:rPr>
          <w:rFonts w:hint="eastAsia" w:ascii="宋体" w:hAnsi="宋体" w:cs="宋体"/>
          <w:b/>
          <w:bCs/>
          <w:sz w:val="24"/>
        </w:rPr>
        <w:t>以上均不计息</w:t>
      </w:r>
      <w:r>
        <w:rPr>
          <w:rFonts w:hint="eastAsia" w:ascii="宋体" w:hAnsi="宋体" w:cs="宋体"/>
          <w:sz w:val="24"/>
        </w:rPr>
        <w:t>）。</w:t>
      </w:r>
    </w:p>
    <w:p>
      <w:pPr>
        <w:pStyle w:val="12"/>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12"/>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、质保期</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cs="宋体"/>
          <w:sz w:val="24"/>
        </w:rPr>
        <w:t>1.商品质保期</w:t>
      </w:r>
      <w:r>
        <w:rPr>
          <w:rFonts w:hint="eastAsia" w:ascii="宋体" w:hAnsi="宋体" w:cs="宋体"/>
          <w:sz w:val="24"/>
          <w:u w:val="single"/>
          <w:lang w:val="en-US" w:eastAsia="zh-CN"/>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rPr>
        <w:t>年，质保期自甲方验收合格之日起计算。</w:t>
      </w:r>
    </w:p>
    <w:p>
      <w:pPr>
        <w:pStyle w:val="12"/>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cs="宋体"/>
          <w:color w:val="000000"/>
          <w:kern w:val="0"/>
          <w:sz w:val="24"/>
        </w:rPr>
      </w:pPr>
      <w:r>
        <w:rPr>
          <w:rFonts w:hint="eastAsia" w:hAnsi="宋体" w:cs="宋体"/>
          <w:color w:val="000000"/>
          <w:kern w:val="0"/>
          <w:sz w:val="24"/>
        </w:rPr>
        <w:t>2.质保期内，</w:t>
      </w:r>
      <w:r>
        <w:rPr>
          <w:rFonts w:hint="eastAsia" w:hAnsi="宋体"/>
          <w:sz w:val="24"/>
          <w:szCs w:val="24"/>
        </w:rPr>
        <w:t>所有维修、更换服务均为上门服务，由此产生的费用乙方自行承担。</w:t>
      </w:r>
      <w:r>
        <w:rPr>
          <w:rFonts w:hint="eastAsia" w:hAnsi="宋体" w:cs="宋体"/>
          <w:color w:val="000000"/>
          <w:kern w:val="0"/>
          <w:sz w:val="24"/>
        </w:rPr>
        <w:t>若同一质量问题经两次维修仍无法修复的，乙方负责包换。</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ascii="宋体" w:hAnsi="宋体"/>
          <w:kern w:val="20"/>
          <w:sz w:val="24"/>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rPr>
        <w:t>交货时间和地点</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color w:val="000000"/>
          <w:kern w:val="0"/>
          <w:sz w:val="24"/>
        </w:rPr>
      </w:pPr>
      <w:r>
        <w:rPr>
          <w:rFonts w:hint="eastAsia" w:ascii="宋体" w:hAnsi="宋体" w:cs="宋体"/>
          <w:color w:val="000000"/>
          <w:kern w:val="0"/>
          <w:sz w:val="24"/>
        </w:rPr>
        <w:t>1.乙方在</w:t>
      </w:r>
      <w:r>
        <w:rPr>
          <w:rFonts w:hint="eastAsia" w:ascii="宋体" w:hAnsi="宋体" w:cs="宋体"/>
          <w:color w:val="000000"/>
          <w:kern w:val="0"/>
          <w:sz w:val="24"/>
          <w:lang w:eastAsia="zh-CN"/>
        </w:rPr>
        <w:t>协议</w:t>
      </w:r>
      <w:r>
        <w:rPr>
          <w:rFonts w:hint="eastAsia" w:ascii="宋体" w:hAnsi="宋体" w:cs="宋体"/>
          <w:color w:val="000000"/>
          <w:kern w:val="0"/>
          <w:sz w:val="24"/>
        </w:rPr>
        <w:t>签订后</w:t>
      </w:r>
      <w:r>
        <w:rPr>
          <w:rFonts w:hint="eastAsia" w:ascii="宋体" w:hAnsi="宋体" w:cs="宋体"/>
          <w:b/>
          <w:kern w:val="0"/>
          <w:sz w:val="24"/>
          <w:highlight w:val="none"/>
          <w:u w:val="single"/>
        </w:rPr>
        <w:t xml:space="preserve"> </w:t>
      </w:r>
      <w:r>
        <w:rPr>
          <w:rFonts w:hint="eastAsia" w:ascii="宋体" w:hAnsi="宋体" w:cs="宋体"/>
          <w:b/>
          <w:kern w:val="0"/>
          <w:sz w:val="24"/>
          <w:highlight w:val="none"/>
          <w:u w:val="single"/>
          <w:lang w:val="en-US" w:eastAsia="zh-CN"/>
        </w:rPr>
        <w:t>10</w:t>
      </w:r>
      <w:r>
        <w:rPr>
          <w:rFonts w:hint="eastAsia" w:ascii="宋体" w:hAnsi="宋体" w:cs="宋体"/>
          <w:b/>
          <w:kern w:val="0"/>
          <w:sz w:val="24"/>
          <w:highlight w:val="none"/>
          <w:u w:val="single"/>
        </w:rPr>
        <w:t xml:space="preserve"> </w:t>
      </w:r>
      <w:r>
        <w:rPr>
          <w:rFonts w:hint="eastAsia" w:ascii="宋体" w:hAnsi="宋体" w:cs="宋体"/>
          <w:b w:val="0"/>
          <w:bCs/>
          <w:kern w:val="0"/>
          <w:sz w:val="24"/>
          <w:highlight w:val="none"/>
          <w:u w:val="none"/>
          <w:lang w:val="en-US" w:eastAsia="zh-CN"/>
        </w:rPr>
        <w:t>日历</w:t>
      </w:r>
      <w:r>
        <w:rPr>
          <w:rFonts w:hint="eastAsia" w:ascii="宋体" w:hAnsi="宋体" w:cs="宋体"/>
          <w:color w:val="000000"/>
          <w:kern w:val="0"/>
          <w:sz w:val="24"/>
        </w:rPr>
        <w:t>天内，按照</w:t>
      </w:r>
      <w:r>
        <w:rPr>
          <w:rFonts w:hint="eastAsia" w:ascii="宋体" w:hAnsi="宋体" w:cs="宋体"/>
          <w:color w:val="000000"/>
          <w:kern w:val="0"/>
          <w:sz w:val="24"/>
          <w:lang w:eastAsia="zh-CN"/>
        </w:rPr>
        <w:t>协议</w:t>
      </w:r>
      <w:r>
        <w:rPr>
          <w:rFonts w:hint="eastAsia" w:ascii="宋体" w:hAnsi="宋体" w:cs="宋体"/>
          <w:color w:val="000000"/>
          <w:kern w:val="0"/>
          <w:sz w:val="24"/>
        </w:rPr>
        <w:t>约定</w:t>
      </w:r>
      <w:r>
        <w:rPr>
          <w:rFonts w:hint="eastAsia" w:ascii="宋体" w:hAnsi="宋体" w:cs="宋体"/>
          <w:color w:val="000000"/>
          <w:kern w:val="0"/>
          <w:sz w:val="24"/>
          <w:lang w:val="en-US" w:eastAsia="zh-CN"/>
        </w:rPr>
        <w:t>到</w:t>
      </w:r>
      <w:r>
        <w:rPr>
          <w:rFonts w:hint="eastAsia" w:ascii="宋体" w:hAnsi="宋体" w:cs="宋体"/>
          <w:b/>
          <w:bCs/>
          <w:color w:val="000000"/>
          <w:kern w:val="0"/>
          <w:sz w:val="24"/>
          <w:u w:val="single"/>
        </w:rPr>
        <w:t>扬州大学附属医院</w:t>
      </w:r>
      <w:r>
        <w:rPr>
          <w:rFonts w:hint="eastAsia" w:ascii="宋体" w:hAnsi="宋体" w:cs="宋体"/>
          <w:b/>
          <w:bCs/>
          <w:color w:val="000000"/>
          <w:kern w:val="0"/>
          <w:sz w:val="24"/>
          <w:u w:val="single"/>
          <w:lang w:eastAsia="zh-CN"/>
        </w:rPr>
        <w:t>，</w:t>
      </w:r>
      <w:r>
        <w:rPr>
          <w:rFonts w:hint="eastAsia" w:ascii="宋体" w:hAnsi="宋体" w:cs="宋体"/>
          <w:b/>
          <w:bCs/>
          <w:color w:val="000000"/>
          <w:kern w:val="0"/>
          <w:sz w:val="24"/>
          <w:u w:val="single"/>
        </w:rPr>
        <w:t>甲方指定地点</w:t>
      </w:r>
      <w:r>
        <w:rPr>
          <w:rFonts w:hint="eastAsia" w:ascii="宋体" w:hAnsi="宋体" w:cs="宋体"/>
          <w:color w:val="000000"/>
          <w:kern w:val="0"/>
          <w:sz w:val="24"/>
        </w:rPr>
        <w:t>，</w:t>
      </w:r>
      <w:r>
        <w:rPr>
          <w:rFonts w:hint="eastAsia" w:ascii="宋体" w:hAnsi="宋体" w:cs="宋体"/>
          <w:color w:val="000000"/>
          <w:kern w:val="0"/>
          <w:sz w:val="24"/>
          <w:lang w:val="en-US" w:eastAsia="zh-CN"/>
        </w:rPr>
        <w:t>完成</w:t>
      </w:r>
      <w:r>
        <w:rPr>
          <w:rFonts w:hint="eastAsia" w:ascii="宋体" w:hAnsi="宋体" w:cs="宋体"/>
          <w:color w:val="000000"/>
          <w:kern w:val="0"/>
          <w:sz w:val="24"/>
        </w:rPr>
        <w:t>东西区危废处置。</w:t>
      </w:r>
    </w:p>
    <w:p>
      <w:pPr>
        <w:pStyle w:val="11"/>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rPr>
      </w:pPr>
      <w:r>
        <w:rPr>
          <w:rFonts w:hint="eastAsia" w:ascii="宋体" w:hAnsi="宋体"/>
          <w:sz w:val="24"/>
        </w:rPr>
        <w:t>2.</w:t>
      </w:r>
      <w:r>
        <w:rPr>
          <w:rFonts w:hint="eastAsia" w:ascii="宋体" w:hAnsi="宋体" w:cs="宋体"/>
          <w:color w:val="000000"/>
          <w:kern w:val="0"/>
          <w:sz w:val="24"/>
        </w:rPr>
        <w:t>在所供商品交付使用时，乙方必须向甲方提供产品说明书、质量保证书、保修卡等必须具备的相关资料和必备的附件。</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的，自逾期之日起，向甲方每日偿付</w:t>
      </w:r>
      <w:r>
        <w:rPr>
          <w:rFonts w:hint="eastAsia" w:ascii="宋体" w:hAnsi="宋体" w:cs="宋体"/>
          <w:color w:val="000000"/>
          <w:kern w:val="0"/>
          <w:sz w:val="24"/>
          <w:lang w:eastAsia="zh-CN"/>
        </w:rPr>
        <w:t>协议</w:t>
      </w:r>
      <w:r>
        <w:rPr>
          <w:rFonts w:hint="eastAsia" w:ascii="宋体" w:hAnsi="宋体" w:cs="宋体"/>
          <w:color w:val="000000"/>
          <w:kern w:val="0"/>
          <w:sz w:val="24"/>
        </w:rPr>
        <w:t>总价万分之二的违约金；乙方逾期三十日不能交货的，应向甲方支付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总价百分之五的违约金； 乙方逾期六十日不能交货的，应向甲方支付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总价百分之二十的违约金，同时不解除</w:t>
      </w:r>
      <w:r>
        <w:rPr>
          <w:rFonts w:hint="eastAsia" w:ascii="宋体" w:hAnsi="宋体" w:cs="宋体"/>
          <w:color w:val="000000"/>
          <w:kern w:val="0"/>
          <w:sz w:val="24"/>
          <w:lang w:eastAsia="zh-CN"/>
        </w:rPr>
        <w:t>协议</w:t>
      </w:r>
      <w:r>
        <w:rPr>
          <w:rFonts w:hint="eastAsia" w:ascii="宋体" w:hAnsi="宋体" w:cs="宋体"/>
          <w:color w:val="000000"/>
          <w:kern w:val="0"/>
          <w:sz w:val="24"/>
        </w:rPr>
        <w:t>交货责任。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lang w:val="en-US" w:eastAsia="zh-CN"/>
        </w:rPr>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kern w:val="20"/>
          <w:sz w:val="24"/>
        </w:rPr>
      </w:pPr>
      <w:r>
        <w:rPr>
          <w:rFonts w:hint="eastAsia" w:ascii="宋体" w:hAnsi="宋体"/>
          <w:kern w:val="20"/>
          <w:sz w:val="24"/>
        </w:rPr>
        <w:t>日    期：</w:t>
      </w:r>
      <w:r>
        <w:rPr>
          <w:rFonts w:hint="eastAsia" w:ascii="宋体" w:hAnsi="宋体"/>
          <w:kern w:val="20"/>
          <w:sz w:val="24"/>
          <w:lang w:val="en-US" w:eastAsia="zh-CN"/>
        </w:rPr>
        <w:t>2023</w:t>
      </w:r>
      <w:r>
        <w:rPr>
          <w:rFonts w:hint="eastAsia" w:ascii="宋体" w:hAnsi="宋体"/>
          <w:kern w:val="20"/>
          <w:sz w:val="24"/>
        </w:rPr>
        <w:t xml:space="preserve"> 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2023</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adjustRightInd w:val="0"/>
        <w:spacing w:line="440" w:lineRule="exact"/>
        <w:contextualSpacing/>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11"/>
      <w:lvlText w:val=""/>
      <w:lvlJc w:val="left"/>
      <w:pPr>
        <w:tabs>
          <w:tab w:val="left" w:pos="780"/>
        </w:tabs>
        <w:ind w:left="780" w:leftChars="200" w:hanging="360" w:hangingChars="200"/>
      </w:pPr>
      <w:rPr>
        <w:rFonts w:hint="default" w:ascii="Wingdings" w:hAnsi="Wingdings"/>
      </w:rPr>
    </w:lvl>
  </w:abstractNum>
  <w:abstractNum w:abstractNumId="1">
    <w:nsid w:val="003CDA3B"/>
    <w:multiLevelType w:val="singleLevel"/>
    <w:tmpl w:val="003CDA3B"/>
    <w:lvl w:ilvl="0" w:tentative="0">
      <w:start w:val="3"/>
      <w:numFmt w:val="decimal"/>
      <w:suff w:val="nothing"/>
      <w:lvlText w:val="%1、"/>
      <w:lvlJc w:val="left"/>
    </w:lvl>
  </w:abstractNum>
  <w:abstractNum w:abstractNumId="2">
    <w:nsid w:val="4AC41B83"/>
    <w:multiLevelType w:val="singleLevel"/>
    <w:tmpl w:val="4AC41B83"/>
    <w:lvl w:ilvl="0" w:tentative="0">
      <w:start w:val="2"/>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47D7"/>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13FD"/>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1777804"/>
    <w:rsid w:val="018D678E"/>
    <w:rsid w:val="02A1423A"/>
    <w:rsid w:val="034D4BC8"/>
    <w:rsid w:val="0473288B"/>
    <w:rsid w:val="048E6049"/>
    <w:rsid w:val="04E61983"/>
    <w:rsid w:val="04F93EF7"/>
    <w:rsid w:val="053E3F8C"/>
    <w:rsid w:val="05EB5497"/>
    <w:rsid w:val="06835001"/>
    <w:rsid w:val="07CD3AA2"/>
    <w:rsid w:val="08AA0DBA"/>
    <w:rsid w:val="0907213E"/>
    <w:rsid w:val="0BE47D69"/>
    <w:rsid w:val="0C067990"/>
    <w:rsid w:val="0C4A2728"/>
    <w:rsid w:val="0C704CF9"/>
    <w:rsid w:val="0CF140C8"/>
    <w:rsid w:val="0D095E3B"/>
    <w:rsid w:val="0D2E16CF"/>
    <w:rsid w:val="0D4515B4"/>
    <w:rsid w:val="0E126F52"/>
    <w:rsid w:val="0E2A13BF"/>
    <w:rsid w:val="0E4511FA"/>
    <w:rsid w:val="0E6E33A6"/>
    <w:rsid w:val="0EE42777"/>
    <w:rsid w:val="0F825E34"/>
    <w:rsid w:val="110961DE"/>
    <w:rsid w:val="11202626"/>
    <w:rsid w:val="12860106"/>
    <w:rsid w:val="135B04E9"/>
    <w:rsid w:val="135E7630"/>
    <w:rsid w:val="14574206"/>
    <w:rsid w:val="14A043CE"/>
    <w:rsid w:val="14CA0422"/>
    <w:rsid w:val="151678B8"/>
    <w:rsid w:val="15D76399"/>
    <w:rsid w:val="15F35842"/>
    <w:rsid w:val="171674CF"/>
    <w:rsid w:val="172469D5"/>
    <w:rsid w:val="17407202"/>
    <w:rsid w:val="17754BB0"/>
    <w:rsid w:val="186D5CBC"/>
    <w:rsid w:val="19826916"/>
    <w:rsid w:val="19D36840"/>
    <w:rsid w:val="1A965BFC"/>
    <w:rsid w:val="1B0E6D6D"/>
    <w:rsid w:val="1C94789B"/>
    <w:rsid w:val="1D762024"/>
    <w:rsid w:val="1E1B2D66"/>
    <w:rsid w:val="1E525F06"/>
    <w:rsid w:val="1EAC0AAC"/>
    <w:rsid w:val="1F104C9D"/>
    <w:rsid w:val="1FC16608"/>
    <w:rsid w:val="1FF236E2"/>
    <w:rsid w:val="20205E2E"/>
    <w:rsid w:val="205648A9"/>
    <w:rsid w:val="20C24ED6"/>
    <w:rsid w:val="214011F7"/>
    <w:rsid w:val="21BE515F"/>
    <w:rsid w:val="21C93434"/>
    <w:rsid w:val="22A022B9"/>
    <w:rsid w:val="22EC14F1"/>
    <w:rsid w:val="23735059"/>
    <w:rsid w:val="23E9338C"/>
    <w:rsid w:val="2466755A"/>
    <w:rsid w:val="24782FEE"/>
    <w:rsid w:val="24E27B0B"/>
    <w:rsid w:val="251C01F0"/>
    <w:rsid w:val="270244AF"/>
    <w:rsid w:val="279829B9"/>
    <w:rsid w:val="28795CAE"/>
    <w:rsid w:val="28CF6D5C"/>
    <w:rsid w:val="28D728FE"/>
    <w:rsid w:val="290E1224"/>
    <w:rsid w:val="292206E7"/>
    <w:rsid w:val="298A42A2"/>
    <w:rsid w:val="2A6C65F7"/>
    <w:rsid w:val="2AA6133D"/>
    <w:rsid w:val="2BCB5B07"/>
    <w:rsid w:val="2E026BA2"/>
    <w:rsid w:val="2E0A00DD"/>
    <w:rsid w:val="2E237847"/>
    <w:rsid w:val="2EE7735A"/>
    <w:rsid w:val="2F716810"/>
    <w:rsid w:val="2F877A0A"/>
    <w:rsid w:val="304A7173"/>
    <w:rsid w:val="30D304E7"/>
    <w:rsid w:val="30DF7E8F"/>
    <w:rsid w:val="310442A6"/>
    <w:rsid w:val="312D648E"/>
    <w:rsid w:val="318E7998"/>
    <w:rsid w:val="31FF36A9"/>
    <w:rsid w:val="32542738"/>
    <w:rsid w:val="337C4795"/>
    <w:rsid w:val="33936D46"/>
    <w:rsid w:val="349B0B50"/>
    <w:rsid w:val="354C2853"/>
    <w:rsid w:val="35CA1979"/>
    <w:rsid w:val="35D6255E"/>
    <w:rsid w:val="375A406B"/>
    <w:rsid w:val="37CB42F0"/>
    <w:rsid w:val="395873E0"/>
    <w:rsid w:val="398427FF"/>
    <w:rsid w:val="3B6B7997"/>
    <w:rsid w:val="3C7E55A0"/>
    <w:rsid w:val="3C7E7E4D"/>
    <w:rsid w:val="3C8D3C65"/>
    <w:rsid w:val="3D920AB3"/>
    <w:rsid w:val="3E4F54B3"/>
    <w:rsid w:val="3EA006FD"/>
    <w:rsid w:val="4060216F"/>
    <w:rsid w:val="406A6438"/>
    <w:rsid w:val="4093055E"/>
    <w:rsid w:val="40C726B4"/>
    <w:rsid w:val="424B0DFC"/>
    <w:rsid w:val="43487107"/>
    <w:rsid w:val="43F56786"/>
    <w:rsid w:val="4417638D"/>
    <w:rsid w:val="45977351"/>
    <w:rsid w:val="45F42EB8"/>
    <w:rsid w:val="45F855C9"/>
    <w:rsid w:val="46056344"/>
    <w:rsid w:val="467B4C8A"/>
    <w:rsid w:val="4689608C"/>
    <w:rsid w:val="47CE0BEB"/>
    <w:rsid w:val="47DD46E6"/>
    <w:rsid w:val="48B5696C"/>
    <w:rsid w:val="48E944EF"/>
    <w:rsid w:val="49AC543C"/>
    <w:rsid w:val="4ACD2A51"/>
    <w:rsid w:val="4B4053E3"/>
    <w:rsid w:val="4B8D08A2"/>
    <w:rsid w:val="4BD6274F"/>
    <w:rsid w:val="4C2279B2"/>
    <w:rsid w:val="4C4135B6"/>
    <w:rsid w:val="4C472E7D"/>
    <w:rsid w:val="4C58772E"/>
    <w:rsid w:val="4CA51296"/>
    <w:rsid w:val="4CB85CB5"/>
    <w:rsid w:val="4D1C5AA0"/>
    <w:rsid w:val="4E295D4C"/>
    <w:rsid w:val="4E842C0D"/>
    <w:rsid w:val="4F4C7986"/>
    <w:rsid w:val="4F717F10"/>
    <w:rsid w:val="4FD12A58"/>
    <w:rsid w:val="501519DD"/>
    <w:rsid w:val="507C6263"/>
    <w:rsid w:val="508A0E56"/>
    <w:rsid w:val="510328E8"/>
    <w:rsid w:val="510F701A"/>
    <w:rsid w:val="51673008"/>
    <w:rsid w:val="5199638E"/>
    <w:rsid w:val="51BD509B"/>
    <w:rsid w:val="52126F84"/>
    <w:rsid w:val="537760B9"/>
    <w:rsid w:val="54422408"/>
    <w:rsid w:val="54AC3518"/>
    <w:rsid w:val="54C65CDC"/>
    <w:rsid w:val="560560AD"/>
    <w:rsid w:val="56410E61"/>
    <w:rsid w:val="56881779"/>
    <w:rsid w:val="56EE7C77"/>
    <w:rsid w:val="57DA3AB3"/>
    <w:rsid w:val="58A415C5"/>
    <w:rsid w:val="590F082F"/>
    <w:rsid w:val="59104CF0"/>
    <w:rsid w:val="591C0A3A"/>
    <w:rsid w:val="5AA53F71"/>
    <w:rsid w:val="5AAE4B55"/>
    <w:rsid w:val="5B063544"/>
    <w:rsid w:val="5B3A3011"/>
    <w:rsid w:val="5B492BD6"/>
    <w:rsid w:val="5BD053AF"/>
    <w:rsid w:val="5BE11FCF"/>
    <w:rsid w:val="5C3E22E0"/>
    <w:rsid w:val="5C63055C"/>
    <w:rsid w:val="5C936A98"/>
    <w:rsid w:val="5C9D5DDF"/>
    <w:rsid w:val="5CA1516C"/>
    <w:rsid w:val="5CA23409"/>
    <w:rsid w:val="5CDB0A62"/>
    <w:rsid w:val="5D9E4640"/>
    <w:rsid w:val="5E584ED9"/>
    <w:rsid w:val="5F1D0DE7"/>
    <w:rsid w:val="600E4C27"/>
    <w:rsid w:val="60186A28"/>
    <w:rsid w:val="60446E43"/>
    <w:rsid w:val="60DB4EA5"/>
    <w:rsid w:val="612E05C2"/>
    <w:rsid w:val="616C3D5B"/>
    <w:rsid w:val="61806483"/>
    <w:rsid w:val="619072D4"/>
    <w:rsid w:val="61F801D2"/>
    <w:rsid w:val="62682BAD"/>
    <w:rsid w:val="626E3CB0"/>
    <w:rsid w:val="632E169A"/>
    <w:rsid w:val="63473929"/>
    <w:rsid w:val="63AA1A78"/>
    <w:rsid w:val="64D65B4F"/>
    <w:rsid w:val="65F2258C"/>
    <w:rsid w:val="66014BD8"/>
    <w:rsid w:val="662F3C10"/>
    <w:rsid w:val="66A07C1E"/>
    <w:rsid w:val="66AF19DA"/>
    <w:rsid w:val="6710513C"/>
    <w:rsid w:val="673E62A6"/>
    <w:rsid w:val="675A5AE8"/>
    <w:rsid w:val="677A6507"/>
    <w:rsid w:val="678D2F92"/>
    <w:rsid w:val="687B1D33"/>
    <w:rsid w:val="6D633984"/>
    <w:rsid w:val="6D6C156B"/>
    <w:rsid w:val="6DF60098"/>
    <w:rsid w:val="6E1F0C2D"/>
    <w:rsid w:val="6E7D7BD0"/>
    <w:rsid w:val="6F882E18"/>
    <w:rsid w:val="708C2B36"/>
    <w:rsid w:val="70952B65"/>
    <w:rsid w:val="70A153BD"/>
    <w:rsid w:val="70C57A02"/>
    <w:rsid w:val="70DB38A7"/>
    <w:rsid w:val="70FE780D"/>
    <w:rsid w:val="71D1780D"/>
    <w:rsid w:val="71DC1AE4"/>
    <w:rsid w:val="72217603"/>
    <w:rsid w:val="72487296"/>
    <w:rsid w:val="7282207E"/>
    <w:rsid w:val="74226CB9"/>
    <w:rsid w:val="745D7ED4"/>
    <w:rsid w:val="75006B73"/>
    <w:rsid w:val="750721CD"/>
    <w:rsid w:val="75126C7B"/>
    <w:rsid w:val="764E69E8"/>
    <w:rsid w:val="7787662E"/>
    <w:rsid w:val="77BD4B49"/>
    <w:rsid w:val="77E52AD7"/>
    <w:rsid w:val="77F20BEE"/>
    <w:rsid w:val="78C91F50"/>
    <w:rsid w:val="79AC4BB9"/>
    <w:rsid w:val="79CC0928"/>
    <w:rsid w:val="79F001B3"/>
    <w:rsid w:val="7ABB1C53"/>
    <w:rsid w:val="7BF34C08"/>
    <w:rsid w:val="7C6460D0"/>
    <w:rsid w:val="7CDD764F"/>
    <w:rsid w:val="7DA22318"/>
    <w:rsid w:val="7E4401E2"/>
    <w:rsid w:val="7EC41BCC"/>
    <w:rsid w:val="7ECF0FC0"/>
    <w:rsid w:val="7F1657DF"/>
    <w:rsid w:val="7F743153"/>
    <w:rsid w:val="7F944C3C"/>
    <w:rsid w:val="7F9A0471"/>
    <w:rsid w:val="7FA463BF"/>
    <w:rsid w:val="7FB207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36"/>
    <w:unhideWhenUsed/>
    <w:qFormat/>
    <w:uiPriority w:val="0"/>
    <w:pPr>
      <w:ind w:firstLine="420" w:firstLineChars="200"/>
    </w:pPr>
  </w:style>
  <w:style w:type="paragraph" w:styleId="3">
    <w:name w:val="table of authorities"/>
    <w:basedOn w:val="1"/>
    <w:next w:val="1"/>
    <w:qFormat/>
    <w:uiPriority w:val="0"/>
    <w:pPr>
      <w:ind w:left="420" w:leftChars="200"/>
    </w:pPr>
  </w:style>
  <w:style w:type="paragraph" w:styleId="4">
    <w:name w:val="annotation text"/>
    <w:basedOn w:val="1"/>
    <w:semiHidden/>
    <w:unhideWhenUsed/>
    <w:qFormat/>
    <w:uiPriority w:val="99"/>
    <w:pPr>
      <w:jc w:val="left"/>
    </w:pPr>
  </w:style>
  <w:style w:type="paragraph" w:styleId="5">
    <w:name w:val="Body Text 3"/>
    <w:basedOn w:val="1"/>
    <w:next w:val="1"/>
    <w:qFormat/>
    <w:uiPriority w:val="0"/>
    <w:pPr>
      <w:spacing w:after="120" w:afterLines="0"/>
    </w:pPr>
    <w:rPr>
      <w:sz w:val="16"/>
      <w:szCs w:val="16"/>
    </w:rPr>
  </w:style>
  <w:style w:type="paragraph" w:styleId="6">
    <w:name w:val="Body Text"/>
    <w:basedOn w:val="1"/>
    <w:next w:val="7"/>
    <w:qFormat/>
    <w:uiPriority w:val="99"/>
    <w:rPr>
      <w:rFonts w:ascii="楷体_GB2312" w:hAnsi="Arial" w:eastAsia="楷体_GB2312"/>
      <w:kern w:val="0"/>
      <w:sz w:val="28"/>
      <w:szCs w:val="28"/>
    </w:rPr>
  </w:style>
  <w:style w:type="paragraph" w:customStyle="1" w:styleId="7">
    <w:name w:val="一级条标题"/>
    <w:basedOn w:val="8"/>
    <w:next w:val="9"/>
    <w:qFormat/>
    <w:uiPriority w:val="0"/>
    <w:pPr>
      <w:spacing w:line="240" w:lineRule="auto"/>
      <w:ind w:left="420"/>
      <w:outlineLvl w:val="2"/>
    </w:pPr>
  </w:style>
  <w:style w:type="paragraph" w:customStyle="1" w:styleId="8">
    <w:name w:val="章标题"/>
    <w:next w:val="1"/>
    <w:qFormat/>
    <w:uiPriority w:val="0"/>
    <w:pPr>
      <w:spacing w:line="360" w:lineRule="auto"/>
      <w:jc w:val="both"/>
      <w:outlineLvl w:val="1"/>
    </w:pPr>
    <w:rPr>
      <w:rFonts w:ascii="黑体" w:hAnsi="Times New Roman" w:eastAsia="黑体" w:cs="黑体"/>
      <w:sz w:val="21"/>
      <w:szCs w:val="21"/>
      <w:lang w:val="en-US" w:eastAsia="zh-CN" w:bidi="ar-SA"/>
    </w:rPr>
  </w:style>
  <w:style w:type="paragraph" w:customStyle="1" w:styleId="9">
    <w:name w:val="段"/>
    <w:next w:val="1"/>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styleId="10">
    <w:name w:val="Body Text Indent"/>
    <w:basedOn w:val="1"/>
    <w:next w:val="6"/>
    <w:qFormat/>
    <w:uiPriority w:val="0"/>
    <w:pPr>
      <w:ind w:firstLine="576"/>
    </w:pPr>
    <w:rPr>
      <w:b/>
      <w:sz w:val="30"/>
    </w:rPr>
  </w:style>
  <w:style w:type="paragraph" w:styleId="11">
    <w:name w:val="List Bullet 2"/>
    <w:basedOn w:val="1"/>
    <w:unhideWhenUsed/>
    <w:qFormat/>
    <w:uiPriority w:val="0"/>
    <w:pPr>
      <w:numPr>
        <w:ilvl w:val="0"/>
        <w:numId w:val="1"/>
      </w:numPr>
      <w:contextualSpacing/>
    </w:pPr>
    <w:rPr>
      <w:rFonts w:ascii="Calibri" w:hAnsi="Calibri"/>
    </w:rPr>
  </w:style>
  <w:style w:type="paragraph" w:styleId="12">
    <w:name w:val="Plain Text"/>
    <w:basedOn w:val="1"/>
    <w:link w:val="31"/>
    <w:qFormat/>
    <w:uiPriority w:val="99"/>
    <w:rPr>
      <w:rFonts w:ascii="宋体" w:hAnsi="Courier New"/>
      <w:szCs w:val="20"/>
    </w:rPr>
  </w:style>
  <w:style w:type="paragraph" w:styleId="13">
    <w:name w:val="Balloon Text"/>
    <w:basedOn w:val="1"/>
    <w:link w:val="30"/>
    <w:semiHidden/>
    <w:unhideWhenUsed/>
    <w:qFormat/>
    <w:uiPriority w:val="99"/>
    <w:rPr>
      <w:sz w:val="18"/>
      <w:szCs w:val="18"/>
    </w:rPr>
  </w:style>
  <w:style w:type="paragraph" w:styleId="14">
    <w:name w:val="footer"/>
    <w:basedOn w:val="1"/>
    <w:link w:val="29"/>
    <w:unhideWhenUsed/>
    <w:qFormat/>
    <w:uiPriority w:val="99"/>
    <w:pPr>
      <w:tabs>
        <w:tab w:val="center" w:pos="4153"/>
        <w:tab w:val="right" w:pos="8306"/>
      </w:tabs>
      <w:snapToGrid w:val="0"/>
      <w:jc w:val="left"/>
    </w:pPr>
    <w:rPr>
      <w:sz w:val="18"/>
      <w:szCs w:val="18"/>
    </w:rPr>
  </w:style>
  <w:style w:type="paragraph" w:styleId="15">
    <w:name w:val="envelope return"/>
    <w:basedOn w:val="1"/>
    <w:unhideWhenUsed/>
    <w:qFormat/>
    <w:uiPriority w:val="99"/>
    <w:pPr>
      <w:snapToGrid w:val="0"/>
    </w:pPr>
    <w:rPr>
      <w:rFonts w:ascii="Cambria" w:hAnsi="Cambria" w:eastAsia="宋体" w:cs="Times New Roman"/>
    </w:rPr>
  </w:style>
  <w:style w:type="paragraph" w:styleId="16">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Subtitle"/>
    <w:basedOn w:val="1"/>
    <w:next w:val="1"/>
    <w:link w:val="33"/>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8">
    <w:name w:val="Body Text 2"/>
    <w:basedOn w:val="1"/>
    <w:qFormat/>
    <w:uiPriority w:val="0"/>
    <w:pPr>
      <w:spacing w:after="120" w:line="480" w:lineRule="auto"/>
    </w:pPr>
  </w:style>
  <w:style w:type="paragraph" w:styleId="1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0">
    <w:name w:val="Body Text First Indent 2"/>
    <w:basedOn w:val="10"/>
    <w:next w:val="2"/>
    <w:qFormat/>
    <w:uiPriority w:val="0"/>
    <w:pPr>
      <w:ind w:firstLine="420"/>
    </w:p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FollowedHyperlink"/>
    <w:basedOn w:val="23"/>
    <w:semiHidden/>
    <w:unhideWhenUsed/>
    <w:qFormat/>
    <w:uiPriority w:val="99"/>
    <w:rPr>
      <w:color w:val="222222"/>
      <w:u w:val="none"/>
    </w:rPr>
  </w:style>
  <w:style w:type="character" w:styleId="25">
    <w:name w:val="Hyperlink"/>
    <w:basedOn w:val="23"/>
    <w:unhideWhenUsed/>
    <w:qFormat/>
    <w:uiPriority w:val="99"/>
    <w:rPr>
      <w:color w:val="0000FF" w:themeColor="hyperlink"/>
      <w:u w:val="single"/>
    </w:rPr>
  </w:style>
  <w:style w:type="paragraph" w:customStyle="1" w:styleId="26">
    <w:name w:val="正文（缩进）"/>
    <w:basedOn w:val="1"/>
    <w:qFormat/>
    <w:uiPriority w:val="0"/>
    <w:pPr>
      <w:ind w:firstLine="480" w:firstLineChars="200"/>
    </w:pPr>
  </w:style>
  <w:style w:type="paragraph" w:customStyle="1" w:styleId="27">
    <w:name w:val="Normal_0"/>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8">
    <w:name w:val="页眉 Char"/>
    <w:basedOn w:val="23"/>
    <w:link w:val="16"/>
    <w:semiHidden/>
    <w:qFormat/>
    <w:uiPriority w:val="99"/>
    <w:rPr>
      <w:rFonts w:eastAsia="宋体"/>
      <w:kern w:val="2"/>
      <w:sz w:val="18"/>
      <w:szCs w:val="18"/>
    </w:rPr>
  </w:style>
  <w:style w:type="character" w:customStyle="1" w:styleId="29">
    <w:name w:val="页脚 Char"/>
    <w:basedOn w:val="23"/>
    <w:link w:val="14"/>
    <w:semiHidden/>
    <w:qFormat/>
    <w:uiPriority w:val="99"/>
    <w:rPr>
      <w:rFonts w:eastAsia="宋体"/>
      <w:kern w:val="2"/>
      <w:sz w:val="18"/>
      <w:szCs w:val="18"/>
    </w:rPr>
  </w:style>
  <w:style w:type="character" w:customStyle="1" w:styleId="30">
    <w:name w:val="批注框文本 Char"/>
    <w:basedOn w:val="23"/>
    <w:link w:val="13"/>
    <w:semiHidden/>
    <w:qFormat/>
    <w:uiPriority w:val="99"/>
    <w:rPr>
      <w:rFonts w:eastAsia="宋体"/>
      <w:kern w:val="2"/>
      <w:sz w:val="18"/>
      <w:szCs w:val="18"/>
    </w:rPr>
  </w:style>
  <w:style w:type="character" w:customStyle="1" w:styleId="31">
    <w:name w:val="纯文本 Char"/>
    <w:basedOn w:val="23"/>
    <w:link w:val="12"/>
    <w:qFormat/>
    <w:uiPriority w:val="99"/>
    <w:rPr>
      <w:rFonts w:ascii="宋体" w:hAnsi="Courier New" w:eastAsia="宋体"/>
      <w:kern w:val="2"/>
      <w:sz w:val="21"/>
    </w:rPr>
  </w:style>
  <w:style w:type="character" w:customStyle="1" w:styleId="32">
    <w:name w:val="副标题 Char"/>
    <w:qFormat/>
    <w:uiPriority w:val="0"/>
    <w:rPr>
      <w:rFonts w:ascii="Cambria" w:hAnsi="Cambria"/>
      <w:b/>
      <w:bCs/>
      <w:kern w:val="28"/>
      <w:sz w:val="32"/>
      <w:szCs w:val="32"/>
    </w:rPr>
  </w:style>
  <w:style w:type="character" w:customStyle="1" w:styleId="33">
    <w:name w:val="副标题 Char1"/>
    <w:basedOn w:val="23"/>
    <w:link w:val="17"/>
    <w:qFormat/>
    <w:uiPriority w:val="0"/>
    <w:rPr>
      <w:rFonts w:eastAsia="宋体" w:asciiTheme="majorHAnsi" w:hAnsiTheme="majorHAnsi" w:cstheme="majorBidi"/>
      <w:b/>
      <w:bCs/>
      <w:kern w:val="28"/>
      <w:sz w:val="32"/>
      <w:szCs w:val="32"/>
    </w:rPr>
  </w:style>
  <w:style w:type="paragraph" w:styleId="34">
    <w:name w:val="List Paragraph"/>
    <w:basedOn w:val="1"/>
    <w:unhideWhenUsed/>
    <w:qFormat/>
    <w:uiPriority w:val="99"/>
    <w:pPr>
      <w:ind w:firstLine="420" w:firstLineChars="200"/>
    </w:pPr>
  </w:style>
  <w:style w:type="paragraph" w:customStyle="1" w:styleId="35">
    <w:name w:val="普通文字"/>
    <w:basedOn w:val="1"/>
    <w:next w:val="1"/>
    <w:qFormat/>
    <w:uiPriority w:val="0"/>
    <w:rPr>
      <w:rFonts w:ascii="宋体"/>
      <w:kern w:val="0"/>
      <w:sz w:val="24"/>
      <w:u w:color="000000"/>
    </w:rPr>
  </w:style>
  <w:style w:type="character" w:customStyle="1" w:styleId="36">
    <w:name w:val="正文缩进 Char"/>
    <w:link w:val="2"/>
    <w:qFormat/>
    <w:uiPriority w:val="0"/>
    <w:rPr>
      <w:kern w:val="2"/>
      <w:sz w:val="21"/>
      <w:szCs w:val="24"/>
    </w:rPr>
  </w:style>
  <w:style w:type="character" w:customStyle="1" w:styleId="37">
    <w:name w:val="NormalCharacter"/>
    <w:qFormat/>
    <w:uiPriority w:val="0"/>
  </w:style>
  <w:style w:type="character" w:customStyle="1" w:styleId="38">
    <w:name w:val="font11"/>
    <w:basedOn w:val="23"/>
    <w:qFormat/>
    <w:uiPriority w:val="0"/>
    <w:rPr>
      <w:rFonts w:hint="eastAsia" w:ascii="宋体" w:hAnsi="宋体" w:eastAsia="宋体" w:cs="宋体"/>
      <w:b/>
      <w:bCs/>
      <w:color w:val="000000"/>
      <w:sz w:val="22"/>
      <w:szCs w:val="22"/>
      <w:u w:val="none"/>
    </w:rPr>
  </w:style>
  <w:style w:type="character" w:customStyle="1" w:styleId="39">
    <w:name w:val="font71"/>
    <w:basedOn w:val="23"/>
    <w:qFormat/>
    <w:uiPriority w:val="0"/>
    <w:rPr>
      <w:rFonts w:hint="eastAsia" w:ascii="宋体" w:hAnsi="宋体" w:eastAsia="宋体" w:cs="宋体"/>
      <w:b/>
      <w:bCs/>
      <w:color w:val="000000"/>
      <w:sz w:val="22"/>
      <w:szCs w:val="22"/>
      <w:u w:val="none"/>
    </w:rPr>
  </w:style>
  <w:style w:type="paragraph" w:customStyle="1" w:styleId="40">
    <w:name w:val="CM20"/>
    <w:basedOn w:val="41"/>
    <w:next w:val="41"/>
    <w:qFormat/>
    <w:uiPriority w:val="0"/>
    <w:pPr>
      <w:spacing w:line="411" w:lineRule="atLeast"/>
    </w:pPr>
    <w:rPr>
      <w:rFonts w:cs="Times New Roman"/>
      <w:color w:val="auto"/>
    </w:rPr>
  </w:style>
  <w:style w:type="paragraph" w:customStyle="1" w:styleId="4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2">
    <w:name w:val="font21"/>
    <w:basedOn w:val="2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17</Pages>
  <Words>5155</Words>
  <Characters>5555</Characters>
  <Lines>70</Lines>
  <Paragraphs>19</Paragraphs>
  <TotalTime>5</TotalTime>
  <ScaleCrop>false</ScaleCrop>
  <LinksUpToDate>false</LinksUpToDate>
  <CharactersWithSpaces>6206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2023-11-07T06:34:11Z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A1DAC28A50F347B68D0C2A2E30B9C7D5</vt:lpwstr>
  </property>
</Properties>
</file>