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1462" w:type="dxa"/>
            <w:vMerge w:val="restart"/>
            <w:noWrap w:val="0"/>
            <w:vAlign w:val="center"/>
          </w:tcPr>
          <w:p>
            <w:pPr>
              <w:widowControl/>
              <w:spacing w:line="300" w:lineRule="auto"/>
              <w:ind w:right="4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评价内容</w:t>
            </w:r>
          </w:p>
        </w:tc>
        <w:tc>
          <w:tcPr>
            <w:tcW w:w="8327" w:type="dxa"/>
            <w:vMerge w:val="restart"/>
            <w:noWrap w:val="0"/>
            <w:vAlign w:val="center"/>
          </w:tcPr>
          <w:p>
            <w:pPr>
              <w:widowControl/>
              <w:spacing w:line="300" w:lineRule="auto"/>
              <w:ind w:right="48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1462" w:type="dxa"/>
            <w:vMerge w:val="continue"/>
            <w:noWrap w:val="0"/>
            <w:vAlign w:val="center"/>
          </w:tcPr>
          <w:p>
            <w:pPr>
              <w:widowControl/>
              <w:spacing w:line="300" w:lineRule="auto"/>
              <w:ind w:right="48" w:firstLine="42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8327" w:type="dxa"/>
            <w:vMerge w:val="continue"/>
            <w:noWrap w:val="0"/>
            <w:vAlign w:val="center"/>
          </w:tcPr>
          <w:p>
            <w:pPr>
              <w:widowControl/>
              <w:spacing w:line="300" w:lineRule="auto"/>
              <w:ind w:right="48" w:firstLine="42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widowControl/>
              <w:spacing w:line="360" w:lineRule="auto"/>
              <w:ind w:right="48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bookmarkStart w:id="0" w:name="_Hlk123315737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配套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服务</w:t>
            </w:r>
          </w:p>
          <w:p>
            <w:pPr>
              <w:widowControl/>
              <w:spacing w:line="360" w:lineRule="auto"/>
              <w:ind w:right="48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8327" w:type="dxa"/>
            <w:noWrap w:val="0"/>
            <w:vAlign w:val="center"/>
          </w:tcPr>
          <w:p>
            <w:pPr>
              <w:widowControl/>
              <w:spacing w:line="360" w:lineRule="auto"/>
              <w:ind w:right="48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网点数量（满分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扬州市内网点数量1-2家得3分，3-4家得6分，5家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-6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（含）得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，7家（含）以上得10分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right="48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人员配置（满分20分）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拟投入本项目的的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服务人员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，每有一人得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2分，满分20分.</w:t>
            </w:r>
          </w:p>
          <w:p>
            <w:pPr>
              <w:widowControl/>
              <w:spacing w:line="360" w:lineRule="auto"/>
              <w:ind w:right="48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（提供</w:t>
            </w:r>
            <w:r>
              <w:rPr>
                <w:rFonts w:hint="eastAsia" w:ascii="宋体"/>
                <w:b/>
                <w:color w:val="auto"/>
                <w:sz w:val="21"/>
                <w:szCs w:val="21"/>
              </w:rPr>
              <w:t>网点营业执照、经营保险许可证</w:t>
            </w:r>
            <w:r>
              <w:rPr>
                <w:rFonts w:hint="eastAsia" w:ascii="宋体"/>
                <w:b/>
                <w:color w:val="auto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/>
                <w:b/>
                <w:color w:val="auto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/>
                <w:b/>
                <w:color w:val="auto"/>
                <w:sz w:val="21"/>
                <w:szCs w:val="21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各网点服务人员缴纳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  <w:t>2023年8-10月任意一月的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社保证明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  <w:t>加盖供应商公章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承保方案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832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after="120" w:afterLines="5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承保方案（满分10分）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针对本院“江苏医惠保1号”采购项目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成立专项承保服务小组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制定工作方案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专门的承保服务工作计划。工作计划主要包括承保人员设置、承保服务方式，保险方案执行、保险培训、被保险单位回访及服务保障措施等内容：方案科学、严密、合理，描述详细具有针对性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能提供连续承保服务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分；较合理、严密、描述较为详细，不存在实施难度的得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分；基本合理、描述一般、存在可操作性得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分；具有不合理项、描述略欠缺、存在一定的实施难度得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分；具有明显不合理项、描述欠缺、存在实施难度得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不提供不得分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after="120" w:afterLines="50"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培训宣传方案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满分10分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针对本院“江苏医惠保1号”采购项目具有详细的培训宣传方案，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培训宣传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包括但不限于提供相关保险知识方面的培训、协助医保局做好有关宣传工作等：科学、严密、合理，描述详细且具有针对性的得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分；较合理、严密、描述较为详细，不存在实施难度的得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分；基本合理、描述一般、存在可操作性得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分；具有不合理项、描述略欠缺、存在一定的实施难度得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分；具有明显不合理项、描述欠缺、存在实施难度得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不提供不得分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理赔方案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8327" w:type="dxa"/>
            <w:noWrap w:val="0"/>
            <w:vAlign w:val="center"/>
          </w:tcPr>
          <w:p>
            <w:pPr>
              <w:adjustRightInd w:val="0"/>
              <w:spacing w:after="120" w:afterLines="50" w:line="360" w:lineRule="auto"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理赔方案（满分10分）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针对本院“江苏医惠保1号”采购项目具有完善的理赔方案。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理赔方案包含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报案热线、理赔通道、理赔专家组、赶赴事故现场时间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：科学、严密、合理，描述详细且具有针对性的得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分；较合理、严密、描述较为详细，不存在实施难度的得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分；基本合理、描述一般、存在可操作性得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分；具有不合理项、描述略欠缺、存在一定的实施难度得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分；具有明显不合理项、描述欠缺、存在实施难度得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不提供不得分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  <w:p>
            <w:pPr>
              <w:adjustRightInd w:val="0"/>
              <w:spacing w:after="120" w:afterLines="50" w:line="360" w:lineRule="auto"/>
              <w:jc w:val="both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具体赔款时限及理赔承诺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满分10分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具体赔款时限及理赔承诺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科学、严密、合理，描述详细且具有针对性的得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分；较合理、严密、描述较为详细，不存在实施难度的得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分；基本合理、描述一般、存在可操作性得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分；具有不合理项、描述略欠缺、存在一定的实施难度得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分；具有明显不合理项、描述欠缺、存在实施难度得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不提供不得分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增值服务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分）</w:t>
            </w:r>
          </w:p>
        </w:tc>
        <w:tc>
          <w:tcPr>
            <w:tcW w:w="8327" w:type="dxa"/>
            <w:noWrap w:val="0"/>
            <w:vAlign w:val="center"/>
          </w:tcPr>
          <w:p>
            <w:pPr>
              <w:pStyle w:val="7"/>
              <w:spacing w:line="360" w:lineRule="auto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供应商提供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额外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可量化的、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可操作性强的、有效的增值服务，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增值服务人均单价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最高的为评标基准价，其增值服务分为2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分，其他供应商的增值服务分按下列公式计算：增值服务得分=（供应商单价/最高单价）×2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×100％（保留二位小数）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。（提供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方案说明、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，加盖投标人公章）。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相似业绩</w:t>
            </w:r>
          </w:p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（6分）</w:t>
            </w:r>
          </w:p>
        </w:tc>
        <w:tc>
          <w:tcPr>
            <w:tcW w:w="8327" w:type="dxa"/>
            <w:noWrap w:val="0"/>
            <w:vAlign w:val="center"/>
          </w:tcPr>
          <w:p>
            <w:pPr>
              <w:pStyle w:val="7"/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提供供应商2021年1月1日后（以合同签订时间为准）与本项目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相关的医疗类集团承包保险项目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相似业绩，每有一份得 2分，最多得6分（提供合同复印件加盖供应商公章，不提供不得分）。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80F0F"/>
    <w:multiLevelType w:val="singleLevel"/>
    <w:tmpl w:val="D5680F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3A5E3EE2"/>
    <w:rsid w:val="2D4936B5"/>
    <w:rsid w:val="3A5E3EE2"/>
    <w:rsid w:val="5C9D4A26"/>
    <w:rsid w:val="626A30C4"/>
    <w:rsid w:val="63D52754"/>
    <w:rsid w:val="654B795B"/>
    <w:rsid w:val="6CF1542D"/>
    <w:rsid w:val="7C94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3"/>
    <w:qFormat/>
    <w:uiPriority w:val="0"/>
    <w:pPr>
      <w:spacing w:line="360" w:lineRule="atLeast"/>
      <w:jc w:val="left"/>
    </w:pPr>
    <w:rPr>
      <w:rFonts w:ascii="宋体" w:hAnsi="Calibri" w:eastAsia="宋体" w:cs="Times New Roman"/>
      <w:sz w:val="24"/>
      <w:szCs w:val="20"/>
    </w:rPr>
  </w:style>
  <w:style w:type="paragraph" w:customStyle="1" w:styleId="3">
    <w:name w:val="正文文本1"/>
    <w:basedOn w:val="2"/>
    <w:next w:val="4"/>
    <w:qFormat/>
    <w:uiPriority w:val="0"/>
    <w:pPr>
      <w:spacing w:after="120"/>
    </w:pPr>
    <w:rPr>
      <w:lang w:eastAsia="en-US"/>
    </w:rPr>
  </w:style>
  <w:style w:type="paragraph" w:customStyle="1" w:styleId="4">
    <w:name w:val="一级条标题"/>
    <w:basedOn w:val="5"/>
    <w:next w:val="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6">
    <w:name w:val="段"/>
    <w:basedOn w:val="2"/>
    <w:next w:val="1"/>
    <w:qFormat/>
    <w:uiPriority w:val="0"/>
    <w:pPr>
      <w:widowControl/>
      <w:ind w:firstLine="200"/>
    </w:pPr>
    <w:rPr>
      <w:sz w:val="20"/>
    </w:rPr>
  </w:style>
  <w:style w:type="paragraph" w:styleId="7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2023-12-05T07:40:00Z</dcterms:created>
  <dc:creator>胡永田</dc:creator>
  <cp:lastModifiedBy>胡永田</cp:lastModifiedBy>
  <dcterms:modified xsi:type="dcterms:W3CDTF">2023-12-05T08:11:06Z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F80F9A55121C477E90648A73965C8EF5_13</vt:lpwstr>
  </property>
</Properties>
</file>