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2024004</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r>
        <w:rPr>
          <w:rFonts w:hint="eastAsia" w:ascii="宋体" w:hAnsi="宋体" w:cs="宋体"/>
          <w:b/>
          <w:snapToGrid w:val="0"/>
          <w:kern w:val="0"/>
          <w:sz w:val="40"/>
          <w:szCs w:val="40"/>
          <w:lang w:eastAsia="zh-CN"/>
        </w:rPr>
        <w:t>南区太阳能水箱循环管道更换项目</w:t>
      </w:r>
    </w:p>
    <w:p>
      <w:pPr>
        <w:adjustRightInd w:val="0"/>
        <w:snapToGrid w:val="0"/>
        <w:spacing w:line="800" w:lineRule="exact"/>
        <w:contextualSpacing/>
        <w:jc w:val="center"/>
        <w:rPr>
          <w:b/>
          <w:sz w:val="40"/>
          <w:szCs w:val="40"/>
        </w:rPr>
      </w:pPr>
      <w:r>
        <w:rPr>
          <w:rFonts w:hint="eastAsia"/>
          <w:b/>
          <w:sz w:val="40"/>
          <w:szCs w:val="40"/>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2</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27</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南区太阳能水箱循环管道更换项目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2024004</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南区太阳能水箱循环管道更换项目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5</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南区太阳能水箱循环管道更换项目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南区太阳能水箱循环管道更换项目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13.项目款支付：付款方式为在安装完成后，乙方凭开具的正规增值税发票等材料向甲方办理付款手续，甲方凭手续齐全的票据付合同价的100%。（以上均不计息）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3</w:t>
      </w:r>
      <w:r>
        <w:rPr>
          <w:rFonts w:hint="eastAsia" w:cs="微软雅黑"/>
          <w:b/>
        </w:rPr>
        <w:t>月</w:t>
      </w:r>
      <w:r>
        <w:rPr>
          <w:rFonts w:hint="eastAsia" w:cs="微软雅黑"/>
          <w:b/>
          <w:lang w:val="en-US" w:eastAsia="zh-CN"/>
        </w:rPr>
        <w:t>5</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3</w:t>
      </w:r>
      <w:r>
        <w:rPr>
          <w:rStyle w:val="37"/>
          <w:rFonts w:hint="eastAsia" w:ascii="宋体" w:hAnsi="宋体"/>
          <w:b/>
          <w:sz w:val="24"/>
        </w:rPr>
        <w:t>月</w:t>
      </w:r>
      <w:r>
        <w:rPr>
          <w:rStyle w:val="37"/>
          <w:rFonts w:hint="eastAsia" w:ascii="宋体" w:hAnsi="宋体"/>
          <w:b/>
          <w:sz w:val="24"/>
          <w:lang w:val="en-US" w:eastAsia="zh-CN"/>
        </w:rPr>
        <w:t>5</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南区太阳能水箱循环管道更换项目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2024004</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jc w:val="both"/>
        <w:rPr>
          <w:rFonts w:hint="eastAsia"/>
          <w:b/>
          <w:bCs/>
          <w:sz w:val="28"/>
          <w:szCs w:val="28"/>
          <w:lang w:val="en-US" w:eastAsia="zh-CN"/>
        </w:rPr>
      </w:pPr>
      <w:r>
        <w:rPr>
          <w:rFonts w:hint="eastAsia"/>
          <w:b/>
          <w:bCs/>
          <w:sz w:val="28"/>
          <w:szCs w:val="28"/>
          <w:lang w:val="en-US" w:eastAsia="zh-CN"/>
        </w:rPr>
        <w:t>2.1项目简介</w:t>
      </w:r>
    </w:p>
    <w:p>
      <w:pPr>
        <w:jc w:val="both"/>
        <w:rPr>
          <w:rFonts w:hint="default"/>
          <w:sz w:val="28"/>
          <w:szCs w:val="28"/>
          <w:lang w:val="en-US" w:eastAsia="zh-CN"/>
        </w:rPr>
      </w:pPr>
      <w:r>
        <w:rPr>
          <w:rFonts w:hint="eastAsia"/>
          <w:sz w:val="28"/>
          <w:szCs w:val="28"/>
          <w:lang w:val="en-US" w:eastAsia="zh-CN"/>
        </w:rPr>
        <w:t xml:space="preserve">  南区水箱循环管道因长期外露，外保护保温脱落，管道严重锈蚀，出现热效能低，多处漏水现象，需要整体跟换，总长度约200m。</w:t>
      </w:r>
    </w:p>
    <w:p>
      <w:pPr>
        <w:jc w:val="both"/>
        <w:rPr>
          <w:rFonts w:hint="eastAsia"/>
          <w:b/>
          <w:bCs/>
          <w:sz w:val="28"/>
          <w:szCs w:val="28"/>
          <w:lang w:val="en-US" w:eastAsia="zh-CN"/>
        </w:rPr>
      </w:pPr>
      <w:r>
        <w:rPr>
          <w:rFonts w:hint="eastAsia"/>
          <w:b/>
          <w:bCs/>
          <w:sz w:val="28"/>
          <w:szCs w:val="28"/>
          <w:lang w:val="en-US" w:eastAsia="zh-CN"/>
        </w:rPr>
        <w:t>2.2项目要求</w:t>
      </w:r>
    </w:p>
    <w:p>
      <w:pPr>
        <w:jc w:val="both"/>
        <w:rPr>
          <w:rFonts w:hint="eastAsia"/>
          <w:b w:val="0"/>
          <w:bCs w:val="0"/>
          <w:sz w:val="28"/>
          <w:szCs w:val="28"/>
          <w:lang w:val="en-US" w:eastAsia="zh-CN"/>
        </w:rPr>
      </w:pPr>
      <w:r>
        <w:rPr>
          <w:rFonts w:hint="eastAsia"/>
          <w:b w:val="0"/>
          <w:bCs w:val="0"/>
          <w:sz w:val="28"/>
          <w:szCs w:val="28"/>
          <w:lang w:val="en-US" w:eastAsia="zh-CN"/>
        </w:rPr>
        <w:t xml:space="preserve">  拆除原管道，不可回收垃圾乙方负责处理，因储水箱是多方式加热供水（太阳能、空气能、燃气），更换管道不得影响水箱储水的正常使用，更换管道采用镀锌管道DN40,厚度为3mm国标，采用丝口连接。重新放置角铁支架，间距不得大于3m一段。更换管道按原路径、管径布置管线。不得更改路线跟管道高差。阀门、排气阀、温控器按原品牌规格跟换，位置不得发生变化。外保温采用＞5cm橡塑包裹，保温外保护采用</w:t>
      </w:r>
      <w:r>
        <w:rPr>
          <w:rFonts w:hint="eastAsia"/>
          <w:sz w:val="28"/>
          <w:szCs w:val="28"/>
          <w:lang w:val="en-US" w:eastAsia="zh-CN"/>
        </w:rPr>
        <w:t>厚度</w:t>
      </w:r>
      <w:r>
        <w:rPr>
          <w:rFonts w:hint="eastAsia"/>
          <w:b w:val="0"/>
          <w:bCs w:val="0"/>
          <w:sz w:val="28"/>
          <w:szCs w:val="28"/>
          <w:lang w:val="en-US" w:eastAsia="zh-CN"/>
        </w:rPr>
        <w:t>＞0.5mm铝皮铆钉连接。</w:t>
      </w:r>
    </w:p>
    <w:p>
      <w:pPr>
        <w:jc w:val="both"/>
        <w:rPr>
          <w:rFonts w:hint="eastAsia"/>
          <w:b/>
          <w:bCs/>
          <w:sz w:val="28"/>
          <w:szCs w:val="28"/>
          <w:lang w:val="en-US" w:eastAsia="zh-CN"/>
        </w:rPr>
      </w:pPr>
      <w:r>
        <w:rPr>
          <w:rFonts w:hint="eastAsia"/>
          <w:b/>
          <w:bCs/>
          <w:sz w:val="28"/>
          <w:szCs w:val="28"/>
          <w:lang w:val="en-US" w:eastAsia="zh-CN"/>
        </w:rPr>
        <w:t>2.3主要材料要求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364"/>
        <w:gridCol w:w="1910"/>
        <w:gridCol w:w="1865"/>
        <w:gridCol w:w="135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序号</w:t>
            </w:r>
          </w:p>
        </w:tc>
        <w:tc>
          <w:tcPr>
            <w:tcW w:w="1364"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材料名称</w:t>
            </w:r>
          </w:p>
        </w:tc>
        <w:tc>
          <w:tcPr>
            <w:tcW w:w="1910"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推荐品牌</w:t>
            </w:r>
          </w:p>
        </w:tc>
        <w:tc>
          <w:tcPr>
            <w:tcW w:w="1865"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参数</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数量</w:t>
            </w:r>
          </w:p>
        </w:tc>
        <w:tc>
          <w:tcPr>
            <w:tcW w:w="1351" w:type="dxa"/>
          </w:tcPr>
          <w:p>
            <w:pPr>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79" w:type="dxa"/>
          </w:tcPr>
          <w:p>
            <w:pPr>
              <w:jc w:val="both"/>
              <w:rPr>
                <w:rFonts w:hint="default"/>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①</w:t>
            </w:r>
          </w:p>
        </w:tc>
        <w:tc>
          <w:tcPr>
            <w:tcW w:w="1364"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镀锌管道DN40</w:t>
            </w:r>
          </w:p>
          <w:p>
            <w:pPr>
              <w:jc w:val="both"/>
              <w:rPr>
                <w:rFonts w:hint="default"/>
                <w:b w:val="0"/>
                <w:bCs w:val="0"/>
                <w:sz w:val="28"/>
                <w:szCs w:val="28"/>
                <w:vertAlign w:val="baseline"/>
                <w:lang w:val="en-US" w:eastAsia="zh-CN"/>
              </w:rPr>
            </w:pPr>
          </w:p>
        </w:tc>
        <w:tc>
          <w:tcPr>
            <w:tcW w:w="1910" w:type="dxa"/>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国标</w:t>
            </w:r>
          </w:p>
        </w:tc>
        <w:tc>
          <w:tcPr>
            <w:tcW w:w="1865"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DN40 壁厚＞3mm</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200m</w:t>
            </w:r>
          </w:p>
        </w:tc>
        <w:tc>
          <w:tcPr>
            <w:tcW w:w="1351" w:type="dxa"/>
          </w:tcPr>
          <w:p>
            <w:pPr>
              <w:jc w:val="both"/>
              <w:rPr>
                <w:rFonts w:hint="eastAsia"/>
                <w:b w:val="0"/>
                <w:bCs w:val="0"/>
                <w:sz w:val="28"/>
                <w:szCs w:val="28"/>
                <w:vertAlign w:val="baseline"/>
                <w:lang w:val="en-US" w:eastAsia="zh-CN"/>
              </w:rPr>
            </w:pPr>
            <w:r>
              <w:rPr>
                <w:rFonts w:hint="eastAsia"/>
                <w:b w:val="0"/>
                <w:bCs w:val="0"/>
                <w:sz w:val="28"/>
                <w:szCs w:val="28"/>
                <w:vertAlign w:val="baseline"/>
                <w:lang w:val="en-US" w:eastAsia="zh-CN"/>
              </w:rPr>
              <w:t>连接方式：丝口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jc w:val="both"/>
              <w:rPr>
                <w:rFonts w:hint="default"/>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②</w:t>
            </w:r>
          </w:p>
        </w:tc>
        <w:tc>
          <w:tcPr>
            <w:tcW w:w="1364"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阀门</w:t>
            </w:r>
          </w:p>
        </w:tc>
        <w:tc>
          <w:tcPr>
            <w:tcW w:w="1910" w:type="dxa"/>
          </w:tcPr>
          <w:p>
            <w:pPr>
              <w:jc w:val="both"/>
              <w:rPr>
                <w:rFonts w:hint="default"/>
                <w:b w:val="0"/>
                <w:bCs w:val="0"/>
                <w:sz w:val="28"/>
                <w:szCs w:val="28"/>
                <w:vertAlign w:val="baseline"/>
                <w:lang w:val="en-US" w:eastAsia="zh-CN"/>
              </w:rPr>
            </w:pPr>
            <w:r>
              <w:rPr>
                <w:rFonts w:hint="eastAsia"/>
                <w:sz w:val="28"/>
                <w:szCs w:val="28"/>
                <w:lang w:val="en-US" w:eastAsia="zh-CN"/>
              </w:rPr>
              <w:t>Kitz、花山、沪工</w:t>
            </w:r>
          </w:p>
        </w:tc>
        <w:tc>
          <w:tcPr>
            <w:tcW w:w="1865"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DN40 铜心或不锈钢</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8个</w:t>
            </w:r>
          </w:p>
        </w:tc>
        <w:tc>
          <w:tcPr>
            <w:tcW w:w="1351"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截止阀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jc w:val="both"/>
              <w:rPr>
                <w:rFonts w:hint="default"/>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③</w:t>
            </w:r>
          </w:p>
        </w:tc>
        <w:tc>
          <w:tcPr>
            <w:tcW w:w="1364" w:type="dxa"/>
          </w:tcPr>
          <w:p>
            <w:pPr>
              <w:jc w:val="both"/>
              <w:rPr>
                <w:rFonts w:hint="default"/>
                <w:b w:val="0"/>
                <w:bCs w:val="0"/>
                <w:sz w:val="28"/>
                <w:szCs w:val="28"/>
                <w:vertAlign w:val="baseline"/>
                <w:lang w:val="en-US" w:eastAsia="zh-CN"/>
              </w:rPr>
            </w:pPr>
            <w:r>
              <w:rPr>
                <w:rFonts w:hint="eastAsia"/>
                <w:b w:val="0"/>
                <w:bCs w:val="0"/>
                <w:sz w:val="28"/>
                <w:szCs w:val="28"/>
                <w:lang w:val="en-US" w:eastAsia="zh-CN"/>
              </w:rPr>
              <w:t>排气阀</w:t>
            </w:r>
          </w:p>
        </w:tc>
        <w:tc>
          <w:tcPr>
            <w:tcW w:w="1910"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埃美柯、特路、海斯迪克</w:t>
            </w:r>
          </w:p>
        </w:tc>
        <w:tc>
          <w:tcPr>
            <w:tcW w:w="1865"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DN40</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10个</w:t>
            </w:r>
          </w:p>
        </w:tc>
        <w:tc>
          <w:tcPr>
            <w:tcW w:w="1351"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丝口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79" w:type="dxa"/>
          </w:tcPr>
          <w:p>
            <w:pPr>
              <w:jc w:val="both"/>
              <w:rPr>
                <w:rFonts w:hint="eastAsia" w:ascii="微软雅黑" w:hAnsi="微软雅黑" w:eastAsia="微软雅黑" w:cs="微软雅黑"/>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④</w:t>
            </w:r>
          </w:p>
        </w:tc>
        <w:tc>
          <w:tcPr>
            <w:tcW w:w="1364" w:type="dxa"/>
          </w:tcPr>
          <w:p>
            <w:pPr>
              <w:jc w:val="both"/>
              <w:rPr>
                <w:rFonts w:hint="eastAsia"/>
                <w:b w:val="0"/>
                <w:bCs w:val="0"/>
                <w:sz w:val="28"/>
                <w:szCs w:val="28"/>
                <w:lang w:val="en-US" w:eastAsia="zh-CN"/>
              </w:rPr>
            </w:pPr>
            <w:r>
              <w:rPr>
                <w:rFonts w:hint="eastAsia"/>
                <w:b w:val="0"/>
                <w:bCs w:val="0"/>
                <w:sz w:val="28"/>
                <w:szCs w:val="28"/>
                <w:lang w:val="en-US" w:eastAsia="zh-CN"/>
              </w:rPr>
              <w:t>橡塑保</w:t>
            </w:r>
          </w:p>
          <w:p>
            <w:pPr>
              <w:jc w:val="both"/>
              <w:rPr>
                <w:rFonts w:hint="eastAsia"/>
                <w:sz w:val="28"/>
                <w:szCs w:val="28"/>
                <w:lang w:val="en-US" w:eastAsia="zh-CN"/>
              </w:rPr>
            </w:pPr>
            <w:r>
              <w:rPr>
                <w:rFonts w:hint="eastAsia"/>
                <w:b w:val="0"/>
                <w:bCs w:val="0"/>
                <w:sz w:val="28"/>
                <w:szCs w:val="28"/>
                <w:lang w:val="en-US" w:eastAsia="zh-CN"/>
              </w:rPr>
              <w:t>温</w:t>
            </w:r>
          </w:p>
        </w:tc>
        <w:tc>
          <w:tcPr>
            <w:tcW w:w="1910" w:type="dxa"/>
          </w:tcPr>
          <w:p>
            <w:pPr>
              <w:jc w:val="both"/>
              <w:rPr>
                <w:rFonts w:hint="eastAsia"/>
                <w:sz w:val="28"/>
                <w:szCs w:val="28"/>
                <w:lang w:val="en-US" w:eastAsia="zh-CN"/>
              </w:rPr>
            </w:pPr>
            <w:r>
              <w:rPr>
                <w:rFonts w:hint="eastAsia" w:cs="宋体"/>
                <w:b w:val="0"/>
                <w:bCs w:val="0"/>
                <w:snapToGrid w:val="0"/>
                <w:kern w:val="0"/>
                <w:sz w:val="24"/>
                <w:szCs w:val="24"/>
                <w:lang w:val="en-US" w:eastAsia="zh-CN" w:bidi="ar-SA"/>
              </w:rPr>
              <w:t>瑞沃、可狄、中亚</w:t>
            </w:r>
          </w:p>
        </w:tc>
        <w:tc>
          <w:tcPr>
            <w:tcW w:w="1865" w:type="dxa"/>
          </w:tcPr>
          <w:p>
            <w:pPr>
              <w:jc w:val="both"/>
              <w:rPr>
                <w:rFonts w:hint="eastAsia"/>
                <w:sz w:val="28"/>
                <w:szCs w:val="28"/>
                <w:lang w:val="en-US" w:eastAsia="zh-CN"/>
              </w:rPr>
            </w:pPr>
            <w:r>
              <w:rPr>
                <w:rFonts w:hint="eastAsia"/>
                <w:b w:val="0"/>
                <w:bCs w:val="0"/>
                <w:sz w:val="28"/>
                <w:szCs w:val="28"/>
                <w:lang w:val="en-US" w:eastAsia="zh-CN"/>
              </w:rPr>
              <w:t>厚度＞5cm</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200m</w:t>
            </w:r>
          </w:p>
        </w:tc>
        <w:tc>
          <w:tcPr>
            <w:tcW w:w="1351" w:type="dxa"/>
          </w:tcPr>
          <w:p>
            <w:pPr>
              <w:jc w:val="both"/>
              <w:rPr>
                <w:rFonts w:hint="default"/>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jc w:val="both"/>
              <w:rPr>
                <w:rFonts w:hint="eastAsia" w:ascii="微软雅黑" w:hAnsi="微软雅黑" w:eastAsia="微软雅黑" w:cs="微软雅黑"/>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⑤</w:t>
            </w:r>
          </w:p>
        </w:tc>
        <w:tc>
          <w:tcPr>
            <w:tcW w:w="1364" w:type="dxa"/>
          </w:tcPr>
          <w:p>
            <w:pPr>
              <w:jc w:val="both"/>
              <w:rPr>
                <w:rFonts w:hint="default"/>
                <w:sz w:val="28"/>
                <w:szCs w:val="28"/>
                <w:lang w:val="en-US" w:eastAsia="zh-CN"/>
              </w:rPr>
            </w:pPr>
            <w:r>
              <w:rPr>
                <w:rFonts w:hint="eastAsia"/>
                <w:sz w:val="28"/>
                <w:szCs w:val="28"/>
                <w:lang w:val="en-US" w:eastAsia="zh-CN"/>
              </w:rPr>
              <w:t>外保护铝皮</w:t>
            </w:r>
          </w:p>
        </w:tc>
        <w:tc>
          <w:tcPr>
            <w:tcW w:w="1910" w:type="dxa"/>
          </w:tcPr>
          <w:p>
            <w:pPr>
              <w:jc w:val="both"/>
              <w:rPr>
                <w:rFonts w:hint="eastAsia"/>
                <w:sz w:val="28"/>
                <w:szCs w:val="28"/>
                <w:lang w:val="en-US" w:eastAsia="zh-CN"/>
              </w:rPr>
            </w:pPr>
            <w:r>
              <w:rPr>
                <w:rFonts w:hint="eastAsia"/>
                <w:b w:val="0"/>
                <w:bCs w:val="0"/>
                <w:sz w:val="28"/>
                <w:szCs w:val="28"/>
                <w:lang w:val="en-US" w:eastAsia="zh-CN"/>
              </w:rPr>
              <w:t>风铝、兴发、南山</w:t>
            </w:r>
          </w:p>
        </w:tc>
        <w:tc>
          <w:tcPr>
            <w:tcW w:w="1865" w:type="dxa"/>
          </w:tcPr>
          <w:p>
            <w:pPr>
              <w:jc w:val="both"/>
              <w:rPr>
                <w:rFonts w:hint="default"/>
                <w:sz w:val="28"/>
                <w:szCs w:val="28"/>
                <w:lang w:val="en-US" w:eastAsia="zh-CN"/>
              </w:rPr>
            </w:pPr>
            <w:r>
              <w:rPr>
                <w:rFonts w:hint="eastAsia"/>
                <w:sz w:val="28"/>
                <w:szCs w:val="28"/>
                <w:lang w:val="en-US" w:eastAsia="zh-CN"/>
              </w:rPr>
              <w:t>厚度</w:t>
            </w:r>
            <w:r>
              <w:rPr>
                <w:rFonts w:hint="eastAsia"/>
                <w:b w:val="0"/>
                <w:bCs w:val="0"/>
                <w:sz w:val="28"/>
                <w:szCs w:val="28"/>
                <w:lang w:val="en-US" w:eastAsia="zh-CN"/>
              </w:rPr>
              <w:t>＞0.5mm</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200m</w:t>
            </w:r>
          </w:p>
        </w:tc>
        <w:tc>
          <w:tcPr>
            <w:tcW w:w="1351"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铆钉连接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jc w:val="both"/>
              <w:rPr>
                <w:rFonts w:hint="eastAsia" w:ascii="微软雅黑" w:hAnsi="微软雅黑" w:eastAsia="微软雅黑" w:cs="微软雅黑"/>
                <w:b w:val="0"/>
                <w:bCs w:val="0"/>
                <w:sz w:val="28"/>
                <w:szCs w:val="28"/>
                <w:vertAlign w:val="baseline"/>
                <w:lang w:val="en-US" w:eastAsia="zh-CN"/>
              </w:rPr>
            </w:pPr>
            <w:r>
              <w:rPr>
                <w:rFonts w:hint="eastAsia" w:ascii="微软雅黑" w:hAnsi="微软雅黑" w:eastAsia="微软雅黑" w:cs="微软雅黑"/>
                <w:b w:val="0"/>
                <w:bCs w:val="0"/>
                <w:sz w:val="28"/>
                <w:szCs w:val="28"/>
                <w:vertAlign w:val="baseline"/>
                <w:lang w:val="en-US" w:eastAsia="zh-CN"/>
              </w:rPr>
              <w:t>⑥</w:t>
            </w:r>
          </w:p>
        </w:tc>
        <w:tc>
          <w:tcPr>
            <w:tcW w:w="1364" w:type="dxa"/>
          </w:tcPr>
          <w:p>
            <w:pPr>
              <w:jc w:val="both"/>
              <w:rPr>
                <w:rFonts w:hint="default"/>
                <w:sz w:val="28"/>
                <w:szCs w:val="28"/>
                <w:lang w:val="en-US" w:eastAsia="zh-CN"/>
              </w:rPr>
            </w:pPr>
            <w:r>
              <w:rPr>
                <w:rFonts w:hint="eastAsia"/>
                <w:sz w:val="28"/>
                <w:szCs w:val="28"/>
                <w:lang w:val="en-US" w:eastAsia="zh-CN"/>
              </w:rPr>
              <w:t>角铁支架</w:t>
            </w:r>
          </w:p>
        </w:tc>
        <w:tc>
          <w:tcPr>
            <w:tcW w:w="1910" w:type="dxa"/>
          </w:tcPr>
          <w:p>
            <w:pPr>
              <w:jc w:val="both"/>
              <w:rPr>
                <w:rFonts w:hint="default"/>
                <w:b w:val="0"/>
                <w:bCs w:val="0"/>
                <w:sz w:val="28"/>
                <w:szCs w:val="28"/>
                <w:lang w:val="en-US" w:eastAsia="zh-CN"/>
              </w:rPr>
            </w:pPr>
            <w:r>
              <w:rPr>
                <w:rFonts w:hint="eastAsia"/>
                <w:b w:val="0"/>
                <w:bCs w:val="0"/>
                <w:sz w:val="28"/>
                <w:szCs w:val="28"/>
                <w:lang w:val="en-US" w:eastAsia="zh-CN"/>
              </w:rPr>
              <w:t>国标</w:t>
            </w:r>
          </w:p>
        </w:tc>
        <w:tc>
          <w:tcPr>
            <w:tcW w:w="1865" w:type="dxa"/>
          </w:tcPr>
          <w:p>
            <w:pPr>
              <w:jc w:val="both"/>
              <w:rPr>
                <w:rFonts w:hint="default"/>
                <w:sz w:val="28"/>
                <w:szCs w:val="28"/>
                <w:lang w:val="en-US" w:eastAsia="zh-CN"/>
              </w:rPr>
            </w:pPr>
            <w:r>
              <w:rPr>
                <w:rFonts w:hint="eastAsia"/>
                <w:sz w:val="28"/>
                <w:szCs w:val="28"/>
                <w:lang w:val="en-US" w:eastAsia="zh-CN"/>
              </w:rPr>
              <w:t>25*25*1.5mm</w:t>
            </w:r>
          </w:p>
        </w:tc>
        <w:tc>
          <w:tcPr>
            <w:tcW w:w="1353" w:type="dxa"/>
          </w:tcPr>
          <w:p>
            <w:pPr>
              <w:jc w:val="both"/>
              <w:rPr>
                <w:rFonts w:hint="default"/>
                <w:b w:val="0"/>
                <w:bCs w:val="0"/>
                <w:sz w:val="28"/>
                <w:szCs w:val="28"/>
                <w:vertAlign w:val="baseline"/>
                <w:lang w:val="en-US" w:eastAsia="zh-CN"/>
              </w:rPr>
            </w:pPr>
            <w:r>
              <w:rPr>
                <w:rFonts w:hint="eastAsia"/>
                <w:b w:val="0"/>
                <w:bCs w:val="0"/>
                <w:sz w:val="28"/>
                <w:szCs w:val="28"/>
                <w:vertAlign w:val="baseline"/>
                <w:lang w:val="en-US" w:eastAsia="zh-CN"/>
              </w:rPr>
              <w:t>每3m一段</w:t>
            </w:r>
          </w:p>
        </w:tc>
        <w:tc>
          <w:tcPr>
            <w:tcW w:w="1351" w:type="dxa"/>
          </w:tcPr>
          <w:p>
            <w:pPr>
              <w:jc w:val="both"/>
              <w:rPr>
                <w:rFonts w:hint="default"/>
                <w:b w:val="0"/>
                <w:bCs w:val="0"/>
                <w:sz w:val="28"/>
                <w:szCs w:val="28"/>
                <w:vertAlign w:val="baseline"/>
                <w:lang w:val="en-US" w:eastAsia="zh-CN"/>
              </w:rPr>
            </w:pPr>
          </w:p>
        </w:tc>
      </w:tr>
    </w:tbl>
    <w:p>
      <w:pPr>
        <w:jc w:val="both"/>
        <w:rPr>
          <w:rFonts w:hint="default"/>
          <w:b/>
          <w:bCs/>
          <w:sz w:val="28"/>
          <w:szCs w:val="28"/>
          <w:lang w:val="en-US" w:eastAsia="zh-CN"/>
        </w:rPr>
      </w:pPr>
      <w:r>
        <w:rPr>
          <w:rFonts w:hint="eastAsia"/>
          <w:b/>
          <w:bCs/>
          <w:sz w:val="28"/>
          <w:szCs w:val="28"/>
          <w:lang w:val="en-US" w:eastAsia="zh-CN"/>
        </w:rPr>
        <w:t>2.4现场实拍图：</w:t>
      </w:r>
    </w:p>
    <w:p>
      <w:p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2520315" cy="2520315"/>
            <wp:effectExtent l="0" t="0" r="13335" b="13335"/>
            <wp:docPr id="4" name="图片 4" descr="fab662560ca011b5ea49d84773c9b4e"/>
            <wp:cNvGraphicFramePr/>
            <a:graphic xmlns:a="http://schemas.openxmlformats.org/drawingml/2006/main">
              <a:graphicData uri="http://schemas.openxmlformats.org/drawingml/2006/picture">
                <pic:pic xmlns:pic="http://schemas.openxmlformats.org/drawingml/2006/picture">
                  <pic:nvPicPr>
                    <pic:cNvPr id="4" name="图片 4" descr="fab662560ca011b5ea49d84773c9b4e"/>
                    <pic:cNvPicPr/>
                  </pic:nvPicPr>
                  <pic:blipFill>
                    <a:blip r:embed="rId7"/>
                    <a:stretch>
                      <a:fillRect/>
                    </a:stretch>
                  </pic:blipFill>
                  <pic:spPr>
                    <a:xfrm>
                      <a:off x="0" y="0"/>
                      <a:ext cx="2520315" cy="2520315"/>
                    </a:xfrm>
                    <a:prstGeom prst="rect">
                      <a:avLst/>
                    </a:prstGeom>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2520315" cy="2520315"/>
            <wp:effectExtent l="0" t="0" r="13335" b="13335"/>
            <wp:docPr id="6" name="图片 6" descr="d497cdd04f0c6bb5c1dc6ee53df4d03"/>
            <wp:cNvGraphicFramePr/>
            <a:graphic xmlns:a="http://schemas.openxmlformats.org/drawingml/2006/main">
              <a:graphicData uri="http://schemas.openxmlformats.org/drawingml/2006/picture">
                <pic:pic xmlns:pic="http://schemas.openxmlformats.org/drawingml/2006/picture">
                  <pic:nvPicPr>
                    <pic:cNvPr id="6" name="图片 6" descr="d497cdd04f0c6bb5c1dc6ee53df4d03"/>
                    <pic:cNvPicPr/>
                  </pic:nvPicPr>
                  <pic:blipFill>
                    <a:blip r:embed="rId8"/>
                    <a:stretch>
                      <a:fillRect/>
                    </a:stretch>
                  </pic:blipFill>
                  <pic:spPr>
                    <a:xfrm>
                      <a:off x="0" y="0"/>
                      <a:ext cx="2520315" cy="2520315"/>
                    </a:xfrm>
                    <a:prstGeom prst="rect">
                      <a:avLst/>
                    </a:prstGeom>
                  </pic:spPr>
                </pic:pic>
              </a:graphicData>
            </a:graphic>
          </wp:inline>
        </w:drawing>
      </w:r>
    </w:p>
    <w:p>
      <w:pPr>
        <w:jc w:val="both"/>
        <w:rPr>
          <w:rFonts w:hint="eastAsia"/>
          <w:b w:val="0"/>
          <w:bCs w:val="0"/>
          <w:sz w:val="28"/>
          <w:szCs w:val="28"/>
          <w:lang w:val="en-US" w:eastAsia="zh-CN"/>
        </w:rPr>
      </w:pPr>
      <w:r>
        <w:rPr>
          <w:rFonts w:hint="eastAsia"/>
          <w:b w:val="0"/>
          <w:bCs w:val="0"/>
          <w:sz w:val="28"/>
          <w:szCs w:val="28"/>
          <w:lang w:val="en-US" w:eastAsia="zh-CN"/>
        </w:rPr>
        <w:t xml:space="preserve">   </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2520315" cy="2520315"/>
            <wp:effectExtent l="0" t="0" r="13335" b="13335"/>
            <wp:docPr id="7" name="图片 7" descr="b17f2f745d9396b151fc122e2023970"/>
            <wp:cNvGraphicFramePr/>
            <a:graphic xmlns:a="http://schemas.openxmlformats.org/drawingml/2006/main">
              <a:graphicData uri="http://schemas.openxmlformats.org/drawingml/2006/picture">
                <pic:pic xmlns:pic="http://schemas.openxmlformats.org/drawingml/2006/picture">
                  <pic:nvPicPr>
                    <pic:cNvPr id="7" name="图片 7" descr="b17f2f745d9396b151fc122e2023970"/>
                    <pic:cNvPicPr/>
                  </pic:nvPicPr>
                  <pic:blipFill>
                    <a:blip r:embed="rId9"/>
                    <a:stretch>
                      <a:fillRect/>
                    </a:stretch>
                  </pic:blipFill>
                  <pic:spPr>
                    <a:xfrm>
                      <a:off x="0" y="0"/>
                      <a:ext cx="2520315" cy="2520315"/>
                    </a:xfrm>
                    <a:prstGeom prst="rect">
                      <a:avLst/>
                    </a:prstGeom>
                  </pic:spPr>
                </pic:pic>
              </a:graphicData>
            </a:graphic>
          </wp:inline>
        </w:drawing>
      </w:r>
      <w:r>
        <w:rPr>
          <w:rFonts w:hint="default"/>
          <w:b w:val="0"/>
          <w:bCs w:val="0"/>
          <w:sz w:val="28"/>
          <w:szCs w:val="28"/>
          <w:lang w:val="en-US" w:eastAsia="zh-CN"/>
        </w:rPr>
        <w:drawing>
          <wp:inline distT="0" distB="0" distL="114300" distR="114300">
            <wp:extent cx="2520315" cy="2520315"/>
            <wp:effectExtent l="0" t="0" r="13335" b="13335"/>
            <wp:docPr id="8" name="图片 8" descr="a05d7af75dc735eb235896d78c2b593"/>
            <wp:cNvGraphicFramePr/>
            <a:graphic xmlns:a="http://schemas.openxmlformats.org/drawingml/2006/main">
              <a:graphicData uri="http://schemas.openxmlformats.org/drawingml/2006/picture">
                <pic:pic xmlns:pic="http://schemas.openxmlformats.org/drawingml/2006/picture">
                  <pic:nvPicPr>
                    <pic:cNvPr id="8" name="图片 8" descr="a05d7af75dc735eb235896d78c2b593"/>
                    <pic:cNvPicPr/>
                  </pic:nvPicPr>
                  <pic:blipFill>
                    <a:blip r:embed="rId10"/>
                    <a:stretch>
                      <a:fillRect/>
                    </a:stretch>
                  </pic:blipFill>
                  <pic:spPr>
                    <a:xfrm>
                      <a:off x="0" y="0"/>
                      <a:ext cx="2520315" cy="2520315"/>
                    </a:xfrm>
                    <a:prstGeom prst="rect">
                      <a:avLst/>
                    </a:prstGeom>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2520315" cy="2520315"/>
            <wp:effectExtent l="0" t="0" r="13335" b="13335"/>
            <wp:docPr id="9" name="图片 9" descr="a3f5b4ddb173b9dad81248b93338c0c"/>
            <wp:cNvGraphicFramePr/>
            <a:graphic xmlns:a="http://schemas.openxmlformats.org/drawingml/2006/main">
              <a:graphicData uri="http://schemas.openxmlformats.org/drawingml/2006/picture">
                <pic:pic xmlns:pic="http://schemas.openxmlformats.org/drawingml/2006/picture">
                  <pic:nvPicPr>
                    <pic:cNvPr id="9" name="图片 9" descr="a3f5b4ddb173b9dad81248b93338c0c"/>
                    <pic:cNvPicPr/>
                  </pic:nvPicPr>
                  <pic:blipFill>
                    <a:blip r:embed="rId11"/>
                    <a:stretch>
                      <a:fillRect/>
                    </a:stretch>
                  </pic:blipFill>
                  <pic:spPr>
                    <a:xfrm>
                      <a:off x="0" y="0"/>
                      <a:ext cx="2520315" cy="2520315"/>
                    </a:xfrm>
                    <a:prstGeom prst="rect">
                      <a:avLst/>
                    </a:prstGeom>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2520315" cy="2520315"/>
            <wp:effectExtent l="0" t="0" r="13335" b="13335"/>
            <wp:docPr id="10" name="图片 10" descr="30342a0af94cdedf437ae7047c9ed20"/>
            <wp:cNvGraphicFramePr/>
            <a:graphic xmlns:a="http://schemas.openxmlformats.org/drawingml/2006/main">
              <a:graphicData uri="http://schemas.openxmlformats.org/drawingml/2006/picture">
                <pic:pic xmlns:pic="http://schemas.openxmlformats.org/drawingml/2006/picture">
                  <pic:nvPicPr>
                    <pic:cNvPr id="10" name="图片 10" descr="30342a0af94cdedf437ae7047c9ed20"/>
                    <pic:cNvPicPr/>
                  </pic:nvPicPr>
                  <pic:blipFill>
                    <a:blip r:embed="rId12"/>
                    <a:stretch>
                      <a:fillRect/>
                    </a:stretch>
                  </pic:blipFill>
                  <pic:spPr>
                    <a:xfrm>
                      <a:off x="0" y="0"/>
                      <a:ext cx="2520315" cy="2520315"/>
                    </a:xfrm>
                    <a:prstGeom prst="rect">
                      <a:avLst/>
                    </a:prstGeom>
                  </pic:spPr>
                </pic:pic>
              </a:graphicData>
            </a:graphic>
          </wp:inline>
        </w:drawing>
      </w:r>
    </w:p>
    <w:p>
      <w:pPr>
        <w:jc w:val="both"/>
        <w:rPr>
          <w:rFonts w:hint="default"/>
          <w:b w:val="0"/>
          <w:bCs w:val="0"/>
          <w:sz w:val="28"/>
          <w:szCs w:val="28"/>
          <w:lang w:val="en-US" w:eastAsia="zh-CN"/>
        </w:rPr>
      </w:pPr>
    </w:p>
    <w:p>
      <w:pPr>
        <w:jc w:val="both"/>
        <w:rPr>
          <w:rFonts w:hint="default"/>
          <w:b w:val="0"/>
          <w:bCs w:val="0"/>
          <w:sz w:val="28"/>
          <w:szCs w:val="28"/>
          <w:lang w:val="en-US" w:eastAsia="zh-CN"/>
        </w:rPr>
      </w:pPr>
    </w:p>
    <w:p>
      <w:pPr>
        <w:jc w:val="both"/>
        <w:rPr>
          <w:rFonts w:hint="default"/>
          <w:b w:val="0"/>
          <w:bCs w:val="0"/>
          <w:sz w:val="28"/>
          <w:szCs w:val="28"/>
          <w:lang w:val="en-US" w:eastAsia="zh-CN"/>
        </w:rPr>
      </w:pPr>
      <w:r>
        <w:rPr>
          <w:rFonts w:hint="default"/>
          <w:b w:val="0"/>
          <w:bCs w:val="0"/>
          <w:sz w:val="28"/>
          <w:szCs w:val="28"/>
          <w:lang w:val="en-US" w:eastAsia="zh-CN"/>
        </w:rPr>
        <w:drawing>
          <wp:inline distT="0" distB="0" distL="114300" distR="114300">
            <wp:extent cx="2520315" cy="2520315"/>
            <wp:effectExtent l="0" t="0" r="13335" b="13335"/>
            <wp:docPr id="11" name="图片 11" descr="389bbe32fba3aea262f16f39f1330d4"/>
            <wp:cNvGraphicFramePr/>
            <a:graphic xmlns:a="http://schemas.openxmlformats.org/drawingml/2006/main">
              <a:graphicData uri="http://schemas.openxmlformats.org/drawingml/2006/picture">
                <pic:pic xmlns:pic="http://schemas.openxmlformats.org/drawingml/2006/picture">
                  <pic:nvPicPr>
                    <pic:cNvPr id="11" name="图片 11" descr="389bbe32fba3aea262f16f39f1330d4"/>
                    <pic:cNvPicPr/>
                  </pic:nvPicPr>
                  <pic:blipFill>
                    <a:blip r:embed="rId13"/>
                    <a:stretch>
                      <a:fillRect/>
                    </a:stretch>
                  </pic:blipFill>
                  <pic:spPr>
                    <a:xfrm>
                      <a:off x="0" y="0"/>
                      <a:ext cx="2520315" cy="2520315"/>
                    </a:xfrm>
                    <a:prstGeom prst="rect">
                      <a:avLst/>
                    </a:prstGeom>
                  </pic:spPr>
                </pic:pic>
              </a:graphicData>
            </a:graphic>
          </wp:inline>
        </w:drawing>
      </w:r>
      <w:r>
        <w:rPr>
          <w:rFonts w:hint="eastAsia"/>
          <w:b w:val="0"/>
          <w:bCs w:val="0"/>
          <w:sz w:val="28"/>
          <w:szCs w:val="28"/>
          <w:lang w:val="en-US" w:eastAsia="zh-CN"/>
        </w:rPr>
        <w:t xml:space="preserve">  </w:t>
      </w:r>
      <w:r>
        <w:rPr>
          <w:rFonts w:hint="default"/>
          <w:b w:val="0"/>
          <w:bCs w:val="0"/>
          <w:sz w:val="28"/>
          <w:szCs w:val="28"/>
          <w:lang w:val="en-US" w:eastAsia="zh-CN"/>
        </w:rPr>
        <w:drawing>
          <wp:inline distT="0" distB="0" distL="114300" distR="114300">
            <wp:extent cx="2527935" cy="2533015"/>
            <wp:effectExtent l="0" t="0" r="635" b="5715"/>
            <wp:docPr id="12" name="图片 12" descr="5b1f78ae255e1e71b6467be97ad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b1f78ae255e1e71b6467be97ad1630"/>
                    <pic:cNvPicPr>
                      <a:picLocks noChangeAspect="1"/>
                    </pic:cNvPicPr>
                  </pic:nvPicPr>
                  <pic:blipFill>
                    <a:blip r:embed="rId14"/>
                    <a:stretch>
                      <a:fillRect/>
                    </a:stretch>
                  </pic:blipFill>
                  <pic:spPr>
                    <a:xfrm rot="5400000">
                      <a:off x="0" y="0"/>
                      <a:ext cx="2527935" cy="2533015"/>
                    </a:xfrm>
                    <a:prstGeom prst="rect">
                      <a:avLst/>
                    </a:prstGeom>
                  </pic:spPr>
                </pic:pic>
              </a:graphicData>
            </a:graphic>
          </wp:inline>
        </w:drawing>
      </w:r>
    </w:p>
    <w:p>
      <w:pPr>
        <w:jc w:val="both"/>
        <w:rPr>
          <w:rFonts w:hint="default"/>
          <w:sz w:val="28"/>
          <w:szCs w:val="28"/>
          <w:lang w:val="en-US" w:eastAsia="zh-CN"/>
        </w:rPr>
      </w:pP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17"/>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17"/>
        <w:ind w:firstLine="0"/>
        <w:rPr>
          <w:sz w:val="36"/>
          <w:szCs w:val="36"/>
        </w:rPr>
      </w:pPr>
    </w:p>
    <w:p>
      <w:pPr>
        <w:pStyle w:val="23"/>
        <w:ind w:left="0"/>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南区太阳能水箱循环管道更换项目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2024004</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hoytyzdx@163.com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维修协议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南区太阳能水箱循环管道更换项目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2024004</w:t>
      </w:r>
    </w:p>
    <w:p>
      <w:pPr>
        <w:pStyle w:val="11"/>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1"/>
        <w:snapToGrid w:val="0"/>
        <w:spacing w:before="120" w:after="120" w:line="360" w:lineRule="auto"/>
        <w:rPr>
          <w:rFonts w:hAnsi="宋体" w:cs="宋体"/>
          <w:color w:val="000000"/>
          <w:u w:val="single"/>
        </w:rPr>
      </w:pPr>
      <w:r>
        <w:rPr>
          <w:rFonts w:hint="eastAsia" w:hAnsi="宋体" w:cs="宋体"/>
          <w:color w:val="000000"/>
        </w:rPr>
        <w:t>乙方（供应商/卖方）：</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1"/>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1"/>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rPr>
        <w:t>南区太阳能水箱循环管道更换项目</w:t>
      </w:r>
      <w:bookmarkStart w:id="4" w:name="_GoBack"/>
      <w:bookmarkEnd w:id="4"/>
      <w:r>
        <w:rPr>
          <w:rFonts w:hint="eastAsia" w:hAnsi="宋体"/>
          <w:color w:val="000000"/>
          <w:u w:val="single"/>
        </w:rPr>
        <w:t xml:space="preserve"> </w:t>
      </w:r>
      <w:r>
        <w:rPr>
          <w:rFonts w:hint="eastAsia" w:hAnsi="宋体"/>
          <w:color w:val="000000"/>
        </w:rPr>
        <w:t>。</w:t>
      </w:r>
    </w:p>
    <w:p>
      <w:pPr>
        <w:pStyle w:val="11"/>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1"/>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1"/>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1"/>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1"/>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1"/>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1"/>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u w:val="single"/>
          <w:lang w:val="en-US" w:eastAsia="zh-CN"/>
        </w:rPr>
        <w:t>15</w:t>
      </w:r>
      <w:r>
        <w:rPr>
          <w:rFonts w:hint="eastAsia" w:hAnsi="宋体"/>
          <w:color w:val="000000"/>
          <w:u w:val="single"/>
        </w:rPr>
        <w:t>日历天内完成供货及安装维修施工。</w:t>
      </w:r>
    </w:p>
    <w:p>
      <w:pPr>
        <w:pStyle w:val="11"/>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1"/>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w:t>
      </w:r>
      <w:r>
        <w:rPr>
          <w:rFonts w:hint="eastAsia" w:ascii="宋体" w:hAnsi="宋体"/>
          <w:color w:val="000000"/>
          <w:lang w:eastAsia="zh-CN"/>
        </w:rPr>
        <w:t>乙方</w:t>
      </w:r>
      <w:r>
        <w:rPr>
          <w:rFonts w:hint="eastAsia" w:ascii="宋体" w:hAnsi="宋体"/>
          <w:color w:val="000000"/>
        </w:rPr>
        <w:t>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合同生效后，乙方按甲方需求即时维修，经甲方指定人员验收，验收合格的可在一个月内结算费用。结算金额以甲方签收维修数量*合同单价计算，乙方必须提供甲方的验收单及开具的正规增值税发票等材料交甲方办理付款手续，甲方凭手续齐全的单据支付该批次货款。</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1"/>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Lines="50"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Lines="50"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Lines="50"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Lines="50"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1"/>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1"/>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1"/>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1"/>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1"/>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1"/>
        <w:snapToGrid w:val="0"/>
        <w:spacing w:before="120" w:after="120" w:line="360" w:lineRule="auto"/>
        <w:ind w:firstLine="420" w:firstLineChars="200"/>
        <w:rPr>
          <w:rFonts w:hAnsi="宋体"/>
          <w:color w:val="000000"/>
        </w:rPr>
      </w:pPr>
      <w:r>
        <w:rPr>
          <w:rFonts w:hint="eastAsia" w:hAnsi="宋体"/>
          <w:color w:val="000000"/>
          <w:lang w:val="en-US" w:eastAsia="zh-CN"/>
        </w:rPr>
        <w:t>20</w:t>
      </w:r>
      <w:r>
        <w:rPr>
          <w:rFonts w:hint="eastAsia" w:hAnsi="宋体"/>
          <w:color w:val="000000"/>
        </w:rPr>
        <w:t>.3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1"/>
        <w:snapToGrid w:val="0"/>
        <w:spacing w:before="120" w:after="120" w:line="360" w:lineRule="auto"/>
        <w:ind w:firstLine="420" w:firstLineChars="200"/>
        <w:rPr>
          <w:rFonts w:hAnsi="宋体"/>
          <w:color w:val="000000"/>
        </w:rPr>
      </w:pPr>
      <w:r>
        <w:rPr>
          <w:rFonts w:hint="eastAsia" w:hAnsi="宋体"/>
          <w:color w:val="000000"/>
        </w:rPr>
        <w:t>21.1</w:t>
      </w:r>
      <w:r>
        <w:rPr>
          <w:rFonts w:hint="eastAsia" w:hAnsi="宋体"/>
          <w:color w:val="000000"/>
          <w:lang w:eastAsia="zh-CN"/>
        </w:rPr>
        <w:t>乙方</w:t>
      </w:r>
      <w:r>
        <w:rPr>
          <w:rFonts w:hint="eastAsia" w:hAnsi="宋体"/>
          <w:color w:val="000000"/>
        </w:rPr>
        <w:t>采购的主要材料必须在以下</w:t>
      </w:r>
      <w:r>
        <w:rPr>
          <w:rFonts w:hint="eastAsia" w:hAnsi="宋体"/>
          <w:color w:val="000000"/>
          <w:lang w:eastAsia="zh-CN"/>
        </w:rPr>
        <w:t>甲方</w:t>
      </w:r>
      <w:r>
        <w:rPr>
          <w:rFonts w:hint="eastAsia" w:hAnsi="宋体"/>
          <w:color w:val="000000"/>
        </w:rPr>
        <w:t>推荐的几个品牌中选择一个，未指明品牌的主材投标时须注明品牌、生产厂家及规格型号，在征得</w:t>
      </w:r>
      <w:r>
        <w:rPr>
          <w:rFonts w:hint="eastAsia" w:hAnsi="宋体"/>
          <w:color w:val="000000"/>
          <w:lang w:eastAsia="zh-CN"/>
        </w:rPr>
        <w:t>甲方</w:t>
      </w:r>
      <w:r>
        <w:rPr>
          <w:rFonts w:hint="eastAsia" w:hAnsi="宋体"/>
          <w:color w:val="000000"/>
        </w:rPr>
        <w:t>确认后才能使用，重要主材进场前应送样确认，材料壁厚等重要技术指标不得小于</w:t>
      </w:r>
      <w:r>
        <w:rPr>
          <w:rFonts w:hint="eastAsia" w:hAnsi="宋体"/>
          <w:color w:val="000000"/>
          <w:lang w:eastAsia="zh-CN"/>
        </w:rPr>
        <w:t>甲方</w:t>
      </w:r>
      <w:r>
        <w:rPr>
          <w:rFonts w:hint="eastAsia" w:hAnsi="宋体"/>
          <w:color w:val="000000"/>
        </w:rPr>
        <w:t>规定。</w:t>
      </w:r>
    </w:p>
    <w:p>
      <w:pPr>
        <w:pStyle w:val="11"/>
        <w:snapToGrid w:val="0"/>
        <w:spacing w:before="120" w:after="120" w:line="360" w:lineRule="auto"/>
        <w:ind w:firstLine="420" w:firstLineChars="200"/>
        <w:rPr>
          <w:rFonts w:hAnsi="宋体"/>
          <w:color w:val="000000"/>
        </w:rPr>
      </w:pPr>
      <w:r>
        <w:rPr>
          <w:rFonts w:hint="eastAsia" w:hAnsi="宋体"/>
          <w:color w:val="000000"/>
        </w:rPr>
        <w:t>21.2所有产品均应符合国家标准与环保要求，并提供相关资料。</w:t>
      </w:r>
    </w:p>
    <w:tbl>
      <w:tblPr>
        <w:tblStyle w:val="19"/>
        <w:tblW w:w="0" w:type="auto"/>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89"/>
        <w:gridCol w:w="1910"/>
        <w:gridCol w:w="1865"/>
        <w:gridCol w:w="1353"/>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序号</w:t>
            </w:r>
          </w:p>
        </w:tc>
        <w:tc>
          <w:tcPr>
            <w:tcW w:w="1689"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材料名称</w:t>
            </w:r>
          </w:p>
        </w:tc>
        <w:tc>
          <w:tcPr>
            <w:tcW w:w="1910"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推荐品牌</w:t>
            </w:r>
          </w:p>
        </w:tc>
        <w:tc>
          <w:tcPr>
            <w:tcW w:w="1865"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参数</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数量</w:t>
            </w:r>
          </w:p>
        </w:tc>
        <w:tc>
          <w:tcPr>
            <w:tcW w:w="1351"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5" w:type="dxa"/>
          </w:tcPr>
          <w:p>
            <w:pPr>
              <w:jc w:val="both"/>
              <w:rPr>
                <w:rFonts w:hint="default"/>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①</w:t>
            </w:r>
          </w:p>
        </w:tc>
        <w:tc>
          <w:tcPr>
            <w:tcW w:w="1689"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镀锌管道DN40</w:t>
            </w:r>
          </w:p>
        </w:tc>
        <w:tc>
          <w:tcPr>
            <w:tcW w:w="1910" w:type="dxa"/>
          </w:tcPr>
          <w:p>
            <w:pPr>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国标</w:t>
            </w:r>
          </w:p>
        </w:tc>
        <w:tc>
          <w:tcPr>
            <w:tcW w:w="1865"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DN40 壁厚＞3mm</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200m</w:t>
            </w:r>
          </w:p>
        </w:tc>
        <w:tc>
          <w:tcPr>
            <w:tcW w:w="1351"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连接方式：丝口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jc w:val="both"/>
              <w:rPr>
                <w:rFonts w:hint="default"/>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②</w:t>
            </w:r>
          </w:p>
        </w:tc>
        <w:tc>
          <w:tcPr>
            <w:tcW w:w="1689"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阀门</w:t>
            </w:r>
          </w:p>
        </w:tc>
        <w:tc>
          <w:tcPr>
            <w:tcW w:w="1910" w:type="dxa"/>
          </w:tcPr>
          <w:p>
            <w:pPr>
              <w:jc w:val="both"/>
              <w:rPr>
                <w:rFonts w:hint="default"/>
                <w:b w:val="0"/>
                <w:bCs w:val="0"/>
                <w:sz w:val="21"/>
                <w:szCs w:val="21"/>
                <w:vertAlign w:val="baseline"/>
                <w:lang w:val="en-US" w:eastAsia="zh-CN"/>
              </w:rPr>
            </w:pPr>
            <w:r>
              <w:rPr>
                <w:rFonts w:hint="eastAsia"/>
                <w:sz w:val="21"/>
                <w:szCs w:val="21"/>
                <w:lang w:val="en-US" w:eastAsia="zh-CN"/>
              </w:rPr>
              <w:t>Kitz、花山、沪工</w:t>
            </w:r>
          </w:p>
        </w:tc>
        <w:tc>
          <w:tcPr>
            <w:tcW w:w="1865"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DN40 铜心或不锈钢</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8个</w:t>
            </w:r>
          </w:p>
        </w:tc>
        <w:tc>
          <w:tcPr>
            <w:tcW w:w="1351"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截止阀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jc w:val="both"/>
              <w:rPr>
                <w:rFonts w:hint="default"/>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③</w:t>
            </w:r>
          </w:p>
        </w:tc>
        <w:tc>
          <w:tcPr>
            <w:tcW w:w="1689" w:type="dxa"/>
          </w:tcPr>
          <w:p>
            <w:pPr>
              <w:jc w:val="both"/>
              <w:rPr>
                <w:rFonts w:hint="default"/>
                <w:b w:val="0"/>
                <w:bCs w:val="0"/>
                <w:sz w:val="21"/>
                <w:szCs w:val="21"/>
                <w:vertAlign w:val="baseline"/>
                <w:lang w:val="en-US" w:eastAsia="zh-CN"/>
              </w:rPr>
            </w:pPr>
            <w:r>
              <w:rPr>
                <w:rFonts w:hint="eastAsia"/>
                <w:b w:val="0"/>
                <w:bCs w:val="0"/>
                <w:sz w:val="21"/>
                <w:szCs w:val="21"/>
                <w:lang w:val="en-US" w:eastAsia="zh-CN"/>
              </w:rPr>
              <w:t>排气阀</w:t>
            </w:r>
          </w:p>
        </w:tc>
        <w:tc>
          <w:tcPr>
            <w:tcW w:w="1910"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埃美柯、特路、海斯迪克</w:t>
            </w:r>
          </w:p>
        </w:tc>
        <w:tc>
          <w:tcPr>
            <w:tcW w:w="1865"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DN40</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10个</w:t>
            </w:r>
          </w:p>
        </w:tc>
        <w:tc>
          <w:tcPr>
            <w:tcW w:w="1351"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丝口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05" w:type="dxa"/>
          </w:tcPr>
          <w:p>
            <w:pPr>
              <w:jc w:val="both"/>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④</w:t>
            </w:r>
          </w:p>
        </w:tc>
        <w:tc>
          <w:tcPr>
            <w:tcW w:w="1689" w:type="dxa"/>
          </w:tcPr>
          <w:p>
            <w:pPr>
              <w:jc w:val="both"/>
              <w:rPr>
                <w:rFonts w:hint="eastAsia"/>
                <w:b w:val="0"/>
                <w:bCs w:val="0"/>
                <w:sz w:val="21"/>
                <w:szCs w:val="21"/>
                <w:lang w:val="en-US" w:eastAsia="zh-CN"/>
              </w:rPr>
            </w:pPr>
            <w:r>
              <w:rPr>
                <w:rFonts w:hint="eastAsia"/>
                <w:b w:val="0"/>
                <w:bCs w:val="0"/>
                <w:sz w:val="21"/>
                <w:szCs w:val="21"/>
                <w:lang w:val="en-US" w:eastAsia="zh-CN"/>
              </w:rPr>
              <w:t>橡塑保</w:t>
            </w:r>
          </w:p>
          <w:p>
            <w:pPr>
              <w:jc w:val="both"/>
              <w:rPr>
                <w:rFonts w:hint="eastAsia"/>
                <w:sz w:val="21"/>
                <w:szCs w:val="21"/>
                <w:lang w:val="en-US" w:eastAsia="zh-CN"/>
              </w:rPr>
            </w:pPr>
            <w:r>
              <w:rPr>
                <w:rFonts w:hint="eastAsia"/>
                <w:b w:val="0"/>
                <w:bCs w:val="0"/>
                <w:sz w:val="21"/>
                <w:szCs w:val="21"/>
                <w:lang w:val="en-US" w:eastAsia="zh-CN"/>
              </w:rPr>
              <w:t>温</w:t>
            </w:r>
          </w:p>
        </w:tc>
        <w:tc>
          <w:tcPr>
            <w:tcW w:w="1910" w:type="dxa"/>
          </w:tcPr>
          <w:p>
            <w:pPr>
              <w:jc w:val="both"/>
              <w:rPr>
                <w:rFonts w:hint="eastAsia"/>
                <w:sz w:val="21"/>
                <w:szCs w:val="21"/>
                <w:lang w:val="en-US" w:eastAsia="zh-CN"/>
              </w:rPr>
            </w:pPr>
            <w:r>
              <w:rPr>
                <w:rFonts w:hint="eastAsia" w:cs="宋体"/>
                <w:b w:val="0"/>
                <w:bCs w:val="0"/>
                <w:snapToGrid w:val="0"/>
                <w:kern w:val="0"/>
                <w:sz w:val="21"/>
                <w:szCs w:val="21"/>
                <w:lang w:val="en-US" w:eastAsia="zh-CN" w:bidi="ar-SA"/>
              </w:rPr>
              <w:t>瑞沃、可狄、中亚</w:t>
            </w:r>
          </w:p>
        </w:tc>
        <w:tc>
          <w:tcPr>
            <w:tcW w:w="1865" w:type="dxa"/>
          </w:tcPr>
          <w:p>
            <w:pPr>
              <w:jc w:val="both"/>
              <w:rPr>
                <w:rFonts w:hint="eastAsia"/>
                <w:sz w:val="21"/>
                <w:szCs w:val="21"/>
                <w:lang w:val="en-US" w:eastAsia="zh-CN"/>
              </w:rPr>
            </w:pPr>
            <w:r>
              <w:rPr>
                <w:rFonts w:hint="eastAsia"/>
                <w:b w:val="0"/>
                <w:bCs w:val="0"/>
                <w:sz w:val="21"/>
                <w:szCs w:val="21"/>
                <w:lang w:val="en-US" w:eastAsia="zh-CN"/>
              </w:rPr>
              <w:t>厚度＞5cm</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200m</w:t>
            </w:r>
          </w:p>
        </w:tc>
        <w:tc>
          <w:tcPr>
            <w:tcW w:w="1351" w:type="dxa"/>
          </w:tcPr>
          <w:p>
            <w:pPr>
              <w:jc w:val="both"/>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5" w:type="dxa"/>
          </w:tcPr>
          <w:p>
            <w:pPr>
              <w:jc w:val="both"/>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⑤</w:t>
            </w:r>
          </w:p>
        </w:tc>
        <w:tc>
          <w:tcPr>
            <w:tcW w:w="1689" w:type="dxa"/>
          </w:tcPr>
          <w:p>
            <w:pPr>
              <w:jc w:val="both"/>
              <w:rPr>
                <w:rFonts w:hint="default"/>
                <w:sz w:val="21"/>
                <w:szCs w:val="21"/>
                <w:lang w:val="en-US" w:eastAsia="zh-CN"/>
              </w:rPr>
            </w:pPr>
            <w:r>
              <w:rPr>
                <w:rFonts w:hint="eastAsia"/>
                <w:sz w:val="21"/>
                <w:szCs w:val="21"/>
                <w:lang w:val="en-US" w:eastAsia="zh-CN"/>
              </w:rPr>
              <w:t>外保护铝皮</w:t>
            </w:r>
          </w:p>
        </w:tc>
        <w:tc>
          <w:tcPr>
            <w:tcW w:w="1910" w:type="dxa"/>
          </w:tcPr>
          <w:p>
            <w:pPr>
              <w:jc w:val="both"/>
              <w:rPr>
                <w:rFonts w:hint="eastAsia"/>
                <w:sz w:val="21"/>
                <w:szCs w:val="21"/>
                <w:lang w:val="en-US" w:eastAsia="zh-CN"/>
              </w:rPr>
            </w:pPr>
            <w:r>
              <w:rPr>
                <w:rFonts w:hint="eastAsia"/>
                <w:b w:val="0"/>
                <w:bCs w:val="0"/>
                <w:sz w:val="21"/>
                <w:szCs w:val="21"/>
                <w:lang w:val="en-US" w:eastAsia="zh-CN"/>
              </w:rPr>
              <w:t>风铝、兴发、南山</w:t>
            </w:r>
          </w:p>
        </w:tc>
        <w:tc>
          <w:tcPr>
            <w:tcW w:w="1865" w:type="dxa"/>
          </w:tcPr>
          <w:p>
            <w:pPr>
              <w:jc w:val="both"/>
              <w:rPr>
                <w:rFonts w:hint="default"/>
                <w:sz w:val="21"/>
                <w:szCs w:val="21"/>
                <w:lang w:val="en-US" w:eastAsia="zh-CN"/>
              </w:rPr>
            </w:pPr>
            <w:r>
              <w:rPr>
                <w:rFonts w:hint="eastAsia"/>
                <w:sz w:val="21"/>
                <w:szCs w:val="21"/>
                <w:lang w:val="en-US" w:eastAsia="zh-CN"/>
              </w:rPr>
              <w:t>厚度</w:t>
            </w:r>
            <w:r>
              <w:rPr>
                <w:rFonts w:hint="eastAsia"/>
                <w:b w:val="0"/>
                <w:bCs w:val="0"/>
                <w:sz w:val="21"/>
                <w:szCs w:val="21"/>
                <w:lang w:val="en-US" w:eastAsia="zh-CN"/>
              </w:rPr>
              <w:t>＞0.5mm</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200m</w:t>
            </w:r>
          </w:p>
        </w:tc>
        <w:tc>
          <w:tcPr>
            <w:tcW w:w="1351"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铆钉连接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05" w:type="dxa"/>
          </w:tcPr>
          <w:p>
            <w:pPr>
              <w:jc w:val="both"/>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⑥</w:t>
            </w:r>
          </w:p>
        </w:tc>
        <w:tc>
          <w:tcPr>
            <w:tcW w:w="1689" w:type="dxa"/>
          </w:tcPr>
          <w:p>
            <w:pPr>
              <w:jc w:val="both"/>
              <w:rPr>
                <w:rFonts w:hint="eastAsia"/>
                <w:sz w:val="21"/>
                <w:szCs w:val="21"/>
                <w:lang w:val="en-US" w:eastAsia="zh-CN"/>
              </w:rPr>
            </w:pPr>
            <w:r>
              <w:rPr>
                <w:rFonts w:hint="eastAsia"/>
                <w:sz w:val="21"/>
                <w:szCs w:val="21"/>
                <w:lang w:val="en-US" w:eastAsia="zh-CN"/>
              </w:rPr>
              <w:t>角铁支架</w:t>
            </w:r>
          </w:p>
          <w:p>
            <w:pPr>
              <w:bidi w:val="0"/>
              <w:jc w:val="both"/>
              <w:rPr>
                <w:rFonts w:hint="default" w:ascii="Times New Roman" w:hAnsi="Times New Roman" w:eastAsia="宋体" w:cs="Times New Roman"/>
                <w:kern w:val="2"/>
                <w:sz w:val="21"/>
                <w:szCs w:val="24"/>
                <w:lang w:val="en-US" w:eastAsia="zh-CN" w:bidi="ar-SA"/>
              </w:rPr>
            </w:pPr>
          </w:p>
        </w:tc>
        <w:tc>
          <w:tcPr>
            <w:tcW w:w="1910" w:type="dxa"/>
          </w:tcPr>
          <w:p>
            <w:pPr>
              <w:jc w:val="both"/>
              <w:rPr>
                <w:rFonts w:hint="default"/>
                <w:b w:val="0"/>
                <w:bCs w:val="0"/>
                <w:sz w:val="21"/>
                <w:szCs w:val="21"/>
                <w:lang w:val="en-US" w:eastAsia="zh-CN"/>
              </w:rPr>
            </w:pPr>
            <w:r>
              <w:rPr>
                <w:rFonts w:hint="eastAsia"/>
                <w:b w:val="0"/>
                <w:bCs w:val="0"/>
                <w:sz w:val="21"/>
                <w:szCs w:val="21"/>
                <w:lang w:val="en-US" w:eastAsia="zh-CN"/>
              </w:rPr>
              <w:t>国标</w:t>
            </w:r>
          </w:p>
        </w:tc>
        <w:tc>
          <w:tcPr>
            <w:tcW w:w="1865" w:type="dxa"/>
          </w:tcPr>
          <w:p>
            <w:pPr>
              <w:jc w:val="both"/>
              <w:rPr>
                <w:rFonts w:hint="default"/>
                <w:sz w:val="21"/>
                <w:szCs w:val="21"/>
                <w:lang w:val="en-US" w:eastAsia="zh-CN"/>
              </w:rPr>
            </w:pPr>
            <w:r>
              <w:rPr>
                <w:rFonts w:hint="eastAsia"/>
                <w:sz w:val="21"/>
                <w:szCs w:val="21"/>
                <w:lang w:val="en-US" w:eastAsia="zh-CN"/>
              </w:rPr>
              <w:t>25*25*1.5mm</w:t>
            </w:r>
          </w:p>
        </w:tc>
        <w:tc>
          <w:tcPr>
            <w:tcW w:w="1353" w:type="dxa"/>
          </w:tcPr>
          <w:p>
            <w:p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每3m一段</w:t>
            </w:r>
          </w:p>
        </w:tc>
        <w:tc>
          <w:tcPr>
            <w:tcW w:w="1351" w:type="dxa"/>
          </w:tcPr>
          <w:p>
            <w:pPr>
              <w:jc w:val="both"/>
              <w:rPr>
                <w:rFonts w:hint="default"/>
                <w:b w:val="0"/>
                <w:bCs w:val="0"/>
                <w:sz w:val="21"/>
                <w:szCs w:val="21"/>
                <w:vertAlign w:val="baseline"/>
                <w:lang w:val="en-US" w:eastAsia="zh-CN"/>
              </w:rPr>
            </w:pPr>
          </w:p>
        </w:tc>
      </w:tr>
    </w:tbl>
    <w:p>
      <w:pPr>
        <w:pStyle w:val="11"/>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1"/>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1"/>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1"/>
        <w:snapToGrid w:val="0"/>
        <w:spacing w:before="120" w:after="120" w:line="360" w:lineRule="auto"/>
        <w:ind w:firstLine="420" w:firstLineChars="200"/>
        <w:rPr>
          <w:rFonts w:hAnsi="宋体" w:cs="宋体"/>
        </w:rPr>
      </w:pPr>
    </w:p>
    <w:p>
      <w:pPr>
        <w:pStyle w:val="11"/>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w:t>
      </w:r>
      <w:r>
        <w:rPr>
          <w:rFonts w:hint="eastAsia" w:cs="宋体"/>
          <w:color w:val="000000"/>
          <w:kern w:val="0"/>
          <w:lang w:val="en-US" w:eastAsia="zh-CN"/>
        </w:rPr>
        <w:t xml:space="preserve">    </w:t>
      </w:r>
      <w:r>
        <w:rPr>
          <w:rFonts w:hint="eastAsia" w:cs="宋体"/>
          <w:color w:val="000000"/>
          <w:kern w:val="0"/>
        </w:rPr>
        <w:t>月   日          日     期：2024年</w:t>
      </w:r>
      <w:r>
        <w:rPr>
          <w:rFonts w:hint="eastAsia" w:cs="宋体"/>
          <w:color w:val="000000"/>
          <w:kern w:val="0"/>
          <w:lang w:val="en-US" w:eastAsia="zh-CN"/>
        </w:rPr>
        <w:t xml:space="preserve">   </w:t>
      </w:r>
      <w:r>
        <w:rPr>
          <w:rFonts w:hint="eastAsia" w:cs="宋体"/>
          <w:color w:val="000000"/>
          <w:kern w:val="0"/>
        </w:rPr>
        <w:t>月   日</w:t>
      </w: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rPr>
          <w:rFonts w:hAnsi="宋体" w:cs="宋体"/>
          <w:color w:val="000000"/>
        </w:rPr>
      </w:pPr>
    </w:p>
    <w:p>
      <w:pPr>
        <w:pStyle w:val="11"/>
        <w:snapToGrid w:val="0"/>
        <w:spacing w:before="120" w:after="120" w:line="360" w:lineRule="auto"/>
        <w:ind w:firstLine="210" w:firstLineChars="100"/>
        <w:rPr>
          <w:rFonts w:hAnsi="宋体" w:cs="宋体"/>
          <w:color w:val="000000"/>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2024004</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w:t>
      </w:r>
      <w:r>
        <w:rPr>
          <w:rFonts w:hint="eastAsia" w:cs="宋体"/>
          <w:color w:val="000000"/>
          <w:kern w:val="0"/>
          <w:lang w:val="en-US" w:eastAsia="zh-CN"/>
        </w:rPr>
        <w:t xml:space="preserve">   </w:t>
      </w:r>
      <w:r>
        <w:rPr>
          <w:rFonts w:hint="eastAsia" w:cs="宋体"/>
          <w:color w:val="000000"/>
          <w:kern w:val="0"/>
        </w:rPr>
        <w:t>月   日            日  期：2024年</w:t>
      </w:r>
      <w:r>
        <w:rPr>
          <w:rFonts w:hint="eastAsia" w:cs="宋体"/>
          <w:color w:val="000000"/>
          <w:kern w:val="0"/>
          <w:lang w:val="en-US" w:eastAsia="zh-CN"/>
        </w:rPr>
        <w:t xml:space="preserve">  </w:t>
      </w:r>
      <w:r>
        <w:rPr>
          <w:rFonts w:hint="eastAsia" w:cs="宋体"/>
          <w:color w:val="000000"/>
          <w:kern w:val="0"/>
        </w:rPr>
        <w:t>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0B4F06"/>
    <w:rsid w:val="053E3F8C"/>
    <w:rsid w:val="05C80596"/>
    <w:rsid w:val="05EB5497"/>
    <w:rsid w:val="06835001"/>
    <w:rsid w:val="07CD3AA2"/>
    <w:rsid w:val="080D44F9"/>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2C14AE"/>
    <w:rsid w:val="19826916"/>
    <w:rsid w:val="19D36840"/>
    <w:rsid w:val="1A223F41"/>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175D2B"/>
    <w:rsid w:val="292206E7"/>
    <w:rsid w:val="298A42A2"/>
    <w:rsid w:val="29CD360F"/>
    <w:rsid w:val="2A6C65F7"/>
    <w:rsid w:val="2AA6133D"/>
    <w:rsid w:val="2BCB5B07"/>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B61D5"/>
    <w:rsid w:val="3F9F4D2B"/>
    <w:rsid w:val="4060216F"/>
    <w:rsid w:val="406A6438"/>
    <w:rsid w:val="4093055E"/>
    <w:rsid w:val="40C726B4"/>
    <w:rsid w:val="424B0DFC"/>
    <w:rsid w:val="424C7250"/>
    <w:rsid w:val="43487107"/>
    <w:rsid w:val="436F1EA3"/>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EE7C77"/>
    <w:rsid w:val="56EF68C8"/>
    <w:rsid w:val="57DA3AB3"/>
    <w:rsid w:val="58A415C5"/>
    <w:rsid w:val="58A76034"/>
    <w:rsid w:val="590E22E7"/>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02DA6"/>
    <w:rsid w:val="600E4C27"/>
    <w:rsid w:val="60186A28"/>
    <w:rsid w:val="60446E43"/>
    <w:rsid w:val="60B176F1"/>
    <w:rsid w:val="60DB4EA5"/>
    <w:rsid w:val="612E05C2"/>
    <w:rsid w:val="61475B6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C32A32"/>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30D4190"/>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6"/>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31"/>
    <w:autoRedefine/>
    <w:qFormat/>
    <w:uiPriority w:val="99"/>
    <w:rPr>
      <w:rFonts w:ascii="宋体" w:hAnsi="Courier New"/>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0"/>
    <w:link w:val="14"/>
    <w:autoRedefine/>
    <w:semiHidden/>
    <w:qFormat/>
    <w:uiPriority w:val="99"/>
    <w:rPr>
      <w:rFonts w:eastAsia="宋体"/>
      <w:kern w:val="2"/>
      <w:sz w:val="18"/>
      <w:szCs w:val="18"/>
    </w:rPr>
  </w:style>
  <w:style w:type="character" w:customStyle="1" w:styleId="29">
    <w:name w:val="页脚 Char"/>
    <w:basedOn w:val="20"/>
    <w:link w:val="13"/>
    <w:autoRedefine/>
    <w:semiHidden/>
    <w:qFormat/>
    <w:uiPriority w:val="99"/>
    <w:rPr>
      <w:rFonts w:eastAsia="宋体"/>
      <w:kern w:val="2"/>
      <w:sz w:val="18"/>
      <w:szCs w:val="18"/>
    </w:rPr>
  </w:style>
  <w:style w:type="character" w:customStyle="1" w:styleId="30">
    <w:name w:val="批注框文本 Char"/>
    <w:basedOn w:val="20"/>
    <w:link w:val="12"/>
    <w:autoRedefine/>
    <w:semiHidden/>
    <w:qFormat/>
    <w:uiPriority w:val="99"/>
    <w:rPr>
      <w:rFonts w:eastAsia="宋体"/>
      <w:kern w:val="2"/>
      <w:sz w:val="18"/>
      <w:szCs w:val="18"/>
    </w:rPr>
  </w:style>
  <w:style w:type="character" w:customStyle="1" w:styleId="31">
    <w:name w:val="纯文本 Char"/>
    <w:basedOn w:val="20"/>
    <w:link w:val="11"/>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Char1"/>
    <w:basedOn w:val="20"/>
    <w:link w:val="15"/>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Char"/>
    <w:link w:val="3"/>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1778</Words>
  <Characters>10139</Characters>
  <Lines>84</Lines>
  <Paragraphs>23</Paragraphs>
  <TotalTime>4</TotalTime>
  <ScaleCrop>false</ScaleCrop>
  <LinksUpToDate>false</LinksUpToDate>
  <CharactersWithSpaces>11894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2024-02-27T00:22:32Z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4BB3D7FF16054BD0B7416635492F7557_13</vt:lpwstr>
  </property>
</Properties>
</file>