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YDFYXJ-2024007号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ascii="宋体" w:hAnsi="宋体" w:cs="宋体"/>
          <w:b/>
          <w:snapToGrid w:val="0"/>
          <w:kern w:val="0"/>
          <w:sz w:val="48"/>
          <w:szCs w:val="48"/>
        </w:rPr>
      </w:pPr>
      <w:r>
        <w:rPr>
          <w:rFonts w:hint="eastAsia" w:ascii="宋体" w:hAnsi="宋体" w:cs="宋体"/>
          <w:b/>
          <w:snapToGrid w:val="0"/>
          <w:kern w:val="0"/>
          <w:sz w:val="48"/>
          <w:szCs w:val="48"/>
        </w:rPr>
        <w:t>东西区发电机维保服务项目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24年</w:t>
      </w:r>
      <w:r>
        <w:rPr>
          <w:rFonts w:hint="eastAsia" w:asciiTheme="minorEastAsia" w:hAnsiTheme="minorEastAsia" w:eastAsiaTheme="minorEastAsia"/>
          <w:b/>
          <w:color w:val="000000" w:themeColor="text1"/>
          <w:w w:val="90"/>
          <w:kern w:val="0"/>
          <w:sz w:val="32"/>
          <w:szCs w:val="32"/>
        </w:rPr>
        <w:t>2月27日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扬州大学附属医院东西区发电机维保服务项目（编号：YDFYXJ-2024007号）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1.项目名称：扬州大学附属医院东西区发电机维保服务项目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3.最高限价：3.5万元，投标报价高于最高限价作废标处理。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在2024年3月</w:t>
      </w:r>
      <w:r>
        <w:rPr>
          <w:rFonts w:hint="eastAsia" w:ascii="宋体" w:hAnsi="宋体"/>
          <w:b/>
          <w:sz w:val="24"/>
          <w:lang w:val="en-US" w:eastAsia="zh-CN"/>
        </w:rPr>
        <w:t>6</w:t>
      </w:r>
      <w:r>
        <w:rPr>
          <w:rFonts w:hint="eastAsia" w:ascii="宋体" w:hAnsi="宋体"/>
          <w:b/>
          <w:sz w:val="24"/>
        </w:rPr>
        <w:t>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9.本项目不分包，报价时请详细列明东西区发电机维保服务项目需求和具体参数，如因表述不详影响中标，责任自负。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rPr>
        <w:t>东西区发电机维保服务项目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12.协议结算方式：本协议价款采用固定总价协议方式确定。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付款方式为在</w:t>
      </w:r>
      <w:r>
        <w:rPr>
          <w:rFonts w:hint="eastAsia" w:cs="宋体"/>
          <w:sz w:val="24"/>
        </w:rPr>
        <w:t>维保结束</w:t>
      </w:r>
      <w:r>
        <w:rPr>
          <w:rFonts w:hint="eastAsia" w:ascii="宋体" w:hAnsi="宋体" w:cs="宋体"/>
          <w:sz w:val="24"/>
        </w:rPr>
        <w:t>后，乙方凭开具的正规增值税发票等材料向甲方办理付款手续，甲方凭手续齐全的票据向乙方支付协议价的100%。</w:t>
      </w:r>
      <w:r>
        <w:rPr>
          <w:rFonts w:hint="eastAsia" w:ascii="宋体" w:hAnsi="宋体" w:cs="宋体"/>
          <w:b/>
          <w:bCs/>
          <w:sz w:val="24"/>
        </w:rPr>
        <w:t>（以上均不计息）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2024年3月</w:t>
      </w:r>
      <w:r>
        <w:rPr>
          <w:rFonts w:hint="eastAsia" w:cs="微软雅黑"/>
          <w:b/>
          <w:lang w:val="en-US" w:eastAsia="zh-CN"/>
        </w:rPr>
        <w:t>6</w:t>
      </w:r>
      <w:r>
        <w:rPr>
          <w:rFonts w:hint="eastAsia" w:cs="微软雅黑"/>
          <w:b/>
        </w:rPr>
        <w:t>日</w:t>
      </w:r>
      <w:r>
        <w:rPr>
          <w:rFonts w:hint="eastAsia"/>
          <w:b/>
        </w:rPr>
        <w:t>上午10：30</w:t>
      </w:r>
      <w:r>
        <w:rPr>
          <w:rFonts w:hint="eastAsia" w:cs="微软雅黑"/>
          <w:color w:val="000000"/>
        </w:rPr>
        <w:t>前</w:t>
      </w:r>
      <w:r>
        <w:rPr>
          <w:rStyle w:val="36"/>
          <w:b/>
        </w:rPr>
        <w:t>（北</w:t>
      </w:r>
      <w:r>
        <w:rPr>
          <w:rStyle w:val="36"/>
          <w:b/>
          <w:color w:val="000000"/>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扬州大学附属医院西区行政楼四楼采购中心405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hint="eastAsia" w:ascii="宋体" w:hAnsi="宋体"/>
          <w:b/>
          <w:sz w:val="24"/>
        </w:rPr>
        <w:t>2024</w:t>
      </w:r>
      <w:r>
        <w:rPr>
          <w:rStyle w:val="36"/>
          <w:rFonts w:ascii="宋体" w:hAnsi="宋体"/>
          <w:b/>
          <w:sz w:val="24"/>
        </w:rPr>
        <w:t>年</w:t>
      </w:r>
      <w:r>
        <w:rPr>
          <w:rStyle w:val="36"/>
          <w:rFonts w:hint="eastAsia" w:ascii="宋体" w:hAnsi="宋体"/>
          <w:b/>
          <w:sz w:val="24"/>
        </w:rPr>
        <w:t>3</w:t>
      </w:r>
      <w:r>
        <w:rPr>
          <w:rStyle w:val="36"/>
          <w:rFonts w:ascii="宋体" w:hAnsi="宋体"/>
          <w:b/>
          <w:sz w:val="24"/>
        </w:rPr>
        <w:t>月</w:t>
      </w:r>
      <w:r>
        <w:rPr>
          <w:rStyle w:val="36"/>
          <w:rFonts w:hint="eastAsia" w:ascii="宋体" w:hAnsi="宋体"/>
          <w:b/>
          <w:sz w:val="24"/>
          <w:lang w:val="en-US" w:eastAsia="zh-CN"/>
        </w:rPr>
        <w:t>6</w:t>
      </w:r>
      <w:r>
        <w:rPr>
          <w:rStyle w:val="36"/>
          <w:rFonts w:ascii="宋体" w:hAnsi="宋体"/>
          <w:b/>
          <w:sz w:val="24"/>
        </w:rPr>
        <w:t>日</w:t>
      </w:r>
      <w:r>
        <w:rPr>
          <w:rFonts w:hint="eastAsia" w:ascii="宋体" w:hAnsi="宋体"/>
          <w:b/>
          <w:sz w:val="24"/>
        </w:rPr>
        <w:t>上午10：30</w:t>
      </w:r>
      <w:r>
        <w:rPr>
          <w:rStyle w:val="36"/>
          <w:rFonts w:ascii="宋体" w:hAnsi="宋体"/>
          <w:b/>
          <w:sz w:val="24"/>
        </w:rPr>
        <w:t>（北</w:t>
      </w:r>
      <w:r>
        <w:rPr>
          <w:rStyle w:val="36"/>
          <w:rFonts w:ascii="宋体" w:hAnsi="宋体"/>
          <w:b/>
          <w:color w:val="000000"/>
          <w:sz w:val="24"/>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供应商如确定参加投标，请如实填写招标文件内《供应商参加投标确认函》，并在接收截止时间前将加盖公章的确认函扫描件发送至电子邮箱（hoytyzdx@163.com）。（投标确认函格式附后）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2024年3月</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日</w:t>
      </w:r>
      <w:r>
        <w:rPr>
          <w:rFonts w:hint="eastAsia" w:ascii="宋体" w:hAnsi="宋体"/>
          <w:b/>
          <w:sz w:val="24"/>
        </w:rPr>
        <w:t>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1.1项目名称：扬州大学附属医院东西区发电机维保服务项目</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1.2项目编号：YDFYXJ-2024007号</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1.4最高限价：3.5万元，投标报价高于最高限价作废标处理。</w:t>
      </w:r>
    </w:p>
    <w:p>
      <w:pPr>
        <w:numPr>
          <w:ilvl w:val="0"/>
          <w:numId w:val="2"/>
        </w:numPr>
        <w:adjustRightInd w:val="0"/>
        <w:snapToGrid w:val="0"/>
        <w:spacing w:line="440" w:lineRule="exact"/>
        <w:contextualSpacing/>
        <w:rPr>
          <w:rFonts w:ascii="宋体" w:hAnsi="宋体" w:cs="宋体"/>
          <w:b/>
          <w:bCs/>
          <w:snapToGrid w:val="0"/>
          <w:kern w:val="0"/>
          <w:sz w:val="24"/>
        </w:rPr>
      </w:pPr>
      <w:r>
        <w:rPr>
          <w:rFonts w:hint="eastAsia" w:ascii="宋体" w:hAnsi="宋体" w:cs="宋体"/>
          <w:b/>
          <w:bCs/>
          <w:snapToGrid w:val="0"/>
          <w:kern w:val="0"/>
          <w:sz w:val="24"/>
        </w:rPr>
        <w:t>采购项目内容及要求</w:t>
      </w:r>
    </w:p>
    <w:p>
      <w:pPr>
        <w:pStyle w:val="6"/>
        <w:spacing w:before="0" w:after="0" w:line="360" w:lineRule="auto"/>
        <w:rPr>
          <w:rFonts w:ascii="宋体" w:hAnsi="宋体"/>
          <w:color w:val="000000"/>
          <w:sz w:val="21"/>
          <w:szCs w:val="21"/>
        </w:rPr>
      </w:pPr>
      <w:r>
        <w:rPr>
          <w:rFonts w:hint="eastAsia" w:ascii="宋体" w:hAnsi="宋体"/>
          <w:color w:val="000000"/>
          <w:sz w:val="21"/>
          <w:szCs w:val="21"/>
        </w:rPr>
        <w:t>一、维保服务对象</w:t>
      </w:r>
    </w:p>
    <w:p>
      <w:pPr>
        <w:spacing w:line="360" w:lineRule="auto"/>
        <w:ind w:firstLine="420" w:firstLineChars="200"/>
        <w:rPr>
          <w:rFonts w:ascii="宋体" w:hAnsi="宋体"/>
          <w:color w:val="000000"/>
          <w:szCs w:val="21"/>
        </w:rPr>
      </w:pPr>
      <w:r>
        <w:rPr>
          <w:rFonts w:hint="eastAsia" w:ascii="宋体" w:hAnsi="宋体"/>
          <w:color w:val="000000"/>
          <w:szCs w:val="21"/>
        </w:rPr>
        <w:t>我单位东西院区2台柴油发电机组机组，型号：KV550E自动快速启动柴油发电机组，柴油机为整机原装进口瑞典VOLVO柴油发动机，型号为TAD1641GE；发电机为斯坦福，型号为HCI544D，控制系统为进口科迈控制器，型号为8800，整套设备由上海科泰电源股份有限公司生产供货。型号：KV550E（4</w:t>
      </w:r>
      <w:r>
        <w:rPr>
          <w:rFonts w:ascii="宋体" w:hAnsi="宋体"/>
          <w:color w:val="000000"/>
          <w:szCs w:val="21"/>
        </w:rPr>
        <w:t>40kW</w:t>
      </w:r>
      <w:r>
        <w:rPr>
          <w:rFonts w:hint="eastAsia" w:ascii="宋体" w:hAnsi="宋体"/>
          <w:color w:val="000000"/>
          <w:szCs w:val="21"/>
        </w:rPr>
        <w:t>），机组使用地点：东区医院2号楼东面户外</w:t>
      </w:r>
      <w:bookmarkStart w:id="1" w:name="_Hlk125881010"/>
      <w:r>
        <w:rPr>
          <w:rFonts w:hint="eastAsia" w:ascii="宋体" w:hAnsi="宋体"/>
          <w:color w:val="000000"/>
          <w:szCs w:val="21"/>
        </w:rPr>
        <w:t>机房内</w:t>
      </w:r>
      <w:bookmarkEnd w:id="1"/>
      <w:r>
        <w:rPr>
          <w:rFonts w:hint="eastAsia" w:ascii="宋体" w:hAnsi="宋体"/>
          <w:color w:val="000000"/>
          <w:szCs w:val="21"/>
        </w:rPr>
        <w:t>，西区医院地下室机房内。</w:t>
      </w:r>
    </w:p>
    <w:p>
      <w:pPr>
        <w:pStyle w:val="6"/>
        <w:spacing w:before="0" w:after="0" w:line="360" w:lineRule="auto"/>
        <w:rPr>
          <w:rFonts w:ascii="宋体" w:hAnsi="宋体"/>
          <w:color w:val="000000"/>
          <w:sz w:val="21"/>
          <w:szCs w:val="21"/>
        </w:rPr>
      </w:pPr>
      <w:r>
        <w:rPr>
          <w:rFonts w:hint="eastAsia" w:ascii="宋体" w:hAnsi="宋体"/>
          <w:color w:val="000000"/>
          <w:sz w:val="21"/>
          <w:szCs w:val="21"/>
        </w:rPr>
        <w:t>二、油机维保服务范围及内容</w:t>
      </w:r>
    </w:p>
    <w:p>
      <w:pPr>
        <w:spacing w:line="360" w:lineRule="auto"/>
        <w:rPr>
          <w:rFonts w:ascii="宋体" w:hAnsi="宋体"/>
          <w:color w:val="000000"/>
          <w:szCs w:val="21"/>
        </w:rPr>
      </w:pPr>
      <w:r>
        <w:rPr>
          <w:rFonts w:hint="eastAsia" w:ascii="宋体" w:hAnsi="宋体"/>
          <w:color w:val="000000"/>
          <w:szCs w:val="21"/>
        </w:rPr>
        <w:t>2.1东西院区2台柴油发电机组维护保养技术要求</w:t>
      </w:r>
    </w:p>
    <w:p>
      <w:pPr>
        <w:spacing w:line="360" w:lineRule="auto"/>
        <w:ind w:firstLine="420" w:firstLineChars="200"/>
        <w:rPr>
          <w:rFonts w:ascii="宋体" w:hAnsi="宋体"/>
          <w:color w:val="000000"/>
          <w:szCs w:val="21"/>
        </w:rPr>
      </w:pPr>
      <w:r>
        <w:rPr>
          <w:rFonts w:hint="eastAsia" w:ascii="宋体" w:hAnsi="宋体"/>
          <w:color w:val="000000"/>
          <w:szCs w:val="21"/>
        </w:rPr>
        <w:t>柴油发电机组的单机启动测试，现场带载测试提供测试报告，完成柴油发电机切换试验，包括完成逻辑验证。发动机调速单元重新设定校验，转速及相关传感器的校验、比对，并出具相关报告，提供柴油发电机组原厂软件进行控制器逻辑程序校验，提供各项数据，包含模拟量调速电压校正及AVRI设定检查，完成检修检查电气控制部分。</w:t>
      </w:r>
    </w:p>
    <w:p>
      <w:pPr>
        <w:spacing w:line="360" w:lineRule="auto"/>
        <w:rPr>
          <w:rFonts w:ascii="宋体" w:hAnsi="宋体"/>
          <w:color w:val="000000"/>
          <w:szCs w:val="21"/>
        </w:rPr>
      </w:pPr>
      <w:r>
        <w:rPr>
          <w:rFonts w:hint="eastAsia" w:ascii="宋体" w:hAnsi="宋体"/>
          <w:color w:val="000000"/>
          <w:szCs w:val="21"/>
        </w:rPr>
        <w:t>2.2柴油发电机组定期保养、故障抢修处理、单机启动测试等产生的全部费用。包含但不限于以下服务项目：</w:t>
      </w:r>
    </w:p>
    <w:p>
      <w:pPr>
        <w:pStyle w:val="44"/>
        <w:tabs>
          <w:tab w:val="left" w:pos="567"/>
        </w:tabs>
        <w:spacing w:line="360" w:lineRule="auto"/>
        <w:ind w:firstLine="0" w:firstLineChars="0"/>
        <w:rPr>
          <w:rFonts w:ascii="宋体" w:hAnsi="宋体" w:eastAsia="宋体" w:cs="Times New Roman"/>
          <w:color w:val="000000"/>
          <w:sz w:val="21"/>
          <w:szCs w:val="21"/>
        </w:rPr>
      </w:pPr>
      <w:r>
        <w:rPr>
          <w:rFonts w:hint="eastAsia" w:ascii="宋体" w:hAnsi="宋体" w:eastAsia="宋体" w:cs="Times New Roman"/>
          <w:color w:val="000000"/>
          <w:sz w:val="21"/>
          <w:szCs w:val="21"/>
        </w:rPr>
        <w:t>①柴油发电机组按照维护规程周期性巡检维护项目，每年不少于12次；</w:t>
      </w:r>
    </w:p>
    <w:p>
      <w:pPr>
        <w:pStyle w:val="44"/>
        <w:tabs>
          <w:tab w:val="left" w:pos="567"/>
        </w:tabs>
        <w:spacing w:line="360" w:lineRule="auto"/>
        <w:ind w:firstLine="0" w:firstLineChars="0"/>
        <w:rPr>
          <w:rFonts w:ascii="宋体" w:hAnsi="宋体" w:eastAsia="宋体" w:cs="Times New Roman"/>
          <w:color w:val="000000"/>
          <w:sz w:val="21"/>
          <w:szCs w:val="21"/>
        </w:rPr>
      </w:pPr>
      <w:r>
        <w:rPr>
          <w:rFonts w:hint="eastAsia" w:ascii="宋体" w:hAnsi="宋体" w:eastAsia="宋体" w:cs="Times New Roman"/>
          <w:color w:val="000000"/>
          <w:sz w:val="21"/>
          <w:szCs w:val="21"/>
        </w:rPr>
        <w:t>②柴油发电机组定期维护保养（更换机油、三滤、防冻液、启动电池检测），每年不少于1次；</w:t>
      </w:r>
    </w:p>
    <w:p>
      <w:pPr>
        <w:pStyle w:val="44"/>
        <w:tabs>
          <w:tab w:val="left" w:pos="567"/>
        </w:tabs>
        <w:spacing w:line="360" w:lineRule="auto"/>
        <w:ind w:firstLine="0" w:firstLineChars="0"/>
        <w:rPr>
          <w:rFonts w:ascii="宋体" w:hAnsi="宋体" w:eastAsia="宋体" w:cs="Times New Roman"/>
          <w:sz w:val="21"/>
          <w:szCs w:val="21"/>
        </w:rPr>
      </w:pPr>
      <w:r>
        <w:rPr>
          <w:rFonts w:hint="eastAsia" w:ascii="宋体" w:hAnsi="宋体" w:eastAsia="宋体" w:cs="Times New Roman"/>
          <w:sz w:val="21"/>
          <w:szCs w:val="21"/>
        </w:rPr>
        <w:t>③柴油发电机组设备告警、故障抢修处理；</w:t>
      </w:r>
    </w:p>
    <w:p>
      <w:pPr>
        <w:pStyle w:val="44"/>
        <w:tabs>
          <w:tab w:val="left" w:pos="426"/>
        </w:tabs>
        <w:spacing w:line="360" w:lineRule="auto"/>
        <w:ind w:firstLine="0" w:firstLineChars="0"/>
        <w:rPr>
          <w:rFonts w:ascii="宋体" w:hAnsi="宋体" w:eastAsia="宋体" w:cs="Times New Roman"/>
          <w:sz w:val="21"/>
          <w:szCs w:val="21"/>
        </w:rPr>
      </w:pPr>
      <w:r>
        <w:rPr>
          <w:rFonts w:hint="eastAsia" w:ascii="宋体" w:hAnsi="宋体" w:eastAsia="宋体" w:cs="Times New Roman"/>
          <w:sz w:val="21"/>
          <w:szCs w:val="21"/>
        </w:rPr>
        <w:t>④隐性故障、隐患问题的排查、处理，遗留问题整改；</w:t>
      </w:r>
    </w:p>
    <w:p>
      <w:pPr>
        <w:pStyle w:val="44"/>
        <w:tabs>
          <w:tab w:val="left" w:pos="426"/>
        </w:tabs>
        <w:spacing w:line="360" w:lineRule="auto"/>
        <w:ind w:firstLine="0" w:firstLineChars="0"/>
        <w:rPr>
          <w:rFonts w:ascii="宋体" w:hAnsi="宋体" w:eastAsia="宋体" w:cs="Times New Roman"/>
          <w:sz w:val="21"/>
          <w:szCs w:val="21"/>
        </w:rPr>
      </w:pPr>
      <w:r>
        <w:rPr>
          <w:rFonts w:hint="eastAsia" w:ascii="宋体" w:hAnsi="宋体" w:eastAsia="宋体" w:cs="Times New Roman"/>
          <w:sz w:val="21"/>
          <w:szCs w:val="21"/>
        </w:rPr>
        <w:t>⑤配件更换，甲方根据市场价决定是否采购乙方报价配件，如采购，乙方所有更换的配件均为正品，并向甲方提供合格证，配件质保期为一年。</w:t>
      </w:r>
    </w:p>
    <w:p>
      <w:pPr>
        <w:pStyle w:val="6"/>
        <w:spacing w:before="0" w:after="0" w:line="360" w:lineRule="auto"/>
        <w:rPr>
          <w:rFonts w:ascii="宋体" w:hAnsi="宋体"/>
          <w:sz w:val="21"/>
          <w:szCs w:val="21"/>
        </w:rPr>
      </w:pPr>
      <w:bookmarkStart w:id="2" w:name="_Toc215304020"/>
      <w:bookmarkStart w:id="3" w:name="_Toc215301739"/>
      <w:r>
        <w:rPr>
          <w:rFonts w:hint="eastAsia" w:ascii="宋体" w:hAnsi="宋体"/>
          <w:sz w:val="21"/>
          <w:szCs w:val="21"/>
        </w:rPr>
        <w:t>三、维保</w:t>
      </w:r>
      <w:r>
        <w:rPr>
          <w:rFonts w:hint="eastAsia" w:ascii="宋体" w:hAnsi="宋体"/>
          <w:bCs w:val="0"/>
          <w:sz w:val="21"/>
          <w:szCs w:val="21"/>
        </w:rPr>
        <w:t>人员配置要求</w:t>
      </w:r>
    </w:p>
    <w:p>
      <w:pPr>
        <w:spacing w:line="360" w:lineRule="auto"/>
        <w:ind w:firstLine="420" w:firstLineChars="200"/>
        <w:rPr>
          <w:rFonts w:ascii="宋体" w:hAnsi="宋体"/>
          <w:color w:val="000000"/>
          <w:szCs w:val="21"/>
        </w:rPr>
      </w:pPr>
      <w:r>
        <w:rPr>
          <w:rFonts w:hint="eastAsia" w:ascii="宋体" w:hAnsi="宋体"/>
          <w:color w:val="000000"/>
          <w:szCs w:val="21"/>
        </w:rPr>
        <w:t>要求本项目维保技术人员应具备柴油发电机组维护经验，具有通信、电子或电源配套等相关专业大专及以上学历，持有应急管理部门的低压电工作业证及高压电工作业证，派遣的现场维保主要技术人员必须持有</w:t>
      </w:r>
      <w:r>
        <w:rPr>
          <w:rFonts w:hint="eastAsia" w:ascii="宋体" w:hAnsi="宋体"/>
          <w:color w:val="auto"/>
          <w:szCs w:val="21"/>
        </w:rPr>
        <w:t>“瑞典VOLVO”发动机及斯坦福发电机授权证书或生产厂家（上海科泰）相应的授权服务证书。</w:t>
      </w:r>
      <w:r>
        <w:rPr>
          <w:rFonts w:hint="eastAsia" w:ascii="宋体" w:hAnsi="宋体"/>
          <w:color w:val="000000"/>
          <w:szCs w:val="21"/>
        </w:rPr>
        <w:t>熟练掌握本型号油机设备维护技能和故障处理要求，能够独立处理所有油机设备各类故障，有较强的故障处理和分析能力，故障统计和分析做到详细、准确，疑难问题提出针对性预防措施，能够熟练掌握所有仪器仪表和维护软件的基本操作。</w:t>
      </w:r>
    </w:p>
    <w:p>
      <w:pPr>
        <w:pStyle w:val="5"/>
        <w:spacing w:before="0" w:after="0" w:line="360" w:lineRule="auto"/>
        <w:rPr>
          <w:rFonts w:ascii="宋体" w:hAnsi="宋体"/>
          <w:color w:val="000000"/>
          <w:kern w:val="0"/>
          <w:sz w:val="21"/>
          <w:szCs w:val="21"/>
        </w:rPr>
      </w:pPr>
      <w:r>
        <w:rPr>
          <w:rFonts w:hint="eastAsia" w:ascii="宋体" w:hAnsi="宋体"/>
          <w:color w:val="000000"/>
          <w:kern w:val="0"/>
          <w:sz w:val="21"/>
          <w:szCs w:val="21"/>
        </w:rPr>
        <w:t>四、维保质量要求</w:t>
      </w:r>
    </w:p>
    <w:bookmarkEnd w:id="2"/>
    <w:bookmarkEnd w:id="3"/>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柴油发电机组维保的日常维护按照维护周期要求分为月度、季度、半年、年度维护项目内容,维护项目及标准具体内容如下：</w:t>
      </w:r>
    </w:p>
    <w:p>
      <w:pPr>
        <w:spacing w:line="360" w:lineRule="auto"/>
        <w:rPr>
          <w:rFonts w:ascii="宋体" w:hAnsi="宋体"/>
          <w:b/>
          <w:bCs/>
          <w:szCs w:val="21"/>
        </w:rPr>
      </w:pPr>
      <w:r>
        <w:rPr>
          <w:rFonts w:hint="eastAsia" w:ascii="宋体" w:hAnsi="宋体"/>
          <w:b/>
          <w:bCs/>
          <w:szCs w:val="21"/>
        </w:rPr>
        <w:t>4.1基础维护巡检项目</w:t>
      </w:r>
    </w:p>
    <w:p>
      <w:pPr>
        <w:numPr>
          <w:ilvl w:val="0"/>
          <w:numId w:val="3"/>
        </w:numPr>
        <w:spacing w:line="360" w:lineRule="auto"/>
        <w:ind w:firstLine="0"/>
        <w:rPr>
          <w:rFonts w:ascii="宋体" w:hAnsi="宋体"/>
          <w:szCs w:val="21"/>
        </w:rPr>
      </w:pPr>
      <w:r>
        <w:rPr>
          <w:rFonts w:ascii="宋体" w:hAnsi="宋体"/>
          <w:szCs w:val="21"/>
        </w:rPr>
        <w:t>清洁机器各部分的灰尘、油污等</w:t>
      </w:r>
      <w:r>
        <w:rPr>
          <w:rFonts w:hint="eastAsia" w:ascii="宋体" w:hAnsi="宋体"/>
          <w:szCs w:val="21"/>
        </w:rPr>
        <w:t>。</w:t>
      </w:r>
    </w:p>
    <w:p>
      <w:pPr>
        <w:numPr>
          <w:ilvl w:val="0"/>
          <w:numId w:val="3"/>
        </w:numPr>
        <w:spacing w:line="360" w:lineRule="auto"/>
        <w:ind w:firstLine="0"/>
        <w:rPr>
          <w:rFonts w:ascii="宋体" w:hAnsi="宋体"/>
          <w:szCs w:val="21"/>
        </w:rPr>
      </w:pPr>
      <w:r>
        <w:rPr>
          <w:rFonts w:hint="eastAsia" w:ascii="宋体" w:hAnsi="宋体"/>
          <w:szCs w:val="21"/>
        </w:rPr>
        <w:t>检查各部件连接处有无油水滴漏等，如有应及时处理。检查机油平面，不足时应按照规定添加机油全满刻度。如发现油面突然升高，应注意检查是否有水渗漏进油底槽，应及时排除渗漏处并及时处理。</w:t>
      </w:r>
    </w:p>
    <w:p>
      <w:pPr>
        <w:numPr>
          <w:ilvl w:val="0"/>
          <w:numId w:val="3"/>
        </w:numPr>
        <w:spacing w:line="360" w:lineRule="auto"/>
        <w:ind w:firstLine="0"/>
        <w:rPr>
          <w:rFonts w:ascii="宋体" w:hAnsi="宋体"/>
          <w:szCs w:val="21"/>
        </w:rPr>
      </w:pPr>
      <w:r>
        <w:rPr>
          <w:rFonts w:hint="eastAsia" w:ascii="宋体" w:hAnsi="宋体"/>
          <w:szCs w:val="21"/>
        </w:rPr>
        <w:t>检查冷却水系统有无渗水现象及水量是否充足。</w:t>
      </w:r>
    </w:p>
    <w:p>
      <w:pPr>
        <w:numPr>
          <w:ilvl w:val="0"/>
          <w:numId w:val="3"/>
        </w:numPr>
        <w:spacing w:line="360" w:lineRule="auto"/>
        <w:ind w:firstLine="0"/>
        <w:rPr>
          <w:rFonts w:ascii="宋体" w:hAnsi="宋体"/>
          <w:szCs w:val="21"/>
        </w:rPr>
      </w:pPr>
      <w:r>
        <w:rPr>
          <w:rFonts w:hint="eastAsia" w:ascii="宋体" w:hAnsi="宋体"/>
          <w:szCs w:val="21"/>
        </w:rPr>
        <w:t>检查进、排气管件和接头是否漏气，开机检查，如有漏气则予以更换。</w:t>
      </w:r>
    </w:p>
    <w:p>
      <w:pPr>
        <w:numPr>
          <w:ilvl w:val="0"/>
          <w:numId w:val="3"/>
        </w:numPr>
        <w:spacing w:line="360" w:lineRule="auto"/>
        <w:ind w:firstLine="0"/>
        <w:rPr>
          <w:rFonts w:ascii="宋体" w:hAnsi="宋体"/>
          <w:szCs w:val="21"/>
        </w:rPr>
      </w:pPr>
      <w:r>
        <w:rPr>
          <w:rFonts w:hint="eastAsia" w:ascii="宋体" w:hAnsi="宋体"/>
          <w:szCs w:val="21"/>
        </w:rPr>
        <w:t>检查进气空气滤芯器脏堵情况，排气管是否堵塞。</w:t>
      </w:r>
    </w:p>
    <w:p>
      <w:pPr>
        <w:numPr>
          <w:ilvl w:val="0"/>
          <w:numId w:val="3"/>
        </w:numPr>
        <w:spacing w:line="360" w:lineRule="auto"/>
        <w:ind w:firstLine="0"/>
        <w:rPr>
          <w:rFonts w:ascii="宋体" w:hAnsi="宋体"/>
          <w:szCs w:val="21"/>
        </w:rPr>
      </w:pPr>
      <w:r>
        <w:rPr>
          <w:rFonts w:ascii="宋体" w:hAnsi="宋体"/>
          <w:szCs w:val="21"/>
        </w:rPr>
        <w:t>检查燃油箱内油量情况，不足时应及时注满</w:t>
      </w:r>
      <w:r>
        <w:rPr>
          <w:rFonts w:hint="eastAsia" w:ascii="宋体" w:hAnsi="宋体"/>
          <w:szCs w:val="21"/>
        </w:rPr>
        <w:t>。</w:t>
      </w:r>
    </w:p>
    <w:p>
      <w:pPr>
        <w:numPr>
          <w:ilvl w:val="0"/>
          <w:numId w:val="3"/>
        </w:numPr>
        <w:spacing w:line="360" w:lineRule="auto"/>
        <w:ind w:firstLine="0"/>
        <w:rPr>
          <w:rFonts w:ascii="宋体" w:hAnsi="宋体"/>
          <w:szCs w:val="21"/>
        </w:rPr>
      </w:pPr>
      <w:r>
        <w:rPr>
          <w:rFonts w:hint="eastAsia" w:ascii="宋体" w:hAnsi="宋体"/>
          <w:szCs w:val="21"/>
        </w:rPr>
        <w:t>检查蓄电池电解液比重及液面高度，电启动的应检查蓄电池的端电压、比重和液面等，确保电量否充足。</w:t>
      </w:r>
    </w:p>
    <w:p>
      <w:pPr>
        <w:numPr>
          <w:ilvl w:val="0"/>
          <w:numId w:val="3"/>
        </w:numPr>
        <w:spacing w:line="360" w:lineRule="auto"/>
        <w:ind w:firstLine="0"/>
        <w:rPr>
          <w:rFonts w:ascii="宋体" w:hAnsi="宋体"/>
          <w:szCs w:val="21"/>
        </w:rPr>
      </w:pPr>
      <w:r>
        <w:rPr>
          <w:rFonts w:hint="eastAsia" w:ascii="宋体" w:hAnsi="宋体"/>
          <w:szCs w:val="21"/>
        </w:rPr>
        <w:t>检查充电器工作是否正常，检查均充和浮充电流是否正常。</w:t>
      </w:r>
    </w:p>
    <w:p>
      <w:pPr>
        <w:numPr>
          <w:ilvl w:val="0"/>
          <w:numId w:val="3"/>
        </w:numPr>
        <w:spacing w:line="360" w:lineRule="auto"/>
        <w:ind w:firstLine="0"/>
        <w:rPr>
          <w:rFonts w:ascii="宋体" w:hAnsi="宋体"/>
          <w:szCs w:val="21"/>
        </w:rPr>
      </w:pPr>
      <w:r>
        <w:rPr>
          <w:rFonts w:hint="eastAsia" w:ascii="宋体" w:hAnsi="宋体"/>
          <w:szCs w:val="21"/>
        </w:rPr>
        <w:t>开机检查保护开关及报警器。</w:t>
      </w:r>
    </w:p>
    <w:p>
      <w:pPr>
        <w:numPr>
          <w:ilvl w:val="0"/>
          <w:numId w:val="3"/>
        </w:numPr>
        <w:spacing w:line="360" w:lineRule="auto"/>
        <w:ind w:firstLine="0"/>
        <w:rPr>
          <w:rFonts w:ascii="宋体" w:hAnsi="宋体"/>
          <w:szCs w:val="21"/>
        </w:rPr>
      </w:pPr>
      <w:r>
        <w:rPr>
          <w:rFonts w:hint="eastAsia" w:ascii="宋体" w:hAnsi="宋体"/>
          <w:szCs w:val="21"/>
        </w:rPr>
        <w:t>检查发电机组与机座紧固程度,震动是否正常，开机检查机组是否有位置移动，检查避震器是否有安全缓冲间隙。</w:t>
      </w:r>
    </w:p>
    <w:p>
      <w:pPr>
        <w:numPr>
          <w:ilvl w:val="0"/>
          <w:numId w:val="3"/>
        </w:numPr>
        <w:spacing w:line="360" w:lineRule="auto"/>
        <w:ind w:firstLine="0"/>
        <w:rPr>
          <w:rFonts w:ascii="宋体" w:hAnsi="宋体"/>
          <w:szCs w:val="21"/>
        </w:rPr>
      </w:pPr>
      <w:r>
        <w:rPr>
          <w:rFonts w:hint="eastAsia" w:ascii="宋体" w:hAnsi="宋体"/>
          <w:szCs w:val="21"/>
        </w:rPr>
        <w:t>检查油机燃油、机油、冷却水管路无泄漏，检查电加热器是否正常</w:t>
      </w:r>
      <w:r>
        <w:rPr>
          <w:rFonts w:ascii="宋体" w:hAnsi="宋体"/>
          <w:szCs w:val="21"/>
        </w:rPr>
        <w:t>。</w:t>
      </w:r>
    </w:p>
    <w:p>
      <w:pPr>
        <w:pStyle w:val="33"/>
        <w:numPr>
          <w:ilvl w:val="0"/>
          <w:numId w:val="3"/>
        </w:numPr>
        <w:spacing w:line="360" w:lineRule="auto"/>
        <w:ind w:firstLine="0" w:firstLineChars="0"/>
        <w:rPr>
          <w:rFonts w:ascii="宋体" w:hAnsi="宋体" w:cs="Arial Unicode MS"/>
          <w:szCs w:val="21"/>
        </w:rPr>
      </w:pPr>
      <w:r>
        <w:rPr>
          <w:rFonts w:ascii="宋体" w:hAnsi="宋体"/>
          <w:b/>
          <w:color w:val="000000"/>
          <w:szCs w:val="21"/>
        </w:rPr>
        <w:t>合同期限内</w:t>
      </w:r>
      <w:r>
        <w:rPr>
          <w:rFonts w:hint="eastAsia" w:ascii="宋体" w:hAnsi="宋体"/>
          <w:b/>
          <w:color w:val="000000"/>
          <w:szCs w:val="21"/>
        </w:rPr>
        <w:t>有</w:t>
      </w:r>
      <w:r>
        <w:rPr>
          <w:rFonts w:ascii="宋体" w:hAnsi="宋体"/>
          <w:b/>
          <w:color w:val="000000"/>
          <w:szCs w:val="21"/>
        </w:rPr>
        <w:t>专职工程师巡检（每</w:t>
      </w:r>
      <w:r>
        <w:rPr>
          <w:rFonts w:hint="eastAsia" w:ascii="宋体" w:hAnsi="宋体"/>
          <w:b/>
          <w:color w:val="000000"/>
          <w:szCs w:val="21"/>
        </w:rPr>
        <w:t>月</w:t>
      </w:r>
      <w:r>
        <w:rPr>
          <w:rFonts w:ascii="宋体" w:hAnsi="宋体"/>
          <w:b/>
          <w:color w:val="000000"/>
          <w:szCs w:val="21"/>
        </w:rPr>
        <w:t>不少于一次，全年不少于</w:t>
      </w:r>
      <w:r>
        <w:rPr>
          <w:rFonts w:hint="eastAsia" w:ascii="宋体" w:hAnsi="宋体"/>
          <w:b/>
          <w:color w:val="000000"/>
          <w:szCs w:val="21"/>
        </w:rPr>
        <w:t>12</w:t>
      </w:r>
      <w:r>
        <w:rPr>
          <w:rFonts w:ascii="宋体" w:hAnsi="宋体"/>
          <w:b/>
          <w:color w:val="000000"/>
          <w:szCs w:val="21"/>
        </w:rPr>
        <w:t>次）；</w:t>
      </w:r>
    </w:p>
    <w:p>
      <w:pPr>
        <w:spacing w:line="360" w:lineRule="auto"/>
        <w:rPr>
          <w:rFonts w:ascii="宋体" w:hAnsi="宋体"/>
          <w:b/>
          <w:bCs/>
          <w:szCs w:val="21"/>
        </w:rPr>
      </w:pPr>
      <w:r>
        <w:rPr>
          <w:rFonts w:hint="eastAsia" w:ascii="宋体" w:hAnsi="宋体"/>
          <w:b/>
          <w:bCs/>
          <w:szCs w:val="21"/>
        </w:rPr>
        <w:t>4.2</w:t>
      </w:r>
      <w:r>
        <w:rPr>
          <w:rFonts w:ascii="宋体" w:hAnsi="宋体"/>
          <w:b/>
          <w:bCs/>
          <w:szCs w:val="21"/>
        </w:rPr>
        <w:t>维</w:t>
      </w:r>
      <w:r>
        <w:rPr>
          <w:rFonts w:hint="eastAsia" w:ascii="宋体" w:hAnsi="宋体"/>
          <w:b/>
          <w:bCs/>
          <w:szCs w:val="21"/>
        </w:rPr>
        <w:t>护保养项目</w:t>
      </w:r>
      <w:r>
        <w:rPr>
          <w:rFonts w:ascii="宋体" w:hAnsi="宋体"/>
          <w:b/>
          <w:bCs/>
          <w:szCs w:val="21"/>
        </w:rPr>
        <w:t>：</w:t>
      </w:r>
    </w:p>
    <w:p>
      <w:pPr>
        <w:numPr>
          <w:ilvl w:val="0"/>
          <w:numId w:val="3"/>
        </w:numPr>
        <w:spacing w:line="360" w:lineRule="auto"/>
        <w:ind w:firstLine="0"/>
        <w:rPr>
          <w:rFonts w:ascii="宋体" w:hAnsi="宋体"/>
          <w:szCs w:val="21"/>
        </w:rPr>
      </w:pPr>
      <w:r>
        <w:rPr>
          <w:rFonts w:ascii="宋体" w:hAnsi="宋体"/>
          <w:szCs w:val="21"/>
        </w:rPr>
        <w:t>清洁机器各部分的灰尘、油污等，并检查各部件连接处有无油水滴漏等，如有应及时处理</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检查蓄电池的端电压、比重和液面等</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检查冷却水系统有无渗水现象及水量是否充足</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检查曲轴箱内机油平面，不足时应按照规定添加机油全满刻度。如发现油面突然升高，应注意检查是否有水渗漏进油底槽，应及时排除渗漏处并及时处理</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检查燃油箱内油量情况，不足时应及时注满</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检查各附件装置的正确性和稳固程度</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打开机体侧面盖板，检查连杆螺栓和锁定铁丝是否松动</w:t>
      </w:r>
      <w:r>
        <w:rPr>
          <w:rFonts w:hint="eastAsia" w:ascii="宋体" w:hAnsi="宋体"/>
          <w:szCs w:val="21"/>
        </w:rPr>
        <w:t>。</w:t>
      </w:r>
    </w:p>
    <w:p>
      <w:pPr>
        <w:numPr>
          <w:ilvl w:val="0"/>
          <w:numId w:val="3"/>
        </w:numPr>
        <w:spacing w:line="360" w:lineRule="auto"/>
        <w:ind w:firstLine="0"/>
        <w:rPr>
          <w:rFonts w:ascii="宋体" w:hAnsi="宋体"/>
          <w:szCs w:val="21"/>
        </w:rPr>
      </w:pPr>
      <w:r>
        <w:rPr>
          <w:rFonts w:hint="eastAsia" w:ascii="宋体" w:hAnsi="宋体"/>
          <w:szCs w:val="21"/>
        </w:rPr>
        <w:t>每年更换</w:t>
      </w:r>
      <w:r>
        <w:rPr>
          <w:rFonts w:ascii="宋体" w:hAnsi="宋体"/>
          <w:szCs w:val="21"/>
        </w:rPr>
        <w:t>油水分离器、柴油滤清器、机油滤清器</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对所有标有注油嘴的部件，应按规定注入润滑脂或润滑油</w:t>
      </w:r>
      <w:r>
        <w:rPr>
          <w:rFonts w:hint="eastAsia" w:ascii="宋体" w:hAnsi="宋体"/>
          <w:szCs w:val="21"/>
        </w:rPr>
        <w:t>。</w:t>
      </w:r>
    </w:p>
    <w:p>
      <w:pPr>
        <w:numPr>
          <w:ilvl w:val="0"/>
          <w:numId w:val="3"/>
        </w:numPr>
        <w:spacing w:line="360" w:lineRule="auto"/>
        <w:ind w:firstLine="0"/>
        <w:rPr>
          <w:rFonts w:ascii="宋体" w:hAnsi="宋体"/>
          <w:szCs w:val="21"/>
        </w:rPr>
      </w:pPr>
      <w:r>
        <w:rPr>
          <w:rFonts w:hint="eastAsia" w:ascii="宋体" w:hAnsi="宋体"/>
          <w:szCs w:val="21"/>
        </w:rPr>
        <w:t>检查</w:t>
      </w:r>
      <w:r>
        <w:rPr>
          <w:rFonts w:ascii="宋体" w:hAnsi="宋体"/>
          <w:szCs w:val="21"/>
        </w:rPr>
        <w:t>空气滤清器</w:t>
      </w:r>
      <w:r>
        <w:rPr>
          <w:rFonts w:hint="eastAsia" w:ascii="宋体" w:hAnsi="宋体"/>
          <w:szCs w:val="21"/>
        </w:rPr>
        <w:t>是否脏堵，</w:t>
      </w:r>
      <w:r>
        <w:rPr>
          <w:rFonts w:ascii="宋体" w:hAnsi="宋体"/>
          <w:szCs w:val="21"/>
        </w:rPr>
        <w:t>清洗加油口盖上通风孔的钢丝绒</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检查调速机构的动作情況，并用机油润滑该机构的全部运动机件</w:t>
      </w:r>
      <w:r>
        <w:rPr>
          <w:rFonts w:hint="eastAsia" w:ascii="宋体" w:hAnsi="宋体"/>
          <w:szCs w:val="21"/>
        </w:rPr>
        <w:t>。</w:t>
      </w:r>
    </w:p>
    <w:p>
      <w:pPr>
        <w:numPr>
          <w:ilvl w:val="0"/>
          <w:numId w:val="3"/>
        </w:numPr>
        <w:spacing w:line="360" w:lineRule="auto"/>
        <w:ind w:firstLine="0"/>
        <w:rPr>
          <w:rFonts w:ascii="宋体" w:hAnsi="宋体"/>
          <w:szCs w:val="21"/>
        </w:rPr>
      </w:pPr>
      <w:r>
        <w:rPr>
          <w:rFonts w:hint="eastAsia" w:ascii="宋体" w:hAnsi="宋体"/>
          <w:szCs w:val="21"/>
        </w:rPr>
        <w:t>每年</w:t>
      </w:r>
      <w:r>
        <w:rPr>
          <w:rFonts w:ascii="宋体" w:hAnsi="宋体"/>
          <w:szCs w:val="21"/>
        </w:rPr>
        <w:t>彻底检查润滑系统，包括曲轴箱、机油管、机油滤清器、机油泵、机油冷却器等，并更换新机油，特别应注意机油管是否锈蚀或损坏</w:t>
      </w:r>
      <w:r>
        <w:rPr>
          <w:rFonts w:hint="eastAsia" w:ascii="宋体" w:hAnsi="宋体"/>
          <w:szCs w:val="21"/>
        </w:rPr>
        <w:t>。</w:t>
      </w:r>
    </w:p>
    <w:p>
      <w:pPr>
        <w:numPr>
          <w:ilvl w:val="0"/>
          <w:numId w:val="3"/>
        </w:numPr>
        <w:spacing w:line="360" w:lineRule="auto"/>
        <w:ind w:firstLine="0"/>
        <w:rPr>
          <w:rFonts w:ascii="宋体" w:hAnsi="宋体"/>
          <w:szCs w:val="21"/>
        </w:rPr>
      </w:pPr>
      <w:r>
        <w:rPr>
          <w:rFonts w:hint="eastAsia" w:ascii="宋体" w:hAnsi="宋体"/>
          <w:szCs w:val="21"/>
        </w:rPr>
        <w:t>定期</w:t>
      </w:r>
      <w:r>
        <w:rPr>
          <w:rFonts w:ascii="宋体" w:hAnsi="宋体"/>
          <w:szCs w:val="21"/>
        </w:rPr>
        <w:t>检查所有的V型传动皮带的张力</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检查冷却水泵和调速器等零件的情况</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检查发电机、电动机换向器，检查电刷的弹簧压力、电刷和换向器的接触是否良好</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检查喷油器的喷油压力及喷油情况，必要时清洗喷油器并进行调整</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检查配气定时及供油提前角，必要时予以调整</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检查机外蓄电池充电器及机带充电器的工作状况，必要时予以调整</w:t>
      </w:r>
      <w:r>
        <w:rPr>
          <w:rFonts w:hint="eastAsia" w:ascii="宋体" w:hAnsi="宋体"/>
          <w:szCs w:val="21"/>
        </w:rPr>
        <w:t>。</w:t>
      </w:r>
    </w:p>
    <w:p>
      <w:pPr>
        <w:numPr>
          <w:ilvl w:val="0"/>
          <w:numId w:val="3"/>
        </w:numPr>
        <w:spacing w:line="360" w:lineRule="auto"/>
        <w:ind w:firstLine="0"/>
        <w:rPr>
          <w:rFonts w:ascii="宋体" w:hAnsi="宋体"/>
          <w:szCs w:val="21"/>
        </w:rPr>
      </w:pPr>
      <w:r>
        <w:rPr>
          <w:rFonts w:hint="eastAsia" w:ascii="宋体" w:hAnsi="宋体"/>
          <w:szCs w:val="21"/>
        </w:rPr>
        <w:t>每年</w:t>
      </w:r>
      <w:r>
        <w:rPr>
          <w:rFonts w:ascii="宋体" w:hAnsi="宋体"/>
          <w:szCs w:val="21"/>
        </w:rPr>
        <w:t>清洗冷却系统，</w:t>
      </w:r>
      <w:r>
        <w:rPr>
          <w:rFonts w:hint="eastAsia" w:ascii="宋体" w:hAnsi="宋体"/>
          <w:szCs w:val="21"/>
        </w:rPr>
        <w:t>更换添加</w:t>
      </w:r>
      <w:r>
        <w:rPr>
          <w:rFonts w:ascii="宋体" w:hAnsi="宋体"/>
          <w:szCs w:val="21"/>
        </w:rPr>
        <w:t>新防冻液</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检查电动机各个机件并进行必要的修正和调整</w:t>
      </w:r>
      <w:r>
        <w:rPr>
          <w:rFonts w:hint="eastAsia" w:ascii="宋体" w:hAnsi="宋体"/>
          <w:szCs w:val="21"/>
        </w:rPr>
        <w:t>。</w:t>
      </w:r>
    </w:p>
    <w:p>
      <w:pPr>
        <w:numPr>
          <w:ilvl w:val="0"/>
          <w:numId w:val="3"/>
        </w:numPr>
        <w:spacing w:line="360" w:lineRule="auto"/>
        <w:ind w:firstLine="0"/>
        <w:rPr>
          <w:rFonts w:ascii="宋体" w:hAnsi="宋体"/>
          <w:szCs w:val="21"/>
        </w:rPr>
      </w:pPr>
      <w:r>
        <w:rPr>
          <w:rFonts w:ascii="宋体" w:hAnsi="宋体"/>
          <w:szCs w:val="21"/>
        </w:rPr>
        <w:t>检查机组控制系统工作情况，各告警信号的试验</w:t>
      </w:r>
      <w:r>
        <w:rPr>
          <w:rFonts w:hint="eastAsia" w:ascii="宋体" w:hAnsi="宋体"/>
          <w:szCs w:val="21"/>
        </w:rPr>
        <w:t>。</w:t>
      </w:r>
    </w:p>
    <w:p>
      <w:pPr>
        <w:numPr>
          <w:ilvl w:val="0"/>
          <w:numId w:val="3"/>
        </w:numPr>
        <w:spacing w:line="360" w:lineRule="auto"/>
        <w:ind w:firstLine="0"/>
        <w:rPr>
          <w:rFonts w:ascii="宋体" w:hAnsi="宋体"/>
          <w:szCs w:val="21"/>
        </w:rPr>
      </w:pPr>
      <w:r>
        <w:rPr>
          <w:rFonts w:hint="eastAsia" w:ascii="宋体" w:hAnsi="宋体"/>
          <w:szCs w:val="21"/>
        </w:rPr>
        <w:t>根据维护要求定期开展</w:t>
      </w:r>
      <w:r>
        <w:rPr>
          <w:rFonts w:ascii="宋体" w:hAnsi="宋体"/>
          <w:szCs w:val="21"/>
        </w:rPr>
        <w:t>机组</w:t>
      </w:r>
      <w:r>
        <w:rPr>
          <w:rFonts w:hint="eastAsia" w:ascii="宋体" w:hAnsi="宋体"/>
          <w:szCs w:val="21"/>
        </w:rPr>
        <w:t>空载、</w:t>
      </w:r>
      <w:r>
        <w:rPr>
          <w:rFonts w:ascii="宋体" w:hAnsi="宋体"/>
          <w:szCs w:val="21"/>
        </w:rPr>
        <w:t>加载试机</w:t>
      </w:r>
      <w:r>
        <w:rPr>
          <w:rFonts w:hint="eastAsia" w:ascii="宋体" w:hAnsi="宋体"/>
          <w:szCs w:val="21"/>
        </w:rPr>
        <w:t>工作</w:t>
      </w:r>
      <w:r>
        <w:rPr>
          <w:rFonts w:ascii="宋体" w:hAnsi="宋体"/>
          <w:szCs w:val="21"/>
        </w:rPr>
        <w:t>。</w:t>
      </w:r>
    </w:p>
    <w:p>
      <w:pPr>
        <w:spacing w:line="360" w:lineRule="auto"/>
        <w:rPr>
          <w:rFonts w:ascii="宋体" w:hAnsi="宋体"/>
          <w:b/>
          <w:bCs/>
          <w:szCs w:val="21"/>
        </w:rPr>
      </w:pPr>
      <w:r>
        <w:rPr>
          <w:rFonts w:hint="eastAsia" w:ascii="宋体" w:hAnsi="宋体"/>
          <w:b/>
          <w:bCs/>
          <w:szCs w:val="21"/>
        </w:rPr>
        <w:t>4.3故障处理</w:t>
      </w:r>
    </w:p>
    <w:p>
      <w:pPr>
        <w:spacing w:line="360" w:lineRule="auto"/>
        <w:ind w:firstLine="420" w:firstLineChars="200"/>
        <w:jc w:val="left"/>
        <w:rPr>
          <w:rFonts w:ascii="宋体" w:hAnsi="宋体" w:cs="宋体"/>
          <w:b/>
          <w:bCs/>
          <w:snapToGrid w:val="0"/>
          <w:kern w:val="0"/>
          <w:sz w:val="24"/>
        </w:rPr>
      </w:pPr>
      <w:r>
        <w:rPr>
          <w:rFonts w:ascii="宋体" w:hAnsi="宋体"/>
          <w:i/>
          <w:iCs/>
          <w:szCs w:val="21"/>
          <w:u w:val="single"/>
        </w:rPr>
        <w:t>乙方应保证</w:t>
      </w:r>
      <w:r>
        <w:rPr>
          <w:rFonts w:hint="eastAsia" w:ascii="宋体" w:hAnsi="宋体"/>
          <w:i/>
          <w:iCs/>
          <w:szCs w:val="21"/>
          <w:u w:val="single"/>
        </w:rPr>
        <w:t>有技术人员</w:t>
      </w:r>
      <w:r>
        <w:rPr>
          <w:rFonts w:ascii="宋体" w:hAnsi="宋体"/>
          <w:i/>
          <w:iCs/>
          <w:szCs w:val="21"/>
          <w:u w:val="single"/>
        </w:rPr>
        <w:t>24小时开通手机并提供7×24小时紧急服务，如出现紧急技术问题，要求乙方在1小时内予以响应，如要紧急处理则乙方的工程技术人员应在4小时内赶到现场，并在1</w:t>
      </w:r>
      <w:r>
        <w:rPr>
          <w:rFonts w:hint="eastAsia" w:ascii="宋体" w:hAnsi="宋体"/>
          <w:i/>
          <w:iCs/>
          <w:szCs w:val="21"/>
          <w:u w:val="single"/>
        </w:rPr>
        <w:t>2</w:t>
      </w:r>
      <w:r>
        <w:rPr>
          <w:rFonts w:ascii="宋体" w:hAnsi="宋体"/>
          <w:i/>
          <w:iCs/>
          <w:szCs w:val="21"/>
          <w:u w:val="single"/>
        </w:rPr>
        <w:t>小时内处理好故障</w:t>
      </w:r>
      <w:r>
        <w:rPr>
          <w:rFonts w:hint="eastAsia" w:ascii="宋体" w:hAnsi="宋体"/>
          <w:i/>
          <w:iCs/>
          <w:szCs w:val="21"/>
          <w:u w:val="single"/>
        </w:rPr>
        <w:t>（提供承诺函，加盖投标人公章）</w:t>
      </w:r>
      <w:r>
        <w:rPr>
          <w:rFonts w:ascii="宋体" w:hAnsi="宋体"/>
          <w:szCs w:val="21"/>
        </w:rPr>
        <w:t>。</w:t>
      </w:r>
    </w:p>
    <w:p>
      <w:pPr>
        <w:pStyle w:val="19"/>
        <w:shd w:val="clear" w:color="auto" w:fill="FFFFFF"/>
        <w:spacing w:before="0" w:beforeAutospacing="0" w:after="0" w:afterAutospacing="0"/>
        <w:rPr>
          <w:b/>
          <w:bCs/>
          <w:snapToGrid w:val="0"/>
        </w:rPr>
      </w:pPr>
      <w:r>
        <w:rPr>
          <w:rFonts w:hint="eastAsia"/>
          <w:b/>
          <w:bCs/>
          <w:snapToGrid w:val="0"/>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
        <w:rPr>
          <w:sz w:val="36"/>
          <w:szCs w:val="36"/>
        </w:rPr>
      </w:pPr>
    </w:p>
    <w:p>
      <w:pPr>
        <w:pStyle w:val="2"/>
        <w:rPr>
          <w:sz w:val="36"/>
          <w:szCs w:val="36"/>
        </w:rPr>
      </w:pPr>
    </w:p>
    <w:p>
      <w:pPr>
        <w:pStyle w:val="2"/>
        <w:rPr>
          <w:sz w:val="36"/>
          <w:szCs w:val="36"/>
        </w:rPr>
      </w:pPr>
    </w:p>
    <w:p>
      <w:pPr>
        <w:rPr>
          <w:b/>
          <w:sz w:val="36"/>
          <w:szCs w:val="36"/>
        </w:rPr>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扬州大学附属医院东西区发电机维保服务项目</w:t>
      </w:r>
      <w:r>
        <w:rPr>
          <w:rFonts w:hint="eastAsia" w:ascii="宋体" w:hAnsi="宋体" w:cs="宋体"/>
          <w:sz w:val="24"/>
        </w:rPr>
        <w:t>（编号：</w:t>
      </w:r>
      <w:r>
        <w:rPr>
          <w:rFonts w:hint="eastAsia" w:ascii="宋体" w:hAnsi="宋体" w:cs="宋体"/>
          <w:snapToGrid w:val="0"/>
          <w:kern w:val="0"/>
          <w:sz w:val="24"/>
        </w:rPr>
        <w:t>YDFYXJ-2024007号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2024年   月   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r>
        <w:rPr>
          <w:rFonts w:hint="eastAsia" w:ascii="宋体" w:hAnsi="宋体" w:cs="楷体"/>
          <w:sz w:val="24"/>
        </w:rPr>
        <w:t xml:space="preserve">                                        </w:t>
      </w: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hoytyzdx@163.com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rPr>
          <w:rFonts w:ascii="宋体" w:hAnsi="宋体" w:cs="宋体"/>
          <w:sz w:val="28"/>
          <w:szCs w:val="28"/>
        </w:rPr>
      </w:pPr>
    </w:p>
    <w:p>
      <w:pPr>
        <w:pStyle w:val="7"/>
        <w:ind w:left="0" w:left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4"/>
        <w:jc w:val="center"/>
        <w:rPr>
          <w:rFonts w:asciiTheme="minorEastAsia" w:hAnsiTheme="minorEastAsia" w:eastAsiaTheme="minorEastAsia"/>
          <w:b/>
          <w:sz w:val="36"/>
        </w:rPr>
      </w:pPr>
    </w:p>
    <w:p>
      <w:pPr>
        <w:pStyle w:val="14"/>
        <w:jc w:val="center"/>
        <w:rPr>
          <w:rFonts w:asciiTheme="minorEastAsia" w:hAnsiTheme="minorEastAsia" w:eastAsiaTheme="minorEastAsia"/>
          <w:b/>
          <w:sz w:val="36"/>
        </w:rPr>
      </w:pPr>
    </w:p>
    <w:p>
      <w:pPr>
        <w:pStyle w:val="14"/>
        <w:jc w:val="center"/>
        <w:rPr>
          <w:rFonts w:asciiTheme="minorEastAsia" w:hAnsiTheme="minorEastAsia" w:eastAsiaTheme="minorEastAsia"/>
          <w:b/>
          <w:sz w:val="36"/>
        </w:rPr>
      </w:pPr>
    </w:p>
    <w:p>
      <w:pPr>
        <w:pStyle w:val="14"/>
        <w:jc w:val="center"/>
        <w:rPr>
          <w:rFonts w:asciiTheme="minorEastAsia" w:hAnsiTheme="minorEastAsia" w:eastAsiaTheme="minorEastAsia"/>
          <w:b/>
          <w:sz w:val="36"/>
        </w:rPr>
      </w:pPr>
    </w:p>
    <w:p>
      <w:pPr>
        <w:pStyle w:val="14"/>
        <w:jc w:val="center"/>
        <w:rPr>
          <w:rFonts w:asciiTheme="minorEastAsia" w:hAnsiTheme="minorEastAsia" w:eastAsiaTheme="minorEastAsia"/>
          <w:b/>
          <w:sz w:val="36"/>
        </w:rPr>
      </w:pPr>
    </w:p>
    <w:p>
      <w:pPr>
        <w:pStyle w:val="14"/>
        <w:jc w:val="center"/>
        <w:rPr>
          <w:rFonts w:asciiTheme="minorEastAsia" w:hAnsiTheme="minorEastAsia" w:eastAsiaTheme="minorEastAsia"/>
          <w:b/>
          <w:sz w:val="36"/>
        </w:rPr>
      </w:pPr>
    </w:p>
    <w:p>
      <w:pPr>
        <w:pStyle w:val="14"/>
        <w:jc w:val="center"/>
        <w:rPr>
          <w:rFonts w:asciiTheme="minorEastAsia" w:hAnsiTheme="minorEastAsia" w:eastAsiaTheme="minorEastAsia"/>
          <w:b/>
          <w:sz w:val="36"/>
        </w:rPr>
      </w:pPr>
    </w:p>
    <w:p>
      <w:pPr>
        <w:pStyle w:val="14"/>
        <w:jc w:val="center"/>
        <w:rPr>
          <w:rFonts w:asciiTheme="minorEastAsia" w:hAnsiTheme="minorEastAsia" w:eastAsiaTheme="minorEastAsia"/>
          <w:b/>
          <w:sz w:val="36"/>
        </w:rPr>
      </w:pPr>
    </w:p>
    <w:p>
      <w:pPr>
        <w:pStyle w:val="14"/>
        <w:jc w:val="center"/>
        <w:rPr>
          <w:rFonts w:asciiTheme="minorEastAsia" w:hAnsiTheme="minorEastAsia" w:eastAsiaTheme="minorEastAsia"/>
          <w:b/>
          <w:sz w:val="36"/>
        </w:rPr>
      </w:pPr>
    </w:p>
    <w:p>
      <w:pPr>
        <w:pStyle w:val="14"/>
        <w:jc w:val="center"/>
        <w:rPr>
          <w:rFonts w:asciiTheme="minorEastAsia" w:hAnsiTheme="minorEastAsia" w:eastAsiaTheme="minorEastAsia"/>
          <w:b/>
          <w:sz w:val="36"/>
        </w:rPr>
      </w:pPr>
    </w:p>
    <w:p>
      <w:pPr>
        <w:pStyle w:val="14"/>
        <w:jc w:val="center"/>
        <w:rPr>
          <w:rFonts w:asciiTheme="minorEastAsia" w:hAnsiTheme="minorEastAsia" w:eastAsiaTheme="minorEastAsia"/>
          <w:b/>
          <w:sz w:val="36"/>
        </w:rPr>
      </w:pPr>
    </w:p>
    <w:p>
      <w:pPr>
        <w:pStyle w:val="14"/>
        <w:jc w:val="center"/>
        <w:rPr>
          <w:rFonts w:asciiTheme="minorEastAsia" w:hAnsiTheme="minorEastAsia" w:eastAsiaTheme="minorEastAsia"/>
          <w:b/>
          <w:sz w:val="36"/>
        </w:rPr>
      </w:pPr>
    </w:p>
    <w:p>
      <w:pPr>
        <w:pStyle w:val="14"/>
        <w:rPr>
          <w:rFonts w:asciiTheme="minorEastAsia" w:hAnsiTheme="minorEastAsia" w:eastAsiaTheme="minorEastAsia"/>
          <w:b/>
          <w:sz w:val="36"/>
        </w:rPr>
      </w:pPr>
    </w:p>
    <w:p>
      <w:pPr>
        <w:pStyle w:val="14"/>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4"/>
        <w:rPr>
          <w:rFonts w:ascii="Times New Roman" w:hAnsi="Times New Roman"/>
          <w:b/>
          <w:sz w:val="36"/>
        </w:rPr>
      </w:pPr>
    </w:p>
    <w:p>
      <w:pPr>
        <w:pStyle w:val="14"/>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4"/>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4"/>
        <w:adjustRightInd w:val="0"/>
        <w:snapToGrid w:val="0"/>
        <w:spacing w:line="440" w:lineRule="exact"/>
        <w:ind w:firstLine="420"/>
        <w:contextualSpacing/>
        <w:rPr>
          <w:rFonts w:asciiTheme="minorEastAsia" w:hAnsiTheme="minorEastAsia" w:eastAsiaTheme="minorEastAsia"/>
          <w:sz w:val="24"/>
          <w:szCs w:val="24"/>
        </w:rPr>
      </w:pPr>
    </w:p>
    <w:p>
      <w:pPr>
        <w:pStyle w:val="14"/>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4"/>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4"/>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4"/>
        <w:adjustRightInd w:val="0"/>
        <w:snapToGrid w:val="0"/>
        <w:spacing w:line="500" w:lineRule="exact"/>
        <w:ind w:firstLine="420"/>
        <w:contextualSpacing/>
        <w:rPr>
          <w:rFonts w:asciiTheme="minorEastAsia" w:hAnsiTheme="minorEastAsia" w:eastAsiaTheme="minorEastAsia"/>
          <w:sz w:val="24"/>
          <w:szCs w:val="24"/>
        </w:rPr>
      </w:pPr>
    </w:p>
    <w:p>
      <w:pPr>
        <w:pStyle w:val="14"/>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4"/>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rPr>
          <w:rFonts w:ascii="宋体" w:hAnsi="宋体"/>
          <w:kern w:val="0"/>
          <w:sz w:val="36"/>
          <w:szCs w:val="36"/>
        </w:rPr>
      </w:pPr>
    </w:p>
    <w:p/>
    <w:p>
      <w:pPr>
        <w:pStyle w:val="18"/>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ascii="宋体" w:hAnsi="宋体"/>
          <w:b/>
          <w:sz w:val="36"/>
          <w:szCs w:val="36"/>
        </w:rPr>
      </w:pPr>
      <w:bookmarkStart w:id="4" w:name="_Toc16938559"/>
      <w:bookmarkStart w:id="5" w:name="_Toc20823315"/>
      <w:bookmarkStart w:id="6" w:name="_Toc513029243"/>
    </w:p>
    <w:bookmarkEnd w:id="4"/>
    <w:bookmarkEnd w:id="5"/>
    <w:bookmarkEnd w:id="6"/>
    <w:p>
      <w:pPr>
        <w:rPr>
          <w:rFonts w:ascii="宋体" w:hAnsi="宋体"/>
          <w:b/>
          <w:sz w:val="36"/>
          <w:szCs w:val="36"/>
        </w:rPr>
      </w:pPr>
      <w:r>
        <w:rPr>
          <w:rFonts w:hint="eastAsia" w:ascii="宋体" w:hAnsi="宋体"/>
          <w:b/>
          <w:sz w:val="36"/>
          <w:szCs w:val="36"/>
        </w:rPr>
        <w:br w:type="page"/>
      </w:r>
    </w:p>
    <w:p>
      <w:pPr>
        <w:spacing w:line="440" w:lineRule="exact"/>
        <w:jc w:val="center"/>
        <w:rPr>
          <w:rFonts w:ascii="宋体" w:hAnsi="宋体" w:cs="宋体"/>
          <w:b/>
          <w:bCs/>
          <w:szCs w:val="21"/>
        </w:rPr>
      </w:pPr>
      <w:r>
        <w:rPr>
          <w:rFonts w:hint="eastAsia" w:ascii="宋体" w:hAnsi="宋体"/>
          <w:b/>
          <w:sz w:val="36"/>
          <w:szCs w:val="36"/>
        </w:rPr>
        <w:t>供货协议</w:t>
      </w:r>
    </w:p>
    <w:p>
      <w:pPr>
        <w:pStyle w:val="14"/>
        <w:adjustRightInd w:val="0"/>
        <w:snapToGrid w:val="0"/>
        <w:spacing w:line="440" w:lineRule="exact"/>
        <w:contextualSpacing/>
        <w:rPr>
          <w:rFonts w:hAnsi="宋体" w:cs="宋体"/>
          <w:b/>
          <w:snapToGrid w:val="0"/>
          <w:kern w:val="0"/>
          <w:szCs w:val="16"/>
        </w:rPr>
      </w:pPr>
      <w:r>
        <w:rPr>
          <w:rFonts w:hint="eastAsia" w:hAnsi="宋体" w:cs="宋体"/>
          <w:snapToGrid w:val="0"/>
          <w:spacing w:val="-4"/>
          <w:kern w:val="0"/>
          <w:szCs w:val="21"/>
        </w:rPr>
        <w:t>项目名称：</w:t>
      </w:r>
      <w:r>
        <w:rPr>
          <w:rFonts w:hint="eastAsia" w:hAnsi="宋体" w:cs="宋体"/>
          <w:b/>
          <w:snapToGrid w:val="0"/>
          <w:kern w:val="0"/>
          <w:szCs w:val="16"/>
        </w:rPr>
        <w:t>扬州大学附属医院东西区发电机维保服务项目</w:t>
      </w:r>
    </w:p>
    <w:p>
      <w:pPr>
        <w:pStyle w:val="14"/>
        <w:adjustRightInd w:val="0"/>
        <w:snapToGrid w:val="0"/>
        <w:spacing w:line="440" w:lineRule="exact"/>
        <w:contextualSpacing/>
        <w:rPr>
          <w:rFonts w:hAnsi="宋体" w:cs="宋体"/>
          <w:szCs w:val="16"/>
        </w:rPr>
      </w:pPr>
      <w:r>
        <w:rPr>
          <w:rFonts w:hint="eastAsia" w:hAnsi="宋体" w:cs="宋体"/>
          <w:szCs w:val="16"/>
        </w:rPr>
        <w:t>协议编号：</w:t>
      </w:r>
      <w:r>
        <w:rPr>
          <w:rFonts w:hint="eastAsia" w:hAnsi="宋体" w:cs="宋体"/>
          <w:b/>
          <w:bCs/>
          <w:szCs w:val="16"/>
        </w:rPr>
        <w:t>YDFYXJ-2024007</w:t>
      </w:r>
    </w:p>
    <w:p>
      <w:pPr>
        <w:adjustRightInd w:val="0"/>
        <w:snapToGrid w:val="0"/>
        <w:spacing w:line="440" w:lineRule="exact"/>
        <w:contextualSpacing/>
        <w:rPr>
          <w:rFonts w:ascii="宋体" w:hAnsi="宋体" w:cs="宋体"/>
          <w:b/>
          <w:szCs w:val="21"/>
        </w:rPr>
      </w:pPr>
      <w:r>
        <w:rPr>
          <w:rFonts w:hint="eastAsia" w:ascii="宋体" w:hAnsi="宋体" w:cs="宋体"/>
          <w:szCs w:val="21"/>
        </w:rPr>
        <w:t>甲方：</w:t>
      </w:r>
      <w:r>
        <w:rPr>
          <w:rFonts w:hint="eastAsia" w:ascii="宋体" w:hAnsi="宋体" w:cs="宋体"/>
          <w:b/>
          <w:color w:val="000000"/>
          <w:kern w:val="0"/>
          <w:szCs w:val="21"/>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r>
        <w:rPr>
          <w:rFonts w:hint="eastAsia" w:ascii="宋体" w:hAnsi="宋体" w:cs="宋体"/>
          <w:b/>
          <w:bCs/>
          <w:sz w:val="24"/>
        </w:rPr>
        <w:t xml:space="preserve"> </w:t>
      </w:r>
    </w:p>
    <w:p>
      <w:pPr>
        <w:pStyle w:val="14"/>
        <w:snapToGrid w:val="0"/>
        <w:spacing w:before="120" w:after="120" w:line="360" w:lineRule="auto"/>
        <w:ind w:firstLine="420" w:firstLineChars="200"/>
        <w:rPr>
          <w:rFonts w:hAnsi="宋体" w:cs="宋体"/>
          <w:color w:val="000000"/>
        </w:rPr>
      </w:pPr>
      <w:r>
        <w:rPr>
          <w:rFonts w:hint="eastAsia" w:hAnsi="宋体" w:cs="宋体"/>
          <w:color w:val="000000"/>
        </w:rPr>
        <w:t>根据《中华人民共和国政府采购法》、《中华人民共和国民法典》等法律法规的规定，甲乙双方按照本项目询价结果签订本合同。</w:t>
      </w:r>
    </w:p>
    <w:p>
      <w:pPr>
        <w:pStyle w:val="14"/>
        <w:snapToGrid w:val="0"/>
        <w:spacing w:before="120" w:after="120" w:line="360" w:lineRule="auto"/>
        <w:ind w:firstLine="422" w:firstLineChars="200"/>
        <w:rPr>
          <w:rFonts w:hAnsi="宋体"/>
          <w:b/>
          <w:bCs/>
          <w:color w:val="000000"/>
        </w:rPr>
      </w:pPr>
      <w:r>
        <w:rPr>
          <w:rFonts w:hint="eastAsia" w:hAnsi="宋体"/>
          <w:b/>
          <w:bCs/>
          <w:color w:val="000000"/>
        </w:rPr>
        <w:t>1、合同标的</w:t>
      </w:r>
    </w:p>
    <w:p>
      <w:pPr>
        <w:pStyle w:val="14"/>
        <w:snapToGrid w:val="0"/>
        <w:spacing w:before="120" w:after="120" w:line="360" w:lineRule="auto"/>
        <w:ind w:firstLine="420" w:firstLineChars="200"/>
        <w:rPr>
          <w:rFonts w:hAnsi="宋体"/>
          <w:color w:val="000000"/>
        </w:rPr>
      </w:pPr>
      <w:r>
        <w:rPr>
          <w:rFonts w:hint="eastAsia" w:hAnsi="宋体"/>
          <w:color w:val="000000"/>
        </w:rPr>
        <w:t>乙方根据甲方需求，提供下列服务：</w:t>
      </w:r>
      <w:r>
        <w:rPr>
          <w:rFonts w:hint="eastAsia" w:hAnsi="宋体"/>
          <w:color w:val="000000"/>
          <w:u w:val="single"/>
        </w:rPr>
        <w:t xml:space="preserve">   东西区发电机维保    </w:t>
      </w:r>
      <w:r>
        <w:rPr>
          <w:rFonts w:hint="eastAsia" w:hAnsi="宋体"/>
          <w:color w:val="000000"/>
        </w:rPr>
        <w:t>。</w:t>
      </w:r>
    </w:p>
    <w:p>
      <w:pPr>
        <w:pStyle w:val="14"/>
        <w:snapToGrid w:val="0"/>
        <w:spacing w:before="120" w:after="120" w:line="360" w:lineRule="auto"/>
        <w:ind w:firstLine="420" w:firstLineChars="200"/>
        <w:rPr>
          <w:rFonts w:hAnsi="宋体"/>
          <w:color w:val="000000"/>
        </w:rPr>
      </w:pPr>
      <w:r>
        <w:rPr>
          <w:rFonts w:hint="eastAsia" w:hAnsi="宋体"/>
          <w:color w:val="000000"/>
        </w:rPr>
        <w:t>服务名称、规格及数量等要求详见询价文件及响应文件。</w:t>
      </w:r>
    </w:p>
    <w:p>
      <w:pPr>
        <w:pStyle w:val="14"/>
        <w:snapToGrid w:val="0"/>
        <w:spacing w:before="120" w:after="120" w:line="360" w:lineRule="auto"/>
        <w:ind w:firstLine="420" w:firstLineChars="200"/>
        <w:rPr>
          <w:rFonts w:hAnsi="宋体"/>
          <w:color w:val="000000"/>
        </w:rPr>
      </w:pPr>
      <w:r>
        <w:rPr>
          <w:rFonts w:hint="eastAsia" w:hAnsi="宋体"/>
          <w:color w:val="000000"/>
        </w:rPr>
        <w:t>发电机维护保养技术规范要求（详见附件1），发电机维护保养要求（详见附件2）。</w:t>
      </w:r>
    </w:p>
    <w:p>
      <w:pPr>
        <w:pStyle w:val="14"/>
        <w:snapToGrid w:val="0"/>
        <w:spacing w:before="120" w:after="120" w:line="360" w:lineRule="auto"/>
        <w:ind w:firstLine="422" w:firstLineChars="200"/>
        <w:rPr>
          <w:rFonts w:hAnsi="宋体"/>
          <w:b/>
          <w:bCs/>
          <w:color w:val="000000"/>
        </w:rPr>
      </w:pPr>
      <w:r>
        <w:rPr>
          <w:rFonts w:hint="eastAsia" w:hAnsi="宋体"/>
          <w:b/>
          <w:bCs/>
          <w:color w:val="000000"/>
        </w:rPr>
        <w:t>2、合同总金额</w:t>
      </w:r>
    </w:p>
    <w:p>
      <w:pPr>
        <w:pStyle w:val="14"/>
        <w:snapToGrid w:val="0"/>
        <w:spacing w:before="120" w:after="120" w:line="360" w:lineRule="auto"/>
        <w:ind w:left="315" w:leftChars="150" w:firstLine="105" w:firstLineChars="50"/>
        <w:rPr>
          <w:rFonts w:hAnsi="宋体"/>
          <w:color w:val="000000"/>
        </w:rPr>
      </w:pPr>
      <w:r>
        <w:rPr>
          <w:rFonts w:hint="eastAsia" w:hAnsi="宋体"/>
          <w:color w:val="000000"/>
        </w:rPr>
        <w:t>2.1 本合同金额为：</w:t>
      </w:r>
      <w:r>
        <w:rPr>
          <w:rFonts w:hint="eastAsia" w:hAnsi="宋体"/>
          <w:b/>
          <w:bCs/>
          <w:color w:val="000000"/>
          <w:u w:val="single"/>
        </w:rPr>
        <w:t>人民币</w:t>
      </w:r>
      <w:r>
        <w:rPr>
          <w:rFonts w:hint="eastAsia" w:hAnsi="宋体"/>
          <w:color w:val="000000"/>
        </w:rPr>
        <w:t>。</w:t>
      </w:r>
    </w:p>
    <w:p>
      <w:pPr>
        <w:pStyle w:val="14"/>
        <w:snapToGrid w:val="0"/>
        <w:spacing w:before="120" w:after="120" w:line="360" w:lineRule="auto"/>
        <w:ind w:firstLine="420" w:firstLineChars="200"/>
        <w:rPr>
          <w:rFonts w:hAnsi="宋体"/>
          <w:color w:val="000000"/>
        </w:rPr>
      </w:pPr>
      <w:r>
        <w:rPr>
          <w:rFonts w:hint="eastAsia" w:hAnsi="宋体"/>
          <w:color w:val="000000"/>
        </w:rPr>
        <w:t>2.2本合同总金额包括乙方提供的服务及其他有关的为完成本项目发生的所有费用，包括支付给员工的工资和国家强制缴纳的各种社会保障资金、国家政策性调整等费用。询价文件中另有规定的除外。</w:t>
      </w:r>
    </w:p>
    <w:p>
      <w:pPr>
        <w:pStyle w:val="14"/>
        <w:snapToGrid w:val="0"/>
        <w:spacing w:before="120" w:after="120" w:line="360" w:lineRule="auto"/>
        <w:ind w:firstLine="420" w:firstLineChars="200"/>
        <w:rPr>
          <w:rFonts w:hAnsi="宋体"/>
          <w:color w:val="000000"/>
        </w:rPr>
      </w:pPr>
      <w:r>
        <w:rPr>
          <w:rFonts w:hint="eastAsia" w:hAnsi="宋体"/>
          <w:color w:val="000000"/>
        </w:rPr>
        <w:t>2.3本合同总价款还包含乙方根据甲方需要应当提供的伴随服务费用。</w:t>
      </w:r>
    </w:p>
    <w:p>
      <w:pPr>
        <w:pStyle w:val="14"/>
        <w:snapToGrid w:val="0"/>
        <w:spacing w:before="120" w:after="120" w:line="360" w:lineRule="auto"/>
        <w:ind w:firstLine="420" w:firstLineChars="200"/>
        <w:rPr>
          <w:rFonts w:hAnsi="宋体"/>
          <w:color w:val="000000"/>
        </w:rPr>
      </w:pPr>
      <w:r>
        <w:rPr>
          <w:rFonts w:hint="eastAsia" w:hAnsi="宋体"/>
          <w:color w:val="000000"/>
        </w:rPr>
        <w:t>2.4本合同执行期间合同总价款不变。</w:t>
      </w:r>
    </w:p>
    <w:p>
      <w:pPr>
        <w:pStyle w:val="14"/>
        <w:snapToGrid w:val="0"/>
        <w:spacing w:before="120" w:after="120" w:line="360" w:lineRule="auto"/>
        <w:ind w:firstLine="420" w:firstLineChars="200"/>
        <w:rPr>
          <w:rFonts w:hAnsi="宋体"/>
          <w:color w:val="000000"/>
        </w:rPr>
      </w:pPr>
      <w:r>
        <w:rPr>
          <w:rFonts w:hint="eastAsia" w:hAnsi="宋体"/>
          <w:color w:val="000000"/>
        </w:rPr>
        <w:t>2.5在询价文件未列明，而乙方认为履行本合同必需的费用也包含在合同总金额中。</w:t>
      </w:r>
    </w:p>
    <w:p>
      <w:pPr>
        <w:pStyle w:val="14"/>
        <w:snapToGrid w:val="0"/>
        <w:spacing w:before="120" w:after="120" w:line="360" w:lineRule="auto"/>
        <w:ind w:firstLine="422" w:firstLineChars="200"/>
        <w:rPr>
          <w:rFonts w:hAnsi="宋体" w:cs="宋体"/>
          <w:b/>
          <w:bCs/>
          <w:color w:val="000000"/>
        </w:rPr>
      </w:pPr>
      <w:r>
        <w:rPr>
          <w:rFonts w:hint="eastAsia" w:hAnsi="宋体" w:cs="宋体"/>
          <w:b/>
          <w:bCs/>
          <w:color w:val="000000"/>
        </w:rPr>
        <w:t>3、组成本合同的有关文件</w:t>
      </w:r>
    </w:p>
    <w:p>
      <w:pPr>
        <w:pStyle w:val="14"/>
        <w:snapToGrid w:val="0"/>
        <w:spacing w:before="120" w:after="120" w:line="360" w:lineRule="auto"/>
        <w:ind w:left="315" w:leftChars="150" w:firstLine="105" w:firstLineChars="50"/>
        <w:rPr>
          <w:rFonts w:hAnsi="宋体" w:cs="宋体"/>
          <w:color w:val="000000"/>
        </w:rPr>
      </w:pPr>
      <w:r>
        <w:rPr>
          <w:rFonts w:hint="eastAsia" w:hAnsi="宋体" w:cs="宋体"/>
          <w:color w:val="000000"/>
        </w:rPr>
        <w:t>3.1乙方应按询价文件规定的时间向甲方提供服务的有关技术资料。</w:t>
      </w:r>
    </w:p>
    <w:p>
      <w:pPr>
        <w:pStyle w:val="14"/>
        <w:snapToGrid w:val="0"/>
        <w:spacing w:before="120" w:after="120" w:line="360" w:lineRule="auto"/>
        <w:ind w:firstLine="420" w:firstLineChars="200"/>
        <w:rPr>
          <w:rFonts w:hAnsi="宋体" w:cs="宋体"/>
          <w:color w:val="000000"/>
        </w:rPr>
      </w:pPr>
      <w:r>
        <w:rPr>
          <w:rFonts w:hint="eastAsia" w:hAnsi="宋体" w:cs="宋体"/>
          <w:color w:val="000000"/>
        </w:rPr>
        <w:t>3.2 没有甲方事先书面同意，乙方不得将由甲方提供的有关合同或任何合同条文或资料提供给任何其他人。即使向履行本合同有关的人员提供，也应注意保密并限于履行合同的必需范围。</w:t>
      </w:r>
    </w:p>
    <w:p>
      <w:pPr>
        <w:pStyle w:val="14"/>
        <w:snapToGrid w:val="0"/>
        <w:spacing w:before="120" w:after="120" w:line="360" w:lineRule="auto"/>
        <w:ind w:left="315" w:leftChars="150" w:firstLine="105" w:firstLineChars="50"/>
        <w:rPr>
          <w:rFonts w:hAnsi="宋体" w:cs="宋体"/>
          <w:color w:val="000000"/>
        </w:rPr>
      </w:pPr>
      <w:r>
        <w:rPr>
          <w:rFonts w:hint="eastAsia" w:hAnsi="宋体" w:cs="宋体"/>
          <w:color w:val="000000"/>
        </w:rPr>
        <w:t>3.3 关于本项目政府采购的询价文件、响应文件以及与本次采购活动方式相适应的文件及有关附件是本合同不可分割的组成部分，这些文件包括但不限于：</w:t>
      </w:r>
    </w:p>
    <w:p>
      <w:pPr>
        <w:pStyle w:val="14"/>
        <w:snapToGrid w:val="0"/>
        <w:spacing w:before="120" w:after="120" w:line="360" w:lineRule="auto"/>
        <w:ind w:left="359" w:hanging="359" w:hangingChars="171"/>
        <w:rPr>
          <w:rFonts w:hAnsi="宋体" w:cs="宋体"/>
          <w:color w:val="000000"/>
        </w:rPr>
      </w:pPr>
      <w:r>
        <w:rPr>
          <w:rFonts w:hint="eastAsia" w:hAnsi="宋体" w:cs="宋体"/>
          <w:color w:val="000000"/>
        </w:rPr>
        <w:t xml:space="preserve">   （1）询价响应文件；               （2）询价报价文件；</w:t>
      </w:r>
    </w:p>
    <w:p>
      <w:pPr>
        <w:pStyle w:val="14"/>
        <w:snapToGrid w:val="0"/>
        <w:spacing w:before="120" w:after="120" w:line="360" w:lineRule="auto"/>
        <w:ind w:left="359" w:hanging="359" w:hangingChars="171"/>
        <w:rPr>
          <w:rFonts w:hAnsi="宋体" w:cs="宋体"/>
          <w:color w:val="000000"/>
        </w:rPr>
      </w:pPr>
      <w:r>
        <w:rPr>
          <w:rFonts w:hint="eastAsia" w:hAnsi="宋体" w:cs="宋体"/>
          <w:color w:val="000000"/>
        </w:rPr>
        <w:t xml:space="preserve">   （3）项目组人员表                 （4）技术参数、商务条款响应及偏离表；</w:t>
      </w:r>
    </w:p>
    <w:p>
      <w:pPr>
        <w:pStyle w:val="14"/>
        <w:snapToGrid w:val="0"/>
        <w:spacing w:before="120" w:after="120" w:line="360" w:lineRule="auto"/>
        <w:ind w:left="359" w:hanging="359" w:hangingChars="171"/>
        <w:rPr>
          <w:rFonts w:hAnsi="宋体" w:cs="宋体"/>
          <w:color w:val="000000"/>
        </w:rPr>
      </w:pPr>
      <w:r>
        <w:rPr>
          <w:rFonts w:hint="eastAsia" w:hAnsi="宋体" w:cs="宋体"/>
          <w:color w:val="000000"/>
        </w:rPr>
        <w:t xml:space="preserve">   （5）服务承诺；                   （6）成交通知书；</w:t>
      </w:r>
    </w:p>
    <w:p>
      <w:pPr>
        <w:pStyle w:val="14"/>
        <w:snapToGrid w:val="0"/>
        <w:spacing w:before="120" w:after="120" w:line="360" w:lineRule="auto"/>
        <w:ind w:left="359" w:hanging="359" w:hangingChars="171"/>
        <w:rPr>
          <w:rFonts w:hAnsi="宋体" w:cs="宋体"/>
          <w:color w:val="000000"/>
        </w:rPr>
      </w:pPr>
      <w:r>
        <w:rPr>
          <w:rFonts w:hint="eastAsia" w:hAnsi="宋体" w:cs="宋体"/>
          <w:color w:val="000000"/>
        </w:rPr>
        <w:t xml:space="preserve">   （7）甲乙双方补充协议；           （8）乙方参加谈判时提供的响应文件。</w:t>
      </w:r>
    </w:p>
    <w:p>
      <w:pPr>
        <w:pStyle w:val="14"/>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4、知识产权保证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乙方保证甲方在使用、接受本合同服务或其任何一部分时，不受第三方提出侵犯其专利权、版权、商标权和工业设计权等知识产权的起诉。一旦出现侵权，由乙方负全部责任。</w:t>
      </w:r>
    </w:p>
    <w:p>
      <w:pPr>
        <w:pStyle w:val="14"/>
        <w:snapToGrid w:val="0"/>
        <w:spacing w:before="120" w:after="120" w:line="360" w:lineRule="auto"/>
        <w:ind w:firstLine="422" w:firstLineChars="200"/>
        <w:rPr>
          <w:rFonts w:hAnsi="宋体" w:cs="宋体"/>
          <w:b/>
          <w:bCs/>
          <w:color w:val="000000"/>
        </w:rPr>
      </w:pPr>
      <w:r>
        <w:rPr>
          <w:rFonts w:hint="eastAsia" w:hAnsi="宋体" w:cs="宋体"/>
          <w:b/>
          <w:bCs/>
          <w:color w:val="000000"/>
        </w:rPr>
        <w:t>5、产权保证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乙方保证所交付的服务和服务所涉及的物品所有权无任何抵押、查封等权利瑕疵。</w:t>
      </w:r>
    </w:p>
    <w:p>
      <w:pPr>
        <w:pStyle w:val="14"/>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6、履约保证金</w:t>
      </w:r>
    </w:p>
    <w:p>
      <w:pPr>
        <w:pStyle w:val="14"/>
        <w:snapToGrid w:val="0"/>
        <w:spacing w:before="120" w:after="120" w:line="360" w:lineRule="auto"/>
        <w:ind w:firstLine="420" w:firstLineChars="200"/>
        <w:rPr>
          <w:rFonts w:hAnsi="宋体" w:cs="宋体"/>
          <w:color w:val="000000"/>
        </w:rPr>
      </w:pPr>
      <w:r>
        <w:rPr>
          <w:rFonts w:hint="eastAsia" w:hAnsi="宋体" w:cs="宋体"/>
          <w:color w:val="000000"/>
        </w:rPr>
        <w:t>6.1无。</w:t>
      </w:r>
    </w:p>
    <w:p>
      <w:pPr>
        <w:pStyle w:val="14"/>
        <w:snapToGrid w:val="0"/>
        <w:spacing w:before="120" w:after="120" w:line="360" w:lineRule="auto"/>
        <w:ind w:firstLine="420" w:firstLineChars="200"/>
        <w:rPr>
          <w:rFonts w:hAnsi="宋体" w:cs="宋体"/>
          <w:color w:val="000000"/>
        </w:rPr>
      </w:pPr>
      <w:r>
        <w:rPr>
          <w:rFonts w:hint="eastAsia" w:hAnsi="宋体" w:cs="宋体"/>
          <w:color w:val="000000"/>
        </w:rPr>
        <w:t>6.2履约保证金的退还：履约保证金在合作期满后7个工作日内退还，不计利息。乙方凭甲方人签署的项目验收单或项目验收报告、履约保证金收据原件，前往甲方处办理保证金退还手续。</w:t>
      </w:r>
    </w:p>
    <w:p>
      <w:pPr>
        <w:pStyle w:val="14"/>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7、转包或分包</w:t>
      </w:r>
    </w:p>
    <w:p>
      <w:pPr>
        <w:pStyle w:val="14"/>
        <w:snapToGrid w:val="0"/>
        <w:spacing w:before="120" w:after="120" w:line="360" w:lineRule="auto"/>
        <w:ind w:firstLine="420" w:firstLineChars="200"/>
        <w:rPr>
          <w:rFonts w:hAnsi="宋体" w:cs="宋体"/>
          <w:color w:val="000000"/>
        </w:rPr>
      </w:pPr>
      <w:r>
        <w:rPr>
          <w:rFonts w:hint="eastAsia" w:hAnsi="宋体" w:cs="宋体"/>
          <w:color w:val="000000"/>
        </w:rPr>
        <w:t>7.1 本合同禁止转包，本合同范围的货物，应由乙方直接提供的，不得转让他人提供。</w:t>
      </w:r>
    </w:p>
    <w:p>
      <w:pPr>
        <w:pStyle w:val="14"/>
        <w:snapToGrid w:val="0"/>
        <w:spacing w:before="120" w:after="120" w:line="360" w:lineRule="auto"/>
        <w:ind w:firstLine="420" w:firstLineChars="200"/>
        <w:rPr>
          <w:rFonts w:hAnsi="宋体" w:cs="宋体"/>
          <w:color w:val="000000"/>
        </w:rPr>
      </w:pPr>
      <w:r>
        <w:rPr>
          <w:rFonts w:hint="eastAsia" w:hAnsi="宋体" w:cs="宋体"/>
          <w:color w:val="000000"/>
        </w:rPr>
        <w:t>7.2 经甲方同意，乙方可以依法采取分包方式履行合同，但是分包方式履行的，乙方应就采购项目向甲方负全责。</w:t>
      </w:r>
    </w:p>
    <w:p>
      <w:pPr>
        <w:pStyle w:val="14"/>
        <w:snapToGrid w:val="0"/>
        <w:spacing w:before="120" w:after="120" w:line="360" w:lineRule="auto"/>
        <w:ind w:left="315" w:leftChars="150" w:firstLine="105" w:firstLineChars="50"/>
        <w:rPr>
          <w:rFonts w:hAnsi="宋体"/>
          <w:b/>
          <w:bCs/>
          <w:color w:val="000000"/>
        </w:rPr>
      </w:pPr>
      <w:r>
        <w:rPr>
          <w:rFonts w:hint="eastAsia" w:hAnsi="宋体"/>
          <w:b/>
          <w:bCs/>
          <w:color w:val="000000"/>
        </w:rPr>
        <w:t>8、质保期等其他约定</w:t>
      </w:r>
    </w:p>
    <w:p>
      <w:pPr>
        <w:pStyle w:val="14"/>
        <w:snapToGrid w:val="0"/>
        <w:spacing w:before="120" w:after="120" w:line="360" w:lineRule="auto"/>
        <w:ind w:left="315" w:leftChars="150" w:firstLine="105" w:firstLineChars="50"/>
        <w:rPr>
          <w:rFonts w:hAnsi="宋体"/>
          <w:color w:val="000000"/>
        </w:rPr>
      </w:pPr>
      <w:r>
        <w:rPr>
          <w:rFonts w:hint="eastAsia" w:hAnsi="宋体"/>
          <w:color w:val="000000"/>
        </w:rPr>
        <w:t>8.1 质保期</w:t>
      </w:r>
      <w:r>
        <w:rPr>
          <w:rFonts w:hint="eastAsia" w:hAnsi="宋体"/>
          <w:color w:val="000000"/>
          <w:u w:val="single"/>
        </w:rPr>
        <w:t>1</w:t>
      </w:r>
      <w:r>
        <w:rPr>
          <w:rFonts w:hint="eastAsia" w:hAnsi="宋体"/>
          <w:color w:val="000000"/>
        </w:rPr>
        <w:t>年。（自项目验收合格之日起计）</w:t>
      </w:r>
    </w:p>
    <w:p>
      <w:pPr>
        <w:pStyle w:val="14"/>
        <w:snapToGrid w:val="0"/>
        <w:spacing w:before="120" w:after="120" w:line="360" w:lineRule="auto"/>
        <w:ind w:left="315" w:leftChars="150" w:firstLine="105" w:firstLineChars="50"/>
        <w:rPr>
          <w:rFonts w:hAnsi="宋体"/>
          <w:b/>
          <w:bCs/>
          <w:color w:val="000000"/>
        </w:rPr>
      </w:pPr>
      <w:r>
        <w:rPr>
          <w:rFonts w:hint="eastAsia" w:hAnsi="宋体"/>
          <w:b/>
          <w:bCs/>
          <w:color w:val="000000"/>
        </w:rPr>
        <w:t>8.2 所有安全责任与赔偿由乙方负责，甲方不负责，甲乙双方就此签订协议。</w:t>
      </w:r>
    </w:p>
    <w:p>
      <w:pPr>
        <w:pStyle w:val="14"/>
        <w:snapToGrid w:val="0"/>
        <w:spacing w:before="120" w:after="120" w:line="360" w:lineRule="auto"/>
        <w:ind w:left="315" w:leftChars="150" w:firstLine="105" w:firstLineChars="50"/>
        <w:rPr>
          <w:rFonts w:hAnsi="宋体"/>
          <w:b/>
          <w:bCs/>
          <w:color w:val="000000"/>
        </w:rPr>
      </w:pPr>
      <w:r>
        <w:rPr>
          <w:rFonts w:hint="eastAsia" w:hAnsi="宋体"/>
          <w:b/>
          <w:bCs/>
          <w:color w:val="000000"/>
        </w:rPr>
        <w:t>9、交货期、交货方式及交货地点</w:t>
      </w:r>
    </w:p>
    <w:p>
      <w:pPr>
        <w:pStyle w:val="14"/>
        <w:snapToGrid w:val="0"/>
        <w:spacing w:before="120" w:after="120" w:line="360" w:lineRule="auto"/>
        <w:ind w:firstLine="420" w:firstLineChars="200"/>
        <w:rPr>
          <w:rFonts w:hAnsi="宋体"/>
          <w:bCs/>
          <w:color w:val="000000"/>
        </w:rPr>
      </w:pPr>
      <w:r>
        <w:rPr>
          <w:rFonts w:hint="eastAsia" w:hAnsi="宋体"/>
          <w:bCs/>
          <w:color w:val="000000"/>
        </w:rPr>
        <w:t>9.1 交货期：</w:t>
      </w:r>
      <w:r>
        <w:rPr>
          <w:rFonts w:hint="eastAsia" w:hAnsi="宋体"/>
          <w:color w:val="000000"/>
          <w:u w:val="single"/>
        </w:rPr>
        <w:t>/</w:t>
      </w:r>
    </w:p>
    <w:p>
      <w:pPr>
        <w:pStyle w:val="14"/>
        <w:snapToGrid w:val="0"/>
        <w:spacing w:before="120" w:after="120" w:line="360" w:lineRule="auto"/>
        <w:ind w:firstLine="420" w:firstLineChars="200"/>
        <w:rPr>
          <w:rFonts w:hAnsi="宋体"/>
          <w:bCs/>
          <w:color w:val="000000"/>
        </w:rPr>
      </w:pPr>
      <w:r>
        <w:rPr>
          <w:rFonts w:hint="eastAsia" w:hAnsi="宋体"/>
          <w:bCs/>
          <w:color w:val="000000"/>
        </w:rPr>
        <w:t>9.2 交货方式：</w:t>
      </w:r>
      <w:r>
        <w:rPr>
          <w:rFonts w:hint="eastAsia" w:hAnsi="宋体"/>
          <w:color w:val="000000"/>
        </w:rPr>
        <w:t>_/__</w:t>
      </w:r>
    </w:p>
    <w:p>
      <w:pPr>
        <w:pStyle w:val="14"/>
        <w:snapToGrid w:val="0"/>
        <w:spacing w:before="120" w:after="120" w:line="360" w:lineRule="auto"/>
        <w:ind w:firstLine="420" w:firstLineChars="200"/>
        <w:rPr>
          <w:rFonts w:hAnsi="宋体"/>
          <w:b/>
          <w:color w:val="000000"/>
        </w:rPr>
      </w:pPr>
      <w:r>
        <w:rPr>
          <w:rFonts w:hint="eastAsia" w:hAnsi="宋体"/>
          <w:bCs/>
          <w:color w:val="000000"/>
        </w:rPr>
        <w:t>9.3 交货地点：</w:t>
      </w:r>
      <w:r>
        <w:rPr>
          <w:rFonts w:hint="eastAsia" w:hAnsi="宋体"/>
          <w:bCs/>
          <w:color w:val="000000"/>
          <w:u w:val="single"/>
        </w:rPr>
        <w:t>甲方指定地点</w:t>
      </w:r>
    </w:p>
    <w:p>
      <w:pPr>
        <w:pStyle w:val="14"/>
        <w:snapToGrid w:val="0"/>
        <w:spacing w:before="120" w:after="120" w:line="360" w:lineRule="auto"/>
        <w:ind w:left="315" w:leftChars="150" w:firstLine="105" w:firstLineChars="50"/>
        <w:rPr>
          <w:rFonts w:hAnsi="宋体"/>
          <w:b/>
          <w:bCs/>
          <w:color w:val="000000"/>
        </w:rPr>
      </w:pPr>
      <w:r>
        <w:rPr>
          <w:rFonts w:hint="eastAsia" w:hAnsi="宋体"/>
          <w:b/>
          <w:bCs/>
          <w:color w:val="000000"/>
        </w:rPr>
        <w:t>10、货款支付</w:t>
      </w:r>
    </w:p>
    <w:p>
      <w:pPr>
        <w:autoSpaceDE w:val="0"/>
        <w:autoSpaceDN w:val="0"/>
        <w:spacing w:line="360" w:lineRule="auto"/>
        <w:ind w:firstLine="420" w:firstLineChars="200"/>
        <w:rPr>
          <w:rFonts w:ascii="宋体" w:hAnsi="宋体"/>
          <w:color w:val="000000"/>
        </w:rPr>
      </w:pPr>
      <w:r>
        <w:rPr>
          <w:rFonts w:ascii="宋体" w:hAnsi="宋体"/>
          <w:color w:val="000000"/>
        </w:rPr>
        <w:t xml:space="preserve">10.1 </w:t>
      </w:r>
      <w:r>
        <w:rPr>
          <w:rFonts w:hint="eastAsia" w:ascii="宋体" w:hAnsi="宋体"/>
          <w:color w:val="000000"/>
        </w:rPr>
        <w:t xml:space="preserve">本合同项下所有款项均以人民币支付。 </w:t>
      </w:r>
    </w:p>
    <w:p>
      <w:pPr>
        <w:autoSpaceDE w:val="0"/>
        <w:autoSpaceDN w:val="0"/>
        <w:spacing w:line="360" w:lineRule="auto"/>
        <w:ind w:firstLine="420" w:firstLineChars="200"/>
        <w:rPr>
          <w:rFonts w:ascii="宋体" w:hAnsi="宋体"/>
          <w:color w:val="000000"/>
        </w:rPr>
      </w:pPr>
      <w:r>
        <w:rPr>
          <w:rFonts w:hint="eastAsia" w:ascii="宋体" w:hAnsi="宋体"/>
          <w:color w:val="000000"/>
        </w:rPr>
        <w:t>10.2 本合同项下的采购资金由甲方支付，付款前乙方向甲方开具发票。若乙方开票不及时或违反合同约定，甲方有权拒付，由此造成的责任和损失由乙方承担。</w:t>
      </w:r>
    </w:p>
    <w:p>
      <w:pPr>
        <w:spacing w:line="360" w:lineRule="auto"/>
        <w:ind w:firstLine="420" w:firstLineChars="200"/>
        <w:rPr>
          <w:rFonts w:hAnsi="宋体"/>
          <w:color w:val="000000"/>
        </w:rPr>
      </w:pPr>
      <w:r>
        <w:rPr>
          <w:rFonts w:hint="eastAsia" w:hAnsi="宋体"/>
          <w:color w:val="000000"/>
        </w:rPr>
        <w:t>10.3 付款方式：</w:t>
      </w:r>
    </w:p>
    <w:p>
      <w:pPr>
        <w:pStyle w:val="14"/>
        <w:snapToGrid w:val="0"/>
        <w:spacing w:before="120" w:after="120" w:line="360" w:lineRule="auto"/>
        <w:ind w:left="315" w:leftChars="150" w:firstLine="105" w:firstLineChars="50"/>
        <w:rPr>
          <w:rFonts w:hAnsi="宋体" w:cs="宋体"/>
          <w:color w:val="000000"/>
        </w:rPr>
      </w:pPr>
      <w:r>
        <w:rPr>
          <w:rFonts w:hint="eastAsia" w:hAnsi="宋体" w:cs="宋体"/>
          <w:color w:val="000000"/>
        </w:rPr>
        <w:t>付款方式为在验收、调试合格后，乙方凭甲方的验收单及开具的正规增值税发票等材料向甲方办理付款手续，甲方凭手续齐全的票据向乙方支付协议价的100%。（以上均不计息）。</w:t>
      </w:r>
    </w:p>
    <w:p>
      <w:pPr>
        <w:pStyle w:val="14"/>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11、税费</w:t>
      </w:r>
    </w:p>
    <w:p>
      <w:pPr>
        <w:pStyle w:val="14"/>
        <w:snapToGrid w:val="0"/>
        <w:spacing w:before="120" w:after="120" w:line="360" w:lineRule="auto"/>
        <w:ind w:firstLine="420" w:firstLineChars="200"/>
        <w:rPr>
          <w:rFonts w:hAnsi="宋体" w:cs="宋体"/>
          <w:b/>
          <w:bCs/>
          <w:color w:val="000000"/>
        </w:rPr>
      </w:pPr>
      <w:r>
        <w:rPr>
          <w:rFonts w:hint="eastAsia" w:hAnsi="宋体" w:cs="宋体"/>
          <w:color w:val="000000"/>
        </w:rPr>
        <w:t>本合同执行中相关的一切税费均由乙方负担。</w:t>
      </w:r>
    </w:p>
    <w:p>
      <w:pPr>
        <w:pStyle w:val="14"/>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12、质量保证及售后服务</w:t>
      </w:r>
    </w:p>
    <w:p>
      <w:pPr>
        <w:spacing w:before="120" w:beforeLines="50" w:after="120" w:afterLines="50" w:line="360" w:lineRule="auto"/>
        <w:ind w:firstLine="420" w:firstLineChars="200"/>
        <w:rPr>
          <w:rFonts w:ascii="宋体" w:hAnsi="宋体"/>
          <w:color w:val="000000"/>
        </w:rPr>
      </w:pPr>
      <w:r>
        <w:rPr>
          <w:rFonts w:hint="eastAsia" w:ascii="宋体" w:hAnsi="宋体" w:cs="宋体"/>
          <w:color w:val="000000"/>
          <w:szCs w:val="21"/>
        </w:rPr>
        <w:t>12.1 乙方应按询价文件规定及响应文件承诺的技术要求、质量标准向甲方提供服务；若技术性能无特殊说明，则按国家有关部门最新</w:t>
      </w:r>
      <w:r>
        <w:rPr>
          <w:rFonts w:hint="eastAsia" w:ascii="宋体" w:hAnsi="宋体"/>
          <w:color w:val="000000"/>
        </w:rPr>
        <w:t>颁布的标准及规范为准。</w:t>
      </w:r>
    </w:p>
    <w:p>
      <w:pPr>
        <w:spacing w:before="120" w:beforeLines="50" w:after="120" w:afterLines="50" w:line="360" w:lineRule="auto"/>
        <w:ind w:firstLine="420" w:firstLineChars="200"/>
        <w:rPr>
          <w:rFonts w:ascii="宋体" w:hAnsi="宋体"/>
          <w:color w:val="000000"/>
        </w:rPr>
      </w:pPr>
      <w:r>
        <w:rPr>
          <w:rFonts w:hint="eastAsia" w:ascii="宋体" w:hAnsi="宋体"/>
          <w:color w:val="000000"/>
        </w:rPr>
        <w:t>12.2乙方应保证其提供的服务是全面和规范的。货物验收后，在质量保证期内，乙方应对由于设计、工艺或材料的缺陷所发生的任何不足或故障负责，所需费用由乙方承担。</w:t>
      </w:r>
    </w:p>
    <w:p>
      <w:pPr>
        <w:spacing w:before="120" w:beforeLines="50" w:after="120" w:afterLines="50" w:line="360" w:lineRule="auto"/>
        <w:ind w:firstLine="420" w:firstLineChars="200"/>
        <w:rPr>
          <w:rFonts w:ascii="宋体" w:hAnsi="宋体"/>
          <w:color w:val="000000"/>
        </w:rPr>
      </w:pPr>
      <w:r>
        <w:rPr>
          <w:rFonts w:hint="eastAsia" w:ascii="宋体" w:hAnsi="宋体"/>
          <w:color w:val="000000"/>
        </w:rPr>
        <w:t>12.3 服务过程中，乙方应对所提供服务出现的质量及安全问题负责处理解决并承担一切费用。</w:t>
      </w:r>
    </w:p>
    <w:p>
      <w:pPr>
        <w:spacing w:before="120" w:beforeLines="50" w:after="120" w:afterLines="50" w:line="360" w:lineRule="auto"/>
        <w:ind w:firstLine="420" w:firstLineChars="200"/>
        <w:rPr>
          <w:rFonts w:ascii="宋体" w:hAnsi="宋体"/>
          <w:color w:val="000000"/>
        </w:rPr>
      </w:pPr>
      <w:r>
        <w:rPr>
          <w:rFonts w:hint="eastAsia" w:ascii="宋体" w:hAnsi="宋体"/>
          <w:color w:val="000000"/>
        </w:rPr>
        <w:t>12.4 如在使用过程中发生质量问题，乙方应在1小时内响应，2小时内赶到故障现场进行维护服务，24小时内解决问题（因不可抗力或甲方同意延期修理的除外）。每月至少安排一次例行检查，并记录文档资料。如遇医院有重大活动，必须到场做好保障工作。</w:t>
      </w:r>
    </w:p>
    <w:p>
      <w:pPr>
        <w:pStyle w:val="14"/>
        <w:snapToGrid w:val="0"/>
        <w:spacing w:before="120" w:after="120" w:line="360" w:lineRule="auto"/>
        <w:ind w:left="315" w:leftChars="150" w:firstLine="105" w:firstLineChars="50"/>
        <w:rPr>
          <w:rFonts w:hAnsi="宋体"/>
          <w:b/>
          <w:bCs/>
          <w:color w:val="000000"/>
        </w:rPr>
      </w:pPr>
      <w:r>
        <w:rPr>
          <w:rFonts w:hint="eastAsia" w:hAnsi="宋体"/>
          <w:b/>
          <w:bCs/>
          <w:color w:val="000000"/>
        </w:rPr>
        <w:t>13、交货、调试和验收</w:t>
      </w:r>
    </w:p>
    <w:p>
      <w:pPr>
        <w:spacing w:line="360" w:lineRule="auto"/>
        <w:ind w:firstLine="420" w:firstLineChars="200"/>
        <w:rPr>
          <w:rFonts w:ascii="宋体" w:hAnsi="宋体"/>
          <w:color w:val="000000"/>
        </w:rPr>
      </w:pPr>
      <w:r>
        <w:rPr>
          <w:rFonts w:hint="eastAsia" w:ascii="宋体" w:hAnsi="宋体"/>
          <w:color w:val="000000"/>
        </w:rPr>
        <w:t>13.1 在交付前，乙方应作出全面检查和对验收文件进行整理，并列出清单，作为甲方初验收和使用的技术条件依据，检验的结果交甲方。</w:t>
      </w:r>
    </w:p>
    <w:p>
      <w:pPr>
        <w:pStyle w:val="14"/>
        <w:snapToGrid w:val="0"/>
        <w:spacing w:before="120" w:after="120" w:line="360" w:lineRule="auto"/>
        <w:ind w:firstLine="420" w:firstLineChars="200"/>
        <w:rPr>
          <w:rFonts w:hAnsi="宋体"/>
          <w:color w:val="000000"/>
        </w:rPr>
      </w:pPr>
      <w:r>
        <w:rPr>
          <w:rFonts w:hint="eastAsia" w:hAnsi="宋体"/>
          <w:color w:val="000000"/>
        </w:rPr>
        <w:t>13.2 验收标准：按乙方响应文件的承诺，并不低于国家相关标准。甲乙双方须在5个工作日内初验收，符合谈判文件要求的，给予签收，初步验收不合格的，甲方有权解除合同。</w:t>
      </w:r>
    </w:p>
    <w:p>
      <w:pPr>
        <w:spacing w:line="360" w:lineRule="auto"/>
        <w:ind w:firstLine="420" w:firstLineChars="200"/>
        <w:rPr>
          <w:rFonts w:ascii="宋体" w:hAnsi="宋体"/>
          <w:color w:val="000000"/>
        </w:rPr>
      </w:pPr>
      <w:r>
        <w:rPr>
          <w:rFonts w:hint="eastAsia" w:ascii="宋体" w:hAnsi="宋体"/>
          <w:color w:val="000000"/>
        </w:rPr>
        <w:t>13.3 甲方对乙方提交的服务依据招标文件上的技术要求和国家有关质量标准进行现场初步验收，外观、说明书、包装符合招标文件技术要求的，给予签收，初步验收不合格的不予签收。</w:t>
      </w:r>
    </w:p>
    <w:p>
      <w:pPr>
        <w:adjustRightInd w:val="0"/>
        <w:spacing w:line="420" w:lineRule="exact"/>
        <w:ind w:firstLine="420" w:firstLineChars="200"/>
        <w:contextualSpacing/>
      </w:pPr>
      <w:r>
        <w:rPr>
          <w:rFonts w:hint="eastAsia"/>
        </w:rPr>
        <w:t>13.4乙方按照招标文件要求负责安装并培训甲方的使用操作人员，乙方在甲方使用前进行调试，调试直到符合技术要求的甲方才做最终验收。</w:t>
      </w:r>
    </w:p>
    <w:p>
      <w:pPr>
        <w:spacing w:line="360" w:lineRule="auto"/>
        <w:ind w:left="420" w:leftChars="200"/>
        <w:rPr>
          <w:rFonts w:ascii="宋体" w:hAnsi="宋体" w:cs="宋体"/>
          <w:color w:val="000000"/>
          <w:szCs w:val="21"/>
          <w:u w:val="single"/>
        </w:rPr>
      </w:pPr>
      <w:r>
        <w:rPr>
          <w:rFonts w:ascii="宋体" w:hAnsi="宋体"/>
          <w:color w:val="000000"/>
        </w:rPr>
        <w:t>13.</w:t>
      </w:r>
      <w:r>
        <w:rPr>
          <w:rFonts w:hint="eastAsia" w:ascii="宋体" w:hAnsi="宋体"/>
          <w:color w:val="000000"/>
        </w:rPr>
        <w:t>5</w:t>
      </w:r>
      <w:r>
        <w:rPr>
          <w:rFonts w:ascii="宋体" w:hAnsi="宋体"/>
          <w:color w:val="000000"/>
        </w:rPr>
        <w:t xml:space="preserve"> </w:t>
      </w:r>
      <w:r>
        <w:rPr>
          <w:rFonts w:hint="eastAsia" w:ascii="宋体" w:hAnsi="宋体"/>
          <w:color w:val="000000"/>
        </w:rPr>
        <w:t>甲乙双方关于调试和验收的其他约定：</w:t>
      </w:r>
      <w:r>
        <w:rPr>
          <w:rFonts w:ascii="宋体" w:hAnsi="宋体"/>
          <w:color w:val="000000"/>
          <w:u w:val="single"/>
        </w:rPr>
        <w:t xml:space="preserve">     </w:t>
      </w:r>
      <w:r>
        <w:rPr>
          <w:rFonts w:hint="eastAsia" w:ascii="宋体" w:hAnsi="宋体"/>
          <w:color w:val="000000"/>
          <w:u w:val="single"/>
        </w:rPr>
        <w:t>/</w:t>
      </w:r>
      <w:r>
        <w:rPr>
          <w:rFonts w:ascii="宋体" w:hAnsi="宋体"/>
          <w:color w:val="000000"/>
          <w:u w:val="single"/>
        </w:rPr>
        <w:t xml:space="preserve">       </w:t>
      </w:r>
      <w:r>
        <w:rPr>
          <w:rFonts w:hint="eastAsia" w:ascii="宋体" w:hAnsi="宋体"/>
          <w:color w:val="000000"/>
          <w:u w:val="single"/>
        </w:rPr>
        <w:t>。</w:t>
      </w:r>
    </w:p>
    <w:p>
      <w:pPr>
        <w:pStyle w:val="14"/>
        <w:snapToGrid w:val="0"/>
        <w:spacing w:before="120" w:after="120" w:line="360" w:lineRule="auto"/>
        <w:ind w:left="315" w:leftChars="150" w:firstLine="105" w:firstLineChars="50"/>
        <w:rPr>
          <w:rFonts w:hAnsi="宋体"/>
          <w:b/>
          <w:bCs/>
          <w:color w:val="000000"/>
        </w:rPr>
      </w:pPr>
      <w:r>
        <w:rPr>
          <w:rFonts w:hint="eastAsia" w:hAnsi="宋体"/>
          <w:b/>
          <w:bCs/>
          <w:color w:val="000000"/>
        </w:rPr>
        <w:t>14、货物包装、发运及运输</w:t>
      </w:r>
    </w:p>
    <w:p>
      <w:pPr>
        <w:pStyle w:val="14"/>
        <w:snapToGrid w:val="0"/>
        <w:spacing w:before="120" w:after="120" w:line="360" w:lineRule="auto"/>
        <w:ind w:firstLine="420" w:firstLineChars="200"/>
        <w:rPr>
          <w:rFonts w:hAnsi="宋体"/>
          <w:color w:val="000000"/>
        </w:rPr>
      </w:pPr>
      <w:r>
        <w:rPr>
          <w:rFonts w:hint="eastAsia" w:hAnsi="宋体"/>
          <w:color w:val="000000"/>
        </w:rPr>
        <w:t>14.1乙方应对其提供的服务所涉及物品在发运前对其进行满足运输距离、防潮、防震、防锈和防破损装卸等要求包装，以保证安全运达甲方指定地点。</w:t>
      </w:r>
    </w:p>
    <w:p>
      <w:pPr>
        <w:spacing w:line="360" w:lineRule="auto"/>
        <w:ind w:firstLine="420" w:firstLineChars="200"/>
        <w:rPr>
          <w:rFonts w:ascii="宋体" w:hAnsi="宋体"/>
          <w:color w:val="000000"/>
        </w:rPr>
      </w:pPr>
      <w:r>
        <w:rPr>
          <w:rFonts w:hint="eastAsia" w:ascii="宋体" w:hAnsi="宋体"/>
          <w:color w:val="000000"/>
        </w:rPr>
        <w:t>14.2 根据甲方通知的时间和指定的地点，乙方负责安排送货、装卸、清点、堆放、保管，费用乙方承担。</w:t>
      </w:r>
    </w:p>
    <w:p>
      <w:pPr>
        <w:spacing w:line="360" w:lineRule="auto"/>
        <w:ind w:firstLine="420" w:firstLineChars="200"/>
        <w:rPr>
          <w:rFonts w:ascii="宋体" w:hAnsi="宋体"/>
          <w:color w:val="000000"/>
        </w:rPr>
      </w:pPr>
      <w:r>
        <w:rPr>
          <w:rFonts w:hint="eastAsia" w:ascii="宋体" w:hAnsi="宋体"/>
          <w:color w:val="000000"/>
        </w:rPr>
        <w:t>14.3 服务在交付甲方前发生的风险均由乙方负责。</w:t>
      </w:r>
    </w:p>
    <w:p>
      <w:pPr>
        <w:spacing w:line="360" w:lineRule="auto"/>
        <w:ind w:firstLine="420" w:firstLineChars="200"/>
        <w:rPr>
          <w:rFonts w:ascii="宋体" w:hAnsi="宋体"/>
          <w:color w:val="000000"/>
        </w:rPr>
      </w:pPr>
      <w:r>
        <w:rPr>
          <w:rFonts w:hint="eastAsia" w:ascii="宋体" w:hAnsi="宋体"/>
          <w:color w:val="000000"/>
        </w:rPr>
        <w:t xml:space="preserve">14.4 </w:t>
      </w:r>
      <w:r>
        <w:rPr>
          <w:rFonts w:hint="eastAsia"/>
        </w:rPr>
        <w:t>服务在规定的交付期限内由乙方送达甲方指定的地点。</w:t>
      </w:r>
    </w:p>
    <w:p>
      <w:pPr>
        <w:pStyle w:val="14"/>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15、违约责任</w:t>
      </w:r>
    </w:p>
    <w:p>
      <w:pPr>
        <w:spacing w:line="360" w:lineRule="auto"/>
        <w:ind w:firstLine="420" w:firstLineChars="200"/>
        <w:rPr>
          <w:rFonts w:ascii="宋体" w:hAnsi="宋体"/>
          <w:color w:val="000000"/>
        </w:rPr>
      </w:pPr>
      <w:r>
        <w:rPr>
          <w:rFonts w:hint="eastAsia" w:ascii="宋体" w:hAnsi="宋体"/>
          <w:color w:val="000000"/>
        </w:rPr>
        <w:t>15.1 甲方无正当理由拒绝初验收和终验收服务项目的（乙方未符合合同规定的情况除外），甲方应按未付服务项目款金额每日万分之五向乙方支付违约金。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15.2 甲方无故逾期验收和无故逾期办理款项支付手续的（乙方未符合合同规定的情况除外）,甲方应按逾期付款金额每日万分之五向乙方支付违约金。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15.3乙方违约，在消除违约情形前，应按本合同项目总额每日万分之五向甲方支付违约金，甲方可以从待付款项中扣除。</w:t>
      </w:r>
    </w:p>
    <w:p>
      <w:pPr>
        <w:spacing w:line="360" w:lineRule="auto"/>
        <w:ind w:firstLine="420" w:firstLineChars="200"/>
        <w:rPr>
          <w:rFonts w:ascii="宋体" w:hAnsi="宋体"/>
          <w:color w:val="000000"/>
        </w:rPr>
      </w:pPr>
      <w:r>
        <w:rPr>
          <w:rFonts w:hint="eastAsia" w:ascii="宋体" w:hAnsi="宋体"/>
          <w:color w:val="000000"/>
        </w:rPr>
        <w:t>15.4乙方因逾期交付服务项目或因其他违约行为，导致甲方解除合同的，乙方应向甲方支付合同总值5%的违约金，如造成甲方损失超过违约金的，超出部分由乙方继续承担赔偿责任。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ascii="宋体" w:hAnsi="宋体"/>
          <w:color w:val="000000"/>
        </w:rPr>
      </w:pPr>
      <w:r>
        <w:rPr>
          <w:rFonts w:hint="eastAsia" w:ascii="宋体" w:hAnsi="宋体"/>
          <w:color w:val="000000"/>
        </w:rPr>
        <w:t>15.5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spacing w:line="360" w:lineRule="auto"/>
        <w:ind w:firstLine="420" w:firstLineChars="200"/>
        <w:rPr>
          <w:rFonts w:ascii="宋体" w:hAnsi="宋体"/>
          <w:color w:val="000000"/>
        </w:rPr>
      </w:pPr>
      <w:r>
        <w:rPr>
          <w:rFonts w:hint="eastAsia" w:ascii="宋体" w:hAnsi="宋体"/>
          <w:color w:val="000000"/>
        </w:rPr>
        <w:t>15.6合同生效后，发现乙方投标属虚假承诺，或经权威部门监测提供的服务不能满足招标文件要求，造成合同无法继续履行的，乙方履约保证金不予退还。</w:t>
      </w:r>
    </w:p>
    <w:p>
      <w:pPr>
        <w:spacing w:line="360" w:lineRule="auto"/>
        <w:ind w:firstLine="420" w:firstLineChars="200"/>
      </w:pPr>
      <w:r>
        <w:rPr>
          <w:rFonts w:hint="eastAsia" w:ascii="宋体" w:hAnsi="宋体"/>
          <w:color w:val="000000"/>
        </w:rPr>
        <w:t>15.7乙方应加强工作人员的管理，禁止乙方以各种手段腐蚀、贿赂甲方单位工作人员，并将诚信档案记录的工作人员违规不良行为纳入违约行为,如有违反，甲方将停止履行合同，并追究乙方违约责任。</w:t>
      </w:r>
    </w:p>
    <w:p>
      <w:pPr>
        <w:pStyle w:val="14"/>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16、不可抗力事件处理</w:t>
      </w:r>
    </w:p>
    <w:p>
      <w:pPr>
        <w:pStyle w:val="14"/>
        <w:snapToGrid w:val="0"/>
        <w:spacing w:before="120" w:after="120" w:line="360" w:lineRule="auto"/>
        <w:ind w:firstLine="420" w:firstLineChars="200"/>
        <w:rPr>
          <w:rFonts w:hAnsi="宋体"/>
          <w:color w:val="000000"/>
        </w:rPr>
      </w:pPr>
      <w:r>
        <w:rPr>
          <w:rFonts w:hint="eastAsia" w:hAnsi="宋体"/>
          <w:color w:val="000000"/>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4"/>
        <w:snapToGrid w:val="0"/>
        <w:spacing w:before="120" w:after="120" w:line="360" w:lineRule="auto"/>
        <w:ind w:firstLine="420" w:firstLineChars="200"/>
        <w:rPr>
          <w:rFonts w:hAnsi="宋体"/>
          <w:color w:val="000000"/>
        </w:rPr>
      </w:pPr>
      <w:r>
        <w:rPr>
          <w:rFonts w:hint="eastAsia" w:hAnsi="宋体"/>
          <w:color w:val="000000"/>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4"/>
        <w:snapToGrid w:val="0"/>
        <w:spacing w:before="120" w:after="120" w:line="360" w:lineRule="auto"/>
        <w:ind w:left="315" w:leftChars="150" w:firstLine="105" w:firstLineChars="50"/>
        <w:rPr>
          <w:rFonts w:hAnsi="宋体"/>
          <w:b/>
          <w:bCs/>
          <w:color w:val="000000"/>
        </w:rPr>
      </w:pPr>
      <w:r>
        <w:rPr>
          <w:rFonts w:hint="eastAsia" w:hAnsi="宋体"/>
          <w:b/>
          <w:bCs/>
          <w:color w:val="000000"/>
        </w:rPr>
        <w:t>17、争议解决</w:t>
      </w:r>
    </w:p>
    <w:p>
      <w:pPr>
        <w:pStyle w:val="14"/>
        <w:snapToGrid w:val="0"/>
        <w:spacing w:before="120" w:after="120" w:line="360" w:lineRule="auto"/>
        <w:ind w:firstLine="420" w:firstLineChars="200"/>
        <w:rPr>
          <w:rFonts w:hAnsi="宋体"/>
          <w:color w:val="000000"/>
        </w:rPr>
      </w:pPr>
      <w:r>
        <w:rPr>
          <w:rFonts w:hint="eastAsia" w:hAnsi="宋体"/>
          <w:color w:val="000000"/>
        </w:rPr>
        <w:t>17.1 因服务的品质质量问题发生争议的，可在国家认可的质量检测机构对服务内容质量进行鉴定。服务符合标准的，鉴定费由甲方承担；服务项目不符合质量标准的，鉴定费由乙方承担。</w:t>
      </w:r>
    </w:p>
    <w:p>
      <w:pPr>
        <w:pStyle w:val="14"/>
        <w:snapToGrid w:val="0"/>
        <w:spacing w:before="120" w:after="120" w:line="360" w:lineRule="auto"/>
        <w:ind w:firstLine="420" w:firstLineChars="200"/>
        <w:rPr>
          <w:rFonts w:hAnsi="宋体"/>
          <w:color w:val="000000"/>
        </w:rPr>
      </w:pPr>
      <w:r>
        <w:rPr>
          <w:rFonts w:hint="eastAsia" w:hAnsi="宋体"/>
          <w:color w:val="000000"/>
        </w:rPr>
        <w:t>17.2 因履行本合同引起的或与本合同有关的争议，甲、乙双方应首先通过友好协商解决；如果协商不能解决争议，甲乙双方同意采取下列两种方式的第</w:t>
      </w:r>
      <w:r>
        <w:rPr>
          <w:rFonts w:hint="eastAsia" w:hAnsi="宋体"/>
          <w:color w:val="000000"/>
          <w:u w:val="single"/>
        </w:rPr>
        <w:t>（ 1 ）</w:t>
      </w:r>
      <w:r>
        <w:rPr>
          <w:rFonts w:hint="eastAsia" w:hAnsi="宋体"/>
          <w:color w:val="000000"/>
        </w:rPr>
        <w:t>种方式解决争议：</w:t>
      </w:r>
    </w:p>
    <w:p>
      <w:pPr>
        <w:pStyle w:val="14"/>
        <w:snapToGrid w:val="0"/>
        <w:spacing w:before="120" w:after="120" w:line="360" w:lineRule="auto"/>
        <w:ind w:firstLine="315" w:firstLineChars="150"/>
        <w:rPr>
          <w:rFonts w:hAnsi="宋体"/>
          <w:color w:val="000000"/>
        </w:rPr>
      </w:pPr>
      <w:r>
        <w:rPr>
          <w:rFonts w:hint="eastAsia" w:hAnsi="宋体"/>
          <w:color w:val="000000"/>
        </w:rPr>
        <w:t>（1）向甲方所在地有管辖权的人民法院提起诉讼，适用中华人民共和国法律；</w:t>
      </w:r>
    </w:p>
    <w:p>
      <w:pPr>
        <w:pStyle w:val="14"/>
        <w:snapToGrid w:val="0"/>
        <w:spacing w:before="120" w:after="120" w:line="360" w:lineRule="auto"/>
        <w:ind w:left="420" w:leftChars="150" w:hanging="105" w:hangingChars="50"/>
        <w:rPr>
          <w:rFonts w:hAnsi="宋体"/>
          <w:color w:val="000000"/>
        </w:rPr>
      </w:pPr>
      <w:r>
        <w:rPr>
          <w:rFonts w:hint="eastAsia" w:hAnsi="宋体"/>
          <w:color w:val="000000"/>
        </w:rPr>
        <w:t>（2）向扬州仲裁委员会按其仲裁规则申请仲裁。</w:t>
      </w:r>
    </w:p>
    <w:p>
      <w:pPr>
        <w:pStyle w:val="14"/>
        <w:snapToGrid w:val="0"/>
        <w:spacing w:before="120" w:after="120" w:line="360" w:lineRule="auto"/>
        <w:ind w:firstLine="420" w:firstLineChars="200"/>
        <w:rPr>
          <w:rFonts w:hAnsi="宋体"/>
          <w:color w:val="000000"/>
        </w:rPr>
      </w:pPr>
      <w:r>
        <w:rPr>
          <w:rFonts w:hint="eastAsia" w:hAnsi="宋体"/>
          <w:color w:val="000000"/>
        </w:rPr>
        <w:t>17.3 若甲乙双方任何一方都没有选择解除合同的，为避免扩大损失，在诉讼或仲裁期间，双方应继续履行。</w:t>
      </w:r>
    </w:p>
    <w:p>
      <w:pPr>
        <w:pStyle w:val="14"/>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18、合同其它</w:t>
      </w:r>
    </w:p>
    <w:p>
      <w:pPr>
        <w:pStyle w:val="14"/>
        <w:snapToGrid w:val="0"/>
        <w:spacing w:before="120" w:after="120" w:line="360" w:lineRule="auto"/>
        <w:ind w:firstLine="420" w:firstLineChars="200"/>
        <w:rPr>
          <w:rFonts w:hAnsi="宋体" w:cs="宋体"/>
          <w:color w:val="000000"/>
        </w:rPr>
      </w:pPr>
      <w:r>
        <w:rPr>
          <w:rFonts w:hint="eastAsia" w:hAnsi="宋体" w:cs="宋体"/>
          <w:color w:val="000000"/>
        </w:rPr>
        <w:t>18.1 乙方应诚实信用，严格按照招标文件要求和投标承诺履行合同，不向甲方进行商业贿赂或者提供不正当利益。</w:t>
      </w:r>
    </w:p>
    <w:p>
      <w:pPr>
        <w:pStyle w:val="14"/>
        <w:snapToGrid w:val="0"/>
        <w:spacing w:before="120" w:after="120" w:line="360" w:lineRule="auto"/>
        <w:ind w:firstLine="420" w:firstLineChars="200"/>
        <w:rPr>
          <w:rFonts w:hAnsi="宋体" w:cs="宋体"/>
          <w:color w:val="000000"/>
        </w:rPr>
      </w:pPr>
      <w:r>
        <w:rPr>
          <w:rFonts w:hint="eastAsia" w:hAnsi="宋体" w:cs="宋体"/>
          <w:color w:val="000000"/>
        </w:rPr>
        <w:t>18.2 合同经双方法定代表人或授权代表签字并加盖单位公章后生效，</w:t>
      </w:r>
      <w:r>
        <w:rPr>
          <w:rFonts w:hint="eastAsia" w:hAnsi="宋体" w:cs="宋体"/>
          <w:b/>
          <w:bCs/>
          <w:color w:val="000000"/>
          <w:u w:val="single"/>
        </w:rPr>
        <w:t>有效期一年（自2024年3月10日至2025年3月9日）</w:t>
      </w:r>
      <w:r>
        <w:rPr>
          <w:rFonts w:hint="eastAsia" w:hAnsi="宋体" w:cs="宋体"/>
          <w:color w:val="000000"/>
        </w:rPr>
        <w:t>。</w:t>
      </w:r>
    </w:p>
    <w:p>
      <w:pPr>
        <w:pStyle w:val="14"/>
        <w:snapToGrid w:val="0"/>
        <w:spacing w:before="120" w:after="120" w:line="360" w:lineRule="auto"/>
        <w:ind w:firstLine="420" w:firstLineChars="200"/>
        <w:rPr>
          <w:rFonts w:hAnsi="宋体" w:cs="宋体"/>
          <w:color w:val="000000"/>
          <w:u w:val="single"/>
        </w:rPr>
      </w:pPr>
      <w:r>
        <w:rPr>
          <w:rFonts w:hint="eastAsia" w:hAnsi="宋体" w:cs="宋体"/>
          <w:color w:val="000000"/>
        </w:rPr>
        <w:t>18.3本合同未尽事宜，遵照《中华人民共和国民法典》有关条文执行。</w:t>
      </w:r>
    </w:p>
    <w:p>
      <w:pPr>
        <w:pStyle w:val="14"/>
        <w:snapToGrid w:val="0"/>
        <w:spacing w:before="120" w:after="120" w:line="360" w:lineRule="auto"/>
        <w:ind w:firstLine="420" w:firstLineChars="200"/>
        <w:rPr>
          <w:rFonts w:hAnsi="宋体" w:cs="宋体"/>
        </w:rPr>
      </w:pPr>
      <w:r>
        <w:rPr>
          <w:rFonts w:hint="eastAsia" w:hAnsi="宋体" w:cs="宋体"/>
          <w:color w:val="000000"/>
        </w:rPr>
        <w:t xml:space="preserve">18.4 </w:t>
      </w:r>
      <w:r>
        <w:rPr>
          <w:rFonts w:hint="eastAsia" w:hAnsi="宋体" w:cs="宋体"/>
        </w:rPr>
        <w:t>本合同正本一式</w:t>
      </w:r>
      <w:r>
        <w:rPr>
          <w:rFonts w:hint="eastAsia" w:hAnsi="宋体" w:cs="宋体"/>
          <w:b/>
          <w:bCs/>
          <w:u w:val="single"/>
        </w:rPr>
        <w:t>肆</w:t>
      </w:r>
      <w:r>
        <w:rPr>
          <w:rFonts w:hint="eastAsia" w:hAnsi="宋体" w:cs="宋体"/>
        </w:rPr>
        <w:t>份，甲方</w:t>
      </w:r>
      <w:r>
        <w:rPr>
          <w:rFonts w:hint="eastAsia" w:hAnsi="宋体" w:cs="宋体"/>
          <w:b/>
          <w:u w:val="single"/>
        </w:rPr>
        <w:t>贰</w:t>
      </w:r>
      <w:r>
        <w:rPr>
          <w:rFonts w:hint="eastAsia" w:hAnsi="宋体" w:cs="宋体"/>
        </w:rPr>
        <w:t>份，乙方</w:t>
      </w:r>
      <w:r>
        <w:rPr>
          <w:rFonts w:hint="eastAsia" w:hAnsi="宋体" w:cs="宋体"/>
          <w:b/>
          <w:u w:val="single"/>
        </w:rPr>
        <w:t>贰</w:t>
      </w:r>
      <w:r>
        <w:rPr>
          <w:rFonts w:hint="eastAsia" w:hAnsi="宋体" w:cs="宋体"/>
        </w:rPr>
        <w:t>份。具有同等法律效力。</w:t>
      </w:r>
    </w:p>
    <w:p>
      <w:pPr>
        <w:spacing w:line="440" w:lineRule="exact"/>
        <w:rPr>
          <w:rFonts w:cs="宋体" w:asciiTheme="minorEastAsia" w:hAnsiTheme="minorEastAsia" w:eastAsiaTheme="minorEastAsia"/>
          <w:color w:val="000000"/>
          <w:kern w:val="0"/>
          <w:szCs w:val="21"/>
        </w:rPr>
      </w:pPr>
    </w:p>
    <w:p>
      <w:pPr>
        <w:spacing w:line="440" w:lineRule="exact"/>
        <w:rPr>
          <w:rFonts w:cs="宋体" w:asciiTheme="minorEastAsia" w:hAnsiTheme="minorEastAsia" w:eastAsiaTheme="minorEastAsia"/>
          <w:color w:val="000000"/>
          <w:kern w:val="0"/>
          <w:szCs w:val="21"/>
        </w:rPr>
      </w:pPr>
    </w:p>
    <w:p>
      <w:pPr>
        <w:spacing w:line="440" w:lineRule="exact"/>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color w:val="000000"/>
          <w:kern w:val="0"/>
          <w:szCs w:val="21"/>
        </w:rPr>
        <w:t>甲方：</w:t>
      </w:r>
      <w:r>
        <w:rPr>
          <w:rFonts w:hint="eastAsia" w:hAnsi="宋体" w:cs="宋体"/>
          <w:b/>
          <w:bCs/>
          <w:color w:val="000000"/>
        </w:rPr>
        <w:t xml:space="preserve">扬州大学附属医院采购中心 </w:t>
      </w:r>
      <w:r>
        <w:rPr>
          <w:rFonts w:hint="eastAsia" w:cs="宋体" w:asciiTheme="minorEastAsia" w:hAnsiTheme="minorEastAsia" w:eastAsiaTheme="minorEastAsia"/>
          <w:b/>
          <w:bCs/>
          <w:color w:val="000000"/>
          <w:kern w:val="0"/>
          <w:szCs w:val="21"/>
        </w:rPr>
        <w:t xml:space="preserve">     </w:t>
      </w:r>
      <w:r>
        <w:rPr>
          <w:rFonts w:hint="eastAsia" w:cs="宋体" w:asciiTheme="minorEastAsia" w:hAnsiTheme="minorEastAsia" w:eastAsiaTheme="minorEastAsia"/>
          <w:color w:val="000000"/>
          <w:kern w:val="0"/>
          <w:szCs w:val="21"/>
        </w:rPr>
        <w:t>乙方：</w:t>
      </w:r>
      <w:r>
        <w:rPr>
          <w:rFonts w:hint="eastAsia" w:cs="宋体" w:asciiTheme="minorEastAsia" w:hAnsiTheme="minorEastAsia" w:eastAsiaTheme="minorEastAsia"/>
          <w:b/>
          <w:bCs/>
          <w:color w:val="000000"/>
          <w:kern w:val="0"/>
          <w:szCs w:val="21"/>
        </w:rPr>
        <w:t xml:space="preserve"> </w:t>
      </w:r>
    </w:p>
    <w:p>
      <w:pPr>
        <w:spacing w:line="4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法定代表人或授权签约人              法定代表人或授权签约人</w:t>
      </w:r>
    </w:p>
    <w:p>
      <w:pPr>
        <w:widowControl/>
        <w:spacing w:line="44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（签字）：                         （签字）：</w:t>
      </w:r>
    </w:p>
    <w:p>
      <w:pPr>
        <w:pStyle w:val="2"/>
        <w:rPr>
          <w:rFonts w:asciiTheme="minorEastAsia" w:hAnsiTheme="minorEastAsia" w:eastAsiaTheme="minorEastAsia"/>
          <w:szCs w:val="21"/>
        </w:rPr>
      </w:pPr>
    </w:p>
    <w:p>
      <w:pPr>
        <w:pStyle w:val="10"/>
        <w:rPr>
          <w:rFonts w:asciiTheme="minorEastAsia" w:hAnsiTheme="minorEastAsia" w:eastAsiaTheme="minorEastAsia"/>
          <w:sz w:val="21"/>
          <w:szCs w:val="21"/>
        </w:rPr>
      </w:pPr>
    </w:p>
    <w:p>
      <w:pPr>
        <w:widowControl/>
        <w:spacing w:line="44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地    址：扬州市邗江中路368号      地    址：</w:t>
      </w:r>
    </w:p>
    <w:p>
      <w:pPr>
        <w:widowControl/>
        <w:spacing w:line="44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信用代码：123210004688337887        邮    编：</w:t>
      </w:r>
    </w:p>
    <w:p>
      <w:pPr>
        <w:spacing w:line="4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电    话：0514-82981199             电    话：</w:t>
      </w:r>
    </w:p>
    <w:p>
      <w:pPr>
        <w:spacing w:line="4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开户银行：                          开户银行：</w:t>
      </w:r>
    </w:p>
    <w:p>
      <w:pPr>
        <w:spacing w:line="44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账    号：                          账    号：</w:t>
      </w:r>
    </w:p>
    <w:p>
      <w:pPr>
        <w:adjustRightInd w:val="0"/>
        <w:spacing w:line="440" w:lineRule="exact"/>
        <w:contextualSpacing/>
        <w:rPr>
          <w:rFonts w:hAnsi="宋体" w:cs="宋体"/>
          <w:color w:val="000000"/>
        </w:rPr>
      </w:pPr>
      <w:r>
        <w:rPr>
          <w:rFonts w:hint="eastAsia" w:cs="宋体" w:asciiTheme="minorEastAsia" w:hAnsiTheme="minorEastAsia" w:eastAsiaTheme="minorEastAsia"/>
          <w:color w:val="000000"/>
          <w:kern w:val="0"/>
          <w:szCs w:val="21"/>
        </w:rPr>
        <w:t>日    期:2024年    月   日         日     期：2024年    月   日</w:t>
      </w:r>
    </w:p>
    <w:p>
      <w:pPr>
        <w:pStyle w:val="14"/>
        <w:snapToGrid w:val="0"/>
        <w:spacing w:before="120" w:after="120" w:line="360" w:lineRule="auto"/>
        <w:rPr>
          <w:rFonts w:hAnsi="宋体" w:cs="宋体"/>
          <w:color w:val="000000"/>
        </w:rPr>
      </w:pPr>
    </w:p>
    <w:p>
      <w:pPr>
        <w:spacing w:line="460" w:lineRule="exact"/>
        <w:jc w:val="center"/>
        <w:rPr>
          <w:b/>
          <w:kern w:val="36"/>
          <w:sz w:val="36"/>
          <w:szCs w:val="36"/>
        </w:rPr>
      </w:pPr>
      <w:r>
        <w:rPr>
          <w:rFonts w:hint="eastAsia"/>
          <w:b/>
          <w:kern w:val="36"/>
          <w:sz w:val="36"/>
          <w:szCs w:val="36"/>
        </w:rPr>
        <w:t>廉洁合作协议</w:t>
      </w:r>
    </w:p>
    <w:p>
      <w:pPr>
        <w:spacing w:line="460" w:lineRule="exact"/>
      </w:pPr>
      <w:r>
        <w:rPr>
          <w:rFonts w:hint="eastAsia" w:cs="宋体"/>
          <w:color w:val="000000"/>
          <w:kern w:val="0"/>
        </w:rPr>
        <w:t>合同编号：</w:t>
      </w:r>
      <w:r>
        <w:rPr>
          <w:rFonts w:hint="eastAsia"/>
        </w:rPr>
        <w:t xml:space="preserve">YDFY2023004 </w:t>
      </w:r>
    </w:p>
    <w:p>
      <w:pPr>
        <w:spacing w:line="460" w:lineRule="exact"/>
        <w:rPr>
          <w:rFonts w:cs="宋体"/>
          <w:b/>
          <w:color w:val="000000"/>
          <w:kern w:val="0"/>
        </w:rPr>
      </w:pPr>
      <w:r>
        <w:rPr>
          <w:rFonts w:hint="eastAsia" w:cs="宋体"/>
          <w:color w:val="000000"/>
          <w:kern w:val="0"/>
        </w:rPr>
        <w:t>甲方名称</w:t>
      </w:r>
      <w:r>
        <w:rPr>
          <w:rFonts w:cs="宋体"/>
          <w:color w:val="000000"/>
          <w:kern w:val="0"/>
        </w:rPr>
        <w:t>:</w:t>
      </w:r>
      <w:r>
        <w:rPr>
          <w:rFonts w:hint="eastAsia" w:hAnsi="宋体" w:cs="宋体"/>
          <w:b/>
          <w:bCs/>
          <w:color w:val="000000"/>
        </w:rPr>
        <w:t xml:space="preserve">扬州大学附属医院采购中心 </w:t>
      </w:r>
    </w:p>
    <w:p>
      <w:pPr>
        <w:spacing w:line="460" w:lineRule="exact"/>
      </w:pPr>
      <w:r>
        <w:rPr>
          <w:rFonts w:hint="eastAsia"/>
        </w:rPr>
        <w:t>乙方</w:t>
      </w:r>
      <w:r>
        <w:rPr>
          <w:rFonts w:hint="eastAsia" w:cs="宋体"/>
          <w:color w:val="000000"/>
          <w:kern w:val="0"/>
        </w:rPr>
        <w:t>名称</w:t>
      </w:r>
      <w:r>
        <w:rPr>
          <w:rFonts w:hint="eastAsia"/>
        </w:rPr>
        <w:t>：</w:t>
      </w:r>
      <w:r>
        <w:rPr>
          <w:rFonts w:hint="eastAsia"/>
          <w:b/>
          <w:bCs/>
        </w:rPr>
        <w:t xml:space="preserve"> </w:t>
      </w:r>
    </w:p>
    <w:p>
      <w:pPr>
        <w:spacing w:line="340" w:lineRule="exact"/>
        <w:ind w:firstLine="420" w:firstLineChars="200"/>
        <w:rPr>
          <w:kern w:val="0"/>
        </w:rPr>
      </w:pPr>
      <w:r>
        <w:rPr>
          <w:rFonts w:hint="eastAsia"/>
          <w:kern w:val="0"/>
        </w:rPr>
        <w:t>在甲乙双方订立、履行合同过程中，为保持廉洁自律的工作作风，防止各种不正当行为的发生，甲乙双方订立协议如下：</w:t>
      </w:r>
    </w:p>
    <w:p>
      <w:pPr>
        <w:spacing w:line="340" w:lineRule="exact"/>
        <w:ind w:firstLine="420" w:firstLineChars="200"/>
        <w:rPr>
          <w:kern w:val="0"/>
        </w:rPr>
      </w:pPr>
      <w:r>
        <w:rPr>
          <w:rFonts w:hint="eastAsia"/>
          <w:kern w:val="0"/>
        </w:rPr>
        <w:t>一、甲乙双方应当自觉遵守国家、地方法律法规以及本协议的约定，在合同的订立、履行过程中廉洁自律。</w:t>
      </w:r>
    </w:p>
    <w:p>
      <w:pPr>
        <w:spacing w:line="340" w:lineRule="exact"/>
        <w:ind w:firstLine="420" w:firstLineChars="200"/>
        <w:rPr>
          <w:kern w:val="0"/>
        </w:rPr>
      </w:pPr>
      <w:r>
        <w:rPr>
          <w:rFonts w:hint="eastAsia"/>
          <w:kern w:val="0"/>
        </w:rPr>
        <w:t>二、甲方工作人员严禁进行商业目的的统方，不得以任何形式向乙方索要和收受个人回扣等好处费。</w:t>
      </w:r>
    </w:p>
    <w:p>
      <w:pPr>
        <w:spacing w:line="340" w:lineRule="exact"/>
        <w:ind w:firstLine="420" w:firstLineChars="200"/>
        <w:rPr>
          <w:kern w:val="0"/>
        </w:rPr>
      </w:pPr>
      <w:r>
        <w:rPr>
          <w:rFonts w:hint="eastAsia"/>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kern w:val="0"/>
        </w:rPr>
      </w:pPr>
      <w:r>
        <w:rPr>
          <w:rFonts w:hint="eastAsia"/>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kern w:val="0"/>
        </w:rPr>
      </w:pPr>
      <w:r>
        <w:rPr>
          <w:rFonts w:hint="eastAsia"/>
          <w:kern w:val="0"/>
        </w:rPr>
        <w:t>五、甲方工作人员不得要求或者接受乙方为其住房装修、婚丧嫁娶、家属和子女的工作安排以及出国等提供方便。</w:t>
      </w:r>
    </w:p>
    <w:p>
      <w:pPr>
        <w:spacing w:line="340" w:lineRule="exact"/>
        <w:ind w:firstLine="420" w:firstLineChars="200"/>
        <w:rPr>
          <w:kern w:val="0"/>
        </w:rPr>
      </w:pPr>
      <w:r>
        <w:rPr>
          <w:rFonts w:hint="eastAsia"/>
          <w:kern w:val="0"/>
        </w:rPr>
        <w:t>六、乙方不得接受甲方工作人员介绍的家属或者亲友从事与合同相关的业务。</w:t>
      </w:r>
    </w:p>
    <w:p>
      <w:pPr>
        <w:spacing w:line="340" w:lineRule="exact"/>
        <w:ind w:firstLine="420" w:firstLineChars="200"/>
        <w:rPr>
          <w:kern w:val="0"/>
        </w:rPr>
      </w:pPr>
      <w:r>
        <w:rPr>
          <w:rFonts w:hint="eastAsia"/>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kern w:val="0"/>
        </w:rPr>
      </w:pPr>
      <w:r>
        <w:rPr>
          <w:rFonts w:hint="eastAsia"/>
          <w:kern w:val="0"/>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spacing w:line="340" w:lineRule="exact"/>
        <w:ind w:firstLine="420" w:firstLineChars="200"/>
        <w:rPr>
          <w:kern w:val="0"/>
        </w:rPr>
      </w:pPr>
      <w:r>
        <w:rPr>
          <w:rFonts w:hint="eastAsia"/>
          <w:kern w:val="0"/>
        </w:rPr>
        <w:t>九、甲方发现乙方有违反本协议或者采用不正当的手段行贿甲方工作人员等不正当竞争行为的，甲方有权解除合同。</w:t>
      </w:r>
    </w:p>
    <w:p>
      <w:pPr>
        <w:spacing w:line="340" w:lineRule="exact"/>
        <w:ind w:firstLine="315" w:firstLineChars="150"/>
        <w:rPr>
          <w:kern w:val="0"/>
        </w:rPr>
      </w:pPr>
      <w:r>
        <w:rPr>
          <w:rFonts w:hint="eastAsia"/>
          <w:kern w:val="0"/>
        </w:rPr>
        <w:t>十、本廉洁协议作为合同的附件，与合同具有同等法律效力。经协议双方签署后立即生效。</w:t>
      </w:r>
    </w:p>
    <w:p>
      <w:pPr>
        <w:spacing w:line="340" w:lineRule="exact"/>
        <w:ind w:firstLine="420" w:firstLineChars="200"/>
        <w:rPr>
          <w:bCs/>
        </w:rPr>
      </w:pPr>
      <w:r>
        <w:rPr>
          <w:rFonts w:hint="eastAsia"/>
          <w:kern w:val="0"/>
        </w:rPr>
        <w:t>十一、</w:t>
      </w:r>
      <w:r>
        <w:rPr>
          <w:rFonts w:hint="eastAsia"/>
          <w:bCs/>
        </w:rPr>
        <w:t>本合同正本一式</w:t>
      </w:r>
      <w:r>
        <w:rPr>
          <w:rFonts w:hint="eastAsia"/>
          <w:b/>
          <w:bCs/>
          <w:u w:val="single"/>
        </w:rPr>
        <w:t>肆</w:t>
      </w:r>
      <w:r>
        <w:rPr>
          <w:rFonts w:hint="eastAsia"/>
          <w:bCs/>
        </w:rPr>
        <w:t>份，</w:t>
      </w:r>
      <w:r>
        <w:rPr>
          <w:rFonts w:hint="eastAsia"/>
          <w:lang w:val="zh-CN"/>
        </w:rPr>
        <w:t>甲方执</w:t>
      </w:r>
      <w:r>
        <w:rPr>
          <w:rFonts w:hint="eastAsia"/>
          <w:b/>
          <w:u w:val="single"/>
        </w:rPr>
        <w:t>贰</w:t>
      </w:r>
      <w:r>
        <w:rPr>
          <w:rFonts w:hint="eastAsia"/>
          <w:lang w:val="zh-CN"/>
        </w:rPr>
        <w:t>份，乙方执</w:t>
      </w:r>
      <w:r>
        <w:rPr>
          <w:rFonts w:hint="eastAsia"/>
          <w:b/>
          <w:u w:val="single"/>
          <w:lang w:val="zh-CN"/>
        </w:rPr>
        <w:t>贰</w:t>
      </w:r>
      <w:r>
        <w:rPr>
          <w:rFonts w:hint="eastAsia"/>
          <w:lang w:val="zh-CN"/>
        </w:rPr>
        <w:t>份，</w:t>
      </w:r>
      <w:r>
        <w:rPr>
          <w:rFonts w:hint="eastAsia"/>
          <w:kern w:val="0"/>
        </w:rPr>
        <w:t>从签订之日起生效。</w:t>
      </w:r>
      <w:bookmarkStart w:id="7" w:name="_GoBack"/>
      <w:bookmarkEnd w:id="7"/>
    </w:p>
    <w:p>
      <w:pPr>
        <w:spacing w:line="340" w:lineRule="exact"/>
        <w:rPr>
          <w:kern w:val="0"/>
        </w:rPr>
      </w:pPr>
    </w:p>
    <w:p>
      <w:pPr>
        <w:spacing w:line="340" w:lineRule="exact"/>
        <w:ind w:left="5460" w:leftChars="-200" w:right="-512" w:rightChars="-244" w:hanging="5880" w:hangingChars="2800"/>
        <w:contextualSpacing/>
        <w:rPr>
          <w:rFonts w:cs="宋体"/>
          <w:b/>
          <w:color w:val="000000"/>
          <w:kern w:val="0"/>
        </w:rPr>
      </w:pPr>
      <w:r>
        <w:rPr>
          <w:rFonts w:hint="eastAsia" w:cs="宋体"/>
          <w:color w:val="000000"/>
          <w:kern w:val="0"/>
        </w:rPr>
        <w:t>甲方：（盖章）</w:t>
      </w:r>
      <w:r>
        <w:rPr>
          <w:rFonts w:hint="eastAsia" w:hAnsi="宋体" w:cs="宋体"/>
          <w:b/>
          <w:bCs/>
          <w:color w:val="000000"/>
        </w:rPr>
        <w:t xml:space="preserve">扬州大学附属医院采购中心  </w:t>
      </w:r>
      <w:r>
        <w:rPr>
          <w:rFonts w:hint="eastAsia" w:cs="宋体"/>
          <w:color w:val="000000"/>
          <w:kern w:val="0"/>
        </w:rPr>
        <w:t>乙方：（盖章）</w:t>
      </w:r>
    </w:p>
    <w:p>
      <w:pPr>
        <w:spacing w:line="340" w:lineRule="exact"/>
        <w:ind w:left="5460" w:leftChars="-200" w:right="-512" w:rightChars="-244" w:hanging="5880" w:hangingChars="2800"/>
        <w:contextualSpacing/>
        <w:rPr>
          <w:rFonts w:cs="宋体"/>
          <w:color w:val="000000"/>
          <w:kern w:val="0"/>
        </w:rPr>
      </w:pPr>
      <w:r>
        <w:rPr>
          <w:rFonts w:hint="eastAsia" w:cs="宋体"/>
          <w:color w:val="000000"/>
          <w:kern w:val="0"/>
        </w:rPr>
        <w:t>法定代表人：                            法定代表人：</w:t>
      </w:r>
    </w:p>
    <w:p>
      <w:pPr>
        <w:spacing w:line="340" w:lineRule="exact"/>
        <w:ind w:left="5460" w:leftChars="-200" w:right="-512" w:rightChars="-244" w:hanging="5880" w:hangingChars="2800"/>
        <w:contextualSpacing/>
        <w:rPr>
          <w:rFonts w:cs="宋体"/>
          <w:color w:val="000000"/>
          <w:kern w:val="0"/>
        </w:rPr>
      </w:pPr>
      <w:r>
        <w:rPr>
          <w:rFonts w:hint="eastAsia" w:cs="宋体"/>
          <w:color w:val="000000"/>
          <w:kern w:val="0"/>
        </w:rPr>
        <w:t>（或授权签约人）：                    （或授权签约人）：</w:t>
      </w:r>
    </w:p>
    <w:p>
      <w:pPr>
        <w:spacing w:line="340" w:lineRule="exact"/>
        <w:ind w:left="5460" w:leftChars="-200" w:right="-512" w:rightChars="-244" w:hanging="5880" w:hangingChars="2800"/>
        <w:contextualSpacing/>
        <w:rPr>
          <w:rFonts w:cs="宋体"/>
          <w:color w:val="000000"/>
          <w:kern w:val="0"/>
        </w:rPr>
      </w:pPr>
    </w:p>
    <w:p>
      <w:pPr>
        <w:spacing w:line="340" w:lineRule="exact"/>
        <w:ind w:left="5460" w:leftChars="-200" w:right="-512" w:rightChars="-244" w:hanging="5880" w:hangingChars="2800"/>
        <w:contextualSpacing/>
        <w:rPr>
          <w:rFonts w:cs="宋体"/>
          <w:color w:val="000000"/>
          <w:kern w:val="0"/>
        </w:rPr>
      </w:pPr>
    </w:p>
    <w:p>
      <w:pPr>
        <w:spacing w:line="340" w:lineRule="exact"/>
        <w:ind w:left="5460" w:leftChars="-200" w:right="-512" w:rightChars="-244" w:hanging="5880" w:hangingChars="2800"/>
        <w:contextualSpacing/>
      </w:pPr>
      <w:r>
        <w:rPr>
          <w:rFonts w:hint="eastAsia" w:cs="宋体"/>
          <w:color w:val="000000"/>
          <w:kern w:val="0"/>
        </w:rPr>
        <w:t>日  期:2024年   月   日                 日  期：2024年   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5AF16"/>
    <w:multiLevelType w:val="singleLevel"/>
    <w:tmpl w:val="FDA5AF16"/>
    <w:lvl w:ilvl="0" w:tentative="0">
      <w:start w:val="1"/>
      <w:numFmt w:val="decimalEnclosedCircleChinese"/>
      <w:suff w:val="nothing"/>
      <w:lvlText w:val="%1　"/>
      <w:lvlJc w:val="left"/>
      <w:pPr>
        <w:ind w:left="0" w:firstLine="400"/>
      </w:pPr>
      <w:rPr>
        <w:rFonts w:hint="eastAsia"/>
      </w:rPr>
    </w:lvl>
  </w:abstractNum>
  <w:abstractNum w:abstractNumId="1">
    <w:nsid w:val="FFFFFF83"/>
    <w:multiLevelType w:val="singleLevel"/>
    <w:tmpl w:val="FFFFFF83"/>
    <w:lvl w:ilvl="0" w:tentative="0">
      <w:start w:val="1"/>
      <w:numFmt w:val="bullet"/>
      <w:pStyle w:val="13"/>
      <w:lvlText w:val=""/>
      <w:lvlJc w:val="left"/>
      <w:pPr>
        <w:tabs>
          <w:tab w:val="left" w:pos="780"/>
        </w:tabs>
        <w:ind w:left="780" w:leftChars="200" w:hanging="360" w:hangingChars="200"/>
      </w:pPr>
      <w:rPr>
        <w:rFonts w:hint="default" w:ascii="Wingdings" w:hAnsi="Wingdings"/>
      </w:rPr>
    </w:lvl>
  </w:abstractNum>
  <w:abstractNum w:abstractNumId="2">
    <w:nsid w:val="4AC41B83"/>
    <w:multiLevelType w:val="singleLevel"/>
    <w:tmpl w:val="4AC41B83"/>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75544"/>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E6DC4"/>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5E5E"/>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34D4BC8"/>
    <w:rsid w:val="04E61983"/>
    <w:rsid w:val="04F93EF7"/>
    <w:rsid w:val="053E3F8C"/>
    <w:rsid w:val="06835001"/>
    <w:rsid w:val="06BA5298"/>
    <w:rsid w:val="07CD3AA2"/>
    <w:rsid w:val="0907213E"/>
    <w:rsid w:val="0B0B182B"/>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552BE1"/>
    <w:rsid w:val="28795CAE"/>
    <w:rsid w:val="28CF6D5C"/>
    <w:rsid w:val="28D728FE"/>
    <w:rsid w:val="290E1224"/>
    <w:rsid w:val="29DB2926"/>
    <w:rsid w:val="2A6C65F7"/>
    <w:rsid w:val="2AA6133D"/>
    <w:rsid w:val="2BCB5B07"/>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CB42F0"/>
    <w:rsid w:val="395873E0"/>
    <w:rsid w:val="398427FF"/>
    <w:rsid w:val="3B6B7997"/>
    <w:rsid w:val="3C7E55A0"/>
    <w:rsid w:val="3C7E7E4D"/>
    <w:rsid w:val="3CCD6F19"/>
    <w:rsid w:val="3D920AB3"/>
    <w:rsid w:val="3E4F54B3"/>
    <w:rsid w:val="3EA006FD"/>
    <w:rsid w:val="406A6438"/>
    <w:rsid w:val="40C726B4"/>
    <w:rsid w:val="418A7FDD"/>
    <w:rsid w:val="424B0DFC"/>
    <w:rsid w:val="43487107"/>
    <w:rsid w:val="43F56786"/>
    <w:rsid w:val="4417638D"/>
    <w:rsid w:val="45977351"/>
    <w:rsid w:val="45F42EB8"/>
    <w:rsid w:val="46056344"/>
    <w:rsid w:val="467B4C8A"/>
    <w:rsid w:val="4689608C"/>
    <w:rsid w:val="46AD222D"/>
    <w:rsid w:val="47CE0BEB"/>
    <w:rsid w:val="47DD46E6"/>
    <w:rsid w:val="48B5696C"/>
    <w:rsid w:val="49AC543C"/>
    <w:rsid w:val="4ACD2A51"/>
    <w:rsid w:val="4B4053E3"/>
    <w:rsid w:val="4B8D08A2"/>
    <w:rsid w:val="4BD6274F"/>
    <w:rsid w:val="4C2279B2"/>
    <w:rsid w:val="4C472E7D"/>
    <w:rsid w:val="4C58772E"/>
    <w:rsid w:val="4CB85CB5"/>
    <w:rsid w:val="4CCA4D1D"/>
    <w:rsid w:val="4E295D4C"/>
    <w:rsid w:val="4E842C0D"/>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AE314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9E1868"/>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22">
    <w:name w:val="Default Paragraph Font"/>
    <w:autoRedefine/>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next w:val="4"/>
    <w:autoRedefine/>
    <w:qFormat/>
    <w:uiPriority w:val="0"/>
    <w:pPr>
      <w:ind w:firstLine="576"/>
    </w:pPr>
    <w:rPr>
      <w:b/>
      <w:sz w:val="30"/>
    </w:rPr>
  </w:style>
  <w:style w:type="paragraph" w:styleId="4">
    <w:name w:val="envelope return"/>
    <w:basedOn w:val="1"/>
    <w:autoRedefine/>
    <w:unhideWhenUsed/>
    <w:qFormat/>
    <w:uiPriority w:val="99"/>
    <w:pPr>
      <w:snapToGrid w:val="0"/>
    </w:pPr>
    <w:rPr>
      <w:rFonts w:ascii="Cambria" w:hAnsi="Cambria"/>
    </w:rPr>
  </w:style>
  <w:style w:type="paragraph" w:styleId="7">
    <w:name w:val="table of authorities"/>
    <w:basedOn w:val="1"/>
    <w:next w:val="1"/>
    <w:autoRedefine/>
    <w:qFormat/>
    <w:uiPriority w:val="0"/>
    <w:pPr>
      <w:ind w:left="420" w:leftChars="200"/>
    </w:pPr>
  </w:style>
  <w:style w:type="paragraph" w:styleId="8">
    <w:name w:val="Normal Indent"/>
    <w:basedOn w:val="1"/>
    <w:link w:val="35"/>
    <w:autoRedefine/>
    <w:unhideWhenUsed/>
    <w:qFormat/>
    <w:uiPriority w:val="0"/>
    <w:pPr>
      <w:ind w:firstLine="420" w:firstLineChars="200"/>
    </w:pPr>
  </w:style>
  <w:style w:type="paragraph" w:styleId="9">
    <w:name w:val="annotation text"/>
    <w:basedOn w:val="1"/>
    <w:autoRedefine/>
    <w:semiHidden/>
    <w:unhideWhenUsed/>
    <w:qFormat/>
    <w:uiPriority w:val="99"/>
    <w:pPr>
      <w:jc w:val="left"/>
    </w:pPr>
  </w:style>
  <w:style w:type="paragraph" w:styleId="10">
    <w:name w:val="Body Text 3"/>
    <w:basedOn w:val="1"/>
    <w:next w:val="1"/>
    <w:autoRedefine/>
    <w:qFormat/>
    <w:uiPriority w:val="0"/>
    <w:pPr>
      <w:spacing w:after="120"/>
    </w:pPr>
    <w:rPr>
      <w:sz w:val="16"/>
      <w:szCs w:val="16"/>
    </w:rPr>
  </w:style>
  <w:style w:type="paragraph" w:styleId="11">
    <w:name w:val="Body Text"/>
    <w:basedOn w:val="1"/>
    <w:next w:val="12"/>
    <w:autoRedefine/>
    <w:qFormat/>
    <w:uiPriority w:val="99"/>
    <w:rPr>
      <w:rFonts w:ascii="楷体_GB2312" w:hAnsi="Arial" w:eastAsia="楷体_GB2312"/>
      <w:kern w:val="0"/>
      <w:sz w:val="28"/>
      <w:szCs w:val="28"/>
    </w:rPr>
  </w:style>
  <w:style w:type="paragraph" w:styleId="12">
    <w:name w:val="Body Text 2"/>
    <w:basedOn w:val="1"/>
    <w:autoRedefine/>
    <w:qFormat/>
    <w:uiPriority w:val="0"/>
    <w:pPr>
      <w:spacing w:after="120" w:line="480" w:lineRule="auto"/>
    </w:pPr>
  </w:style>
  <w:style w:type="paragraph" w:styleId="13">
    <w:name w:val="List Bullet 2"/>
    <w:basedOn w:val="1"/>
    <w:autoRedefine/>
    <w:unhideWhenUsed/>
    <w:qFormat/>
    <w:uiPriority w:val="0"/>
    <w:pPr>
      <w:numPr>
        <w:ilvl w:val="0"/>
        <w:numId w:val="1"/>
      </w:numPr>
      <w:contextualSpacing/>
    </w:pPr>
    <w:rPr>
      <w:rFonts w:ascii="Calibri" w:hAnsi="Calibri"/>
    </w:rPr>
  </w:style>
  <w:style w:type="paragraph" w:styleId="14">
    <w:name w:val="Plain Text"/>
    <w:basedOn w:val="1"/>
    <w:link w:val="30"/>
    <w:autoRedefine/>
    <w:qFormat/>
    <w:uiPriority w:val="99"/>
    <w:rPr>
      <w:rFonts w:ascii="宋体" w:hAnsi="Courier New"/>
      <w:szCs w:val="20"/>
    </w:rPr>
  </w:style>
  <w:style w:type="paragraph" w:styleId="15">
    <w:name w:val="Balloon Text"/>
    <w:basedOn w:val="1"/>
    <w:link w:val="29"/>
    <w:autoRedefine/>
    <w:semiHidden/>
    <w:unhideWhenUsed/>
    <w:qFormat/>
    <w:uiPriority w:val="99"/>
    <w:rPr>
      <w:sz w:val="18"/>
      <w:szCs w:val="18"/>
    </w:rPr>
  </w:style>
  <w:style w:type="paragraph" w:styleId="16">
    <w:name w:val="footer"/>
    <w:basedOn w:val="1"/>
    <w:link w:val="28"/>
    <w:autoRedefine/>
    <w:unhideWhenUsed/>
    <w:qFormat/>
    <w:uiPriority w:val="99"/>
    <w:pPr>
      <w:tabs>
        <w:tab w:val="center" w:pos="4153"/>
        <w:tab w:val="right" w:pos="8306"/>
      </w:tabs>
      <w:snapToGrid w:val="0"/>
      <w:jc w:val="left"/>
    </w:pPr>
    <w:rPr>
      <w:sz w:val="18"/>
      <w:szCs w:val="18"/>
    </w:rPr>
  </w:style>
  <w:style w:type="paragraph" w:styleId="17">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32"/>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autoRedefine/>
    <w:semiHidden/>
    <w:unhideWhenUsed/>
    <w:qFormat/>
    <w:uiPriority w:val="99"/>
    <w:rPr>
      <w:color w:val="222222"/>
      <w:u w:val="none"/>
    </w:rPr>
  </w:style>
  <w:style w:type="character" w:styleId="24">
    <w:name w:val="Hyperlink"/>
    <w:basedOn w:val="22"/>
    <w:autoRedefine/>
    <w:unhideWhenUsed/>
    <w:qFormat/>
    <w:uiPriority w:val="99"/>
    <w:rPr>
      <w:color w:val="0000FF" w:themeColor="hyperlink"/>
      <w:u w:val="single"/>
    </w:rPr>
  </w:style>
  <w:style w:type="paragraph" w:customStyle="1" w:styleId="25">
    <w:name w:val="正文（缩进）"/>
    <w:basedOn w:val="1"/>
    <w:autoRedefine/>
    <w:qFormat/>
    <w:uiPriority w:val="0"/>
    <w:pPr>
      <w:ind w:firstLine="480" w:firstLineChars="200"/>
    </w:pPr>
  </w:style>
  <w:style w:type="paragraph" w:customStyle="1" w:styleId="26">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字符"/>
    <w:basedOn w:val="22"/>
    <w:link w:val="17"/>
    <w:autoRedefine/>
    <w:semiHidden/>
    <w:qFormat/>
    <w:uiPriority w:val="99"/>
    <w:rPr>
      <w:rFonts w:eastAsia="宋体"/>
      <w:kern w:val="2"/>
      <w:sz w:val="18"/>
      <w:szCs w:val="18"/>
    </w:rPr>
  </w:style>
  <w:style w:type="character" w:customStyle="1" w:styleId="28">
    <w:name w:val="页脚 字符"/>
    <w:basedOn w:val="22"/>
    <w:link w:val="16"/>
    <w:autoRedefine/>
    <w:semiHidden/>
    <w:qFormat/>
    <w:uiPriority w:val="99"/>
    <w:rPr>
      <w:rFonts w:eastAsia="宋体"/>
      <w:kern w:val="2"/>
      <w:sz w:val="18"/>
      <w:szCs w:val="18"/>
    </w:rPr>
  </w:style>
  <w:style w:type="character" w:customStyle="1" w:styleId="29">
    <w:name w:val="批注框文本 字符"/>
    <w:basedOn w:val="22"/>
    <w:link w:val="15"/>
    <w:autoRedefine/>
    <w:semiHidden/>
    <w:qFormat/>
    <w:uiPriority w:val="99"/>
    <w:rPr>
      <w:rFonts w:eastAsia="宋体"/>
      <w:kern w:val="2"/>
      <w:sz w:val="18"/>
      <w:szCs w:val="18"/>
    </w:rPr>
  </w:style>
  <w:style w:type="character" w:customStyle="1" w:styleId="30">
    <w:name w:val="纯文本 字符"/>
    <w:basedOn w:val="22"/>
    <w:link w:val="14"/>
    <w:autoRedefine/>
    <w:qFormat/>
    <w:uiPriority w:val="99"/>
    <w:rPr>
      <w:rFonts w:ascii="宋体" w:hAnsi="Courier New" w:eastAsia="宋体"/>
      <w:kern w:val="2"/>
      <w:sz w:val="21"/>
    </w:rPr>
  </w:style>
  <w:style w:type="character" w:customStyle="1" w:styleId="31">
    <w:name w:val="副标题 Char"/>
    <w:autoRedefine/>
    <w:qFormat/>
    <w:uiPriority w:val="0"/>
    <w:rPr>
      <w:rFonts w:ascii="Cambria" w:hAnsi="Cambria"/>
      <w:b/>
      <w:bCs/>
      <w:kern w:val="28"/>
      <w:sz w:val="32"/>
      <w:szCs w:val="32"/>
    </w:rPr>
  </w:style>
  <w:style w:type="character" w:customStyle="1" w:styleId="32">
    <w:name w:val="副标题 字符"/>
    <w:basedOn w:val="22"/>
    <w:link w:val="18"/>
    <w:autoRedefine/>
    <w:qFormat/>
    <w:uiPriority w:val="0"/>
    <w:rPr>
      <w:rFonts w:eastAsia="宋体" w:asciiTheme="majorHAnsi" w:hAnsiTheme="majorHAnsi" w:cstheme="majorBidi"/>
      <w:b/>
      <w:bCs/>
      <w:kern w:val="28"/>
      <w:sz w:val="32"/>
      <w:szCs w:val="32"/>
    </w:rPr>
  </w:style>
  <w:style w:type="paragraph" w:styleId="33">
    <w:name w:val="List Paragraph"/>
    <w:basedOn w:val="1"/>
    <w:autoRedefine/>
    <w:unhideWhenUsed/>
    <w:qFormat/>
    <w:uiPriority w:val="99"/>
    <w:pPr>
      <w:ind w:firstLine="420" w:firstLineChars="200"/>
    </w:pPr>
  </w:style>
  <w:style w:type="paragraph" w:customStyle="1" w:styleId="34">
    <w:name w:val="普通文字"/>
    <w:basedOn w:val="1"/>
    <w:next w:val="1"/>
    <w:autoRedefine/>
    <w:qFormat/>
    <w:uiPriority w:val="0"/>
    <w:rPr>
      <w:rFonts w:ascii="宋体"/>
      <w:kern w:val="0"/>
      <w:sz w:val="24"/>
      <w:u w:color="000000"/>
    </w:rPr>
  </w:style>
  <w:style w:type="character" w:customStyle="1" w:styleId="35">
    <w:name w:val="正文缩进 字符"/>
    <w:link w:val="8"/>
    <w:autoRedefine/>
    <w:qFormat/>
    <w:uiPriority w:val="0"/>
    <w:rPr>
      <w:kern w:val="2"/>
      <w:sz w:val="21"/>
      <w:szCs w:val="24"/>
    </w:rPr>
  </w:style>
  <w:style w:type="character" w:customStyle="1" w:styleId="36">
    <w:name w:val="NormalCharacter"/>
    <w:autoRedefine/>
    <w:qFormat/>
    <w:uiPriority w:val="0"/>
  </w:style>
  <w:style w:type="character" w:customStyle="1" w:styleId="37">
    <w:name w:val="font11"/>
    <w:basedOn w:val="22"/>
    <w:autoRedefine/>
    <w:qFormat/>
    <w:uiPriority w:val="0"/>
    <w:rPr>
      <w:rFonts w:hint="eastAsia" w:ascii="宋体" w:hAnsi="宋体" w:eastAsia="宋体" w:cs="宋体"/>
      <w:b/>
      <w:bCs/>
      <w:color w:val="000000"/>
      <w:sz w:val="22"/>
      <w:szCs w:val="22"/>
      <w:u w:val="none"/>
    </w:rPr>
  </w:style>
  <w:style w:type="character" w:customStyle="1" w:styleId="38">
    <w:name w:val="font71"/>
    <w:basedOn w:val="22"/>
    <w:autoRedefine/>
    <w:qFormat/>
    <w:uiPriority w:val="0"/>
    <w:rPr>
      <w:rFonts w:hint="eastAsia" w:ascii="宋体" w:hAnsi="宋体" w:eastAsia="宋体" w:cs="宋体"/>
      <w:b/>
      <w:bCs/>
      <w:color w:val="000000"/>
      <w:sz w:val="22"/>
      <w:szCs w:val="22"/>
      <w:u w:val="none"/>
    </w:rPr>
  </w:style>
  <w:style w:type="paragraph" w:customStyle="1" w:styleId="39">
    <w:name w:val="CM20"/>
    <w:basedOn w:val="40"/>
    <w:next w:val="40"/>
    <w:autoRedefine/>
    <w:qFormat/>
    <w:uiPriority w:val="0"/>
    <w:pPr>
      <w:spacing w:line="411" w:lineRule="atLeast"/>
    </w:pPr>
    <w:rPr>
      <w:rFonts w:cs="Times New Roman"/>
      <w:color w:val="auto"/>
    </w:rPr>
  </w:style>
  <w:style w:type="paragraph" w:customStyle="1" w:styleId="4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autoRedefine/>
    <w:qFormat/>
    <w:uiPriority w:val="0"/>
    <w:rPr>
      <w:rFonts w:hint="eastAsia" w:ascii="宋体" w:hAnsi="宋体" w:eastAsia="宋体" w:cs="宋体"/>
      <w:color w:val="000000"/>
      <w:sz w:val="22"/>
      <w:szCs w:val="22"/>
      <w:u w:val="none"/>
    </w:rPr>
  </w:style>
  <w:style w:type="character" w:customStyle="1" w:styleId="42">
    <w:name w:val="font41"/>
    <w:basedOn w:val="22"/>
    <w:autoRedefine/>
    <w:qFormat/>
    <w:uiPriority w:val="0"/>
    <w:rPr>
      <w:rFonts w:hint="eastAsia" w:ascii="宋体" w:hAnsi="宋体" w:eastAsia="宋体" w:cs="宋体"/>
      <w:color w:val="000000"/>
      <w:sz w:val="22"/>
      <w:szCs w:val="22"/>
      <w:u w:val="none"/>
    </w:rPr>
  </w:style>
  <w:style w:type="character" w:customStyle="1" w:styleId="43">
    <w:name w:val="font31"/>
    <w:basedOn w:val="22"/>
    <w:autoRedefine/>
    <w:qFormat/>
    <w:uiPriority w:val="0"/>
    <w:rPr>
      <w:rFonts w:hint="eastAsia" w:ascii="宋体" w:hAnsi="宋体" w:eastAsia="宋体" w:cs="宋体"/>
      <w:b/>
      <w:bCs/>
      <w:color w:val="000000"/>
      <w:sz w:val="22"/>
      <w:szCs w:val="22"/>
      <w:u w:val="none"/>
    </w:rPr>
  </w:style>
  <w:style w:type="paragraph" w:customStyle="1" w:styleId="44">
    <w:name w:val="样式 首行缩进:  2 字符"/>
    <w:basedOn w:val="1"/>
    <w:autoRedefine/>
    <w:qFormat/>
    <w:uiPriority w:val="0"/>
    <w:pPr>
      <w:spacing w:line="560" w:lineRule="exact"/>
      <w:ind w:firstLine="560" w:firstLineChars="200"/>
    </w:pPr>
    <w:rPr>
      <w:rFonts w:eastAsia="仿宋_GB2312"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1692</Words>
  <Characters>9650</Characters>
  <Lines>80</Lines>
  <Paragraphs>22</Paragraphs>
  <TotalTime>0</TotalTime>
  <ScaleCrop>false</ScaleCrop>
  <LinksUpToDate>false</LinksUpToDate>
  <CharactersWithSpaces>11320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2024-02-27T02:10:27Z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CC1B7E50BDDA44FE9543A16BB5B5C5F2_13</vt:lpwstr>
  </property>
</Properties>
</file>