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w:t>
      </w:r>
      <w:r>
        <w:rPr>
          <w:rFonts w:hint="eastAsia" w:ascii="宋体" w:hAnsi="宋体" w:cs="宋体"/>
          <w:b/>
          <w:snapToGrid w:val="0"/>
          <w:kern w:val="0"/>
          <w:sz w:val="32"/>
          <w:szCs w:val="32"/>
          <w:highlight w:val="none"/>
          <w:lang w:val="en-US" w:eastAsia="zh-CN"/>
        </w:rPr>
        <w:t>4</w:t>
      </w:r>
      <w:r>
        <w:rPr>
          <w:rFonts w:hint="eastAsia" w:ascii="宋体" w:hAnsi="宋体" w:cs="宋体"/>
          <w:b/>
          <w:snapToGrid w:val="0"/>
          <w:kern w:val="0"/>
          <w:sz w:val="32"/>
          <w:szCs w:val="32"/>
          <w:highlight w:val="none"/>
          <w:lang w:eastAsia="zh-CN"/>
        </w:rPr>
        <w:t>0</w:t>
      </w:r>
      <w:r>
        <w:rPr>
          <w:rFonts w:hint="eastAsia" w:ascii="宋体" w:hAnsi="宋体" w:cs="宋体"/>
          <w:b/>
          <w:snapToGrid w:val="0"/>
          <w:kern w:val="0"/>
          <w:sz w:val="32"/>
          <w:szCs w:val="32"/>
          <w:highlight w:val="none"/>
          <w:lang w:val="en-US" w:eastAsia="zh-CN"/>
        </w:rPr>
        <w:t>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2024-2026年消防安全管理评估项目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4</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2024-2026年消防安全管理评估项目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2024-2026年消防安全管理评估项目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2.4</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12</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2024-2026年消防安全管理评估项目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2024-2026年消防安全管理评估项目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付款方式为每次评估完成后，乙方提供3份装订成册的评估材料，乙方凭甲方的验收单及开具的正规增值税发票等材料向甲方办理付款手续，甲方凭手续齐全的票据向乙方支付每次评估费用。（以上均不计息）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12</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hint="eastAsia" w:ascii="宋体" w:hAnsi="宋体"/>
          <w:b/>
          <w:sz w:val="24"/>
          <w:highlight w:val="none"/>
          <w:lang w:eastAsia="zh-CN"/>
        </w:rPr>
        <w:t>2024</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12</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w:t>
      </w:r>
      <w:bookmarkStart w:id="4" w:name="_GoBack"/>
      <w:bookmarkEnd w:id="4"/>
      <w:r>
        <w:rPr>
          <w:rFonts w:hint="eastAsia" w:ascii="宋体" w:hAnsi="宋体" w:cs="宋体"/>
          <w:snapToGrid w:val="0"/>
          <w:color w:val="000000" w:themeColor="text1"/>
          <w:spacing w:val="-4"/>
          <w:kern w:val="0"/>
          <w:sz w:val="24"/>
        </w:rPr>
        <w:t>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2024-2026年消防安全管理评估项目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2.4</w:t>
      </w:r>
      <w:r>
        <w:rPr>
          <w:rFonts w:hint="eastAsia" w:ascii="宋体" w:hAnsi="宋体" w:cs="宋体"/>
          <w:snapToGrid w:val="0"/>
          <w:kern w:val="0"/>
          <w:sz w:val="24"/>
          <w:highlight w:val="none"/>
        </w:rPr>
        <w:t>万元，投标报价高于最高限价作废标处理。</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1.5服务期限：3年。</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numPr>
          <w:ilvl w:val="0"/>
          <w:numId w:val="0"/>
        </w:numPr>
        <w:adjustRightInd w:val="0"/>
        <w:snapToGrid w:val="0"/>
        <w:spacing w:line="440" w:lineRule="exact"/>
        <w:ind w:leftChars="0"/>
        <w:contextualSpacing/>
        <w:rPr>
          <w:rFonts w:hint="default" w:ascii="宋体" w:hAnsi="宋体" w:eastAsia="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本项目消防评估服务期限3年，2024-2026年每年评估院区分别为：2024年东区、2025年西区、2026年东区。</w:t>
      </w:r>
    </w:p>
    <w:p>
      <w:pPr>
        <w:numPr>
          <w:ilvl w:val="0"/>
          <w:numId w:val="0"/>
        </w:numPr>
        <w:adjustRightInd w:val="0"/>
        <w:snapToGrid w:val="0"/>
        <w:spacing w:line="440" w:lineRule="exact"/>
        <w:ind w:left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一、项目概况</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扬州大学附属医院（东区）是一所大型综合三甲医院，位于扬州广陵区泰州路45号。医院建筑由门诊楼、综合病房楼、医技楼、食堂楼等建筑物组成，建筑面积58034㎡。本次消防安全评估的对象是门诊楼12714+4464㎡、医技楼5002㎡、综合病房楼13238+4637+7434㎡、食堂楼3379㎡、行政楼4763㎡等，总建筑面积为58034㎡。</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扬州大学附属医院（西区）是一所大型综合三甲医院，位于扬州邗江区邗江中路368号。占地近万平方米，由门诊楼、综合病房楼、医技楼、办公楼等建筑物组成，建筑面积108272㎡。本次消防安全评估的对象是门诊楼12288㎡、医技楼（包含地上、地下）地上13138㎡，地下3424㎡、综合病房楼（包含地上、地下）地上52927㎡，地下5627㎡。</w:t>
      </w:r>
    </w:p>
    <w:p>
      <w:pPr>
        <w:adjustRightInd w:val="0"/>
        <w:snapToGrid w:val="0"/>
        <w:spacing w:line="440" w:lineRule="exact"/>
        <w:contextualSpacing/>
        <w:rPr>
          <w:rFonts w:hint="eastAsia" w:ascii="宋体" w:hAnsi="宋体"/>
          <w:sz w:val="24"/>
          <w:szCs w:val="24"/>
        </w:rPr>
      </w:pPr>
      <w:r>
        <w:rPr>
          <w:rFonts w:hint="eastAsia" w:ascii="宋体" w:hAnsi="宋体" w:cs="宋体"/>
          <w:b/>
          <w:bCs/>
          <w:szCs w:val="21"/>
        </w:rPr>
        <w:t>二、评估工作内容</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单位消防安全全面评估应至少包括以下方面：（必须符合相关法律法规要求的项目）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1、评估对象的确定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2、相关信息的采集</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3、评估方法的选择</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4、火灾风险的计算</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5、消防安全等级评定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6、安全措施和建议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7、评估报告的编写</w:t>
      </w:r>
    </w:p>
    <w:p>
      <w:pPr>
        <w:adjustRightInd w:val="0"/>
        <w:snapToGrid w:val="0"/>
        <w:spacing w:line="440" w:lineRule="exact"/>
        <w:contextualSpacing/>
        <w:rPr>
          <w:rFonts w:hint="eastAsia" w:ascii="宋体" w:hAnsi="宋体"/>
          <w:sz w:val="24"/>
          <w:szCs w:val="24"/>
        </w:rPr>
      </w:pPr>
      <w:r>
        <w:rPr>
          <w:rFonts w:hint="eastAsia" w:ascii="宋体" w:hAnsi="宋体" w:cs="宋体"/>
          <w:b/>
          <w:bCs/>
          <w:sz w:val="24"/>
          <w:szCs w:val="24"/>
        </w:rPr>
        <w:t>三、评估的流程</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单位消防安全评估应按照以下流程进行：</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1、信息采集</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在明确消防安全评估的目的和内容基础上，收集各种与单位消防安全的相关资料，包括：单位概况、消防设计图纸资料、消防设施相关资料、火灾应急救援预案、消防安全规章制度、相关检测报告等。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2、火灾风险识别</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通过资料分析和现场勘察，查找评估对象的火灾风险来源，确定其存在的部位、形式以及发生作用的途径和变化规律。</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3、评估指标体系建立</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根据评估目的，在火灾风险源识别的基础上，进一步分析导致火灾隐患的影响因素及其相互关系，突出重点，选择主要因素，忽略次要因素，然后对各影响因素按照不同的层次进行分类，形成不同层次的评估指标因素集。</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4、风险分析与计算</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根据不同层次评估指标的特性，选择合理的评估方法，按照不同的风险因素确定风险概率</w:t>
      </w:r>
      <w:r>
        <w:rPr>
          <w:rFonts w:hint="eastAsia"/>
        </w:rPr>
        <w:t>，根据风险</w:t>
      </w:r>
      <w:r>
        <w:rPr>
          <w:rFonts w:hint="eastAsia"/>
          <w:sz w:val="24"/>
          <w:szCs w:val="24"/>
        </w:rPr>
        <w:t>因素对评估目标的影响程度，进行定量或定性的分析和计算，确定各风险因素的风险等级。</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5、确定评估结论</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根据评估结果，明确被评估单位的消防安全状态，提出合理可行的消防安全意见。</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6、风险控制措施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根据火灾风险分析与计算结果，综合针对性、技术可行性、经济合理性要求，提出消除或降低火灾风险的技术措施和管理对策。</w:t>
      </w:r>
    </w:p>
    <w:p>
      <w:pPr>
        <w:adjustRightInd w:val="0"/>
        <w:snapToGrid w:val="0"/>
        <w:spacing w:line="440" w:lineRule="exact"/>
        <w:contextualSpacing/>
        <w:rPr>
          <w:rFonts w:hint="eastAsia" w:ascii="宋体" w:hAnsi="宋体"/>
          <w:sz w:val="24"/>
          <w:szCs w:val="24"/>
        </w:rPr>
      </w:pPr>
      <w:r>
        <w:rPr>
          <w:rFonts w:hint="eastAsia" w:ascii="宋体" w:hAnsi="宋体" w:cs="宋体"/>
          <w:b/>
          <w:bCs/>
          <w:sz w:val="24"/>
          <w:szCs w:val="24"/>
        </w:rPr>
        <w:t>四、评估单元及评估内容</w:t>
      </w:r>
    </w:p>
    <w:p>
      <w:pPr>
        <w:adjustRightInd w:val="0"/>
        <w:snapToGrid w:val="0"/>
        <w:spacing w:line="440" w:lineRule="exact"/>
        <w:ind w:firstLine="482" w:firstLineChars="200"/>
        <w:contextualSpacing/>
        <w:rPr>
          <w:rFonts w:hint="eastAsia" w:ascii="宋体" w:hAnsi="宋体"/>
          <w:sz w:val="24"/>
          <w:szCs w:val="24"/>
        </w:rPr>
      </w:pPr>
      <w:r>
        <w:rPr>
          <w:rFonts w:hint="eastAsia"/>
          <w:b/>
          <w:sz w:val="24"/>
          <w:szCs w:val="24"/>
        </w:rPr>
        <w:t>一般规定</w:t>
      </w:r>
    </w:p>
    <w:p>
      <w:pPr>
        <w:adjustRightInd w:val="0"/>
        <w:snapToGrid w:val="0"/>
        <w:spacing w:line="440" w:lineRule="exact"/>
        <w:ind w:firstLine="482" w:firstLineChars="200"/>
        <w:contextualSpacing/>
        <w:rPr>
          <w:rFonts w:hint="eastAsia" w:ascii="宋体" w:hAnsi="宋体"/>
          <w:b/>
          <w:sz w:val="24"/>
          <w:szCs w:val="24"/>
        </w:rPr>
      </w:pPr>
      <w:r>
        <w:rPr>
          <w:rFonts w:hint="eastAsia"/>
          <w:b/>
          <w:sz w:val="24"/>
          <w:szCs w:val="24"/>
        </w:rPr>
        <w:t>评估原则</w:t>
      </w:r>
    </w:p>
    <w:p>
      <w:pPr>
        <w:adjustRightInd w:val="0"/>
        <w:snapToGrid w:val="0"/>
        <w:spacing w:line="440" w:lineRule="exact"/>
        <w:ind w:firstLine="480" w:firstLineChars="200"/>
        <w:contextualSpacing/>
        <w:rPr>
          <w:rFonts w:hint="eastAsia" w:ascii="宋体" w:hAnsi="宋体"/>
          <w:sz w:val="24"/>
          <w:szCs w:val="24"/>
        </w:rPr>
      </w:pPr>
      <w:r>
        <w:rPr>
          <w:rFonts w:hint="eastAsia"/>
          <w:sz w:val="24"/>
          <w:szCs w:val="24"/>
        </w:rPr>
        <w:t>运用科学的评估方法，对被评估单位消防许可、消防安全制度等文件进行审查，对防火设施和灭火设施进行现场检查。分析被评估单位内可能存在的火灾危险源，合理划分评估单元，建立全面的评估指标体系，对评估单元进行定性及定量分析，结合评估人员意见合理建立权重体系。</w:t>
      </w:r>
    </w:p>
    <w:p>
      <w:pPr>
        <w:adjustRightInd w:val="0"/>
        <w:snapToGrid w:val="0"/>
        <w:spacing w:line="440" w:lineRule="exact"/>
        <w:ind w:firstLine="482" w:firstLineChars="200"/>
        <w:contextualSpacing/>
        <w:rPr>
          <w:rFonts w:hint="eastAsia" w:ascii="宋体" w:hAnsi="宋体"/>
          <w:sz w:val="24"/>
          <w:szCs w:val="24"/>
        </w:rPr>
      </w:pPr>
      <w:r>
        <w:rPr>
          <w:rFonts w:hint="eastAsia"/>
          <w:b/>
          <w:sz w:val="24"/>
          <w:szCs w:val="24"/>
        </w:rPr>
        <w:t>现场检查要求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1、检查测试用仪器、仪表、量具等计量器具，确定合格有效。</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2、在现场相关人员（包括操作人员、消防安全管理人员等）陪同下，巡查所有评估单元。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3、采用核对方式检查时，应与设计、验收等相关技术文件对比，符合设计、验收等相关技术文件要求。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4、逐项记录各消防设施的测试结果及仪表显示的数据，填写检查记录表。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5、检查过程中采用即时通讯设备进行联络，完成测试后将各消防设施恢复至正常伺服状态。</w:t>
      </w:r>
    </w:p>
    <w:p>
      <w:pPr>
        <w:adjustRightInd w:val="0"/>
        <w:snapToGrid w:val="0"/>
        <w:spacing w:line="440" w:lineRule="exact"/>
        <w:ind w:firstLine="482" w:firstLineChars="200"/>
        <w:contextualSpacing/>
        <w:rPr>
          <w:rFonts w:hint="eastAsia" w:ascii="宋体" w:hAnsi="宋体"/>
          <w:sz w:val="24"/>
          <w:szCs w:val="24"/>
        </w:rPr>
      </w:pPr>
      <w:r>
        <w:rPr>
          <w:rFonts w:hint="eastAsia"/>
          <w:b/>
          <w:sz w:val="24"/>
          <w:szCs w:val="24"/>
        </w:rPr>
        <w:t>现场抽查原则</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现场检查根据被评估单位的规模进行合理抽查，主要消防设施的抽查测试应满足：</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1、消防水泵的性能测试和启动测试，全数检查。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2、室外消火栓放水测试，抽查比例不低于 20%且不少于 2 个。</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3、室内消火栓放水及消火栓按钮测试，不少于 2 个防火分区，且包含最不利点测试。</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4、自动喷水灭火系统末端试水装置测试，建筑地下层、标准层、顶层分别随机抽查不少于 1 处。</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5、火灾自动报警系统，主机全数检查，末端点位检查 50%，抽检总数应不少于1000 只，末端点位少于 20 只的全数检查。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6、防火门及防火卷帘监控系统，主机全数检查，末端点位检查 10%，抽检总数应不少于 5 樘，末端点位少于 5 樘的全数检查。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7、防排烟系统，风机全数检查，排烟口、送风口检查 10%，抽检总数应分别不少于 5 个，排烟口、送风口少于 5 个的全数检查。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8、灭火器检查，包含所有危险等级或火灾种类的场所，每种场所检查不少于2个计算单元。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9、气体灭火系统，主机全数检查，末端点位 10%，不少于 2 个保护区。</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10、泡沫灭火系统，泡沫泵、泡沫罐等主要设备全数检查，任选一个防护区或储罐，进行一次试验。</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11应急照明和疏散指示系统检查，系统控制装置全数检查，末端点位的检查应包含避难间、避难层、避难走道等特殊区域，检查点位不少于 50%，抽检总数应不少于 200 个，末端点位少于 10 个的全数检查。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12、电梯、非消防电源的控制装置, 检查实际数量的 40%，抽检总数分别不应少于5台，安装数量少于5台的全数检查。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13、主、备电源的自动转换，全数检查。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14、消防水池（水箱）液位监测装置，全数检查。</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15、消防安全管理单元</w:t>
      </w:r>
    </w:p>
    <w:p>
      <w:pPr>
        <w:adjustRightInd w:val="0"/>
        <w:snapToGrid w:val="0"/>
        <w:spacing w:line="440" w:lineRule="exact"/>
        <w:ind w:firstLine="482" w:firstLineChars="200"/>
        <w:contextualSpacing/>
        <w:rPr>
          <w:rFonts w:hint="eastAsia"/>
          <w:b/>
          <w:sz w:val="24"/>
          <w:szCs w:val="24"/>
        </w:rPr>
      </w:pPr>
      <w:r>
        <w:rPr>
          <w:rFonts w:hint="eastAsia"/>
          <w:b/>
          <w:sz w:val="24"/>
          <w:szCs w:val="24"/>
        </w:rPr>
        <w:t>场所合法性</w:t>
      </w:r>
    </w:p>
    <w:p>
      <w:pPr>
        <w:adjustRightInd w:val="0"/>
        <w:snapToGrid w:val="0"/>
        <w:spacing w:line="440" w:lineRule="exact"/>
        <w:ind w:firstLine="480" w:firstLineChars="200"/>
        <w:contextualSpacing/>
        <w:rPr>
          <w:rFonts w:hint="eastAsia"/>
          <w:sz w:val="24"/>
          <w:szCs w:val="24"/>
        </w:rPr>
      </w:pPr>
      <w:r>
        <w:rPr>
          <w:rFonts w:hint="eastAsia"/>
          <w:sz w:val="24"/>
          <w:szCs w:val="24"/>
        </w:rPr>
        <w:t>评估内容包括：</w:t>
      </w:r>
    </w:p>
    <w:p>
      <w:pPr>
        <w:adjustRightInd w:val="0"/>
        <w:snapToGrid w:val="0"/>
        <w:spacing w:line="440" w:lineRule="exact"/>
        <w:ind w:firstLine="480" w:firstLineChars="200"/>
        <w:contextualSpacing/>
        <w:rPr>
          <w:rFonts w:hint="eastAsia"/>
          <w:sz w:val="24"/>
          <w:szCs w:val="24"/>
        </w:rPr>
      </w:pPr>
      <w:r>
        <w:rPr>
          <w:rFonts w:hint="eastAsia"/>
          <w:sz w:val="24"/>
          <w:szCs w:val="24"/>
        </w:rPr>
        <w:t>被评估单位的实际使用功能，应当与消防验收、竣工验收消防备案、消防安全检查时确定的用途一致。被评估单位改建、扩建、变更用途和装修，应当依法履行消防设计审查、消防验收和备案手续等。</w:t>
      </w:r>
    </w:p>
    <w:p>
      <w:pPr>
        <w:adjustRightInd w:val="0"/>
        <w:snapToGrid w:val="0"/>
        <w:spacing w:line="440" w:lineRule="exact"/>
        <w:ind w:firstLine="482" w:firstLineChars="200"/>
        <w:contextualSpacing/>
        <w:rPr>
          <w:rFonts w:hint="eastAsia" w:ascii="宋体" w:hAnsi="宋体"/>
          <w:b/>
          <w:sz w:val="24"/>
          <w:szCs w:val="24"/>
        </w:rPr>
      </w:pPr>
      <w:r>
        <w:rPr>
          <w:rFonts w:hint="eastAsia" w:ascii="宋体" w:hAnsi="宋体"/>
          <w:b/>
          <w:sz w:val="24"/>
          <w:szCs w:val="24"/>
        </w:rPr>
        <w:t>消防安全制度及操作流程</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1.消防安全制度</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按照国家规定，建立健全各项消防安全制度，并存档备案。</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2.消防安全操作规程</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建立健全消防安全操作规程并公布执行。</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3.消防档案</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按照国家规定，建立完备的消防安全资料档案，并及时更新。</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4.消防安全责任制</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4.1消防安全组织的组成</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建立健全消防安全管理机构，依法确定各级、各岗位的消防安全责任人员，如单位消防安全责任人、消防安全管理人、专（兼）职消防管理人员、消防控制室值班操作人员等。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4.2消防安全职责落实</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单位应当实行逐级消防安全责任制和岗位消防安全责任制，明确逐级和岗位人员的消防安全职责，确定对本级、本岗位的消防安全负责等。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5、灭火和应急预案及演练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机关、团体、事业、企业单位均应制定灭火和应急疏散预案，明确灭火和应急疏散措施。消防安全重点单位、火灾高危单位每半年组织一次灭火和应急疏散演练，其他单位每年组织一次灭火和应急疏散演练。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6、防火检查、巡查及隐患整改</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应定期进行防火巡查、检查；应及时进行火灾隐患整改，相关记录应存档备查；应严格落实用火用电安全管理制度等。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7、消防安全宣传教育培训</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应建立消防安全培训及宣传教育制度，并开展相关的宣传及培训等。</w:t>
      </w:r>
    </w:p>
    <w:p>
      <w:pPr>
        <w:adjustRightInd w:val="0"/>
        <w:snapToGrid w:val="0"/>
        <w:spacing w:line="440" w:lineRule="exact"/>
        <w:ind w:firstLine="482" w:firstLineChars="200"/>
        <w:contextualSpacing/>
        <w:rPr>
          <w:rFonts w:hint="eastAsia" w:ascii="宋体" w:hAnsi="宋体"/>
          <w:sz w:val="24"/>
          <w:szCs w:val="24"/>
        </w:rPr>
      </w:pPr>
      <w:r>
        <w:rPr>
          <w:rFonts w:hint="eastAsia" w:ascii="宋体" w:hAnsi="宋体"/>
          <w:b/>
          <w:sz w:val="24"/>
          <w:szCs w:val="24"/>
        </w:rPr>
        <w:t>建筑防火单元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1、建筑分类和耐火等级</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1.1建筑分类</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建筑使用性质、火灾危险性类别、建筑高度、建筑层数、单层建筑面积等。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1.2耐火等级</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建筑构件的燃烧性能和耐火极限、耐火等级与建筑分类的适应性、最多允许层数与耐火等级的适应性等。</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2、总平面布局和平面布置</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2.1防火间距</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建筑防火间距应满足规范要求，是否存在违章搭建的现象等。</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2.2消防车道</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消防车道的设置、形式以及消防车道的净宽度、净高度、转弯半径、消防车道与建筑外墙距离、消防车道坡度、回车场尺寸及面积等；消防车道是否被占用、堵塞，是否采用明显警示线标注。</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2.3救援场地和入口</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消防车登高操作场地的设置、长度、宽度以及与建筑外墙距离等；</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消防救援入口的设置、净高、净宽、与室内地面高度等；</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消防车登高操作场地是否被占用、堵塞，场地与建筑间是否有妨碍消防车操作的树木、架空管线等障碍物。</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2.4建筑平面布置</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建筑功能、空间组合和人员组织与安全疏散的关系，建筑平面布置的合理、合规性。</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2.5特殊用房布置</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360" w:firstLineChars="150"/>
        <w:contextualSpacing/>
        <w:rPr>
          <w:rFonts w:hint="eastAsia" w:ascii="宋体" w:hAnsi="宋体"/>
          <w:sz w:val="24"/>
          <w:szCs w:val="24"/>
        </w:rPr>
      </w:pPr>
      <w:r>
        <w:rPr>
          <w:rFonts w:hint="eastAsia" w:ascii="宋体" w:hAnsi="宋体"/>
          <w:sz w:val="24"/>
          <w:szCs w:val="24"/>
        </w:rPr>
        <w:t>儿童活动场所、老年人照料设施、歌舞娱乐放映游艺场所、医院和疗养院的住院部分、会议厅、多功能厅等人员密集场所等平面布置；消防水泵房、消防控制室、防排烟机房、锅炉房、柴油发电机房、变配电用房等设备用房的平面布置。</w:t>
      </w:r>
    </w:p>
    <w:p>
      <w:pPr>
        <w:adjustRightInd w:val="0"/>
        <w:snapToGrid w:val="0"/>
        <w:spacing w:line="440" w:lineRule="exact"/>
        <w:ind w:left="424" w:leftChars="202" w:firstLine="2"/>
        <w:contextualSpacing/>
        <w:rPr>
          <w:rFonts w:hint="eastAsia" w:ascii="宋体" w:hAnsi="宋体"/>
          <w:sz w:val="24"/>
          <w:szCs w:val="24"/>
        </w:rPr>
      </w:pPr>
      <w:r>
        <w:rPr>
          <w:rFonts w:hint="eastAsia" w:ascii="宋体" w:hAnsi="宋体"/>
          <w:sz w:val="24"/>
          <w:szCs w:val="24"/>
        </w:rPr>
        <w:t>3、防火防烟分区</w:t>
      </w:r>
    </w:p>
    <w:p>
      <w:pPr>
        <w:adjustRightInd w:val="0"/>
        <w:snapToGrid w:val="0"/>
        <w:spacing w:line="440" w:lineRule="exact"/>
        <w:ind w:left="424" w:leftChars="202" w:firstLine="2"/>
        <w:contextualSpacing/>
        <w:rPr>
          <w:rFonts w:hint="eastAsia" w:ascii="宋体" w:hAnsi="宋体"/>
          <w:sz w:val="24"/>
          <w:szCs w:val="24"/>
        </w:rPr>
      </w:pPr>
      <w:r>
        <w:rPr>
          <w:rFonts w:hint="eastAsia" w:ascii="宋体" w:hAnsi="宋体"/>
          <w:sz w:val="24"/>
          <w:szCs w:val="24"/>
        </w:rPr>
        <w:t>3.1防火分区</w:t>
      </w:r>
    </w:p>
    <w:p>
      <w:pPr>
        <w:adjustRightInd w:val="0"/>
        <w:snapToGrid w:val="0"/>
        <w:spacing w:line="440" w:lineRule="exact"/>
        <w:ind w:left="424" w:leftChars="202" w:firstLine="2"/>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2"/>
        <w:contextualSpacing/>
        <w:rPr>
          <w:rFonts w:hint="eastAsia" w:ascii="宋体" w:hAnsi="宋体"/>
          <w:sz w:val="24"/>
          <w:szCs w:val="24"/>
        </w:rPr>
      </w:pPr>
      <w:r>
        <w:rPr>
          <w:rFonts w:hint="eastAsia" w:ascii="宋体" w:hAnsi="宋体"/>
          <w:sz w:val="24"/>
          <w:szCs w:val="24"/>
        </w:rPr>
        <w:t>建筑允许高度、层数及防火分区面积以及防火墙、防火门、防火卷帘、防火阀、防火玻璃等防火分隔设施的设置。</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3.2防烟分区</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按建筑用途、空间净高、长边最大允许长度等划分防烟分区及挡烟设施的设置。</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3.3防火分隔设施</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防火墙、防火隔墙的设置位置、完整性，划分竖向防火分区的楼板和防火挑檐的完整性，其他防火分隔设施的选型、外观、安装位置、动作方式、动作效果等。</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4、安全疏散</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4.1疏散门、疏散走道、疏散楼梯间</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6"/>
        <w:contextualSpacing/>
        <w:rPr>
          <w:rFonts w:hint="eastAsia" w:ascii="宋体" w:hAnsi="宋体"/>
          <w:sz w:val="24"/>
          <w:szCs w:val="24"/>
        </w:rPr>
      </w:pPr>
      <w:r>
        <w:rPr>
          <w:rFonts w:hint="eastAsia" w:ascii="宋体" w:hAnsi="宋体"/>
          <w:sz w:val="24"/>
          <w:szCs w:val="24"/>
        </w:rPr>
        <w:t>疏散门的位置、数量、宽度、开启方向、间距、畅通性、开启角度等，以及建筑平时限制出入的疏散门火灾时的开启方式、开启效果、可靠性等；疏散走道的畅通性、宽度、疏散距离及装修材料等，走道的自然排烟或机械排烟条件，疏散指示标志和应急照明设置；疏散楼梯间的设置形式、楼梯梯段和平台的净宽度、楼梯间内设备布置、围护结构的完整性、防烟设施、应急照明和疏散指示标志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4.2防烟楼梯间前室、消防电梯前室及合用前室</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前室的门、窗、洞口的设置及前室的净面积、消防电梯前室及合用前室内消火栓的设置，前室的防烟设施等。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4.3安全出口</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安全出口的形式、位置、数量、间距、净宽度等，门的开启方向、开启方式，门内外台阶的情况，高层建筑直通室外的安全出口上方设置的防护挑檐等。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4.4避难设施</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建筑避难层（间）的设置，避难层（间）的出入口指示标志，第一个避难层（间）的楼地面至灭火救援场地地面高度，通向避难层（间）的疏散楼梯设置，避难层的净面积，避难层中的设备间、管道区的防火分隔等；避难走道的设置，防火隔墙、楼板的耐火极限，直通地面出口设置、净宽度，内装修材料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5、防火防爆</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5.1建筑防爆</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爆炸危险区域的确定，有爆炸危险的厂房的总体布局和平面布置，采取的防爆措施和泄压设施，以及与爆炸危险场所毗邻的变、配电所的布置等；火灾爆炸危险场所送（排）风管道、设备和机房等的设置，采暖形式和管道敷设是否符合要求。</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5.2电气防爆</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导线材质和允许载流量，线路的敷设和连接方式等，电气设备的选择和导除静电的接地装置等。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5.3设施防爆</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通风、空调系统的管道的敷设，通风设备的选择，除尘和过滤器的设置等；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供暖系统供暖方式的选择，供暖管道的敷设，供暖管道和设备绝热材料的燃烧性能等。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5.4工艺防爆</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严守操作规程、防止“跑、冒、滴、漏”、严格控制温度、压力等。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6、建筑装修与保温系统</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6.1建筑内部装修</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装修功能与原建筑类别的一致性，装修工程的平面布置，装修材料燃烧性能等级，装修对疏散和消防设施的影响，照明灯具和配电箱的安装，公共场所内阻燃制品标识张贴等；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内部装修改造是否改变使用性质，是否改变建筑耐火等级、安全疏散、消防设施设置等。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6.2建筑外部装修</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left="372" w:leftChars="177"/>
        <w:contextualSpacing/>
        <w:rPr>
          <w:rFonts w:hint="eastAsia" w:ascii="宋体" w:hAnsi="宋体"/>
          <w:sz w:val="24"/>
          <w:szCs w:val="24"/>
        </w:rPr>
      </w:pPr>
      <w:r>
        <w:rPr>
          <w:rFonts w:hint="eastAsia" w:ascii="宋体" w:hAnsi="宋体"/>
          <w:sz w:val="24"/>
          <w:szCs w:val="24"/>
        </w:rPr>
        <w:t>装修材料的燃烧性能，广告牌的设置位置，设置的发光广告牌的燃烧性能等。6.3建筑保温系统</w:t>
      </w:r>
    </w:p>
    <w:p>
      <w:pPr>
        <w:adjustRightInd w:val="0"/>
        <w:snapToGrid w:val="0"/>
        <w:spacing w:line="440" w:lineRule="exact"/>
        <w:ind w:left="372" w:left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保温材料的燃烧性能，防护层和防火隔离带的设置，每层楼板处的防火封堵，电气线路和电气配件的安装与保温系统的隔离措施等。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7、灭火救援设施</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7.1消防电梯</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消防电梯数量，前室内装修材料及消防设施，电梯井和机房，防水和排水设施，电梯运行性能等。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7.2直升机停机坪</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屋顶停机坪或供直升机救援设施的平面布置及消防设施的设置等。</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7.3消防救援窗（口）</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24" w:firstLineChars="177"/>
        <w:contextualSpacing/>
        <w:rPr>
          <w:rFonts w:hint="eastAsia" w:ascii="宋体" w:hAnsi="宋体"/>
          <w:sz w:val="24"/>
          <w:szCs w:val="24"/>
        </w:rPr>
      </w:pPr>
      <w:r>
        <w:rPr>
          <w:rFonts w:hint="eastAsia" w:ascii="宋体" w:hAnsi="宋体"/>
          <w:sz w:val="24"/>
          <w:szCs w:val="24"/>
        </w:rPr>
        <w:t>建筑外立面救援窗（口）的数量、间距、净高度、净宽度、与地面距离等。</w:t>
      </w:r>
    </w:p>
    <w:p>
      <w:pPr>
        <w:adjustRightInd w:val="0"/>
        <w:snapToGrid w:val="0"/>
        <w:spacing w:line="440" w:lineRule="exact"/>
        <w:ind w:firstLine="482" w:firstLineChars="200"/>
        <w:contextualSpacing/>
        <w:rPr>
          <w:rFonts w:hint="eastAsia" w:ascii="宋体" w:hAnsi="宋体"/>
          <w:sz w:val="24"/>
          <w:szCs w:val="24"/>
        </w:rPr>
      </w:pPr>
      <w:r>
        <w:rPr>
          <w:rFonts w:hint="eastAsia"/>
          <w:b/>
          <w:sz w:val="24"/>
          <w:szCs w:val="24"/>
        </w:rPr>
        <w:t>消防设施单元</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1、消防给水</w:t>
      </w:r>
    </w:p>
    <w:p>
      <w:pPr>
        <w:tabs>
          <w:tab w:val="left" w:pos="1800"/>
        </w:tabs>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1.1天然水源</w:t>
      </w:r>
      <w:r>
        <w:rPr>
          <w:rFonts w:ascii="宋体" w:hAnsi="宋体"/>
          <w:sz w:val="24"/>
          <w:szCs w:val="24"/>
        </w:rPr>
        <w:tab/>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水位应正常，取水口设置应便于取水，并有进水过滤措施，冬季和枯水季节的取水可靠性等。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1.2消防水池</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容积、格数、安装情况、保证用水措施、自动补水设施等应符合消防技术标准及有效消防设计文件的规定；水位、消防用水不被他用的设施应正常，寒冷地区防冻措施应完好，消防水位的监测装置及动作效果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1.3消防水箱</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容积、安装情况、保证用水措施、自动补水设施等应符合消防技术标准及有效消防设计文件的规定；水位、消防用水不被他用的设施应正常，寒冷地区防冻措施应完好，消防水位的监测装置及动作效果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1.4稳压泵、增压泵及气压水罐</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容积、型号、外观标志、安装情况、启停压力设定值、水泵运行功能等应符合消防技术标准及有效消防设计文件的规定；外观是否有损伤、是否漏水；启动运行应正常，压力表显示应正常，启、停泵压力值设置等应符合设定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1.5消防水泵</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规格、型号、外观标志、流量和压力测试装置、吸水方式、吸水管及出水管的数量、水泵的运行功能、信号反馈功能、主备泵切换功能等应符合消防技术标准及有效消防设计文件的规定；外观无损伤、无漏水现象，控制柜按钮应完好，进出口阀门应常开，压力表、试水阀及泄压装置应正常，启动运行正常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1.6水泵控制柜</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设置、数量、型号、外观标志、安装情况、防护等级等应符合消防技术标准及有效消防设计文件的规定；主、备电源的切换功能应正常；按钮、指示灯及仪表应正常，相关功能应符合要求。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1.7水泵接合器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型号、外观标志、安装情况、组件等应符合消防技术标准及有效消防设计文件的规定；外观无损伤、不被遮挡，无漏水现象，设置位置应便于消防车停靠；控制阀应常开，寒冷地区防冻措施完好。地下式水泵接合器的明显识别标志，墙壁式水泵接合器安装位置及上方的防护挑檐。</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1.8消防水泵房</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挡水及防水淹措施应完好，疏散门应直通室外或安全出口，室外单独建设的水泵房冬季的防冻措施及防冻效果等。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2、消火栓、消防水炮系统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2.1室内消火栓</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消火栓箱及消防卷盘的设置、数量、外观标志、组件、安装情况等应符合消防技术标准及有效消防设计文件的规定；消火栓的动压、静压、最不利点充实水柱，消火栓泵的启动及信号反馈等应正常。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2.2室外消火栓</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设置、数量、安装情况及消火栓口的压力等应符合消防技术标准及有效消防设计文件的规定；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静压和出水压力应符合要求。地上式消火栓的冬季防冻措施及防冻效果，地下式消火栓的明显识别标志。</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2.3消防水炮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控制阀应启动灵活，回转与仰俯操作应灵敏，操作角度应符合设定值，定位机构应可靠，泵组启动功能等正常。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3、自动喷水灭火系统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3.1喷头</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设置、规格、布置、型号、外观、安装情况等应符合消防技术标准及有效消防设计文件的规定；喷头无损伤、遮挡、锈蚀、被油漆涂覆等现象。</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3.2报警阀组</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设置、数量、规格、型号、外观，压力开关、电磁阀、水力警铃等各组件的安装情况，排水设施、压力开关报警及信号反馈功能等应符合消防技术标准及有效消防设计文件的规定；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干式报警阀组空气压缩机、气压控制装置等状态应正常，压力表显示应符合设定值；</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预作用报警阀组配有充气装置时，空气压缩机、气压控制装置等状态应正常，压力表显示应符合设定值；电磁阀的启闭及反馈信号应灵敏可靠；雨淋报警阀组电磁阀的启闭及反馈信号应灵敏可靠；配置传动管时，传动管的压力表显示应符合设定值；气压传动管的供气装置状态应正常，压力表显示应符合设定值。各类报警阀组前端的水源控制阀的开关状态、锁定装置等应符合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3.3水流指示器及信号阀</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设置、数量、安装情况等应符合消防技术标准及有效消防设计文件的规定；应有明显标志，水流指示器报警及信号反馈功能、复位功能、信号阀关闭信号反馈功能等应符合要求。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3.4末端试水装置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设置、数量、组件、外观、安装情况等应符合消防技术标准及有效消防设计文件的规定；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末端试水装置或试水阀组件应正常，能满足放水测试要求；设置位置合理，保证不被他用。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3.5系统功能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消防水泵自动启动功能、手动启动功能，水流指示器、报警阀、压力开关动作情况，水力警铃动作及声压等级，延迟器延迟时间以及水泵流量和压力，最不利点处压力表的压力值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4、泡沫灭火系统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4.1泡沫液储罐</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容积，组件安装情况，泡沫液种类、性能等应符合消防技术标准及有效消防设计文件的规定；泡沫灭火剂的有效期和储量应正常；储罐的配件应齐全完好，液位计、呼吸阀、安全阀及压力表等状态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4.2比例混合器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设置、数量、选型、泡沫液进口压力、进水口压力、安装情况等应符合消防技术标准及有效消防设计文件的规定；阀门启闭应灵敏可靠。</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4.3泡沫产生器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设置、数量、规格、型号、安装情况等应符合消防技术标准及有效消防设计文件的规定；吸气孔、发泡网及暴露的泡沫喷射口，不得有杂物进入或堵塞；泡沫出口附近不得有阻挡泡沫喷射及泡沫流淌的障碍物。</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4.4泡沫栓</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设置、数量、外观、安装情况等应符合消防技术标准及有效消防设计文件的规定；泡沫栓阀门启闭应灵活，泡沫栓与被保护对象的距离应符合要求。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4.5泡沫喷头</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设置、数量、外观、选型、安装情况等应符合消防技术标准及有效消防设计文件的规定；应符合设计选型，吸气孔、发泡网不应堵塞。</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4.6系统功能</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联动控制方式、手动控制方式、机械控制方式、电磁阀、雨淋阀、泡沫消防泵、比例混合器、泡沫产生器、泡沫枪以及泡沫喷射功能、泵的压力和流量等应符合消防技术标准及有效消防设计文件的规定。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5、气体灭火系统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5.1瓶组、储罐与保护区</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规格、型号、外观标志、组件、安装情况、灭火剂储存容器的重装量、重装压力、泄压口等应符合消防技术标准及有效消防设计文件的规定；组件应固定牢固，手动操作装置的铅封应完好，压力表的显示应正常。应注明灭火剂名称，储瓶应有编号，驱动装置和选择阀应有分区标志牌，选择阀手动操作方便。</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5.2喷嘴</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设置、数量、外观、安装情况等应符合消防技术标准及有效消防设计文件的规定；喷口方向应正确、并应无堵塞现象。</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5.3气体灭火控制器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外观、安装情况、自检功能、控制功能、显示功能、故障报警功能等应符合消防技术标准及有效消防设计文件的规定；自动、手动转换功能应正常，无论装置处于自动或手动状态，手动操作启动均应有效。防止误操作的警示显示与措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5.4系统功能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系统自动控制启动功能、手动启动功能、机械应急启动功能、延时时间、声光报警装置联动功能、防护区通风设施、除泄压口外的其他开口的联动关闭功能等应符合消防技术标准及有效消防设计文件的规定。防护区配置空气呼吸器的情况。</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6、火灾自动报警系统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6.1消防控制室</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消防控制室的设置、部位、标志、设备布置、外线电话等应符合消防技术标准及有效消防设计文件的规定；消防控制室的位置应符合规范要求，出口应直通室外或安全出口；电气线路及管线布置应符合要求。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6.2火灾报警控制器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外观及标志应正常；自检功能、报警及显示功能、火警优先功能、二次报警功能、故障报警功能、打印功能、供电电源切换功能等应正常。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6.3火灾显示盘</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设置、数量、选型、外观标志、安装情况等应符合消防技术标准及有效消防设计文件的规定；外观及标志应正常；自检功能、火灾报警显示功能、故障报警功能等应正常。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6.4消防联动控制器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外观及标志应正常；自检功能、联动控制功能及逻辑控制程序、手动控制启动功能、故障报警功能、信息显示功能、供电电源切换功能等应正常。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6.5消防控制室图形显示装置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外观及标志应正常；火灾报警功能、故障报警功能、信息记录查询功能、信息传输功能等应正常。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6.6火灾探测器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设置部位、数量、选型、外观标志、安装情况等应符合消防技术标准及有效消防设计文件的规定；外观应正常，无遮挡；报警功能正常，反馈地址正确。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6.7手动火灾报警按钮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外观应正常，无遮挡；报警功能正常，反馈地址正确；应能手动复位。</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6.8火灾警报装置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外观及标志应正常；声警报的声压级应正常。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6.9火灾应急广播</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外观应正常；广播声压级应正常，音质清晰。</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6.10消防专用电话</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设置部位、数量、标志、安装情况等应符合消防技术标准及有效消防设计文件的规定；外观及标志应正常；电话分级及插孔应有效且音质清晰。</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6.11电梯</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电梯的消防控制功能、状态信号反馈功能，消防电梯的运行时间、消防专用电话、防水排水设施等应符合消防技术标准及有效消防设计文件的规定；电梯联动迫降至首层，迫降信号反馈正常。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6.12可燃气体报警控制器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设置、选型、外观标志、安装情况等应符合消防技术标准及有效消防设计文件的规定；外观及标志应正常；自检功能、报警及显示功能、故障报警功能、屏蔽功能、供电电源切换功能等应正常。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6.13可燃气体探测器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设置部位、数量、选型、外观标志、安装情况、报警功能等应符合消防技术标准及有效消防设计文件的规定；安装高度是否与探测气体的比重相适应。外观应正常，无遮挡；报警功能正常，反馈地址正确。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6.14电气火灾监控设备</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ascii="宋体" w:hAnsi="宋体"/>
          <w:sz w:val="24"/>
          <w:szCs w:val="24"/>
        </w:rPr>
      </w:pPr>
      <w:r>
        <w:rPr>
          <w:rFonts w:hint="eastAsia" w:ascii="宋体" w:hAnsi="宋体"/>
          <w:sz w:val="24"/>
          <w:szCs w:val="24"/>
        </w:rPr>
        <w:t>设置、数量、选型、外观标志、安装情况等应符合消防技术标准及有效消防设计文件的规定；</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外观及标志应正常；自检功能、报警及显示功能、故障报警功能、主备电源切换功能等应正常。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6.15电气火灾监控探测器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设置部位、数量、选型、外观标志、安装情况等应符合消防技术标准及有效消防设计文件的规定；外观及标志应正常，报警功能应正常，反馈地址正确。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6.16系统功能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切断火灾发生区域的正常供电电源，接通消防电源，控制卷帘门的半降、全降，控制常开防火门动作，停止有关部位的空调通风、关闭电动防火阀，启动有关部位的防烟、排烟风机和排烟阀、排烟窗、挡烟垂壁等，控制电梯自动降至首层或转换层，控制火灾应急广播投入工作，控制的警报装置投入工作，控制应急照明和疏散指示设备投入工作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7、防排烟系统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7.1自然排烟系统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设置位置、开窗面积、开启方式和信号反馈等应符合消防技术标准及有效消防设计文件的规定；排烟窗的手动及自动开启功能应正常，有效开启面积应满足要求。</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7.2机械加压送风系统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加压送风机设置、数量、规格型号、外观标志、安装情况、风量、运转功能、信号反馈功能等应符合消防技术标准及有效设计文件的规定；加压送风口设置、数量、尺寸、风速、余压值及加压送风阀开启与复位功能等应符合消防技术标准及有效消防设计文件的规定；应能自动和手动启动（包括现场启动和消控室手动启动）相应区域的送风阀、送风机，风机运行等，信号反馈应正确。</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7.3机械排烟系统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排烟风机设置、数量、规格型号、外观标志、风量、安装情况、运转功能、信号反馈等应符合消防技术标准及有效设计文件的规定；排烟口及排烟防火阀设置、位置、数量、尺寸、安装情况、报警功能、风速值等应符合消防技术标准及有效设计文件的规定；挡烟垂壁设置、位置、数量、尺寸、外观、安装情况、动作及信号反馈功能等应符合消防技术标准及有效设计文件的规定；应能自动和手动启动相应区域排烟阀、排烟风机，风机运行等，信号反馈应正确；挡烟垂壁动作及信号反馈功能应正常；电动排烟窗等其他电动排烟系统，应具有直接启动或联动控制开启功能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8、消防供配电设施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8.1消防供配电</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消防用电设备的供电负荷等级、供电电源设置、消防设备的供电等应符合消防技术标准及有效消防设计文件的规定；消防设备配电箱应有区别于其他配电箱的明显标志，不同消防设备的配电箱应有明显区分标识。配电箱上的仪表、指示灯的显示应正常，开关及控制按钮应灵活可靠。备用电源的切换功能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8.2发电机组</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发电机组的型号、规格和容量、组件及安装情况、启动运行功能等应符合消防技术标准及有效消防设计文件的规定；仪表、指示灯及开关按钮等应完好，显示应正常；自动启动及运行应正常等。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8.3储油设施</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燃油量、燃油标号等应符合消防技术标准及有效消防设计文件的规定；油位显示应正常，防静电接地正常；照明采用防爆电气设备等。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9、应急照明及疏散指示标志</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9.1应急照明</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设置、数量、选型、外观标志、安装间距、电源连接、备用电源连续供电时间、联动点亮功能等应符合消防技术标准及有效消防设计文件的规定；灯具应牢固、无遮挡，状态指示灯正常，地面照度应满足要求等。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9.2疏散指示标志</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部位、数量、选型、外观、安装间距、电源连接、亮度、备用电源连续供电时间、联动点亮功能等应符合消防技术标准及有效消防设计文件的规定；灯具应牢固、无遮挡，状态指示灯正常，疏散路线指示应正确清晰等。</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10、灭火器</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灭火器的设置部位、数量、选型、外观标志、重装压力、有效期等应符合消防技术标准及有效消防设计文件的规定；筒体应无明显锈蚀、凹凸等损伤，手柄、插销、铅封、压力表等组件应齐全完好；灭火器型号标识应清晰、完整，压力表指针应在绿色区域范围内。</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11、城市消防远程监控系统</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评估内容包括：</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设置在消防控制室或有人值班的部位，能传输火警信息消防设施运行状态，自检功能、故障报警功能、主备电源自动切换功能等应正常。</w:t>
      </w:r>
    </w:p>
    <w:p>
      <w:pPr>
        <w:adjustRightInd w:val="0"/>
        <w:snapToGrid w:val="0"/>
        <w:spacing w:line="440" w:lineRule="exact"/>
        <w:ind w:firstLine="480" w:firstLineChars="200"/>
        <w:contextualSpacing/>
        <w:rPr>
          <w:rFonts w:hint="eastAsia" w:ascii="宋体" w:hAnsi="宋体"/>
          <w:sz w:val="24"/>
          <w:szCs w:val="24"/>
        </w:rPr>
      </w:pPr>
      <w:r>
        <w:rPr>
          <w:rFonts w:hint="eastAsia" w:ascii="宋体" w:hAnsi="宋体"/>
          <w:sz w:val="24"/>
          <w:szCs w:val="24"/>
        </w:rPr>
        <w:t>12、其他消防设施</w:t>
      </w:r>
    </w:p>
    <w:p>
      <w:pPr>
        <w:pStyle w:val="15"/>
        <w:shd w:val="clear" w:color="auto" w:fill="FFFFFF"/>
        <w:spacing w:before="0" w:beforeAutospacing="0" w:after="0" w:afterAutospacing="0"/>
        <w:rPr>
          <w:rFonts w:hint="eastAsia" w:ascii="宋体" w:hAnsi="宋体" w:eastAsia="宋体" w:cs="宋体"/>
          <w:b w:val="0"/>
          <w:bCs w:val="0"/>
          <w:snapToGrid w:val="0"/>
          <w:kern w:val="0"/>
          <w:sz w:val="24"/>
          <w:szCs w:val="24"/>
          <w:lang w:val="en-US" w:eastAsia="zh-CN" w:bidi="ar-SA"/>
        </w:rPr>
      </w:pPr>
      <w:r>
        <w:rPr>
          <w:rFonts w:hint="eastAsia" w:ascii="宋体" w:hAnsi="宋体"/>
          <w:sz w:val="24"/>
          <w:szCs w:val="24"/>
        </w:rPr>
        <w:t>其他消防设施的评估内容应包括对设施的设置、外观和功能进行检查。</w:t>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2024-2026年消防安全管理评估项目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20823315"/>
      <w:bookmarkStart w:id="2" w:name="_Toc16938559"/>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2024-2026年消防安全管理评估项目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2024-2026年消防安全管理评估项目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2024-2026年消防安全管理评估项目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等</w:t>
      </w:r>
      <w:r>
        <w:rPr>
          <w:rFonts w:hint="eastAsia" w:hAnsi="宋体" w:cs="宋体"/>
          <w:bCs/>
          <w:sz w:val="24"/>
          <w:szCs w:val="24"/>
          <w:lang w:val="en-US" w:eastAsia="zh-CN"/>
        </w:rPr>
        <w:t>所有</w:t>
      </w:r>
      <w:r>
        <w:rPr>
          <w:rFonts w:hint="eastAsia" w:hAnsi="宋体" w:cs="宋体"/>
          <w:bCs/>
          <w:sz w:val="24"/>
          <w:szCs w:val="24"/>
        </w:rPr>
        <w:t>费用</w:t>
      </w:r>
      <w:r>
        <w:rPr>
          <w:rFonts w:hint="eastAsia" w:hAnsi="宋体"/>
          <w:sz w:val="24"/>
          <w:szCs w:val="24"/>
        </w:rPr>
        <w:t>。</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w:t>
      </w:r>
      <w:r>
        <w:rPr>
          <w:rFonts w:hint="eastAsia" w:cs="宋体"/>
          <w:sz w:val="24"/>
          <w:highlight w:val="none"/>
          <w:lang w:val="en-US" w:eastAsia="zh-CN"/>
        </w:rPr>
        <w:t>每次评估完成后</w:t>
      </w:r>
      <w:r>
        <w:rPr>
          <w:rFonts w:hint="eastAsia" w:ascii="宋体" w:hAnsi="宋体" w:cs="宋体"/>
          <w:sz w:val="24"/>
          <w:highlight w:val="none"/>
        </w:rPr>
        <w:t>，</w:t>
      </w:r>
      <w:r>
        <w:rPr>
          <w:rFonts w:hint="eastAsia" w:cs="宋体"/>
          <w:sz w:val="24"/>
          <w:highlight w:val="none"/>
          <w:lang w:val="en-US" w:eastAsia="zh-CN"/>
        </w:rPr>
        <w:t>乙方提供3份装订成册的评估材料，</w:t>
      </w:r>
      <w:r>
        <w:rPr>
          <w:rFonts w:hint="eastAsia" w:ascii="宋体" w:hAnsi="宋体" w:cs="宋体"/>
          <w:sz w:val="24"/>
          <w:highlight w:val="none"/>
        </w:rPr>
        <w:t>乙方凭甲方的验收单及开具的正规增值税发票等材料向甲方办理付款手续，甲方凭手续齐全的票据向乙方支付</w:t>
      </w:r>
      <w:r>
        <w:rPr>
          <w:rFonts w:hint="eastAsia" w:cs="宋体"/>
          <w:sz w:val="24"/>
          <w:highlight w:val="none"/>
          <w:lang w:val="en-US" w:eastAsia="zh-CN"/>
        </w:rPr>
        <w:t>每次评估费用</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10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完成所有评估项目</w:t>
      </w:r>
      <w:r>
        <w:rPr>
          <w:rFonts w:hint="eastAsia" w:ascii="宋体" w:hAnsi="宋体" w:cs="宋体"/>
          <w:color w:val="000000"/>
          <w:kern w:val="0"/>
          <w:sz w:val="24"/>
        </w:rPr>
        <w:t>，</w:t>
      </w:r>
      <w:r>
        <w:rPr>
          <w:rFonts w:hint="eastAsia" w:ascii="宋体" w:hAnsi="宋体" w:cs="宋体"/>
          <w:color w:val="000000"/>
          <w:kern w:val="0"/>
          <w:sz w:val="24"/>
          <w:lang w:val="en-US" w:eastAsia="zh-CN"/>
        </w:rPr>
        <w:t>并根据甲方要求出具相应的评估报告</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评估报告</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4A043CE"/>
    <w:rsid w:val="151678B8"/>
    <w:rsid w:val="15D76399"/>
    <w:rsid w:val="15F35842"/>
    <w:rsid w:val="172469D5"/>
    <w:rsid w:val="17407202"/>
    <w:rsid w:val="17754BB0"/>
    <w:rsid w:val="186D5CBC"/>
    <w:rsid w:val="188947D0"/>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4E27B0B"/>
    <w:rsid w:val="270244AF"/>
    <w:rsid w:val="279829B9"/>
    <w:rsid w:val="28795CAE"/>
    <w:rsid w:val="28CF6D5C"/>
    <w:rsid w:val="28D728FE"/>
    <w:rsid w:val="290E1224"/>
    <w:rsid w:val="2A6C65F7"/>
    <w:rsid w:val="2AA6133D"/>
    <w:rsid w:val="2BCB5B07"/>
    <w:rsid w:val="2E026BA2"/>
    <w:rsid w:val="2E0A00DD"/>
    <w:rsid w:val="2E237847"/>
    <w:rsid w:val="2EE7735A"/>
    <w:rsid w:val="2F716810"/>
    <w:rsid w:val="2F877A0A"/>
    <w:rsid w:val="30DF7E8F"/>
    <w:rsid w:val="310442A6"/>
    <w:rsid w:val="318E7998"/>
    <w:rsid w:val="31FF36A9"/>
    <w:rsid w:val="32542738"/>
    <w:rsid w:val="337C4795"/>
    <w:rsid w:val="349B0B50"/>
    <w:rsid w:val="35D6255E"/>
    <w:rsid w:val="375A406B"/>
    <w:rsid w:val="37CB42F0"/>
    <w:rsid w:val="395873E0"/>
    <w:rsid w:val="398427FF"/>
    <w:rsid w:val="3B6B7997"/>
    <w:rsid w:val="3C7E55A0"/>
    <w:rsid w:val="3C7E7E4D"/>
    <w:rsid w:val="3CCD6F19"/>
    <w:rsid w:val="3D920AB3"/>
    <w:rsid w:val="3E4F54B3"/>
    <w:rsid w:val="3EA006FD"/>
    <w:rsid w:val="406A6438"/>
    <w:rsid w:val="40C726B4"/>
    <w:rsid w:val="424B0DFC"/>
    <w:rsid w:val="43487107"/>
    <w:rsid w:val="43F56786"/>
    <w:rsid w:val="4417638D"/>
    <w:rsid w:val="45977351"/>
    <w:rsid w:val="45F42EB8"/>
    <w:rsid w:val="46056344"/>
    <w:rsid w:val="467B4C8A"/>
    <w:rsid w:val="4689608C"/>
    <w:rsid w:val="46AD222D"/>
    <w:rsid w:val="47CE0BEB"/>
    <w:rsid w:val="47DD46E6"/>
    <w:rsid w:val="48B5696C"/>
    <w:rsid w:val="49AC543C"/>
    <w:rsid w:val="4ACD2A51"/>
    <w:rsid w:val="4B4053E3"/>
    <w:rsid w:val="4B8D08A2"/>
    <w:rsid w:val="4BD6274F"/>
    <w:rsid w:val="4C2279B2"/>
    <w:rsid w:val="4C472E7D"/>
    <w:rsid w:val="4C58772E"/>
    <w:rsid w:val="4CB85CB5"/>
    <w:rsid w:val="4CCA4D1D"/>
    <w:rsid w:val="4E295D4C"/>
    <w:rsid w:val="4E842C0D"/>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0F082F"/>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126C7B"/>
    <w:rsid w:val="764E69E8"/>
    <w:rsid w:val="7787662E"/>
    <w:rsid w:val="77A64AB7"/>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autoRedefine/>
    <w:qFormat/>
    <w:uiPriority w:val="0"/>
    <w:pPr>
      <w:spacing w:after="120" w:line="480" w:lineRule="auto"/>
    </w:pPr>
  </w:style>
  <w:style w:type="paragraph" w:styleId="4">
    <w:name w:val="table of authorities"/>
    <w:basedOn w:val="1"/>
    <w:next w:val="1"/>
    <w:autoRedefine/>
    <w:qFormat/>
    <w:uiPriority w:val="0"/>
    <w:pPr>
      <w:ind w:left="420" w:leftChars="200"/>
    </w:pPr>
  </w:style>
  <w:style w:type="paragraph" w:styleId="5">
    <w:name w:val="Normal Indent"/>
    <w:basedOn w:val="1"/>
    <w:link w:val="32"/>
    <w:autoRedefine/>
    <w:unhideWhenUsed/>
    <w:qFormat/>
    <w:uiPriority w:val="0"/>
    <w:pPr>
      <w:ind w:firstLine="420" w:firstLineChars="200"/>
    </w:pPr>
  </w:style>
  <w:style w:type="paragraph" w:styleId="6">
    <w:name w:val="annotation text"/>
    <w:basedOn w:val="1"/>
    <w:autoRedefine/>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autoRedefine/>
    <w:semiHidden/>
    <w:qFormat/>
    <w:uiPriority w:val="99"/>
    <w:rPr>
      <w:rFonts w:eastAsia="宋体"/>
      <w:kern w:val="2"/>
      <w:sz w:val="18"/>
      <w:szCs w:val="18"/>
    </w:rPr>
  </w:style>
  <w:style w:type="character" w:customStyle="1" w:styleId="25">
    <w:name w:val="页脚 Char"/>
    <w:basedOn w:val="19"/>
    <w:link w:val="12"/>
    <w:autoRedefine/>
    <w:semiHidden/>
    <w:qFormat/>
    <w:uiPriority w:val="99"/>
    <w:rPr>
      <w:rFonts w:eastAsia="宋体"/>
      <w:kern w:val="2"/>
      <w:sz w:val="18"/>
      <w:szCs w:val="18"/>
    </w:rPr>
  </w:style>
  <w:style w:type="character" w:customStyle="1" w:styleId="26">
    <w:name w:val="批注框文本 Char"/>
    <w:basedOn w:val="19"/>
    <w:link w:val="11"/>
    <w:autoRedefine/>
    <w:semiHidden/>
    <w:qFormat/>
    <w:uiPriority w:val="99"/>
    <w:rPr>
      <w:rFonts w:eastAsia="宋体"/>
      <w:kern w:val="2"/>
      <w:sz w:val="18"/>
      <w:szCs w:val="18"/>
    </w:rPr>
  </w:style>
  <w:style w:type="character" w:customStyle="1" w:styleId="27">
    <w:name w:val="纯文本 Char"/>
    <w:basedOn w:val="19"/>
    <w:link w:val="10"/>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4"/>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5"/>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character" w:customStyle="1" w:styleId="35">
    <w:name w:val="font71"/>
    <w:basedOn w:val="19"/>
    <w:autoRedefine/>
    <w:qFormat/>
    <w:uiPriority w:val="0"/>
    <w:rPr>
      <w:rFonts w:hint="eastAsia" w:ascii="宋体" w:hAnsi="宋体" w:eastAsia="宋体" w:cs="宋体"/>
      <w:b/>
      <w:bCs/>
      <w:color w:val="000000"/>
      <w:sz w:val="22"/>
      <w:szCs w:val="22"/>
      <w:u w:val="none"/>
    </w:rPr>
  </w:style>
  <w:style w:type="paragraph" w:customStyle="1" w:styleId="36">
    <w:name w:val="CM20"/>
    <w:basedOn w:val="37"/>
    <w:next w:val="37"/>
    <w:autoRedefine/>
    <w:qFormat/>
    <w:uiPriority w:val="0"/>
    <w:pPr>
      <w:spacing w:line="411" w:lineRule="atLeast"/>
    </w:pPr>
    <w:rPr>
      <w:rFonts w:cs="Times New Roman"/>
      <w:color w:val="auto"/>
    </w:rPr>
  </w:style>
  <w:style w:type="paragraph" w:customStyle="1" w:styleId="3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33</Pages>
  <Words>14292</Words>
  <Characters>14844</Characters>
  <Lines>70</Lines>
  <Paragraphs>19</Paragraphs>
  <TotalTime>14</TotalTime>
  <ScaleCrop>false</ScaleCrop>
  <LinksUpToDate>false</LinksUpToDate>
  <CharactersWithSpaces>15526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2024-03-04T06:24:59Z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A1DAC28A50F347B68D0C2A2E30B9C7D5</vt:lpwstr>
  </property>
</Properties>
</file>