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0" w:leftChars="0" w:firstLine="0" w:firstLineChars="0"/>
        <w:jc w:val="center"/>
        <w:rPr>
          <w:rFonts w:ascii="宋体" w:hAnsi="宋体"/>
          <w:b/>
          <w:bCs/>
          <w:color w:val="000000"/>
          <w:sz w:val="36"/>
          <w:szCs w:val="36"/>
        </w:rPr>
      </w:pPr>
      <w:r>
        <w:rPr>
          <w:rFonts w:hint="eastAsia" w:ascii="宋体" w:hAnsi="宋体"/>
          <w:b/>
          <w:bCs/>
          <w:color w:val="000000"/>
          <w:sz w:val="36"/>
          <w:szCs w:val="36"/>
        </w:rPr>
        <w:t>项目需求</w:t>
      </w:r>
    </w:p>
    <w:p>
      <w:pPr>
        <w:pStyle w:val="3"/>
        <w:ind w:left="0" w:leftChars="0" w:firstLine="0" w:firstLineChars="0"/>
        <w:rPr>
          <w:rFonts w:ascii="宋体" w:hAnsi="宋体"/>
          <w:b/>
          <w:bCs/>
          <w:color w:val="000000"/>
          <w:sz w:val="24"/>
          <w:szCs w:val="24"/>
        </w:rPr>
      </w:pPr>
      <w:r>
        <w:rPr>
          <w:rFonts w:hint="eastAsia" w:ascii="宋体" w:hAnsi="宋体"/>
          <w:b/>
          <w:bCs/>
          <w:color w:val="000000"/>
          <w:sz w:val="24"/>
          <w:szCs w:val="24"/>
        </w:rPr>
        <w:t>一、项目简介</w:t>
      </w:r>
    </w:p>
    <w:p>
      <w:pPr>
        <w:spacing w:line="360" w:lineRule="auto"/>
        <w:ind w:firstLine="480" w:firstLineChars="200"/>
        <w:rPr>
          <w:rFonts w:ascii="宋体" w:hAnsi="宋体" w:cs="宋体"/>
          <w:bCs/>
          <w:sz w:val="24"/>
          <w:szCs w:val="24"/>
        </w:rPr>
      </w:pPr>
      <w:r>
        <w:rPr>
          <w:rFonts w:hint="eastAsia" w:ascii="宋体" w:hAnsi="宋体"/>
          <w:bCs/>
          <w:sz w:val="24"/>
          <w:szCs w:val="24"/>
        </w:rPr>
        <w:t>1、施耐德UPS电源一台；型号：</w:t>
      </w:r>
      <w:r>
        <w:rPr>
          <w:rFonts w:ascii="宋体" w:hAnsi="宋体"/>
          <w:bCs/>
          <w:sz w:val="24"/>
          <w:szCs w:val="24"/>
        </w:rPr>
        <w:t>SYCF48KH</w:t>
      </w:r>
      <w:r>
        <w:rPr>
          <w:rFonts w:hint="eastAsia" w:ascii="宋体" w:hAnsi="宋体"/>
          <w:bCs/>
          <w:sz w:val="24"/>
          <w:szCs w:val="24"/>
        </w:rPr>
        <w:t>，地点：东区2号楼11层信息机房；艾默生UPS电源一台，型号：APM150，地点:西区行政楼2层信息机房。UPS电源控制柜除电池外，其余以全包的方式进行报价。</w:t>
      </w:r>
    </w:p>
    <w:p>
      <w:pPr>
        <w:spacing w:line="360" w:lineRule="auto"/>
        <w:ind w:firstLine="480" w:firstLineChars="200"/>
        <w:rPr>
          <w:color w:val="000000"/>
          <w:sz w:val="24"/>
          <w:szCs w:val="24"/>
        </w:rPr>
      </w:pPr>
      <w:r>
        <w:rPr>
          <w:rFonts w:hint="eastAsia" w:ascii="宋体" w:hAnsi="宋体"/>
          <w:bCs/>
          <w:sz w:val="24"/>
          <w:szCs w:val="24"/>
        </w:rPr>
        <w:t>2、最高限价：</w:t>
      </w:r>
      <w:r>
        <w:rPr>
          <w:rFonts w:hint="eastAsia" w:ascii="宋体" w:hAnsi="宋体"/>
          <w:b/>
          <w:bCs/>
          <w:color w:val="000000"/>
          <w:sz w:val="24"/>
          <w:szCs w:val="24"/>
        </w:rPr>
        <w:t>1</w:t>
      </w:r>
      <w:r>
        <w:rPr>
          <w:rFonts w:ascii="宋体" w:hAnsi="宋体"/>
          <w:b/>
          <w:bCs/>
          <w:color w:val="000000"/>
          <w:sz w:val="24"/>
          <w:szCs w:val="24"/>
        </w:rPr>
        <w:t>8</w:t>
      </w:r>
      <w:r>
        <w:rPr>
          <w:rFonts w:hint="eastAsia" w:ascii="宋体" w:hAnsi="宋体"/>
          <w:b/>
          <w:bCs/>
          <w:color w:val="000000"/>
          <w:sz w:val="24"/>
          <w:szCs w:val="24"/>
        </w:rPr>
        <w:t>万元。</w:t>
      </w:r>
      <w:r>
        <w:rPr>
          <w:rFonts w:hint="eastAsia"/>
          <w:color w:val="000000"/>
          <w:sz w:val="24"/>
          <w:szCs w:val="24"/>
        </w:rPr>
        <w:t>各</w:t>
      </w:r>
      <w:r>
        <w:rPr>
          <w:rFonts w:hint="eastAsia"/>
          <w:color w:val="000000"/>
          <w:sz w:val="24"/>
          <w:szCs w:val="24"/>
          <w:lang w:val="en-US" w:eastAsia="zh-CN"/>
        </w:rPr>
        <w:t>供应商</w:t>
      </w:r>
      <w:r>
        <w:rPr>
          <w:rFonts w:hint="eastAsia"/>
          <w:color w:val="000000"/>
          <w:sz w:val="24"/>
          <w:szCs w:val="24"/>
        </w:rPr>
        <w:t>报价不得高出</w:t>
      </w:r>
      <w:r>
        <w:rPr>
          <w:rFonts w:hint="eastAsia" w:ascii="宋体" w:hAnsi="宋体"/>
          <w:sz w:val="24"/>
          <w:szCs w:val="24"/>
          <w:lang w:val="zh-CN"/>
        </w:rPr>
        <w:t>最高限价</w:t>
      </w:r>
      <w:r>
        <w:rPr>
          <w:rFonts w:hint="eastAsia"/>
          <w:color w:val="000000"/>
          <w:sz w:val="24"/>
          <w:szCs w:val="24"/>
        </w:rPr>
        <w:t>，否则作废标处理。</w:t>
      </w:r>
    </w:p>
    <w:p>
      <w:pPr>
        <w:spacing w:line="360" w:lineRule="auto"/>
        <w:ind w:firstLine="480" w:firstLineChars="200"/>
        <w:rPr>
          <w:rFonts w:ascii="宋体" w:hAnsi="宋体"/>
          <w:sz w:val="24"/>
          <w:szCs w:val="24"/>
        </w:rPr>
      </w:pPr>
      <w:r>
        <w:rPr>
          <w:rFonts w:hint="eastAsia" w:ascii="宋体" w:hAnsi="宋体"/>
          <w:sz w:val="24"/>
          <w:szCs w:val="24"/>
        </w:rPr>
        <w:t>3、维保期：</w:t>
      </w:r>
      <w:r>
        <w:rPr>
          <w:rFonts w:hint="eastAsia" w:ascii="宋体" w:hAnsi="宋体"/>
          <w:b/>
          <w:color w:val="000000"/>
          <w:sz w:val="24"/>
          <w:szCs w:val="24"/>
        </w:rPr>
        <w:t>叁年</w:t>
      </w:r>
      <w:r>
        <w:rPr>
          <w:rFonts w:hint="eastAsia" w:ascii="宋体" w:hAnsi="宋体"/>
          <w:color w:val="000000"/>
          <w:sz w:val="24"/>
          <w:szCs w:val="24"/>
        </w:rPr>
        <w:t>，自2024年5月1日至2027年4月30日</w:t>
      </w:r>
      <w:r>
        <w:rPr>
          <w:rFonts w:hint="eastAsia" w:ascii="宋体" w:hAnsi="宋体"/>
          <w:color w:val="000000"/>
          <w:sz w:val="24"/>
          <w:szCs w:val="24"/>
          <w:lang w:eastAsia="zh-CN"/>
        </w:rPr>
        <w:t>。</w:t>
      </w:r>
      <w:r>
        <w:rPr>
          <w:rFonts w:hint="eastAsia" w:ascii="宋体" w:hAnsi="宋体"/>
          <w:sz w:val="24"/>
          <w:szCs w:val="24"/>
        </w:rPr>
        <w:t>合同一年一签</w:t>
      </w:r>
      <w:r>
        <w:rPr>
          <w:rFonts w:hint="eastAsia" w:ascii="宋体" w:hAnsi="宋体"/>
          <w:sz w:val="24"/>
          <w:szCs w:val="24"/>
          <w:lang w:eastAsia="zh-CN"/>
        </w:rPr>
        <w:t>，</w:t>
      </w:r>
      <w:r>
        <w:rPr>
          <w:rFonts w:hint="eastAsia" w:ascii="宋体" w:hAnsi="宋体"/>
          <w:sz w:val="24"/>
          <w:szCs w:val="24"/>
        </w:rPr>
        <w:t>合同期满，考核合格，可续签合同。</w:t>
      </w:r>
    </w:p>
    <w:p>
      <w:pPr>
        <w:spacing w:line="360" w:lineRule="auto"/>
        <w:ind w:firstLine="480" w:firstLineChars="200"/>
        <w:rPr>
          <w:rFonts w:ascii="宋体" w:hAnsi="宋体" w:cs="宋体"/>
          <w:bCs/>
          <w:sz w:val="24"/>
          <w:szCs w:val="24"/>
        </w:rPr>
      </w:pPr>
      <w:r>
        <w:rPr>
          <w:rFonts w:hint="eastAsia" w:ascii="宋体" w:hAnsi="宋体"/>
          <w:sz w:val="24"/>
          <w:szCs w:val="24"/>
        </w:rPr>
        <w:t>4、信息机房</w:t>
      </w:r>
      <w:r>
        <w:rPr>
          <w:rFonts w:ascii="宋体" w:hAnsi="宋体"/>
          <w:sz w:val="24"/>
          <w:szCs w:val="24"/>
        </w:rPr>
        <w:t>UPS</w:t>
      </w:r>
      <w:r>
        <w:rPr>
          <w:rFonts w:hint="eastAsia" w:ascii="宋体" w:hAnsi="宋体"/>
          <w:sz w:val="24"/>
          <w:szCs w:val="24"/>
        </w:rPr>
        <w:t>电源维保清单</w:t>
      </w:r>
    </w:p>
    <w:tbl>
      <w:tblPr>
        <w:tblStyle w:val="4"/>
        <w:tblpPr w:leftFromText="180" w:rightFromText="180" w:vertAnchor="text" w:horzAnchor="margin" w:tblpXSpec="center" w:tblpY="215"/>
        <w:tblOverlap w:val="never"/>
        <w:tblW w:w="83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2268"/>
        <w:gridCol w:w="1134"/>
        <w:gridCol w:w="992"/>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adjustRightInd w:val="0"/>
              <w:snapToGrid w:val="0"/>
              <w:spacing w:line="500" w:lineRule="exact"/>
              <w:jc w:val="center"/>
              <w:rPr>
                <w:rFonts w:ascii="宋体" w:hAnsi="宋体" w:cs="宋体"/>
                <w:b/>
                <w:bCs/>
                <w:sz w:val="24"/>
                <w:szCs w:val="24"/>
              </w:rPr>
            </w:pPr>
            <w:r>
              <w:rPr>
                <w:rFonts w:hint="eastAsia" w:ascii="宋体" w:hAnsi="宋体" w:cs="宋体"/>
                <w:b/>
                <w:bCs/>
                <w:sz w:val="24"/>
                <w:szCs w:val="24"/>
              </w:rPr>
              <w:t>序号</w:t>
            </w:r>
          </w:p>
        </w:tc>
        <w:tc>
          <w:tcPr>
            <w:tcW w:w="1559" w:type="dxa"/>
          </w:tcPr>
          <w:p>
            <w:pPr>
              <w:adjustRightInd w:val="0"/>
              <w:snapToGrid w:val="0"/>
              <w:spacing w:line="500" w:lineRule="exact"/>
              <w:jc w:val="center"/>
              <w:rPr>
                <w:rFonts w:ascii="宋体" w:hAnsi="宋体" w:cs="宋体"/>
                <w:b/>
                <w:bCs/>
                <w:sz w:val="24"/>
                <w:szCs w:val="24"/>
              </w:rPr>
            </w:pPr>
            <w:r>
              <w:rPr>
                <w:rFonts w:hint="eastAsia" w:ascii="宋体" w:hAnsi="宋体" w:cs="宋体"/>
                <w:b/>
                <w:bCs/>
                <w:sz w:val="24"/>
                <w:szCs w:val="24"/>
              </w:rPr>
              <w:t>品 名</w:t>
            </w:r>
          </w:p>
        </w:tc>
        <w:tc>
          <w:tcPr>
            <w:tcW w:w="2268" w:type="dxa"/>
          </w:tcPr>
          <w:p>
            <w:pPr>
              <w:adjustRightInd w:val="0"/>
              <w:snapToGrid w:val="0"/>
              <w:spacing w:line="500" w:lineRule="exact"/>
              <w:jc w:val="center"/>
              <w:rPr>
                <w:rFonts w:ascii="宋体" w:hAnsi="宋体" w:cs="宋体"/>
                <w:b/>
                <w:bCs/>
                <w:sz w:val="24"/>
                <w:szCs w:val="24"/>
              </w:rPr>
            </w:pPr>
            <w:r>
              <w:rPr>
                <w:rFonts w:hint="eastAsia" w:ascii="宋体" w:hAnsi="宋体" w:cs="宋体"/>
                <w:b/>
                <w:bCs/>
                <w:sz w:val="24"/>
                <w:szCs w:val="24"/>
              </w:rPr>
              <w:t>规格型号</w:t>
            </w:r>
          </w:p>
        </w:tc>
        <w:tc>
          <w:tcPr>
            <w:tcW w:w="1134" w:type="dxa"/>
          </w:tcPr>
          <w:p>
            <w:pPr>
              <w:adjustRightInd w:val="0"/>
              <w:snapToGrid w:val="0"/>
              <w:spacing w:line="500" w:lineRule="exact"/>
              <w:jc w:val="center"/>
              <w:rPr>
                <w:rFonts w:ascii="宋体" w:hAnsi="宋体" w:cs="宋体"/>
                <w:b/>
                <w:bCs/>
                <w:sz w:val="24"/>
                <w:szCs w:val="24"/>
              </w:rPr>
            </w:pPr>
            <w:r>
              <w:rPr>
                <w:rFonts w:hint="eastAsia" w:ascii="宋体" w:hAnsi="宋体" w:cs="宋体"/>
                <w:b/>
                <w:bCs/>
                <w:sz w:val="24"/>
                <w:szCs w:val="24"/>
              </w:rPr>
              <w:t>数量</w:t>
            </w:r>
          </w:p>
        </w:tc>
        <w:tc>
          <w:tcPr>
            <w:tcW w:w="992" w:type="dxa"/>
          </w:tcPr>
          <w:p>
            <w:pPr>
              <w:adjustRightInd w:val="0"/>
              <w:snapToGrid w:val="0"/>
              <w:spacing w:line="500" w:lineRule="exact"/>
              <w:jc w:val="center"/>
              <w:rPr>
                <w:rFonts w:ascii="宋体" w:hAnsi="宋体" w:cs="宋体"/>
                <w:b/>
                <w:bCs/>
                <w:sz w:val="24"/>
                <w:szCs w:val="24"/>
              </w:rPr>
            </w:pPr>
            <w:r>
              <w:rPr>
                <w:rFonts w:hint="eastAsia" w:ascii="宋体" w:hAnsi="宋体" w:cs="宋体"/>
                <w:b/>
                <w:bCs/>
                <w:sz w:val="24"/>
                <w:szCs w:val="24"/>
              </w:rPr>
              <w:t>单位</w:t>
            </w:r>
          </w:p>
        </w:tc>
        <w:tc>
          <w:tcPr>
            <w:tcW w:w="1536" w:type="dxa"/>
          </w:tcPr>
          <w:p>
            <w:pPr>
              <w:adjustRightInd w:val="0"/>
              <w:snapToGrid w:val="0"/>
              <w:spacing w:line="500" w:lineRule="exact"/>
              <w:jc w:val="center"/>
              <w:rPr>
                <w:rFonts w:ascii="宋体" w:hAnsi="宋体" w:cs="宋体"/>
                <w:b/>
                <w:bCs/>
                <w:sz w:val="24"/>
                <w:szCs w:val="24"/>
              </w:rPr>
            </w:pPr>
            <w:r>
              <w:rPr>
                <w:rFonts w:hint="eastAsia" w:ascii="宋体" w:hAnsi="宋体" w:cs="宋体"/>
                <w:b/>
                <w:bCs/>
                <w:sz w:val="24"/>
                <w:szCs w:val="24"/>
              </w:rPr>
              <w:t>维保时间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adjustRightInd w:val="0"/>
              <w:snapToGrid w:val="0"/>
              <w:spacing w:line="440" w:lineRule="exact"/>
              <w:contextualSpacing/>
              <w:jc w:val="center"/>
              <w:rPr>
                <w:rFonts w:ascii="宋体" w:hAnsi="宋体" w:cs="宋体"/>
                <w:sz w:val="24"/>
                <w:szCs w:val="24"/>
              </w:rPr>
            </w:pPr>
            <w:r>
              <w:rPr>
                <w:rFonts w:hint="eastAsia" w:ascii="宋体" w:hAnsi="宋体" w:cs="宋体"/>
                <w:sz w:val="24"/>
                <w:szCs w:val="24"/>
              </w:rPr>
              <w:t>1</w:t>
            </w:r>
          </w:p>
        </w:tc>
        <w:tc>
          <w:tcPr>
            <w:tcW w:w="1559" w:type="dxa"/>
          </w:tcPr>
          <w:p>
            <w:pPr>
              <w:adjustRightInd w:val="0"/>
              <w:snapToGrid w:val="0"/>
              <w:spacing w:line="440" w:lineRule="exact"/>
              <w:contextualSpacing/>
              <w:jc w:val="center"/>
              <w:rPr>
                <w:rFonts w:ascii="宋体" w:hAnsi="宋体" w:cs="宋体"/>
                <w:sz w:val="24"/>
                <w:szCs w:val="24"/>
              </w:rPr>
            </w:pPr>
            <w:r>
              <w:rPr>
                <w:rFonts w:hint="eastAsia" w:ascii="宋体" w:hAnsi="宋体"/>
                <w:bCs/>
                <w:sz w:val="24"/>
                <w:szCs w:val="24"/>
              </w:rPr>
              <w:t>施耐德UPS</w:t>
            </w:r>
          </w:p>
        </w:tc>
        <w:tc>
          <w:tcPr>
            <w:tcW w:w="2268" w:type="dxa"/>
          </w:tcPr>
          <w:p>
            <w:pPr>
              <w:adjustRightInd w:val="0"/>
              <w:snapToGrid w:val="0"/>
              <w:spacing w:line="440" w:lineRule="exact"/>
              <w:contextualSpacing/>
              <w:jc w:val="center"/>
              <w:rPr>
                <w:rFonts w:ascii="宋体" w:hAnsi="宋体"/>
                <w:bCs/>
                <w:sz w:val="24"/>
                <w:szCs w:val="24"/>
              </w:rPr>
            </w:pPr>
            <w:r>
              <w:rPr>
                <w:rFonts w:hint="eastAsia" w:ascii="宋体" w:hAnsi="宋体"/>
                <w:bCs/>
                <w:sz w:val="24"/>
                <w:szCs w:val="24"/>
              </w:rPr>
              <w:t>施耐德</w:t>
            </w:r>
            <w:r>
              <w:t xml:space="preserve"> </w:t>
            </w:r>
            <w:r>
              <w:rPr>
                <w:rFonts w:ascii="宋体" w:hAnsi="宋体"/>
                <w:bCs/>
                <w:sz w:val="24"/>
                <w:szCs w:val="24"/>
              </w:rPr>
              <w:t>SYCF48KH</w:t>
            </w:r>
          </w:p>
        </w:tc>
        <w:tc>
          <w:tcPr>
            <w:tcW w:w="1134" w:type="dxa"/>
          </w:tcPr>
          <w:p>
            <w:pPr>
              <w:adjustRightInd w:val="0"/>
              <w:snapToGrid w:val="0"/>
              <w:spacing w:line="440" w:lineRule="exact"/>
              <w:contextualSpacing/>
              <w:jc w:val="center"/>
              <w:rPr>
                <w:rFonts w:ascii="宋体" w:hAnsi="宋体" w:cs="宋体"/>
                <w:sz w:val="24"/>
                <w:szCs w:val="24"/>
              </w:rPr>
            </w:pPr>
            <w:r>
              <w:rPr>
                <w:rFonts w:hint="eastAsia" w:ascii="宋体" w:hAnsi="宋体" w:cs="宋体"/>
                <w:sz w:val="24"/>
                <w:szCs w:val="24"/>
              </w:rPr>
              <w:t>1</w:t>
            </w:r>
          </w:p>
        </w:tc>
        <w:tc>
          <w:tcPr>
            <w:tcW w:w="992" w:type="dxa"/>
          </w:tcPr>
          <w:p>
            <w:pPr>
              <w:adjustRightInd w:val="0"/>
              <w:snapToGrid w:val="0"/>
              <w:spacing w:line="440" w:lineRule="exact"/>
              <w:contextualSpacing/>
              <w:jc w:val="center"/>
              <w:rPr>
                <w:rFonts w:ascii="宋体" w:hAnsi="宋体" w:cs="宋体"/>
                <w:sz w:val="24"/>
                <w:szCs w:val="24"/>
              </w:rPr>
            </w:pPr>
            <w:r>
              <w:rPr>
                <w:rFonts w:hint="eastAsia" w:ascii="宋体" w:hAnsi="宋体" w:cs="宋体"/>
                <w:sz w:val="24"/>
                <w:szCs w:val="24"/>
              </w:rPr>
              <w:t>台</w:t>
            </w:r>
          </w:p>
        </w:tc>
        <w:tc>
          <w:tcPr>
            <w:tcW w:w="1536" w:type="dxa"/>
          </w:tcPr>
          <w:p>
            <w:pPr>
              <w:adjustRightInd w:val="0"/>
              <w:snapToGrid w:val="0"/>
              <w:spacing w:line="440" w:lineRule="exact"/>
              <w:contextualSpacing/>
              <w:jc w:val="center"/>
              <w:rPr>
                <w:rFonts w:ascii="宋体" w:hAnsi="宋体" w:cs="宋体"/>
                <w:sz w:val="24"/>
                <w:szCs w:val="24"/>
              </w:rPr>
            </w:pPr>
            <w:r>
              <w:rPr>
                <w:rFonts w:hint="eastAsia" w:ascii="宋体" w:hAnsi="宋体" w:cs="宋体"/>
                <w:sz w:val="24"/>
                <w:szCs w:val="24"/>
              </w:rPr>
              <w:t>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adjustRightInd w:val="0"/>
              <w:snapToGrid w:val="0"/>
              <w:spacing w:line="500" w:lineRule="exact"/>
              <w:jc w:val="center"/>
              <w:rPr>
                <w:rFonts w:ascii="宋体" w:hAnsi="宋体" w:cs="宋体"/>
                <w:sz w:val="24"/>
                <w:szCs w:val="24"/>
              </w:rPr>
            </w:pPr>
            <w:r>
              <w:rPr>
                <w:rFonts w:hint="eastAsia" w:ascii="宋体" w:hAnsi="宋体" w:cs="宋体"/>
                <w:sz w:val="24"/>
                <w:szCs w:val="24"/>
              </w:rPr>
              <w:t>2</w:t>
            </w:r>
          </w:p>
        </w:tc>
        <w:tc>
          <w:tcPr>
            <w:tcW w:w="1559" w:type="dxa"/>
          </w:tcPr>
          <w:p>
            <w:pPr>
              <w:adjustRightInd w:val="0"/>
              <w:snapToGrid w:val="0"/>
              <w:spacing w:line="500" w:lineRule="exact"/>
              <w:jc w:val="center"/>
              <w:rPr>
                <w:rFonts w:ascii="宋体" w:hAnsi="宋体" w:cs="宋体"/>
                <w:sz w:val="24"/>
                <w:szCs w:val="24"/>
              </w:rPr>
            </w:pPr>
            <w:r>
              <w:rPr>
                <w:rFonts w:hint="eastAsia" w:ascii="宋体" w:hAnsi="宋体"/>
                <w:bCs/>
                <w:sz w:val="24"/>
                <w:szCs w:val="24"/>
              </w:rPr>
              <w:t>艾默生UPS</w:t>
            </w:r>
          </w:p>
        </w:tc>
        <w:tc>
          <w:tcPr>
            <w:tcW w:w="2268" w:type="dxa"/>
          </w:tcPr>
          <w:p>
            <w:pPr>
              <w:adjustRightInd w:val="0"/>
              <w:snapToGrid w:val="0"/>
              <w:spacing w:line="500" w:lineRule="exact"/>
              <w:jc w:val="center"/>
              <w:rPr>
                <w:rFonts w:ascii="宋体" w:hAnsi="宋体" w:cs="宋体"/>
                <w:sz w:val="24"/>
                <w:szCs w:val="24"/>
              </w:rPr>
            </w:pPr>
            <w:r>
              <w:rPr>
                <w:rFonts w:hint="eastAsia" w:ascii="宋体" w:hAnsi="宋体"/>
                <w:bCs/>
                <w:sz w:val="24"/>
                <w:szCs w:val="24"/>
              </w:rPr>
              <w:t>艾默生APM150</w:t>
            </w:r>
          </w:p>
        </w:tc>
        <w:tc>
          <w:tcPr>
            <w:tcW w:w="1134" w:type="dxa"/>
          </w:tcPr>
          <w:p>
            <w:pPr>
              <w:adjustRightInd w:val="0"/>
              <w:snapToGrid w:val="0"/>
              <w:spacing w:line="500" w:lineRule="exact"/>
              <w:jc w:val="center"/>
              <w:rPr>
                <w:rFonts w:ascii="宋体" w:hAnsi="宋体" w:cs="宋体"/>
                <w:sz w:val="24"/>
                <w:szCs w:val="24"/>
              </w:rPr>
            </w:pPr>
            <w:r>
              <w:rPr>
                <w:rFonts w:hint="eastAsia" w:ascii="宋体" w:hAnsi="宋体" w:cs="宋体"/>
                <w:sz w:val="24"/>
                <w:szCs w:val="24"/>
              </w:rPr>
              <w:t>1</w:t>
            </w:r>
          </w:p>
        </w:tc>
        <w:tc>
          <w:tcPr>
            <w:tcW w:w="992" w:type="dxa"/>
          </w:tcPr>
          <w:p>
            <w:pPr>
              <w:adjustRightInd w:val="0"/>
              <w:snapToGrid w:val="0"/>
              <w:spacing w:line="500" w:lineRule="exact"/>
              <w:jc w:val="center"/>
              <w:rPr>
                <w:rFonts w:ascii="宋体" w:hAnsi="宋体" w:cs="宋体"/>
                <w:sz w:val="24"/>
                <w:szCs w:val="24"/>
              </w:rPr>
            </w:pPr>
            <w:r>
              <w:rPr>
                <w:rFonts w:hint="eastAsia" w:ascii="宋体" w:hAnsi="宋体" w:cs="宋体"/>
                <w:sz w:val="24"/>
                <w:szCs w:val="24"/>
              </w:rPr>
              <w:t>台</w:t>
            </w:r>
          </w:p>
        </w:tc>
        <w:tc>
          <w:tcPr>
            <w:tcW w:w="1536" w:type="dxa"/>
          </w:tcPr>
          <w:p>
            <w:pPr>
              <w:adjustRightInd w:val="0"/>
              <w:snapToGrid w:val="0"/>
              <w:spacing w:line="500" w:lineRule="exact"/>
              <w:jc w:val="center"/>
              <w:rPr>
                <w:rFonts w:ascii="宋体" w:hAnsi="宋体" w:cs="宋体"/>
                <w:sz w:val="24"/>
                <w:szCs w:val="24"/>
              </w:rPr>
            </w:pPr>
            <w:r>
              <w:rPr>
                <w:rFonts w:hint="eastAsia" w:ascii="宋体" w:hAnsi="宋体" w:cs="宋体"/>
                <w:sz w:val="24"/>
                <w:szCs w:val="24"/>
              </w:rPr>
              <w:t>三年</w:t>
            </w:r>
          </w:p>
        </w:tc>
      </w:tr>
    </w:tbl>
    <w:p>
      <w:pPr>
        <w:pStyle w:val="2"/>
        <w:ind w:left="0" w:leftChars="0"/>
        <w:rPr>
          <w:rFonts w:ascii="宋体" w:hAnsi="宋体"/>
          <w:sz w:val="24"/>
          <w:szCs w:val="24"/>
        </w:rPr>
      </w:pPr>
    </w:p>
    <w:p>
      <w:pPr>
        <w:pStyle w:val="3"/>
        <w:ind w:left="0" w:leftChars="0" w:firstLine="0" w:firstLineChars="0"/>
        <w:rPr>
          <w:rFonts w:ascii="宋体" w:hAnsi="宋体"/>
          <w:b/>
          <w:bCs/>
          <w:color w:val="000000"/>
          <w:sz w:val="24"/>
          <w:szCs w:val="24"/>
        </w:rPr>
      </w:pPr>
      <w:r>
        <w:rPr>
          <w:rFonts w:hint="eastAsia" w:ascii="宋体" w:hAnsi="宋体"/>
          <w:b/>
          <w:bCs/>
          <w:color w:val="000000"/>
          <w:sz w:val="24"/>
          <w:szCs w:val="24"/>
        </w:rPr>
        <w:t>二、维保要求</w:t>
      </w:r>
    </w:p>
    <w:p>
      <w:pPr>
        <w:spacing w:line="360" w:lineRule="auto"/>
        <w:rPr>
          <w:rFonts w:ascii="宋体" w:hAnsi="宋体" w:cs="宋体"/>
          <w:b/>
          <w:color w:val="000000"/>
          <w:sz w:val="24"/>
          <w:szCs w:val="24"/>
        </w:rPr>
      </w:pPr>
      <w:r>
        <w:rPr>
          <w:rFonts w:hint="eastAsia" w:ascii="宋体" w:hAnsi="宋体" w:cs="宋体"/>
          <w:b/>
          <w:color w:val="000000"/>
          <w:sz w:val="24"/>
          <w:szCs w:val="24"/>
        </w:rPr>
        <w:t>1、要求</w:t>
      </w:r>
      <w:r>
        <w:rPr>
          <w:rFonts w:ascii="宋体" w:hAnsi="宋体" w:cs="宋体"/>
          <w:b/>
          <w:color w:val="000000"/>
          <w:sz w:val="24"/>
          <w:szCs w:val="24"/>
        </w:rPr>
        <w:t>UPS</w:t>
      </w:r>
      <w:r>
        <w:rPr>
          <w:rFonts w:hint="eastAsia" w:ascii="宋体" w:hAnsi="宋体" w:cs="宋体"/>
          <w:b/>
          <w:color w:val="000000"/>
          <w:sz w:val="24"/>
          <w:szCs w:val="24"/>
        </w:rPr>
        <w:t>设备的原厂工程师提供包含全部原厂维修备件(电池包除外)的续保</w:t>
      </w:r>
      <w:bookmarkStart w:id="1" w:name="_GoBack"/>
      <w:bookmarkEnd w:id="1"/>
      <w:r>
        <w:rPr>
          <w:rFonts w:hint="eastAsia" w:ascii="宋体" w:hAnsi="宋体" w:cs="宋体"/>
          <w:b/>
          <w:color w:val="000000"/>
          <w:sz w:val="24"/>
          <w:szCs w:val="24"/>
        </w:rPr>
        <w:t>服务，服务内容如下：</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每年提供一次UPS现场的预防性维护，并提供包含交直流电容、风扇等元器件在内的免费维修或更换。预防性维护具体内容如下：</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要求检查设备的外部状态有无异常，如：熔丝、电容、风扇等。</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要求检查设备交直流电缆的连接是否可靠。</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要求测量设备的工作状态，测试的内容包含：整流器、逆变器、静态旁路、逻辑控制回路、散热模块、功率元器件、输入输出电容、显示面板、市电（含柴油发电机）供电和电池逆变供电的切换。</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要求检查、重新调整预设参数（如需要）并纠正发现的任何缺陷。</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出具原厂维保检测维护报告。</w:t>
      </w:r>
    </w:p>
    <w:p>
      <w:pPr>
        <w:spacing w:line="360" w:lineRule="auto"/>
        <w:rPr>
          <w:rFonts w:ascii="宋体" w:hAnsi="宋体" w:cs="宋体"/>
          <w:b/>
          <w:color w:val="000000"/>
          <w:sz w:val="24"/>
          <w:szCs w:val="24"/>
        </w:rPr>
      </w:pPr>
      <w:r>
        <w:rPr>
          <w:rFonts w:hint="eastAsia" w:ascii="宋体" w:hAnsi="宋体" w:cs="宋体"/>
          <w:b/>
          <w:color w:val="000000"/>
          <w:sz w:val="24"/>
          <w:szCs w:val="24"/>
        </w:rPr>
        <w:t>2、要求提供一年四次（每季度一次）的配套电池组充放电维护检测服务，具体要求如下：</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要求观察电池表面有无膨胀和渗漏，检查每节电池连接点接触情况，开关及连接线的老化情况，发现铜绿锈蚀现象，及时去除表面锈蚀铜绿，再用凡士林涂抹形成保护膜，隔绝与潮湿空气的接触；</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要求对每节电池进行逐个测量，通过充放电试验，测量每节电池的浮充电压、间断放电电压、电池内阻、放电电流等，察看电池容量劣化情况，对劣化的电池进行激活修复，维修无效更换。对更换后的电池组进行整组电池的三次大充大放，以确保整组电池内阻基本一致。</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要求对UPS系统作一次调试测试工作，以防因负载的变化而导致的潜伏危机，内容包括：在线放电倒切调试。人为模拟市电断电倒切调试，包含切换手动旁路工作是否正常。</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要求进行人工干预放电，每半小时测量一次单节电池端电压，核检电池容量；</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要求根据电池放电数据，绘制整组电池放电曲线，直观反映电池容量均衡性；</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要求提供电池组充放电维护测试报告1份和大充大放测试报告1份，报告内容包含：电池充放电时，逐节电池的端电压、内阻、温度数据，提供电池均衡性图表。</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要求提供日常使用和维护中的建议性意见。</w:t>
      </w:r>
    </w:p>
    <w:p>
      <w:pPr>
        <w:spacing w:line="360" w:lineRule="auto"/>
        <w:rPr>
          <w:rFonts w:ascii="宋体" w:hAnsi="宋体" w:cs="宋体"/>
          <w:b/>
          <w:color w:val="000000"/>
          <w:sz w:val="24"/>
          <w:szCs w:val="24"/>
        </w:rPr>
      </w:pPr>
      <w:r>
        <w:rPr>
          <w:rFonts w:hint="eastAsia" w:ascii="宋体" w:hAnsi="宋体" w:cs="宋体"/>
          <w:b/>
          <w:color w:val="000000"/>
          <w:sz w:val="24"/>
          <w:szCs w:val="24"/>
        </w:rPr>
        <w:t>3、每年除尘一次。</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投标人应对东西区电源系统（包含电池组在内）每年做一次除尘服务。</w:t>
      </w:r>
    </w:p>
    <w:p>
      <w:pPr>
        <w:spacing w:line="360" w:lineRule="auto"/>
        <w:rPr>
          <w:rFonts w:ascii="宋体" w:hAnsi="宋体" w:cs="宋体"/>
          <w:b/>
          <w:color w:val="000000"/>
          <w:sz w:val="24"/>
          <w:szCs w:val="24"/>
        </w:rPr>
      </w:pPr>
      <w:r>
        <w:rPr>
          <w:rFonts w:ascii="宋体" w:hAnsi="宋体" w:cs="宋体"/>
          <w:b/>
          <w:color w:val="000000"/>
          <w:sz w:val="24"/>
          <w:szCs w:val="24"/>
        </w:rPr>
        <w:t>4</w:t>
      </w:r>
      <w:r>
        <w:rPr>
          <w:rFonts w:hint="eastAsia" w:ascii="宋体" w:hAnsi="宋体" w:cs="宋体"/>
          <w:b/>
          <w:color w:val="000000"/>
          <w:sz w:val="24"/>
          <w:szCs w:val="24"/>
        </w:rPr>
        <w:t>、技术服务</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供应商</w:t>
      </w:r>
      <w:r>
        <w:rPr>
          <w:rFonts w:hint="eastAsia" w:ascii="宋体" w:hAnsi="宋体" w:cs="宋体"/>
          <w:color w:val="000000"/>
          <w:sz w:val="24"/>
          <w:szCs w:val="24"/>
        </w:rPr>
        <w:t>应说明在扬州的工程技术维护队伍人员情况、机构情况和服务模式。</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供应商</w:t>
      </w:r>
      <w:r>
        <w:rPr>
          <w:rFonts w:hint="eastAsia" w:ascii="宋体" w:hAnsi="宋体" w:cs="宋体"/>
          <w:color w:val="000000"/>
          <w:sz w:val="24"/>
          <w:szCs w:val="24"/>
        </w:rPr>
        <w:t>应对其在扬州的售后服务、技术支持方面的情况作出说明。在中国有无技术支持中心，地点设在何处，能否提供7x24小时技术服务。</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供应商</w:t>
      </w:r>
      <w:r>
        <w:rPr>
          <w:rFonts w:hint="eastAsia" w:ascii="宋体" w:hAnsi="宋体" w:cs="宋体"/>
          <w:color w:val="000000"/>
          <w:sz w:val="24"/>
          <w:szCs w:val="24"/>
        </w:rPr>
        <w:t>应说明在中国境内是否建立有远程联机监视/诊断服务中心。</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在设备发生严重故障的情况下，</w:t>
      </w:r>
      <w:r>
        <w:rPr>
          <w:rFonts w:hint="eastAsia" w:ascii="宋体" w:hAnsi="宋体" w:cs="宋体"/>
          <w:color w:val="000000"/>
          <w:sz w:val="24"/>
          <w:szCs w:val="24"/>
          <w:lang w:val="en-US" w:eastAsia="zh-CN"/>
        </w:rPr>
        <w:t>供应商</w:t>
      </w:r>
      <w:r>
        <w:rPr>
          <w:rFonts w:hint="eastAsia" w:ascii="宋体" w:hAnsi="宋体" w:cs="宋体"/>
          <w:color w:val="000000"/>
          <w:sz w:val="24"/>
          <w:szCs w:val="24"/>
        </w:rPr>
        <w:t xml:space="preserve">承诺用同等规格型号设备替换故障设备及替换时间。                                                     </w:t>
      </w:r>
    </w:p>
    <w:p>
      <w:pPr>
        <w:pStyle w:val="8"/>
        <w:spacing w:line="360" w:lineRule="auto"/>
        <w:ind w:firstLine="0" w:firstLineChars="0"/>
        <w:outlineLvl w:val="1"/>
        <w:rPr>
          <w:rFonts w:ascii="宋体" w:hAnsi="宋体" w:eastAsia="宋体" w:cs="宋体"/>
          <w:b/>
          <w:color w:val="000000"/>
          <w:kern w:val="2"/>
          <w:sz w:val="24"/>
          <w:szCs w:val="24"/>
        </w:rPr>
      </w:pPr>
      <w:bookmarkStart w:id="0" w:name="_Toc23968"/>
      <w:r>
        <w:rPr>
          <w:rFonts w:hint="eastAsia" w:ascii="宋体" w:hAnsi="宋体" w:eastAsia="宋体" w:cs="宋体"/>
          <w:b/>
          <w:color w:val="000000"/>
          <w:kern w:val="2"/>
          <w:sz w:val="24"/>
          <w:szCs w:val="24"/>
        </w:rPr>
        <w:t>4、服务总体要求</w:t>
      </w:r>
      <w:bookmarkEnd w:id="0"/>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在不影响系统的正常使用情况下，安排专业的技术工程师，每季一次在现场巡检设备运行情况，如发现问题，及时解决。巡检服务包括设备硬件检查、软件检查和环境检查三方面内容。在巡检过程中发现现场故障免费处理，故障修复响应时间为48小时内。</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按对具有有限寿命的元器件更换周期要求周期性更换，保障设备正常运行。</w:t>
      </w:r>
    </w:p>
    <w:p>
      <w:pPr>
        <w:spacing w:line="360" w:lineRule="auto"/>
        <w:ind w:firstLine="482" w:firstLineChars="200"/>
        <w:rPr>
          <w:rFonts w:ascii="宋体" w:hAnsi="宋体" w:cs="宋体"/>
          <w:color w:val="000000"/>
          <w:sz w:val="24"/>
          <w:szCs w:val="24"/>
        </w:rPr>
      </w:pPr>
      <w:r>
        <w:rPr>
          <w:rFonts w:hint="eastAsia" w:ascii="宋体" w:hAnsi="宋体" w:cs="宋体"/>
          <w:b/>
          <w:bCs/>
          <w:color w:val="000000"/>
          <w:sz w:val="24"/>
          <w:szCs w:val="24"/>
        </w:rPr>
        <w:t>日常巡检</w:t>
      </w:r>
      <w:r>
        <w:rPr>
          <w:rFonts w:hint="eastAsia" w:ascii="宋体" w:hAnsi="宋体" w:cs="宋体"/>
          <w:color w:val="000000"/>
          <w:sz w:val="24"/>
          <w:szCs w:val="24"/>
        </w:rPr>
        <w:t>：每季度安排专业工程师每季对东西区信息机房电源设备进行现场巡检，并做好相关维护维修记录。</w:t>
      </w:r>
    </w:p>
    <w:p>
      <w:pPr>
        <w:spacing w:line="360" w:lineRule="auto"/>
        <w:ind w:firstLine="482" w:firstLineChars="200"/>
        <w:rPr>
          <w:rFonts w:ascii="宋体" w:hAnsi="宋体" w:cs="宋体"/>
          <w:color w:val="000000"/>
          <w:sz w:val="24"/>
          <w:szCs w:val="24"/>
        </w:rPr>
      </w:pPr>
      <w:r>
        <w:rPr>
          <w:rFonts w:hint="eastAsia" w:ascii="宋体" w:hAnsi="宋体" w:cs="宋体"/>
          <w:b/>
          <w:bCs/>
          <w:color w:val="000000"/>
          <w:sz w:val="24"/>
          <w:szCs w:val="24"/>
        </w:rPr>
        <w:t>硬件故障修复</w:t>
      </w:r>
      <w:r>
        <w:rPr>
          <w:rFonts w:hint="eastAsia" w:ascii="宋体" w:hAnsi="宋体" w:cs="宋体"/>
          <w:color w:val="000000"/>
          <w:sz w:val="24"/>
          <w:szCs w:val="24"/>
        </w:rPr>
        <w:t>：在保证系统正常运行的前提下，若发现部分设备存在故障隐患，应及时检查出问题，并告知业主，提前做好更换准备,在更换过程中，配合业主相应的供应商进行工作，参与调试验收。</w:t>
      </w:r>
    </w:p>
    <w:p>
      <w:pPr>
        <w:spacing w:line="360" w:lineRule="auto"/>
        <w:ind w:firstLine="482" w:firstLineChars="200"/>
        <w:rPr>
          <w:rFonts w:ascii="宋体" w:hAnsi="宋体" w:cs="宋体"/>
          <w:color w:val="000000"/>
          <w:sz w:val="24"/>
          <w:szCs w:val="24"/>
        </w:rPr>
      </w:pPr>
      <w:r>
        <w:rPr>
          <w:rFonts w:hint="eastAsia" w:ascii="宋体" w:hAnsi="宋体" w:cs="宋体"/>
          <w:b/>
          <w:bCs/>
          <w:color w:val="000000"/>
          <w:sz w:val="24"/>
          <w:szCs w:val="24"/>
        </w:rPr>
        <w:t>提交服务档案</w:t>
      </w:r>
      <w:r>
        <w:rPr>
          <w:rFonts w:hint="eastAsia" w:ascii="宋体" w:hAnsi="宋体" w:cs="宋体"/>
          <w:color w:val="000000"/>
          <w:sz w:val="24"/>
          <w:szCs w:val="24"/>
        </w:rPr>
        <w:t>：每次巡检填写巡检报告，记录设备运行情况，设备的配置变动情况，分析设备存在的问题及解决的办法；在每次故障处理服务时，记录故障现象、处理过程和使用备件的情况。</w:t>
      </w:r>
    </w:p>
    <w:p>
      <w:pPr>
        <w:spacing w:line="360" w:lineRule="auto"/>
        <w:ind w:firstLine="482" w:firstLineChars="200"/>
        <w:rPr>
          <w:rFonts w:ascii="宋体" w:hAnsi="宋体" w:cs="宋体"/>
          <w:color w:val="000000"/>
          <w:sz w:val="24"/>
          <w:szCs w:val="24"/>
        </w:rPr>
      </w:pPr>
      <w:r>
        <w:rPr>
          <w:rFonts w:hint="eastAsia" w:ascii="宋体" w:hAnsi="宋体" w:cs="宋体"/>
          <w:b/>
          <w:bCs/>
          <w:color w:val="000000"/>
          <w:sz w:val="24"/>
          <w:szCs w:val="24"/>
        </w:rPr>
        <w:t>特殊服务支持</w:t>
      </w:r>
      <w:r>
        <w:rPr>
          <w:rFonts w:hint="eastAsia" w:ascii="宋体" w:hAnsi="宋体" w:cs="宋体"/>
          <w:color w:val="000000"/>
          <w:sz w:val="24"/>
          <w:szCs w:val="24"/>
        </w:rPr>
        <w:t>：高温、极端天气、特殊保障期间、重大节假日等应响应业主要求，安排专业人员排班值守。</w:t>
      </w:r>
    </w:p>
    <w:p>
      <w:pPr>
        <w:spacing w:line="360" w:lineRule="auto"/>
        <w:rPr>
          <w:rFonts w:ascii="宋体" w:hAnsi="宋体" w:cs="宋体"/>
          <w:sz w:val="24"/>
          <w:szCs w:val="24"/>
        </w:rPr>
      </w:pP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b/>
          <w:bCs/>
          <w:sz w:val="24"/>
          <w:szCs w:val="24"/>
        </w:rPr>
        <w:t>响应速度</w:t>
      </w:r>
      <w:r>
        <w:rPr>
          <w:rFonts w:hint="eastAsia" w:ascii="宋体" w:hAnsi="宋体" w:cs="宋体"/>
          <w:sz w:val="24"/>
          <w:szCs w:val="24"/>
        </w:rPr>
        <w:t>：故障原则划分为三个等级，特急故障，中标商维护人员</w:t>
      </w:r>
      <w:r>
        <w:rPr>
          <w:rFonts w:ascii="宋体" w:hAnsi="宋体" w:cs="宋体"/>
          <w:sz w:val="24"/>
          <w:szCs w:val="24"/>
        </w:rPr>
        <w:t>1</w:t>
      </w:r>
      <w:r>
        <w:rPr>
          <w:rFonts w:hint="eastAsia" w:ascii="宋体" w:hAnsi="宋体" w:cs="宋体"/>
          <w:sz w:val="24"/>
          <w:szCs w:val="24"/>
        </w:rPr>
        <w:t>小时内赶到现场；紧急故障，乙方在</w:t>
      </w:r>
      <w:r>
        <w:rPr>
          <w:rFonts w:ascii="宋体" w:hAnsi="宋体" w:cs="宋体"/>
          <w:sz w:val="24"/>
          <w:szCs w:val="24"/>
        </w:rPr>
        <w:t>2</w:t>
      </w:r>
      <w:r>
        <w:rPr>
          <w:rFonts w:hint="eastAsia" w:ascii="宋体" w:hAnsi="宋体" w:cs="宋体"/>
          <w:sz w:val="24"/>
          <w:szCs w:val="24"/>
        </w:rPr>
        <w:t>小时内赶到现场。一般故障，由甲方和乙方维护人员协商确定，原则上不超过</w:t>
      </w:r>
      <w:r>
        <w:rPr>
          <w:rFonts w:ascii="宋体" w:hAnsi="宋体" w:cs="宋体"/>
          <w:sz w:val="24"/>
          <w:szCs w:val="24"/>
        </w:rPr>
        <w:t>6</w:t>
      </w:r>
      <w:r>
        <w:rPr>
          <w:rFonts w:hint="eastAsia" w:ascii="宋体" w:hAnsi="宋体" w:cs="宋体"/>
          <w:sz w:val="24"/>
          <w:szCs w:val="24"/>
        </w:rPr>
        <w:t>小时。</w:t>
      </w:r>
    </w:p>
    <w:p>
      <w:pPr>
        <w:spacing w:line="360" w:lineRule="auto"/>
        <w:ind w:firstLine="480" w:firstLineChars="200"/>
        <w:rPr>
          <w:rFonts w:ascii="宋体" w:hAnsi="宋体" w:cs="宋体"/>
          <w:color w:val="000000"/>
          <w:sz w:val="24"/>
          <w:szCs w:val="24"/>
        </w:rPr>
      </w:pPr>
      <w:r>
        <w:rPr>
          <w:rFonts w:hint="eastAsia" w:ascii="宋体" w:hAnsi="宋体" w:cs="宋体"/>
          <w:bCs/>
          <w:sz w:val="24"/>
          <w:szCs w:val="24"/>
        </w:rPr>
        <w:t>每次服务结束，要求提供：不间断电源系统巡查检测报告1份，要求有用户确认签字。电池组充放电维护报告1份，要求有用户确认签字。对需要三次大充大放测试的电池组提供大充大放测试报告1份，要求有用户确认签字。</w:t>
      </w:r>
    </w:p>
    <w:p>
      <w:pPr>
        <w:spacing w:line="360" w:lineRule="auto"/>
        <w:ind w:firstLine="482" w:firstLineChars="200"/>
        <w:rPr>
          <w:rFonts w:ascii="宋体" w:hAnsi="宋体" w:cs="宋体"/>
          <w:color w:val="000000"/>
          <w:sz w:val="24"/>
          <w:szCs w:val="24"/>
        </w:rPr>
      </w:pPr>
      <w:r>
        <w:rPr>
          <w:rFonts w:ascii="宋体" w:hAnsi="宋体" w:cs="宋体"/>
          <w:b/>
          <w:sz w:val="24"/>
          <w:szCs w:val="24"/>
        </w:rPr>
        <w:t>5</w:t>
      </w:r>
      <w:r>
        <w:rPr>
          <w:rFonts w:hint="eastAsia" w:ascii="宋体" w:hAnsi="宋体" w:cs="宋体"/>
          <w:b/>
          <w:sz w:val="24"/>
          <w:szCs w:val="24"/>
        </w:rPr>
        <w:t>、维保期：</w:t>
      </w:r>
      <w:r>
        <w:rPr>
          <w:rFonts w:hint="eastAsia" w:ascii="宋体" w:hAnsi="宋体" w:cs="宋体"/>
          <w:bCs/>
          <w:sz w:val="24"/>
          <w:szCs w:val="24"/>
        </w:rPr>
        <w:t>叁年。合同期满，考核达到90分以上，可续签合同，合同一年一签。如3年内维护质量和响应时限不符合合同要求，院方可以提前解除合同。</w:t>
      </w:r>
    </w:p>
    <w:p>
      <w:pPr>
        <w:spacing w:line="360" w:lineRule="auto"/>
        <w:ind w:firstLine="480" w:firstLineChars="200"/>
        <w:rPr>
          <w:rFonts w:ascii="宋体" w:hAnsi="宋体" w:cs="宋体"/>
          <w:color w:val="000000"/>
          <w:sz w:val="24"/>
          <w:szCs w:val="24"/>
        </w:rPr>
      </w:pPr>
      <w:r>
        <w:rPr>
          <w:rFonts w:ascii="宋体" w:hAnsi="宋体" w:cs="宋体"/>
          <w:bCs/>
          <w:sz w:val="24"/>
          <w:szCs w:val="24"/>
        </w:rPr>
        <w:t>6</w:t>
      </w:r>
      <w:r>
        <w:rPr>
          <w:rFonts w:hint="eastAsia" w:ascii="宋体" w:hAnsi="宋体" w:cs="宋体"/>
          <w:bCs/>
          <w:sz w:val="24"/>
          <w:szCs w:val="24"/>
        </w:rPr>
        <w:t>、维保方对所保养的UPS电源提供7*24小时维保服务，提供两个以上UPS电源报修电话。维保方保证按投标文本中售后服务应答表中的承诺提供相应维保服务。当UPS电源在正常使用中发生故障时，院方应立即通知维保方，维保方应在接通知后1小时内派员到达现场进行处理，一般故障</w:t>
      </w:r>
      <w:r>
        <w:rPr>
          <w:rFonts w:ascii="宋体" w:hAnsi="宋体" w:cs="宋体"/>
          <w:bCs/>
          <w:sz w:val="24"/>
          <w:szCs w:val="24"/>
        </w:rPr>
        <w:t>2</w:t>
      </w:r>
      <w:r>
        <w:rPr>
          <w:rFonts w:hint="eastAsia" w:ascii="宋体" w:hAnsi="宋体" w:cs="宋体"/>
          <w:bCs/>
          <w:sz w:val="24"/>
          <w:szCs w:val="24"/>
        </w:rPr>
        <w:t>小时内给予修复，重大故障修复时间不得超过4</w:t>
      </w:r>
      <w:r>
        <w:rPr>
          <w:rFonts w:ascii="宋体" w:hAnsi="宋体" w:cs="宋体"/>
          <w:bCs/>
          <w:sz w:val="24"/>
          <w:szCs w:val="24"/>
        </w:rPr>
        <w:t>8</w:t>
      </w:r>
      <w:r>
        <w:rPr>
          <w:rFonts w:hint="eastAsia" w:ascii="宋体" w:hAnsi="宋体" w:cs="宋体"/>
          <w:bCs/>
          <w:sz w:val="24"/>
          <w:szCs w:val="24"/>
        </w:rPr>
        <w:t>小时，直至UPS电源正常运行为止。否则院方有权视情况收取维保方每次200-500元的罚款。维保期内超过三（含）次以上不能及时修复的，院方按照合同价款的10%向维保方收取违约金进行处罚，并可以提前终止合同。因合同终止造成的一切损失由维保方承担。</w:t>
      </w:r>
    </w:p>
    <w:p>
      <w:pPr>
        <w:spacing w:line="360" w:lineRule="auto"/>
        <w:ind w:firstLine="480" w:firstLineChars="200"/>
        <w:rPr>
          <w:rFonts w:ascii="宋体" w:hAnsi="宋体" w:cs="宋体"/>
          <w:color w:val="000000"/>
          <w:sz w:val="24"/>
          <w:szCs w:val="24"/>
        </w:rPr>
      </w:pPr>
      <w:r>
        <w:rPr>
          <w:rFonts w:ascii="宋体" w:hAnsi="宋体" w:cs="宋体"/>
          <w:color w:val="000000"/>
          <w:sz w:val="24"/>
          <w:szCs w:val="24"/>
        </w:rPr>
        <w:t>7</w:t>
      </w:r>
      <w:r>
        <w:rPr>
          <w:rFonts w:hint="eastAsia" w:ascii="宋体" w:hAnsi="宋体" w:cs="宋体"/>
          <w:bCs/>
          <w:sz w:val="24"/>
          <w:szCs w:val="24"/>
        </w:rPr>
        <w:t>、维保方必须设立UPS配件更换台账，每月进行更新并按时上报院方，未按时更新上报则按100元/次予以罚款；所更换的配件必须保证为原厂生产正品，不得以次充好、以旧代新，若发现类似情况院方有权视情节收取维保方300-500元/次不等的罚款。维保期内超过 三（含）次以上违反合同规定的，院方有权提前终止合作协议，同时维保方需赔偿院方所有损失并惩罚金额500元/每次。</w:t>
      </w:r>
    </w:p>
    <w:p>
      <w:pPr>
        <w:spacing w:line="360" w:lineRule="auto"/>
        <w:ind w:firstLine="480" w:firstLineChars="200"/>
        <w:rPr>
          <w:rFonts w:ascii="宋体" w:hAnsi="宋体" w:cs="宋体"/>
          <w:bCs/>
          <w:sz w:val="24"/>
          <w:szCs w:val="24"/>
        </w:rPr>
      </w:pPr>
      <w:r>
        <w:rPr>
          <w:rFonts w:hint="eastAsia" w:ascii="宋体" w:hAnsi="宋体" w:cs="宋体"/>
          <w:color w:val="000000"/>
          <w:sz w:val="24"/>
          <w:szCs w:val="24"/>
        </w:rPr>
        <w:t>8</w:t>
      </w:r>
      <w:r>
        <w:rPr>
          <w:rFonts w:hint="eastAsia" w:ascii="宋体" w:hAnsi="宋体" w:cs="宋体"/>
          <w:bCs/>
          <w:sz w:val="24"/>
          <w:szCs w:val="24"/>
        </w:rPr>
        <w:t>、维保方为院方提供免费的现场培训，并对维保设备做好维保手册和操作手册。</w:t>
      </w:r>
    </w:p>
    <w:p>
      <w:pPr>
        <w:pStyle w:val="2"/>
        <w:ind w:left="0" w:leftChars="0"/>
        <w:rPr>
          <w:rFonts w:hint="eastAsia"/>
        </w:rPr>
      </w:pP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altName w:val="微软雅黑"/>
    <w:panose1 w:val="020B0604020202020204"/>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hkMTAyMWIwNGM3MTY4YzI1ODQ1YzE1MTBmYmRlNDgifQ=="/>
  </w:docVars>
  <w:rsids>
    <w:rsidRoot w:val="001A7ECD"/>
    <w:rsid w:val="000501F3"/>
    <w:rsid w:val="00101D64"/>
    <w:rsid w:val="00115B2E"/>
    <w:rsid w:val="001442B3"/>
    <w:rsid w:val="001A158D"/>
    <w:rsid w:val="001A7ECD"/>
    <w:rsid w:val="00200C16"/>
    <w:rsid w:val="00234772"/>
    <w:rsid w:val="00247FBB"/>
    <w:rsid w:val="00281944"/>
    <w:rsid w:val="002A1E9B"/>
    <w:rsid w:val="002A7BB8"/>
    <w:rsid w:val="002B62D1"/>
    <w:rsid w:val="002C6F93"/>
    <w:rsid w:val="00310908"/>
    <w:rsid w:val="0033345D"/>
    <w:rsid w:val="003A3B15"/>
    <w:rsid w:val="004A66D5"/>
    <w:rsid w:val="004D374C"/>
    <w:rsid w:val="0050118A"/>
    <w:rsid w:val="00511517"/>
    <w:rsid w:val="005272E9"/>
    <w:rsid w:val="00537EF6"/>
    <w:rsid w:val="00570FAC"/>
    <w:rsid w:val="005730DF"/>
    <w:rsid w:val="005C4A20"/>
    <w:rsid w:val="00640875"/>
    <w:rsid w:val="00720BFC"/>
    <w:rsid w:val="00764A98"/>
    <w:rsid w:val="007B31A4"/>
    <w:rsid w:val="007B3455"/>
    <w:rsid w:val="007B34AE"/>
    <w:rsid w:val="007E31BB"/>
    <w:rsid w:val="008B13B8"/>
    <w:rsid w:val="00917AAB"/>
    <w:rsid w:val="0097643C"/>
    <w:rsid w:val="00983508"/>
    <w:rsid w:val="009B1CF6"/>
    <w:rsid w:val="009D1055"/>
    <w:rsid w:val="009E4D6A"/>
    <w:rsid w:val="00A44788"/>
    <w:rsid w:val="00A628B2"/>
    <w:rsid w:val="00AC5C54"/>
    <w:rsid w:val="00B10EDF"/>
    <w:rsid w:val="00B814EE"/>
    <w:rsid w:val="00B93A59"/>
    <w:rsid w:val="00BC66F9"/>
    <w:rsid w:val="00BF6B66"/>
    <w:rsid w:val="00C437EF"/>
    <w:rsid w:val="00D42F19"/>
    <w:rsid w:val="00DA1C32"/>
    <w:rsid w:val="00DB3430"/>
    <w:rsid w:val="00E10786"/>
    <w:rsid w:val="00F32DEC"/>
    <w:rsid w:val="00F466A9"/>
    <w:rsid w:val="00FC3225"/>
    <w:rsid w:val="00FE31EF"/>
    <w:rsid w:val="1A4F5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6"/>
    <w:autoRedefine/>
    <w:semiHidden/>
    <w:unhideWhenUsed/>
    <w:qFormat/>
    <w:uiPriority w:val="99"/>
    <w:pPr>
      <w:spacing w:after="120"/>
      <w:ind w:left="420" w:leftChars="200"/>
    </w:pPr>
  </w:style>
  <w:style w:type="paragraph" w:styleId="3">
    <w:name w:val="Body Text First Indent 2"/>
    <w:basedOn w:val="2"/>
    <w:link w:val="7"/>
    <w:autoRedefine/>
    <w:unhideWhenUsed/>
    <w:qFormat/>
    <w:uiPriority w:val="99"/>
    <w:pPr>
      <w:ind w:firstLine="420" w:firstLineChars="200"/>
    </w:pPr>
  </w:style>
  <w:style w:type="character" w:customStyle="1" w:styleId="6">
    <w:name w:val="正文文本缩进 字符"/>
    <w:basedOn w:val="5"/>
    <w:link w:val="2"/>
    <w:autoRedefine/>
    <w:semiHidden/>
    <w:qFormat/>
    <w:uiPriority w:val="99"/>
    <w:rPr>
      <w:rFonts w:ascii="Calibri" w:hAnsi="Calibri" w:eastAsia="宋体" w:cs="Times New Roman"/>
      <w:szCs w:val="22"/>
    </w:rPr>
  </w:style>
  <w:style w:type="character" w:customStyle="1" w:styleId="7">
    <w:name w:val="正文文本首行缩进 2 字符"/>
    <w:basedOn w:val="6"/>
    <w:link w:val="3"/>
    <w:autoRedefine/>
    <w:qFormat/>
    <w:uiPriority w:val="99"/>
    <w:rPr>
      <w:rFonts w:ascii="Calibri" w:hAnsi="Calibri" w:eastAsia="宋体" w:cs="Times New Roman"/>
      <w:szCs w:val="22"/>
    </w:rPr>
  </w:style>
  <w:style w:type="paragraph" w:customStyle="1" w:styleId="8">
    <w:name w:val="自编正文"/>
    <w:basedOn w:val="1"/>
    <w:qFormat/>
    <w:uiPriority w:val="0"/>
    <w:pPr>
      <w:spacing w:line="560" w:lineRule="exact"/>
      <w:ind w:firstLine="200" w:firstLineChars="200"/>
    </w:pPr>
    <w:rPr>
      <w:rFonts w:ascii="Times New Roman" w:hAnsi="Times New Roman" w:eastAsia="方正仿宋_GBK"/>
      <w:kern w:val="0"/>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376</Words>
  <Characters>2147</Characters>
  <Lines>17</Lines>
  <Paragraphs>5</Paragraphs>
  <TotalTime>96</TotalTime>
  <ScaleCrop>false</ScaleCrop>
  <LinksUpToDate>false</LinksUpToDate>
  <CharactersWithSpaces>2518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2024-02-25T11:16:00Z</dcterms:created>
  <dc:creator>Microsoft Office User</dc:creator>
  <cp:lastModifiedBy>胡永田</cp:lastModifiedBy>
  <dcterms:modified xsi:type="dcterms:W3CDTF">2024-03-15T03:14:31Z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C0C1FB633A2747C5B2CD811577C606BD_12</vt:lpwstr>
  </property>
</Properties>
</file>