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default"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医院死亡和非医嘱离院病案报告拍摄整理服务项目</w:t>
      </w:r>
    </w:p>
    <w:p>
      <w:pPr>
        <w:adjustRightInd w:val="0"/>
        <w:snapToGrid w:val="0"/>
        <w:spacing w:line="800" w:lineRule="exact"/>
        <w:contextualSpacing/>
        <w:jc w:val="center"/>
        <w:rPr>
          <w:b/>
          <w:sz w:val="36"/>
          <w:szCs w:val="36"/>
          <w:highlight w:val="none"/>
        </w:rPr>
      </w:pPr>
      <w:r>
        <w:rPr>
          <w:rFonts w:hint="eastAsia"/>
          <w:b/>
          <w:sz w:val="36"/>
          <w:szCs w:val="36"/>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医院死亡和非医嘱离院病案报告拍摄整理服务项目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医院死亡和非医嘱离院病案报告拍摄整理服务项目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w:t>
      </w:r>
      <w:r>
        <w:rPr>
          <w:rFonts w:hint="eastAsia" w:ascii="宋体" w:hAnsi="宋体" w:cs="宋体"/>
          <w:snapToGrid w:val="0"/>
          <w:kern w:val="0"/>
          <w:sz w:val="24"/>
          <w:lang w:val="en-US" w:eastAsia="zh-CN"/>
        </w:rPr>
        <w:t>预算</w:t>
      </w:r>
      <w:r>
        <w:rPr>
          <w:rFonts w:hint="eastAsia" w:ascii="宋体" w:hAnsi="宋体" w:cs="宋体"/>
          <w:snapToGrid w:val="0"/>
          <w:kern w:val="0"/>
          <w:sz w:val="24"/>
        </w:rPr>
        <w:t>：</w:t>
      </w: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万元，</w:t>
      </w:r>
      <w:r>
        <w:rPr>
          <w:rFonts w:hint="eastAsia" w:ascii="宋体" w:hAnsi="宋体" w:cs="宋体"/>
          <w:snapToGrid w:val="0"/>
          <w:kern w:val="0"/>
          <w:sz w:val="24"/>
          <w:highlight w:val="none"/>
          <w:lang w:val="en-US" w:eastAsia="zh-CN"/>
        </w:rPr>
        <w:t>单价最高限价</w:t>
      </w:r>
      <w:r>
        <w:rPr>
          <w:rFonts w:hint="eastAsia" w:ascii="宋体" w:hAnsi="宋体" w:cs="宋体"/>
          <w:snapToGrid w:val="0"/>
          <w:kern w:val="0"/>
          <w:sz w:val="24"/>
        </w:rPr>
        <w:t>0.</w:t>
      </w:r>
      <w:r>
        <w:rPr>
          <w:rFonts w:hint="eastAsia" w:ascii="宋体" w:hAnsi="宋体" w:cs="宋体"/>
          <w:snapToGrid w:val="0"/>
          <w:kern w:val="0"/>
          <w:sz w:val="24"/>
          <w:lang w:val="en-US" w:eastAsia="zh-CN"/>
        </w:rPr>
        <w:t>3</w:t>
      </w:r>
      <w:r>
        <w:rPr>
          <w:rFonts w:hint="eastAsia" w:ascii="宋体" w:hAnsi="宋体" w:cs="宋体"/>
          <w:snapToGrid w:val="0"/>
          <w:kern w:val="0"/>
          <w:sz w:val="24"/>
        </w:rPr>
        <w:t>元/页</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按实结算</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医院死亡和非医嘱离院病案报告拍摄整理服务项目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医院死亡和非医嘱离院病案报告拍摄整理服务项目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9</w:t>
      </w:r>
      <w:r>
        <w:rPr>
          <w:rFonts w:hint="eastAsia" w:cs="微软雅黑"/>
          <w:b/>
          <w:highlight w:val="none"/>
        </w:rPr>
        <w:t>日</w:t>
      </w:r>
      <w:r>
        <w:rPr>
          <w:rFonts w:hint="eastAsia"/>
          <w:b/>
          <w:sz w:val="24"/>
          <w:highlight w:val="none"/>
          <w:lang w:val="en-US" w:eastAsia="zh-CN"/>
        </w:rPr>
        <w:t>上午9</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9</w:t>
      </w:r>
      <w:r>
        <w:rPr>
          <w:rStyle w:val="33"/>
          <w:rFonts w:ascii="宋体" w:hAnsi="宋体"/>
          <w:b/>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bookmarkStart w:id="4" w:name="_GoBack"/>
      <w:bookmarkEnd w:id="4"/>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医院死亡和非医嘱离院病案报告拍摄整理服务项目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1.4预算：2万元，单价最高限价0.</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元/页，按实结算。</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1.5服务期限：1年，自合同签订之日起算。</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一、按照以下分类顺序拍摄编制2024年1月-3月约300份的病案内容并上传：1.住院病案首页；2.入院记录；3 .病程记录（含术前讨论结论、术后病程记录、死亡病例讨论结果）4.手术记录；5.出院记录；6.死亡记录；在会诊记录；8.病理资料；9.辅助检查报告单10.医学影像检查资料；11.医嘱单；12.手术同意书；13.麻醉同意书；14.麻醉术前访视记录；15.手术安全核查记录；16.手术清点记录；17.麻醉记录； 18.麻醉术后访视记录；19.输血治疗知情同意书；20.特殊检查（特殊治疗）同意书；21.病危（重）通知书；22.体温单；23.病重（病危）患者护理记录；24.费用结算清单（要有每项收费明细）；25.其他。</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二、将排列好的“电子版全病案文件"转换为PDF格式，</w:t>
      </w:r>
      <w:r>
        <w:rPr>
          <w:rFonts w:hint="eastAsia" w:ascii="宋体" w:hAnsi="宋体" w:cs="宋体"/>
          <w:snapToGrid w:val="0"/>
          <w:kern w:val="0"/>
          <w:sz w:val="24"/>
          <w:highlight w:val="none"/>
          <w:lang w:val="en-US" w:eastAsia="zh-CN"/>
        </w:rPr>
        <w:drawing>
          <wp:inline distT="0" distB="0" distL="114300" distR="114300">
            <wp:extent cx="7620" cy="7620"/>
            <wp:effectExtent l="0" t="0" r="0" b="0"/>
            <wp:docPr id="1" name="Picture 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914"/>
                    <pic:cNvPicPr>
                      <a:picLocks noChangeAspect="1"/>
                    </pic:cNvPicPr>
                  </pic:nvPicPr>
                  <pic:blipFill>
                    <a:blip r:embed="rId6"/>
                    <a:stretch>
                      <a:fillRect/>
                    </a:stretch>
                  </pic:blipFill>
                  <pic:spPr>
                    <a:xfrm>
                      <a:off x="0" y="0"/>
                      <a:ext cx="7620" cy="7620"/>
                    </a:xfrm>
                    <a:prstGeom prst="rect">
                      <a:avLst/>
                    </a:prstGeom>
                    <a:noFill/>
                    <a:ln>
                      <a:noFill/>
                    </a:ln>
                  </pic:spPr>
                </pic:pic>
              </a:graphicData>
            </a:graphic>
          </wp:inline>
        </w:drawing>
      </w:r>
      <w:r>
        <w:rPr>
          <w:rFonts w:hint="eastAsia" w:ascii="宋体" w:hAnsi="宋体" w:cs="宋体"/>
          <w:snapToGrid w:val="0"/>
          <w:kern w:val="0"/>
          <w:sz w:val="24"/>
          <w:highlight w:val="none"/>
          <w:lang w:val="en-US" w:eastAsia="zh-CN"/>
        </w:rPr>
        <w:t>添加分类名称标签，并按照“ &lt;省份名&gt;一&lt;医院名称&gt;一&lt;病案号 &gt;一&lt;出院日期（年月日）&gt; ”的格式命名后上传。</w:t>
      </w:r>
    </w:p>
    <w:p>
      <w:pPr>
        <w:adjustRightInd w:val="0"/>
        <w:snapToGrid w:val="0"/>
        <w:spacing w:line="440" w:lineRule="exact"/>
        <w:ind w:left="0" w:leftChars="0" w:firstLine="0" w:firstLineChars="0"/>
        <w:contextualSpacing/>
        <w:rPr>
          <w:rFonts w:hint="default"/>
          <w:sz w:val="24"/>
          <w:szCs w:val="24"/>
          <w:lang w:val="en-US"/>
        </w:rPr>
      </w:pPr>
      <w:r>
        <w:rPr>
          <w:rFonts w:hint="eastAsia" w:ascii="宋体" w:hAnsi="宋体" w:cs="宋体"/>
          <w:snapToGrid w:val="0"/>
          <w:kern w:val="0"/>
          <w:sz w:val="24"/>
          <w:highlight w:val="none"/>
          <w:lang w:val="en-US" w:eastAsia="zh-CN"/>
        </w:rPr>
        <w:t>三、4月15日之前登录HQMS平台，查看“病历质控模块”中本医疗机构的病案列表（共192份病历)，按照列表上传PDF格式的全量病案,4月起每月16--25日上传上个月所有死亡和非医嘱离院病案（约100份）。</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医院死亡和非医嘱离院病案报告拍摄整理服务项目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（邮箱：hoytyzdx@qq.com，固定电话：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int="eastAsia" w:hAnsi="宋体"/>
                <w:b/>
                <w:bCs/>
                <w:sz w:val="24"/>
                <w:lang w:val="en-US" w:eastAsia="zh-CN"/>
              </w:rPr>
              <w:t>单价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lang w:val="en-US" w:eastAsia="zh-CN"/>
              </w:rPr>
              <w:t>单价</w:t>
            </w:r>
            <w:r>
              <w:rPr>
                <w:rFonts w:hint="eastAsia" w:ascii="Times New Roman"/>
                <w:b/>
              </w:rPr>
              <w:t>（大写）：</w:t>
            </w:r>
          </w:p>
        </w:tc>
      </w:tr>
    </w:tbl>
    <w:p>
      <w:pPr>
        <w:spacing w:line="340" w:lineRule="exact"/>
        <w:jc w:val="left"/>
        <w:rPr>
          <w:rFonts w:ascii="宋体" w:hAnsi="宋体"/>
          <w:b/>
          <w:i/>
          <w:iCs/>
          <w:sz w:val="24"/>
          <w:szCs w:val="21"/>
          <w:u w:val="single"/>
        </w:rPr>
      </w:pPr>
      <w:r>
        <w:rPr>
          <w:rFonts w:hint="eastAsia" w:ascii="宋体" w:hAnsi="宋体"/>
          <w:b/>
          <w:i/>
          <w:iCs/>
          <w:sz w:val="24"/>
          <w:szCs w:val="21"/>
          <w:u w:val="single"/>
          <w:lang w:val="en-US" w:eastAsia="zh-CN"/>
        </w:rPr>
        <w:t>备注：</w:t>
      </w:r>
      <w:r>
        <w:rPr>
          <w:rFonts w:hint="eastAsia" w:ascii="宋体" w:hAnsi="宋体"/>
          <w:b/>
          <w:i/>
          <w:iCs/>
          <w:sz w:val="24"/>
          <w:szCs w:val="21"/>
          <w:u w:val="single"/>
        </w:rPr>
        <w:t>单价最高限价0.</w:t>
      </w:r>
      <w:r>
        <w:rPr>
          <w:rFonts w:hint="eastAsia" w:ascii="宋体" w:hAnsi="宋体"/>
          <w:b/>
          <w:i/>
          <w:iCs/>
          <w:sz w:val="24"/>
          <w:szCs w:val="21"/>
          <w:u w:val="single"/>
          <w:lang w:val="en-US" w:eastAsia="zh-CN"/>
        </w:rPr>
        <w:t>3</w:t>
      </w:r>
      <w:r>
        <w:rPr>
          <w:rFonts w:hint="eastAsia" w:ascii="宋体" w:hAnsi="宋体"/>
          <w:b/>
          <w:i/>
          <w:iCs/>
          <w:sz w:val="24"/>
          <w:szCs w:val="21"/>
          <w:u w:val="single"/>
        </w:rPr>
        <w:t>元/页，按实结算。</w:t>
      </w: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医院死亡和非医嘱离院病案报告拍摄整理服务项目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YDFYXJ-2024013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医院死亡和非医嘱离院病案报告拍摄整理服务项目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医院死亡和非医嘱离院病案报告拍摄整理服务项目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付款方式为医院死亡和非医嘱离院病案报告拍摄整理服务</w:t>
      </w:r>
      <w:r>
        <w:rPr>
          <w:rFonts w:hint="eastAsia" w:cs="宋体"/>
          <w:sz w:val="24"/>
          <w:highlight w:val="none"/>
          <w:lang w:val="en-US" w:eastAsia="zh-CN"/>
        </w:rPr>
        <w:t>后，</w:t>
      </w:r>
      <w:r>
        <w:rPr>
          <w:rFonts w:hint="eastAsia" w:ascii="宋体" w:hAnsi="宋体" w:cs="宋体"/>
          <w:sz w:val="24"/>
          <w:highlight w:val="none"/>
        </w:rPr>
        <w:t>乙方凭甲方的验收单及开具的正规增值税发票等材料向甲方办理付款手续，甲方凭手续齐全的票据向乙方</w:t>
      </w:r>
      <w:r>
        <w:rPr>
          <w:rFonts w:hint="eastAsia" w:cs="宋体"/>
          <w:sz w:val="24"/>
          <w:highlight w:val="none"/>
          <w:lang w:val="en-US" w:eastAsia="zh-CN"/>
        </w:rPr>
        <w:t>按实结算。</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一年，</w:t>
      </w:r>
      <w:r>
        <w:rPr>
          <w:rFonts w:hint="eastAsia" w:ascii="宋体" w:hAnsi="宋体" w:cs="宋体"/>
          <w:b w:val="0"/>
          <w:bCs/>
          <w:kern w:val="0"/>
          <w:sz w:val="24"/>
          <w:highlight w:val="none"/>
          <w:u w:val="none"/>
          <w:lang w:val="en-US" w:eastAsia="zh-CN"/>
        </w:rPr>
        <w:t>自合同签订之日起算</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病案报告拍摄整理服务，必须</w:t>
      </w:r>
      <w:r>
        <w:rPr>
          <w:rFonts w:hint="eastAsia" w:ascii="宋体" w:hAnsi="宋体" w:cs="宋体"/>
          <w:color w:val="000000"/>
          <w:kern w:val="0"/>
          <w:sz w:val="24"/>
          <w:lang w:val="en-US" w:eastAsia="zh-CN"/>
        </w:rPr>
        <w:t>齐全</w:t>
      </w:r>
      <w:r>
        <w:rPr>
          <w:rFonts w:hint="eastAsia" w:ascii="宋体" w:hAnsi="宋体" w:cs="宋体"/>
          <w:color w:val="000000"/>
          <w:kern w:val="0"/>
          <w:sz w:val="24"/>
        </w:rPr>
        <w:t>。</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F4817"/>
    <w:rsid w:val="01695955"/>
    <w:rsid w:val="02A1423A"/>
    <w:rsid w:val="034D4BC8"/>
    <w:rsid w:val="04E61983"/>
    <w:rsid w:val="04F93EF7"/>
    <w:rsid w:val="053E3F8C"/>
    <w:rsid w:val="06835001"/>
    <w:rsid w:val="07CD3AA2"/>
    <w:rsid w:val="0907213E"/>
    <w:rsid w:val="0A9D0D84"/>
    <w:rsid w:val="0BE47D69"/>
    <w:rsid w:val="0C067990"/>
    <w:rsid w:val="0C4A2728"/>
    <w:rsid w:val="0C704CF9"/>
    <w:rsid w:val="0C716924"/>
    <w:rsid w:val="0CF140C8"/>
    <w:rsid w:val="0D095E3B"/>
    <w:rsid w:val="0D2E16CF"/>
    <w:rsid w:val="0D4515B4"/>
    <w:rsid w:val="0E126F52"/>
    <w:rsid w:val="0E2A13BF"/>
    <w:rsid w:val="0EE42777"/>
    <w:rsid w:val="110961DE"/>
    <w:rsid w:val="11202626"/>
    <w:rsid w:val="12AC0679"/>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EDA066A"/>
    <w:rsid w:val="1F104C9D"/>
    <w:rsid w:val="1FF236E2"/>
    <w:rsid w:val="205648A9"/>
    <w:rsid w:val="21C93434"/>
    <w:rsid w:val="22A022B9"/>
    <w:rsid w:val="22EC14F1"/>
    <w:rsid w:val="23735059"/>
    <w:rsid w:val="23E9338C"/>
    <w:rsid w:val="2466755A"/>
    <w:rsid w:val="24782FEE"/>
    <w:rsid w:val="24E27B0B"/>
    <w:rsid w:val="270244AF"/>
    <w:rsid w:val="279829B9"/>
    <w:rsid w:val="283F20FB"/>
    <w:rsid w:val="28795CAE"/>
    <w:rsid w:val="28CF6D5C"/>
    <w:rsid w:val="28D728FE"/>
    <w:rsid w:val="290E1224"/>
    <w:rsid w:val="298A42A2"/>
    <w:rsid w:val="2A6C65F7"/>
    <w:rsid w:val="2AA6133D"/>
    <w:rsid w:val="2BCB5B07"/>
    <w:rsid w:val="2E026BA2"/>
    <w:rsid w:val="2E0A00DD"/>
    <w:rsid w:val="2E237847"/>
    <w:rsid w:val="2EE7735A"/>
    <w:rsid w:val="2F716810"/>
    <w:rsid w:val="2F877A0A"/>
    <w:rsid w:val="30DF7E8F"/>
    <w:rsid w:val="310442A6"/>
    <w:rsid w:val="312D648E"/>
    <w:rsid w:val="318E7998"/>
    <w:rsid w:val="31FF36A9"/>
    <w:rsid w:val="32542738"/>
    <w:rsid w:val="337C4795"/>
    <w:rsid w:val="349B0B50"/>
    <w:rsid w:val="35D6255E"/>
    <w:rsid w:val="36FB00F6"/>
    <w:rsid w:val="375A406B"/>
    <w:rsid w:val="37CB42F0"/>
    <w:rsid w:val="395873E0"/>
    <w:rsid w:val="398427FF"/>
    <w:rsid w:val="3B6B7997"/>
    <w:rsid w:val="3C7E55A0"/>
    <w:rsid w:val="3C7E7E4D"/>
    <w:rsid w:val="3D920AB3"/>
    <w:rsid w:val="3E4F54B3"/>
    <w:rsid w:val="3EA006FD"/>
    <w:rsid w:val="406A6438"/>
    <w:rsid w:val="40C726B4"/>
    <w:rsid w:val="424B0DFC"/>
    <w:rsid w:val="42E8271B"/>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B85CB5"/>
    <w:rsid w:val="4E295D4C"/>
    <w:rsid w:val="4E3E5283"/>
    <w:rsid w:val="4E842C0D"/>
    <w:rsid w:val="4F1B2C8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5F7A741F"/>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8D2553"/>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4532</Words>
  <Characters>4862</Characters>
  <Lines>70</Lines>
  <Paragraphs>19</Paragraphs>
  <TotalTime>6</TotalTime>
  <ScaleCrop>false</ScaleCrop>
  <LinksUpToDate>false</LinksUpToDate>
  <CharactersWithSpaces>5513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2024-04-03T03:03:16Z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