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石子采购项目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石子采购项目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石子采购项目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石子采购项目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石子采购项目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18</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18</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18</w:t>
      </w:r>
      <w:bookmarkStart w:id="4" w:name="_GoBack"/>
      <w:bookmarkEnd w:id="4"/>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石子采购项目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3cm的</w:t>
      </w:r>
      <w:r>
        <w:rPr>
          <w:rFonts w:hint="eastAsia" w:cs="宋体"/>
          <w:b w:val="0"/>
          <w:bCs w:val="0"/>
          <w:snapToGrid w:val="0"/>
          <w:kern w:val="0"/>
          <w:sz w:val="24"/>
          <w:szCs w:val="24"/>
          <w:lang w:val="en-US" w:eastAsia="zh-CN" w:bidi="ar-SA"/>
        </w:rPr>
        <w:t>天然</w:t>
      </w:r>
      <w:r>
        <w:rPr>
          <w:rFonts w:hint="eastAsia" w:ascii="宋体" w:hAnsi="宋体" w:eastAsia="宋体" w:cs="宋体"/>
          <w:b w:val="0"/>
          <w:bCs w:val="0"/>
          <w:snapToGrid w:val="0"/>
          <w:kern w:val="0"/>
          <w:sz w:val="24"/>
          <w:szCs w:val="24"/>
          <w:lang w:val="en-US" w:eastAsia="zh-CN" w:bidi="ar-SA"/>
        </w:rPr>
        <w:t>大石子</w:t>
      </w:r>
      <w:r>
        <w:rPr>
          <w:rFonts w:hint="eastAsia" w:cs="宋体"/>
          <w:b w:val="0"/>
          <w:bCs w:val="0"/>
          <w:snapToGrid w:val="0"/>
          <w:kern w:val="0"/>
          <w:sz w:val="24"/>
          <w:szCs w:val="24"/>
          <w:lang w:val="en-US" w:eastAsia="zh-CN" w:bidi="ar-SA"/>
        </w:rPr>
        <w:t>45</w:t>
      </w:r>
      <w:r>
        <w:rPr>
          <w:rFonts w:hint="eastAsia" w:ascii="宋体" w:hAnsi="宋体" w:eastAsia="宋体" w:cs="宋体"/>
          <w:b w:val="0"/>
          <w:bCs w:val="0"/>
          <w:snapToGrid w:val="0"/>
          <w:kern w:val="0"/>
          <w:sz w:val="24"/>
          <w:szCs w:val="24"/>
          <w:lang w:val="en-US" w:eastAsia="zh-CN" w:bidi="ar-SA"/>
        </w:rPr>
        <w:t>吨，1cm</w:t>
      </w:r>
      <w:r>
        <w:rPr>
          <w:rFonts w:hint="eastAsia" w:cs="宋体"/>
          <w:b w:val="0"/>
          <w:bCs w:val="0"/>
          <w:snapToGrid w:val="0"/>
          <w:kern w:val="0"/>
          <w:sz w:val="24"/>
          <w:szCs w:val="24"/>
          <w:lang w:val="en-US" w:eastAsia="zh-CN" w:bidi="ar-SA"/>
        </w:rPr>
        <w:t>天然</w:t>
      </w:r>
      <w:r>
        <w:rPr>
          <w:rFonts w:hint="eastAsia" w:ascii="宋体" w:hAnsi="宋体" w:eastAsia="宋体" w:cs="宋体"/>
          <w:b w:val="0"/>
          <w:bCs w:val="0"/>
          <w:snapToGrid w:val="0"/>
          <w:kern w:val="0"/>
          <w:sz w:val="24"/>
          <w:szCs w:val="24"/>
          <w:lang w:val="en-US" w:eastAsia="zh-CN" w:bidi="ar-SA"/>
        </w:rPr>
        <w:t>瓜子小石子的</w:t>
      </w:r>
      <w:r>
        <w:rPr>
          <w:rFonts w:hint="eastAsia" w:cs="宋体"/>
          <w:b w:val="0"/>
          <w:bCs w:val="0"/>
          <w:snapToGrid w:val="0"/>
          <w:kern w:val="0"/>
          <w:sz w:val="24"/>
          <w:szCs w:val="24"/>
          <w:lang w:val="en-US" w:eastAsia="zh-CN" w:bidi="ar-SA"/>
        </w:rPr>
        <w:t>25</w:t>
      </w:r>
      <w:r>
        <w:rPr>
          <w:rFonts w:hint="eastAsia" w:ascii="宋体" w:hAnsi="宋体" w:eastAsia="宋体" w:cs="宋体"/>
          <w:b w:val="0"/>
          <w:bCs w:val="0"/>
          <w:snapToGrid w:val="0"/>
          <w:kern w:val="0"/>
          <w:sz w:val="24"/>
          <w:szCs w:val="24"/>
          <w:lang w:val="en-US" w:eastAsia="zh-CN" w:bidi="ar-SA"/>
        </w:rPr>
        <w:t>吨，按需配送。</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石子采购项目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石子采购项目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石子采购项目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石子采购项目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交货安装到甲方指定地点</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907213E"/>
    <w:rsid w:val="0B567F20"/>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8D7F8E"/>
    <w:rsid w:val="40C726B4"/>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28</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2024-04-12T02:42:08Z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