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YDFYXJ-2024016</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default" w:ascii="宋体" w:hAnsi="宋体" w:cs="宋体"/>
          <w:b/>
          <w:snapToGrid w:val="0"/>
          <w:kern w:val="0"/>
          <w:sz w:val="44"/>
          <w:szCs w:val="44"/>
          <w:highlight w:val="none"/>
          <w:lang w:val="en-US" w:eastAsia="zh-CN"/>
        </w:rPr>
      </w:pPr>
      <w:r>
        <w:rPr>
          <w:rFonts w:hint="eastAsia" w:ascii="宋体" w:hAnsi="宋体" w:cs="宋体"/>
          <w:b/>
          <w:snapToGrid w:val="0"/>
          <w:kern w:val="0"/>
          <w:sz w:val="44"/>
          <w:szCs w:val="44"/>
          <w:highlight w:val="none"/>
          <w:lang w:val="en-US" w:eastAsia="zh-CN"/>
        </w:rPr>
        <w:t>不锈钢锦旗架采购项目</w:t>
      </w:r>
    </w:p>
    <w:p>
      <w:pPr>
        <w:adjustRightInd w:val="0"/>
        <w:snapToGrid w:val="0"/>
        <w:spacing w:line="800" w:lineRule="exact"/>
        <w:contextualSpacing/>
        <w:jc w:val="center"/>
        <w:rPr>
          <w:b/>
          <w:sz w:val="44"/>
          <w:szCs w:val="44"/>
          <w:highlight w:val="none"/>
        </w:rPr>
      </w:pPr>
      <w:r>
        <w:rPr>
          <w:rFonts w:hint="eastAsia"/>
          <w:b/>
          <w:sz w:val="44"/>
          <w:szCs w:val="44"/>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5</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14</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不锈钢锦旗架采购项目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YDFYXJ-2024016</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不锈钢锦旗架采购项目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1.2</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5</w:t>
      </w:r>
      <w:r>
        <w:rPr>
          <w:rFonts w:hint="eastAsia" w:ascii="宋体" w:hAnsi="宋体"/>
          <w:b/>
          <w:sz w:val="24"/>
          <w:highlight w:val="none"/>
        </w:rPr>
        <w:t>月</w:t>
      </w:r>
      <w:r>
        <w:rPr>
          <w:rFonts w:hint="eastAsia" w:ascii="宋体" w:hAnsi="宋体"/>
          <w:b/>
          <w:sz w:val="24"/>
          <w:highlight w:val="none"/>
          <w:lang w:val="en-US" w:eastAsia="zh-CN"/>
        </w:rPr>
        <w:t>20</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不锈钢锦旗架采购项目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不锈钢锦旗架采购项目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highlight w:val="none"/>
        </w:rPr>
        <w:t>合同生效后，乙方按甲方需求即时配送，并将货品送到甲方指定地点，交货完毕后按</w:t>
      </w:r>
      <w:r>
        <w:rPr>
          <w:rFonts w:hint="eastAsia" w:ascii="宋体" w:hAnsi="宋体" w:cs="宋体"/>
          <w:sz w:val="24"/>
          <w:highlight w:val="none"/>
          <w:lang w:val="en-US" w:eastAsia="zh-CN"/>
        </w:rPr>
        <w:t>实</w:t>
      </w:r>
      <w:r>
        <w:rPr>
          <w:rFonts w:hint="eastAsia" w:ascii="宋体" w:hAnsi="宋体" w:cs="宋体"/>
          <w:sz w:val="24"/>
          <w:highlight w:val="none"/>
        </w:rPr>
        <w:t>结算费用。每次结算(结算金额以甲方签收的供应数量*中标单价计算），乙方开具的正规增值税发票等材料交甲方办理付款手续，甲方凭手续齐全的单据付款。</w:t>
      </w:r>
      <w:r>
        <w:rPr>
          <w:rFonts w:hint="eastAsia" w:ascii="宋体" w:hAnsi="宋体" w:cs="宋体"/>
          <w:b/>
          <w:bCs/>
          <w:sz w:val="24"/>
          <w:highlight w:val="none"/>
        </w:rPr>
        <w:t>（以上均不计息）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5</w:t>
      </w:r>
      <w:r>
        <w:rPr>
          <w:rFonts w:hint="eastAsia" w:cs="微软雅黑"/>
          <w:b/>
          <w:highlight w:val="none"/>
        </w:rPr>
        <w:t>月</w:t>
      </w:r>
      <w:r>
        <w:rPr>
          <w:rFonts w:hint="eastAsia" w:cs="微软雅黑"/>
          <w:b/>
          <w:highlight w:val="none"/>
          <w:lang w:val="en-US" w:eastAsia="zh-CN"/>
        </w:rPr>
        <w:t>20</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hint="eastAsia" w:ascii="宋体" w:hAnsi="宋体"/>
          <w:b/>
          <w:sz w:val="24"/>
          <w:highlight w:val="none"/>
          <w:lang w:eastAsia="zh-CN"/>
        </w:rPr>
        <w:t>2024</w:t>
      </w:r>
      <w:r>
        <w:rPr>
          <w:rStyle w:val="33"/>
          <w:rFonts w:ascii="宋体" w:hAnsi="宋体"/>
          <w:b/>
          <w:sz w:val="24"/>
          <w:highlight w:val="none"/>
        </w:rPr>
        <w:t>年</w:t>
      </w:r>
      <w:r>
        <w:rPr>
          <w:rStyle w:val="33"/>
          <w:rFonts w:hint="eastAsia" w:ascii="宋体" w:hAnsi="宋体"/>
          <w:b/>
          <w:sz w:val="24"/>
          <w:highlight w:val="none"/>
          <w:lang w:val="en-US" w:eastAsia="zh-CN"/>
        </w:rPr>
        <w:t>5</w:t>
      </w:r>
      <w:r>
        <w:rPr>
          <w:rStyle w:val="33"/>
          <w:rFonts w:ascii="宋体" w:hAnsi="宋体"/>
          <w:b/>
          <w:sz w:val="24"/>
          <w:highlight w:val="none"/>
        </w:rPr>
        <w:t>月</w:t>
      </w:r>
      <w:r>
        <w:rPr>
          <w:rStyle w:val="33"/>
          <w:rFonts w:hint="eastAsia" w:ascii="宋体" w:hAnsi="宋体"/>
          <w:b/>
          <w:sz w:val="24"/>
          <w:highlight w:val="none"/>
          <w:lang w:val="en-US" w:eastAsia="zh-CN"/>
        </w:rPr>
        <w:t>20</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5</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20</w:t>
      </w:r>
      <w:bookmarkStart w:id="4" w:name="_GoBack"/>
      <w:bookmarkEnd w:id="4"/>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不锈钢锦旗架采购项目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YDFYXJ-2024016</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1.2</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pStyle w:val="15"/>
        <w:shd w:val="clear" w:color="auto" w:fill="FFFFFF"/>
        <w:spacing w:before="0" w:beforeAutospacing="0" w:after="0" w:afterAutospacing="0"/>
        <w:rPr>
          <w:rFonts w:hint="eastAsia" w:ascii="宋体" w:hAnsi="宋体" w:eastAsia="宋体" w:cs="宋体"/>
          <w:b w:val="0"/>
          <w:bCs w:val="0"/>
          <w:snapToGrid w:val="0"/>
          <w:kern w:val="0"/>
          <w:sz w:val="24"/>
          <w:szCs w:val="24"/>
          <w:lang w:val="en-US" w:eastAsia="zh-CN" w:bidi="ar-SA"/>
        </w:rPr>
      </w:pPr>
    </w:p>
    <w:tbl>
      <w:tblPr>
        <w:tblStyle w:val="18"/>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7"/>
        <w:gridCol w:w="2310"/>
        <w:gridCol w:w="2307"/>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310" w:type="dxa"/>
            <w:vAlign w:val="center"/>
          </w:tcPr>
          <w:p>
            <w:pPr>
              <w:pStyle w:val="15"/>
              <w:spacing w:before="0" w:beforeAutospacing="0" w:after="0" w:afterAutospacing="0"/>
              <w:jc w:val="center"/>
              <w:rPr>
                <w:rFonts w:hint="default" w:ascii="宋体" w:hAnsi="宋体" w:eastAsia="宋体" w:cs="宋体"/>
                <w:b/>
                <w:bCs/>
                <w:snapToGrid w:val="0"/>
                <w:kern w:val="0"/>
                <w:sz w:val="24"/>
                <w:szCs w:val="24"/>
                <w:vertAlign w:val="baseline"/>
                <w:lang w:val="en-US" w:eastAsia="zh-CN" w:bidi="ar-SA"/>
              </w:rPr>
            </w:pPr>
            <w:r>
              <w:rPr>
                <w:rFonts w:hint="eastAsia" w:cs="宋体"/>
                <w:b/>
                <w:bCs/>
                <w:snapToGrid w:val="0"/>
                <w:kern w:val="0"/>
                <w:sz w:val="24"/>
                <w:szCs w:val="24"/>
                <w:vertAlign w:val="baseline"/>
                <w:lang w:val="en-US" w:eastAsia="zh-CN" w:bidi="ar-SA"/>
              </w:rPr>
              <w:t>商品名称</w:t>
            </w:r>
          </w:p>
        </w:tc>
        <w:tc>
          <w:tcPr>
            <w:tcW w:w="2310" w:type="dxa"/>
            <w:vAlign w:val="center"/>
          </w:tcPr>
          <w:p>
            <w:pPr>
              <w:pStyle w:val="15"/>
              <w:spacing w:before="0" w:beforeAutospacing="0" w:after="0" w:afterAutospacing="0"/>
              <w:jc w:val="center"/>
              <w:rPr>
                <w:rFonts w:hint="default" w:ascii="宋体" w:hAnsi="宋体" w:eastAsia="宋体" w:cs="宋体"/>
                <w:b/>
                <w:bCs/>
                <w:snapToGrid w:val="0"/>
                <w:kern w:val="0"/>
                <w:sz w:val="24"/>
                <w:szCs w:val="24"/>
                <w:vertAlign w:val="baseline"/>
                <w:lang w:val="en-US" w:eastAsia="zh-CN" w:bidi="ar-SA"/>
              </w:rPr>
            </w:pPr>
            <w:r>
              <w:rPr>
                <w:rFonts w:hint="eastAsia" w:cs="宋体"/>
                <w:b/>
                <w:bCs/>
                <w:snapToGrid w:val="0"/>
                <w:kern w:val="0"/>
                <w:sz w:val="24"/>
                <w:szCs w:val="24"/>
                <w:vertAlign w:val="baseline"/>
                <w:lang w:val="en-US" w:eastAsia="zh-CN" w:bidi="ar-SA"/>
              </w:rPr>
              <w:t>尺寸及要求</w:t>
            </w:r>
          </w:p>
        </w:tc>
        <w:tc>
          <w:tcPr>
            <w:tcW w:w="2310" w:type="dxa"/>
            <w:vAlign w:val="center"/>
          </w:tcPr>
          <w:p>
            <w:pPr>
              <w:pStyle w:val="15"/>
              <w:spacing w:before="0" w:beforeAutospacing="0" w:after="0" w:afterAutospacing="0"/>
              <w:jc w:val="center"/>
              <w:rPr>
                <w:rFonts w:hint="default" w:ascii="宋体" w:hAnsi="宋体" w:eastAsia="宋体" w:cs="宋体"/>
                <w:b/>
                <w:bCs/>
                <w:snapToGrid w:val="0"/>
                <w:kern w:val="0"/>
                <w:sz w:val="24"/>
                <w:szCs w:val="24"/>
                <w:vertAlign w:val="baseline"/>
                <w:lang w:val="en-US" w:eastAsia="zh-CN" w:bidi="ar-SA"/>
              </w:rPr>
            </w:pPr>
            <w:r>
              <w:rPr>
                <w:rFonts w:hint="eastAsia" w:cs="宋体"/>
                <w:b/>
                <w:bCs/>
                <w:snapToGrid w:val="0"/>
                <w:kern w:val="0"/>
                <w:sz w:val="24"/>
                <w:szCs w:val="24"/>
                <w:vertAlign w:val="baseline"/>
                <w:lang w:val="en-US" w:eastAsia="zh-CN" w:bidi="ar-SA"/>
              </w:rPr>
              <w:t>预估采购量</w:t>
            </w:r>
          </w:p>
        </w:tc>
        <w:tc>
          <w:tcPr>
            <w:tcW w:w="2310" w:type="dxa"/>
            <w:vAlign w:val="center"/>
          </w:tcPr>
          <w:p>
            <w:pPr>
              <w:pStyle w:val="15"/>
              <w:spacing w:before="0" w:beforeAutospacing="0" w:after="0" w:afterAutospacing="0"/>
              <w:jc w:val="center"/>
              <w:rPr>
                <w:rFonts w:hint="default" w:ascii="宋体" w:hAnsi="宋体" w:eastAsia="宋体" w:cs="宋体"/>
                <w:b/>
                <w:bCs/>
                <w:snapToGrid w:val="0"/>
                <w:kern w:val="0"/>
                <w:sz w:val="24"/>
                <w:szCs w:val="24"/>
                <w:vertAlign w:val="baseline"/>
                <w:lang w:val="en-US" w:eastAsia="zh-CN" w:bidi="ar-SA"/>
              </w:rPr>
            </w:pPr>
            <w:r>
              <w:rPr>
                <w:rFonts w:hint="eastAsia" w:cs="宋体"/>
                <w:b/>
                <w:bCs/>
                <w:snapToGrid w:val="0"/>
                <w:kern w:val="0"/>
                <w:sz w:val="24"/>
                <w:szCs w:val="24"/>
                <w:vertAlign w:val="baseline"/>
                <w:lang w:val="en-US" w:eastAsia="zh-CN" w:bidi="ar-SA"/>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2310" w:type="dxa"/>
            <w:vAlign w:val="center"/>
          </w:tcPr>
          <w:p>
            <w:pPr>
              <w:pStyle w:val="15"/>
              <w:spacing w:before="0" w:beforeAutospacing="0" w:after="0" w:afterAutospacing="0"/>
              <w:jc w:val="center"/>
              <w:rPr>
                <w:rFonts w:hint="eastAsia" w:ascii="宋体" w:hAnsi="宋体" w:eastAsia="宋体" w:cs="宋体"/>
                <w:b/>
                <w:bCs/>
                <w:snapToGrid w:val="0"/>
                <w:kern w:val="0"/>
                <w:sz w:val="24"/>
                <w:szCs w:val="24"/>
                <w:vertAlign w:val="baseline"/>
                <w:lang w:val="en-US" w:eastAsia="zh-CN" w:bidi="ar-SA"/>
              </w:rPr>
            </w:pPr>
            <w:r>
              <w:rPr>
                <w:rFonts w:hint="eastAsia" w:ascii="宋体" w:hAnsi="宋体" w:cs="宋体"/>
                <w:snapToGrid w:val="0"/>
                <w:kern w:val="0"/>
                <w:sz w:val="24"/>
                <w:highlight w:val="none"/>
                <w:lang w:eastAsia="zh-CN"/>
              </w:rPr>
              <w:t>不锈钢锦旗架</w:t>
            </w:r>
          </w:p>
        </w:tc>
        <w:tc>
          <w:tcPr>
            <w:tcW w:w="2310" w:type="dxa"/>
            <w:vAlign w:val="center"/>
          </w:tcPr>
          <w:p>
            <w:pPr>
              <w:pStyle w:val="15"/>
              <w:spacing w:before="0" w:beforeAutospacing="0" w:after="0" w:afterAutospacing="0"/>
              <w:jc w:val="center"/>
              <w:rPr>
                <w:rFonts w:hint="eastAsia" w:ascii="宋体" w:hAnsi="宋体" w:eastAsia="宋体" w:cs="宋体"/>
                <w:b/>
                <w:bCs/>
                <w:snapToGrid w:val="0"/>
                <w:kern w:val="0"/>
                <w:sz w:val="24"/>
                <w:szCs w:val="24"/>
                <w:vertAlign w:val="baseline"/>
                <w:lang w:val="en-US" w:eastAsia="zh-CN" w:bidi="ar-SA"/>
              </w:rPr>
            </w:pPr>
            <w:r>
              <w:rPr>
                <w:rFonts w:hint="eastAsia" w:ascii="宋体" w:hAnsi="宋体" w:eastAsia="宋体" w:cs="宋体"/>
                <w:b/>
                <w:bCs/>
                <w:snapToGrid w:val="0"/>
                <w:kern w:val="0"/>
                <w:sz w:val="24"/>
                <w:szCs w:val="24"/>
                <w:vertAlign w:val="baseline"/>
                <w:lang w:val="en-US" w:eastAsia="zh-CN" w:bidi="ar-SA"/>
              </w:rPr>
              <w:drawing>
                <wp:inline distT="0" distB="0" distL="114300" distR="114300">
                  <wp:extent cx="1323340" cy="1433830"/>
                  <wp:effectExtent l="0" t="0" r="0" b="0"/>
                  <wp:docPr id="1" name="图片 1" descr="8a7fbe10413a0d2318727cf68230b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a7fbe10413a0d2318727cf68230b77"/>
                          <pic:cNvPicPr>
                            <a:picLocks noChangeAspect="1"/>
                          </pic:cNvPicPr>
                        </pic:nvPicPr>
                        <pic:blipFill>
                          <a:blip r:embed="rId6"/>
                          <a:srcRect t="10739" b="28332"/>
                          <a:stretch>
                            <a:fillRect/>
                          </a:stretch>
                        </pic:blipFill>
                        <pic:spPr>
                          <a:xfrm>
                            <a:off x="0" y="0"/>
                            <a:ext cx="1323340" cy="1433830"/>
                          </a:xfrm>
                          <a:prstGeom prst="rect">
                            <a:avLst/>
                          </a:prstGeom>
                        </pic:spPr>
                      </pic:pic>
                    </a:graphicData>
                  </a:graphic>
                </wp:inline>
              </w:drawing>
            </w:r>
          </w:p>
        </w:tc>
        <w:tc>
          <w:tcPr>
            <w:tcW w:w="2310" w:type="dxa"/>
            <w:vAlign w:val="center"/>
          </w:tcPr>
          <w:p>
            <w:pPr>
              <w:pStyle w:val="15"/>
              <w:spacing w:before="0" w:beforeAutospacing="0" w:after="0" w:afterAutospacing="0"/>
              <w:jc w:val="center"/>
              <w:rPr>
                <w:rFonts w:hint="eastAsia" w:cs="宋体"/>
                <w:b/>
                <w:bCs/>
                <w:snapToGrid w:val="0"/>
                <w:kern w:val="0"/>
                <w:sz w:val="24"/>
                <w:szCs w:val="24"/>
                <w:vertAlign w:val="baseline"/>
                <w:lang w:val="en-US" w:eastAsia="zh-CN" w:bidi="ar-SA"/>
              </w:rPr>
            </w:pPr>
            <w:r>
              <w:rPr>
                <w:rFonts w:hint="eastAsia" w:cs="宋体"/>
                <w:b/>
                <w:bCs/>
                <w:snapToGrid w:val="0"/>
                <w:kern w:val="0"/>
                <w:sz w:val="24"/>
                <w:szCs w:val="24"/>
                <w:vertAlign w:val="baseline"/>
                <w:lang w:val="en-US" w:eastAsia="zh-CN" w:bidi="ar-SA"/>
              </w:rPr>
              <w:t>10</w:t>
            </w:r>
          </w:p>
          <w:p>
            <w:pPr>
              <w:pStyle w:val="15"/>
              <w:spacing w:before="0" w:beforeAutospacing="0" w:after="0" w:afterAutospacing="0"/>
              <w:jc w:val="center"/>
              <w:rPr>
                <w:rFonts w:hint="default" w:ascii="宋体" w:hAnsi="宋体" w:eastAsia="宋体" w:cs="宋体"/>
                <w:b/>
                <w:bCs/>
                <w:snapToGrid w:val="0"/>
                <w:kern w:val="0"/>
                <w:sz w:val="24"/>
                <w:szCs w:val="24"/>
                <w:vertAlign w:val="baseline"/>
                <w:lang w:val="en-US" w:eastAsia="zh-CN" w:bidi="ar-SA"/>
              </w:rPr>
            </w:pPr>
            <w:r>
              <w:rPr>
                <w:rFonts w:hint="eastAsia" w:cs="宋体"/>
                <w:b/>
                <w:bCs/>
                <w:snapToGrid w:val="0"/>
                <w:kern w:val="0"/>
                <w:sz w:val="24"/>
                <w:szCs w:val="24"/>
                <w:vertAlign w:val="baseline"/>
                <w:lang w:val="en-US" w:eastAsia="zh-CN" w:bidi="ar-SA"/>
              </w:rPr>
              <w:t>（按甲方通知分批次送货）</w:t>
            </w:r>
          </w:p>
        </w:tc>
        <w:tc>
          <w:tcPr>
            <w:tcW w:w="2310" w:type="dxa"/>
            <w:vAlign w:val="center"/>
          </w:tcPr>
          <w:p>
            <w:pPr>
              <w:pStyle w:val="15"/>
              <w:spacing w:before="0" w:beforeAutospacing="0" w:after="0" w:afterAutospacing="0"/>
              <w:jc w:val="center"/>
              <w:rPr>
                <w:rFonts w:hint="eastAsia" w:ascii="宋体" w:hAnsi="宋体" w:eastAsia="宋体" w:cs="宋体"/>
                <w:b/>
                <w:bCs/>
                <w:snapToGrid w:val="0"/>
                <w:kern w:val="0"/>
                <w:sz w:val="24"/>
                <w:szCs w:val="24"/>
                <w:vertAlign w:val="baseline"/>
                <w:lang w:val="en-US" w:eastAsia="zh-CN" w:bidi="ar-SA"/>
              </w:rPr>
            </w:pPr>
            <w:r>
              <w:rPr>
                <w:rFonts w:hint="eastAsia" w:ascii="宋体" w:hAnsi="宋体" w:eastAsia="宋体" w:cs="宋体"/>
                <w:b/>
                <w:bCs/>
                <w:snapToGrid w:val="0"/>
                <w:kern w:val="0"/>
                <w:sz w:val="24"/>
                <w:szCs w:val="24"/>
                <w:vertAlign w:val="baseline"/>
                <w:lang w:val="en-US" w:eastAsia="zh-CN" w:bidi="ar-SA"/>
              </w:rPr>
              <w:drawing>
                <wp:inline distT="0" distB="0" distL="114300" distR="114300">
                  <wp:extent cx="1329055" cy="1329055"/>
                  <wp:effectExtent l="0" t="0" r="4445" b="4445"/>
                  <wp:docPr id="2" name="图片 2" descr="38b9608cf5b8fb12cbfc9df335631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8b9608cf5b8fb12cbfc9df3356311f"/>
                          <pic:cNvPicPr>
                            <a:picLocks noChangeAspect="1"/>
                          </pic:cNvPicPr>
                        </pic:nvPicPr>
                        <pic:blipFill>
                          <a:blip r:embed="rId7"/>
                          <a:stretch>
                            <a:fillRect/>
                          </a:stretch>
                        </pic:blipFill>
                        <pic:spPr>
                          <a:xfrm>
                            <a:off x="0" y="0"/>
                            <a:ext cx="1329055" cy="1329055"/>
                          </a:xfrm>
                          <a:prstGeom prst="rect">
                            <a:avLst/>
                          </a:prstGeom>
                        </pic:spPr>
                      </pic:pic>
                    </a:graphicData>
                  </a:graphic>
                </wp:inline>
              </w:drawing>
            </w:r>
          </w:p>
        </w:tc>
      </w:tr>
    </w:tbl>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不锈钢锦旗架采购项目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YDFYXJ-2024016</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2"/>
        <w:ind w:left="0" w:leftChars="0" w:firstLine="0" w:firstLine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不锈钢锦旗架采购项目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YDFYXJ-2024016</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不锈钢锦旗架采购项目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不锈钢锦旗架采购项目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货物</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等</w:t>
      </w:r>
      <w:r>
        <w:rPr>
          <w:rFonts w:hint="eastAsia" w:hAnsi="宋体" w:cs="宋体"/>
          <w:bCs/>
          <w:sz w:val="24"/>
          <w:szCs w:val="24"/>
          <w:lang w:val="en-US" w:eastAsia="zh-CN"/>
        </w:rPr>
        <w:t>所有</w:t>
      </w:r>
      <w:r>
        <w:rPr>
          <w:rFonts w:hint="eastAsia" w:hAnsi="宋体" w:cs="宋体"/>
          <w:bCs/>
          <w:sz w:val="24"/>
          <w:szCs w:val="24"/>
        </w:rPr>
        <w:t>费用</w:t>
      </w:r>
      <w:r>
        <w:rPr>
          <w:rFonts w:hint="eastAsia" w:hAnsi="宋体"/>
          <w:sz w:val="24"/>
          <w:szCs w:val="24"/>
        </w:rPr>
        <w:t>。</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合同生效后，乙方按甲方需求即时配送，并将货品送到甲方指定地点，交货完毕后按实结算费用。每次结算(结算金额以甲方签收的供应数量*中标单价计算），乙方开具的正规增值税发票等材料交甲方办理付款手续，甲方凭手续齐全的单据付款。</w:t>
      </w:r>
      <w:r>
        <w:rPr>
          <w:rFonts w:hint="eastAsia" w:ascii="宋体" w:hAnsi="宋体" w:cs="宋体"/>
          <w:b/>
          <w:bCs/>
          <w:sz w:val="24"/>
          <w:highlight w:val="none"/>
        </w:rPr>
        <w:t>（以上均不计息）</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伍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签订后，按照</w:t>
      </w:r>
      <w:r>
        <w:rPr>
          <w:rFonts w:hint="eastAsia" w:ascii="宋体" w:hAnsi="宋体" w:cs="宋体"/>
          <w:color w:val="000000"/>
          <w:kern w:val="0"/>
          <w:sz w:val="24"/>
          <w:lang w:val="en-US" w:eastAsia="zh-CN"/>
        </w:rPr>
        <w:t>甲方通知分批次交货安装到甲方指定地点，每次送货时间为接甲方通知</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7</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lang w:val="en-US" w:eastAsia="zh-CN"/>
        </w:rPr>
        <w:t>乙方</w:t>
      </w:r>
      <w:r>
        <w:rPr>
          <w:rFonts w:hint="eastAsia" w:ascii="宋体" w:hAnsi="宋体" w:cs="宋体"/>
          <w:color w:val="000000"/>
          <w:kern w:val="0"/>
          <w:sz w:val="24"/>
        </w:rPr>
        <w:t>所供</w:t>
      </w:r>
      <w:r>
        <w:rPr>
          <w:rFonts w:hint="eastAsia" w:ascii="宋体" w:hAnsi="宋体" w:cs="宋体"/>
          <w:color w:val="000000"/>
          <w:kern w:val="0"/>
          <w:sz w:val="24"/>
          <w:lang w:val="en-US" w:eastAsia="zh-CN"/>
        </w:rPr>
        <w:t>货物</w:t>
      </w:r>
      <w:r>
        <w:rPr>
          <w:rFonts w:hint="eastAsia" w:ascii="宋体" w:hAnsi="宋体" w:cs="宋体"/>
          <w:color w:val="000000"/>
          <w:kern w:val="0"/>
          <w:sz w:val="24"/>
        </w:rPr>
        <w:t>，必须向甲方提供</w:t>
      </w:r>
      <w:r>
        <w:rPr>
          <w:rFonts w:hint="eastAsia" w:ascii="宋体" w:hAnsi="宋体" w:cs="宋体"/>
          <w:color w:val="000000"/>
          <w:kern w:val="0"/>
          <w:sz w:val="24"/>
          <w:lang w:val="en-US" w:eastAsia="zh-CN"/>
        </w:rPr>
        <w:t>完整的</w:t>
      </w:r>
      <w:r>
        <w:rPr>
          <w:rFonts w:hint="eastAsia" w:ascii="宋体" w:hAnsi="宋体" w:cs="宋体"/>
          <w:color w:val="000000"/>
          <w:kern w:val="0"/>
          <w:sz w:val="24"/>
        </w:rPr>
        <w:t>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6F03F0"/>
    <w:rsid w:val="02A1423A"/>
    <w:rsid w:val="02DB5B66"/>
    <w:rsid w:val="034D4BC8"/>
    <w:rsid w:val="04912ACD"/>
    <w:rsid w:val="04E61983"/>
    <w:rsid w:val="04F93EF7"/>
    <w:rsid w:val="053E3F8C"/>
    <w:rsid w:val="06835001"/>
    <w:rsid w:val="07CD3AA2"/>
    <w:rsid w:val="0907213E"/>
    <w:rsid w:val="0B567F20"/>
    <w:rsid w:val="0B671638"/>
    <w:rsid w:val="0BE47D69"/>
    <w:rsid w:val="0C067990"/>
    <w:rsid w:val="0C4A2728"/>
    <w:rsid w:val="0C704CF9"/>
    <w:rsid w:val="0CF140C8"/>
    <w:rsid w:val="0D2E16CF"/>
    <w:rsid w:val="0D4515B4"/>
    <w:rsid w:val="0E126F52"/>
    <w:rsid w:val="0E2A13BF"/>
    <w:rsid w:val="0EE42777"/>
    <w:rsid w:val="110961DE"/>
    <w:rsid w:val="11202626"/>
    <w:rsid w:val="135E7630"/>
    <w:rsid w:val="14574206"/>
    <w:rsid w:val="14A043CE"/>
    <w:rsid w:val="151678B8"/>
    <w:rsid w:val="15D76399"/>
    <w:rsid w:val="15F35842"/>
    <w:rsid w:val="162E1A28"/>
    <w:rsid w:val="172469D5"/>
    <w:rsid w:val="17407202"/>
    <w:rsid w:val="17754BB0"/>
    <w:rsid w:val="186D5CBC"/>
    <w:rsid w:val="19826916"/>
    <w:rsid w:val="1A965BFC"/>
    <w:rsid w:val="1B0E6D6D"/>
    <w:rsid w:val="1B1A1616"/>
    <w:rsid w:val="1C94789B"/>
    <w:rsid w:val="1D762024"/>
    <w:rsid w:val="1E525F06"/>
    <w:rsid w:val="1EAC0AAC"/>
    <w:rsid w:val="1F104C9D"/>
    <w:rsid w:val="1FF236E2"/>
    <w:rsid w:val="205648A9"/>
    <w:rsid w:val="21C93434"/>
    <w:rsid w:val="22801E6D"/>
    <w:rsid w:val="22A022B9"/>
    <w:rsid w:val="22EC14F1"/>
    <w:rsid w:val="23735059"/>
    <w:rsid w:val="23E9338C"/>
    <w:rsid w:val="2466755A"/>
    <w:rsid w:val="24782FEE"/>
    <w:rsid w:val="24E27B0B"/>
    <w:rsid w:val="270244AF"/>
    <w:rsid w:val="279829B9"/>
    <w:rsid w:val="28552BE1"/>
    <w:rsid w:val="28795CAE"/>
    <w:rsid w:val="28CF6D5C"/>
    <w:rsid w:val="28D728FE"/>
    <w:rsid w:val="290E1224"/>
    <w:rsid w:val="29DB2926"/>
    <w:rsid w:val="2A6C65F7"/>
    <w:rsid w:val="2AA6133D"/>
    <w:rsid w:val="2AC432FA"/>
    <w:rsid w:val="2BCB5B07"/>
    <w:rsid w:val="2C74019F"/>
    <w:rsid w:val="2E026BA2"/>
    <w:rsid w:val="2E0A00DD"/>
    <w:rsid w:val="2E237847"/>
    <w:rsid w:val="2EE7735A"/>
    <w:rsid w:val="2F716810"/>
    <w:rsid w:val="2F877A0A"/>
    <w:rsid w:val="30DF7E8F"/>
    <w:rsid w:val="310442A6"/>
    <w:rsid w:val="318E7998"/>
    <w:rsid w:val="31FF36A9"/>
    <w:rsid w:val="32542738"/>
    <w:rsid w:val="337C4795"/>
    <w:rsid w:val="349B0B50"/>
    <w:rsid w:val="35D6255E"/>
    <w:rsid w:val="375A406B"/>
    <w:rsid w:val="37CB42F0"/>
    <w:rsid w:val="395873E0"/>
    <w:rsid w:val="398427FF"/>
    <w:rsid w:val="3B6B7997"/>
    <w:rsid w:val="3C7E55A0"/>
    <w:rsid w:val="3C7E7E4D"/>
    <w:rsid w:val="3CCD6F19"/>
    <w:rsid w:val="3D920AB3"/>
    <w:rsid w:val="3E4F54B3"/>
    <w:rsid w:val="3EA006FD"/>
    <w:rsid w:val="406A6438"/>
    <w:rsid w:val="408D7F8E"/>
    <w:rsid w:val="40C726B4"/>
    <w:rsid w:val="414C3AD8"/>
    <w:rsid w:val="424B0DFC"/>
    <w:rsid w:val="43487107"/>
    <w:rsid w:val="43F56786"/>
    <w:rsid w:val="4417638D"/>
    <w:rsid w:val="45977351"/>
    <w:rsid w:val="45F42EB8"/>
    <w:rsid w:val="46056344"/>
    <w:rsid w:val="467B4C8A"/>
    <w:rsid w:val="4689608C"/>
    <w:rsid w:val="46AD222D"/>
    <w:rsid w:val="47CE0BEB"/>
    <w:rsid w:val="47DD46E6"/>
    <w:rsid w:val="48982C1C"/>
    <w:rsid w:val="48B5696C"/>
    <w:rsid w:val="49AC543C"/>
    <w:rsid w:val="4ACD2A51"/>
    <w:rsid w:val="4B4053E3"/>
    <w:rsid w:val="4B8D08A2"/>
    <w:rsid w:val="4BD6274F"/>
    <w:rsid w:val="4C2279B2"/>
    <w:rsid w:val="4C472E7D"/>
    <w:rsid w:val="4C58772E"/>
    <w:rsid w:val="4CAF5F9F"/>
    <w:rsid w:val="4CB85CB5"/>
    <w:rsid w:val="4CCA4D1D"/>
    <w:rsid w:val="4E295D4C"/>
    <w:rsid w:val="4E842C0D"/>
    <w:rsid w:val="4F4C7986"/>
    <w:rsid w:val="4F717F10"/>
    <w:rsid w:val="501519DD"/>
    <w:rsid w:val="507C6263"/>
    <w:rsid w:val="508A0E56"/>
    <w:rsid w:val="50B27E0B"/>
    <w:rsid w:val="510328E8"/>
    <w:rsid w:val="510F701A"/>
    <w:rsid w:val="51673008"/>
    <w:rsid w:val="5199638E"/>
    <w:rsid w:val="51BD509B"/>
    <w:rsid w:val="537760B9"/>
    <w:rsid w:val="54422408"/>
    <w:rsid w:val="54AC3518"/>
    <w:rsid w:val="55603AEE"/>
    <w:rsid w:val="560560AD"/>
    <w:rsid w:val="56410E61"/>
    <w:rsid w:val="56881779"/>
    <w:rsid w:val="57DA3AB3"/>
    <w:rsid w:val="58A415C5"/>
    <w:rsid w:val="590F082F"/>
    <w:rsid w:val="59104CF0"/>
    <w:rsid w:val="591C0A3A"/>
    <w:rsid w:val="59ED3D62"/>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89C678A"/>
    <w:rsid w:val="6D633984"/>
    <w:rsid w:val="6DF60098"/>
    <w:rsid w:val="6E1F0C2D"/>
    <w:rsid w:val="6F882E18"/>
    <w:rsid w:val="708C2B36"/>
    <w:rsid w:val="70952B65"/>
    <w:rsid w:val="70A153BD"/>
    <w:rsid w:val="70C57A02"/>
    <w:rsid w:val="70DB38A7"/>
    <w:rsid w:val="70FE780D"/>
    <w:rsid w:val="716E67D9"/>
    <w:rsid w:val="71D1780D"/>
    <w:rsid w:val="71DC1AE4"/>
    <w:rsid w:val="72217603"/>
    <w:rsid w:val="72487296"/>
    <w:rsid w:val="7282207E"/>
    <w:rsid w:val="72934737"/>
    <w:rsid w:val="74226CB9"/>
    <w:rsid w:val="75006B73"/>
    <w:rsid w:val="75126C7B"/>
    <w:rsid w:val="764E69E8"/>
    <w:rsid w:val="7787662E"/>
    <w:rsid w:val="77A64AB7"/>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2"/>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pPr>
      <w:spacing w:after="120" w:afterLines="0"/>
    </w:pPr>
    <w:rPr>
      <w:sz w:val="16"/>
      <w:szCs w:val="16"/>
    </w:rPr>
  </w:style>
  <w:style w:type="paragraph" w:styleId="6">
    <w:name w:val="Body Text"/>
    <w:basedOn w:val="1"/>
    <w:next w:val="7"/>
    <w:autoRedefine/>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autoRedefine/>
    <w:qFormat/>
    <w:uiPriority w:val="0"/>
    <w:pPr>
      <w:ind w:firstLine="576"/>
    </w:pPr>
    <w:rPr>
      <w:b/>
      <w:sz w:val="30"/>
    </w:rPr>
  </w:style>
  <w:style w:type="paragraph" w:styleId="9">
    <w:name w:val="List Bullet 2"/>
    <w:basedOn w:val="1"/>
    <w:autoRedefine/>
    <w:unhideWhenUsed/>
    <w:qFormat/>
    <w:uiPriority w:val="0"/>
    <w:pPr>
      <w:numPr>
        <w:ilvl w:val="0"/>
        <w:numId w:val="1"/>
      </w:numPr>
      <w:contextualSpacing/>
    </w:pPr>
    <w:rPr>
      <w:rFonts w:ascii="Calibri" w:hAnsi="Calibri"/>
    </w:rPr>
  </w:style>
  <w:style w:type="paragraph" w:styleId="10">
    <w:name w:val="Plain Text"/>
    <w:basedOn w:val="1"/>
    <w:link w:val="27"/>
    <w:autoRedefine/>
    <w:qFormat/>
    <w:uiPriority w:val="99"/>
    <w:rPr>
      <w:rFonts w:ascii="宋体" w:hAnsi="Courier New"/>
      <w:szCs w:val="20"/>
    </w:rPr>
  </w:style>
  <w:style w:type="paragraph" w:styleId="11">
    <w:name w:val="Balloon Text"/>
    <w:basedOn w:val="1"/>
    <w:link w:val="26"/>
    <w:autoRedefine/>
    <w:semiHidden/>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autoRedefine/>
    <w:semiHidden/>
    <w:qFormat/>
    <w:uiPriority w:val="99"/>
    <w:rPr>
      <w:rFonts w:eastAsia="宋体"/>
      <w:kern w:val="2"/>
      <w:sz w:val="18"/>
      <w:szCs w:val="18"/>
    </w:rPr>
  </w:style>
  <w:style w:type="character" w:customStyle="1" w:styleId="25">
    <w:name w:val="页脚 Char"/>
    <w:basedOn w:val="19"/>
    <w:link w:val="12"/>
    <w:autoRedefine/>
    <w:semiHidden/>
    <w:qFormat/>
    <w:uiPriority w:val="99"/>
    <w:rPr>
      <w:rFonts w:eastAsia="宋体"/>
      <w:kern w:val="2"/>
      <w:sz w:val="18"/>
      <w:szCs w:val="18"/>
    </w:rPr>
  </w:style>
  <w:style w:type="character" w:customStyle="1" w:styleId="26">
    <w:name w:val="批注框文本 Char"/>
    <w:basedOn w:val="19"/>
    <w:link w:val="11"/>
    <w:autoRedefine/>
    <w:semiHidden/>
    <w:qFormat/>
    <w:uiPriority w:val="99"/>
    <w:rPr>
      <w:rFonts w:eastAsia="宋体"/>
      <w:kern w:val="2"/>
      <w:sz w:val="18"/>
      <w:szCs w:val="18"/>
    </w:rPr>
  </w:style>
  <w:style w:type="character" w:customStyle="1" w:styleId="27">
    <w:name w:val="纯文本 Char"/>
    <w:basedOn w:val="19"/>
    <w:link w:val="10"/>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4"/>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character" w:customStyle="1" w:styleId="35">
    <w:name w:val="font71"/>
    <w:basedOn w:val="19"/>
    <w:autoRedefine/>
    <w:qFormat/>
    <w:uiPriority w:val="0"/>
    <w:rPr>
      <w:rFonts w:hint="eastAsia" w:ascii="宋体" w:hAnsi="宋体" w:eastAsia="宋体" w:cs="宋体"/>
      <w:b/>
      <w:bCs/>
      <w:color w:val="000000"/>
      <w:sz w:val="22"/>
      <w:szCs w:val="22"/>
      <w:u w:val="none"/>
    </w:rPr>
  </w:style>
  <w:style w:type="paragraph" w:customStyle="1" w:styleId="36">
    <w:name w:val="CM20"/>
    <w:basedOn w:val="37"/>
    <w:next w:val="37"/>
    <w:autoRedefine/>
    <w:qFormat/>
    <w:uiPriority w:val="0"/>
    <w:pPr>
      <w:spacing w:line="411" w:lineRule="atLeast"/>
    </w:pPr>
    <w:rPr>
      <w:rFonts w:cs="Times New Roman"/>
      <w:color w:val="auto"/>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autoRedefine/>
    <w:qFormat/>
    <w:uiPriority w:val="0"/>
    <w:rPr>
      <w:rFonts w:hint="eastAsia" w:ascii="宋体" w:hAnsi="宋体" w:eastAsia="宋体" w:cs="宋体"/>
      <w:color w:val="000000"/>
      <w:sz w:val="22"/>
      <w:szCs w:val="22"/>
      <w:u w:val="none"/>
    </w:rPr>
  </w:style>
  <w:style w:type="character" w:customStyle="1" w:styleId="39">
    <w:name w:val="font41"/>
    <w:basedOn w:val="19"/>
    <w:autoRedefine/>
    <w:qFormat/>
    <w:uiPriority w:val="0"/>
    <w:rPr>
      <w:rFonts w:hint="eastAsia" w:ascii="宋体" w:hAnsi="宋体" w:eastAsia="宋体" w:cs="宋体"/>
      <w:color w:val="000000"/>
      <w:sz w:val="22"/>
      <w:szCs w:val="22"/>
      <w:u w:val="none"/>
    </w:rPr>
  </w:style>
  <w:style w:type="character" w:customStyle="1" w:styleId="40">
    <w:name w:val="font31"/>
    <w:basedOn w:val="19"/>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33</Pages>
  <Words>14292</Words>
  <Characters>14844</Characters>
  <Lines>70</Lines>
  <Paragraphs>19</Paragraphs>
  <TotalTime>0</TotalTime>
  <ScaleCrop>false</ScaleCrop>
  <LinksUpToDate>false</LinksUpToDate>
  <CharactersWithSpaces>15526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2024-05-14T03:09:18Z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A1DAC28A50F347B68D0C2A2E30B9C7D5</vt:lpwstr>
  </property>
</Properties>
</file>