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东区中央空调1#、2#热交换器维修服务项目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东区中央空调1#、2#热交换器维修服务项目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东区中央空调1#、2#热交换器维修服务项目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东区中央空调1#、2#热交换器维修服务项目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东区中央空调1#、2#热交换器维修服务项目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付款方式为在维修完成出具特检院年度检验报告合格后，乙方凭开具的正规增值税发票等材料向甲方办理付款手续，甲方凭手续齐全的票据付合同价的100%。（以上均不计息）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5</w:t>
      </w:r>
      <w:r>
        <w:rPr>
          <w:rStyle w:val="33"/>
          <w:rFonts w:ascii="宋体" w:hAnsi="宋体"/>
          <w:b/>
          <w:sz w:val="24"/>
          <w:highlight w:val="none"/>
        </w:rPr>
        <w:t>月</w:t>
      </w:r>
      <w:r>
        <w:rPr>
          <w:rStyle w:val="33"/>
          <w:rFonts w:hint="eastAsia" w:ascii="宋体" w:hAnsi="宋体"/>
          <w:b/>
          <w:sz w:val="24"/>
          <w:highlight w:val="none"/>
          <w:lang w:val="en-US" w:eastAsia="zh-CN"/>
        </w:rPr>
        <w:t>22</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bookmarkStart w:id="4" w:name="_GoBack"/>
      <w:bookmarkEnd w:id="4"/>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东区中央空调1#、2#热交换器维修服务项目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YDFYXJ-2024018</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2.1项目需求</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①热交换器维修包含:封头拆装、吊装，漏点补查、抛光，密闭试验，运行检测，检测点打磨等工序，维修辅材：垫片、紧固件、盲板、DN50不锈钢止回阀等，维修清单参考下表，具体维修量及辅材以现场勘查为准，现场勘查联系人：罗班13912132986，维修期间生活热水正常供应。</w:t>
      </w:r>
    </w:p>
    <w:tbl>
      <w:tblPr>
        <w:tblStyle w:val="17"/>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2636"/>
        <w:gridCol w:w="1151"/>
        <w:gridCol w:w="746"/>
        <w:gridCol w:w="288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参考品牌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本表所列清单仅供参考，具体以现场勘查为准。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维修辅材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28套螺丝</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4套螺丝</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w:t>
            </w:r>
            <w:r>
              <w:rPr>
                <w:rFonts w:hint="eastAsia" w:ascii="宋体" w:hAnsi="宋体" w:cs="宋体"/>
                <w:i w:val="0"/>
                <w:iCs w:val="0"/>
                <w:color w:val="000000"/>
                <w:kern w:val="0"/>
                <w:sz w:val="22"/>
                <w:szCs w:val="22"/>
                <w:u w:val="none"/>
                <w:lang w:val="en-US" w:eastAsia="zh-CN" w:bidi="ar"/>
              </w:rPr>
              <w:t>点</w:t>
            </w:r>
            <w:r>
              <w:rPr>
                <w:rFonts w:hint="eastAsia" w:ascii="宋体" w:hAnsi="宋体" w:eastAsia="宋体" w:cs="宋体"/>
                <w:i w:val="0"/>
                <w:iCs w:val="0"/>
                <w:color w:val="000000"/>
                <w:kern w:val="0"/>
                <w:sz w:val="22"/>
                <w:szCs w:val="22"/>
                <w:u w:val="none"/>
                <w:lang w:val="en-US" w:eastAsia="zh-CN" w:bidi="ar"/>
              </w:rPr>
              <w:t>补查</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漏点抛光</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DN50不锈钢止回阀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埃美柯、上海沪航、杰克龙</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年检（特检院出具报告）</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密闭实验</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监测点位打磨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运行检测</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②维修结束后出具特检院年度检验报告。</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③维修质保2年，2年内有任何问题免费上门维修。</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④现场图片</w:t>
      </w:r>
    </w:p>
    <w:p>
      <w:pPr>
        <w:pStyle w:val="15"/>
        <w:shd w:val="clear" w:color="auto" w:fill="FFFFFF"/>
        <w:spacing w:before="0" w:beforeAutospacing="0" w:after="0" w:afterAutospacing="0"/>
        <w:rPr>
          <w:rFonts w:hint="default" w:cs="宋体"/>
          <w:b w:val="0"/>
          <w:bCs w:val="0"/>
          <w:snapToGrid w:val="0"/>
          <w:kern w:val="0"/>
          <w:sz w:val="24"/>
          <w:szCs w:val="24"/>
          <w:lang w:val="en-US" w:eastAsia="zh-CN" w:bidi="ar-SA"/>
        </w:rPr>
      </w:pPr>
      <w:r>
        <w:rPr>
          <w:rFonts w:hint="default" w:cs="宋体"/>
          <w:b w:val="0"/>
          <w:bCs w:val="0"/>
          <w:snapToGrid w:val="0"/>
          <w:kern w:val="0"/>
          <w:sz w:val="24"/>
          <w:szCs w:val="24"/>
          <w:lang w:val="en-US" w:eastAsia="zh-CN" w:bidi="ar-SA"/>
        </w:rPr>
        <w:drawing>
          <wp:inline distT="0" distB="0" distL="114300" distR="114300">
            <wp:extent cx="2562860" cy="3418840"/>
            <wp:effectExtent l="0" t="0" r="8890" b="10160"/>
            <wp:docPr id="1" name="图片 1" descr="9751b2d4981e51e92efd1f7d98ac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51b2d4981e51e92efd1f7d98ac7c5"/>
                    <pic:cNvPicPr>
                      <a:picLocks noChangeAspect="1"/>
                    </pic:cNvPicPr>
                  </pic:nvPicPr>
                  <pic:blipFill>
                    <a:blip r:embed="rId6"/>
                    <a:stretch>
                      <a:fillRect/>
                    </a:stretch>
                  </pic:blipFill>
                  <pic:spPr>
                    <a:xfrm>
                      <a:off x="0" y="0"/>
                      <a:ext cx="2562860" cy="3418840"/>
                    </a:xfrm>
                    <a:prstGeom prst="rect">
                      <a:avLst/>
                    </a:prstGeom>
                  </pic:spPr>
                </pic:pic>
              </a:graphicData>
            </a:graphic>
          </wp:inline>
        </w:drawing>
      </w:r>
      <w:r>
        <w:rPr>
          <w:rFonts w:hint="default" w:cs="宋体"/>
          <w:b w:val="0"/>
          <w:bCs w:val="0"/>
          <w:snapToGrid w:val="0"/>
          <w:kern w:val="0"/>
          <w:sz w:val="24"/>
          <w:szCs w:val="24"/>
          <w:lang w:val="en-US" w:eastAsia="zh-CN" w:bidi="ar-SA"/>
        </w:rPr>
        <w:drawing>
          <wp:inline distT="0" distB="0" distL="114300" distR="114300">
            <wp:extent cx="2562225" cy="3416300"/>
            <wp:effectExtent l="0" t="0" r="9525" b="12700"/>
            <wp:docPr id="4" name="图片 4" descr="442c46a2f837f5ab66a0aebdd770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2c46a2f837f5ab66a0aebdd770eb6"/>
                    <pic:cNvPicPr>
                      <a:picLocks noChangeAspect="1"/>
                    </pic:cNvPicPr>
                  </pic:nvPicPr>
                  <pic:blipFill>
                    <a:blip r:embed="rId7"/>
                    <a:stretch>
                      <a:fillRect/>
                    </a:stretch>
                  </pic:blipFill>
                  <pic:spPr>
                    <a:xfrm>
                      <a:off x="0" y="0"/>
                      <a:ext cx="2562225" cy="3416300"/>
                    </a:xfrm>
                    <a:prstGeom prst="rect">
                      <a:avLst/>
                    </a:prstGeom>
                  </pic:spPr>
                </pic:pic>
              </a:graphicData>
            </a:graphic>
          </wp:inline>
        </w:drawing>
      </w:r>
    </w:p>
    <w:p>
      <w:pPr>
        <w:pStyle w:val="15"/>
        <w:shd w:val="clear" w:color="auto" w:fill="FFFFFF"/>
        <w:spacing w:before="0" w:beforeAutospacing="0" w:after="0" w:afterAutospacing="0"/>
        <w:rPr>
          <w:rFonts w:hint="default" w:cs="宋体"/>
          <w:b w:val="0"/>
          <w:bCs w:val="0"/>
          <w:snapToGrid w:val="0"/>
          <w:kern w:val="0"/>
          <w:sz w:val="24"/>
          <w:szCs w:val="24"/>
          <w:lang w:val="en-US" w:eastAsia="zh-CN" w:bidi="ar-SA"/>
        </w:rPr>
      </w:pPr>
      <w:r>
        <w:rPr>
          <w:rFonts w:hint="default" w:cs="宋体"/>
          <w:b w:val="0"/>
          <w:bCs w:val="0"/>
          <w:snapToGrid w:val="0"/>
          <w:kern w:val="0"/>
          <w:sz w:val="24"/>
          <w:szCs w:val="24"/>
          <w:lang w:val="en-US" w:eastAsia="zh-CN" w:bidi="ar-SA"/>
        </w:rPr>
        <w:drawing>
          <wp:inline distT="0" distB="0" distL="114300" distR="114300">
            <wp:extent cx="2559685" cy="3413760"/>
            <wp:effectExtent l="0" t="0" r="12065" b="15240"/>
            <wp:docPr id="5" name="图片 5" descr="e07c86b715d0913c868ba73075b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07c86b715d0913c868ba73075b6571"/>
                    <pic:cNvPicPr>
                      <a:picLocks noChangeAspect="1"/>
                    </pic:cNvPicPr>
                  </pic:nvPicPr>
                  <pic:blipFill>
                    <a:blip r:embed="rId8"/>
                    <a:stretch>
                      <a:fillRect/>
                    </a:stretch>
                  </pic:blipFill>
                  <pic:spPr>
                    <a:xfrm>
                      <a:off x="0" y="0"/>
                      <a:ext cx="2559685" cy="3413760"/>
                    </a:xfrm>
                    <a:prstGeom prst="rect">
                      <a:avLst/>
                    </a:prstGeom>
                  </pic:spPr>
                </pic:pic>
              </a:graphicData>
            </a:graphic>
          </wp:inline>
        </w:drawing>
      </w:r>
      <w:r>
        <w:rPr>
          <w:rFonts w:hint="default" w:cs="宋体"/>
          <w:b w:val="0"/>
          <w:bCs w:val="0"/>
          <w:snapToGrid w:val="0"/>
          <w:kern w:val="0"/>
          <w:sz w:val="24"/>
          <w:szCs w:val="24"/>
          <w:lang w:val="en-US" w:eastAsia="zh-CN" w:bidi="ar-SA"/>
        </w:rPr>
        <w:drawing>
          <wp:inline distT="0" distB="0" distL="114300" distR="114300">
            <wp:extent cx="2563495" cy="3418840"/>
            <wp:effectExtent l="0" t="0" r="8255" b="10160"/>
            <wp:docPr id="6" name="图片 6" descr="7cbec43ec52c9cbba78e70cc03663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cbec43ec52c9cbba78e70cc036630b"/>
                    <pic:cNvPicPr>
                      <a:picLocks noChangeAspect="1"/>
                    </pic:cNvPicPr>
                  </pic:nvPicPr>
                  <pic:blipFill>
                    <a:blip r:embed="rId9"/>
                    <a:stretch>
                      <a:fillRect/>
                    </a:stretch>
                  </pic:blipFill>
                  <pic:spPr>
                    <a:xfrm>
                      <a:off x="0" y="0"/>
                      <a:ext cx="2563495" cy="341884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东区中央空调1#、2#热交换器维修服务项目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东区中央空调1#、2#热交换器维修服务项目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YDFYXJ-2024018</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东区中央空调1#、2#热交换器维修服务项目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东区中央空调1#、2#热交换器维修服务项目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付款方式为在维修完成出具特检院年度检验报告合格后，乙方凭开具的正规增值税发票等材料向甲方办理付款手续，甲方凭手续齐全的票据付合同价的100%。（</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w:t>
      </w:r>
      <w:r>
        <w:rPr>
          <w:rFonts w:hint="eastAsia" w:ascii="宋体" w:hAnsi="宋体" w:cs="宋体"/>
          <w:sz w:val="24"/>
          <w:lang w:val="en-US" w:eastAsia="zh-CN"/>
        </w:rPr>
        <w:t>特检验年度检验报告</w:t>
      </w:r>
      <w:r>
        <w:rPr>
          <w:rFonts w:hint="eastAsia" w:ascii="宋体" w:hAnsi="宋体" w:cs="宋体"/>
          <w:sz w:val="24"/>
        </w:rPr>
        <w:t>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完成所有维修</w:t>
      </w:r>
      <w:r>
        <w:rPr>
          <w:rFonts w:hint="eastAsia" w:ascii="宋体" w:hAnsi="宋体" w:cs="宋体"/>
          <w:color w:val="000000"/>
          <w:kern w:val="0"/>
          <w:sz w:val="24"/>
        </w:rPr>
        <w:t>，</w:t>
      </w:r>
      <w:r>
        <w:rPr>
          <w:rFonts w:hint="eastAsia" w:ascii="宋体" w:hAnsi="宋体" w:cs="宋体"/>
          <w:color w:val="000000"/>
          <w:kern w:val="0"/>
          <w:sz w:val="24"/>
          <w:lang w:val="en-US" w:eastAsia="zh-CN"/>
        </w:rPr>
        <w:t>并根据甲方要求出具相应的评估报告</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5B3CC9"/>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88947D0"/>
    <w:rsid w:val="19826916"/>
    <w:rsid w:val="1A965BFC"/>
    <w:rsid w:val="1AFE14FA"/>
    <w:rsid w:val="1B0E6D6D"/>
    <w:rsid w:val="1C94789B"/>
    <w:rsid w:val="1D762024"/>
    <w:rsid w:val="1E525F06"/>
    <w:rsid w:val="1EAC0AAC"/>
    <w:rsid w:val="1F104C9D"/>
    <w:rsid w:val="1FF236E2"/>
    <w:rsid w:val="205648A9"/>
    <w:rsid w:val="21C93434"/>
    <w:rsid w:val="22A022B9"/>
    <w:rsid w:val="22EC14F1"/>
    <w:rsid w:val="23735059"/>
    <w:rsid w:val="23A1173A"/>
    <w:rsid w:val="23E9338C"/>
    <w:rsid w:val="2466755A"/>
    <w:rsid w:val="24782FEE"/>
    <w:rsid w:val="24E27B0B"/>
    <w:rsid w:val="270244AF"/>
    <w:rsid w:val="279829B9"/>
    <w:rsid w:val="28795CAE"/>
    <w:rsid w:val="28CF6D5C"/>
    <w:rsid w:val="28D728FE"/>
    <w:rsid w:val="290E1224"/>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24B0DFC"/>
    <w:rsid w:val="43487107"/>
    <w:rsid w:val="43F56786"/>
    <w:rsid w:val="4417638D"/>
    <w:rsid w:val="442C778E"/>
    <w:rsid w:val="45193D90"/>
    <w:rsid w:val="45977351"/>
    <w:rsid w:val="45F42EB8"/>
    <w:rsid w:val="46056344"/>
    <w:rsid w:val="467B4C8A"/>
    <w:rsid w:val="4689608C"/>
    <w:rsid w:val="46AD222D"/>
    <w:rsid w:val="47CE0BEB"/>
    <w:rsid w:val="47DD46E6"/>
    <w:rsid w:val="48B5696C"/>
    <w:rsid w:val="49AC543C"/>
    <w:rsid w:val="4AB8212E"/>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ECF78C3"/>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2"/>
    <w:basedOn w:val="1"/>
    <w:autoRedefine/>
    <w:qFormat/>
    <w:uiPriority w:val="0"/>
    <w:pPr>
      <w:spacing w:after="120" w:line="480" w:lineRule="auto"/>
    </w:pPr>
  </w:style>
  <w:style w:type="paragraph" w:styleId="4">
    <w:name w:val="table of authorities"/>
    <w:basedOn w:val="1"/>
    <w:next w:val="1"/>
    <w:autoRedefine/>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3"/>
    <w:basedOn w:val="1"/>
    <w:next w:val="1"/>
    <w:autoRedefine/>
    <w:qFormat/>
    <w:uiPriority w:val="0"/>
    <w:pPr>
      <w:spacing w:after="120" w:afterLines="0"/>
    </w:pPr>
    <w:rPr>
      <w:sz w:val="16"/>
      <w:szCs w:val="16"/>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17</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2024-05-14T03:10:54Z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