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YDFYXJ-2024020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药库冷库改造项目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5</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28</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药库冷库改造项目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YDFYXJ-2024020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药库冷库改造项目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3.96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6</w:t>
      </w:r>
      <w:r>
        <w:rPr>
          <w:rFonts w:hint="eastAsia" w:ascii="宋体" w:hAnsi="宋体"/>
          <w:b/>
          <w:sz w:val="24"/>
          <w:highlight w:val="none"/>
        </w:rPr>
        <w:t>月</w:t>
      </w:r>
      <w:r>
        <w:rPr>
          <w:rFonts w:hint="eastAsia" w:ascii="宋体" w:hAnsi="宋体"/>
          <w:b/>
          <w:sz w:val="24"/>
          <w:highlight w:val="none"/>
          <w:lang w:val="en-US" w:eastAsia="zh-CN"/>
        </w:rPr>
        <w:t>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药库冷库改造项目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药库冷库改造项目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合同生效后，乙方按甲方需求即时配送，并将货品送到甲方指定地点，交货完毕后按</w:t>
      </w:r>
      <w:r>
        <w:rPr>
          <w:rFonts w:hint="eastAsia" w:ascii="宋体" w:hAnsi="宋体" w:cs="宋体"/>
          <w:sz w:val="24"/>
          <w:highlight w:val="none"/>
          <w:lang w:val="en-US" w:eastAsia="zh-CN"/>
        </w:rPr>
        <w:t>实</w:t>
      </w:r>
      <w:r>
        <w:rPr>
          <w:rFonts w:hint="eastAsia" w:ascii="宋体" w:hAnsi="宋体" w:cs="宋体"/>
          <w:sz w:val="24"/>
          <w:highlight w:val="none"/>
        </w:rPr>
        <w:t>结算费用。每次结算(结算金额以甲方签收的供应数量*中标单价计算），乙方开具的正规增值税发票等材料交甲方办理付款手续，甲方凭手续齐全的单据付款。</w:t>
      </w:r>
      <w:r>
        <w:rPr>
          <w:rFonts w:hint="eastAsia" w:ascii="宋体" w:hAnsi="宋体" w:cs="宋体"/>
          <w:b/>
          <w:bCs/>
          <w:sz w:val="24"/>
          <w:highlight w:val="none"/>
        </w:rPr>
        <w:t>（以上均不计息）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6</w:t>
      </w:r>
      <w:r>
        <w:rPr>
          <w:rFonts w:hint="eastAsia" w:cs="微软雅黑"/>
          <w:b/>
          <w:highlight w:val="none"/>
        </w:rPr>
        <w:t>月</w:t>
      </w:r>
      <w:r>
        <w:rPr>
          <w:rFonts w:hint="eastAsia" w:cs="微软雅黑"/>
          <w:b/>
          <w:highlight w:val="none"/>
          <w:lang w:val="en-US" w:eastAsia="zh-CN"/>
        </w:rPr>
        <w:t>5</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6</w:t>
      </w:r>
      <w:r>
        <w:rPr>
          <w:rStyle w:val="33"/>
          <w:rFonts w:ascii="宋体" w:hAnsi="宋体"/>
          <w:b/>
          <w:sz w:val="24"/>
          <w:highlight w:val="none"/>
        </w:rPr>
        <w:t>月</w:t>
      </w:r>
      <w:r>
        <w:rPr>
          <w:rStyle w:val="33"/>
          <w:rFonts w:hint="eastAsia" w:ascii="宋体" w:hAnsi="宋体"/>
          <w:b/>
          <w:sz w:val="24"/>
          <w:highlight w:val="none"/>
          <w:lang w:val="en-US" w:eastAsia="zh-CN"/>
        </w:rPr>
        <w:t>5</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6</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药库冷库改造项目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YDFYXJ-2024020</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3.96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2.1冷库</w:t>
      </w:r>
      <w:r>
        <w:rPr>
          <w:rFonts w:hint="eastAsia" w:ascii="宋体" w:hAnsi="宋体" w:cs="宋体"/>
          <w:snapToGrid w:val="0"/>
          <w:kern w:val="0"/>
          <w:sz w:val="24"/>
          <w:highlight w:val="none"/>
        </w:rPr>
        <w:t>相关要求：</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①</w:t>
      </w:r>
      <w:r>
        <w:rPr>
          <w:rFonts w:hint="eastAsia" w:ascii="宋体" w:hAnsi="宋体" w:cs="宋体"/>
          <w:snapToGrid w:val="0"/>
          <w:kern w:val="0"/>
          <w:sz w:val="24"/>
          <w:highlight w:val="none"/>
        </w:rPr>
        <w:t>双倍输出：系统根据冷库温度的变化实现机组的智能加减载，没有达到控制温度，按照顺序逐一加载机组，卸载也是这样。</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②</w:t>
      </w:r>
      <w:r>
        <w:rPr>
          <w:rFonts w:hint="eastAsia" w:ascii="宋体" w:hAnsi="宋体" w:cs="宋体"/>
          <w:snapToGrid w:val="0"/>
          <w:kern w:val="0"/>
          <w:sz w:val="24"/>
          <w:highlight w:val="none"/>
        </w:rPr>
        <w:t>智能轮值：智能压缩机平衡运行技术，保证系统里的每台压缩机轮换运行，大大延长了压缩机的使用寿命；</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③</w:t>
      </w:r>
      <w:r>
        <w:rPr>
          <w:rFonts w:hint="eastAsia" w:ascii="宋体" w:hAnsi="宋体" w:cs="宋体"/>
          <w:snapToGrid w:val="0"/>
          <w:kern w:val="0"/>
          <w:sz w:val="24"/>
          <w:highlight w:val="none"/>
        </w:rPr>
        <w:t>故障自动切换：任何模块机组的临时检修停运都不会影响整个系统的正常运行，大大提高了整个系统的合理性和安全性；</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④</w:t>
      </w:r>
      <w:r>
        <w:rPr>
          <w:rFonts w:hint="eastAsia" w:ascii="宋体" w:hAnsi="宋体" w:cs="宋体"/>
          <w:snapToGrid w:val="0"/>
          <w:kern w:val="0"/>
          <w:sz w:val="24"/>
          <w:highlight w:val="none"/>
        </w:rPr>
        <w:t>化霜切换：任何一套机组进入化霜状态后，另一套机组自动启动，确保库内温度不受影响；</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⑤</w:t>
      </w:r>
      <w:r>
        <w:rPr>
          <w:rFonts w:hint="eastAsia" w:ascii="宋体" w:hAnsi="宋体" w:cs="宋体"/>
          <w:snapToGrid w:val="0"/>
          <w:kern w:val="0"/>
          <w:sz w:val="24"/>
          <w:highlight w:val="none"/>
        </w:rPr>
        <w:t>大屏显示：实时显示两套机组运行状态，并可直接进行控制。</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⑥</w:t>
      </w:r>
      <w:r>
        <w:rPr>
          <w:rFonts w:hint="eastAsia" w:ascii="宋体" w:hAnsi="宋体" w:cs="宋体"/>
          <w:snapToGrid w:val="0"/>
          <w:kern w:val="0"/>
          <w:sz w:val="24"/>
          <w:highlight w:val="none"/>
        </w:rPr>
        <w:t>电子膨胀阀：运行环温 -15℃ 到 +48℃，降温速度快，效果好。</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⑦</w:t>
      </w:r>
      <w:r>
        <w:rPr>
          <w:rFonts w:hint="eastAsia" w:ascii="宋体" w:hAnsi="宋体" w:cs="宋体"/>
          <w:snapToGrid w:val="0"/>
          <w:kern w:val="0"/>
          <w:sz w:val="24"/>
          <w:highlight w:val="none"/>
        </w:rPr>
        <w:t>全自动高效除霜，有霜除霜，无霜不除，冷库温升控制在最小的范围。</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⑧</w:t>
      </w:r>
      <w:r>
        <w:rPr>
          <w:rFonts w:hint="eastAsia" w:ascii="宋体" w:hAnsi="宋体" w:cs="宋体"/>
          <w:snapToGrid w:val="0"/>
          <w:kern w:val="0"/>
          <w:sz w:val="24"/>
          <w:highlight w:val="none"/>
        </w:rPr>
        <w:t>供应商必须能全天即时答应客户服务需求，客户使用过程中遇有故障，供应商需3小时内到达现场进行维修以保障正常采血工作的开展。供应商须定期巡回服务，间隔时间不少于1次/月。</w:t>
      </w:r>
      <w:r>
        <w:rPr>
          <w:rFonts w:hint="eastAsia" w:ascii="宋体" w:hAnsi="宋体" w:cs="宋体"/>
          <w:snapToGrid w:val="0"/>
          <w:kern w:val="0"/>
          <w:sz w:val="24"/>
          <w:highlight w:val="none"/>
          <w:lang w:val="en-US" w:eastAsia="zh-CN"/>
        </w:rPr>
        <w:br w:type="page"/>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2.2设备要求</w:t>
      </w:r>
    </w:p>
    <w:tbl>
      <w:tblPr>
        <w:tblStyle w:val="17"/>
        <w:tblW w:w="918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97"/>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783" w:hRule="atLeast"/>
        </w:trPr>
        <w:tc>
          <w:tcPr>
            <w:tcW w:w="840" w:type="dxa"/>
            <w:noWrap w:val="0"/>
            <w:vAlign w:val="center"/>
          </w:tcPr>
          <w:p>
            <w:pPr>
              <w:pStyle w:val="3"/>
              <w:snapToGrid w:val="0"/>
              <w:spacing w:line="380" w:lineRule="exact"/>
              <w:ind w:firstLine="0" w:firstLineChars="0"/>
              <w:jc w:val="center"/>
              <w:rPr>
                <w:rFonts w:hint="eastAsia" w:ascii="宋体" w:hAnsi="宋体" w:cs="宋体" w:eastAsiaTheme="minorEastAsia"/>
                <w:b/>
                <w:bCs/>
                <w:color w:val="000000"/>
                <w:kern w:val="0"/>
                <w:sz w:val="24"/>
                <w:szCs w:val="24"/>
                <w:lang w:val="en-US" w:eastAsia="zh-CN" w:bidi="ar-SA"/>
              </w:rPr>
            </w:pPr>
            <w:r>
              <w:rPr>
                <w:rFonts w:hint="eastAsia" w:ascii="宋体" w:hAnsi="宋体" w:cs="宋体" w:eastAsiaTheme="minorEastAsia"/>
                <w:b/>
                <w:bCs/>
                <w:color w:val="000000"/>
                <w:kern w:val="0"/>
                <w:sz w:val="24"/>
                <w:szCs w:val="24"/>
                <w:lang w:val="en-US" w:eastAsia="zh-CN" w:bidi="ar-SA"/>
              </w:rPr>
              <w:t>序号</w:t>
            </w:r>
          </w:p>
        </w:tc>
        <w:tc>
          <w:tcPr>
            <w:tcW w:w="1697" w:type="dxa"/>
            <w:noWrap w:val="0"/>
            <w:vAlign w:val="center"/>
          </w:tcPr>
          <w:p>
            <w:pPr>
              <w:pStyle w:val="3"/>
              <w:snapToGrid w:val="0"/>
              <w:spacing w:line="380" w:lineRule="exact"/>
              <w:ind w:firstLine="0" w:firstLineChars="0"/>
              <w:jc w:val="center"/>
              <w:rPr>
                <w:rFonts w:hint="eastAsia" w:ascii="宋体" w:hAnsi="宋体" w:cs="宋体" w:eastAsiaTheme="minorEastAsia"/>
                <w:b/>
                <w:bCs/>
                <w:color w:val="000000"/>
                <w:kern w:val="0"/>
                <w:sz w:val="24"/>
                <w:szCs w:val="24"/>
                <w:lang w:val="en-US" w:eastAsia="zh-CN" w:bidi="ar-SA"/>
              </w:rPr>
            </w:pPr>
            <w:r>
              <w:rPr>
                <w:rFonts w:hint="eastAsia" w:ascii="宋体" w:hAnsi="宋体" w:cs="宋体" w:eastAsiaTheme="minorEastAsia"/>
                <w:b/>
                <w:bCs/>
                <w:color w:val="000000"/>
                <w:kern w:val="0"/>
                <w:sz w:val="24"/>
                <w:szCs w:val="24"/>
                <w:lang w:val="en-US" w:eastAsia="zh-CN" w:bidi="ar-SA"/>
              </w:rPr>
              <w:t>名  称</w:t>
            </w:r>
          </w:p>
        </w:tc>
        <w:tc>
          <w:tcPr>
            <w:tcW w:w="6643" w:type="dxa"/>
            <w:noWrap w:val="0"/>
            <w:vAlign w:val="center"/>
          </w:tcPr>
          <w:p>
            <w:pPr>
              <w:pStyle w:val="3"/>
              <w:snapToGrid w:val="0"/>
              <w:spacing w:line="380" w:lineRule="exact"/>
              <w:ind w:firstLine="0" w:firstLineChars="0"/>
              <w:jc w:val="center"/>
              <w:rPr>
                <w:rFonts w:hint="eastAsia" w:ascii="宋体" w:hAnsi="宋体" w:cs="宋体" w:eastAsiaTheme="minorEastAsia"/>
                <w:b/>
                <w:bCs/>
                <w:color w:val="000000"/>
                <w:kern w:val="0"/>
                <w:sz w:val="24"/>
                <w:szCs w:val="24"/>
                <w:lang w:val="en-US" w:eastAsia="zh-CN" w:bidi="ar-SA"/>
              </w:rPr>
            </w:pPr>
            <w:r>
              <w:rPr>
                <w:rFonts w:hint="eastAsia" w:ascii="宋体" w:hAnsi="宋体" w:cs="宋体" w:eastAsiaTheme="minorEastAsia"/>
                <w:b/>
                <w:bCs/>
                <w:color w:val="000000"/>
                <w:kern w:val="0"/>
                <w:sz w:val="24"/>
                <w:szCs w:val="24"/>
                <w:lang w:val="en-US" w:eastAsia="zh-CN" w:bidi="ar-S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30" w:hRule="atLeast"/>
        </w:trPr>
        <w:tc>
          <w:tcPr>
            <w:tcW w:w="840" w:type="dxa"/>
            <w:noWrap w:val="0"/>
            <w:vAlign w:val="center"/>
          </w:tcPr>
          <w:p>
            <w:pPr>
              <w:pStyle w:val="3"/>
              <w:snapToGrid w:val="0"/>
              <w:spacing w:line="380" w:lineRule="exact"/>
              <w:ind w:firstLine="0" w:firstLineChars="0"/>
              <w:jc w:val="center"/>
              <w:rPr>
                <w:rFonts w:hint="default"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lang w:val="en-US" w:eastAsia="zh-CN" w:bidi="ar-SA"/>
              </w:rPr>
              <w:t>1</w:t>
            </w:r>
          </w:p>
        </w:tc>
        <w:tc>
          <w:tcPr>
            <w:tcW w:w="1697" w:type="dxa"/>
            <w:noWrap w:val="0"/>
            <w:vAlign w:val="center"/>
          </w:tcPr>
          <w:p>
            <w:pPr>
              <w:pStyle w:val="3"/>
              <w:snapToGrid w:val="0"/>
              <w:spacing w:line="380" w:lineRule="exact"/>
              <w:ind w:firstLine="0" w:firstLineChars="0"/>
              <w:jc w:val="center"/>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制冷设备要求</w:t>
            </w:r>
          </w:p>
        </w:tc>
        <w:tc>
          <w:tcPr>
            <w:tcW w:w="6643" w:type="dxa"/>
            <w:noWrap w:val="0"/>
            <w:vAlign w:val="center"/>
          </w:tcPr>
          <w:p>
            <w:pPr>
              <w:pStyle w:val="3"/>
              <w:snapToGrid w:val="0"/>
              <w:spacing w:line="380" w:lineRule="exact"/>
              <w:ind w:firstLine="0" w:firstLineChars="0"/>
              <w:jc w:val="center"/>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风冷式压缩冷凝机组、冷风机具有相关设备的《全国工业产品生产许可证》，采用招标人推荐品牌或同等档次品牌。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10" w:hRule="atLeast"/>
        </w:trPr>
        <w:tc>
          <w:tcPr>
            <w:tcW w:w="840" w:type="dxa"/>
            <w:noWrap w:val="0"/>
            <w:vAlign w:val="center"/>
          </w:tcPr>
          <w:p>
            <w:pPr>
              <w:pStyle w:val="3"/>
              <w:snapToGrid w:val="0"/>
              <w:spacing w:line="380" w:lineRule="exact"/>
              <w:ind w:firstLine="0" w:firstLineChars="0"/>
              <w:jc w:val="center"/>
              <w:rPr>
                <w:rFonts w:hint="default"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lang w:val="en-US" w:eastAsia="zh-CN" w:bidi="ar-SA"/>
              </w:rPr>
              <w:t>2</w:t>
            </w:r>
          </w:p>
        </w:tc>
        <w:tc>
          <w:tcPr>
            <w:tcW w:w="1697" w:type="dxa"/>
            <w:noWrap w:val="0"/>
            <w:vAlign w:val="center"/>
          </w:tcPr>
          <w:p>
            <w:pPr>
              <w:pStyle w:val="3"/>
              <w:snapToGrid w:val="0"/>
              <w:spacing w:line="380" w:lineRule="exact"/>
              <w:ind w:firstLine="0" w:firstLineChars="0"/>
              <w:jc w:val="center"/>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智能温控系统</w:t>
            </w:r>
          </w:p>
        </w:tc>
        <w:tc>
          <w:tcPr>
            <w:tcW w:w="6643" w:type="dxa"/>
            <w:noWrap w:val="0"/>
            <w:vAlign w:val="center"/>
          </w:tcPr>
          <w:p>
            <w:pPr>
              <w:pStyle w:val="3"/>
              <w:snapToGrid w:val="0"/>
              <w:spacing w:line="380" w:lineRule="exact"/>
              <w:ind w:firstLine="0" w:firstLineChars="0"/>
              <w:jc w:val="center"/>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大屏显示，模块化控制，双倍输出，故障切换，自动轮值（智能平衡），当库内温湿度高于或低于设定范围后，可短信通知相关联系人。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95" w:hRule="atLeast"/>
        </w:trPr>
        <w:tc>
          <w:tcPr>
            <w:tcW w:w="840" w:type="dxa"/>
            <w:noWrap w:val="0"/>
            <w:vAlign w:val="center"/>
          </w:tcPr>
          <w:p>
            <w:pPr>
              <w:pStyle w:val="3"/>
              <w:snapToGrid w:val="0"/>
              <w:spacing w:line="380" w:lineRule="exact"/>
              <w:ind w:left="0" w:leftChars="0" w:firstLine="0" w:firstLineChars="0"/>
              <w:jc w:val="center"/>
              <w:rPr>
                <w:rFonts w:hint="default"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lang w:val="en-US" w:eastAsia="zh-CN" w:bidi="ar-SA"/>
              </w:rPr>
              <w:t>3</w:t>
            </w:r>
          </w:p>
        </w:tc>
        <w:tc>
          <w:tcPr>
            <w:tcW w:w="1697" w:type="dxa"/>
            <w:noWrap w:val="0"/>
            <w:vAlign w:val="center"/>
          </w:tcPr>
          <w:p>
            <w:pPr>
              <w:pStyle w:val="3"/>
              <w:snapToGrid w:val="0"/>
              <w:spacing w:line="380" w:lineRule="exact"/>
              <w:ind w:left="0" w:leftChars="0" w:firstLine="0" w:firstLineChars="0"/>
              <w:jc w:val="center"/>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电控要求</w:t>
            </w:r>
          </w:p>
        </w:tc>
        <w:tc>
          <w:tcPr>
            <w:tcW w:w="6643" w:type="dxa"/>
            <w:noWrap w:val="0"/>
            <w:vAlign w:val="center"/>
          </w:tcPr>
          <w:p>
            <w:pPr>
              <w:pStyle w:val="3"/>
              <w:snapToGrid w:val="0"/>
              <w:spacing w:line="380" w:lineRule="exact"/>
              <w:ind w:firstLine="0" w:firstLineChars="0"/>
              <w:jc w:val="center"/>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控制箱采用PLC控制，自动化智能控制，交流接触器要求进口品牌。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序号</w:t>
            </w:r>
          </w:p>
        </w:tc>
        <w:tc>
          <w:tcPr>
            <w:tcW w:w="16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名  称</w:t>
            </w:r>
          </w:p>
        </w:tc>
        <w:tc>
          <w:tcPr>
            <w:tcW w:w="66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推荐品牌/厂家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6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压缩机品牌</w:t>
            </w:r>
          </w:p>
        </w:tc>
        <w:tc>
          <w:tcPr>
            <w:tcW w:w="66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比泽尔制冷技术有限公司、富士豪制冷设备有限公司、松下制冷有限公司、艾默生环境优化技术有限公司或同等档次产品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6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冷风机</w:t>
            </w:r>
          </w:p>
        </w:tc>
        <w:tc>
          <w:tcPr>
            <w:tcW w:w="66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意大利康达托制冷有限公司、松下制冷有限公司、无锡西克制冷有限公司、上海美乐柯制冷有限公司或同等档次产品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3</w:t>
            </w:r>
          </w:p>
        </w:tc>
        <w:tc>
          <w:tcPr>
            <w:tcW w:w="16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铜管阀件</w:t>
            </w:r>
          </w:p>
        </w:tc>
        <w:tc>
          <w:tcPr>
            <w:tcW w:w="66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铜管：上海飞轮、青岛宏泰。阀件：ALCO、DANFOSS或同等档次产品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4</w:t>
            </w:r>
          </w:p>
        </w:tc>
        <w:tc>
          <w:tcPr>
            <w:tcW w:w="16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电气元器件</w:t>
            </w:r>
          </w:p>
        </w:tc>
        <w:tc>
          <w:tcPr>
            <w:tcW w:w="66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施耐德、ABB或同等档次产品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c>
          <w:tcPr>
            <w:tcW w:w="169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除湿机</w:t>
            </w:r>
          </w:p>
        </w:tc>
        <w:tc>
          <w:tcPr>
            <w:tcW w:w="664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普林艾尔、多乐信、松下</w:t>
            </w:r>
          </w:p>
        </w:tc>
      </w:tr>
    </w:tbl>
    <w:p>
      <w:pPr>
        <w:adjustRightInd w:val="0"/>
        <w:snapToGrid w:val="0"/>
        <w:spacing w:line="440" w:lineRule="exact"/>
        <w:ind w:left="0" w:leftChars="0" w:firstLine="0" w:firstLineChars="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2.3参考报价单</w:t>
      </w:r>
    </w:p>
    <w:tbl>
      <w:tblPr>
        <w:tblW w:w="9180" w:type="dxa"/>
        <w:tblInd w:w="-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62"/>
        <w:gridCol w:w="1534"/>
        <w:gridCol w:w="1174"/>
        <w:gridCol w:w="697"/>
        <w:gridCol w:w="2053"/>
        <w:gridCol w:w="3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w:t>
            </w: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冷冻机组</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3匹机组</w:t>
            </w: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箱式风冷机组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冷风机</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DD4.5</w:t>
            </w: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外转子电机高效冷风机，镁铝合金外壳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电箱</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数字显示自动化霜，远程控制，自动切换机组，PLC控制，医药库专用电箱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节流装置</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只</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硅橡胶、发泡剂</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电缆线</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批</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制冷剂</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R22</w:t>
            </w: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南京金典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铜管、保温</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约6m，具体以实际勘察为准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除湿机</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5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排水管</w:t>
            </w:r>
          </w:p>
        </w:tc>
        <w:tc>
          <w:tcPr>
            <w:tcW w:w="117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5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30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9" w:hRule="atLeast"/>
        </w:trPr>
        <w:tc>
          <w:tcPr>
            <w:tcW w:w="66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8518"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r>
              <w:rPr>
                <w:rFonts w:hint="eastAsia" w:ascii="宋体" w:hAnsi="宋体" w:eastAsia="宋体" w:cs="宋体"/>
                <w:i w:val="0"/>
                <w:iCs w:val="0"/>
                <w:color w:val="000000"/>
                <w:kern w:val="0"/>
                <w:sz w:val="22"/>
                <w:szCs w:val="22"/>
                <w:u w:val="none"/>
                <w:bdr w:val="none" w:color="auto" w:sz="0" w:space="0"/>
                <w:lang w:val="en-US" w:eastAsia="zh-CN" w:bidi="ar"/>
              </w:rPr>
              <w:t>含旧机组拆除及新机组安装、调试交付使用全部费用，各供应商须自行勘察现场了解具体安装环境，</w:t>
            </w:r>
            <w:bookmarkStart w:id="4" w:name="_GoBack"/>
            <w:bookmarkEnd w:id="4"/>
            <w:r>
              <w:rPr>
                <w:rFonts w:hint="eastAsia" w:ascii="宋体" w:hAnsi="宋体" w:eastAsia="宋体" w:cs="宋体"/>
                <w:i w:val="0"/>
                <w:iCs w:val="0"/>
                <w:color w:val="000000"/>
                <w:kern w:val="0"/>
                <w:sz w:val="22"/>
                <w:szCs w:val="22"/>
                <w:u w:val="none"/>
                <w:bdr w:val="none" w:color="auto" w:sz="0" w:space="0"/>
                <w:lang w:val="en-US" w:eastAsia="zh-CN" w:bidi="ar"/>
              </w:rPr>
              <w:t>采购人不再额外支付其他费用。</w:t>
            </w: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药库冷库改造项目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YDFYXJ-2024020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改造协议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药库冷库改造项目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YDFYXJ-2024020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药库冷库改造项目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药库冷库改造项目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货物</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货物安装</w:t>
      </w:r>
      <w:r>
        <w:rPr>
          <w:rFonts w:hint="eastAsia" w:ascii="宋体" w:hAnsi="宋体" w:cs="宋体"/>
          <w:sz w:val="24"/>
          <w:highlight w:val="none"/>
        </w:rPr>
        <w:t>交付使用后，乙方凭开具的正规增值税发票等材料向甲方办理付款手续，甲方凭手续齐全的票据向乙方支付协议价的100%。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b/>
          <w:bCs/>
          <w:color w:val="auto"/>
          <w:sz w:val="24"/>
          <w:u w:val="single"/>
          <w:lang w:val="en-US" w:eastAsia="zh-CN"/>
        </w:rPr>
        <w:t xml:space="preserve"> 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color w:val="000000"/>
          <w:kern w:val="0"/>
          <w:sz w:val="24"/>
          <w:lang w:val="en-US" w:eastAsia="zh-CN"/>
        </w:rPr>
        <w:t>10日历天内</w:t>
      </w:r>
      <w:r>
        <w:rPr>
          <w:rFonts w:hint="eastAsia" w:ascii="宋体" w:hAnsi="宋体" w:cs="宋体"/>
          <w:color w:val="000000"/>
          <w:kern w:val="0"/>
          <w:sz w:val="24"/>
        </w:rPr>
        <w:t>，按照协议约定交货安装到甲方指定地点</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安装调试交付使用</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货物</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181129"/>
    <w:rsid w:val="026F03F0"/>
    <w:rsid w:val="02A1423A"/>
    <w:rsid w:val="02DB5B66"/>
    <w:rsid w:val="034D4BC8"/>
    <w:rsid w:val="04912ACD"/>
    <w:rsid w:val="04E61983"/>
    <w:rsid w:val="04F93EF7"/>
    <w:rsid w:val="053E3F8C"/>
    <w:rsid w:val="06835001"/>
    <w:rsid w:val="07CD3AA2"/>
    <w:rsid w:val="0907213E"/>
    <w:rsid w:val="0B567F20"/>
    <w:rsid w:val="0B671638"/>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4E7128"/>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FF36A9"/>
    <w:rsid w:val="32542738"/>
    <w:rsid w:val="337C4795"/>
    <w:rsid w:val="349B0B50"/>
    <w:rsid w:val="35D6255E"/>
    <w:rsid w:val="375A406B"/>
    <w:rsid w:val="37CB42F0"/>
    <w:rsid w:val="395873E0"/>
    <w:rsid w:val="398427FF"/>
    <w:rsid w:val="3B6B7997"/>
    <w:rsid w:val="3C6A7CC5"/>
    <w:rsid w:val="3C7E55A0"/>
    <w:rsid w:val="3C7E7E4D"/>
    <w:rsid w:val="3CCD6F19"/>
    <w:rsid w:val="3D920AB3"/>
    <w:rsid w:val="3E4F54B3"/>
    <w:rsid w:val="3EA006FD"/>
    <w:rsid w:val="406A6438"/>
    <w:rsid w:val="408D7F8E"/>
    <w:rsid w:val="40C726B4"/>
    <w:rsid w:val="414C3AD8"/>
    <w:rsid w:val="424B0DFC"/>
    <w:rsid w:val="43487107"/>
    <w:rsid w:val="43F56786"/>
    <w:rsid w:val="4417638D"/>
    <w:rsid w:val="45977351"/>
    <w:rsid w:val="45F42EB8"/>
    <w:rsid w:val="46056344"/>
    <w:rsid w:val="467B4C8A"/>
    <w:rsid w:val="4689608C"/>
    <w:rsid w:val="46AD222D"/>
    <w:rsid w:val="47CE0BEB"/>
    <w:rsid w:val="47DD46E6"/>
    <w:rsid w:val="48982C1C"/>
    <w:rsid w:val="48B5696C"/>
    <w:rsid w:val="49AC543C"/>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7760B9"/>
    <w:rsid w:val="54422408"/>
    <w:rsid w:val="54A03128"/>
    <w:rsid w:val="54AC3518"/>
    <w:rsid w:val="55603AEE"/>
    <w:rsid w:val="560560AD"/>
    <w:rsid w:val="56410E61"/>
    <w:rsid w:val="56881779"/>
    <w:rsid w:val="56F02C50"/>
    <w:rsid w:val="57DA3AB3"/>
    <w:rsid w:val="58A415C5"/>
    <w:rsid w:val="590F082F"/>
    <w:rsid w:val="59104CF0"/>
    <w:rsid w:val="591C0A3A"/>
    <w:rsid w:val="59ED3D62"/>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89C678A"/>
    <w:rsid w:val="6D633984"/>
    <w:rsid w:val="6DF60098"/>
    <w:rsid w:val="6DFF6D92"/>
    <w:rsid w:val="6E1F0C2D"/>
    <w:rsid w:val="6F882E18"/>
    <w:rsid w:val="708C2B36"/>
    <w:rsid w:val="70952B65"/>
    <w:rsid w:val="70A153BD"/>
    <w:rsid w:val="70C57A02"/>
    <w:rsid w:val="70DB38A7"/>
    <w:rsid w:val="70FE780D"/>
    <w:rsid w:val="716E67D9"/>
    <w:rsid w:val="71D1780D"/>
    <w:rsid w:val="71DC1AE4"/>
    <w:rsid w:val="72217603"/>
    <w:rsid w:val="72487296"/>
    <w:rsid w:val="7282207E"/>
    <w:rsid w:val="72934737"/>
    <w:rsid w:val="72AB5F51"/>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autoRedefine/>
    <w:qFormat/>
    <w:uiPriority w:val="99"/>
    <w:rPr>
      <w:rFonts w:ascii="宋体" w:hAnsi="Courier New"/>
      <w:szCs w:val="20"/>
    </w:rPr>
  </w:style>
  <w:style w:type="paragraph" w:styleId="11">
    <w:name w:val="Balloon Text"/>
    <w:basedOn w:val="1"/>
    <w:link w:val="26"/>
    <w:autoRedefine/>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 w:type="character" w:customStyle="1" w:styleId="39">
    <w:name w:val="font41"/>
    <w:basedOn w:val="19"/>
    <w:autoRedefine/>
    <w:qFormat/>
    <w:uiPriority w:val="0"/>
    <w:rPr>
      <w:rFonts w:hint="eastAsia" w:ascii="宋体" w:hAnsi="宋体" w:eastAsia="宋体" w:cs="宋体"/>
      <w:color w:val="000000"/>
      <w:sz w:val="22"/>
      <w:szCs w:val="22"/>
      <w:u w:val="none"/>
    </w:rPr>
  </w:style>
  <w:style w:type="character" w:customStyle="1" w:styleId="40">
    <w:name w:val="font31"/>
    <w:basedOn w:val="19"/>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14292</Words>
  <Characters>14844</Characters>
  <Lines>70</Lines>
  <Paragraphs>19</Paragraphs>
  <TotalTime>12</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2024-05-28T06:02:19Z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65C10085C3024CAEADD640A590922038_13</vt:lpwstr>
  </property>
</Properties>
</file>