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1719CC">
      <w:pPr>
        <w:adjustRightInd w:val="0"/>
        <w:snapToGrid w:val="0"/>
        <w:spacing w:line="560" w:lineRule="exact"/>
        <w:jc w:val="center"/>
        <w:rPr>
          <w:rFonts w:ascii="宋体" w:hAnsi="宋体" w:cs="仿宋"/>
          <w:spacing w:val="28"/>
          <w:sz w:val="44"/>
          <w:szCs w:val="44"/>
        </w:rPr>
      </w:pPr>
    </w:p>
    <w:p w14:paraId="60D6845C">
      <w:pPr>
        <w:adjustRightInd w:val="0"/>
        <w:snapToGrid w:val="0"/>
        <w:spacing w:line="600" w:lineRule="exact"/>
        <w:jc w:val="center"/>
        <w:rPr>
          <w:rFonts w:ascii="宋体" w:hAnsi="宋体" w:cs="宋体"/>
          <w:b/>
          <w:bCs/>
          <w:sz w:val="44"/>
          <w:szCs w:val="48"/>
        </w:rPr>
      </w:pPr>
      <w:r>
        <w:rPr>
          <w:rFonts w:hint="eastAsia" w:ascii="宋体" w:hAnsi="宋体" w:cs="宋体"/>
          <w:b/>
          <w:bCs/>
          <w:sz w:val="44"/>
          <w:szCs w:val="48"/>
        </w:rPr>
        <w:t>扬州市第一人民医院西区健康管理中心</w:t>
      </w:r>
    </w:p>
    <w:p w14:paraId="290BE04A">
      <w:pPr>
        <w:adjustRightInd w:val="0"/>
        <w:snapToGrid w:val="0"/>
        <w:spacing w:line="600" w:lineRule="exact"/>
        <w:jc w:val="center"/>
        <w:rPr>
          <w:rFonts w:ascii="宋体" w:hAnsi="宋体" w:cs="宋体"/>
          <w:b/>
          <w:bCs/>
          <w:sz w:val="44"/>
          <w:szCs w:val="48"/>
        </w:rPr>
      </w:pPr>
      <w:r>
        <w:rPr>
          <w:rFonts w:hint="eastAsia" w:ascii="宋体" w:hAnsi="宋体" w:cs="宋体"/>
          <w:b/>
          <w:bCs/>
          <w:sz w:val="44"/>
          <w:szCs w:val="48"/>
        </w:rPr>
        <w:t>定制吧台及定制家具采购安装项目</w:t>
      </w:r>
    </w:p>
    <w:p w14:paraId="017D0554">
      <w:pPr>
        <w:adjustRightInd w:val="0"/>
        <w:snapToGrid w:val="0"/>
        <w:spacing w:line="600" w:lineRule="exact"/>
        <w:jc w:val="center"/>
        <w:rPr>
          <w:rFonts w:ascii="宋体" w:hAnsi="宋体" w:cs="仿宋"/>
          <w:spacing w:val="28"/>
          <w:sz w:val="40"/>
          <w:szCs w:val="44"/>
        </w:rPr>
      </w:pPr>
      <w:r>
        <w:rPr>
          <w:rFonts w:hint="eastAsia" w:ascii="宋体" w:hAnsi="宋体" w:cs="宋体"/>
          <w:b/>
          <w:bCs/>
          <w:sz w:val="44"/>
          <w:szCs w:val="48"/>
        </w:rPr>
        <w:t>院内公开谈判文件</w:t>
      </w:r>
    </w:p>
    <w:p w14:paraId="376893F0">
      <w:pPr>
        <w:adjustRightInd w:val="0"/>
        <w:snapToGrid w:val="0"/>
        <w:spacing w:line="360" w:lineRule="auto"/>
        <w:jc w:val="center"/>
        <w:rPr>
          <w:rFonts w:eastAsia="黑体"/>
          <w:b/>
          <w:snapToGrid w:val="0"/>
          <w:sz w:val="72"/>
        </w:rPr>
      </w:pPr>
      <w:r>
        <w:drawing>
          <wp:inline distT="0" distB="0" distL="114300" distR="114300">
            <wp:extent cx="5480685" cy="4157345"/>
            <wp:effectExtent l="0" t="0" r="5715" b="14605"/>
            <wp:docPr id="1" name="图片 1" descr="98083457471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808345747129441"/>
                    <pic:cNvPicPr>
                      <a:picLocks noChangeAspect="1"/>
                    </pic:cNvPicPr>
                  </pic:nvPicPr>
                  <pic:blipFill>
                    <a:blip r:embed="rId8" cstate="print"/>
                    <a:stretch>
                      <a:fillRect/>
                    </a:stretch>
                  </pic:blipFill>
                  <pic:spPr>
                    <a:xfrm>
                      <a:off x="0" y="0"/>
                      <a:ext cx="5480685" cy="4157345"/>
                    </a:xfrm>
                    <a:prstGeom prst="rect">
                      <a:avLst/>
                    </a:prstGeom>
                    <a:noFill/>
                    <a:ln>
                      <a:noFill/>
                    </a:ln>
                  </pic:spPr>
                </pic:pic>
              </a:graphicData>
            </a:graphic>
          </wp:inline>
        </w:drawing>
      </w:r>
    </w:p>
    <w:p w14:paraId="0D619C54">
      <w:pPr>
        <w:spacing w:line="360" w:lineRule="auto"/>
        <w:ind w:firstLine="848" w:firstLineChars="265"/>
        <w:jc w:val="center"/>
        <w:rPr>
          <w:rFonts w:ascii="宋体" w:hAnsi="宋体" w:cs="宋体"/>
          <w:sz w:val="32"/>
          <w:szCs w:val="32"/>
        </w:rPr>
      </w:pPr>
    </w:p>
    <w:p w14:paraId="50C1BFFE">
      <w:pPr>
        <w:spacing w:line="360" w:lineRule="auto"/>
        <w:ind w:firstLine="3088" w:firstLineChars="965"/>
        <w:rPr>
          <w:rFonts w:ascii="宋体" w:hAnsi="宋体" w:cs="宋体"/>
          <w:b/>
          <w:sz w:val="32"/>
          <w:szCs w:val="32"/>
        </w:rPr>
      </w:pPr>
      <w:r>
        <w:rPr>
          <w:rFonts w:hint="eastAsia" w:ascii="宋体" w:hAnsi="宋体" w:cs="宋体"/>
          <w:sz w:val="32"/>
          <w:szCs w:val="32"/>
        </w:rPr>
        <w:t>采   购  人：</w:t>
      </w:r>
      <w:r>
        <w:rPr>
          <w:rFonts w:hint="eastAsia" w:ascii="宋体" w:hAnsi="宋体" w:cs="宋体"/>
          <w:b/>
          <w:sz w:val="32"/>
          <w:szCs w:val="32"/>
        </w:rPr>
        <w:t>扬州大学附属医院</w:t>
      </w:r>
    </w:p>
    <w:p w14:paraId="3E94399C">
      <w:pPr>
        <w:spacing w:line="360" w:lineRule="auto"/>
        <w:ind w:firstLine="3088" w:firstLineChars="965"/>
        <w:rPr>
          <w:rFonts w:ascii="宋体" w:hAnsi="宋体" w:cs="宋体"/>
          <w:b/>
          <w:sz w:val="32"/>
          <w:szCs w:val="32"/>
        </w:rPr>
        <w:sectPr>
          <w:footerReference r:id="rId4" w:type="first"/>
          <w:footerReference r:id="rId3" w:type="default"/>
          <w:pgSz w:w="11906" w:h="16838"/>
          <w:pgMar w:top="1440" w:right="1077" w:bottom="1440" w:left="1077" w:header="851" w:footer="992" w:gutter="0"/>
          <w:pgNumType w:chapStyle="1"/>
          <w:cols w:space="425" w:num="1"/>
          <w:titlePg/>
          <w:docGrid w:type="lines" w:linePitch="312" w:charSpace="0"/>
        </w:sectPr>
      </w:pPr>
      <w:r>
        <w:rPr>
          <w:rFonts w:hint="eastAsia" w:ascii="宋体" w:hAnsi="宋体" w:cs="宋体"/>
          <w:sz w:val="32"/>
          <w:szCs w:val="32"/>
        </w:rPr>
        <w:t>发 放 日 期：</w:t>
      </w:r>
      <w:bookmarkStart w:id="0" w:name="EB59c3faf64f2a4bd092a206fb1d0c3c03"/>
      <w:r>
        <w:rPr>
          <w:rFonts w:hint="eastAsia" w:ascii="宋体" w:hAnsi="宋体" w:cs="宋体"/>
          <w:b/>
          <w:sz w:val="32"/>
          <w:szCs w:val="32"/>
        </w:rPr>
        <w:t>2024年</w:t>
      </w:r>
      <w:r>
        <w:rPr>
          <w:rFonts w:ascii="宋体" w:hAnsi="宋体" w:cs="宋体"/>
          <w:b/>
          <w:sz w:val="32"/>
          <w:szCs w:val="32"/>
        </w:rPr>
        <w:t>8</w:t>
      </w:r>
      <w:r>
        <w:rPr>
          <w:rFonts w:hint="eastAsia" w:ascii="宋体" w:hAnsi="宋体" w:cs="宋体"/>
          <w:b/>
          <w:sz w:val="32"/>
          <w:szCs w:val="32"/>
        </w:rPr>
        <w:t>月</w:t>
      </w:r>
      <w:bookmarkEnd w:id="0"/>
    </w:p>
    <w:p w14:paraId="444E7654">
      <w:pPr>
        <w:spacing w:line="360" w:lineRule="auto"/>
        <w:jc w:val="center"/>
        <w:rPr>
          <w:rFonts w:ascii="宋体" w:hAnsi="宋体"/>
          <w:b/>
          <w:bCs/>
          <w:sz w:val="36"/>
          <w:szCs w:val="36"/>
        </w:rPr>
      </w:pPr>
      <w:r>
        <w:rPr>
          <w:rFonts w:hint="eastAsia" w:ascii="宋体" w:hAnsi="宋体"/>
          <w:b/>
          <w:bCs/>
          <w:sz w:val="36"/>
          <w:szCs w:val="36"/>
        </w:rPr>
        <w:t>目  录</w:t>
      </w:r>
    </w:p>
    <w:p w14:paraId="5BE17C0F">
      <w:pPr>
        <w:pStyle w:val="16"/>
        <w:ind w:firstLine="630" w:firstLineChars="300"/>
      </w:pPr>
    </w:p>
    <w:p w14:paraId="25F80839">
      <w:pPr>
        <w:pStyle w:val="16"/>
        <w:ind w:firstLine="480" w:firstLineChars="200"/>
        <w:contextualSpacing/>
        <w:jc w:val="left"/>
        <w:rPr>
          <w:rFonts w:asciiTheme="minorEastAsia" w:hAnsiTheme="minorEastAsia" w:eastAsiaTheme="minorEastAsia"/>
          <w:sz w:val="24"/>
        </w:rPr>
      </w:pPr>
      <w:r>
        <w:rPr>
          <w:rFonts w:asciiTheme="minorEastAsia" w:hAnsiTheme="minorEastAsia" w:eastAsiaTheme="minorEastAsia"/>
          <w:sz w:val="24"/>
        </w:rPr>
        <w:t>一、</w:t>
      </w:r>
      <w:r>
        <w:rPr>
          <w:rFonts w:hint="eastAsia" w:asciiTheme="minorEastAsia" w:hAnsiTheme="minorEastAsia" w:eastAsiaTheme="minorEastAsia"/>
          <w:sz w:val="24"/>
        </w:rPr>
        <w:t>谈判邀请</w:t>
      </w:r>
      <w:r>
        <w:rPr>
          <w:rFonts w:asciiTheme="minorEastAsia" w:hAnsiTheme="minorEastAsia" w:eastAsiaTheme="minorEastAsia"/>
          <w:sz w:val="24"/>
        </w:rPr>
        <w:t>………………………………………………………………………3</w:t>
      </w:r>
    </w:p>
    <w:p w14:paraId="0C0EAD0A">
      <w:pPr>
        <w:spacing w:line="360" w:lineRule="auto"/>
        <w:ind w:firstLine="480" w:firstLineChars="200"/>
        <w:contextualSpacing/>
        <w:jc w:val="left"/>
        <w:rPr>
          <w:rFonts w:asciiTheme="minorEastAsia" w:hAnsiTheme="minorEastAsia" w:eastAsiaTheme="minorEastAsia"/>
          <w:sz w:val="24"/>
        </w:rPr>
      </w:pPr>
      <w:r>
        <w:rPr>
          <w:rFonts w:hint="eastAsia" w:asciiTheme="minorEastAsia" w:hAnsiTheme="minorEastAsia" w:eastAsiaTheme="minorEastAsia"/>
          <w:sz w:val="24"/>
        </w:rPr>
        <w:t>二、项目需求</w:t>
      </w:r>
      <w:r>
        <w:rPr>
          <w:rFonts w:asciiTheme="minorEastAsia" w:hAnsiTheme="minorEastAsia" w:eastAsiaTheme="minorEastAsia"/>
          <w:sz w:val="24"/>
        </w:rPr>
        <w:t>………………………………………………………………………4</w:t>
      </w:r>
    </w:p>
    <w:p w14:paraId="75CA73D9">
      <w:pPr>
        <w:spacing w:line="360" w:lineRule="auto"/>
        <w:ind w:firstLine="480" w:firstLineChars="200"/>
        <w:contextualSpacing/>
        <w:jc w:val="left"/>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投标人须知……………………………………………………………………17</w:t>
      </w:r>
    </w:p>
    <w:p w14:paraId="7647C4E5">
      <w:pPr>
        <w:spacing w:line="360" w:lineRule="auto"/>
        <w:ind w:firstLine="480" w:firstLineChars="200"/>
        <w:contextualSpacing/>
        <w:jc w:val="left"/>
        <w:rPr>
          <w:rFonts w:ascii="宋体" w:hAnsi="宋体"/>
          <w:bCs/>
          <w:sz w:val="24"/>
        </w:rPr>
      </w:pPr>
      <w:r>
        <w:rPr>
          <w:rFonts w:hint="eastAsia" w:ascii="宋体" w:hAnsi="宋体"/>
          <w:bCs/>
          <w:sz w:val="24"/>
        </w:rPr>
        <w:t>四、投标文件格式及附件要求</w:t>
      </w:r>
      <w:r>
        <w:rPr>
          <w:rFonts w:ascii="宋体" w:hAnsi="宋体"/>
          <w:bCs/>
          <w:sz w:val="24"/>
        </w:rPr>
        <w:t>……………………………………………………25</w:t>
      </w:r>
    </w:p>
    <w:p w14:paraId="650F72F0">
      <w:pPr>
        <w:spacing w:line="360" w:lineRule="auto"/>
        <w:ind w:firstLine="480" w:firstLineChars="200"/>
        <w:contextualSpacing/>
        <w:jc w:val="left"/>
        <w:rPr>
          <w:rFonts w:ascii="宋体" w:hAnsi="宋体" w:cs="宋体"/>
          <w:b/>
          <w:sz w:val="28"/>
          <w:szCs w:val="20"/>
        </w:rPr>
      </w:pPr>
      <w:r>
        <w:rPr>
          <w:rFonts w:hint="eastAsia" w:ascii="宋体" w:hAnsi="宋体"/>
          <w:bCs/>
          <w:sz w:val="24"/>
        </w:rPr>
        <w:t>五、供应商廉洁自律承诺书格式</w:t>
      </w:r>
      <w:r>
        <w:rPr>
          <w:rFonts w:ascii="宋体" w:hAnsi="宋体"/>
          <w:bCs/>
          <w:sz w:val="24"/>
        </w:rPr>
        <w:t>…………………………………………………</w:t>
      </w:r>
      <w:bookmarkStart w:id="1" w:name="_Toc39744251"/>
      <w:r>
        <w:rPr>
          <w:rFonts w:ascii="宋体" w:hAnsi="宋体"/>
          <w:bCs/>
          <w:sz w:val="24"/>
        </w:rPr>
        <w:t>38</w:t>
      </w:r>
    </w:p>
    <w:p w14:paraId="5E5B52DA">
      <w:pPr>
        <w:widowControl/>
        <w:jc w:val="left"/>
        <w:rPr>
          <w:b/>
          <w:sz w:val="32"/>
          <w:szCs w:val="32"/>
        </w:rPr>
      </w:pPr>
      <w:r>
        <w:rPr>
          <w:b/>
          <w:sz w:val="32"/>
          <w:szCs w:val="32"/>
        </w:rPr>
        <w:br w:type="page"/>
      </w:r>
    </w:p>
    <w:p w14:paraId="04A07B45">
      <w:pPr>
        <w:jc w:val="center"/>
        <w:rPr>
          <w:b/>
          <w:sz w:val="32"/>
          <w:szCs w:val="32"/>
        </w:rPr>
      </w:pPr>
      <w:r>
        <w:rPr>
          <w:rFonts w:hint="eastAsia"/>
          <w:b/>
          <w:sz w:val="32"/>
          <w:szCs w:val="32"/>
        </w:rPr>
        <w:t>一、</w:t>
      </w:r>
      <w:bookmarkEnd w:id="1"/>
      <w:r>
        <w:rPr>
          <w:rFonts w:hint="eastAsia"/>
          <w:b/>
          <w:sz w:val="32"/>
          <w:szCs w:val="32"/>
        </w:rPr>
        <w:t>谈判邀请</w:t>
      </w:r>
    </w:p>
    <w:tbl>
      <w:tblPr>
        <w:tblStyle w:val="21"/>
        <w:tblW w:w="4871" w:type="pct"/>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2538"/>
        <w:gridCol w:w="1010"/>
        <w:gridCol w:w="709"/>
        <w:gridCol w:w="276"/>
        <w:gridCol w:w="3442"/>
      </w:tblGrid>
      <w:tr w14:paraId="1D83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94" w:type="pct"/>
            <w:tcBorders>
              <w:top w:val="single" w:color="auto" w:sz="4" w:space="0"/>
              <w:left w:val="single" w:color="auto" w:sz="4" w:space="0"/>
              <w:bottom w:val="single" w:color="auto" w:sz="4" w:space="0"/>
              <w:right w:val="single" w:color="auto" w:sz="4" w:space="0"/>
            </w:tcBorders>
            <w:vAlign w:val="center"/>
          </w:tcPr>
          <w:p w14:paraId="42E0633B">
            <w:pPr>
              <w:jc w:val="center"/>
              <w:rPr>
                <w:rFonts w:ascii="宋体" w:hAnsi="宋体"/>
                <w:szCs w:val="21"/>
              </w:rPr>
            </w:pPr>
            <w:r>
              <w:rPr>
                <w:rFonts w:hint="eastAsia" w:ascii="宋体" w:hAnsi="宋体"/>
                <w:szCs w:val="21"/>
              </w:rPr>
              <w:t>项目名称</w:t>
            </w:r>
          </w:p>
        </w:tc>
        <w:tc>
          <w:tcPr>
            <w:tcW w:w="4106" w:type="pct"/>
            <w:gridSpan w:val="5"/>
            <w:tcBorders>
              <w:top w:val="single" w:color="auto" w:sz="4" w:space="0"/>
              <w:left w:val="single" w:color="auto" w:sz="4" w:space="0"/>
              <w:bottom w:val="single" w:color="auto" w:sz="4" w:space="0"/>
              <w:right w:val="single" w:color="auto" w:sz="4" w:space="0"/>
            </w:tcBorders>
            <w:vAlign w:val="center"/>
          </w:tcPr>
          <w:p w14:paraId="390863FE">
            <w:pPr>
              <w:jc w:val="center"/>
              <w:rPr>
                <w:rFonts w:ascii="宋体" w:hAnsi="宋体"/>
                <w:szCs w:val="21"/>
              </w:rPr>
            </w:pPr>
            <w:r>
              <w:rPr>
                <w:rFonts w:hint="eastAsia" w:ascii="宋体" w:hAnsi="宋体"/>
                <w:szCs w:val="21"/>
              </w:rPr>
              <w:t>扬州市第一人民医院西区健康管理中心定制吧台及定制家具采购安装项目院内公开谈判</w:t>
            </w:r>
          </w:p>
        </w:tc>
      </w:tr>
      <w:tr w14:paraId="3667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94" w:type="pct"/>
            <w:tcBorders>
              <w:top w:val="single" w:color="auto" w:sz="4" w:space="0"/>
              <w:left w:val="single" w:color="auto" w:sz="4" w:space="0"/>
              <w:bottom w:val="single" w:color="auto" w:sz="4" w:space="0"/>
              <w:right w:val="single" w:color="auto" w:sz="4" w:space="0"/>
            </w:tcBorders>
            <w:vAlign w:val="center"/>
          </w:tcPr>
          <w:p w14:paraId="7D9E980B">
            <w:pPr>
              <w:jc w:val="center"/>
              <w:rPr>
                <w:rFonts w:ascii="宋体" w:hAnsi="宋体"/>
                <w:szCs w:val="21"/>
              </w:rPr>
            </w:pPr>
            <w:r>
              <w:rPr>
                <w:rFonts w:hint="eastAsia" w:ascii="宋体" w:hAnsi="宋体"/>
                <w:szCs w:val="21"/>
              </w:rPr>
              <w:t>服务地点</w:t>
            </w:r>
          </w:p>
        </w:tc>
        <w:tc>
          <w:tcPr>
            <w:tcW w:w="4106" w:type="pct"/>
            <w:gridSpan w:val="5"/>
            <w:tcBorders>
              <w:top w:val="single" w:color="auto" w:sz="4" w:space="0"/>
              <w:left w:val="single" w:color="auto" w:sz="4" w:space="0"/>
              <w:bottom w:val="single" w:color="auto" w:sz="4" w:space="0"/>
              <w:right w:val="single" w:color="auto" w:sz="4" w:space="0"/>
            </w:tcBorders>
            <w:vAlign w:val="center"/>
          </w:tcPr>
          <w:p w14:paraId="7BED054F">
            <w:pPr>
              <w:rPr>
                <w:rFonts w:ascii="宋体" w:hAnsi="宋体"/>
                <w:b/>
                <w:szCs w:val="21"/>
              </w:rPr>
            </w:pPr>
            <w:r>
              <w:rPr>
                <w:rFonts w:hint="eastAsia" w:ascii="宋体" w:hAnsi="宋体"/>
                <w:b/>
                <w:szCs w:val="21"/>
              </w:rPr>
              <w:t>扬州大学附属医院</w:t>
            </w:r>
          </w:p>
        </w:tc>
      </w:tr>
      <w:tr w14:paraId="3FC18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trPr>
        <w:tc>
          <w:tcPr>
            <w:tcW w:w="894" w:type="pct"/>
            <w:tcBorders>
              <w:top w:val="single" w:color="auto" w:sz="4" w:space="0"/>
              <w:left w:val="single" w:color="auto" w:sz="4" w:space="0"/>
              <w:bottom w:val="single" w:color="auto" w:sz="4" w:space="0"/>
              <w:right w:val="single" w:color="auto" w:sz="4" w:space="0"/>
            </w:tcBorders>
            <w:vAlign w:val="center"/>
          </w:tcPr>
          <w:p w14:paraId="6AEF18DC">
            <w:pPr>
              <w:jc w:val="center"/>
              <w:rPr>
                <w:rFonts w:ascii="宋体" w:hAnsi="宋体"/>
                <w:szCs w:val="21"/>
              </w:rPr>
            </w:pPr>
            <w:r>
              <w:rPr>
                <w:rFonts w:hint="eastAsia" w:ascii="宋体" w:hAnsi="宋体"/>
                <w:szCs w:val="21"/>
              </w:rPr>
              <w:t>承包方式</w:t>
            </w:r>
          </w:p>
        </w:tc>
        <w:tc>
          <w:tcPr>
            <w:tcW w:w="1307" w:type="pct"/>
            <w:tcBorders>
              <w:top w:val="single" w:color="auto" w:sz="4" w:space="0"/>
              <w:left w:val="single" w:color="auto" w:sz="4" w:space="0"/>
              <w:bottom w:val="single" w:color="auto" w:sz="4" w:space="0"/>
              <w:right w:val="single" w:color="auto" w:sz="4" w:space="0"/>
            </w:tcBorders>
            <w:vAlign w:val="center"/>
          </w:tcPr>
          <w:p w14:paraId="6D972825">
            <w:pPr>
              <w:spacing w:line="320" w:lineRule="exact"/>
              <w:rPr>
                <w:rFonts w:ascii="宋体" w:hAnsi="宋体"/>
                <w:szCs w:val="21"/>
              </w:rPr>
            </w:pPr>
            <w:r>
              <w:rPr>
                <w:rFonts w:hint="eastAsia" w:ascii="宋体" w:hAnsi="宋体"/>
                <w:szCs w:val="21"/>
              </w:rPr>
              <w:t>/</w:t>
            </w:r>
          </w:p>
        </w:tc>
        <w:tc>
          <w:tcPr>
            <w:tcW w:w="885" w:type="pct"/>
            <w:gridSpan w:val="2"/>
            <w:tcBorders>
              <w:top w:val="single" w:color="auto" w:sz="4" w:space="0"/>
              <w:left w:val="single" w:color="auto" w:sz="4" w:space="0"/>
              <w:bottom w:val="single" w:color="auto" w:sz="4" w:space="0"/>
              <w:right w:val="single" w:color="auto" w:sz="4" w:space="0"/>
            </w:tcBorders>
            <w:vAlign w:val="center"/>
          </w:tcPr>
          <w:p w14:paraId="2629DCC0">
            <w:pPr>
              <w:jc w:val="center"/>
              <w:rPr>
                <w:rFonts w:ascii="宋体" w:hAnsi="宋体"/>
                <w:szCs w:val="21"/>
              </w:rPr>
            </w:pPr>
            <w:r>
              <w:rPr>
                <w:rFonts w:hint="eastAsia" w:ascii="宋体" w:hAnsi="宋体"/>
                <w:szCs w:val="21"/>
              </w:rPr>
              <w:t>质量标准</w:t>
            </w:r>
          </w:p>
        </w:tc>
        <w:tc>
          <w:tcPr>
            <w:tcW w:w="1914" w:type="pct"/>
            <w:gridSpan w:val="2"/>
            <w:tcBorders>
              <w:top w:val="single" w:color="auto" w:sz="4" w:space="0"/>
              <w:left w:val="single" w:color="auto" w:sz="4" w:space="0"/>
              <w:bottom w:val="single" w:color="auto" w:sz="4" w:space="0"/>
              <w:right w:val="single" w:color="auto" w:sz="4" w:space="0"/>
            </w:tcBorders>
            <w:vAlign w:val="center"/>
          </w:tcPr>
          <w:p w14:paraId="58C996EE">
            <w:pPr>
              <w:jc w:val="center"/>
              <w:rPr>
                <w:rFonts w:ascii="宋体" w:hAnsi="宋体"/>
                <w:szCs w:val="21"/>
              </w:rPr>
            </w:pPr>
            <w:r>
              <w:rPr>
                <w:rFonts w:hint="eastAsia" w:ascii="宋体" w:hAnsi="宋体"/>
                <w:szCs w:val="21"/>
              </w:rPr>
              <w:t>合 格</w:t>
            </w:r>
          </w:p>
        </w:tc>
      </w:tr>
      <w:tr w14:paraId="0A39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894" w:type="pct"/>
            <w:tcBorders>
              <w:top w:val="single" w:color="auto" w:sz="4" w:space="0"/>
              <w:left w:val="single" w:color="auto" w:sz="4" w:space="0"/>
              <w:bottom w:val="single" w:color="auto" w:sz="4" w:space="0"/>
              <w:right w:val="single" w:color="auto" w:sz="4" w:space="0"/>
            </w:tcBorders>
            <w:vAlign w:val="center"/>
          </w:tcPr>
          <w:p w14:paraId="35216831">
            <w:pPr>
              <w:jc w:val="center"/>
              <w:rPr>
                <w:rFonts w:ascii="宋体" w:hAnsi="宋体"/>
                <w:szCs w:val="21"/>
              </w:rPr>
            </w:pPr>
            <w:r>
              <w:rPr>
                <w:rFonts w:hint="eastAsia" w:ascii="宋体" w:hAnsi="宋体"/>
                <w:szCs w:val="21"/>
              </w:rPr>
              <w:t>谈判预算价</w:t>
            </w:r>
          </w:p>
        </w:tc>
        <w:tc>
          <w:tcPr>
            <w:tcW w:w="1307" w:type="pct"/>
            <w:tcBorders>
              <w:top w:val="single" w:color="auto" w:sz="4" w:space="0"/>
              <w:left w:val="single" w:color="auto" w:sz="4" w:space="0"/>
              <w:bottom w:val="single" w:color="auto" w:sz="4" w:space="0"/>
              <w:right w:val="single" w:color="auto" w:sz="4" w:space="0"/>
            </w:tcBorders>
            <w:vAlign w:val="center"/>
          </w:tcPr>
          <w:p w14:paraId="5C813C82">
            <w:pPr>
              <w:spacing w:line="320" w:lineRule="exact"/>
              <w:rPr>
                <w:rFonts w:ascii="宋体" w:hAnsi="宋体"/>
                <w:szCs w:val="21"/>
              </w:rPr>
            </w:pPr>
            <w:r>
              <w:rPr>
                <w:rFonts w:hint="eastAsia" w:ascii="宋体" w:hAnsi="宋体"/>
                <w:szCs w:val="21"/>
              </w:rPr>
              <w:t>18.9万元</w:t>
            </w:r>
          </w:p>
        </w:tc>
        <w:tc>
          <w:tcPr>
            <w:tcW w:w="885" w:type="pct"/>
            <w:gridSpan w:val="2"/>
            <w:tcBorders>
              <w:top w:val="single" w:color="auto" w:sz="4" w:space="0"/>
              <w:left w:val="single" w:color="auto" w:sz="4" w:space="0"/>
              <w:right w:val="single" w:color="auto" w:sz="4" w:space="0"/>
            </w:tcBorders>
            <w:vAlign w:val="center"/>
          </w:tcPr>
          <w:p w14:paraId="3977BCAE">
            <w:pPr>
              <w:jc w:val="center"/>
              <w:rPr>
                <w:rFonts w:ascii="宋体" w:hAnsi="宋体"/>
                <w:szCs w:val="21"/>
              </w:rPr>
            </w:pPr>
            <w:r>
              <w:rPr>
                <w:rFonts w:hint="eastAsia" w:ascii="宋体" w:hAnsi="宋体"/>
                <w:szCs w:val="21"/>
              </w:rPr>
              <w:t>标书工本费</w:t>
            </w:r>
          </w:p>
        </w:tc>
        <w:tc>
          <w:tcPr>
            <w:tcW w:w="1914" w:type="pct"/>
            <w:gridSpan w:val="2"/>
            <w:tcBorders>
              <w:top w:val="single" w:color="auto" w:sz="4" w:space="0"/>
              <w:left w:val="single" w:color="auto" w:sz="4" w:space="0"/>
              <w:bottom w:val="single" w:color="auto" w:sz="4" w:space="0"/>
              <w:right w:val="single" w:color="auto" w:sz="4" w:space="0"/>
            </w:tcBorders>
            <w:vAlign w:val="center"/>
          </w:tcPr>
          <w:p w14:paraId="377EE329">
            <w:pPr>
              <w:jc w:val="center"/>
              <w:rPr>
                <w:rFonts w:ascii="宋体" w:hAnsi="宋体"/>
                <w:szCs w:val="21"/>
              </w:rPr>
            </w:pPr>
            <w:r>
              <w:rPr>
                <w:rFonts w:hint="eastAsia" w:ascii="宋体" w:hAnsi="宋体"/>
                <w:szCs w:val="21"/>
              </w:rPr>
              <w:t>/</w:t>
            </w:r>
          </w:p>
        </w:tc>
      </w:tr>
      <w:tr w14:paraId="5DB65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94" w:type="pct"/>
            <w:tcBorders>
              <w:top w:val="single" w:color="auto" w:sz="4" w:space="0"/>
              <w:left w:val="single" w:color="auto" w:sz="4" w:space="0"/>
              <w:bottom w:val="single" w:color="auto" w:sz="4" w:space="0"/>
              <w:right w:val="single" w:color="auto" w:sz="4" w:space="0"/>
            </w:tcBorders>
            <w:vAlign w:val="center"/>
          </w:tcPr>
          <w:p w14:paraId="5A9567AB">
            <w:pPr>
              <w:jc w:val="center"/>
              <w:rPr>
                <w:rFonts w:ascii="宋体" w:hAnsi="宋体"/>
                <w:szCs w:val="21"/>
              </w:rPr>
            </w:pPr>
            <w:r>
              <w:rPr>
                <w:rFonts w:hint="eastAsia"/>
                <w:szCs w:val="21"/>
              </w:rPr>
              <w:t>投标文件要求</w:t>
            </w:r>
          </w:p>
        </w:tc>
        <w:tc>
          <w:tcPr>
            <w:tcW w:w="4106" w:type="pct"/>
            <w:gridSpan w:val="5"/>
            <w:tcBorders>
              <w:top w:val="single" w:color="auto" w:sz="4" w:space="0"/>
              <w:left w:val="single" w:color="auto" w:sz="4" w:space="0"/>
              <w:bottom w:val="single" w:color="auto" w:sz="4" w:space="0"/>
              <w:right w:val="single" w:color="auto" w:sz="4" w:space="0"/>
            </w:tcBorders>
            <w:vAlign w:val="center"/>
          </w:tcPr>
          <w:p w14:paraId="64BF05D1">
            <w:pPr>
              <w:spacing w:line="360" w:lineRule="auto"/>
              <w:rPr>
                <w:rFonts w:ascii="宋体" w:hAnsi="宋体"/>
                <w:szCs w:val="21"/>
              </w:rPr>
            </w:pPr>
            <w:r>
              <w:rPr>
                <w:rFonts w:hint="eastAsia" w:ascii="宋体" w:hAnsi="宋体"/>
                <w:szCs w:val="21"/>
              </w:rPr>
              <w:t>投标文件正本1份，副本4份；所有投标文件的封面及封袋上都必须加盖投标单位法人公章及其法定代表人或授权委托人的签字。</w:t>
            </w:r>
          </w:p>
        </w:tc>
      </w:tr>
      <w:tr w14:paraId="313D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894" w:type="pct"/>
            <w:tcBorders>
              <w:top w:val="single" w:color="auto" w:sz="4" w:space="0"/>
              <w:left w:val="single" w:color="auto" w:sz="4" w:space="0"/>
              <w:bottom w:val="single" w:color="auto" w:sz="4" w:space="0"/>
              <w:right w:val="single" w:color="auto" w:sz="4" w:space="0"/>
            </w:tcBorders>
            <w:vAlign w:val="center"/>
          </w:tcPr>
          <w:p w14:paraId="1C07BC2F">
            <w:pPr>
              <w:spacing w:line="360" w:lineRule="auto"/>
              <w:jc w:val="center"/>
              <w:rPr>
                <w:rFonts w:ascii="宋体" w:hAnsi="宋体"/>
                <w:szCs w:val="21"/>
              </w:rPr>
            </w:pPr>
            <w:r>
              <w:rPr>
                <w:rFonts w:hint="eastAsia" w:ascii="宋体" w:hAnsi="宋体"/>
                <w:szCs w:val="21"/>
              </w:rPr>
              <w:t>报名截止时间</w:t>
            </w:r>
          </w:p>
        </w:tc>
        <w:tc>
          <w:tcPr>
            <w:tcW w:w="4106" w:type="pct"/>
            <w:gridSpan w:val="5"/>
            <w:tcBorders>
              <w:top w:val="single" w:color="auto" w:sz="4" w:space="0"/>
              <w:left w:val="single" w:color="auto" w:sz="4" w:space="0"/>
              <w:bottom w:val="single" w:color="auto" w:sz="4" w:space="0"/>
              <w:right w:val="single" w:color="auto" w:sz="4" w:space="0"/>
            </w:tcBorders>
            <w:vAlign w:val="center"/>
          </w:tcPr>
          <w:p w14:paraId="6D918CB2">
            <w:pPr>
              <w:spacing w:line="360" w:lineRule="auto"/>
              <w:rPr>
                <w:rFonts w:ascii="宋体" w:hAnsi="宋体"/>
                <w:szCs w:val="21"/>
                <w:highlight w:val="yellow"/>
              </w:rPr>
            </w:pPr>
            <w:r>
              <w:rPr>
                <w:rFonts w:hint="eastAsia" w:ascii="宋体" w:hAnsi="宋体"/>
                <w:color w:val="FF0000"/>
                <w:szCs w:val="21"/>
                <w:highlight w:val="yellow"/>
                <w:shd w:val="clear" w:color="FFFFFF" w:fill="D9D9D9"/>
              </w:rPr>
              <w:t>2024年8月19日17：00</w:t>
            </w:r>
          </w:p>
        </w:tc>
      </w:tr>
      <w:tr w14:paraId="7CC2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trPr>
        <w:tc>
          <w:tcPr>
            <w:tcW w:w="894" w:type="pct"/>
            <w:tcBorders>
              <w:top w:val="single" w:color="auto" w:sz="4" w:space="0"/>
              <w:left w:val="single" w:color="auto" w:sz="4" w:space="0"/>
              <w:bottom w:val="single" w:color="auto" w:sz="4" w:space="0"/>
              <w:right w:val="single" w:color="auto" w:sz="4" w:space="0"/>
            </w:tcBorders>
            <w:vAlign w:val="center"/>
          </w:tcPr>
          <w:p w14:paraId="3C308769">
            <w:pPr>
              <w:spacing w:line="360" w:lineRule="auto"/>
              <w:jc w:val="center"/>
              <w:rPr>
                <w:rFonts w:ascii="宋体" w:hAnsi="宋体"/>
                <w:szCs w:val="21"/>
              </w:rPr>
            </w:pPr>
            <w:r>
              <w:rPr>
                <w:rFonts w:hint="eastAsia" w:ascii="宋体" w:hAnsi="宋体"/>
                <w:szCs w:val="21"/>
              </w:rPr>
              <w:t>文件递交地址</w:t>
            </w:r>
          </w:p>
        </w:tc>
        <w:tc>
          <w:tcPr>
            <w:tcW w:w="4106" w:type="pct"/>
            <w:gridSpan w:val="5"/>
            <w:tcBorders>
              <w:top w:val="single" w:color="auto" w:sz="4" w:space="0"/>
              <w:left w:val="single" w:color="auto" w:sz="4" w:space="0"/>
              <w:bottom w:val="single" w:color="auto" w:sz="4" w:space="0"/>
              <w:right w:val="single" w:color="auto" w:sz="4" w:space="0"/>
            </w:tcBorders>
            <w:vAlign w:val="center"/>
          </w:tcPr>
          <w:p w14:paraId="0B21676A">
            <w:pPr>
              <w:spacing w:line="360" w:lineRule="auto"/>
              <w:rPr>
                <w:rFonts w:ascii="宋体" w:hAnsi="宋体"/>
                <w:szCs w:val="21"/>
              </w:rPr>
            </w:pPr>
            <w:r>
              <w:rPr>
                <w:rFonts w:hint="eastAsia" w:ascii="宋体" w:hAnsi="宋体"/>
                <w:szCs w:val="21"/>
              </w:rPr>
              <w:t>扬大附院西区行政楼407</w:t>
            </w:r>
          </w:p>
        </w:tc>
      </w:tr>
      <w:tr w14:paraId="00C0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94" w:type="pct"/>
            <w:tcBorders>
              <w:top w:val="single" w:color="auto" w:sz="4" w:space="0"/>
              <w:left w:val="single" w:color="auto" w:sz="4" w:space="0"/>
              <w:bottom w:val="single" w:color="auto" w:sz="4" w:space="0"/>
              <w:right w:val="single" w:color="auto" w:sz="4" w:space="0"/>
            </w:tcBorders>
            <w:vAlign w:val="center"/>
          </w:tcPr>
          <w:p w14:paraId="64759514">
            <w:pPr>
              <w:spacing w:line="360" w:lineRule="auto"/>
              <w:jc w:val="center"/>
              <w:rPr>
                <w:rFonts w:ascii="宋体" w:hAnsi="宋体" w:eastAsia="微软雅黑"/>
                <w:szCs w:val="21"/>
              </w:rPr>
            </w:pPr>
            <w:r>
              <w:rPr>
                <w:rFonts w:hint="eastAsia" w:ascii="宋体" w:hAnsi="宋体"/>
                <w:szCs w:val="21"/>
              </w:rPr>
              <w:t>谈判时间</w:t>
            </w:r>
          </w:p>
        </w:tc>
        <w:tc>
          <w:tcPr>
            <w:tcW w:w="1827" w:type="pct"/>
            <w:gridSpan w:val="2"/>
            <w:tcBorders>
              <w:top w:val="single" w:color="auto" w:sz="4" w:space="0"/>
              <w:left w:val="single" w:color="auto" w:sz="4" w:space="0"/>
              <w:bottom w:val="single" w:color="auto" w:sz="4" w:space="0"/>
              <w:right w:val="single" w:color="auto" w:sz="4" w:space="0"/>
            </w:tcBorders>
            <w:vAlign w:val="center"/>
          </w:tcPr>
          <w:p w14:paraId="6C970C26">
            <w:pPr>
              <w:spacing w:line="360" w:lineRule="auto"/>
              <w:jc w:val="both"/>
              <w:rPr>
                <w:rFonts w:ascii="宋体" w:hAnsi="宋体"/>
                <w:szCs w:val="21"/>
              </w:rPr>
            </w:pPr>
            <w:r>
              <w:rPr>
                <w:rFonts w:hint="eastAsia" w:ascii="宋体" w:hAnsi="宋体"/>
                <w:color w:val="FF0000"/>
                <w:szCs w:val="21"/>
                <w:highlight w:val="yellow"/>
                <w:shd w:val="clear" w:color="FFFFFF" w:fill="D9D9D9"/>
              </w:rPr>
              <w:t>2024年8月20日15：00</w:t>
            </w:r>
          </w:p>
        </w:tc>
        <w:tc>
          <w:tcPr>
            <w:tcW w:w="507" w:type="pct"/>
            <w:gridSpan w:val="2"/>
            <w:tcBorders>
              <w:top w:val="single" w:color="auto" w:sz="4" w:space="0"/>
              <w:left w:val="single" w:color="auto" w:sz="4" w:space="0"/>
              <w:bottom w:val="single" w:color="auto" w:sz="4" w:space="0"/>
              <w:right w:val="single" w:color="auto" w:sz="4" w:space="0"/>
            </w:tcBorders>
            <w:vAlign w:val="center"/>
          </w:tcPr>
          <w:p w14:paraId="50549336">
            <w:pPr>
              <w:spacing w:line="360" w:lineRule="auto"/>
              <w:jc w:val="center"/>
              <w:rPr>
                <w:rFonts w:ascii="宋体" w:hAnsi="宋体"/>
                <w:szCs w:val="21"/>
              </w:rPr>
            </w:pPr>
            <w:r>
              <w:rPr>
                <w:rFonts w:hint="eastAsia" w:ascii="宋体" w:hAnsi="宋体"/>
                <w:szCs w:val="21"/>
              </w:rPr>
              <w:t>地点</w:t>
            </w:r>
          </w:p>
        </w:tc>
        <w:tc>
          <w:tcPr>
            <w:tcW w:w="1772" w:type="pct"/>
            <w:tcBorders>
              <w:top w:val="single" w:color="auto" w:sz="4" w:space="0"/>
              <w:left w:val="single" w:color="auto" w:sz="4" w:space="0"/>
              <w:bottom w:val="single" w:color="auto" w:sz="4" w:space="0"/>
              <w:right w:val="single" w:color="auto" w:sz="4" w:space="0"/>
            </w:tcBorders>
            <w:vAlign w:val="center"/>
          </w:tcPr>
          <w:p w14:paraId="5FBFB52F">
            <w:pPr>
              <w:spacing w:line="360" w:lineRule="auto"/>
              <w:jc w:val="center"/>
              <w:rPr>
                <w:rFonts w:asciiTheme="minorEastAsia" w:hAnsiTheme="minorEastAsia" w:eastAsiaTheme="minorEastAsia"/>
                <w:szCs w:val="21"/>
              </w:rPr>
            </w:pPr>
            <w:r>
              <w:rPr>
                <w:rFonts w:hint="eastAsia" w:ascii="宋体" w:hAnsi="宋体"/>
                <w:b/>
                <w:szCs w:val="21"/>
              </w:rPr>
              <w:t>扬大附院西区行政楼407会议室</w:t>
            </w:r>
          </w:p>
        </w:tc>
      </w:tr>
      <w:tr w14:paraId="50B5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94" w:type="pct"/>
            <w:tcBorders>
              <w:top w:val="single" w:color="auto" w:sz="4" w:space="0"/>
              <w:left w:val="single" w:color="auto" w:sz="4" w:space="0"/>
              <w:bottom w:val="single" w:color="auto" w:sz="4" w:space="0"/>
              <w:right w:val="single" w:color="auto" w:sz="4" w:space="0"/>
            </w:tcBorders>
            <w:vAlign w:val="center"/>
          </w:tcPr>
          <w:p w14:paraId="2BB9D68D">
            <w:pPr>
              <w:spacing w:line="360" w:lineRule="auto"/>
              <w:jc w:val="center"/>
              <w:rPr>
                <w:rFonts w:ascii="宋体" w:hAnsi="宋体"/>
                <w:szCs w:val="21"/>
              </w:rPr>
            </w:pPr>
            <w:r>
              <w:rPr>
                <w:rFonts w:hint="eastAsia" w:ascii="宋体" w:hAnsi="宋体"/>
                <w:szCs w:val="21"/>
              </w:rPr>
              <w:t>联系方式</w:t>
            </w:r>
          </w:p>
        </w:tc>
        <w:tc>
          <w:tcPr>
            <w:tcW w:w="4106" w:type="pct"/>
            <w:gridSpan w:val="5"/>
            <w:tcBorders>
              <w:top w:val="single" w:color="auto" w:sz="4" w:space="0"/>
              <w:left w:val="single" w:color="auto" w:sz="4" w:space="0"/>
              <w:bottom w:val="single" w:color="auto" w:sz="4" w:space="0"/>
              <w:right w:val="single" w:color="auto" w:sz="4" w:space="0"/>
            </w:tcBorders>
            <w:vAlign w:val="center"/>
          </w:tcPr>
          <w:p w14:paraId="1A2B28A1">
            <w:pPr>
              <w:adjustRightInd w:val="0"/>
              <w:snapToGrid w:val="0"/>
              <w:spacing w:line="360" w:lineRule="auto"/>
              <w:contextualSpacing/>
              <w:rPr>
                <w:rFonts w:ascii="宋体" w:hAnsi="宋体" w:cs="宋体"/>
                <w:snapToGrid w:val="0"/>
                <w:szCs w:val="21"/>
              </w:rPr>
            </w:pPr>
            <w:r>
              <w:rPr>
                <w:rFonts w:hint="eastAsia" w:ascii="宋体" w:hAnsi="宋体" w:cs="宋体"/>
                <w:snapToGrid w:val="0"/>
                <w:szCs w:val="21"/>
              </w:rPr>
              <w:t>联系人：张老师   联系电话：0514-82099552</w:t>
            </w:r>
          </w:p>
          <w:p w14:paraId="36ACE010">
            <w:pPr>
              <w:adjustRightInd w:val="0"/>
              <w:snapToGrid w:val="0"/>
              <w:spacing w:line="360" w:lineRule="auto"/>
              <w:contextualSpacing/>
              <w:rPr>
                <w:rFonts w:ascii="宋体" w:hAnsi="宋体" w:cs="宋体"/>
                <w:snapToGrid w:val="0"/>
                <w:szCs w:val="21"/>
              </w:rPr>
            </w:pPr>
            <w:r>
              <w:rPr>
                <w:rFonts w:hint="eastAsia" w:ascii="宋体" w:hAnsi="宋体" w:cs="宋体"/>
                <w:snapToGrid w:val="0"/>
                <w:szCs w:val="21"/>
              </w:rPr>
              <w:t>地址：扬大附院西区行政楼403办公室</w:t>
            </w:r>
          </w:p>
        </w:tc>
      </w:tr>
      <w:tr w14:paraId="0A174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894" w:type="pct"/>
            <w:tcBorders>
              <w:top w:val="single" w:color="auto" w:sz="4" w:space="0"/>
              <w:left w:val="single" w:color="auto" w:sz="4" w:space="0"/>
              <w:bottom w:val="single" w:color="auto" w:sz="4" w:space="0"/>
              <w:right w:val="single" w:color="auto" w:sz="4" w:space="0"/>
            </w:tcBorders>
            <w:vAlign w:val="center"/>
          </w:tcPr>
          <w:p w14:paraId="3C277B05">
            <w:pPr>
              <w:spacing w:line="360" w:lineRule="auto"/>
              <w:jc w:val="center"/>
              <w:rPr>
                <w:rFonts w:ascii="宋体" w:hAnsi="宋体"/>
                <w:szCs w:val="21"/>
              </w:rPr>
            </w:pPr>
            <w:r>
              <w:rPr>
                <w:rFonts w:hint="eastAsia" w:ascii="宋体" w:hAnsi="宋体"/>
                <w:szCs w:val="21"/>
              </w:rPr>
              <w:t>备注</w:t>
            </w:r>
          </w:p>
        </w:tc>
        <w:tc>
          <w:tcPr>
            <w:tcW w:w="4106" w:type="pct"/>
            <w:gridSpan w:val="5"/>
            <w:tcBorders>
              <w:top w:val="single" w:color="auto" w:sz="4" w:space="0"/>
              <w:left w:val="single" w:color="auto" w:sz="4" w:space="0"/>
              <w:bottom w:val="single" w:color="auto" w:sz="4" w:space="0"/>
              <w:right w:val="single" w:color="auto" w:sz="4" w:space="0"/>
            </w:tcBorders>
            <w:vAlign w:val="center"/>
          </w:tcPr>
          <w:p w14:paraId="4D0AAB8D">
            <w:pPr>
              <w:spacing w:line="360" w:lineRule="auto"/>
              <w:ind w:firstLine="422" w:firstLineChars="200"/>
              <w:jc w:val="left"/>
              <w:rPr>
                <w:rFonts w:ascii="宋体" w:hAnsi="宋体" w:cs="宋体"/>
                <w:szCs w:val="21"/>
              </w:rPr>
            </w:pPr>
            <w:r>
              <w:rPr>
                <w:rFonts w:hint="eastAsia" w:ascii="宋体" w:hAnsi="宋体" w:cs="宋体"/>
                <w:b/>
                <w:bCs/>
                <w:szCs w:val="21"/>
              </w:rPr>
              <w:t>未提供格式的投标人自拟。</w:t>
            </w:r>
          </w:p>
        </w:tc>
      </w:tr>
    </w:tbl>
    <w:p w14:paraId="54DCCB98">
      <w:pPr>
        <w:adjustRightInd w:val="0"/>
        <w:snapToGrid w:val="0"/>
        <w:spacing w:line="360" w:lineRule="auto"/>
        <w:ind w:firstLine="482" w:firstLineChars="200"/>
        <w:rPr>
          <w:rFonts w:ascii="宋体" w:hAnsi="宋体" w:cs="宋体"/>
          <w:b/>
          <w:kern w:val="0"/>
          <w:sz w:val="24"/>
          <w:lang w:val="zh-CN"/>
        </w:rPr>
        <w:sectPr>
          <w:footerReference r:id="rId5" w:type="default"/>
          <w:pgSz w:w="11906" w:h="16838"/>
          <w:pgMar w:top="1440" w:right="1077" w:bottom="1440" w:left="1077" w:header="851" w:footer="992" w:gutter="0"/>
          <w:cols w:space="425" w:num="1"/>
          <w:titlePg/>
          <w:docGrid w:type="lines" w:linePitch="312" w:charSpace="0"/>
        </w:sectPr>
      </w:pPr>
      <w:bookmarkStart w:id="2" w:name="_Toc39744253"/>
    </w:p>
    <w:p w14:paraId="6206F644">
      <w:pPr>
        <w:jc w:val="center"/>
        <w:rPr>
          <w:b/>
          <w:sz w:val="32"/>
          <w:szCs w:val="32"/>
        </w:rPr>
      </w:pPr>
      <w:r>
        <w:rPr>
          <w:rFonts w:hint="eastAsia"/>
          <w:b/>
          <w:sz w:val="32"/>
          <w:szCs w:val="32"/>
        </w:rPr>
        <w:t>二、项目需求</w:t>
      </w:r>
    </w:p>
    <w:p w14:paraId="41A58F8A">
      <w:pPr>
        <w:adjustRightInd w:val="0"/>
        <w:snapToGrid w:val="0"/>
        <w:spacing w:line="360" w:lineRule="auto"/>
        <w:ind w:firstLine="482" w:firstLineChars="200"/>
        <w:rPr>
          <w:rFonts w:ascii="宋体" w:hAnsi="宋体" w:cs="宋体"/>
          <w:b/>
          <w:kern w:val="0"/>
          <w:sz w:val="24"/>
          <w:lang w:val="zh-CN"/>
        </w:rPr>
      </w:pPr>
      <w:r>
        <w:rPr>
          <w:rFonts w:hint="eastAsia" w:ascii="宋体" w:hAnsi="宋体" w:cs="宋体"/>
          <w:b/>
          <w:kern w:val="0"/>
          <w:sz w:val="24"/>
          <w:lang w:val="zh-CN"/>
        </w:rPr>
        <w:t>1</w:t>
      </w:r>
      <w:r>
        <w:rPr>
          <w:rFonts w:ascii="宋体" w:hAnsi="宋体" w:cs="宋体"/>
          <w:b/>
          <w:kern w:val="0"/>
          <w:sz w:val="24"/>
          <w:lang w:val="zh-CN"/>
        </w:rPr>
        <w:t>.</w:t>
      </w:r>
      <w:r>
        <w:rPr>
          <w:rFonts w:hint="eastAsia" w:ascii="宋体" w:hAnsi="宋体" w:cs="宋体"/>
          <w:b/>
          <w:kern w:val="0"/>
          <w:sz w:val="24"/>
          <w:lang w:val="zh-CN"/>
        </w:rPr>
        <w:t>项目名称</w:t>
      </w:r>
    </w:p>
    <w:p w14:paraId="25F3DE3F">
      <w:pPr>
        <w:tabs>
          <w:tab w:val="left" w:pos="0"/>
        </w:tabs>
        <w:spacing w:line="360" w:lineRule="auto"/>
        <w:ind w:firstLine="480" w:firstLineChars="200"/>
        <w:rPr>
          <w:rFonts w:ascii="宋体" w:hAnsi="宋体" w:cs="宋体"/>
          <w:sz w:val="24"/>
        </w:rPr>
      </w:pPr>
      <w:r>
        <w:rPr>
          <w:rFonts w:hint="eastAsia" w:ascii="宋体" w:hAnsi="宋体" w:cs="宋体"/>
          <w:sz w:val="24"/>
        </w:rPr>
        <w:t>扬州市第一人民医院西区健康管理中心定制吧台及定制家具采购安装项目内容</w:t>
      </w:r>
    </w:p>
    <w:p w14:paraId="1D90E1D3">
      <w:pPr>
        <w:adjustRightInd w:val="0"/>
        <w:snapToGrid w:val="0"/>
        <w:spacing w:line="360" w:lineRule="auto"/>
        <w:ind w:firstLine="482" w:firstLineChars="200"/>
        <w:rPr>
          <w:rFonts w:ascii="宋体" w:hAnsi="宋体" w:cs="宋体"/>
          <w:b/>
          <w:kern w:val="0"/>
          <w:sz w:val="24"/>
        </w:rPr>
      </w:pPr>
      <w:r>
        <w:rPr>
          <w:rFonts w:hint="eastAsia" w:ascii="宋体" w:hAnsi="宋体" w:cs="宋体"/>
          <w:b/>
          <w:kern w:val="0"/>
          <w:sz w:val="24"/>
        </w:rPr>
        <w:t>2</w:t>
      </w:r>
      <w:r>
        <w:rPr>
          <w:rFonts w:ascii="宋体" w:hAnsi="宋体" w:cs="宋体"/>
          <w:b/>
          <w:kern w:val="0"/>
          <w:sz w:val="24"/>
        </w:rPr>
        <w:t>.</w:t>
      </w:r>
      <w:r>
        <w:rPr>
          <w:rFonts w:hint="eastAsia" w:ascii="宋体" w:hAnsi="宋体" w:cs="宋体"/>
          <w:b/>
          <w:kern w:val="0"/>
          <w:sz w:val="24"/>
        </w:rPr>
        <w:t>项目内容</w:t>
      </w:r>
    </w:p>
    <w:tbl>
      <w:tblPr>
        <w:tblStyle w:val="21"/>
        <w:tblW w:w="13394" w:type="dxa"/>
        <w:jc w:val="center"/>
        <w:tblLayout w:type="fixed"/>
        <w:tblCellMar>
          <w:top w:w="0" w:type="dxa"/>
          <w:left w:w="108" w:type="dxa"/>
          <w:bottom w:w="0" w:type="dxa"/>
          <w:right w:w="108" w:type="dxa"/>
        </w:tblCellMar>
      </w:tblPr>
      <w:tblGrid>
        <w:gridCol w:w="994"/>
        <w:gridCol w:w="1276"/>
        <w:gridCol w:w="2410"/>
        <w:gridCol w:w="1890"/>
        <w:gridCol w:w="4680"/>
        <w:gridCol w:w="750"/>
        <w:gridCol w:w="1394"/>
      </w:tblGrid>
      <w:tr w14:paraId="500C1319">
        <w:tblPrEx>
          <w:tblCellMar>
            <w:top w:w="0" w:type="dxa"/>
            <w:left w:w="108" w:type="dxa"/>
            <w:bottom w:w="0" w:type="dxa"/>
            <w:right w:w="108" w:type="dxa"/>
          </w:tblCellMar>
        </w:tblPrEx>
        <w:trPr>
          <w:trHeight w:val="500" w:hRule="atLeast"/>
          <w:jc w:val="center"/>
        </w:trPr>
        <w:tc>
          <w:tcPr>
            <w:tcW w:w="994" w:type="dxa"/>
            <w:vMerge w:val="restart"/>
            <w:tcBorders>
              <w:top w:val="single" w:color="000000" w:sz="4" w:space="0"/>
              <w:left w:val="single" w:color="000000" w:sz="4" w:space="0"/>
              <w:bottom w:val="single" w:color="000000" w:sz="4" w:space="0"/>
              <w:right w:val="single" w:color="000000" w:sz="4" w:space="0"/>
            </w:tcBorders>
            <w:vAlign w:val="center"/>
          </w:tcPr>
          <w:p w14:paraId="5BE7EF07">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序号</w:t>
            </w:r>
          </w:p>
        </w:tc>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69D2AB39">
            <w:pPr>
              <w:widowControl/>
              <w:jc w:val="center"/>
              <w:textAlignment w:val="center"/>
              <w:rPr>
                <w:rFonts w:ascii="宋体" w:hAnsi="宋体" w:cs="宋体"/>
                <w:b/>
                <w:bCs/>
                <w:color w:val="000000"/>
                <w:sz w:val="24"/>
              </w:rPr>
            </w:pPr>
            <w:r>
              <w:rPr>
                <w:rFonts w:hint="eastAsia" w:ascii="宋体" w:hAnsi="宋体" w:cs="宋体"/>
                <w:b/>
                <w:bCs/>
                <w:color w:val="000000"/>
                <w:sz w:val="24"/>
              </w:rPr>
              <w:t>名称</w:t>
            </w:r>
          </w:p>
        </w:tc>
        <w:tc>
          <w:tcPr>
            <w:tcW w:w="2410" w:type="dxa"/>
            <w:vMerge w:val="restart"/>
            <w:tcBorders>
              <w:top w:val="single" w:color="000000" w:sz="4" w:space="0"/>
              <w:left w:val="single" w:color="000000" w:sz="4" w:space="0"/>
              <w:bottom w:val="single" w:color="000000" w:sz="4" w:space="0"/>
              <w:right w:val="single" w:color="000000" w:sz="4" w:space="0"/>
            </w:tcBorders>
            <w:vAlign w:val="center"/>
          </w:tcPr>
          <w:p w14:paraId="2EC5047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示例图</w:t>
            </w:r>
          </w:p>
        </w:tc>
        <w:tc>
          <w:tcPr>
            <w:tcW w:w="1890" w:type="dxa"/>
            <w:vMerge w:val="restart"/>
            <w:tcBorders>
              <w:top w:val="single" w:color="000000" w:sz="4" w:space="0"/>
              <w:left w:val="single" w:color="000000" w:sz="4" w:space="0"/>
              <w:bottom w:val="single" w:color="000000" w:sz="4" w:space="0"/>
              <w:right w:val="single" w:color="000000" w:sz="4" w:space="0"/>
            </w:tcBorders>
            <w:vAlign w:val="center"/>
          </w:tcPr>
          <w:p w14:paraId="63E8AB6E">
            <w:pPr>
              <w:widowControl/>
              <w:jc w:val="center"/>
              <w:textAlignment w:val="center"/>
              <w:rPr>
                <w:rFonts w:ascii="宋体" w:hAnsi="宋体" w:cs="宋体"/>
                <w:b/>
                <w:bCs/>
                <w:color w:val="000000"/>
                <w:kern w:val="0"/>
                <w:sz w:val="24"/>
                <w:lang w:bidi="ar"/>
              </w:rPr>
            </w:pPr>
            <w:r>
              <w:rPr>
                <w:rFonts w:hint="eastAsia" w:ascii="宋体" w:hAnsi="宋体" w:cs="宋体"/>
                <w:b/>
                <w:bCs/>
                <w:color w:val="000000"/>
                <w:kern w:val="0"/>
                <w:sz w:val="24"/>
                <w:lang w:bidi="ar"/>
              </w:rPr>
              <w:t>规格(m):</w:t>
            </w:r>
          </w:p>
          <w:p w14:paraId="1C175E49">
            <w:pPr>
              <w:widowControl/>
              <w:jc w:val="center"/>
              <w:textAlignment w:val="center"/>
              <w:rPr>
                <w:rFonts w:ascii="宋体" w:hAnsi="宋体" w:cs="宋体"/>
                <w:b/>
                <w:bCs/>
                <w:color w:val="000000"/>
                <w:kern w:val="0"/>
                <w:sz w:val="24"/>
                <w:lang w:bidi="ar"/>
              </w:rPr>
            </w:pPr>
            <w:r>
              <w:rPr>
                <w:rFonts w:hint="eastAsia" w:ascii="宋体" w:hAnsi="宋体" w:cs="宋体"/>
                <w:b/>
                <w:bCs/>
                <w:color w:val="000000"/>
                <w:kern w:val="0"/>
                <w:sz w:val="24"/>
                <w:lang w:bidi="ar"/>
              </w:rPr>
              <w:t>L×W×H</w:t>
            </w:r>
          </w:p>
        </w:tc>
        <w:tc>
          <w:tcPr>
            <w:tcW w:w="4680" w:type="dxa"/>
            <w:vMerge w:val="restart"/>
            <w:tcBorders>
              <w:top w:val="single" w:color="000000" w:sz="4" w:space="0"/>
              <w:left w:val="single" w:color="000000" w:sz="4" w:space="0"/>
              <w:bottom w:val="single" w:color="000000" w:sz="4" w:space="0"/>
              <w:right w:val="single" w:color="000000" w:sz="4" w:space="0"/>
            </w:tcBorders>
            <w:vAlign w:val="center"/>
          </w:tcPr>
          <w:p w14:paraId="7C6B70F4">
            <w:pPr>
              <w:widowControl/>
              <w:jc w:val="center"/>
              <w:textAlignment w:val="center"/>
              <w:rPr>
                <w:rFonts w:ascii="宋体" w:hAnsi="宋体" w:cs="宋体"/>
                <w:b/>
                <w:bCs/>
                <w:color w:val="000000"/>
                <w:kern w:val="0"/>
                <w:sz w:val="24"/>
                <w:lang w:bidi="ar"/>
              </w:rPr>
            </w:pPr>
            <w:r>
              <w:rPr>
                <w:rFonts w:hint="eastAsia" w:ascii="宋体" w:hAnsi="宋体" w:cs="宋体"/>
                <w:b/>
                <w:bCs/>
                <w:color w:val="000000"/>
                <w:kern w:val="0"/>
                <w:sz w:val="24"/>
                <w:lang w:bidi="ar"/>
              </w:rPr>
              <w:t>材质说明</w:t>
            </w:r>
          </w:p>
        </w:tc>
        <w:tc>
          <w:tcPr>
            <w:tcW w:w="750" w:type="dxa"/>
            <w:vMerge w:val="restart"/>
            <w:tcBorders>
              <w:top w:val="single" w:color="000000" w:sz="4" w:space="0"/>
              <w:left w:val="single" w:color="000000" w:sz="4" w:space="0"/>
              <w:bottom w:val="single" w:color="000000" w:sz="4" w:space="0"/>
              <w:right w:val="single" w:color="000000" w:sz="4" w:space="0"/>
            </w:tcBorders>
            <w:vAlign w:val="center"/>
          </w:tcPr>
          <w:p w14:paraId="003560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数量</w:t>
            </w:r>
          </w:p>
        </w:tc>
        <w:tc>
          <w:tcPr>
            <w:tcW w:w="1394" w:type="dxa"/>
            <w:vMerge w:val="restart"/>
            <w:tcBorders>
              <w:top w:val="single" w:color="000000" w:sz="4" w:space="0"/>
              <w:left w:val="single" w:color="000000" w:sz="4" w:space="0"/>
              <w:bottom w:val="single" w:color="000000" w:sz="4" w:space="0"/>
              <w:right w:val="single" w:color="000000" w:sz="4" w:space="0"/>
            </w:tcBorders>
            <w:vAlign w:val="center"/>
          </w:tcPr>
          <w:p w14:paraId="5F0D5A18">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单位</w:t>
            </w:r>
          </w:p>
        </w:tc>
      </w:tr>
      <w:tr w14:paraId="13468097">
        <w:tblPrEx>
          <w:tblCellMar>
            <w:top w:w="0" w:type="dxa"/>
            <w:left w:w="108" w:type="dxa"/>
            <w:bottom w:w="0" w:type="dxa"/>
            <w:right w:w="108" w:type="dxa"/>
          </w:tblCellMar>
        </w:tblPrEx>
        <w:trPr>
          <w:trHeight w:val="312" w:hRule="atLeast"/>
          <w:jc w:val="center"/>
        </w:trPr>
        <w:tc>
          <w:tcPr>
            <w:tcW w:w="994" w:type="dxa"/>
            <w:vMerge w:val="continue"/>
            <w:tcBorders>
              <w:top w:val="single" w:color="000000" w:sz="4" w:space="0"/>
              <w:left w:val="single" w:color="000000" w:sz="4" w:space="0"/>
              <w:bottom w:val="single" w:color="000000" w:sz="4" w:space="0"/>
              <w:right w:val="single" w:color="000000" w:sz="4" w:space="0"/>
            </w:tcBorders>
            <w:vAlign w:val="center"/>
          </w:tcPr>
          <w:p w14:paraId="2848550C">
            <w:pPr>
              <w:jc w:val="center"/>
              <w:rPr>
                <w:rFonts w:ascii="宋体" w:hAnsi="宋体" w:cs="宋体"/>
                <w:color w:val="000000"/>
                <w:szCs w:val="21"/>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014F98D5">
            <w:pPr>
              <w:jc w:val="center"/>
              <w:rPr>
                <w:rFonts w:ascii="宋体" w:hAnsi="宋体" w:cs="宋体"/>
                <w:color w:val="000000"/>
                <w:szCs w:val="21"/>
              </w:rPr>
            </w:pPr>
          </w:p>
        </w:tc>
        <w:tc>
          <w:tcPr>
            <w:tcW w:w="2410" w:type="dxa"/>
            <w:vMerge w:val="continue"/>
            <w:tcBorders>
              <w:top w:val="single" w:color="000000" w:sz="4" w:space="0"/>
              <w:left w:val="single" w:color="000000" w:sz="4" w:space="0"/>
              <w:bottom w:val="single" w:color="000000" w:sz="4" w:space="0"/>
              <w:right w:val="single" w:color="000000" w:sz="4" w:space="0"/>
            </w:tcBorders>
            <w:vAlign w:val="center"/>
          </w:tcPr>
          <w:p w14:paraId="2CAFB64A">
            <w:pPr>
              <w:jc w:val="center"/>
              <w:rPr>
                <w:rFonts w:ascii="宋体" w:hAnsi="宋体" w:cs="宋体"/>
                <w:color w:val="000000"/>
                <w:szCs w:val="21"/>
              </w:rPr>
            </w:pPr>
          </w:p>
        </w:tc>
        <w:tc>
          <w:tcPr>
            <w:tcW w:w="1890" w:type="dxa"/>
            <w:vMerge w:val="continue"/>
            <w:tcBorders>
              <w:top w:val="single" w:color="000000" w:sz="4" w:space="0"/>
              <w:left w:val="single" w:color="000000" w:sz="4" w:space="0"/>
              <w:bottom w:val="single" w:color="000000" w:sz="4" w:space="0"/>
              <w:right w:val="single" w:color="000000" w:sz="4" w:space="0"/>
            </w:tcBorders>
            <w:vAlign w:val="center"/>
          </w:tcPr>
          <w:p w14:paraId="432BF40E">
            <w:pPr>
              <w:jc w:val="center"/>
              <w:rPr>
                <w:rFonts w:ascii="宋体" w:hAnsi="宋体" w:cs="宋体"/>
                <w:color w:val="000000"/>
                <w:szCs w:val="21"/>
              </w:rPr>
            </w:pPr>
          </w:p>
        </w:tc>
        <w:tc>
          <w:tcPr>
            <w:tcW w:w="4680" w:type="dxa"/>
            <w:vMerge w:val="continue"/>
            <w:tcBorders>
              <w:top w:val="single" w:color="000000" w:sz="4" w:space="0"/>
              <w:left w:val="single" w:color="000000" w:sz="4" w:space="0"/>
              <w:bottom w:val="single" w:color="000000" w:sz="4" w:space="0"/>
              <w:right w:val="single" w:color="000000" w:sz="4" w:space="0"/>
            </w:tcBorders>
            <w:vAlign w:val="center"/>
          </w:tcPr>
          <w:p w14:paraId="1A943291">
            <w:pPr>
              <w:jc w:val="center"/>
              <w:rPr>
                <w:rFonts w:ascii="宋体" w:hAnsi="宋体" w:cs="宋体"/>
                <w:color w:val="000000"/>
                <w:szCs w:val="21"/>
              </w:rPr>
            </w:pPr>
          </w:p>
        </w:tc>
        <w:tc>
          <w:tcPr>
            <w:tcW w:w="750" w:type="dxa"/>
            <w:vMerge w:val="continue"/>
            <w:tcBorders>
              <w:top w:val="single" w:color="000000" w:sz="4" w:space="0"/>
              <w:left w:val="single" w:color="000000" w:sz="4" w:space="0"/>
              <w:bottom w:val="single" w:color="000000" w:sz="4" w:space="0"/>
              <w:right w:val="single" w:color="000000" w:sz="4" w:space="0"/>
            </w:tcBorders>
            <w:vAlign w:val="center"/>
          </w:tcPr>
          <w:p w14:paraId="5B0942FA">
            <w:pPr>
              <w:jc w:val="center"/>
              <w:rPr>
                <w:rFonts w:ascii="宋体" w:hAnsi="宋体" w:cs="宋体"/>
                <w:color w:val="000000"/>
                <w:szCs w:val="21"/>
              </w:rPr>
            </w:pPr>
          </w:p>
        </w:tc>
        <w:tc>
          <w:tcPr>
            <w:tcW w:w="1394" w:type="dxa"/>
            <w:vMerge w:val="continue"/>
            <w:tcBorders>
              <w:top w:val="single" w:color="000000" w:sz="4" w:space="0"/>
              <w:left w:val="single" w:color="000000" w:sz="4" w:space="0"/>
              <w:bottom w:val="single" w:color="000000" w:sz="4" w:space="0"/>
              <w:right w:val="single" w:color="000000" w:sz="4" w:space="0"/>
            </w:tcBorders>
            <w:vAlign w:val="center"/>
          </w:tcPr>
          <w:p w14:paraId="411F6148">
            <w:pPr>
              <w:jc w:val="center"/>
              <w:rPr>
                <w:rFonts w:ascii="宋体" w:hAnsi="宋体" w:cs="宋体"/>
                <w:color w:val="000000"/>
                <w:szCs w:val="21"/>
              </w:rPr>
            </w:pPr>
          </w:p>
        </w:tc>
      </w:tr>
      <w:tr w14:paraId="64FE4E53">
        <w:tblPrEx>
          <w:tblCellMar>
            <w:top w:w="0" w:type="dxa"/>
            <w:left w:w="108" w:type="dxa"/>
            <w:bottom w:w="0" w:type="dxa"/>
            <w:right w:w="108" w:type="dxa"/>
          </w:tblCellMar>
        </w:tblPrEx>
        <w:trPr>
          <w:trHeight w:val="3415" w:hRule="atLeast"/>
          <w:jc w:val="center"/>
        </w:trPr>
        <w:tc>
          <w:tcPr>
            <w:tcW w:w="994" w:type="dxa"/>
            <w:tcBorders>
              <w:top w:val="single" w:color="000000" w:sz="4" w:space="0"/>
              <w:left w:val="single" w:color="000000" w:sz="4" w:space="0"/>
              <w:bottom w:val="single" w:color="000000" w:sz="4" w:space="0"/>
              <w:right w:val="single" w:color="000000" w:sz="4" w:space="0"/>
            </w:tcBorders>
            <w:vAlign w:val="center"/>
          </w:tcPr>
          <w:p w14:paraId="06D6B0CF">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276" w:type="dxa"/>
            <w:tcBorders>
              <w:top w:val="single" w:color="000000" w:sz="4" w:space="0"/>
              <w:left w:val="single" w:color="000000" w:sz="4" w:space="0"/>
              <w:bottom w:val="single" w:color="000000" w:sz="4" w:space="0"/>
              <w:right w:val="single" w:color="000000" w:sz="4" w:space="0"/>
            </w:tcBorders>
            <w:vAlign w:val="center"/>
          </w:tcPr>
          <w:p w14:paraId="3D5B51DC">
            <w:pPr>
              <w:widowControl/>
              <w:jc w:val="center"/>
              <w:textAlignment w:val="center"/>
              <w:rPr>
                <w:rFonts w:ascii="宋体" w:hAnsi="宋体" w:cs="宋体"/>
                <w:color w:val="000000"/>
                <w:szCs w:val="21"/>
              </w:rPr>
            </w:pPr>
            <w:r>
              <w:rPr>
                <w:rFonts w:hint="eastAsia" w:ascii="宋体" w:hAnsi="宋体" w:cs="宋体"/>
                <w:b/>
                <w:bCs/>
                <w:color w:val="000000"/>
                <w:kern w:val="0"/>
                <w:szCs w:val="21"/>
                <w:lang w:bidi="ar"/>
              </w:rPr>
              <w:t>分诊台</w:t>
            </w:r>
          </w:p>
        </w:tc>
        <w:tc>
          <w:tcPr>
            <w:tcW w:w="2410" w:type="dxa"/>
            <w:tcBorders>
              <w:top w:val="single" w:color="000000" w:sz="4" w:space="0"/>
              <w:left w:val="single" w:color="000000" w:sz="4" w:space="0"/>
              <w:bottom w:val="single" w:color="000000" w:sz="4" w:space="0"/>
              <w:right w:val="single" w:color="000000" w:sz="4" w:space="0"/>
            </w:tcBorders>
            <w:vAlign w:val="center"/>
          </w:tcPr>
          <w:p w14:paraId="448B9E23">
            <w:pPr>
              <w:widowControl/>
              <w:jc w:val="center"/>
              <w:textAlignment w:val="center"/>
              <w:rPr>
                <w:rFonts w:ascii="宋体" w:hAnsi="宋体" w:cs="宋体"/>
                <w:color w:val="000000"/>
                <w:szCs w:val="21"/>
              </w:rPr>
            </w:pPr>
            <w:r>
              <w:rPr>
                <w:rFonts w:hint="eastAsia" w:ascii="宋体" w:hAnsi="宋体" w:cs="宋体"/>
                <w:color w:val="000000"/>
                <w:szCs w:val="21"/>
              </w:rPr>
              <w:drawing>
                <wp:inline distT="0" distB="0" distL="114300" distR="114300">
                  <wp:extent cx="1532890" cy="1579880"/>
                  <wp:effectExtent l="0" t="0" r="10160" b="1270"/>
                  <wp:docPr id="2" name="图片 2" descr="c1883678eaa5249b5eeacbe42876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1883678eaa5249b5eeacbe428762c0"/>
                          <pic:cNvPicPr>
                            <a:picLocks noChangeAspect="1"/>
                          </pic:cNvPicPr>
                        </pic:nvPicPr>
                        <pic:blipFill>
                          <a:blip r:embed="rId9"/>
                          <a:stretch>
                            <a:fillRect/>
                          </a:stretch>
                        </pic:blipFill>
                        <pic:spPr>
                          <a:xfrm>
                            <a:off x="0" y="0"/>
                            <a:ext cx="1532890" cy="1579880"/>
                          </a:xfrm>
                          <a:prstGeom prst="rect">
                            <a:avLst/>
                          </a:prstGeom>
                        </pic:spPr>
                      </pic:pic>
                    </a:graphicData>
                  </a:graphic>
                </wp:inline>
              </w:drawing>
            </w:r>
          </w:p>
        </w:tc>
        <w:tc>
          <w:tcPr>
            <w:tcW w:w="1890" w:type="dxa"/>
            <w:tcBorders>
              <w:top w:val="single" w:color="000000" w:sz="4" w:space="0"/>
              <w:left w:val="single" w:color="000000" w:sz="4" w:space="0"/>
              <w:bottom w:val="single" w:color="000000" w:sz="4" w:space="0"/>
              <w:right w:val="single" w:color="000000" w:sz="4" w:space="0"/>
            </w:tcBorders>
            <w:vAlign w:val="center"/>
          </w:tcPr>
          <w:p w14:paraId="0C8D18C3">
            <w:pPr>
              <w:widowControl/>
              <w:jc w:val="center"/>
              <w:textAlignment w:val="center"/>
              <w:rPr>
                <w:rFonts w:ascii="宋体" w:hAnsi="宋体" w:cs="宋体"/>
                <w:color w:val="000000"/>
                <w:szCs w:val="21"/>
                <w:highlight w:val="cyan"/>
              </w:rPr>
            </w:pPr>
          </w:p>
        </w:tc>
        <w:tc>
          <w:tcPr>
            <w:tcW w:w="4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9F88">
            <w:pPr>
              <w:widowControl/>
              <w:numPr>
                <w:ilvl w:val="0"/>
                <w:numId w:val="2"/>
              </w:numPr>
              <w:jc w:val="left"/>
              <w:textAlignment w:val="center"/>
              <w:rPr>
                <w:rFonts w:ascii="宋体" w:hAnsi="宋体" w:cs="宋体"/>
                <w:color w:val="000000"/>
                <w:szCs w:val="21"/>
              </w:rPr>
            </w:pPr>
            <w:r>
              <w:rPr>
                <w:rFonts w:hint="eastAsia" w:ascii="宋体" w:hAnsi="宋体" w:cs="宋体"/>
                <w:color w:val="000000"/>
                <w:szCs w:val="21"/>
              </w:rPr>
              <w:t>台面:整体采用医用复合亚克力人造石，其材料厚度≥1.2cm，                                                                                              2、分诊台立面采用烤漆工艺或面漆板同色封边。柜体基材采用E0级实木多层板，</w:t>
            </w:r>
          </w:p>
          <w:p w14:paraId="22A952BA">
            <w:pPr>
              <w:widowControl/>
              <w:numPr>
                <w:ilvl w:val="0"/>
                <w:numId w:val="2"/>
              </w:numPr>
              <w:jc w:val="left"/>
              <w:textAlignment w:val="center"/>
              <w:rPr>
                <w:rFonts w:ascii="宋体" w:hAnsi="宋体" w:cs="宋体"/>
                <w:color w:val="000000"/>
                <w:szCs w:val="21"/>
              </w:rPr>
            </w:pPr>
            <w:r>
              <w:rPr>
                <w:rFonts w:hint="eastAsia" w:ascii="宋体" w:hAnsi="宋体" w:cs="宋体"/>
                <w:color w:val="000000"/>
                <w:szCs w:val="21"/>
              </w:rPr>
              <w:t>3、导轨：采用三节导轨，抽身可全部抽出，具有抽拉顺畅，消声静音，防倾覆功能。</w:t>
            </w:r>
          </w:p>
          <w:p w14:paraId="4D51CADF">
            <w:pPr>
              <w:widowControl/>
              <w:jc w:val="left"/>
              <w:textAlignment w:val="center"/>
              <w:rPr>
                <w:rFonts w:ascii="宋体" w:hAnsi="宋体" w:cs="宋体"/>
                <w:color w:val="000000"/>
                <w:szCs w:val="21"/>
                <w:highlight w:val="cyan"/>
              </w:rPr>
            </w:pPr>
            <w:r>
              <w:rPr>
                <w:rFonts w:hint="eastAsia" w:ascii="宋体" w:hAnsi="宋体" w:cs="宋体"/>
                <w:color w:val="000000"/>
                <w:szCs w:val="21"/>
              </w:rPr>
              <w:t>4、锁具：不锈钢材质                                                                                                                                                                                       5、铰链：采用不锈钢阻尼门铰，</w:t>
            </w:r>
          </w:p>
        </w:tc>
        <w:tc>
          <w:tcPr>
            <w:tcW w:w="750" w:type="dxa"/>
            <w:tcBorders>
              <w:top w:val="single" w:color="000000" w:sz="4" w:space="0"/>
              <w:left w:val="single" w:color="000000" w:sz="4" w:space="0"/>
              <w:bottom w:val="single" w:color="000000" w:sz="4" w:space="0"/>
              <w:right w:val="single" w:color="000000" w:sz="4" w:space="0"/>
            </w:tcBorders>
            <w:vAlign w:val="center"/>
          </w:tcPr>
          <w:p w14:paraId="2BEAC770">
            <w:pPr>
              <w:widowControl/>
              <w:jc w:val="center"/>
              <w:textAlignment w:val="center"/>
              <w:rPr>
                <w:rFonts w:ascii="宋体" w:hAnsi="宋体" w:cs="宋体"/>
                <w:color w:val="000000"/>
                <w:szCs w:val="21"/>
              </w:rPr>
            </w:pPr>
            <w:r>
              <w:rPr>
                <w:rFonts w:hint="eastAsia" w:ascii="宋体" w:hAnsi="宋体" w:cs="宋体"/>
                <w:color w:val="000000"/>
                <w:szCs w:val="21"/>
              </w:rPr>
              <w:t>3</w:t>
            </w:r>
          </w:p>
        </w:tc>
        <w:tc>
          <w:tcPr>
            <w:tcW w:w="1394" w:type="dxa"/>
            <w:tcBorders>
              <w:top w:val="single" w:color="000000" w:sz="4" w:space="0"/>
              <w:left w:val="single" w:color="000000" w:sz="4" w:space="0"/>
              <w:bottom w:val="single" w:color="000000" w:sz="4" w:space="0"/>
              <w:right w:val="single" w:color="000000" w:sz="4" w:space="0"/>
            </w:tcBorders>
            <w:vAlign w:val="center"/>
          </w:tcPr>
          <w:p w14:paraId="2BAAC535">
            <w:pPr>
              <w:widowControl/>
              <w:jc w:val="center"/>
              <w:textAlignment w:val="center"/>
              <w:rPr>
                <w:rFonts w:ascii="宋体" w:hAnsi="宋体" w:cs="宋体"/>
                <w:color w:val="000000"/>
                <w:szCs w:val="21"/>
              </w:rPr>
            </w:pPr>
            <w:r>
              <w:rPr>
                <w:rFonts w:hint="eastAsia" w:ascii="宋体" w:hAnsi="宋体" w:cs="宋体"/>
                <w:color w:val="000000"/>
                <w:szCs w:val="21"/>
              </w:rPr>
              <w:t>个</w:t>
            </w:r>
          </w:p>
        </w:tc>
      </w:tr>
      <w:tr w14:paraId="79D73D2E">
        <w:tblPrEx>
          <w:tblCellMar>
            <w:top w:w="0" w:type="dxa"/>
            <w:left w:w="108" w:type="dxa"/>
            <w:bottom w:w="0" w:type="dxa"/>
            <w:right w:w="108" w:type="dxa"/>
          </w:tblCellMar>
        </w:tblPrEx>
        <w:trPr>
          <w:trHeight w:val="740" w:hRule="atLeast"/>
          <w:jc w:val="center"/>
        </w:trPr>
        <w:tc>
          <w:tcPr>
            <w:tcW w:w="994" w:type="dxa"/>
            <w:tcBorders>
              <w:top w:val="single" w:color="000000" w:sz="4" w:space="0"/>
              <w:left w:val="single" w:color="000000" w:sz="4" w:space="0"/>
              <w:bottom w:val="single" w:color="000000" w:sz="4" w:space="0"/>
              <w:right w:val="single" w:color="000000" w:sz="4" w:space="0"/>
            </w:tcBorders>
            <w:vAlign w:val="center"/>
          </w:tcPr>
          <w:p w14:paraId="7AE5B7D0">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w:t>
            </w:r>
          </w:p>
        </w:tc>
        <w:tc>
          <w:tcPr>
            <w:tcW w:w="1276" w:type="dxa"/>
            <w:tcBorders>
              <w:top w:val="single" w:color="000000" w:sz="4" w:space="0"/>
              <w:left w:val="single" w:color="000000" w:sz="4" w:space="0"/>
              <w:bottom w:val="single" w:color="000000" w:sz="4" w:space="0"/>
              <w:right w:val="single" w:color="000000" w:sz="4" w:space="0"/>
            </w:tcBorders>
            <w:vAlign w:val="center"/>
          </w:tcPr>
          <w:p w14:paraId="7AC63785">
            <w:pPr>
              <w:widowControl/>
              <w:jc w:val="center"/>
              <w:textAlignment w:val="center"/>
              <w:rPr>
                <w:rFonts w:ascii="宋体" w:hAnsi="宋体" w:cs="宋体"/>
                <w:color w:val="000000"/>
                <w:kern w:val="0"/>
                <w:szCs w:val="21"/>
                <w:lang w:bidi="ar"/>
              </w:rPr>
            </w:pPr>
            <w:r>
              <w:rPr>
                <w:rFonts w:hint="eastAsia" w:ascii="宋体" w:hAnsi="宋体" w:cs="宋体"/>
                <w:b/>
                <w:bCs/>
                <w:color w:val="000000"/>
                <w:kern w:val="0"/>
                <w:szCs w:val="21"/>
                <w:lang w:bidi="ar"/>
              </w:rPr>
              <w:t>碳13吧台</w:t>
            </w:r>
          </w:p>
        </w:tc>
        <w:tc>
          <w:tcPr>
            <w:tcW w:w="2410" w:type="dxa"/>
            <w:tcBorders>
              <w:top w:val="single" w:color="000000" w:sz="4" w:space="0"/>
              <w:left w:val="single" w:color="000000" w:sz="4" w:space="0"/>
              <w:bottom w:val="single" w:color="000000" w:sz="4" w:space="0"/>
              <w:right w:val="single" w:color="000000" w:sz="4" w:space="0"/>
            </w:tcBorders>
            <w:vAlign w:val="center"/>
          </w:tcPr>
          <w:p w14:paraId="188F827E">
            <w:pPr>
              <w:widowControl/>
              <w:jc w:val="center"/>
              <w:textAlignment w:val="center"/>
              <w:rPr>
                <w:rFonts w:ascii="宋体" w:hAnsi="宋体" w:cs="宋体"/>
                <w:color w:val="000000"/>
                <w:szCs w:val="21"/>
              </w:rPr>
            </w:pPr>
            <w:r>
              <w:rPr>
                <w:rFonts w:hint="eastAsia" w:ascii="宋体" w:hAnsi="宋体" w:cs="宋体"/>
                <w:b/>
                <w:bCs/>
                <w:color w:val="000000"/>
                <w:kern w:val="0"/>
                <w:szCs w:val="21"/>
                <w:lang w:bidi="ar"/>
              </w:rPr>
              <w:t>具体详见大样图及效果图</w:t>
            </w:r>
          </w:p>
        </w:tc>
        <w:tc>
          <w:tcPr>
            <w:tcW w:w="1890" w:type="dxa"/>
            <w:tcBorders>
              <w:top w:val="single" w:color="000000" w:sz="4" w:space="0"/>
              <w:left w:val="single" w:color="000000" w:sz="4" w:space="0"/>
              <w:bottom w:val="single" w:color="000000" w:sz="4" w:space="0"/>
              <w:right w:val="single" w:color="000000" w:sz="4" w:space="0"/>
            </w:tcBorders>
            <w:vAlign w:val="center"/>
          </w:tcPr>
          <w:p w14:paraId="129A825C">
            <w:pPr>
              <w:spacing w:line="360" w:lineRule="auto"/>
              <w:jc w:val="center"/>
              <w:rPr>
                <w:rFonts w:ascii="宋体" w:hAnsi="宋体" w:cs="宋体"/>
                <w:b/>
                <w:bCs/>
                <w:color w:val="000000"/>
                <w:kern w:val="0"/>
                <w:szCs w:val="21"/>
                <w:lang w:bidi="ar"/>
              </w:rPr>
            </w:pPr>
            <w:r>
              <w:rPr>
                <w:rFonts w:hint="eastAsia" w:ascii="宋体" w:hAnsi="宋体" w:cs="宋体"/>
                <w:b/>
                <w:bCs/>
                <w:color w:val="000000"/>
                <w:kern w:val="0"/>
                <w:szCs w:val="21"/>
                <w:lang w:bidi="ar"/>
              </w:rPr>
              <w:t>具体详见大样图</w:t>
            </w:r>
          </w:p>
          <w:p w14:paraId="7A2AD3A8">
            <w:pPr>
              <w:spacing w:line="360" w:lineRule="auto"/>
              <w:jc w:val="center"/>
              <w:rPr>
                <w:rFonts w:ascii="宋体" w:hAnsi="宋体" w:cs="宋体"/>
                <w:b/>
                <w:bCs/>
                <w:color w:val="000000"/>
                <w:kern w:val="0"/>
                <w:szCs w:val="21"/>
                <w:lang w:bidi="ar"/>
              </w:rPr>
            </w:pPr>
            <w:r>
              <w:rPr>
                <w:rFonts w:hint="eastAsia" w:ascii="宋体" w:hAnsi="宋体" w:cs="宋体"/>
                <w:b/>
                <w:bCs/>
                <w:color w:val="000000"/>
                <w:kern w:val="0"/>
                <w:szCs w:val="21"/>
                <w:lang w:bidi="ar"/>
              </w:rPr>
              <w:t>（附件）</w:t>
            </w:r>
          </w:p>
        </w:tc>
        <w:tc>
          <w:tcPr>
            <w:tcW w:w="4680" w:type="dxa"/>
            <w:tcBorders>
              <w:top w:val="single" w:color="000000" w:sz="4" w:space="0"/>
              <w:left w:val="single" w:color="000000" w:sz="4" w:space="0"/>
              <w:bottom w:val="single" w:color="000000" w:sz="4" w:space="0"/>
              <w:right w:val="single" w:color="000000" w:sz="4" w:space="0"/>
            </w:tcBorders>
            <w:vAlign w:val="center"/>
          </w:tcPr>
          <w:p w14:paraId="14AA5CDA">
            <w:pPr>
              <w:widowControl/>
              <w:numPr>
                <w:ilvl w:val="0"/>
                <w:numId w:val="3"/>
              </w:numPr>
              <w:jc w:val="left"/>
              <w:textAlignment w:val="center"/>
              <w:rPr>
                <w:rFonts w:ascii="宋体" w:hAnsi="宋体" w:cs="宋体"/>
                <w:color w:val="000000"/>
                <w:szCs w:val="21"/>
              </w:rPr>
            </w:pPr>
            <w:r>
              <w:rPr>
                <w:rFonts w:hint="eastAsia" w:ascii="宋体" w:hAnsi="宋体" w:cs="宋体"/>
                <w:color w:val="000000"/>
                <w:szCs w:val="21"/>
              </w:rPr>
              <w:t>平面和立面采用杜邦品牌亚克力人造石</w:t>
            </w:r>
          </w:p>
          <w:p w14:paraId="3D8E014B">
            <w:pPr>
              <w:widowControl/>
              <w:jc w:val="left"/>
              <w:textAlignment w:val="center"/>
              <w:rPr>
                <w:rFonts w:ascii="宋体" w:hAnsi="宋体" w:cs="宋体"/>
                <w:color w:val="000000"/>
                <w:szCs w:val="21"/>
              </w:rPr>
            </w:pPr>
            <w:r>
              <w:rPr>
                <w:rFonts w:hint="eastAsia" w:ascii="宋体" w:hAnsi="宋体" w:cs="宋体"/>
                <w:color w:val="000000"/>
                <w:szCs w:val="21"/>
              </w:rPr>
              <w:t>2、柜体：基材采用E0级实木多层板，</w:t>
            </w:r>
          </w:p>
          <w:p w14:paraId="0480EBCC">
            <w:pPr>
              <w:widowControl/>
              <w:jc w:val="left"/>
              <w:textAlignment w:val="center"/>
              <w:rPr>
                <w:rFonts w:ascii="宋体" w:hAnsi="宋体" w:cs="宋体"/>
                <w:color w:val="000000"/>
                <w:szCs w:val="21"/>
              </w:rPr>
            </w:pPr>
            <w:r>
              <w:rPr>
                <w:rFonts w:hint="eastAsia" w:ascii="宋体" w:hAnsi="宋体" w:cs="宋体"/>
                <w:color w:val="000000"/>
                <w:szCs w:val="21"/>
              </w:rPr>
              <w:t>3、立面造型及踢脚线配LED效果灯</w:t>
            </w:r>
          </w:p>
          <w:p w14:paraId="755E962C">
            <w:pPr>
              <w:widowControl/>
              <w:jc w:val="left"/>
              <w:textAlignment w:val="center"/>
              <w:rPr>
                <w:rFonts w:ascii="宋体" w:hAnsi="宋体" w:cs="宋体"/>
                <w:color w:val="000000"/>
                <w:szCs w:val="21"/>
              </w:rPr>
            </w:pPr>
            <w:r>
              <w:rPr>
                <w:rFonts w:hint="eastAsia" w:ascii="宋体" w:hAnsi="宋体" w:cs="宋体"/>
                <w:color w:val="000000"/>
                <w:szCs w:val="21"/>
              </w:rPr>
              <w:t>4、环保等级：E0级。</w:t>
            </w:r>
          </w:p>
          <w:p w14:paraId="27BD62C9">
            <w:pPr>
              <w:widowControl/>
              <w:jc w:val="left"/>
              <w:textAlignment w:val="center"/>
              <w:rPr>
                <w:rFonts w:ascii="宋体" w:hAnsi="宋体" w:cs="宋体"/>
                <w:color w:val="000000"/>
                <w:szCs w:val="21"/>
              </w:rPr>
            </w:pPr>
            <w:r>
              <w:rPr>
                <w:rFonts w:hint="eastAsia" w:ascii="宋体" w:hAnsi="宋体" w:cs="宋体"/>
                <w:color w:val="000000"/>
                <w:szCs w:val="21"/>
              </w:rPr>
              <w:t>5、不锈钢踢脚线</w:t>
            </w:r>
          </w:p>
          <w:p w14:paraId="11E6777F">
            <w:pPr>
              <w:widowControl/>
              <w:jc w:val="left"/>
              <w:textAlignment w:val="center"/>
              <w:rPr>
                <w:rFonts w:ascii="宋体" w:hAnsi="宋体" w:cs="宋体"/>
                <w:color w:val="000000"/>
                <w:szCs w:val="21"/>
              </w:rPr>
            </w:pPr>
            <w:r>
              <w:rPr>
                <w:rFonts w:hint="eastAsia" w:ascii="宋体" w:hAnsi="宋体" w:cs="宋体"/>
                <w:color w:val="000000"/>
                <w:szCs w:val="21"/>
              </w:rPr>
              <w:t>6、根据工位配套抽屉、键盘抽和电脑主机柜</w:t>
            </w:r>
          </w:p>
          <w:p w14:paraId="29EF937B">
            <w:pPr>
              <w:widowControl/>
              <w:jc w:val="left"/>
              <w:textAlignment w:val="center"/>
              <w:rPr>
                <w:rFonts w:ascii="宋体" w:hAnsi="宋体" w:cs="宋体"/>
                <w:color w:val="000000"/>
                <w:szCs w:val="21"/>
              </w:rPr>
            </w:pPr>
            <w:r>
              <w:rPr>
                <w:rFonts w:hint="eastAsia" w:ascii="宋体" w:hAnsi="宋体" w:cs="宋体"/>
                <w:color w:val="000000"/>
                <w:szCs w:val="21"/>
              </w:rPr>
              <w:t>7、配套5个工位的电源插座和网络插座</w:t>
            </w:r>
          </w:p>
        </w:tc>
        <w:tc>
          <w:tcPr>
            <w:tcW w:w="750" w:type="dxa"/>
            <w:tcBorders>
              <w:top w:val="single" w:color="000000" w:sz="4" w:space="0"/>
              <w:left w:val="single" w:color="000000" w:sz="4" w:space="0"/>
              <w:bottom w:val="single" w:color="000000" w:sz="4" w:space="0"/>
              <w:right w:val="single" w:color="000000" w:sz="4" w:space="0"/>
            </w:tcBorders>
            <w:vAlign w:val="center"/>
          </w:tcPr>
          <w:p w14:paraId="3310DD83">
            <w:pPr>
              <w:widowControl/>
              <w:jc w:val="center"/>
              <w:textAlignment w:val="center"/>
              <w:rPr>
                <w:rFonts w:ascii="宋体" w:hAnsi="宋体" w:cs="宋体"/>
                <w:color w:val="000000"/>
                <w:szCs w:val="21"/>
              </w:rPr>
            </w:pPr>
            <w:r>
              <w:rPr>
                <w:rFonts w:hint="eastAsia" w:ascii="宋体" w:hAnsi="宋体" w:cs="宋体"/>
                <w:color w:val="000000"/>
                <w:szCs w:val="21"/>
              </w:rPr>
              <w:t>1</w:t>
            </w:r>
          </w:p>
        </w:tc>
        <w:tc>
          <w:tcPr>
            <w:tcW w:w="1394" w:type="dxa"/>
            <w:tcBorders>
              <w:top w:val="single" w:color="000000" w:sz="4" w:space="0"/>
              <w:left w:val="single" w:color="000000" w:sz="4" w:space="0"/>
              <w:bottom w:val="single" w:color="000000" w:sz="4" w:space="0"/>
              <w:right w:val="single" w:color="000000" w:sz="4" w:space="0"/>
            </w:tcBorders>
            <w:vAlign w:val="center"/>
          </w:tcPr>
          <w:p w14:paraId="503BFE5D">
            <w:pPr>
              <w:widowControl/>
              <w:jc w:val="center"/>
              <w:textAlignment w:val="center"/>
              <w:rPr>
                <w:rFonts w:ascii="宋体" w:hAnsi="宋体" w:cs="宋体"/>
                <w:color w:val="000000"/>
                <w:szCs w:val="21"/>
              </w:rPr>
            </w:pPr>
            <w:r>
              <w:rPr>
                <w:rFonts w:hint="eastAsia" w:ascii="宋体" w:hAnsi="宋体" w:cs="宋体"/>
                <w:color w:val="000000"/>
                <w:szCs w:val="21"/>
              </w:rPr>
              <w:t>个</w:t>
            </w:r>
          </w:p>
        </w:tc>
      </w:tr>
      <w:tr w14:paraId="59B330FA">
        <w:tblPrEx>
          <w:tblCellMar>
            <w:top w:w="0" w:type="dxa"/>
            <w:left w:w="108" w:type="dxa"/>
            <w:bottom w:w="0" w:type="dxa"/>
            <w:right w:w="108" w:type="dxa"/>
          </w:tblCellMar>
        </w:tblPrEx>
        <w:trPr>
          <w:trHeight w:val="2390" w:hRule="atLeast"/>
          <w:jc w:val="center"/>
        </w:trPr>
        <w:tc>
          <w:tcPr>
            <w:tcW w:w="994" w:type="dxa"/>
            <w:tcBorders>
              <w:top w:val="single" w:color="000000" w:sz="4" w:space="0"/>
              <w:left w:val="single" w:color="000000" w:sz="4" w:space="0"/>
              <w:bottom w:val="single" w:color="000000" w:sz="4" w:space="0"/>
              <w:right w:val="single" w:color="000000" w:sz="4" w:space="0"/>
            </w:tcBorders>
            <w:vAlign w:val="center"/>
          </w:tcPr>
          <w:p w14:paraId="0307E8AA">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3</w:t>
            </w:r>
          </w:p>
        </w:tc>
        <w:tc>
          <w:tcPr>
            <w:tcW w:w="1276" w:type="dxa"/>
            <w:tcBorders>
              <w:top w:val="single" w:color="000000" w:sz="4" w:space="0"/>
              <w:left w:val="single" w:color="000000" w:sz="4" w:space="0"/>
              <w:bottom w:val="single" w:color="000000" w:sz="4" w:space="0"/>
              <w:right w:val="single" w:color="000000" w:sz="4" w:space="0"/>
            </w:tcBorders>
            <w:vAlign w:val="center"/>
          </w:tcPr>
          <w:p w14:paraId="351E1492">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碳13吊柜及矮柜</w:t>
            </w:r>
          </w:p>
        </w:tc>
        <w:tc>
          <w:tcPr>
            <w:tcW w:w="2410" w:type="dxa"/>
            <w:tcBorders>
              <w:top w:val="single" w:color="000000" w:sz="4" w:space="0"/>
              <w:left w:val="single" w:color="000000" w:sz="4" w:space="0"/>
              <w:bottom w:val="single" w:color="000000" w:sz="4" w:space="0"/>
              <w:right w:val="single" w:color="000000" w:sz="4" w:space="0"/>
            </w:tcBorders>
            <w:vAlign w:val="center"/>
          </w:tcPr>
          <w:p w14:paraId="322F2E06">
            <w:pPr>
              <w:widowControl/>
              <w:jc w:val="center"/>
              <w:textAlignment w:val="center"/>
              <w:rPr>
                <w:rFonts w:ascii="宋体" w:hAnsi="宋体" w:cs="宋体"/>
                <w:color w:val="000000"/>
                <w:szCs w:val="21"/>
              </w:rPr>
            </w:pPr>
            <w:r>
              <w:rPr>
                <w:rFonts w:hint="eastAsia" w:ascii="宋体" w:hAnsi="宋体" w:cs="宋体"/>
                <w:b/>
                <w:bCs/>
                <w:color w:val="000000"/>
                <w:kern w:val="0"/>
                <w:szCs w:val="21"/>
                <w:lang w:bidi="ar"/>
              </w:rPr>
              <w:t>具体详见大样图</w:t>
            </w:r>
          </w:p>
        </w:tc>
        <w:tc>
          <w:tcPr>
            <w:tcW w:w="1890" w:type="dxa"/>
            <w:tcBorders>
              <w:top w:val="single" w:color="000000" w:sz="4" w:space="0"/>
              <w:left w:val="single" w:color="000000" w:sz="4" w:space="0"/>
              <w:bottom w:val="single" w:color="000000" w:sz="4" w:space="0"/>
              <w:right w:val="single" w:color="000000" w:sz="4" w:space="0"/>
            </w:tcBorders>
            <w:vAlign w:val="center"/>
          </w:tcPr>
          <w:p w14:paraId="48180FAA">
            <w:pPr>
              <w:spacing w:line="360" w:lineRule="auto"/>
              <w:jc w:val="center"/>
              <w:rPr>
                <w:rFonts w:ascii="宋体" w:hAnsi="宋体" w:cs="宋体"/>
                <w:b/>
                <w:bCs/>
                <w:color w:val="000000"/>
                <w:kern w:val="0"/>
                <w:szCs w:val="21"/>
                <w:lang w:bidi="ar"/>
              </w:rPr>
            </w:pPr>
            <w:r>
              <w:rPr>
                <w:rFonts w:hint="eastAsia" w:ascii="宋体" w:hAnsi="宋体" w:cs="宋体"/>
                <w:b/>
                <w:bCs/>
                <w:color w:val="000000"/>
                <w:kern w:val="0"/>
                <w:szCs w:val="21"/>
                <w:lang w:bidi="ar"/>
              </w:rPr>
              <w:t>具体详见大样图</w:t>
            </w:r>
          </w:p>
          <w:p w14:paraId="0A8D8883">
            <w:pPr>
              <w:spacing w:line="360" w:lineRule="auto"/>
              <w:jc w:val="center"/>
              <w:rPr>
                <w:rFonts w:ascii="宋体" w:hAnsi="宋体" w:cs="宋体"/>
                <w:b/>
                <w:bCs/>
                <w:color w:val="000000"/>
                <w:kern w:val="0"/>
                <w:szCs w:val="21"/>
                <w:lang w:bidi="ar"/>
              </w:rPr>
            </w:pPr>
            <w:r>
              <w:rPr>
                <w:rFonts w:hint="eastAsia" w:ascii="宋体" w:hAnsi="宋体" w:cs="宋体"/>
                <w:b/>
                <w:bCs/>
                <w:color w:val="000000"/>
                <w:kern w:val="0"/>
                <w:szCs w:val="21"/>
                <w:lang w:bidi="ar"/>
              </w:rPr>
              <w:t>（附件）</w:t>
            </w:r>
          </w:p>
        </w:tc>
        <w:tc>
          <w:tcPr>
            <w:tcW w:w="4680" w:type="dxa"/>
            <w:tcBorders>
              <w:top w:val="single" w:color="000000" w:sz="4" w:space="0"/>
              <w:left w:val="single" w:color="000000" w:sz="4" w:space="0"/>
              <w:bottom w:val="single" w:color="000000" w:sz="4" w:space="0"/>
              <w:right w:val="single" w:color="000000" w:sz="4" w:space="0"/>
            </w:tcBorders>
            <w:vAlign w:val="center"/>
          </w:tcPr>
          <w:p w14:paraId="3C2498DF">
            <w:pPr>
              <w:widowControl/>
              <w:numPr>
                <w:ilvl w:val="0"/>
                <w:numId w:val="4"/>
              </w:numPr>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板材采用E0级实木多层面免漆板，板材厚度不小于18mm，所有板材经防潮、防虫、防腐处理，抗弯力强，不易变形，甲醛释放量≤0.07mg/m³。所有柜门板采用45°斜边免拉手；</w:t>
            </w:r>
          </w:p>
          <w:p w14:paraId="29829934">
            <w:pPr>
              <w:widowControl/>
              <w:adjustRightInd w:val="0"/>
              <w:snapToGrid w:val="0"/>
              <w:spacing w:line="320" w:lineRule="exact"/>
              <w:contextualSpacing/>
              <w:jc w:val="left"/>
              <w:textAlignment w:val="center"/>
              <w:rPr>
                <w:rFonts w:ascii="宋体" w:hAnsi="宋体" w:cs="宋体"/>
                <w:color w:val="000000"/>
                <w:szCs w:val="21"/>
              </w:rPr>
            </w:pPr>
            <w:r>
              <w:rPr>
                <w:rFonts w:hint="eastAsia" w:ascii="宋体" w:hAnsi="宋体" w:cs="宋体"/>
                <w:color w:val="000000"/>
                <w:szCs w:val="21"/>
              </w:rPr>
              <w:t xml:space="preserve">板材为木纹，木纹与房屋现场木纹装饰板同色。                                                            </w:t>
            </w:r>
          </w:p>
          <w:p w14:paraId="1D8F8C6A">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 xml:space="preserve">2、台面采用人造石材；                                                                   </w:t>
            </w:r>
          </w:p>
          <w:p w14:paraId="57273322">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 xml:space="preserve">3、所有板材断面需采用1.5mm厚优质同色PVC封边；                                                </w:t>
            </w:r>
          </w:p>
          <w:p w14:paraId="798E3F16">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 xml:space="preserve">4、连接件五金采用优质三合一扣件；柜门门板开关自如，关闭时无响声；                               </w:t>
            </w:r>
          </w:p>
          <w:p w14:paraId="76072595">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 xml:space="preserve">5、柜脚踢脚板采用1.0mm厚不锈钢，颜色参照室内装修材质；                  </w:t>
            </w:r>
          </w:p>
          <w:p w14:paraId="34E218E8">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6、台盆污废翻盖采用优质不锈钢制品；                                              7、上柜下方安装嵌入式LED条形灯；</w:t>
            </w:r>
          </w:p>
          <w:p w14:paraId="4703820C">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8、上柜与下柜之间的墙面采用18mm厚优质实木多层免漆板。</w:t>
            </w:r>
          </w:p>
        </w:tc>
        <w:tc>
          <w:tcPr>
            <w:tcW w:w="750" w:type="dxa"/>
            <w:tcBorders>
              <w:top w:val="single" w:color="000000" w:sz="4" w:space="0"/>
              <w:left w:val="single" w:color="000000" w:sz="4" w:space="0"/>
              <w:bottom w:val="single" w:color="000000" w:sz="4" w:space="0"/>
              <w:right w:val="single" w:color="000000" w:sz="4" w:space="0"/>
            </w:tcBorders>
            <w:vAlign w:val="center"/>
          </w:tcPr>
          <w:p w14:paraId="732D8275">
            <w:pPr>
              <w:widowControl/>
              <w:jc w:val="center"/>
              <w:textAlignment w:val="center"/>
              <w:rPr>
                <w:rFonts w:ascii="宋体" w:hAnsi="宋体" w:cs="宋体"/>
                <w:color w:val="000000"/>
                <w:szCs w:val="21"/>
              </w:rPr>
            </w:pPr>
            <w:r>
              <w:rPr>
                <w:rFonts w:ascii="宋体" w:hAnsi="宋体" w:cs="宋体"/>
                <w:color w:val="000000"/>
                <w:szCs w:val="21"/>
              </w:rPr>
              <w:t>1</w:t>
            </w:r>
          </w:p>
        </w:tc>
        <w:tc>
          <w:tcPr>
            <w:tcW w:w="1394" w:type="dxa"/>
            <w:tcBorders>
              <w:top w:val="single" w:color="000000" w:sz="4" w:space="0"/>
              <w:left w:val="single" w:color="000000" w:sz="4" w:space="0"/>
              <w:bottom w:val="single" w:color="000000" w:sz="4" w:space="0"/>
              <w:right w:val="single" w:color="000000" w:sz="4" w:space="0"/>
            </w:tcBorders>
            <w:vAlign w:val="center"/>
          </w:tcPr>
          <w:p w14:paraId="364C4CBD">
            <w:pPr>
              <w:widowControl/>
              <w:jc w:val="center"/>
              <w:textAlignment w:val="center"/>
              <w:rPr>
                <w:rFonts w:ascii="宋体" w:hAnsi="宋体" w:cs="宋体"/>
                <w:color w:val="000000"/>
                <w:szCs w:val="21"/>
              </w:rPr>
            </w:pPr>
            <w:r>
              <w:rPr>
                <w:rFonts w:hint="eastAsia" w:ascii="宋体" w:hAnsi="宋体" w:cs="宋体"/>
                <w:color w:val="000000"/>
                <w:szCs w:val="21"/>
              </w:rPr>
              <w:t>组</w:t>
            </w:r>
          </w:p>
        </w:tc>
      </w:tr>
      <w:tr w14:paraId="64BDFB06">
        <w:tblPrEx>
          <w:tblCellMar>
            <w:top w:w="0" w:type="dxa"/>
            <w:left w:w="108" w:type="dxa"/>
            <w:bottom w:w="0" w:type="dxa"/>
            <w:right w:w="108" w:type="dxa"/>
          </w:tblCellMar>
        </w:tblPrEx>
        <w:trPr>
          <w:trHeight w:val="90" w:hRule="atLeast"/>
          <w:jc w:val="center"/>
        </w:trPr>
        <w:tc>
          <w:tcPr>
            <w:tcW w:w="994" w:type="dxa"/>
            <w:tcBorders>
              <w:top w:val="single" w:color="000000" w:sz="4" w:space="0"/>
              <w:left w:val="single" w:color="000000" w:sz="4" w:space="0"/>
              <w:bottom w:val="single" w:color="000000" w:sz="4" w:space="0"/>
              <w:right w:val="single" w:color="000000" w:sz="4" w:space="0"/>
            </w:tcBorders>
            <w:vAlign w:val="center"/>
          </w:tcPr>
          <w:p w14:paraId="661B1B74">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4</w:t>
            </w:r>
          </w:p>
        </w:tc>
        <w:tc>
          <w:tcPr>
            <w:tcW w:w="1276" w:type="dxa"/>
            <w:tcBorders>
              <w:top w:val="single" w:color="000000" w:sz="4" w:space="0"/>
              <w:left w:val="single" w:color="000000" w:sz="4" w:space="0"/>
              <w:bottom w:val="single" w:color="000000" w:sz="4" w:space="0"/>
              <w:right w:val="single" w:color="000000" w:sz="4" w:space="0"/>
            </w:tcBorders>
            <w:vAlign w:val="center"/>
          </w:tcPr>
          <w:p w14:paraId="29CDA68A">
            <w:pPr>
              <w:widowControl/>
              <w:jc w:val="center"/>
              <w:textAlignment w:val="center"/>
              <w:rPr>
                <w:rFonts w:ascii="宋体" w:hAnsi="宋体" w:cs="宋体"/>
                <w:color w:val="000000"/>
                <w:kern w:val="0"/>
                <w:szCs w:val="21"/>
                <w:lang w:bidi="ar"/>
              </w:rPr>
            </w:pPr>
            <w:r>
              <w:rPr>
                <w:rFonts w:hint="eastAsia" w:ascii="宋体" w:hAnsi="宋体"/>
                <w:b/>
                <w:bCs/>
                <w:szCs w:val="21"/>
              </w:rPr>
              <w:t>碳13水柜</w:t>
            </w:r>
          </w:p>
        </w:tc>
        <w:tc>
          <w:tcPr>
            <w:tcW w:w="2410" w:type="dxa"/>
            <w:tcBorders>
              <w:top w:val="single" w:color="000000" w:sz="4" w:space="0"/>
              <w:left w:val="single" w:color="000000" w:sz="4" w:space="0"/>
              <w:bottom w:val="single" w:color="000000" w:sz="4" w:space="0"/>
              <w:right w:val="single" w:color="000000" w:sz="4" w:space="0"/>
            </w:tcBorders>
            <w:vAlign w:val="center"/>
          </w:tcPr>
          <w:p w14:paraId="490C72C6">
            <w:pPr>
              <w:widowControl/>
              <w:jc w:val="center"/>
              <w:textAlignment w:val="center"/>
              <w:rPr>
                <w:rFonts w:ascii="宋体" w:hAnsi="宋体" w:cs="宋体"/>
                <w:color w:val="000000"/>
                <w:kern w:val="0"/>
                <w:szCs w:val="21"/>
                <w:lang w:bidi="ar"/>
              </w:rPr>
            </w:pPr>
            <w:r>
              <w:rPr>
                <w:rFonts w:hint="eastAsia" w:ascii="宋体" w:hAnsi="宋体" w:cs="宋体"/>
                <w:b/>
                <w:bCs/>
                <w:color w:val="000000"/>
                <w:kern w:val="0"/>
                <w:szCs w:val="21"/>
                <w:lang w:bidi="ar"/>
              </w:rPr>
              <w:t>具体详见大样图</w:t>
            </w:r>
          </w:p>
        </w:tc>
        <w:tc>
          <w:tcPr>
            <w:tcW w:w="1890" w:type="dxa"/>
            <w:tcBorders>
              <w:top w:val="single" w:color="000000" w:sz="4" w:space="0"/>
              <w:left w:val="single" w:color="000000" w:sz="4" w:space="0"/>
              <w:bottom w:val="single" w:color="000000" w:sz="4" w:space="0"/>
              <w:right w:val="single" w:color="000000" w:sz="4" w:space="0"/>
            </w:tcBorders>
            <w:vAlign w:val="center"/>
          </w:tcPr>
          <w:p w14:paraId="4CED7E1A">
            <w:pPr>
              <w:spacing w:line="360" w:lineRule="auto"/>
              <w:jc w:val="center"/>
              <w:rPr>
                <w:rFonts w:ascii="宋体" w:hAnsi="宋体" w:cs="宋体"/>
                <w:b/>
                <w:bCs/>
                <w:color w:val="000000"/>
                <w:kern w:val="0"/>
                <w:szCs w:val="21"/>
                <w:lang w:bidi="ar"/>
              </w:rPr>
            </w:pPr>
            <w:r>
              <w:rPr>
                <w:rFonts w:hint="eastAsia" w:ascii="宋体" w:hAnsi="宋体" w:cs="宋体"/>
                <w:b/>
                <w:bCs/>
                <w:color w:val="000000"/>
                <w:kern w:val="0"/>
                <w:szCs w:val="21"/>
                <w:lang w:bidi="ar"/>
              </w:rPr>
              <w:t>具体详见大样图</w:t>
            </w:r>
          </w:p>
          <w:p w14:paraId="13C9CB0F">
            <w:pPr>
              <w:spacing w:line="360" w:lineRule="auto"/>
              <w:jc w:val="center"/>
              <w:rPr>
                <w:rFonts w:ascii="宋体" w:hAnsi="宋体" w:cs="宋体"/>
                <w:b/>
                <w:bCs/>
                <w:color w:val="000000"/>
                <w:kern w:val="0"/>
                <w:szCs w:val="21"/>
                <w:lang w:bidi="ar"/>
              </w:rPr>
            </w:pPr>
            <w:r>
              <w:rPr>
                <w:rFonts w:hint="eastAsia" w:ascii="宋体" w:hAnsi="宋体" w:cs="宋体"/>
                <w:b/>
                <w:bCs/>
                <w:color w:val="000000"/>
                <w:kern w:val="0"/>
                <w:szCs w:val="21"/>
                <w:lang w:bidi="ar"/>
              </w:rPr>
              <w:t>（附件）</w:t>
            </w:r>
          </w:p>
        </w:tc>
        <w:tc>
          <w:tcPr>
            <w:tcW w:w="4680" w:type="dxa"/>
            <w:tcBorders>
              <w:top w:val="single" w:color="000000" w:sz="4" w:space="0"/>
              <w:left w:val="single" w:color="000000" w:sz="4" w:space="0"/>
              <w:bottom w:val="single" w:color="000000" w:sz="4" w:space="0"/>
              <w:right w:val="single" w:color="000000" w:sz="4" w:space="0"/>
            </w:tcBorders>
            <w:vAlign w:val="center"/>
          </w:tcPr>
          <w:p w14:paraId="1396FFEA">
            <w:pPr>
              <w:widowControl/>
              <w:adjustRightInd w:val="0"/>
              <w:snapToGrid w:val="0"/>
              <w:spacing w:line="320" w:lineRule="exact"/>
              <w:ind w:firstLine="420" w:firstLineChars="200"/>
              <w:contextualSpacing/>
              <w:jc w:val="left"/>
              <w:textAlignment w:val="center"/>
              <w:rPr>
                <w:rFonts w:ascii="宋体" w:hAnsi="宋体" w:cs="宋体"/>
                <w:kern w:val="0"/>
                <w:szCs w:val="21"/>
              </w:rPr>
            </w:pPr>
            <w:r>
              <w:rPr>
                <w:rFonts w:hint="eastAsia" w:ascii="宋体" w:hAnsi="宋体" w:cs="宋体"/>
                <w:kern w:val="0"/>
                <w:szCs w:val="21"/>
              </w:rPr>
              <w:t xml:space="preserve">1、板材采用E0级实木多层面免漆板，板材厚度不小于18mm，所有板材经防潮、防虫、防腐处理，抗弯力强，不易变形，甲醛释放量≤0.07mg/m³。所有柜门板采用45°斜边免拉手；                                         </w:t>
            </w:r>
          </w:p>
          <w:p w14:paraId="2659E775">
            <w:pPr>
              <w:widowControl/>
              <w:adjustRightInd w:val="0"/>
              <w:snapToGrid w:val="0"/>
              <w:spacing w:line="320" w:lineRule="exact"/>
              <w:ind w:firstLine="420" w:firstLineChars="200"/>
              <w:contextualSpacing/>
              <w:jc w:val="left"/>
              <w:textAlignment w:val="center"/>
              <w:rPr>
                <w:rFonts w:ascii="宋体" w:hAnsi="宋体" w:cs="宋体"/>
                <w:kern w:val="0"/>
                <w:szCs w:val="21"/>
              </w:rPr>
            </w:pPr>
            <w:r>
              <w:rPr>
                <w:rFonts w:hint="eastAsia" w:ascii="宋体" w:hAnsi="宋体" w:cs="宋体"/>
                <w:kern w:val="0"/>
                <w:szCs w:val="21"/>
              </w:rPr>
              <w:t xml:space="preserve">2、台面采用人造石材；                                                                  </w:t>
            </w:r>
          </w:p>
          <w:p w14:paraId="4C647F6B">
            <w:pPr>
              <w:widowControl/>
              <w:adjustRightInd w:val="0"/>
              <w:snapToGrid w:val="0"/>
              <w:spacing w:line="320" w:lineRule="exact"/>
              <w:ind w:firstLine="420" w:firstLineChars="200"/>
              <w:contextualSpacing/>
              <w:jc w:val="left"/>
              <w:textAlignment w:val="center"/>
              <w:rPr>
                <w:rFonts w:ascii="宋体" w:hAnsi="宋体" w:cs="宋体"/>
                <w:kern w:val="0"/>
                <w:szCs w:val="21"/>
              </w:rPr>
            </w:pPr>
            <w:r>
              <w:rPr>
                <w:rFonts w:hint="eastAsia" w:ascii="宋体" w:hAnsi="宋体" w:cs="宋体"/>
                <w:kern w:val="0"/>
                <w:szCs w:val="21"/>
              </w:rPr>
              <w:t xml:space="preserve">3、所有板材断面需采用1.5mm厚优质同色PVC封边；                                                </w:t>
            </w:r>
          </w:p>
          <w:p w14:paraId="6E0FBBCD">
            <w:pPr>
              <w:widowControl/>
              <w:adjustRightInd w:val="0"/>
              <w:snapToGrid w:val="0"/>
              <w:spacing w:line="320" w:lineRule="exact"/>
              <w:ind w:firstLine="420" w:firstLineChars="200"/>
              <w:contextualSpacing/>
              <w:jc w:val="left"/>
              <w:textAlignment w:val="center"/>
              <w:rPr>
                <w:rFonts w:ascii="宋体" w:hAnsi="宋体" w:cs="宋体"/>
                <w:kern w:val="0"/>
                <w:szCs w:val="21"/>
              </w:rPr>
            </w:pPr>
            <w:r>
              <w:rPr>
                <w:rFonts w:hint="eastAsia" w:ascii="宋体" w:hAnsi="宋体" w:cs="宋体"/>
                <w:kern w:val="0"/>
                <w:szCs w:val="21"/>
              </w:rPr>
              <w:t xml:space="preserve">4、连接件五金采用优质三合一扣件；柜门门板开关自如，关闭时无响声；                                 </w:t>
            </w:r>
          </w:p>
          <w:p w14:paraId="5E3F59B2">
            <w:pPr>
              <w:widowControl/>
              <w:adjustRightInd w:val="0"/>
              <w:snapToGrid w:val="0"/>
              <w:spacing w:line="320" w:lineRule="exact"/>
              <w:ind w:firstLine="420" w:firstLineChars="200"/>
              <w:contextualSpacing/>
              <w:jc w:val="left"/>
              <w:textAlignment w:val="center"/>
              <w:rPr>
                <w:rFonts w:ascii="宋体" w:hAnsi="宋体" w:cs="宋体"/>
                <w:kern w:val="0"/>
                <w:szCs w:val="21"/>
              </w:rPr>
            </w:pPr>
            <w:r>
              <w:rPr>
                <w:rFonts w:hint="eastAsia" w:ascii="宋体" w:hAnsi="宋体" w:cs="宋体"/>
                <w:kern w:val="0"/>
                <w:szCs w:val="21"/>
              </w:rPr>
              <w:t xml:space="preserve">5、柜脚踢脚板采用1.0mm厚不锈钢，颜色参照室内装修材质；                  </w:t>
            </w:r>
          </w:p>
          <w:p w14:paraId="25EEE68A">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kern w:val="0"/>
                <w:szCs w:val="21"/>
              </w:rPr>
              <w:t>6、台盆采用陶瓷台下盆，台盆下方安装安装不锈钢支架，台面龙头采用感应式水龙头。台盆及水龙头使用品牌建议为：箭牌、TOTO、科勒或优于上述品牌。</w:t>
            </w:r>
          </w:p>
        </w:tc>
        <w:tc>
          <w:tcPr>
            <w:tcW w:w="750" w:type="dxa"/>
            <w:tcBorders>
              <w:top w:val="single" w:color="000000" w:sz="4" w:space="0"/>
              <w:left w:val="single" w:color="000000" w:sz="4" w:space="0"/>
              <w:bottom w:val="single" w:color="000000" w:sz="4" w:space="0"/>
              <w:right w:val="single" w:color="000000" w:sz="4" w:space="0"/>
            </w:tcBorders>
            <w:vAlign w:val="center"/>
          </w:tcPr>
          <w:p w14:paraId="1AA7DCB6">
            <w:pPr>
              <w:widowControl/>
              <w:jc w:val="center"/>
              <w:textAlignment w:val="center"/>
              <w:rPr>
                <w:rFonts w:ascii="宋体" w:hAnsi="宋体" w:cs="宋体"/>
                <w:color w:val="000000"/>
                <w:szCs w:val="21"/>
              </w:rPr>
            </w:pPr>
            <w:r>
              <w:rPr>
                <w:rFonts w:ascii="宋体" w:hAnsi="宋体" w:cs="宋体"/>
                <w:color w:val="000000"/>
                <w:szCs w:val="21"/>
              </w:rPr>
              <w:t>1</w:t>
            </w:r>
          </w:p>
        </w:tc>
        <w:tc>
          <w:tcPr>
            <w:tcW w:w="1394" w:type="dxa"/>
            <w:tcBorders>
              <w:top w:val="single" w:color="000000" w:sz="4" w:space="0"/>
              <w:left w:val="single" w:color="000000" w:sz="4" w:space="0"/>
              <w:bottom w:val="single" w:color="000000" w:sz="4" w:space="0"/>
              <w:right w:val="single" w:color="000000" w:sz="4" w:space="0"/>
            </w:tcBorders>
            <w:vAlign w:val="center"/>
          </w:tcPr>
          <w:p w14:paraId="748C50A4">
            <w:pPr>
              <w:widowControl/>
              <w:jc w:val="center"/>
              <w:textAlignment w:val="center"/>
              <w:rPr>
                <w:rFonts w:ascii="宋体" w:hAnsi="宋体" w:cs="宋体"/>
                <w:color w:val="000000"/>
                <w:szCs w:val="21"/>
              </w:rPr>
            </w:pPr>
            <w:r>
              <w:rPr>
                <w:rFonts w:hint="eastAsia" w:ascii="宋体" w:hAnsi="宋体" w:cs="宋体"/>
                <w:color w:val="000000"/>
                <w:szCs w:val="21"/>
              </w:rPr>
              <w:t>组</w:t>
            </w:r>
          </w:p>
        </w:tc>
      </w:tr>
      <w:tr w14:paraId="56AADD13">
        <w:tblPrEx>
          <w:tblCellMar>
            <w:top w:w="0" w:type="dxa"/>
            <w:left w:w="108" w:type="dxa"/>
            <w:bottom w:w="0" w:type="dxa"/>
            <w:right w:w="108" w:type="dxa"/>
          </w:tblCellMar>
        </w:tblPrEx>
        <w:trPr>
          <w:trHeight w:val="416" w:hRule="atLeast"/>
          <w:jc w:val="center"/>
        </w:trPr>
        <w:tc>
          <w:tcPr>
            <w:tcW w:w="994" w:type="dxa"/>
            <w:tcBorders>
              <w:top w:val="single" w:color="000000" w:sz="4" w:space="0"/>
              <w:left w:val="single" w:color="000000" w:sz="4" w:space="0"/>
              <w:bottom w:val="single" w:color="000000" w:sz="4" w:space="0"/>
              <w:right w:val="single" w:color="000000" w:sz="4" w:space="0"/>
            </w:tcBorders>
            <w:vAlign w:val="center"/>
          </w:tcPr>
          <w:p w14:paraId="73F5B336">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5</w:t>
            </w:r>
          </w:p>
        </w:tc>
        <w:tc>
          <w:tcPr>
            <w:tcW w:w="1276" w:type="dxa"/>
            <w:tcBorders>
              <w:top w:val="single" w:color="000000" w:sz="4" w:space="0"/>
              <w:left w:val="single" w:color="000000" w:sz="4" w:space="0"/>
              <w:bottom w:val="single" w:color="000000" w:sz="4" w:space="0"/>
              <w:right w:val="single" w:color="000000" w:sz="4" w:space="0"/>
            </w:tcBorders>
            <w:vAlign w:val="center"/>
          </w:tcPr>
          <w:p w14:paraId="5510FDE6">
            <w:pPr>
              <w:widowControl/>
              <w:jc w:val="center"/>
              <w:textAlignment w:val="center"/>
              <w:rPr>
                <w:rFonts w:ascii="宋体" w:hAnsi="宋体" w:cs="宋体"/>
                <w:color w:val="000000"/>
                <w:kern w:val="0"/>
                <w:szCs w:val="21"/>
                <w:lang w:bidi="ar"/>
              </w:rPr>
            </w:pPr>
            <w:r>
              <w:rPr>
                <w:rFonts w:hint="eastAsia" w:ascii="宋体" w:hAnsi="宋体"/>
                <w:b/>
                <w:bCs/>
                <w:szCs w:val="21"/>
              </w:rPr>
              <w:t>回访室高柜</w:t>
            </w:r>
          </w:p>
        </w:tc>
        <w:tc>
          <w:tcPr>
            <w:tcW w:w="2410" w:type="dxa"/>
            <w:tcBorders>
              <w:top w:val="single" w:color="000000" w:sz="4" w:space="0"/>
              <w:left w:val="single" w:color="000000" w:sz="4" w:space="0"/>
              <w:bottom w:val="single" w:color="000000" w:sz="4" w:space="0"/>
              <w:right w:val="single" w:color="000000" w:sz="4" w:space="0"/>
            </w:tcBorders>
            <w:vAlign w:val="center"/>
          </w:tcPr>
          <w:p w14:paraId="47E66958">
            <w:pPr>
              <w:widowControl/>
              <w:jc w:val="center"/>
              <w:textAlignment w:val="center"/>
              <w:rPr>
                <w:rFonts w:ascii="宋体" w:hAnsi="宋体" w:cs="宋体"/>
                <w:color w:val="000000"/>
                <w:kern w:val="0"/>
                <w:szCs w:val="21"/>
                <w:lang w:bidi="ar"/>
              </w:rPr>
            </w:pPr>
            <w:r>
              <w:rPr>
                <w:rFonts w:hint="eastAsia" w:ascii="宋体" w:hAnsi="宋体" w:cs="宋体"/>
                <w:b/>
                <w:bCs/>
                <w:color w:val="000000"/>
                <w:kern w:val="0"/>
                <w:szCs w:val="21"/>
                <w:lang w:bidi="ar"/>
              </w:rPr>
              <w:t>具体详见大样图</w:t>
            </w:r>
          </w:p>
        </w:tc>
        <w:tc>
          <w:tcPr>
            <w:tcW w:w="1890" w:type="dxa"/>
            <w:tcBorders>
              <w:top w:val="single" w:color="000000" w:sz="4" w:space="0"/>
              <w:left w:val="single" w:color="000000" w:sz="4" w:space="0"/>
              <w:bottom w:val="single" w:color="000000" w:sz="4" w:space="0"/>
              <w:right w:val="single" w:color="000000" w:sz="4" w:space="0"/>
            </w:tcBorders>
            <w:vAlign w:val="center"/>
          </w:tcPr>
          <w:p w14:paraId="756E0DB6">
            <w:pPr>
              <w:spacing w:line="360" w:lineRule="auto"/>
              <w:jc w:val="center"/>
              <w:rPr>
                <w:rFonts w:ascii="宋体" w:hAnsi="宋体" w:cs="宋体"/>
                <w:b/>
                <w:bCs/>
                <w:color w:val="000000"/>
                <w:kern w:val="0"/>
                <w:szCs w:val="21"/>
                <w:lang w:bidi="ar"/>
              </w:rPr>
            </w:pPr>
            <w:r>
              <w:rPr>
                <w:rFonts w:hint="eastAsia" w:ascii="宋体" w:hAnsi="宋体" w:cs="宋体"/>
                <w:b/>
                <w:bCs/>
                <w:color w:val="000000"/>
                <w:kern w:val="0"/>
                <w:szCs w:val="21"/>
                <w:lang w:bidi="ar"/>
              </w:rPr>
              <w:t>具体详见大样图</w:t>
            </w:r>
          </w:p>
          <w:p w14:paraId="1291F6E5">
            <w:pPr>
              <w:spacing w:line="360" w:lineRule="auto"/>
              <w:jc w:val="center"/>
              <w:rPr>
                <w:rFonts w:ascii="宋体" w:hAnsi="宋体" w:cs="宋体"/>
                <w:b/>
                <w:bCs/>
                <w:color w:val="000000"/>
                <w:kern w:val="0"/>
                <w:szCs w:val="21"/>
                <w:lang w:bidi="ar"/>
              </w:rPr>
            </w:pPr>
            <w:r>
              <w:rPr>
                <w:rFonts w:hint="eastAsia" w:ascii="宋体" w:hAnsi="宋体" w:cs="宋体"/>
                <w:b/>
                <w:bCs/>
                <w:color w:val="000000"/>
                <w:kern w:val="0"/>
                <w:szCs w:val="21"/>
                <w:lang w:bidi="ar"/>
              </w:rPr>
              <w:t>（附件）</w:t>
            </w:r>
          </w:p>
        </w:tc>
        <w:tc>
          <w:tcPr>
            <w:tcW w:w="4680" w:type="dxa"/>
            <w:tcBorders>
              <w:top w:val="single" w:color="000000" w:sz="4" w:space="0"/>
              <w:left w:val="single" w:color="000000" w:sz="4" w:space="0"/>
              <w:bottom w:val="single" w:color="000000" w:sz="4" w:space="0"/>
              <w:right w:val="single" w:color="000000" w:sz="4" w:space="0"/>
            </w:tcBorders>
            <w:vAlign w:val="center"/>
          </w:tcPr>
          <w:p w14:paraId="0788F364">
            <w:pPr>
              <w:widowControl/>
              <w:jc w:val="left"/>
              <w:textAlignment w:val="center"/>
              <w:rPr>
                <w:rFonts w:ascii="宋体" w:hAnsi="宋体" w:cs="宋体"/>
                <w:color w:val="000000"/>
                <w:szCs w:val="21"/>
              </w:rPr>
            </w:pPr>
            <w:r>
              <w:rPr>
                <w:rFonts w:hint="eastAsia" w:ascii="宋体" w:hAnsi="宋体" w:cs="宋体"/>
                <w:color w:val="000000"/>
                <w:szCs w:val="21"/>
              </w:rPr>
              <w:t xml:space="preserve">1、板材采用E0级实木多层面免漆板，板材厚度不小于18mm，所有板材经防潮、防虫、防腐处理，抗弯力强，不易变形，甲醛释放量≤0.07mg/m³。所有柜门板采用45°斜边免拉手；                                             </w:t>
            </w:r>
          </w:p>
          <w:p w14:paraId="028A4D40">
            <w:pPr>
              <w:widowControl/>
              <w:jc w:val="left"/>
              <w:textAlignment w:val="center"/>
              <w:rPr>
                <w:rFonts w:ascii="宋体" w:hAnsi="宋体" w:cs="宋体"/>
                <w:color w:val="000000"/>
                <w:szCs w:val="21"/>
              </w:rPr>
            </w:pPr>
            <w:r>
              <w:rPr>
                <w:rFonts w:hint="eastAsia" w:ascii="宋体" w:hAnsi="宋体" w:cs="宋体"/>
                <w:color w:val="000000"/>
                <w:szCs w:val="21"/>
              </w:rPr>
              <w:t xml:space="preserve">2、台面采用人造石材；                                                                   </w:t>
            </w:r>
          </w:p>
          <w:p w14:paraId="4A612AC8">
            <w:pPr>
              <w:widowControl/>
              <w:jc w:val="left"/>
              <w:textAlignment w:val="center"/>
              <w:rPr>
                <w:rFonts w:ascii="宋体" w:hAnsi="宋体" w:cs="宋体"/>
                <w:color w:val="000000"/>
                <w:szCs w:val="21"/>
              </w:rPr>
            </w:pPr>
            <w:r>
              <w:rPr>
                <w:rFonts w:hint="eastAsia" w:ascii="宋体" w:hAnsi="宋体" w:cs="宋体"/>
                <w:color w:val="000000"/>
                <w:szCs w:val="21"/>
              </w:rPr>
              <w:t xml:space="preserve">3、所有板材断面需采用1.5mm厚优质同色PVC封边；                                                </w:t>
            </w:r>
          </w:p>
          <w:p w14:paraId="72DBB170">
            <w:pPr>
              <w:widowControl/>
              <w:jc w:val="left"/>
              <w:textAlignment w:val="center"/>
              <w:rPr>
                <w:rFonts w:ascii="宋体" w:hAnsi="宋体" w:cs="宋体"/>
                <w:color w:val="000000"/>
                <w:szCs w:val="21"/>
              </w:rPr>
            </w:pPr>
            <w:r>
              <w:rPr>
                <w:rFonts w:hint="eastAsia" w:ascii="宋体" w:hAnsi="宋体" w:cs="宋体"/>
                <w:color w:val="000000"/>
                <w:szCs w:val="21"/>
              </w:rPr>
              <w:t xml:space="preserve">4、连接件五金采用优质三合一扣件；柜门门板开关自如，关闭时无响声；                               </w:t>
            </w:r>
          </w:p>
          <w:p w14:paraId="2367A263">
            <w:pPr>
              <w:widowControl/>
              <w:jc w:val="left"/>
              <w:textAlignment w:val="center"/>
              <w:rPr>
                <w:rFonts w:ascii="宋体" w:hAnsi="宋体" w:cs="宋体"/>
                <w:color w:val="000000"/>
                <w:szCs w:val="21"/>
              </w:rPr>
            </w:pPr>
            <w:r>
              <w:rPr>
                <w:rFonts w:hint="eastAsia" w:ascii="宋体" w:hAnsi="宋体" w:cs="宋体"/>
                <w:color w:val="000000"/>
                <w:szCs w:val="21"/>
              </w:rPr>
              <w:t>5、柜脚踢脚板采用1.0mm厚不锈钢，颜色参照室内装修材质。</w:t>
            </w:r>
          </w:p>
        </w:tc>
        <w:tc>
          <w:tcPr>
            <w:tcW w:w="750" w:type="dxa"/>
            <w:tcBorders>
              <w:top w:val="single" w:color="000000" w:sz="4" w:space="0"/>
              <w:left w:val="single" w:color="000000" w:sz="4" w:space="0"/>
              <w:bottom w:val="single" w:color="000000" w:sz="4" w:space="0"/>
              <w:right w:val="single" w:color="000000" w:sz="4" w:space="0"/>
            </w:tcBorders>
            <w:vAlign w:val="center"/>
          </w:tcPr>
          <w:p w14:paraId="6FB3F982">
            <w:pPr>
              <w:widowControl/>
              <w:jc w:val="center"/>
              <w:textAlignment w:val="center"/>
              <w:rPr>
                <w:rFonts w:ascii="宋体" w:hAnsi="宋体" w:cs="宋体"/>
                <w:color w:val="000000"/>
                <w:szCs w:val="21"/>
              </w:rPr>
            </w:pPr>
            <w:r>
              <w:rPr>
                <w:rFonts w:ascii="宋体" w:hAnsi="宋体" w:cs="宋体"/>
                <w:color w:val="000000"/>
                <w:szCs w:val="21"/>
              </w:rPr>
              <w:t>1</w:t>
            </w:r>
          </w:p>
        </w:tc>
        <w:tc>
          <w:tcPr>
            <w:tcW w:w="1394" w:type="dxa"/>
            <w:tcBorders>
              <w:top w:val="single" w:color="000000" w:sz="4" w:space="0"/>
              <w:left w:val="single" w:color="000000" w:sz="4" w:space="0"/>
              <w:bottom w:val="single" w:color="000000" w:sz="4" w:space="0"/>
              <w:right w:val="single" w:color="000000" w:sz="4" w:space="0"/>
            </w:tcBorders>
            <w:vAlign w:val="center"/>
          </w:tcPr>
          <w:p w14:paraId="60D09B5E">
            <w:pPr>
              <w:widowControl/>
              <w:jc w:val="center"/>
              <w:textAlignment w:val="center"/>
              <w:rPr>
                <w:rFonts w:ascii="宋体" w:hAnsi="宋体" w:cs="宋体"/>
                <w:color w:val="000000"/>
                <w:szCs w:val="21"/>
              </w:rPr>
            </w:pPr>
            <w:r>
              <w:rPr>
                <w:rFonts w:hint="eastAsia" w:ascii="宋体" w:hAnsi="宋体" w:cs="宋体"/>
                <w:color w:val="000000"/>
                <w:szCs w:val="21"/>
              </w:rPr>
              <w:t>组</w:t>
            </w:r>
          </w:p>
        </w:tc>
      </w:tr>
      <w:tr w14:paraId="7D3BF1C0">
        <w:tblPrEx>
          <w:tblCellMar>
            <w:top w:w="0" w:type="dxa"/>
            <w:left w:w="108" w:type="dxa"/>
            <w:bottom w:w="0" w:type="dxa"/>
            <w:right w:w="108" w:type="dxa"/>
          </w:tblCellMar>
        </w:tblPrEx>
        <w:trPr>
          <w:trHeight w:val="90" w:hRule="atLeast"/>
          <w:jc w:val="center"/>
        </w:trPr>
        <w:tc>
          <w:tcPr>
            <w:tcW w:w="994" w:type="dxa"/>
            <w:tcBorders>
              <w:top w:val="single" w:color="000000" w:sz="4" w:space="0"/>
              <w:left w:val="single" w:color="000000" w:sz="4" w:space="0"/>
              <w:bottom w:val="single" w:color="000000" w:sz="4" w:space="0"/>
              <w:right w:val="single" w:color="000000" w:sz="4" w:space="0"/>
            </w:tcBorders>
            <w:vAlign w:val="center"/>
          </w:tcPr>
          <w:p w14:paraId="2C2E45A2">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6</w:t>
            </w:r>
          </w:p>
        </w:tc>
        <w:tc>
          <w:tcPr>
            <w:tcW w:w="1276" w:type="dxa"/>
            <w:tcBorders>
              <w:top w:val="single" w:color="000000" w:sz="4" w:space="0"/>
              <w:left w:val="single" w:color="000000" w:sz="4" w:space="0"/>
              <w:bottom w:val="single" w:color="000000" w:sz="4" w:space="0"/>
              <w:right w:val="single" w:color="000000" w:sz="4" w:space="0"/>
            </w:tcBorders>
            <w:vAlign w:val="center"/>
          </w:tcPr>
          <w:p w14:paraId="36449FD1">
            <w:pPr>
              <w:widowControl/>
              <w:jc w:val="center"/>
              <w:textAlignment w:val="center"/>
              <w:rPr>
                <w:rFonts w:ascii="宋体" w:hAnsi="宋体" w:cs="宋体"/>
                <w:b/>
                <w:bCs/>
                <w:color w:val="000000"/>
                <w:kern w:val="0"/>
                <w:szCs w:val="21"/>
                <w:lang w:bidi="ar"/>
              </w:rPr>
            </w:pPr>
            <w:r>
              <w:rPr>
                <w:rFonts w:hint="eastAsia" w:ascii="宋体" w:hAnsi="宋体" w:cs="宋体"/>
                <w:b/>
                <w:kern w:val="0"/>
                <w:sz w:val="24"/>
              </w:rPr>
              <w:t>首诊水柜</w:t>
            </w:r>
          </w:p>
        </w:tc>
        <w:tc>
          <w:tcPr>
            <w:tcW w:w="2410" w:type="dxa"/>
            <w:tcBorders>
              <w:top w:val="single" w:color="000000" w:sz="4" w:space="0"/>
              <w:left w:val="single" w:color="000000" w:sz="4" w:space="0"/>
              <w:bottom w:val="single" w:color="000000" w:sz="4" w:space="0"/>
              <w:right w:val="single" w:color="000000" w:sz="4" w:space="0"/>
            </w:tcBorders>
          </w:tcPr>
          <w:p w14:paraId="04D8F35B">
            <w:pPr>
              <w:adjustRightInd w:val="0"/>
              <w:snapToGrid w:val="0"/>
              <w:spacing w:line="560" w:lineRule="exact"/>
              <w:contextualSpacing/>
              <w:rPr>
                <w:b/>
              </w:rPr>
            </w:pPr>
          </w:p>
          <w:p w14:paraId="2E2F7723">
            <w:pPr>
              <w:adjustRightInd w:val="0"/>
              <w:snapToGrid w:val="0"/>
              <w:spacing w:line="560" w:lineRule="exact"/>
              <w:contextualSpacing/>
              <w:jc w:val="center"/>
              <w:rPr>
                <w:b/>
              </w:rPr>
            </w:pPr>
            <w:r>
              <w:rPr>
                <w:rFonts w:hint="eastAsia"/>
                <w:b/>
              </w:rPr>
              <w:t>具体详见大样图</w:t>
            </w:r>
          </w:p>
        </w:tc>
        <w:tc>
          <w:tcPr>
            <w:tcW w:w="1890" w:type="dxa"/>
            <w:tcBorders>
              <w:top w:val="single" w:color="000000" w:sz="4" w:space="0"/>
              <w:left w:val="single" w:color="000000" w:sz="4" w:space="0"/>
              <w:bottom w:val="single" w:color="000000" w:sz="4" w:space="0"/>
              <w:right w:val="single" w:color="000000" w:sz="4" w:space="0"/>
            </w:tcBorders>
          </w:tcPr>
          <w:p w14:paraId="1E8611CC">
            <w:pPr>
              <w:adjustRightInd w:val="0"/>
              <w:snapToGrid w:val="0"/>
              <w:spacing w:line="560" w:lineRule="exact"/>
              <w:contextualSpacing/>
              <w:rPr>
                <w:b/>
              </w:rPr>
            </w:pPr>
          </w:p>
          <w:p w14:paraId="2A7C0D5F">
            <w:pPr>
              <w:adjustRightInd w:val="0"/>
              <w:snapToGrid w:val="0"/>
              <w:spacing w:line="560" w:lineRule="exact"/>
              <w:contextualSpacing/>
              <w:jc w:val="center"/>
              <w:rPr>
                <w:b/>
              </w:rPr>
            </w:pPr>
            <w:r>
              <w:rPr>
                <w:rFonts w:hint="eastAsia"/>
                <w:b/>
              </w:rPr>
              <w:t>具体详见大样图</w:t>
            </w:r>
          </w:p>
          <w:p w14:paraId="3E61A8F2">
            <w:pPr>
              <w:adjustRightInd w:val="0"/>
              <w:snapToGrid w:val="0"/>
              <w:spacing w:line="560" w:lineRule="exact"/>
              <w:contextualSpacing/>
              <w:jc w:val="center"/>
              <w:rPr>
                <w:b/>
              </w:rPr>
            </w:pPr>
            <w:r>
              <w:rPr>
                <w:rFonts w:hint="eastAsia" w:ascii="宋体" w:hAnsi="宋体" w:cs="宋体"/>
                <w:b/>
                <w:bCs/>
                <w:color w:val="000000"/>
                <w:kern w:val="0"/>
                <w:szCs w:val="21"/>
                <w:lang w:bidi="ar"/>
              </w:rPr>
              <w:t>（附件）</w:t>
            </w:r>
          </w:p>
        </w:tc>
        <w:tc>
          <w:tcPr>
            <w:tcW w:w="4680" w:type="dxa"/>
            <w:tcBorders>
              <w:top w:val="single" w:color="000000" w:sz="4" w:space="0"/>
              <w:left w:val="single" w:color="000000" w:sz="4" w:space="0"/>
              <w:bottom w:val="single" w:color="000000" w:sz="4" w:space="0"/>
              <w:right w:val="single" w:color="000000" w:sz="4" w:space="0"/>
            </w:tcBorders>
            <w:vAlign w:val="center"/>
          </w:tcPr>
          <w:p w14:paraId="30FA45B4">
            <w:pPr>
              <w:widowControl/>
              <w:jc w:val="left"/>
              <w:textAlignment w:val="center"/>
              <w:rPr>
                <w:rFonts w:ascii="宋体" w:hAnsi="宋体" w:cs="宋体"/>
                <w:color w:val="000000"/>
                <w:szCs w:val="21"/>
              </w:rPr>
            </w:pPr>
            <w:r>
              <w:rPr>
                <w:rFonts w:hint="eastAsia" w:ascii="宋体" w:hAnsi="宋体" w:cs="宋体"/>
                <w:color w:val="000000"/>
                <w:szCs w:val="21"/>
              </w:rPr>
              <w:t>1、板材采用E0级实木多层面免漆板，板材厚度不小于18mm，所有板材经防潮、防虫、防腐处理，抗弯力强，不易变形，甲醛释放量≤0.07mg/m³。所有柜门板采用45°斜边免拉手；                                          2、台面采用人造石材；                                                                   3、所有板材断面需采用1.5mm厚优质同色PVC封边；                                                4、连接件五金采用优质三合一扣件；柜门门板开关自如，关闭时无响声；                                  5、柜脚踢脚板采用1.0mm厚304不锈钢，颜色参照室内装修材质；</w:t>
            </w:r>
          </w:p>
          <w:p w14:paraId="58A8837F">
            <w:pPr>
              <w:widowControl/>
              <w:jc w:val="left"/>
              <w:textAlignment w:val="center"/>
              <w:rPr>
                <w:rFonts w:ascii="宋体" w:hAnsi="宋体" w:cs="宋体"/>
                <w:color w:val="000000"/>
                <w:szCs w:val="21"/>
              </w:rPr>
            </w:pPr>
            <w:r>
              <w:rPr>
                <w:rFonts w:hint="eastAsia" w:ascii="宋体" w:hAnsi="宋体" w:cs="宋体"/>
                <w:color w:val="000000"/>
                <w:szCs w:val="21"/>
              </w:rPr>
              <w:t>6、台盆采用陶瓷台下盆，台盆下方安装安装不锈钢支架，台面龙头采用感应式水龙头。台盆及水龙头使用品牌建议为：箭牌、TOTO、科勒或优于上述品牌。</w:t>
            </w:r>
          </w:p>
        </w:tc>
        <w:tc>
          <w:tcPr>
            <w:tcW w:w="750" w:type="dxa"/>
            <w:tcBorders>
              <w:top w:val="single" w:color="000000" w:sz="4" w:space="0"/>
              <w:left w:val="single" w:color="000000" w:sz="4" w:space="0"/>
              <w:bottom w:val="single" w:color="000000" w:sz="4" w:space="0"/>
              <w:right w:val="single" w:color="000000" w:sz="4" w:space="0"/>
            </w:tcBorders>
            <w:vAlign w:val="center"/>
          </w:tcPr>
          <w:p w14:paraId="3AA4ABEB">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1</w:t>
            </w:r>
          </w:p>
        </w:tc>
        <w:tc>
          <w:tcPr>
            <w:tcW w:w="1394" w:type="dxa"/>
            <w:tcBorders>
              <w:top w:val="single" w:color="000000" w:sz="4" w:space="0"/>
              <w:left w:val="single" w:color="000000" w:sz="4" w:space="0"/>
              <w:bottom w:val="single" w:color="000000" w:sz="4" w:space="0"/>
              <w:right w:val="single" w:color="000000" w:sz="4" w:space="0"/>
            </w:tcBorders>
            <w:vAlign w:val="center"/>
          </w:tcPr>
          <w:p w14:paraId="2AA62127">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组</w:t>
            </w:r>
          </w:p>
        </w:tc>
      </w:tr>
      <w:tr w14:paraId="1CB87320">
        <w:tblPrEx>
          <w:tblCellMar>
            <w:top w:w="0" w:type="dxa"/>
            <w:left w:w="108" w:type="dxa"/>
            <w:bottom w:w="0" w:type="dxa"/>
            <w:right w:w="108" w:type="dxa"/>
          </w:tblCellMar>
        </w:tblPrEx>
        <w:trPr>
          <w:trHeight w:val="90" w:hRule="atLeast"/>
          <w:jc w:val="center"/>
        </w:trPr>
        <w:tc>
          <w:tcPr>
            <w:tcW w:w="994" w:type="dxa"/>
            <w:tcBorders>
              <w:top w:val="single" w:color="000000" w:sz="4" w:space="0"/>
              <w:left w:val="single" w:color="000000" w:sz="4" w:space="0"/>
              <w:bottom w:val="single" w:color="000000" w:sz="4" w:space="0"/>
              <w:right w:val="single" w:color="000000" w:sz="4" w:space="0"/>
            </w:tcBorders>
            <w:vAlign w:val="center"/>
          </w:tcPr>
          <w:p w14:paraId="4F6E3F0D">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7</w:t>
            </w:r>
          </w:p>
        </w:tc>
        <w:tc>
          <w:tcPr>
            <w:tcW w:w="1276" w:type="dxa"/>
            <w:tcBorders>
              <w:top w:val="single" w:color="000000" w:sz="4" w:space="0"/>
              <w:left w:val="single" w:color="000000" w:sz="4" w:space="0"/>
              <w:bottom w:val="single" w:color="000000" w:sz="4" w:space="0"/>
              <w:right w:val="single" w:color="000000" w:sz="4" w:space="0"/>
            </w:tcBorders>
            <w:vAlign w:val="center"/>
          </w:tcPr>
          <w:p w14:paraId="23D156B3">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大厅吧台</w:t>
            </w:r>
          </w:p>
        </w:tc>
        <w:tc>
          <w:tcPr>
            <w:tcW w:w="2410" w:type="dxa"/>
            <w:tcBorders>
              <w:top w:val="single" w:color="000000" w:sz="4" w:space="0"/>
              <w:left w:val="single" w:color="000000" w:sz="4" w:space="0"/>
              <w:bottom w:val="single" w:color="000000" w:sz="4" w:space="0"/>
              <w:right w:val="single" w:color="000000" w:sz="4" w:space="0"/>
            </w:tcBorders>
            <w:vAlign w:val="center"/>
          </w:tcPr>
          <w:p w14:paraId="71DD068E">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具体详见大样图及效果图</w:t>
            </w:r>
          </w:p>
        </w:tc>
        <w:tc>
          <w:tcPr>
            <w:tcW w:w="1890" w:type="dxa"/>
            <w:tcBorders>
              <w:top w:val="single" w:color="000000" w:sz="4" w:space="0"/>
              <w:left w:val="single" w:color="000000" w:sz="4" w:space="0"/>
              <w:bottom w:val="single" w:color="000000" w:sz="4" w:space="0"/>
              <w:right w:val="single" w:color="000000" w:sz="4" w:space="0"/>
            </w:tcBorders>
            <w:vAlign w:val="center"/>
          </w:tcPr>
          <w:p w14:paraId="1E00587B">
            <w:pPr>
              <w:spacing w:line="360" w:lineRule="auto"/>
              <w:jc w:val="center"/>
              <w:rPr>
                <w:rFonts w:ascii="宋体" w:hAnsi="宋体"/>
                <w:szCs w:val="21"/>
              </w:rPr>
            </w:pPr>
            <w:r>
              <w:rPr>
                <w:rFonts w:hint="eastAsia" w:ascii="宋体" w:hAnsi="宋体" w:cs="宋体"/>
                <w:b/>
                <w:bCs/>
                <w:color w:val="000000"/>
                <w:kern w:val="0"/>
                <w:szCs w:val="21"/>
                <w:lang w:bidi="ar"/>
              </w:rPr>
              <w:t>具体详见大样图</w:t>
            </w:r>
          </w:p>
        </w:tc>
        <w:tc>
          <w:tcPr>
            <w:tcW w:w="4680" w:type="dxa"/>
            <w:tcBorders>
              <w:top w:val="single" w:color="000000" w:sz="4" w:space="0"/>
              <w:left w:val="single" w:color="000000" w:sz="4" w:space="0"/>
              <w:bottom w:val="single" w:color="000000" w:sz="4" w:space="0"/>
              <w:right w:val="single" w:color="000000" w:sz="4" w:space="0"/>
            </w:tcBorders>
            <w:vAlign w:val="center"/>
          </w:tcPr>
          <w:p w14:paraId="5ECDEA50">
            <w:pPr>
              <w:widowControl/>
              <w:numPr>
                <w:ilvl w:val="0"/>
                <w:numId w:val="3"/>
              </w:numPr>
              <w:jc w:val="left"/>
              <w:textAlignment w:val="center"/>
              <w:rPr>
                <w:rFonts w:ascii="宋体" w:hAnsi="宋体" w:cs="宋体"/>
                <w:color w:val="000000"/>
                <w:szCs w:val="21"/>
              </w:rPr>
            </w:pPr>
            <w:r>
              <w:rPr>
                <w:rFonts w:hint="eastAsia" w:ascii="宋体" w:hAnsi="宋体" w:cs="宋体"/>
                <w:color w:val="000000"/>
                <w:szCs w:val="21"/>
              </w:rPr>
              <w:t>平面和立面采用亚克力人造石</w:t>
            </w:r>
          </w:p>
          <w:p w14:paraId="798453A5">
            <w:pPr>
              <w:widowControl/>
              <w:jc w:val="left"/>
              <w:textAlignment w:val="center"/>
              <w:rPr>
                <w:rFonts w:ascii="宋体" w:hAnsi="宋体" w:cs="宋体"/>
                <w:color w:val="000000"/>
                <w:szCs w:val="21"/>
              </w:rPr>
            </w:pPr>
            <w:r>
              <w:rPr>
                <w:rFonts w:hint="eastAsia" w:ascii="宋体" w:hAnsi="宋体" w:cs="宋体"/>
                <w:color w:val="000000"/>
                <w:szCs w:val="21"/>
              </w:rPr>
              <w:t>2、柜体：基材实木多层板，</w:t>
            </w:r>
          </w:p>
          <w:p w14:paraId="27E01551">
            <w:pPr>
              <w:widowControl/>
              <w:jc w:val="left"/>
              <w:textAlignment w:val="center"/>
              <w:rPr>
                <w:rFonts w:ascii="宋体" w:hAnsi="宋体" w:cs="宋体"/>
                <w:color w:val="000000"/>
                <w:szCs w:val="21"/>
              </w:rPr>
            </w:pPr>
            <w:r>
              <w:rPr>
                <w:rFonts w:hint="eastAsia" w:ascii="宋体" w:hAnsi="宋体" w:cs="宋体"/>
                <w:color w:val="000000"/>
                <w:szCs w:val="21"/>
              </w:rPr>
              <w:t>3、立面造型及踢脚线配LED效果灯</w:t>
            </w:r>
          </w:p>
          <w:p w14:paraId="207E1660">
            <w:pPr>
              <w:widowControl/>
              <w:jc w:val="left"/>
              <w:textAlignment w:val="center"/>
              <w:rPr>
                <w:rFonts w:ascii="宋体" w:hAnsi="宋体" w:cs="宋体"/>
                <w:color w:val="000000"/>
                <w:szCs w:val="21"/>
              </w:rPr>
            </w:pPr>
            <w:r>
              <w:rPr>
                <w:rFonts w:hint="eastAsia" w:ascii="宋体" w:hAnsi="宋体" w:cs="宋体"/>
                <w:color w:val="000000"/>
                <w:szCs w:val="21"/>
              </w:rPr>
              <w:t>4、环保等级：E0级。</w:t>
            </w:r>
          </w:p>
          <w:p w14:paraId="378526B2">
            <w:pPr>
              <w:widowControl/>
              <w:jc w:val="left"/>
              <w:textAlignment w:val="center"/>
              <w:rPr>
                <w:rFonts w:ascii="宋体" w:hAnsi="宋体" w:cs="宋体"/>
                <w:color w:val="000000"/>
                <w:szCs w:val="21"/>
              </w:rPr>
            </w:pPr>
            <w:r>
              <w:rPr>
                <w:rFonts w:hint="eastAsia" w:ascii="宋体" w:hAnsi="宋体" w:cs="宋体"/>
                <w:color w:val="000000"/>
                <w:szCs w:val="21"/>
              </w:rPr>
              <w:t>5、不锈钢踢脚线</w:t>
            </w:r>
          </w:p>
          <w:p w14:paraId="64DC95DF">
            <w:pPr>
              <w:widowControl/>
              <w:jc w:val="left"/>
              <w:textAlignment w:val="center"/>
              <w:rPr>
                <w:rFonts w:ascii="宋体" w:hAnsi="宋体" w:cs="宋体"/>
                <w:color w:val="000000"/>
                <w:szCs w:val="21"/>
              </w:rPr>
            </w:pPr>
            <w:r>
              <w:rPr>
                <w:rFonts w:hint="eastAsia" w:ascii="宋体" w:hAnsi="宋体" w:cs="宋体"/>
                <w:color w:val="000000"/>
                <w:szCs w:val="21"/>
              </w:rPr>
              <w:t>6、根据工位配套抽屉、键盘抽和电脑主机柜</w:t>
            </w:r>
          </w:p>
          <w:p w14:paraId="3EB4E16D">
            <w:pPr>
              <w:widowControl/>
              <w:jc w:val="left"/>
              <w:textAlignment w:val="center"/>
              <w:rPr>
                <w:rFonts w:ascii="宋体" w:hAnsi="宋体" w:cs="宋体"/>
                <w:color w:val="000000"/>
                <w:szCs w:val="21"/>
              </w:rPr>
            </w:pPr>
            <w:r>
              <w:rPr>
                <w:rFonts w:hint="eastAsia" w:ascii="宋体" w:hAnsi="宋体" w:cs="宋体"/>
                <w:color w:val="000000"/>
                <w:szCs w:val="21"/>
              </w:rPr>
              <w:t>7、配套5个工位的电源插座和网络插座</w:t>
            </w:r>
          </w:p>
        </w:tc>
        <w:tc>
          <w:tcPr>
            <w:tcW w:w="750" w:type="dxa"/>
            <w:tcBorders>
              <w:top w:val="single" w:color="000000" w:sz="4" w:space="0"/>
              <w:left w:val="single" w:color="000000" w:sz="4" w:space="0"/>
              <w:bottom w:val="single" w:color="000000" w:sz="4" w:space="0"/>
              <w:right w:val="single" w:color="000000" w:sz="4" w:space="0"/>
            </w:tcBorders>
            <w:vAlign w:val="center"/>
          </w:tcPr>
          <w:p w14:paraId="5DF15DE9">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w:t>
            </w:r>
          </w:p>
        </w:tc>
        <w:tc>
          <w:tcPr>
            <w:tcW w:w="1394" w:type="dxa"/>
            <w:tcBorders>
              <w:top w:val="single" w:color="000000" w:sz="4" w:space="0"/>
              <w:left w:val="single" w:color="000000" w:sz="4" w:space="0"/>
              <w:bottom w:val="single" w:color="000000" w:sz="4" w:space="0"/>
              <w:right w:val="single" w:color="000000" w:sz="4" w:space="0"/>
            </w:tcBorders>
            <w:vAlign w:val="center"/>
          </w:tcPr>
          <w:p w14:paraId="2737F75C">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个</w:t>
            </w:r>
          </w:p>
        </w:tc>
      </w:tr>
      <w:tr w14:paraId="22ADF719">
        <w:tblPrEx>
          <w:tblCellMar>
            <w:top w:w="0" w:type="dxa"/>
            <w:left w:w="108" w:type="dxa"/>
            <w:bottom w:w="0" w:type="dxa"/>
            <w:right w:w="108" w:type="dxa"/>
          </w:tblCellMar>
        </w:tblPrEx>
        <w:trPr>
          <w:trHeight w:val="1226" w:hRule="atLeast"/>
          <w:jc w:val="center"/>
        </w:trPr>
        <w:tc>
          <w:tcPr>
            <w:tcW w:w="994" w:type="dxa"/>
            <w:tcBorders>
              <w:top w:val="single" w:color="000000" w:sz="4" w:space="0"/>
              <w:left w:val="single" w:color="000000" w:sz="4" w:space="0"/>
              <w:bottom w:val="single" w:color="000000" w:sz="4" w:space="0"/>
              <w:right w:val="single" w:color="000000" w:sz="4" w:space="0"/>
            </w:tcBorders>
            <w:vAlign w:val="center"/>
          </w:tcPr>
          <w:p w14:paraId="4BBB95AE">
            <w:pPr>
              <w:widowControl/>
              <w:jc w:val="center"/>
              <w:textAlignment w:val="center"/>
              <w:rPr>
                <w:rFonts w:ascii="宋体" w:hAnsi="宋体" w:cs="宋体"/>
                <w:color w:val="000000"/>
                <w:kern w:val="0"/>
                <w:szCs w:val="21"/>
                <w:lang w:bidi="ar"/>
              </w:rPr>
            </w:pPr>
          </w:p>
        </w:tc>
        <w:tc>
          <w:tcPr>
            <w:tcW w:w="12400" w:type="dxa"/>
            <w:gridSpan w:val="6"/>
            <w:tcBorders>
              <w:top w:val="single" w:color="000000" w:sz="4" w:space="0"/>
              <w:left w:val="single" w:color="000000" w:sz="4" w:space="0"/>
              <w:bottom w:val="single" w:color="000000" w:sz="4" w:space="0"/>
              <w:right w:val="single" w:color="000000" w:sz="4" w:space="0"/>
            </w:tcBorders>
            <w:vAlign w:val="center"/>
          </w:tcPr>
          <w:p w14:paraId="7CFC8130">
            <w:pPr>
              <w:widowControl/>
              <w:jc w:val="left"/>
              <w:textAlignment w:val="center"/>
              <w:rPr>
                <w:rFonts w:ascii="宋体" w:hAnsi="宋体" w:cs="宋体"/>
                <w:b/>
                <w:bCs/>
                <w:color w:val="000000"/>
                <w:kern w:val="0"/>
                <w:sz w:val="28"/>
                <w:szCs w:val="28"/>
                <w:lang w:bidi="ar"/>
              </w:rPr>
            </w:pPr>
            <w:r>
              <w:rPr>
                <w:rFonts w:hint="eastAsia" w:ascii="宋体" w:hAnsi="宋体" w:cs="宋体"/>
                <w:b/>
                <w:bCs/>
                <w:color w:val="000000"/>
                <w:kern w:val="0"/>
                <w:sz w:val="28"/>
                <w:szCs w:val="28"/>
                <w:lang w:bidi="ar"/>
              </w:rPr>
              <w:t>注：</w:t>
            </w:r>
          </w:p>
          <w:p w14:paraId="435BD217">
            <w:pPr>
              <w:widowControl/>
              <w:numPr>
                <w:ilvl w:val="0"/>
                <w:numId w:val="5"/>
              </w:numPr>
              <w:ind w:firstLine="562" w:firstLineChars="200"/>
              <w:jc w:val="left"/>
              <w:textAlignment w:val="center"/>
              <w:rPr>
                <w:rFonts w:ascii="宋体" w:hAnsi="宋体" w:cs="宋体"/>
                <w:b/>
                <w:bCs/>
                <w:color w:val="000000"/>
                <w:kern w:val="0"/>
                <w:sz w:val="28"/>
                <w:szCs w:val="28"/>
                <w:lang w:bidi="ar"/>
              </w:rPr>
            </w:pPr>
            <w:r>
              <w:rPr>
                <w:rFonts w:hint="eastAsia" w:ascii="宋体" w:hAnsi="宋体" w:cs="宋体"/>
                <w:b/>
                <w:bCs/>
                <w:color w:val="000000"/>
                <w:kern w:val="0"/>
                <w:sz w:val="28"/>
                <w:szCs w:val="28"/>
                <w:lang w:bidi="ar"/>
              </w:rPr>
              <w:t>大厅吧台和碳十三吧台必须为工厂化生产的成品吧台，供应商负责生产完成后整体（或分成两段）搬运安装至供货地点，供应商不得采用散件供货现场安装。</w:t>
            </w:r>
          </w:p>
          <w:p w14:paraId="4EA59BA4">
            <w:pPr>
              <w:widowControl/>
              <w:numPr>
                <w:ilvl w:val="0"/>
                <w:numId w:val="5"/>
              </w:numPr>
              <w:ind w:firstLine="480" w:firstLineChars="200"/>
              <w:jc w:val="left"/>
              <w:textAlignment w:val="center"/>
              <w:rPr>
                <w:rFonts w:ascii="宋体" w:hAnsi="宋体" w:cs="宋体"/>
                <w:b/>
                <w:bCs/>
                <w:color w:val="000000"/>
                <w:kern w:val="0"/>
                <w:sz w:val="28"/>
                <w:szCs w:val="28"/>
                <w:lang w:bidi="ar"/>
              </w:rPr>
            </w:pPr>
            <w:r>
              <w:rPr>
                <w:rFonts w:hint="eastAsia" w:ascii="宋体" w:hAnsi="宋体" w:cs="宋体"/>
                <w:sz w:val="24"/>
              </w:rPr>
              <w:t>导轨：采用三节导轨，抽身可全部抽出，具有抽拉顺畅，消声静音，防倾覆功能。导轨符合QB/T 2454-2013《家具五金抽屉导轨》标准：①操作力当承载重量M&lt;40kg时，推力或拉力≤50N；②耐久性40000次；③垂直向下静载荷250N；④水平侧向静载荷125N；⑤下沉量不应超过抽屉导轨拉出长度的4%；⑥采用三节导轨，抽身可全部抽出，具有抽拉顺畅，消声静音。品牌为东泰、海福乐、BMB品牌；</w:t>
            </w:r>
          </w:p>
          <w:p w14:paraId="5B5C604C">
            <w:pPr>
              <w:widowControl/>
              <w:numPr>
                <w:ilvl w:val="0"/>
                <w:numId w:val="5"/>
              </w:numPr>
              <w:ind w:firstLine="480" w:firstLineChars="200"/>
              <w:jc w:val="left"/>
              <w:textAlignment w:val="center"/>
              <w:rPr>
                <w:rFonts w:ascii="宋体" w:hAnsi="宋体" w:cs="宋体"/>
                <w:b/>
                <w:bCs/>
                <w:color w:val="000000"/>
                <w:kern w:val="0"/>
                <w:sz w:val="28"/>
                <w:szCs w:val="28"/>
                <w:lang w:bidi="ar"/>
              </w:rPr>
            </w:pPr>
            <w:r>
              <w:rPr>
                <w:rFonts w:hint="eastAsia" w:ascii="宋体" w:hAnsi="宋体" w:cs="宋体"/>
                <w:sz w:val="24"/>
              </w:rPr>
              <w:t>实木多层板和面漆板标准：①木材经过脱脂干燥处理不生霉，经久耐用，甲醛释放量≤0.5mg/L，符合E0级环保标准，含水率不低于国家标准；②坚固、可靠，长期使用不松动、不腐朽，各项指标不低于国家标准，符合GB18584-2001《室内装饰装修材料 木家具中有害物质限量》。品牌为兔宝宝、莫干山、千年舟；</w:t>
            </w:r>
          </w:p>
          <w:p w14:paraId="05D23B9E">
            <w:pPr>
              <w:widowControl/>
              <w:numPr>
                <w:ilvl w:val="0"/>
                <w:numId w:val="5"/>
              </w:numPr>
              <w:ind w:firstLine="480" w:firstLineChars="200"/>
              <w:jc w:val="left"/>
              <w:textAlignment w:val="center"/>
              <w:rPr>
                <w:rFonts w:ascii="宋体" w:hAnsi="宋体" w:cs="宋体"/>
                <w:b/>
                <w:bCs/>
                <w:color w:val="000000"/>
                <w:kern w:val="0"/>
                <w:sz w:val="28"/>
                <w:szCs w:val="28"/>
                <w:lang w:bidi="ar"/>
              </w:rPr>
            </w:pPr>
            <w:r>
              <w:rPr>
                <w:rFonts w:hint="eastAsia" w:ascii="宋体" w:hAnsi="宋体" w:cs="宋体"/>
                <w:sz w:val="24"/>
              </w:rPr>
              <w:t>铰链：采用不锈钢阻尼门铰，材料符合QB/T 2189-2013《家具五金杯状暗铰链》标准：①操作力在耐久性试验前后，具有自动关闭装置的杯状暗铰链的关闭力应大于0.5N；②在耐久性试验前后，打开力和关闭力不应大于20N；③垂直静载荷20kg；④水平静载荷60N；⑤耐久性40000次；⑥在使用调整系统前，安装B型试验门时，下沉量不应大于3.0mm，⑦耐腐蚀要求18H，1.5mm以下锈点≤20点/dm²，其中≥1.0mm锈点不超过5点。抗菌喷涂粉末：电解钢板（电镀锌钢板）表面采用抗菌粉末涂料，涂层膜厚度均匀，喷粉涂层厚度60-80um。抗菌粉末涂料符合GB/T 21866-2008 《抗菌涂料（漆膜）抗菌性能测定法和抗菌效果》抗菌检测：大肠杆菌大于99.99%，金黄色葡萄球菌大于99.99%。铰链采用海蒂诗“Hettich”、 百隆“blum”或海福乐“HAFELE”品牌；</w:t>
            </w:r>
          </w:p>
          <w:p w14:paraId="36411812">
            <w:pPr>
              <w:widowControl/>
              <w:numPr>
                <w:ilvl w:val="0"/>
                <w:numId w:val="5"/>
              </w:numPr>
              <w:ind w:firstLine="480" w:firstLineChars="200"/>
              <w:jc w:val="left"/>
              <w:textAlignment w:val="center"/>
              <w:rPr>
                <w:rFonts w:ascii="宋体" w:hAnsi="宋体" w:cs="宋体"/>
                <w:b/>
                <w:bCs/>
                <w:color w:val="000000"/>
                <w:kern w:val="0"/>
                <w:sz w:val="28"/>
                <w:szCs w:val="28"/>
                <w:lang w:bidi="ar"/>
              </w:rPr>
            </w:pPr>
            <w:r>
              <w:rPr>
                <w:rFonts w:hint="eastAsia" w:ascii="宋体" w:hAnsi="宋体" w:cs="宋体"/>
                <w:sz w:val="24"/>
              </w:rPr>
              <w:t>人造石采用材质为亚克力人造石，材料厚度≥1.2cm。品牌为宝丽雅、戈兰迪、杜邦品牌；</w:t>
            </w:r>
          </w:p>
          <w:p w14:paraId="247A3DE4">
            <w:pPr>
              <w:widowControl/>
              <w:numPr>
                <w:ilvl w:val="0"/>
                <w:numId w:val="5"/>
              </w:numPr>
              <w:ind w:firstLine="480" w:firstLineChars="200"/>
              <w:jc w:val="left"/>
              <w:textAlignment w:val="center"/>
              <w:rPr>
                <w:rFonts w:ascii="宋体" w:hAnsi="宋体" w:cs="宋体"/>
                <w:b/>
                <w:bCs/>
                <w:color w:val="000000"/>
                <w:kern w:val="0"/>
                <w:sz w:val="28"/>
                <w:szCs w:val="28"/>
                <w:lang w:bidi="ar"/>
              </w:rPr>
            </w:pPr>
            <w:r>
              <w:rPr>
                <w:rFonts w:hint="eastAsia" w:ascii="宋体" w:hAnsi="宋体" w:cs="宋体"/>
                <w:sz w:val="24"/>
              </w:rPr>
              <w:t>木纹装饰板采用富美家、威盛亚、普利品牌产品。</w:t>
            </w:r>
          </w:p>
        </w:tc>
      </w:tr>
    </w:tbl>
    <w:p w14:paraId="334DEF70">
      <w:pPr>
        <w:adjustRightInd w:val="0"/>
        <w:snapToGrid w:val="0"/>
        <w:spacing w:line="240" w:lineRule="exact"/>
        <w:contextualSpacing/>
        <w:rPr>
          <w:rFonts w:ascii="宋体" w:hAnsi="宋体" w:cs="宋体"/>
          <w:b/>
          <w:sz w:val="24"/>
        </w:rPr>
        <w:sectPr>
          <w:pgSz w:w="16838" w:h="11906" w:orient="landscape"/>
          <w:pgMar w:top="1077" w:right="1440" w:bottom="1077" w:left="1440" w:header="851" w:footer="992" w:gutter="0"/>
          <w:cols w:space="425" w:num="1"/>
          <w:titlePg/>
          <w:docGrid w:linePitch="312" w:charSpace="0"/>
        </w:sectPr>
      </w:pPr>
    </w:p>
    <w:p w14:paraId="5EAECAB6">
      <w:pPr>
        <w:adjustRightInd w:val="0"/>
        <w:snapToGrid w:val="0"/>
        <w:spacing w:line="440" w:lineRule="exact"/>
        <w:ind w:firstLine="482" w:firstLineChars="200"/>
        <w:contextualSpacing/>
        <w:rPr>
          <w:rFonts w:ascii="宋体" w:hAnsi="宋体" w:cs="宋体"/>
          <w:b/>
          <w:sz w:val="24"/>
        </w:rPr>
      </w:pPr>
      <w:r>
        <w:rPr>
          <w:rFonts w:hint="eastAsia" w:ascii="宋体" w:hAnsi="宋体" w:cs="宋体"/>
          <w:b/>
          <w:sz w:val="24"/>
        </w:rPr>
        <w:t>3.大样图</w:t>
      </w:r>
    </w:p>
    <w:p w14:paraId="76EE6B60">
      <w:pPr>
        <w:adjustRightInd w:val="0"/>
        <w:snapToGrid w:val="0"/>
        <w:spacing w:line="440" w:lineRule="exact"/>
        <w:ind w:firstLine="482" w:firstLineChars="200"/>
        <w:contextualSpacing/>
        <w:rPr>
          <w:rFonts w:ascii="宋体" w:hAnsi="宋体" w:cs="宋体"/>
          <w:b/>
          <w:sz w:val="24"/>
        </w:rPr>
      </w:pPr>
      <w:r>
        <w:rPr>
          <w:rFonts w:ascii="宋体" w:hAnsi="宋体" w:cs="宋体"/>
          <w:b/>
          <w:sz w:val="24"/>
        </w:rPr>
        <w:t>3.</w:t>
      </w:r>
      <w:r>
        <w:rPr>
          <w:rFonts w:hint="eastAsia" w:ascii="宋体" w:hAnsi="宋体" w:cs="宋体"/>
          <w:b/>
          <w:sz w:val="24"/>
        </w:rPr>
        <w:t>1碳1</w:t>
      </w:r>
      <w:r>
        <w:rPr>
          <w:rFonts w:ascii="宋体" w:hAnsi="宋体" w:cs="宋体"/>
          <w:b/>
          <w:sz w:val="24"/>
        </w:rPr>
        <w:t>3</w:t>
      </w:r>
      <w:r>
        <w:rPr>
          <w:rFonts w:hint="eastAsia" w:ascii="宋体" w:hAnsi="宋体" w:cs="宋体"/>
          <w:b/>
          <w:sz w:val="24"/>
        </w:rPr>
        <w:t>吧台大样图</w:t>
      </w:r>
    </w:p>
    <w:p w14:paraId="149DE8FF">
      <w:pPr>
        <w:adjustRightInd w:val="0"/>
        <w:snapToGrid w:val="0"/>
        <w:spacing w:line="360" w:lineRule="auto"/>
        <w:rPr>
          <w:rFonts w:ascii="宋体" w:hAnsi="宋体" w:cs="宋体"/>
          <w:b/>
          <w:sz w:val="24"/>
        </w:rPr>
      </w:pPr>
      <w:r>
        <w:rPr>
          <w:rFonts w:hint="eastAsia" w:ascii="宋体" w:hAnsi="宋体" w:cs="宋体"/>
          <w:b/>
          <w:sz w:val="24"/>
        </w:rPr>
        <w:drawing>
          <wp:inline distT="0" distB="0" distL="114300" distR="114300">
            <wp:extent cx="6191885" cy="4375150"/>
            <wp:effectExtent l="0" t="0" r="18415" b="6350"/>
            <wp:docPr id="3" name="图片 3" descr="碳13吧台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碳13吧台_00"/>
                    <pic:cNvPicPr>
                      <a:picLocks noChangeAspect="1"/>
                    </pic:cNvPicPr>
                  </pic:nvPicPr>
                  <pic:blipFill>
                    <a:blip r:embed="rId10"/>
                    <a:stretch>
                      <a:fillRect/>
                    </a:stretch>
                  </pic:blipFill>
                  <pic:spPr>
                    <a:xfrm>
                      <a:off x="0" y="0"/>
                      <a:ext cx="6191885" cy="4375150"/>
                    </a:xfrm>
                    <a:prstGeom prst="rect">
                      <a:avLst/>
                    </a:prstGeom>
                  </pic:spPr>
                </pic:pic>
              </a:graphicData>
            </a:graphic>
          </wp:inline>
        </w:drawing>
      </w:r>
    </w:p>
    <w:p w14:paraId="6197E0BF">
      <w:pPr>
        <w:adjustRightInd w:val="0"/>
        <w:snapToGrid w:val="0"/>
        <w:spacing w:line="440" w:lineRule="exact"/>
        <w:ind w:firstLine="482" w:firstLineChars="200"/>
        <w:contextualSpacing/>
        <w:rPr>
          <w:rFonts w:ascii="宋体" w:hAnsi="宋体" w:cs="宋体"/>
          <w:b/>
          <w:sz w:val="24"/>
        </w:rPr>
      </w:pPr>
      <w:r>
        <w:rPr>
          <w:rFonts w:ascii="宋体" w:hAnsi="宋体" w:cs="宋体"/>
          <w:b/>
          <w:sz w:val="24"/>
        </w:rPr>
        <w:t>3.2</w:t>
      </w:r>
      <w:r>
        <w:rPr>
          <w:rFonts w:hint="eastAsia" w:ascii="宋体" w:hAnsi="宋体" w:cs="宋体"/>
          <w:b/>
          <w:sz w:val="24"/>
        </w:rPr>
        <w:t>碳1</w:t>
      </w:r>
      <w:r>
        <w:rPr>
          <w:rFonts w:ascii="宋体" w:hAnsi="宋体" w:cs="宋体"/>
          <w:b/>
          <w:sz w:val="24"/>
        </w:rPr>
        <w:t>3</w:t>
      </w:r>
      <w:r>
        <w:rPr>
          <w:rFonts w:hint="eastAsia" w:ascii="宋体" w:hAnsi="宋体" w:cs="宋体"/>
          <w:b/>
          <w:sz w:val="24"/>
        </w:rPr>
        <w:t>吊柜及矮柜大样图</w:t>
      </w:r>
    </w:p>
    <w:p w14:paraId="5E0C3F7D">
      <w:pPr>
        <w:adjustRightInd w:val="0"/>
        <w:snapToGrid w:val="0"/>
        <w:spacing w:line="360" w:lineRule="auto"/>
        <w:rPr>
          <w:rFonts w:ascii="宋体" w:hAnsi="宋体" w:cs="宋体"/>
          <w:b/>
          <w:sz w:val="24"/>
        </w:rPr>
      </w:pPr>
      <w:r>
        <w:rPr>
          <w:rFonts w:hint="eastAsia" w:ascii="宋体" w:hAnsi="宋体" w:cs="宋体"/>
          <w:b/>
          <w:sz w:val="24"/>
        </w:rPr>
        <w:drawing>
          <wp:inline distT="0" distB="0" distL="114300" distR="114300">
            <wp:extent cx="6191885" cy="4375150"/>
            <wp:effectExtent l="0" t="0" r="18415" b="6350"/>
            <wp:docPr id="4" name="图片 4" descr="碳13吊柜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碳13吊柜_00(1)"/>
                    <pic:cNvPicPr>
                      <a:picLocks noChangeAspect="1"/>
                    </pic:cNvPicPr>
                  </pic:nvPicPr>
                  <pic:blipFill>
                    <a:blip r:embed="rId11"/>
                    <a:stretch>
                      <a:fillRect/>
                    </a:stretch>
                  </pic:blipFill>
                  <pic:spPr>
                    <a:xfrm>
                      <a:off x="0" y="0"/>
                      <a:ext cx="6191885" cy="4375150"/>
                    </a:xfrm>
                    <a:prstGeom prst="rect">
                      <a:avLst/>
                    </a:prstGeom>
                  </pic:spPr>
                </pic:pic>
              </a:graphicData>
            </a:graphic>
          </wp:inline>
        </w:drawing>
      </w:r>
    </w:p>
    <w:p w14:paraId="2B2B1258">
      <w:pPr>
        <w:adjustRightInd w:val="0"/>
        <w:snapToGrid w:val="0"/>
        <w:spacing w:line="440" w:lineRule="exact"/>
        <w:ind w:firstLine="482" w:firstLineChars="200"/>
        <w:contextualSpacing/>
        <w:rPr>
          <w:rFonts w:ascii="宋体" w:hAnsi="宋体"/>
          <w:b/>
          <w:bCs/>
          <w:sz w:val="24"/>
        </w:rPr>
      </w:pPr>
      <w:r>
        <w:rPr>
          <w:rFonts w:ascii="宋体" w:hAnsi="宋体" w:cs="宋体"/>
          <w:b/>
          <w:sz w:val="24"/>
        </w:rPr>
        <w:t>3.</w:t>
      </w:r>
      <w:r>
        <w:rPr>
          <w:rFonts w:hint="eastAsia" w:ascii="宋体" w:hAnsi="宋体" w:cs="宋体"/>
          <w:b/>
          <w:sz w:val="24"/>
        </w:rPr>
        <w:t>3</w:t>
      </w:r>
      <w:r>
        <w:rPr>
          <w:rFonts w:hint="eastAsia" w:ascii="宋体" w:hAnsi="宋体"/>
          <w:b/>
          <w:bCs/>
          <w:sz w:val="24"/>
        </w:rPr>
        <w:t>碳13水柜大样图</w:t>
      </w:r>
    </w:p>
    <w:p w14:paraId="7E502080">
      <w:pPr>
        <w:adjustRightInd w:val="0"/>
        <w:snapToGrid w:val="0"/>
        <w:spacing w:line="360" w:lineRule="auto"/>
        <w:rPr>
          <w:rFonts w:ascii="宋体" w:hAnsi="宋体" w:cs="宋体"/>
          <w:b/>
          <w:sz w:val="24"/>
        </w:rPr>
      </w:pPr>
      <w:r>
        <w:rPr>
          <w:rFonts w:hint="eastAsia" w:ascii="宋体" w:hAnsi="宋体" w:cs="宋体"/>
          <w:b/>
          <w:sz w:val="24"/>
        </w:rPr>
        <w:drawing>
          <wp:inline distT="0" distB="0" distL="0" distR="0">
            <wp:extent cx="6188075" cy="3870325"/>
            <wp:effectExtent l="0" t="0" r="3175" b="0"/>
            <wp:docPr id="17" name="图片 17" descr="碳13水柜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碳13水柜_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88075" cy="3870325"/>
                    </a:xfrm>
                    <a:prstGeom prst="rect">
                      <a:avLst/>
                    </a:prstGeom>
                    <a:noFill/>
                    <a:ln>
                      <a:noFill/>
                    </a:ln>
                  </pic:spPr>
                </pic:pic>
              </a:graphicData>
            </a:graphic>
          </wp:inline>
        </w:drawing>
      </w:r>
    </w:p>
    <w:p w14:paraId="5BD59355">
      <w:pPr>
        <w:adjustRightInd w:val="0"/>
        <w:snapToGrid w:val="0"/>
        <w:spacing w:line="440" w:lineRule="exact"/>
        <w:ind w:firstLine="482" w:firstLineChars="200"/>
        <w:contextualSpacing/>
        <w:rPr>
          <w:rFonts w:ascii="宋体" w:hAnsi="宋体"/>
          <w:b/>
          <w:bCs/>
          <w:sz w:val="24"/>
        </w:rPr>
      </w:pPr>
      <w:r>
        <w:rPr>
          <w:rFonts w:ascii="宋体" w:hAnsi="宋体"/>
          <w:b/>
          <w:bCs/>
          <w:sz w:val="24"/>
        </w:rPr>
        <w:t>3.</w:t>
      </w:r>
      <w:r>
        <w:rPr>
          <w:rFonts w:hint="eastAsia" w:ascii="宋体" w:hAnsi="宋体"/>
          <w:b/>
          <w:bCs/>
          <w:sz w:val="24"/>
        </w:rPr>
        <w:t>4回访室高柜大样图</w:t>
      </w:r>
    </w:p>
    <w:p w14:paraId="08BC255B">
      <w:pPr>
        <w:adjustRightInd w:val="0"/>
        <w:snapToGrid w:val="0"/>
        <w:spacing w:line="360" w:lineRule="auto"/>
        <w:rPr>
          <w:rFonts w:ascii="宋体" w:hAnsi="宋体" w:cs="宋体"/>
          <w:b/>
          <w:sz w:val="24"/>
        </w:rPr>
      </w:pPr>
      <w:r>
        <w:rPr>
          <w:rFonts w:hint="eastAsia" w:ascii="宋体" w:hAnsi="宋体" w:cs="宋体"/>
          <w:b/>
          <w:sz w:val="24"/>
        </w:rPr>
        <w:drawing>
          <wp:inline distT="0" distB="0" distL="114300" distR="114300">
            <wp:extent cx="6191885" cy="3409950"/>
            <wp:effectExtent l="0" t="0" r="0" b="0"/>
            <wp:docPr id="6" name="图片 6" descr="回访室高柜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回访室高柜_00"/>
                    <pic:cNvPicPr>
                      <a:picLocks noChangeAspect="1"/>
                    </pic:cNvPicPr>
                  </pic:nvPicPr>
                  <pic:blipFill>
                    <a:blip r:embed="rId13"/>
                    <a:stretch>
                      <a:fillRect/>
                    </a:stretch>
                  </pic:blipFill>
                  <pic:spPr>
                    <a:xfrm>
                      <a:off x="0" y="0"/>
                      <a:ext cx="6191885" cy="3409950"/>
                    </a:xfrm>
                    <a:prstGeom prst="rect">
                      <a:avLst/>
                    </a:prstGeom>
                  </pic:spPr>
                </pic:pic>
              </a:graphicData>
            </a:graphic>
          </wp:inline>
        </w:drawing>
      </w:r>
    </w:p>
    <w:p w14:paraId="52B97CD0">
      <w:pPr>
        <w:adjustRightInd w:val="0"/>
        <w:snapToGrid w:val="0"/>
        <w:spacing w:line="440" w:lineRule="exact"/>
        <w:ind w:firstLine="482" w:firstLineChars="200"/>
        <w:contextualSpacing/>
        <w:rPr>
          <w:rFonts w:ascii="宋体" w:hAnsi="宋体" w:cs="宋体"/>
          <w:b/>
          <w:sz w:val="24"/>
        </w:rPr>
      </w:pPr>
      <w:r>
        <w:rPr>
          <w:rFonts w:ascii="宋体" w:hAnsi="宋体" w:cs="宋体"/>
          <w:b/>
          <w:sz w:val="24"/>
        </w:rPr>
        <w:t>3</w:t>
      </w:r>
      <w:r>
        <w:rPr>
          <w:rFonts w:hint="eastAsia" w:ascii="宋体" w:hAnsi="宋体" w:cs="宋体"/>
          <w:b/>
          <w:sz w:val="24"/>
        </w:rPr>
        <w:t>.5</w:t>
      </w:r>
      <w:r>
        <w:rPr>
          <w:rFonts w:hint="eastAsia" w:ascii="宋体" w:hAnsi="宋体" w:cs="宋体"/>
          <w:b/>
          <w:kern w:val="0"/>
          <w:sz w:val="24"/>
        </w:rPr>
        <w:t>首诊水柜</w:t>
      </w:r>
    </w:p>
    <w:p w14:paraId="680B219E">
      <w:pPr>
        <w:adjustRightInd w:val="0"/>
        <w:snapToGrid w:val="0"/>
        <w:spacing w:line="360" w:lineRule="auto"/>
        <w:rPr>
          <w:rFonts w:ascii="宋体" w:hAnsi="宋体" w:cs="宋体"/>
          <w:b/>
          <w:sz w:val="24"/>
        </w:rPr>
      </w:pPr>
      <w:r>
        <w:drawing>
          <wp:inline distT="0" distB="0" distL="0" distR="0">
            <wp:extent cx="5883910" cy="365442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909927" cy="3670675"/>
                    </a:xfrm>
                    <a:prstGeom prst="rect">
                      <a:avLst/>
                    </a:prstGeom>
                  </pic:spPr>
                </pic:pic>
              </a:graphicData>
            </a:graphic>
          </wp:inline>
        </w:drawing>
      </w:r>
    </w:p>
    <w:p w14:paraId="3A1EE8DC">
      <w:pPr>
        <w:adjustRightInd w:val="0"/>
        <w:snapToGrid w:val="0"/>
        <w:spacing w:line="440" w:lineRule="exact"/>
        <w:ind w:firstLine="482" w:firstLineChars="200"/>
        <w:contextualSpacing/>
        <w:rPr>
          <w:rFonts w:ascii="宋体" w:hAnsi="宋体" w:cs="宋体"/>
          <w:b/>
          <w:sz w:val="24"/>
        </w:rPr>
      </w:pPr>
    </w:p>
    <w:p w14:paraId="32828164">
      <w:pPr>
        <w:adjustRightInd w:val="0"/>
        <w:snapToGrid w:val="0"/>
        <w:spacing w:line="440" w:lineRule="exact"/>
        <w:ind w:firstLine="482" w:firstLineChars="200"/>
        <w:contextualSpacing/>
        <w:rPr>
          <w:rFonts w:ascii="宋体" w:hAnsi="宋体" w:cs="宋体"/>
          <w:b/>
          <w:sz w:val="24"/>
        </w:rPr>
      </w:pPr>
    </w:p>
    <w:p w14:paraId="36802C02">
      <w:pPr>
        <w:adjustRightInd w:val="0"/>
        <w:snapToGrid w:val="0"/>
        <w:spacing w:line="440" w:lineRule="exact"/>
        <w:ind w:firstLine="482" w:firstLineChars="200"/>
        <w:contextualSpacing/>
        <w:rPr>
          <w:rFonts w:ascii="宋体" w:hAnsi="宋体" w:cs="宋体"/>
          <w:b/>
          <w:sz w:val="24"/>
        </w:rPr>
      </w:pPr>
    </w:p>
    <w:p w14:paraId="01D6737A">
      <w:pPr>
        <w:adjustRightInd w:val="0"/>
        <w:snapToGrid w:val="0"/>
        <w:spacing w:line="440" w:lineRule="exact"/>
        <w:ind w:firstLine="482" w:firstLineChars="200"/>
        <w:contextualSpacing/>
        <w:rPr>
          <w:rFonts w:ascii="宋体" w:hAnsi="宋体" w:cs="宋体"/>
          <w:b/>
          <w:sz w:val="24"/>
        </w:rPr>
      </w:pPr>
      <w:r>
        <w:rPr>
          <w:rFonts w:ascii="宋体" w:hAnsi="宋体" w:cs="宋体"/>
          <w:b/>
          <w:sz w:val="24"/>
        </w:rPr>
        <w:t>3.</w:t>
      </w:r>
      <w:r>
        <w:rPr>
          <w:rFonts w:hint="eastAsia" w:ascii="宋体" w:hAnsi="宋体" w:cs="宋体"/>
          <w:b/>
          <w:sz w:val="24"/>
        </w:rPr>
        <w:t>6</w:t>
      </w:r>
      <w:r>
        <w:rPr>
          <w:rFonts w:hint="eastAsia" w:ascii="宋体" w:hAnsi="宋体" w:cs="宋体"/>
          <w:b/>
          <w:bCs/>
          <w:color w:val="000000"/>
          <w:kern w:val="0"/>
          <w:szCs w:val="21"/>
          <w:lang w:bidi="ar"/>
        </w:rPr>
        <w:t>大厅吧台</w:t>
      </w:r>
    </w:p>
    <w:p w14:paraId="45237234">
      <w:pPr>
        <w:adjustRightInd w:val="0"/>
        <w:snapToGrid w:val="0"/>
        <w:spacing w:line="360" w:lineRule="auto"/>
        <w:rPr>
          <w:rFonts w:ascii="宋体" w:hAnsi="宋体" w:cs="宋体"/>
          <w:b/>
          <w:sz w:val="24"/>
        </w:rPr>
      </w:pPr>
      <w:r>
        <w:rPr>
          <w:rFonts w:hint="eastAsia" w:ascii="宋体" w:hAnsi="宋体" w:cs="宋体"/>
          <w:b/>
          <w:sz w:val="24"/>
        </w:rPr>
        <w:drawing>
          <wp:inline distT="0" distB="0" distL="0" distR="0">
            <wp:extent cx="6188075" cy="4370070"/>
            <wp:effectExtent l="0" t="0" r="3175" b="0"/>
            <wp:docPr id="10" name="图片 10" descr="大厅吧台(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大厅吧台(1)_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188075" cy="4370070"/>
                    </a:xfrm>
                    <a:prstGeom prst="rect">
                      <a:avLst/>
                    </a:prstGeom>
                    <a:noFill/>
                    <a:ln>
                      <a:noFill/>
                    </a:ln>
                  </pic:spPr>
                </pic:pic>
              </a:graphicData>
            </a:graphic>
          </wp:inline>
        </w:drawing>
      </w:r>
    </w:p>
    <w:p w14:paraId="7229BF8F">
      <w:pPr>
        <w:adjustRightInd w:val="0"/>
        <w:snapToGrid w:val="0"/>
        <w:spacing w:line="440" w:lineRule="exact"/>
        <w:ind w:left="210" w:leftChars="100" w:right="210" w:rightChars="100" w:firstLine="482" w:firstLineChars="200"/>
        <w:contextualSpacing/>
        <w:rPr>
          <w:rFonts w:ascii="宋体" w:hAnsi="宋体" w:cs="宋体"/>
          <w:b/>
          <w:sz w:val="24"/>
        </w:rPr>
      </w:pPr>
      <w:r>
        <w:rPr>
          <w:rFonts w:hint="eastAsia" w:ascii="宋体" w:hAnsi="宋体" w:cs="宋体"/>
          <w:b/>
          <w:sz w:val="24"/>
        </w:rPr>
        <w:t>4</w:t>
      </w:r>
      <w:r>
        <w:rPr>
          <w:rFonts w:ascii="宋体" w:hAnsi="宋体" w:cs="宋体"/>
          <w:b/>
          <w:sz w:val="24"/>
        </w:rPr>
        <w:t>.</w:t>
      </w:r>
      <w:r>
        <w:rPr>
          <w:rFonts w:hint="eastAsia" w:ascii="宋体" w:hAnsi="宋体" w:cs="宋体"/>
          <w:b/>
          <w:sz w:val="24"/>
        </w:rPr>
        <w:t>采购标的需执行的国家相关标准、行业标准、地方标准或者其他标准、规范</w:t>
      </w:r>
    </w:p>
    <w:p w14:paraId="0098A0CF">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4.1</w:t>
      </w:r>
      <w:r>
        <w:rPr>
          <w:rFonts w:hint="eastAsia" w:ascii="宋体" w:hAnsi="宋体" w:cs="宋体"/>
          <w:sz w:val="24"/>
        </w:rPr>
        <w:t>响应产品的技术标准按国家标准执行，无国家标准的，按行业标准执行；无国家和行业标准的，按企业标准执行；但在采购文件中有特别要求的，按采购文件中规定的要求执行，并且符合相关法律、法规规定的要求。</w:t>
      </w:r>
    </w:p>
    <w:p w14:paraId="59B94D66">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4.</w:t>
      </w:r>
      <w:r>
        <w:rPr>
          <w:rFonts w:hint="eastAsia" w:ascii="宋体" w:hAnsi="宋体" w:cs="宋体"/>
          <w:sz w:val="24"/>
        </w:rPr>
        <w:t>2项目提供的技术要求(规格)只是对产品的一些原则性要求，并不是最详尽的描述和要求，响应供应商有责任依据相关设计技术规范和有关行业国家标准执行。</w:t>
      </w:r>
    </w:p>
    <w:p w14:paraId="0B107833">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4.</w:t>
      </w:r>
      <w:r>
        <w:rPr>
          <w:rFonts w:hint="eastAsia" w:ascii="宋体" w:hAnsi="宋体" w:cs="宋体"/>
          <w:sz w:val="24"/>
        </w:rPr>
        <w:t>3响应供应商应保证提供的产品不得侵犯第三方专利权、商标权和设计权、版权等。否则，响应供应商应负全部责任，并承担由此引起的一切后果。</w:t>
      </w:r>
    </w:p>
    <w:p w14:paraId="033B0D00">
      <w:pPr>
        <w:tabs>
          <w:tab w:val="left" w:pos="0"/>
        </w:tabs>
        <w:adjustRightInd w:val="0"/>
        <w:snapToGrid w:val="0"/>
        <w:spacing w:line="440" w:lineRule="exact"/>
        <w:ind w:left="210" w:leftChars="100" w:right="210" w:rightChars="100" w:firstLine="482" w:firstLineChars="200"/>
        <w:contextualSpacing/>
        <w:rPr>
          <w:rFonts w:ascii="宋体" w:hAnsi="宋体" w:cs="宋体"/>
          <w:b/>
          <w:sz w:val="24"/>
        </w:rPr>
      </w:pPr>
      <w:r>
        <w:rPr>
          <w:rFonts w:hint="eastAsia" w:ascii="宋体" w:hAnsi="宋体" w:cs="宋体"/>
          <w:b/>
          <w:sz w:val="24"/>
        </w:rPr>
        <w:t>5</w:t>
      </w:r>
      <w:r>
        <w:rPr>
          <w:rFonts w:ascii="宋体" w:hAnsi="宋体" w:cs="宋体"/>
          <w:b/>
          <w:sz w:val="24"/>
        </w:rPr>
        <w:t>.</w:t>
      </w:r>
      <w:r>
        <w:rPr>
          <w:rFonts w:hint="eastAsia" w:ascii="宋体" w:hAnsi="宋体" w:cs="宋体"/>
          <w:b/>
          <w:sz w:val="24"/>
        </w:rPr>
        <w:t>采购标的需满足的质量、安全、技术规格、物理特性等要求</w:t>
      </w:r>
    </w:p>
    <w:p w14:paraId="66CF895D">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5.1</w:t>
      </w:r>
      <w:r>
        <w:rPr>
          <w:rFonts w:hint="eastAsia" w:ascii="宋体" w:hAnsi="宋体" w:cs="宋体"/>
          <w:sz w:val="24"/>
        </w:rPr>
        <w:t>质保期限：免费质保两年。</w:t>
      </w:r>
    </w:p>
    <w:p w14:paraId="5D169026">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5.2</w:t>
      </w:r>
      <w:r>
        <w:rPr>
          <w:rFonts w:hint="eastAsia" w:ascii="宋体" w:hAnsi="宋体" w:cs="宋体"/>
          <w:sz w:val="24"/>
        </w:rPr>
        <w:t>原材料环保要求：原材料及辅材产品应符合国家规定的强制性环保指标。</w:t>
      </w:r>
    </w:p>
    <w:p w14:paraId="0CD0E4A2">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5.3</w:t>
      </w:r>
      <w:r>
        <w:rPr>
          <w:rFonts w:hint="eastAsia" w:ascii="宋体" w:hAnsi="宋体" w:cs="宋体"/>
          <w:sz w:val="24"/>
        </w:rPr>
        <w:t>设计、制造相关问题。</w:t>
      </w:r>
    </w:p>
    <w:p w14:paraId="76F8E594">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5.4</w:t>
      </w:r>
      <w:r>
        <w:rPr>
          <w:rFonts w:hint="eastAsia" w:ascii="宋体" w:hAnsi="宋体" w:cs="宋体"/>
          <w:sz w:val="24"/>
        </w:rPr>
        <w:t>采购家具的数量、规格、材质及工艺要求，详见项目需求清单。</w:t>
      </w:r>
    </w:p>
    <w:p w14:paraId="3F957349">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5.5</w:t>
      </w:r>
      <w:r>
        <w:rPr>
          <w:rFonts w:hint="eastAsia" w:ascii="宋体" w:hAnsi="宋体" w:cs="宋体"/>
          <w:sz w:val="24"/>
        </w:rPr>
        <w:t>采购文件所附的图样为产品示意图，材质及工艺要求中有关技术指标为本次采购的最低要求。</w:t>
      </w:r>
    </w:p>
    <w:p w14:paraId="3E850269">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5.6</w:t>
      </w:r>
      <w:r>
        <w:rPr>
          <w:rFonts w:hint="eastAsia" w:ascii="宋体" w:hAnsi="宋体" w:cs="宋体"/>
          <w:sz w:val="24"/>
        </w:rPr>
        <w:t>家具内部配件（螺丝等）必须进行防腐蚀处理。</w:t>
      </w:r>
    </w:p>
    <w:p w14:paraId="111827C7">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5.7</w:t>
      </w:r>
      <w:r>
        <w:rPr>
          <w:rFonts w:hint="eastAsia" w:ascii="宋体" w:hAnsi="宋体" w:cs="宋体"/>
          <w:sz w:val="24"/>
        </w:rPr>
        <w:t>所供产品的颜色与款式等最终由采购方确定后才可确定或生产。</w:t>
      </w:r>
    </w:p>
    <w:p w14:paraId="6771D2B8">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5.8</w:t>
      </w:r>
      <w:r>
        <w:rPr>
          <w:rFonts w:hint="eastAsia" w:ascii="宋体" w:hAnsi="宋体" w:cs="宋体"/>
          <w:sz w:val="24"/>
        </w:rPr>
        <w:t>响应供应商报价中包括完成本项目所需的全部材料费、人工费、加工制作费、深化设计费、安装费、调试费、检测费、包装费、</w:t>
      </w:r>
      <w:r>
        <w:rPr>
          <w:rFonts w:hint="eastAsia" w:ascii="宋体" w:hAnsi="宋体" w:cs="Arial"/>
          <w:sz w:val="24"/>
        </w:rPr>
        <w:t>装卸费、仓储费、</w:t>
      </w:r>
      <w:r>
        <w:rPr>
          <w:rFonts w:hint="eastAsia" w:ascii="宋体" w:hAnsi="宋体" w:cs="宋体"/>
          <w:sz w:val="24"/>
        </w:rPr>
        <w:t>运输费、</w:t>
      </w:r>
      <w:r>
        <w:rPr>
          <w:rFonts w:hint="eastAsia" w:ascii="宋体" w:hAnsi="宋体" w:cs="Arial"/>
          <w:sz w:val="24"/>
        </w:rPr>
        <w:t>缺陷处理、管理费、资料费、</w:t>
      </w:r>
      <w:r>
        <w:rPr>
          <w:rFonts w:hint="eastAsia" w:ascii="宋体" w:hAnsi="宋体" w:cs="Arial"/>
          <w:snapToGrid w:val="0"/>
          <w:sz w:val="24"/>
        </w:rPr>
        <w:t>机械使用费、工具使用费、</w:t>
      </w:r>
      <w:r>
        <w:rPr>
          <w:rFonts w:hint="eastAsia" w:ascii="宋体" w:hAnsi="宋体" w:cs="宋体"/>
          <w:sz w:val="24"/>
        </w:rPr>
        <w:t>各种规费、税费</w:t>
      </w:r>
      <w:r>
        <w:rPr>
          <w:rFonts w:hint="eastAsia" w:ascii="宋体" w:hAnsi="宋体" w:cs="Arial"/>
          <w:snapToGrid w:val="0"/>
          <w:sz w:val="24"/>
        </w:rPr>
        <w:t>等</w:t>
      </w:r>
      <w:r>
        <w:rPr>
          <w:rFonts w:hint="eastAsia" w:ascii="宋体" w:hAnsi="宋体" w:cs="Arial"/>
          <w:sz w:val="24"/>
        </w:rPr>
        <w:t>直至</w:t>
      </w:r>
      <w:r>
        <w:rPr>
          <w:rFonts w:hint="eastAsia" w:ascii="宋体" w:hAnsi="宋体" w:cs="Arial"/>
          <w:snapToGrid w:val="0"/>
          <w:sz w:val="24"/>
        </w:rPr>
        <w:t>合同有效期</w:t>
      </w:r>
      <w:r>
        <w:rPr>
          <w:rFonts w:hint="eastAsia" w:ascii="宋体" w:hAnsi="宋体" w:cs="Arial"/>
          <w:sz w:val="24"/>
        </w:rPr>
        <w:t>内</w:t>
      </w:r>
      <w:r>
        <w:rPr>
          <w:rFonts w:hint="eastAsia" w:ascii="宋体" w:hAnsi="宋体" w:cs="宋体"/>
          <w:bCs/>
          <w:color w:val="000000"/>
          <w:sz w:val="24"/>
        </w:rPr>
        <w:t>各项应有费用及其他有关的为完成本项目发生的所有费用</w:t>
      </w:r>
      <w:r>
        <w:rPr>
          <w:rFonts w:hint="eastAsia" w:ascii="宋体" w:hAnsi="宋体" w:cs="Arial"/>
          <w:sz w:val="24"/>
        </w:rPr>
        <w:t>和利润。</w:t>
      </w:r>
      <w:r>
        <w:rPr>
          <w:rFonts w:hint="eastAsia" w:ascii="宋体" w:hAnsi="宋体" w:cs="宋体"/>
          <w:bCs/>
          <w:sz w:val="24"/>
        </w:rPr>
        <w:t>院内公开谈判文件未列明，而投标人认为必需的费用也需列入报价，</w:t>
      </w:r>
      <w:r>
        <w:rPr>
          <w:rFonts w:hint="eastAsia" w:ascii="宋体" w:hAnsi="宋体" w:cs="Arial"/>
          <w:sz w:val="24"/>
        </w:rPr>
        <w:t>同时投标人应将招标交易费用考虑在投标报价中。</w:t>
      </w:r>
      <w:r>
        <w:rPr>
          <w:rFonts w:hint="eastAsia" w:ascii="宋体" w:hAnsi="宋体" w:cs="宋体"/>
          <w:sz w:val="24"/>
        </w:rPr>
        <w:t>投标人要充分了解现场及现有设备设施运行状态，充分考虑其各种市场风险进行报价，且该价格不因市场价格因素及政策性调整的变化而调整。</w:t>
      </w:r>
    </w:p>
    <w:p w14:paraId="706B7116">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5.9</w:t>
      </w:r>
      <w:r>
        <w:rPr>
          <w:rFonts w:hint="eastAsia" w:ascii="宋体" w:hAnsi="宋体" w:cs="宋体"/>
          <w:sz w:val="24"/>
        </w:rPr>
        <w:t>响应供应商可以自行咨询、踏勘现场，充分了解现场任何影响响应报价之情况，根据现场情况考虑相应的运输、上楼搬运、分楼分层安装等工作实际，充分考虑所有可能影响到报价的相关因素，并将相关费用考虑在报价中，任何忽视、猜测、或误解现场情况而导致的成本增加或工期延长等，采购方一律不予认可。</w:t>
      </w:r>
    </w:p>
    <w:p w14:paraId="31687DB0">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5.10</w:t>
      </w:r>
      <w:r>
        <w:rPr>
          <w:rFonts w:hint="eastAsia" w:ascii="宋体" w:hAnsi="宋体" w:cs="宋体"/>
          <w:sz w:val="24"/>
        </w:rPr>
        <w:t>本项目不接受任何有选择的报价，响应报价均以人民币为报价的币种。本项目报价为固定单价报价，成交供应商的成交单价在合同实施期间不因市场变化因素而变动。结算时固定单价不作调整，供货数量可能会根据现场实际情况增加或减少，最终按实结算，请各响应供应商报价时综合考虑。</w:t>
      </w:r>
    </w:p>
    <w:p w14:paraId="7A7A514D">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w:t>
      </w:r>
      <w:r>
        <w:rPr>
          <w:rFonts w:hint="eastAsia" w:ascii="宋体" w:hAnsi="宋体" w:cs="宋体"/>
          <w:sz w:val="24"/>
        </w:rPr>
        <w:t>.11除非因特殊原因并经采购人和成交供应商双方协商同意，成交供应商不得再要求追加任何费用。</w:t>
      </w:r>
    </w:p>
    <w:p w14:paraId="6F966ACA">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w:t>
      </w:r>
      <w:r>
        <w:rPr>
          <w:rFonts w:hint="eastAsia" w:ascii="宋体" w:hAnsi="宋体" w:cs="宋体"/>
          <w:sz w:val="24"/>
        </w:rPr>
        <w:t>.12产品示意图仅作参考，响应供应商应在不低于本采购文件所提供的技术指标前提下，根据现场优化设计，优化设计费包含在响应报价中。</w:t>
      </w:r>
    </w:p>
    <w:p w14:paraId="5F97F701">
      <w:pPr>
        <w:tabs>
          <w:tab w:val="left" w:pos="0"/>
        </w:tabs>
        <w:adjustRightInd w:val="0"/>
        <w:snapToGrid w:val="0"/>
        <w:spacing w:line="440" w:lineRule="exact"/>
        <w:ind w:left="420" w:leftChars="200" w:right="420" w:rightChars="200" w:firstLine="482" w:firstLineChars="200"/>
        <w:contextualSpacing/>
        <w:rPr>
          <w:rFonts w:ascii="宋体" w:hAnsi="宋体" w:cs="宋体"/>
          <w:b/>
          <w:sz w:val="24"/>
        </w:rPr>
      </w:pPr>
      <w:r>
        <w:rPr>
          <w:rFonts w:ascii="宋体" w:hAnsi="宋体" w:cs="宋体"/>
          <w:b/>
          <w:sz w:val="24"/>
        </w:rPr>
        <w:t>6</w:t>
      </w:r>
      <w:r>
        <w:rPr>
          <w:rFonts w:hint="eastAsia" w:ascii="宋体" w:hAnsi="宋体" w:cs="宋体"/>
          <w:b/>
          <w:sz w:val="24"/>
        </w:rPr>
        <w:t>.采购标的数量、采购项目交付或者实施的时间和地点</w:t>
      </w:r>
    </w:p>
    <w:p w14:paraId="7ED0423B">
      <w:pPr>
        <w:tabs>
          <w:tab w:val="left" w:pos="0"/>
        </w:tabs>
        <w:adjustRightInd w:val="0"/>
        <w:snapToGrid w:val="0"/>
        <w:spacing w:line="440" w:lineRule="exact"/>
        <w:ind w:left="420" w:leftChars="200" w:right="420" w:rightChars="200" w:firstLine="480" w:firstLineChars="200"/>
        <w:contextualSpacing/>
        <w:rPr>
          <w:rFonts w:ascii="宋体" w:hAnsi="宋体" w:cs="宋体"/>
          <w:sz w:val="24"/>
        </w:rPr>
      </w:pPr>
      <w:r>
        <w:rPr>
          <w:rFonts w:hint="eastAsia" w:ascii="宋体" w:hAnsi="宋体" w:cs="宋体"/>
          <w:sz w:val="24"/>
        </w:rPr>
        <w:t>5.1交货时间：合同签订后，各成交供应商接到采购人通知后30个日历天内完成供货、安装。</w:t>
      </w:r>
    </w:p>
    <w:p w14:paraId="53600A23">
      <w:pPr>
        <w:tabs>
          <w:tab w:val="left" w:pos="0"/>
        </w:tabs>
        <w:adjustRightInd w:val="0"/>
        <w:snapToGrid w:val="0"/>
        <w:spacing w:line="440" w:lineRule="exact"/>
        <w:ind w:left="420" w:leftChars="200" w:right="420" w:rightChars="200" w:firstLine="480" w:firstLineChars="200"/>
        <w:contextualSpacing/>
        <w:rPr>
          <w:rFonts w:ascii="宋体" w:hAnsi="宋体" w:cs="宋体"/>
          <w:sz w:val="24"/>
        </w:rPr>
      </w:pPr>
      <w:r>
        <w:rPr>
          <w:rFonts w:hint="eastAsia" w:ascii="宋体" w:hAnsi="宋体" w:cs="宋体"/>
          <w:sz w:val="24"/>
        </w:rPr>
        <w:t>5.2交货地点：扬州市第一人民医院西区医院，具体按采购人指定地点送货。</w:t>
      </w:r>
    </w:p>
    <w:p w14:paraId="2927A431">
      <w:pPr>
        <w:tabs>
          <w:tab w:val="left" w:pos="0"/>
        </w:tabs>
        <w:adjustRightInd w:val="0"/>
        <w:snapToGrid w:val="0"/>
        <w:spacing w:line="440" w:lineRule="exact"/>
        <w:ind w:left="420" w:leftChars="200" w:right="420" w:rightChars="200" w:firstLine="482" w:firstLineChars="200"/>
        <w:contextualSpacing/>
        <w:rPr>
          <w:rFonts w:ascii="宋体" w:hAnsi="宋体" w:cs="宋体"/>
          <w:b/>
          <w:sz w:val="24"/>
        </w:rPr>
      </w:pPr>
      <w:r>
        <w:rPr>
          <w:rFonts w:ascii="宋体" w:hAnsi="宋体" w:cs="宋体"/>
          <w:b/>
          <w:sz w:val="24"/>
        </w:rPr>
        <w:t>7</w:t>
      </w:r>
      <w:r>
        <w:rPr>
          <w:rFonts w:hint="eastAsia" w:ascii="宋体" w:hAnsi="宋体" w:cs="宋体"/>
          <w:b/>
          <w:sz w:val="24"/>
        </w:rPr>
        <w:t>.采购标的需满足的服务标准、期限、效率等要求</w:t>
      </w:r>
    </w:p>
    <w:p w14:paraId="380C12DE">
      <w:pPr>
        <w:tabs>
          <w:tab w:val="left" w:pos="0"/>
        </w:tabs>
        <w:adjustRightInd w:val="0"/>
        <w:snapToGrid w:val="0"/>
        <w:spacing w:line="440" w:lineRule="exact"/>
        <w:ind w:left="420" w:leftChars="200" w:right="420" w:rightChars="200" w:firstLine="480" w:firstLineChars="200"/>
        <w:contextualSpacing/>
        <w:rPr>
          <w:rFonts w:ascii="宋体" w:hAnsi="宋体" w:cs="宋体"/>
          <w:sz w:val="24"/>
        </w:rPr>
      </w:pPr>
      <w:r>
        <w:rPr>
          <w:rFonts w:ascii="宋体" w:hAnsi="宋体" w:cs="宋体"/>
          <w:sz w:val="24"/>
        </w:rPr>
        <w:t>7</w:t>
      </w:r>
      <w:r>
        <w:rPr>
          <w:rFonts w:hint="eastAsia" w:ascii="宋体" w:hAnsi="宋体" w:cs="宋体"/>
          <w:sz w:val="24"/>
        </w:rPr>
        <w:t>.1响应供应商应保证货物是全新、未使用过的原厂合格产品，并完全符合响应文件的质量、规格和参数的要求。</w:t>
      </w:r>
    </w:p>
    <w:p w14:paraId="367B1FBB">
      <w:pPr>
        <w:tabs>
          <w:tab w:val="left" w:pos="0"/>
        </w:tabs>
        <w:adjustRightInd w:val="0"/>
        <w:snapToGrid w:val="0"/>
        <w:spacing w:line="440" w:lineRule="exact"/>
        <w:ind w:left="420" w:leftChars="200" w:right="420" w:rightChars="200" w:firstLine="480" w:firstLineChars="200"/>
        <w:contextualSpacing/>
        <w:rPr>
          <w:rFonts w:ascii="宋体" w:hAnsi="宋体" w:cs="宋体"/>
          <w:sz w:val="24"/>
        </w:rPr>
      </w:pPr>
      <w:r>
        <w:rPr>
          <w:rFonts w:ascii="宋体" w:hAnsi="宋体" w:cs="宋体"/>
          <w:sz w:val="24"/>
        </w:rPr>
        <w:t>7</w:t>
      </w:r>
      <w:r>
        <w:rPr>
          <w:rFonts w:hint="eastAsia" w:ascii="宋体" w:hAnsi="宋体" w:cs="宋体"/>
          <w:sz w:val="24"/>
        </w:rPr>
        <w:t>.2响应供应商应保证其货物在正确安装、正常使用下，在其使用寿命期内应具有满意的性能。</w:t>
      </w:r>
    </w:p>
    <w:p w14:paraId="04C340D4">
      <w:pPr>
        <w:tabs>
          <w:tab w:val="left" w:pos="0"/>
        </w:tabs>
        <w:adjustRightInd w:val="0"/>
        <w:snapToGrid w:val="0"/>
        <w:spacing w:line="440" w:lineRule="exact"/>
        <w:ind w:left="420" w:leftChars="200" w:right="420" w:rightChars="200" w:firstLine="480" w:firstLineChars="200"/>
        <w:contextualSpacing/>
        <w:rPr>
          <w:rFonts w:ascii="宋体" w:hAnsi="宋体" w:cs="宋体"/>
          <w:sz w:val="24"/>
        </w:rPr>
      </w:pPr>
      <w:r>
        <w:rPr>
          <w:rFonts w:ascii="宋体" w:hAnsi="宋体" w:cs="宋体"/>
          <w:sz w:val="24"/>
        </w:rPr>
        <w:t>7</w:t>
      </w:r>
      <w:r>
        <w:rPr>
          <w:rFonts w:hint="eastAsia" w:ascii="宋体" w:hAnsi="宋体" w:cs="宋体"/>
          <w:sz w:val="24"/>
        </w:rPr>
        <w:t>.3响应供应商应采取必要的安全措施保证货物的运输及安装的安全，并承担货物的运输及安装过程中产生的风险。</w:t>
      </w:r>
    </w:p>
    <w:p w14:paraId="2F78839B">
      <w:pPr>
        <w:tabs>
          <w:tab w:val="left" w:pos="0"/>
        </w:tabs>
        <w:adjustRightInd w:val="0"/>
        <w:snapToGrid w:val="0"/>
        <w:spacing w:line="440" w:lineRule="exact"/>
        <w:ind w:left="420" w:leftChars="200" w:right="420" w:rightChars="200" w:firstLine="480" w:firstLineChars="200"/>
        <w:contextualSpacing/>
        <w:rPr>
          <w:rFonts w:ascii="宋体" w:hAnsi="宋体" w:cs="宋体"/>
          <w:sz w:val="24"/>
        </w:rPr>
      </w:pPr>
      <w:r>
        <w:rPr>
          <w:rFonts w:ascii="宋体" w:hAnsi="宋体" w:cs="宋体"/>
          <w:sz w:val="24"/>
        </w:rPr>
        <w:t>7</w:t>
      </w:r>
      <w:r>
        <w:rPr>
          <w:rFonts w:hint="eastAsia" w:ascii="宋体" w:hAnsi="宋体" w:cs="宋体"/>
          <w:sz w:val="24"/>
        </w:rPr>
        <w:t>.4响应供应商可以先到现场踏勘以充分了解工地位置、道路、储存空间、装卸限制及任何其它足以影响响应报价的情况，任何因忽视或误解工地情况而导致的索赔或供货期延长申请将不获批准，由此发生的任何费用由响应供应商自理。</w:t>
      </w:r>
    </w:p>
    <w:p w14:paraId="3A16DE57">
      <w:pPr>
        <w:tabs>
          <w:tab w:val="left" w:pos="0"/>
        </w:tabs>
        <w:adjustRightInd w:val="0"/>
        <w:snapToGrid w:val="0"/>
        <w:spacing w:line="440" w:lineRule="exact"/>
        <w:ind w:left="420" w:leftChars="200" w:right="420" w:rightChars="200" w:firstLine="480" w:firstLineChars="200"/>
        <w:contextualSpacing/>
        <w:rPr>
          <w:rFonts w:ascii="宋体" w:hAnsi="宋体" w:cs="宋体"/>
          <w:sz w:val="24"/>
        </w:rPr>
      </w:pPr>
      <w:r>
        <w:rPr>
          <w:rFonts w:ascii="宋体" w:hAnsi="宋体" w:cs="宋体"/>
          <w:sz w:val="24"/>
        </w:rPr>
        <w:t>7</w:t>
      </w:r>
      <w:r>
        <w:rPr>
          <w:rFonts w:hint="eastAsia" w:ascii="宋体" w:hAnsi="宋体" w:cs="宋体"/>
          <w:sz w:val="24"/>
        </w:rPr>
        <w:t>.5产品必须从厂家生产完毕后在现场安装，不得在施工现场制作。</w:t>
      </w:r>
    </w:p>
    <w:p w14:paraId="2D4CF87A">
      <w:pPr>
        <w:tabs>
          <w:tab w:val="left" w:pos="0"/>
        </w:tabs>
        <w:adjustRightInd w:val="0"/>
        <w:snapToGrid w:val="0"/>
        <w:spacing w:line="440" w:lineRule="exact"/>
        <w:ind w:left="420" w:leftChars="200" w:right="420" w:rightChars="200" w:firstLine="480" w:firstLineChars="200"/>
        <w:contextualSpacing/>
        <w:rPr>
          <w:rFonts w:ascii="宋体" w:hAnsi="宋体" w:cs="宋体"/>
          <w:sz w:val="24"/>
        </w:rPr>
      </w:pPr>
      <w:r>
        <w:rPr>
          <w:rFonts w:ascii="宋体" w:hAnsi="宋体" w:cs="宋体"/>
          <w:sz w:val="24"/>
        </w:rPr>
        <w:t>7</w:t>
      </w:r>
      <w:r>
        <w:rPr>
          <w:rFonts w:hint="eastAsia" w:ascii="宋体" w:hAnsi="宋体" w:cs="宋体"/>
          <w:sz w:val="24"/>
        </w:rPr>
        <w:t>.6成交供应商提供的所有货物必须满足采购文件要求，须与分项报价明细表注明的材料品牌、规格型号、价格、数量等相符，否则成交供应商承担违约责任。货物到货后，需报采购人后方可进场，对于不合格的货物严禁使用到本项目，否则一切损失及后果由成交供应商自行承担。</w:t>
      </w:r>
    </w:p>
    <w:p w14:paraId="39967375">
      <w:pPr>
        <w:tabs>
          <w:tab w:val="left" w:pos="0"/>
        </w:tabs>
        <w:adjustRightInd w:val="0"/>
        <w:snapToGrid w:val="0"/>
        <w:spacing w:line="440" w:lineRule="exact"/>
        <w:ind w:left="420" w:leftChars="200" w:right="420" w:rightChars="200" w:firstLine="482" w:firstLineChars="200"/>
        <w:contextualSpacing/>
        <w:rPr>
          <w:rFonts w:ascii="宋体" w:hAnsi="宋体" w:cs="宋体"/>
          <w:b/>
          <w:sz w:val="24"/>
        </w:rPr>
      </w:pPr>
      <w:r>
        <w:rPr>
          <w:rFonts w:ascii="宋体" w:hAnsi="宋体" w:cs="宋体"/>
          <w:b/>
          <w:sz w:val="24"/>
        </w:rPr>
        <w:t>8</w:t>
      </w:r>
      <w:r>
        <w:rPr>
          <w:rFonts w:hint="eastAsia" w:ascii="宋体" w:hAnsi="宋体" w:cs="宋体"/>
          <w:b/>
          <w:sz w:val="24"/>
        </w:rPr>
        <w:t>.采购标的验收标准</w:t>
      </w:r>
    </w:p>
    <w:p w14:paraId="739C722E">
      <w:pPr>
        <w:tabs>
          <w:tab w:val="left" w:pos="0"/>
        </w:tabs>
        <w:adjustRightInd w:val="0"/>
        <w:snapToGrid w:val="0"/>
        <w:spacing w:line="440" w:lineRule="exact"/>
        <w:ind w:left="420" w:leftChars="200" w:right="420" w:rightChars="200" w:firstLine="480" w:firstLineChars="200"/>
        <w:contextualSpacing/>
        <w:rPr>
          <w:rFonts w:ascii="宋体" w:hAnsi="宋体" w:cs="宋体"/>
          <w:sz w:val="24"/>
        </w:rPr>
      </w:pPr>
      <w:r>
        <w:rPr>
          <w:rFonts w:ascii="宋体" w:hAnsi="宋体" w:cs="宋体"/>
          <w:sz w:val="24"/>
        </w:rPr>
        <w:t>8</w:t>
      </w:r>
      <w:r>
        <w:rPr>
          <w:rFonts w:hint="eastAsia" w:ascii="宋体" w:hAnsi="宋体" w:cs="宋体"/>
          <w:sz w:val="24"/>
        </w:rPr>
        <w:t>.1成交供应商应在不低于本采购文件所提供的技术指标前提下，优化设计方案（包括原料、配件、生产、安装、验收、售后服务等），但尺寸需满足现场需求。</w:t>
      </w:r>
    </w:p>
    <w:p w14:paraId="05048E5B">
      <w:pPr>
        <w:tabs>
          <w:tab w:val="left" w:pos="0"/>
        </w:tabs>
        <w:adjustRightInd w:val="0"/>
        <w:snapToGrid w:val="0"/>
        <w:spacing w:line="440" w:lineRule="exact"/>
        <w:ind w:left="420" w:leftChars="200" w:right="420" w:rightChars="200" w:firstLine="480" w:firstLineChars="200"/>
        <w:contextualSpacing/>
        <w:rPr>
          <w:rFonts w:ascii="宋体" w:hAnsi="宋体" w:cs="宋体"/>
          <w:sz w:val="24"/>
        </w:rPr>
      </w:pPr>
      <w:r>
        <w:rPr>
          <w:rFonts w:ascii="宋体" w:hAnsi="宋体" w:cs="宋体"/>
          <w:sz w:val="24"/>
        </w:rPr>
        <w:t>8</w:t>
      </w:r>
      <w:r>
        <w:rPr>
          <w:rFonts w:hint="eastAsia" w:ascii="宋体" w:hAnsi="宋体" w:cs="宋体"/>
          <w:sz w:val="24"/>
        </w:rPr>
        <w:t>.2成交供应商所供产品应按国家相关强制标准或行业标准进行设计和制造。产品及其原材料应符合国家规定的强制性环保要求，所使用的主辅材料应符合国家环保标准。成交供应商应提供材质清单、材料产地证明。须说明在生产安装过程中，所采用的主要配件的名称及生产厂家，并提供相应的技术说明书。同时，还需提供响应供应商拥有的大型生产设备清单及证明文件。</w:t>
      </w:r>
    </w:p>
    <w:p w14:paraId="7C8E976E">
      <w:pPr>
        <w:tabs>
          <w:tab w:val="left" w:pos="0"/>
        </w:tabs>
        <w:adjustRightInd w:val="0"/>
        <w:snapToGrid w:val="0"/>
        <w:spacing w:line="440" w:lineRule="exact"/>
        <w:ind w:left="420" w:leftChars="200" w:right="420" w:rightChars="200" w:firstLine="480" w:firstLineChars="200"/>
        <w:contextualSpacing/>
        <w:rPr>
          <w:rFonts w:ascii="宋体" w:hAnsi="宋体" w:cs="宋体"/>
          <w:sz w:val="24"/>
        </w:rPr>
      </w:pPr>
      <w:r>
        <w:rPr>
          <w:rFonts w:ascii="宋体" w:hAnsi="宋体" w:cs="宋体"/>
          <w:sz w:val="24"/>
        </w:rPr>
        <w:t>8.3</w:t>
      </w:r>
      <w:r>
        <w:rPr>
          <w:rFonts w:hint="eastAsia" w:ascii="宋体" w:hAnsi="宋体" w:cs="宋体"/>
          <w:sz w:val="24"/>
        </w:rPr>
        <w:t>为保证采购人权益，在货物生产过程中采购人有权随时监督生产情况。监督过程中成交供应商需提供原厂包装。</w:t>
      </w:r>
    </w:p>
    <w:p w14:paraId="0A5F8FC3">
      <w:pPr>
        <w:tabs>
          <w:tab w:val="left" w:pos="0"/>
        </w:tabs>
        <w:adjustRightInd w:val="0"/>
        <w:snapToGrid w:val="0"/>
        <w:spacing w:line="440" w:lineRule="exact"/>
        <w:ind w:left="420" w:leftChars="200" w:right="420" w:rightChars="200" w:firstLine="480" w:firstLineChars="200"/>
        <w:contextualSpacing/>
        <w:rPr>
          <w:rFonts w:ascii="宋体" w:hAnsi="宋体" w:cs="宋体"/>
          <w:sz w:val="24"/>
        </w:rPr>
      </w:pPr>
      <w:r>
        <w:rPr>
          <w:rFonts w:ascii="宋体" w:hAnsi="宋体" w:cs="宋体"/>
          <w:sz w:val="24"/>
        </w:rPr>
        <w:t>8.4</w:t>
      </w:r>
      <w:r>
        <w:rPr>
          <w:rFonts w:hint="eastAsia" w:ascii="宋体" w:hAnsi="宋体" w:cs="宋体"/>
          <w:sz w:val="24"/>
        </w:rPr>
        <w:t>成交供应商提供的货物必须达到或优于采购文件“采购清单”技术需求中各项指标参数。采购人在例行送检之外将随机抽检货物原材料、成品，检验机构为通过国家计量认证的第三方检测机构。对于产品的任何技术及质量不合格，成交供应商承担检测费用，采购人有权拒收、部分拒收、退货、部分退货直至解除本合同，同时采购人有权保留使用该产品直至供应商提供合格产品替换，并要求成交供应商支付因此造成的所有损失。破拆部件由成交供应商负责补齐且采购人不支付任何补偿费用。</w:t>
      </w:r>
    </w:p>
    <w:p w14:paraId="2BB4B5DD">
      <w:pPr>
        <w:tabs>
          <w:tab w:val="left" w:pos="0"/>
        </w:tabs>
        <w:adjustRightInd w:val="0"/>
        <w:snapToGrid w:val="0"/>
        <w:spacing w:line="440" w:lineRule="exact"/>
        <w:ind w:left="210" w:leftChars="100" w:right="210" w:rightChars="100" w:firstLine="482" w:firstLineChars="200"/>
        <w:contextualSpacing/>
        <w:rPr>
          <w:rFonts w:ascii="宋体" w:hAnsi="宋体" w:cs="宋体"/>
          <w:b/>
          <w:sz w:val="24"/>
        </w:rPr>
      </w:pPr>
      <w:r>
        <w:rPr>
          <w:rFonts w:ascii="宋体" w:hAnsi="宋体" w:cs="宋体"/>
          <w:b/>
          <w:sz w:val="24"/>
        </w:rPr>
        <w:t>5.</w:t>
      </w:r>
      <w:r>
        <w:rPr>
          <w:rFonts w:hint="eastAsia" w:ascii="宋体" w:hAnsi="宋体" w:cs="宋体"/>
          <w:b/>
          <w:sz w:val="24"/>
        </w:rPr>
        <w:t>1质保期限：免费质保两年。</w:t>
      </w:r>
    </w:p>
    <w:p w14:paraId="5FB9F5A3">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w:t>
      </w:r>
      <w:r>
        <w:rPr>
          <w:rFonts w:hint="eastAsia" w:ascii="宋体" w:hAnsi="宋体" w:cs="宋体"/>
          <w:sz w:val="24"/>
        </w:rPr>
        <w:t>2原材料环保要求：原材料及辅材产品应符合国家规定的强制性环保指标。</w:t>
      </w:r>
    </w:p>
    <w:p w14:paraId="20A3C374">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w:t>
      </w:r>
      <w:r>
        <w:rPr>
          <w:rFonts w:hint="eastAsia" w:ascii="宋体" w:hAnsi="宋体" w:cs="宋体"/>
          <w:sz w:val="24"/>
        </w:rPr>
        <w:t>3设计、制造相关问题</w:t>
      </w:r>
    </w:p>
    <w:p w14:paraId="55F9698A">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w:t>
      </w:r>
      <w:r>
        <w:rPr>
          <w:rFonts w:hint="eastAsia" w:ascii="宋体" w:hAnsi="宋体" w:cs="宋体"/>
          <w:sz w:val="24"/>
        </w:rPr>
        <w:t>3.1采购家具的数量、规格、材质及工艺要求，详见项目需求清单。</w:t>
      </w:r>
    </w:p>
    <w:p w14:paraId="03E368BF">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w:t>
      </w:r>
      <w:r>
        <w:rPr>
          <w:rFonts w:hint="eastAsia" w:ascii="宋体" w:hAnsi="宋体" w:cs="宋体"/>
          <w:sz w:val="24"/>
        </w:rPr>
        <w:t>3.2采购文件所附的图样为产品示意图，材质及工艺要求中有关技术指标为本次采购的最低要求。</w:t>
      </w:r>
    </w:p>
    <w:p w14:paraId="33FDBBA1">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w:t>
      </w:r>
      <w:r>
        <w:rPr>
          <w:rFonts w:hint="eastAsia" w:ascii="宋体" w:hAnsi="宋体" w:cs="宋体"/>
          <w:sz w:val="24"/>
        </w:rPr>
        <w:t>3.3家具内部配件（螺丝等）必须进行防腐蚀处理。</w:t>
      </w:r>
    </w:p>
    <w:p w14:paraId="2813DCFC">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w:t>
      </w:r>
      <w:r>
        <w:rPr>
          <w:rFonts w:hint="eastAsia" w:ascii="宋体" w:hAnsi="宋体" w:cs="宋体"/>
          <w:sz w:val="24"/>
        </w:rPr>
        <w:t>3.4所供产品的颜色与款式等最终由采购方确定后才可确定或生产。</w:t>
      </w:r>
    </w:p>
    <w:p w14:paraId="1C7774C5">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w:t>
      </w:r>
      <w:r>
        <w:rPr>
          <w:rFonts w:hint="eastAsia" w:ascii="宋体" w:hAnsi="宋体" w:cs="宋体"/>
          <w:sz w:val="24"/>
        </w:rPr>
        <w:t>3.5响应供应商报价中包括完成本项目所需的全部材料费、加工制作费、包装费、运输保险费、安装费、调试费、检测费、力支费、利润、税费、合同包含的所有风险、责任等及响应供应商认为需要的其他费用等，且该价格不因市场价格因素及政策性调整的变化而调整。响应供应商可以自行咨询、踏勘现场，充分了解现场任何影响响应报价之情况，根据现场情况考虑相应的运输、上楼搬运、分楼分层安装等工作实际，并将相关费用考虑在报价中，任何忽视、猜测、或误解现场情况而导致的成本增加或工期延长等，采购方一律不予认可。</w:t>
      </w:r>
    </w:p>
    <w:p w14:paraId="3C5AB4BE">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w:t>
      </w:r>
      <w:r>
        <w:rPr>
          <w:rFonts w:hint="eastAsia" w:ascii="宋体" w:hAnsi="宋体" w:cs="宋体"/>
          <w:sz w:val="24"/>
        </w:rPr>
        <w:t>3.6响应报价的风险因素。供应商报价时应充分考虑所有可能影响到报价的相关因素。</w:t>
      </w:r>
    </w:p>
    <w:p w14:paraId="12C5F994">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w:t>
      </w:r>
      <w:r>
        <w:rPr>
          <w:rFonts w:hint="eastAsia" w:ascii="宋体" w:hAnsi="宋体" w:cs="宋体"/>
          <w:sz w:val="24"/>
        </w:rPr>
        <w:t>3.7本项目不接受任何有选择的报价，响应报价均以人民币为报价的币种。本项目报价为固定单价报价，成交供应商的成交单价在合同实施期间不因市场变化因素而变动。结算时固定单价不作调整，供货数量可能会根据现场实际情况增加或减少，最终按实结算，请各响应供应商报价时综合考虑。</w:t>
      </w:r>
    </w:p>
    <w:p w14:paraId="64AB300B">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w:t>
      </w:r>
      <w:r>
        <w:rPr>
          <w:rFonts w:hint="eastAsia" w:ascii="宋体" w:hAnsi="宋体" w:cs="宋体"/>
          <w:sz w:val="24"/>
        </w:rPr>
        <w:t>3.8除非因特殊原因并经采购人和成交供应商双方协商同意，成交供应商不得再要求追加任何费用。</w:t>
      </w:r>
    </w:p>
    <w:p w14:paraId="0117A3E4">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5.</w:t>
      </w:r>
      <w:r>
        <w:rPr>
          <w:rFonts w:hint="eastAsia" w:ascii="宋体" w:hAnsi="宋体" w:cs="宋体"/>
          <w:sz w:val="24"/>
        </w:rPr>
        <w:t>3.9产品示意图仅作参考，响应供应商应在不低于本采购文件所提供的技术指标前提下，根据现场优化设计，优化设计费包含在响应报价中。</w:t>
      </w:r>
    </w:p>
    <w:p w14:paraId="74F39686">
      <w:pPr>
        <w:tabs>
          <w:tab w:val="left" w:pos="0"/>
        </w:tabs>
        <w:adjustRightInd w:val="0"/>
        <w:snapToGrid w:val="0"/>
        <w:spacing w:line="440" w:lineRule="exact"/>
        <w:ind w:left="210" w:leftChars="100" w:right="210" w:rightChars="100" w:firstLine="482" w:firstLineChars="200"/>
        <w:contextualSpacing/>
        <w:rPr>
          <w:rFonts w:ascii="宋体" w:hAnsi="宋体" w:cs="宋体"/>
          <w:b/>
          <w:bCs/>
          <w:sz w:val="28"/>
          <w:szCs w:val="28"/>
        </w:rPr>
      </w:pPr>
      <w:r>
        <w:rPr>
          <w:rFonts w:hint="eastAsia" w:ascii="宋体" w:hAnsi="宋体" w:cs="宋体"/>
          <w:b/>
          <w:sz w:val="24"/>
        </w:rPr>
        <w:t>7</w:t>
      </w:r>
      <w:r>
        <w:rPr>
          <w:rFonts w:ascii="宋体" w:hAnsi="宋体" w:cs="宋体"/>
          <w:b/>
          <w:sz w:val="24"/>
        </w:rPr>
        <w:t>.</w:t>
      </w:r>
      <w:r>
        <w:rPr>
          <w:rFonts w:hint="eastAsia" w:ascii="宋体" w:hAnsi="宋体" w:cs="宋体"/>
          <w:b/>
          <w:sz w:val="24"/>
        </w:rPr>
        <w:t>采购标的需满足的服务标准、期限、效率等要求</w:t>
      </w:r>
    </w:p>
    <w:p w14:paraId="7AFDF58E">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7.1</w:t>
      </w:r>
      <w:r>
        <w:rPr>
          <w:rFonts w:hint="eastAsia" w:ascii="宋体" w:hAnsi="宋体" w:cs="宋体"/>
          <w:sz w:val="24"/>
        </w:rPr>
        <w:t>响应供应商应保证货物是全新、未使用过的原厂合格产品，并完全符合响应文件的质量、规格和参数的要求。</w:t>
      </w:r>
    </w:p>
    <w:p w14:paraId="16A83337">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7.</w:t>
      </w:r>
      <w:r>
        <w:rPr>
          <w:rFonts w:hint="eastAsia" w:ascii="宋体" w:hAnsi="宋体" w:cs="宋体"/>
          <w:sz w:val="24"/>
        </w:rPr>
        <w:t>2响应供应商应保证其货物在正确安装、正常使用下，在其使用寿命期内应具有满意的性能。</w:t>
      </w:r>
    </w:p>
    <w:p w14:paraId="735F20E1">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7.</w:t>
      </w:r>
      <w:r>
        <w:rPr>
          <w:rFonts w:hint="eastAsia" w:ascii="宋体" w:hAnsi="宋体" w:cs="宋体"/>
          <w:sz w:val="24"/>
        </w:rPr>
        <w:t>3响应供应商应采取必要的安全措施保证货物的运输及安装的安全，并承担货物的运输及安装过程中产生的风险。</w:t>
      </w:r>
    </w:p>
    <w:p w14:paraId="7A66A183">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7.</w:t>
      </w:r>
      <w:r>
        <w:rPr>
          <w:rFonts w:hint="eastAsia" w:ascii="宋体" w:hAnsi="宋体" w:cs="宋体"/>
          <w:sz w:val="24"/>
        </w:rPr>
        <w:t>4响应供应商可以先到现场踏勘以充分了解工地位置、道路、储存空间、装卸限制及任何其它足以影响响应报价的情况，任何因忽视或误解工地情况而导致的索赔或供货期延长申请将不获批准，由此发生的任何费用由响应供应商自理。</w:t>
      </w:r>
    </w:p>
    <w:p w14:paraId="4ACB80B9">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7.</w:t>
      </w:r>
      <w:r>
        <w:rPr>
          <w:rFonts w:hint="eastAsia" w:ascii="宋体" w:hAnsi="宋体" w:cs="宋体"/>
          <w:sz w:val="24"/>
        </w:rPr>
        <w:t>5产品必须从厂家生产完毕后在现场安装，不得在施工现场制作。</w:t>
      </w:r>
    </w:p>
    <w:p w14:paraId="20D1B6D6">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7.</w:t>
      </w:r>
      <w:r>
        <w:rPr>
          <w:rFonts w:hint="eastAsia" w:ascii="宋体" w:hAnsi="宋体" w:cs="宋体"/>
          <w:sz w:val="24"/>
        </w:rPr>
        <w:t>6成交供应商提供的所有货物必须满足采购文件要求，须与分项报价明细表注明的材料品牌、规格型号、价格、数量等相符，否则成交供应商承担违约责任。货物到货后，需报采购人后方可进场，对于不合格的货物严禁使用到本项目，否则一切损失及后果由成交供应商自行承担。</w:t>
      </w:r>
    </w:p>
    <w:p w14:paraId="3AD511CC">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hint="eastAsia" w:ascii="宋体" w:hAnsi="宋体" w:cs="宋体"/>
          <w:sz w:val="24"/>
        </w:rPr>
        <w:t>8</w:t>
      </w:r>
      <w:r>
        <w:rPr>
          <w:rFonts w:ascii="宋体" w:hAnsi="宋体" w:cs="宋体"/>
          <w:sz w:val="24"/>
        </w:rPr>
        <w:t>.</w:t>
      </w:r>
      <w:r>
        <w:rPr>
          <w:rFonts w:hint="eastAsia" w:ascii="宋体" w:hAnsi="宋体" w:cs="宋体"/>
          <w:b/>
          <w:sz w:val="24"/>
        </w:rPr>
        <w:t>采购标的验收标准</w:t>
      </w:r>
    </w:p>
    <w:p w14:paraId="738815C0">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8.</w:t>
      </w:r>
      <w:r>
        <w:rPr>
          <w:rFonts w:hint="eastAsia" w:ascii="宋体" w:hAnsi="宋体" w:cs="宋体"/>
          <w:sz w:val="24"/>
        </w:rPr>
        <w:t>1成交供应商应在不低于本采购文件所提供的技术指标前提下，优化设计方案（包括原料、配件、生产、安装、验收、售后服务等），但尺寸需满足现场需求。</w:t>
      </w:r>
    </w:p>
    <w:p w14:paraId="1DBF5F6E">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8.</w:t>
      </w:r>
      <w:r>
        <w:rPr>
          <w:rFonts w:hint="eastAsia" w:ascii="宋体" w:hAnsi="宋体" w:cs="宋体"/>
          <w:sz w:val="24"/>
        </w:rPr>
        <w:t>2成交供应商所供产品应按国家相关强制标准或行业标准进行设计和制造。产品及其原材料应符合国家规定的强制性环保要求，所使用的主辅材料应符合国家环保标准。成交供应商应提供材质清单、材料产地证明。须说明在生产安装过程中，所采用的主要配件的名称及生产厂家，并提供相应的技术说明书。同时，还需提供响应供应商拥有的大型生产设备清单及证明文件。</w:t>
      </w:r>
    </w:p>
    <w:p w14:paraId="254288F8">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8.</w:t>
      </w:r>
      <w:r>
        <w:rPr>
          <w:rFonts w:hint="eastAsia" w:ascii="宋体" w:hAnsi="宋体" w:cs="宋体"/>
          <w:sz w:val="24"/>
        </w:rPr>
        <w:t>3为保证采购人权益，在货物生产过程中采购人有权随时监督生产情况。监督过程中成交供应商需提供原厂包装。</w:t>
      </w:r>
    </w:p>
    <w:p w14:paraId="45350EB8">
      <w:pPr>
        <w:tabs>
          <w:tab w:val="left" w:pos="0"/>
        </w:tabs>
        <w:adjustRightInd w:val="0"/>
        <w:snapToGrid w:val="0"/>
        <w:spacing w:line="440" w:lineRule="exact"/>
        <w:ind w:left="210" w:leftChars="100" w:right="210" w:rightChars="100" w:firstLine="480" w:firstLineChars="200"/>
        <w:contextualSpacing/>
        <w:rPr>
          <w:rFonts w:ascii="宋体" w:hAnsi="宋体" w:cs="宋体"/>
          <w:sz w:val="24"/>
        </w:rPr>
      </w:pPr>
      <w:r>
        <w:rPr>
          <w:rFonts w:ascii="宋体" w:hAnsi="宋体" w:cs="宋体"/>
          <w:sz w:val="24"/>
        </w:rPr>
        <w:t>8.</w:t>
      </w:r>
      <w:r>
        <w:rPr>
          <w:rFonts w:hint="eastAsia" w:ascii="宋体" w:hAnsi="宋体" w:cs="宋体"/>
          <w:sz w:val="24"/>
        </w:rPr>
        <w:t>4成交供应商提供的货物必须达到或优于采购文件“采购清单”技术需求中各项指标参数。采购人在例行送检之外将随机抽检货物原材料、成品，检验机构为通过国家计量认证的第三方检测机构。对于产品的任何技术及质量不合格，成交供应商承担检测费用，采购人有权拒收、部分拒收、退货、部分退货直至解除本合同，同时采购人有权保留使用该产品直至供应商提供合格产品替换，并要求成交供应商支付因此造成的所有损失。破拆部件由成交供应商负责补齐且采购人不支付任何补偿费用。9</w:t>
      </w:r>
    </w:p>
    <w:p w14:paraId="27973F0C">
      <w:pPr>
        <w:adjustRightInd w:val="0"/>
        <w:snapToGrid w:val="0"/>
        <w:spacing w:line="440" w:lineRule="exact"/>
        <w:ind w:left="100" w:right="100" w:firstLine="480" w:firstLineChars="200"/>
        <w:contextualSpacing/>
        <w:rPr>
          <w:rFonts w:ascii="宋体" w:hAnsi="宋体" w:cs="宋体"/>
          <w:b/>
          <w:sz w:val="24"/>
        </w:rPr>
      </w:pPr>
      <w:r>
        <w:rPr>
          <w:rFonts w:ascii="宋体" w:hAnsi="宋体" w:cs="宋体"/>
          <w:sz w:val="24"/>
        </w:rPr>
        <w:t>9.</w:t>
      </w:r>
      <w:r>
        <w:rPr>
          <w:rFonts w:hint="eastAsia" w:ascii="宋体" w:hAnsi="宋体" w:cs="宋体"/>
          <w:b/>
          <w:sz w:val="24"/>
        </w:rPr>
        <w:t>采购标的其他技术、服务等要求</w:t>
      </w:r>
    </w:p>
    <w:p w14:paraId="5DCC248F">
      <w:pPr>
        <w:tabs>
          <w:tab w:val="left" w:pos="0"/>
        </w:tabs>
        <w:adjustRightInd w:val="0"/>
        <w:snapToGrid w:val="0"/>
        <w:spacing w:line="440" w:lineRule="exact"/>
        <w:ind w:left="100" w:right="100" w:firstLine="480" w:firstLineChars="200"/>
        <w:contextualSpacing/>
        <w:rPr>
          <w:rFonts w:ascii="宋体" w:hAnsi="宋体" w:cs="宋体"/>
          <w:sz w:val="24"/>
        </w:rPr>
      </w:pPr>
      <w:r>
        <w:rPr>
          <w:rFonts w:ascii="宋体" w:hAnsi="宋体" w:cs="宋体"/>
          <w:sz w:val="24"/>
        </w:rPr>
        <w:t>9.</w:t>
      </w:r>
      <w:r>
        <w:rPr>
          <w:rFonts w:hint="eastAsia" w:ascii="宋体" w:hAnsi="宋体" w:cs="宋体"/>
          <w:sz w:val="24"/>
        </w:rPr>
        <w:t>1成交供应商负责标的物的现场安装指导、启动、调试、监督；</w:t>
      </w:r>
    </w:p>
    <w:p w14:paraId="4935C662">
      <w:pPr>
        <w:tabs>
          <w:tab w:val="left" w:pos="0"/>
        </w:tabs>
        <w:adjustRightInd w:val="0"/>
        <w:snapToGrid w:val="0"/>
        <w:spacing w:line="440" w:lineRule="exact"/>
        <w:ind w:left="100" w:right="100" w:firstLine="480" w:firstLineChars="200"/>
        <w:contextualSpacing/>
        <w:rPr>
          <w:rFonts w:ascii="宋体" w:hAnsi="宋体" w:cs="宋体"/>
          <w:sz w:val="24"/>
        </w:rPr>
      </w:pPr>
      <w:r>
        <w:rPr>
          <w:rFonts w:ascii="宋体" w:hAnsi="宋体" w:cs="宋体"/>
          <w:sz w:val="24"/>
        </w:rPr>
        <w:t>9.</w:t>
      </w:r>
      <w:r>
        <w:rPr>
          <w:rFonts w:hint="eastAsia" w:ascii="宋体" w:hAnsi="宋体" w:cs="宋体"/>
          <w:sz w:val="24"/>
        </w:rPr>
        <w:t>2成交供应商免费提供标的物组装和一般维修所必需的工具；</w:t>
      </w:r>
    </w:p>
    <w:p w14:paraId="78792B76">
      <w:pPr>
        <w:tabs>
          <w:tab w:val="left" w:pos="0"/>
        </w:tabs>
        <w:adjustRightInd w:val="0"/>
        <w:snapToGrid w:val="0"/>
        <w:spacing w:line="440" w:lineRule="exact"/>
        <w:ind w:left="100" w:right="100" w:firstLine="480" w:firstLineChars="200"/>
        <w:contextualSpacing/>
        <w:rPr>
          <w:rFonts w:ascii="宋体" w:hAnsi="宋体" w:cs="宋体"/>
          <w:sz w:val="24"/>
        </w:rPr>
      </w:pPr>
      <w:r>
        <w:rPr>
          <w:rFonts w:ascii="宋体" w:hAnsi="宋体" w:cs="宋体"/>
          <w:sz w:val="24"/>
        </w:rPr>
        <w:t>9.</w:t>
      </w:r>
      <w:r>
        <w:rPr>
          <w:rFonts w:hint="eastAsia" w:ascii="宋体" w:hAnsi="宋体" w:cs="宋体"/>
          <w:sz w:val="24"/>
        </w:rPr>
        <w:t>3成交供应商在合同规定的期限内对所提供的标的物实行现场维护，随时处理存在的故障，如现场不能维修解决的故障问题，须提供故障不能排除时的解决方案。</w:t>
      </w:r>
    </w:p>
    <w:p w14:paraId="1704BB92">
      <w:pPr>
        <w:tabs>
          <w:tab w:val="left" w:pos="0"/>
        </w:tabs>
        <w:adjustRightInd w:val="0"/>
        <w:snapToGrid w:val="0"/>
        <w:spacing w:line="440" w:lineRule="exact"/>
        <w:ind w:left="100" w:right="100" w:firstLine="480" w:firstLineChars="200"/>
        <w:contextualSpacing/>
        <w:rPr>
          <w:rFonts w:ascii="宋体" w:hAnsi="宋体" w:cs="宋体"/>
          <w:sz w:val="24"/>
        </w:rPr>
      </w:pPr>
      <w:r>
        <w:rPr>
          <w:rFonts w:ascii="宋体" w:hAnsi="宋体" w:cs="宋体"/>
          <w:sz w:val="24"/>
        </w:rPr>
        <w:t>9.</w:t>
      </w:r>
      <w:r>
        <w:rPr>
          <w:rFonts w:hint="eastAsia" w:ascii="宋体" w:hAnsi="宋体" w:cs="宋体"/>
          <w:sz w:val="24"/>
        </w:rPr>
        <w:t>4成交供应商接到使用方通知后1小时内响应，2小时内上门服务，24小时内解决好问题。</w:t>
      </w:r>
    </w:p>
    <w:p w14:paraId="21A6D362">
      <w:pPr>
        <w:tabs>
          <w:tab w:val="left" w:pos="0"/>
        </w:tabs>
        <w:adjustRightInd w:val="0"/>
        <w:snapToGrid w:val="0"/>
        <w:spacing w:line="440" w:lineRule="exact"/>
        <w:ind w:left="100" w:right="100" w:firstLine="480" w:firstLineChars="200"/>
        <w:contextualSpacing/>
        <w:rPr>
          <w:rFonts w:ascii="宋体" w:hAnsi="宋体" w:cs="宋体"/>
          <w:sz w:val="24"/>
        </w:rPr>
      </w:pPr>
      <w:r>
        <w:rPr>
          <w:rFonts w:ascii="宋体" w:hAnsi="宋体" w:cs="宋体"/>
          <w:sz w:val="24"/>
        </w:rPr>
        <w:t>9.</w:t>
      </w:r>
      <w:r>
        <w:rPr>
          <w:rFonts w:hint="eastAsia" w:ascii="宋体" w:hAnsi="宋体" w:cs="宋体"/>
          <w:sz w:val="24"/>
        </w:rPr>
        <w:t>5成交供应商须承诺质保期满后提供终身维修服务，保证零配件供应，维修费用按照材料成本收取。</w:t>
      </w:r>
    </w:p>
    <w:p w14:paraId="46468351">
      <w:pPr>
        <w:tabs>
          <w:tab w:val="left" w:pos="0"/>
        </w:tabs>
        <w:adjustRightInd w:val="0"/>
        <w:snapToGrid w:val="0"/>
        <w:spacing w:line="440" w:lineRule="exact"/>
        <w:ind w:left="100" w:right="100" w:firstLine="480" w:firstLineChars="200"/>
        <w:contextualSpacing/>
        <w:rPr>
          <w:rFonts w:ascii="宋体" w:hAnsi="宋体" w:cs="宋体"/>
          <w:sz w:val="24"/>
        </w:rPr>
      </w:pPr>
      <w:r>
        <w:rPr>
          <w:rFonts w:ascii="宋体" w:hAnsi="宋体" w:cs="宋体"/>
          <w:sz w:val="24"/>
        </w:rPr>
        <w:t>9.</w:t>
      </w:r>
      <w:r>
        <w:rPr>
          <w:rFonts w:hint="eastAsia" w:ascii="宋体" w:hAnsi="宋体" w:cs="宋体"/>
          <w:sz w:val="24"/>
        </w:rPr>
        <w:t>6成交供应商应对采购人技术人员进行维护、维修、培训，确保使用者了解维护方法和进行简单的维修操作。</w:t>
      </w:r>
    </w:p>
    <w:p w14:paraId="5212FD09">
      <w:pPr>
        <w:tabs>
          <w:tab w:val="left" w:pos="0"/>
        </w:tabs>
        <w:adjustRightInd w:val="0"/>
        <w:snapToGrid w:val="0"/>
        <w:spacing w:line="440" w:lineRule="exact"/>
        <w:ind w:left="100" w:right="100" w:firstLine="480" w:firstLineChars="200"/>
        <w:contextualSpacing/>
        <w:rPr>
          <w:rFonts w:ascii="宋体" w:hAnsi="宋体" w:cs="宋体"/>
          <w:sz w:val="24"/>
        </w:rPr>
      </w:pPr>
      <w:r>
        <w:rPr>
          <w:rFonts w:ascii="宋体" w:hAnsi="宋体" w:cs="宋体"/>
          <w:sz w:val="24"/>
        </w:rPr>
        <w:t>9.</w:t>
      </w:r>
      <w:r>
        <w:rPr>
          <w:rFonts w:hint="eastAsia" w:ascii="宋体" w:hAnsi="宋体" w:cs="宋体"/>
          <w:sz w:val="24"/>
        </w:rPr>
        <w:t>7成交供应商提供现场技术培训，保证采购人使用人员能够正常操作产品的各种功能。</w:t>
      </w:r>
    </w:p>
    <w:p w14:paraId="4892E002">
      <w:pPr>
        <w:tabs>
          <w:tab w:val="left" w:pos="0"/>
        </w:tabs>
        <w:adjustRightInd w:val="0"/>
        <w:snapToGrid w:val="0"/>
        <w:spacing w:line="440" w:lineRule="exact"/>
        <w:contextualSpacing/>
        <w:rPr>
          <w:rFonts w:ascii="宋体" w:hAnsi="宋体" w:cs="宋体"/>
          <w:sz w:val="24"/>
        </w:rPr>
        <w:sectPr>
          <w:pgSz w:w="11906" w:h="16838"/>
          <w:pgMar w:top="1440" w:right="1077" w:bottom="1440" w:left="1077" w:header="851" w:footer="992" w:gutter="0"/>
          <w:cols w:space="425" w:num="1"/>
          <w:titlePg/>
          <w:docGrid w:linePitch="312" w:charSpace="0"/>
        </w:sectPr>
      </w:pPr>
    </w:p>
    <w:p w14:paraId="3B5D5C95">
      <w:pPr>
        <w:jc w:val="center"/>
        <w:rPr>
          <w:b/>
          <w:sz w:val="32"/>
          <w:szCs w:val="32"/>
        </w:rPr>
      </w:pPr>
      <w:r>
        <w:rPr>
          <w:rFonts w:hint="eastAsia"/>
          <w:b/>
          <w:sz w:val="32"/>
          <w:szCs w:val="32"/>
        </w:rPr>
        <w:t>三、投标人须知</w:t>
      </w:r>
      <w:bookmarkEnd w:id="2"/>
    </w:p>
    <w:p w14:paraId="7125C618">
      <w:pPr>
        <w:adjustRightInd w:val="0"/>
        <w:snapToGrid w:val="0"/>
        <w:spacing w:line="440" w:lineRule="exact"/>
        <w:ind w:left="420" w:leftChars="200" w:right="420" w:rightChars="200" w:firstLine="482" w:firstLineChars="200"/>
        <w:contextualSpacing/>
        <w:rPr>
          <w:rFonts w:ascii="宋体" w:hAnsi="宋体"/>
          <w:b/>
          <w:sz w:val="24"/>
        </w:rPr>
      </w:pPr>
      <w:r>
        <w:rPr>
          <w:rFonts w:hint="eastAsia" w:ascii="宋体" w:hAnsi="宋体"/>
          <w:b/>
          <w:sz w:val="24"/>
        </w:rPr>
        <w:t>1</w:t>
      </w:r>
      <w:r>
        <w:rPr>
          <w:rFonts w:ascii="宋体" w:hAnsi="宋体"/>
          <w:b/>
          <w:sz w:val="24"/>
        </w:rPr>
        <w:t>.</w:t>
      </w:r>
      <w:r>
        <w:rPr>
          <w:rFonts w:hint="eastAsia" w:ascii="宋体" w:hAnsi="宋体"/>
          <w:b/>
          <w:sz w:val="24"/>
        </w:rPr>
        <w:t>招标项目名称及编号</w:t>
      </w:r>
    </w:p>
    <w:p w14:paraId="1FD10D63">
      <w:pPr>
        <w:adjustRightInd w:val="0"/>
        <w:snapToGrid w:val="0"/>
        <w:spacing w:line="440" w:lineRule="exact"/>
        <w:ind w:left="420" w:leftChars="200" w:right="420" w:rightChars="200" w:firstLine="480" w:firstLineChars="200"/>
        <w:contextualSpacing/>
        <w:rPr>
          <w:rFonts w:ascii="宋体" w:hAnsi="宋体"/>
          <w:sz w:val="24"/>
        </w:rPr>
      </w:pPr>
      <w:r>
        <w:rPr>
          <w:rFonts w:hint="eastAsia" w:ascii="宋体" w:hAnsi="宋体"/>
          <w:sz w:val="24"/>
        </w:rPr>
        <w:t>项目名称：扬州市第一人民医院西区健康管理中心吧台及家具定制安装采购项目院内公开谈判</w:t>
      </w:r>
    </w:p>
    <w:p w14:paraId="09174400">
      <w:pPr>
        <w:adjustRightInd w:val="0"/>
        <w:snapToGrid w:val="0"/>
        <w:spacing w:line="440" w:lineRule="exact"/>
        <w:ind w:left="420" w:leftChars="200" w:right="420" w:rightChars="200" w:firstLine="482" w:firstLineChars="200"/>
        <w:contextualSpacing/>
        <w:rPr>
          <w:rFonts w:ascii="宋体" w:hAnsi="宋体"/>
          <w:b/>
          <w:sz w:val="24"/>
        </w:rPr>
      </w:pPr>
      <w:r>
        <w:rPr>
          <w:rFonts w:hint="eastAsia" w:ascii="宋体" w:hAnsi="宋体"/>
          <w:b/>
          <w:sz w:val="24"/>
        </w:rPr>
        <w:t>2</w:t>
      </w:r>
      <w:r>
        <w:rPr>
          <w:rFonts w:ascii="宋体" w:hAnsi="宋体"/>
          <w:b/>
          <w:sz w:val="24"/>
        </w:rPr>
        <w:t>.</w:t>
      </w:r>
      <w:r>
        <w:rPr>
          <w:rFonts w:hint="eastAsia" w:ascii="宋体" w:hAnsi="宋体"/>
          <w:b/>
          <w:sz w:val="24"/>
        </w:rPr>
        <w:t>招标项目简介</w:t>
      </w:r>
    </w:p>
    <w:p w14:paraId="728845FB">
      <w:pPr>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2.1</w:t>
      </w:r>
      <w:r>
        <w:rPr>
          <w:rFonts w:hint="eastAsia" w:ascii="宋体" w:hAnsi="宋体"/>
          <w:sz w:val="24"/>
        </w:rPr>
        <w:t>扬州市第一人民医院西区健康管理中心A区吧台及家具定制安装采购项目</w:t>
      </w:r>
    </w:p>
    <w:p w14:paraId="0A7FA652">
      <w:pPr>
        <w:adjustRightInd w:val="0"/>
        <w:snapToGrid w:val="0"/>
        <w:spacing w:line="440" w:lineRule="exact"/>
        <w:ind w:left="420" w:leftChars="200" w:right="420" w:rightChars="200" w:firstLine="480" w:firstLineChars="200"/>
        <w:contextualSpacing/>
        <w:rPr>
          <w:rFonts w:ascii="宋体" w:hAnsi="宋体"/>
          <w:b/>
          <w:sz w:val="24"/>
        </w:rPr>
      </w:pPr>
      <w:r>
        <w:rPr>
          <w:rFonts w:ascii="宋体" w:hAnsi="宋体"/>
          <w:sz w:val="24"/>
        </w:rPr>
        <w:t>2.2</w:t>
      </w:r>
      <w:r>
        <w:rPr>
          <w:rFonts w:hint="eastAsia" w:ascii="宋体" w:hAnsi="宋体"/>
          <w:sz w:val="24"/>
        </w:rPr>
        <w:t>项目预算：</w:t>
      </w:r>
      <w:r>
        <w:rPr>
          <w:rFonts w:ascii="宋体" w:hAnsi="宋体"/>
          <w:sz w:val="24"/>
        </w:rPr>
        <w:t>18.9</w:t>
      </w:r>
      <w:r>
        <w:rPr>
          <w:rFonts w:hint="eastAsia" w:ascii="宋体" w:hAnsi="宋体"/>
          <w:sz w:val="24"/>
        </w:rPr>
        <w:t>万元。</w:t>
      </w:r>
      <w:r>
        <w:rPr>
          <w:rFonts w:hint="eastAsia" w:ascii="宋体" w:hAnsi="宋体"/>
          <w:b/>
          <w:sz w:val="24"/>
        </w:rPr>
        <w:t>各供应商报价不得高出采购预算，否则作废标处理</w:t>
      </w:r>
    </w:p>
    <w:p w14:paraId="6DAC8CBB">
      <w:pPr>
        <w:tabs>
          <w:tab w:val="left" w:pos="9214"/>
        </w:tabs>
        <w:adjustRightInd w:val="0"/>
        <w:snapToGrid w:val="0"/>
        <w:spacing w:line="440" w:lineRule="exact"/>
        <w:ind w:left="420" w:leftChars="200" w:right="420" w:rightChars="200" w:firstLine="482" w:firstLineChars="200"/>
        <w:contextualSpacing/>
        <w:rPr>
          <w:rFonts w:ascii="宋体" w:hAnsi="宋体"/>
          <w:b/>
          <w:sz w:val="24"/>
        </w:rPr>
      </w:pPr>
      <w:r>
        <w:rPr>
          <w:rFonts w:ascii="宋体" w:hAnsi="宋体"/>
          <w:b/>
          <w:sz w:val="24"/>
        </w:rPr>
        <w:t>3.投标人资质要求</w:t>
      </w:r>
    </w:p>
    <w:p w14:paraId="06330847">
      <w:pPr>
        <w:tabs>
          <w:tab w:val="left" w:pos="9214"/>
        </w:tabs>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3.1</w:t>
      </w:r>
      <w:r>
        <w:rPr>
          <w:rFonts w:hint="eastAsia" w:ascii="宋体" w:hAnsi="宋体"/>
          <w:sz w:val="24"/>
        </w:rPr>
        <w:t>★</w:t>
      </w:r>
      <w:r>
        <w:rPr>
          <w:rFonts w:ascii="宋体" w:hAnsi="宋体"/>
          <w:sz w:val="24"/>
        </w:rPr>
        <w:t>投标人要求</w:t>
      </w:r>
      <w:r>
        <w:rPr>
          <w:rFonts w:hint="eastAsia" w:ascii="宋体" w:hAnsi="宋体"/>
          <w:sz w:val="24"/>
        </w:rPr>
        <w:t>具有独立法人资格的公司</w:t>
      </w:r>
      <w:r>
        <w:rPr>
          <w:rFonts w:hint="eastAsia" w:ascii="宋体" w:hAnsi="宋体" w:cs="Arial"/>
          <w:sz w:val="24"/>
        </w:rPr>
        <w:t>(复印件加盖投标人公章)</w:t>
      </w:r>
      <w:r>
        <w:rPr>
          <w:rFonts w:hint="eastAsia" w:ascii="宋体" w:hAnsi="宋体"/>
          <w:sz w:val="24"/>
        </w:rPr>
        <w:t>；</w:t>
      </w:r>
      <w:r>
        <w:rPr>
          <w:rFonts w:ascii="宋体" w:hAnsi="宋体"/>
          <w:color w:val="FF0000"/>
          <w:sz w:val="24"/>
        </w:rPr>
        <w:t xml:space="preserve"> </w:t>
      </w:r>
    </w:p>
    <w:p w14:paraId="50BF9A34">
      <w:pPr>
        <w:tabs>
          <w:tab w:val="left" w:pos="9214"/>
        </w:tabs>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3.2</w:t>
      </w:r>
      <w:r>
        <w:rPr>
          <w:rFonts w:hint="eastAsia" w:ascii="宋体" w:hAnsi="宋体"/>
          <w:sz w:val="24"/>
        </w:rPr>
        <w:t>★</w:t>
      </w:r>
      <w:r>
        <w:rPr>
          <w:rFonts w:ascii="宋体" w:hAnsi="宋体"/>
          <w:sz w:val="24"/>
        </w:rPr>
        <w:t>承担本项目能力和资格的有关资格证明材料</w:t>
      </w:r>
      <w:r>
        <w:rPr>
          <w:rFonts w:hint="eastAsia" w:ascii="宋体" w:hAnsi="宋体"/>
          <w:sz w:val="24"/>
        </w:rPr>
        <w:t>；</w:t>
      </w:r>
    </w:p>
    <w:p w14:paraId="44EB800C">
      <w:pPr>
        <w:tabs>
          <w:tab w:val="left" w:pos="9214"/>
        </w:tabs>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3.3</w:t>
      </w:r>
      <w:r>
        <w:rPr>
          <w:rFonts w:hint="eastAsia" w:ascii="宋体" w:hAnsi="宋体"/>
          <w:sz w:val="24"/>
        </w:rPr>
        <w:t>★营业执照副本(复印件加盖投标人公章)</w:t>
      </w:r>
      <w:r>
        <w:rPr>
          <w:rFonts w:ascii="宋体" w:hAnsi="宋体"/>
          <w:sz w:val="24"/>
        </w:rPr>
        <w:t>；</w:t>
      </w:r>
    </w:p>
    <w:p w14:paraId="4A79D987">
      <w:pPr>
        <w:tabs>
          <w:tab w:val="left" w:pos="9214"/>
        </w:tabs>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3.4</w:t>
      </w:r>
      <w:r>
        <w:rPr>
          <w:rFonts w:hint="eastAsia" w:ascii="宋体" w:hAnsi="宋体"/>
          <w:sz w:val="24"/>
        </w:rPr>
        <w:t>★</w:t>
      </w:r>
      <w:r>
        <w:rPr>
          <w:rFonts w:ascii="宋体" w:hAnsi="宋体"/>
          <w:sz w:val="24"/>
        </w:rPr>
        <w:t xml:space="preserve"> 近三年以来完成</w:t>
      </w:r>
      <w:r>
        <w:rPr>
          <w:rFonts w:hint="eastAsia" w:ascii="宋体" w:hAnsi="宋体"/>
          <w:sz w:val="24"/>
        </w:rPr>
        <w:t>相关项目</w:t>
      </w:r>
      <w:r>
        <w:rPr>
          <w:rFonts w:ascii="宋体" w:hAnsi="宋体"/>
          <w:sz w:val="24"/>
        </w:rPr>
        <w:t>一览表，在表中需注明完成该项目的项目经理；</w:t>
      </w:r>
      <w:r>
        <w:rPr>
          <w:rFonts w:hint="eastAsia" w:ascii="宋体" w:hAnsi="宋体"/>
          <w:sz w:val="24"/>
        </w:rPr>
        <w:t>并提供相应合同复印件；</w:t>
      </w:r>
    </w:p>
    <w:p w14:paraId="332A3773">
      <w:pPr>
        <w:tabs>
          <w:tab w:val="left" w:pos="9214"/>
        </w:tabs>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3.5</w:t>
      </w:r>
      <w:r>
        <w:rPr>
          <w:rFonts w:hint="eastAsia" w:ascii="宋体" w:hAnsi="宋体"/>
          <w:sz w:val="24"/>
        </w:rPr>
        <w:t>★被授权人参加投标的须提供《法定代表人授权委托书》原件和被授权人身份证复印件(原件备查)；若法定代表人参加投标，只须提供本人身份证复印件(原件备查)；</w:t>
      </w:r>
    </w:p>
    <w:p w14:paraId="1731A2E2">
      <w:pPr>
        <w:tabs>
          <w:tab w:val="left" w:pos="9214"/>
        </w:tabs>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3.6</w:t>
      </w:r>
      <w:r>
        <w:rPr>
          <w:rFonts w:hint="eastAsia" w:ascii="宋体" w:hAnsi="宋体"/>
          <w:sz w:val="24"/>
        </w:rPr>
        <w:t>★投标人采购活动前3年内在经营活动中没有重大违法记录的书面声明（原件）；</w:t>
      </w:r>
    </w:p>
    <w:p w14:paraId="597D5DBD">
      <w:pPr>
        <w:tabs>
          <w:tab w:val="left" w:pos="9214"/>
        </w:tabs>
        <w:adjustRightInd w:val="0"/>
        <w:snapToGrid w:val="0"/>
        <w:spacing w:line="440" w:lineRule="exact"/>
        <w:ind w:left="420" w:leftChars="200" w:right="420" w:rightChars="200" w:firstLine="480" w:firstLineChars="200"/>
        <w:contextualSpacing/>
        <w:rPr>
          <w:rFonts w:ascii="宋体" w:hAnsi="宋体"/>
          <w:b/>
          <w:sz w:val="24"/>
        </w:rPr>
      </w:pPr>
      <w:r>
        <w:rPr>
          <w:rFonts w:ascii="宋体" w:hAnsi="宋体"/>
          <w:sz w:val="24"/>
        </w:rPr>
        <w:t>3.7</w:t>
      </w:r>
      <w:r>
        <w:rPr>
          <w:rFonts w:hint="eastAsia" w:ascii="宋体" w:hAnsi="宋体"/>
          <w:sz w:val="24"/>
        </w:rPr>
        <w:t>★未被“信用中国”网站（www.creditchina.gov.cn）和“中国政府采购网"(www.ccgp.gov.cn)列入失信被执行人、重大税收违法案件当事人名单、政府采购严重违法失信行为记录名单</w:t>
      </w:r>
      <w:r>
        <w:rPr>
          <w:rFonts w:hint="eastAsia" w:ascii="宋体" w:hAnsi="宋体"/>
          <w:b/>
          <w:sz w:val="24"/>
        </w:rPr>
        <w:t>（提供自本采购公告发布之日至投标截止前“信用中国”网站的信用信息报告并加盖供应商的盖章和“中国政府采购网"信用记录的网页截图并加盖供应商公章）；</w:t>
      </w:r>
    </w:p>
    <w:p w14:paraId="37ABA1EB">
      <w:pPr>
        <w:tabs>
          <w:tab w:val="left" w:pos="9214"/>
        </w:tabs>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3</w:t>
      </w:r>
      <w:r>
        <w:rPr>
          <w:rFonts w:hint="eastAsia" w:ascii="宋体" w:hAnsi="宋体"/>
          <w:sz w:val="24"/>
        </w:rPr>
        <w:t>.</w:t>
      </w:r>
      <w:r>
        <w:rPr>
          <w:rFonts w:ascii="宋体" w:hAnsi="宋体"/>
          <w:sz w:val="24"/>
        </w:rPr>
        <w:t>8</w:t>
      </w:r>
      <w:r>
        <w:rPr>
          <w:rFonts w:hint="eastAsia" w:ascii="宋体" w:hAnsi="宋体"/>
          <w:sz w:val="24"/>
        </w:rPr>
        <w:t>投标人各类资质证书材料复印件(复印件加盖投标人公章)；</w:t>
      </w:r>
    </w:p>
    <w:p w14:paraId="63890928">
      <w:pPr>
        <w:tabs>
          <w:tab w:val="left" w:pos="9214"/>
        </w:tabs>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3.9</w:t>
      </w:r>
      <w:r>
        <w:rPr>
          <w:rFonts w:hint="eastAsia" w:ascii="宋体" w:hAnsi="宋体"/>
          <w:sz w:val="24"/>
        </w:rPr>
        <w:t>投标文件的正本和副本中均须提供资格证明文件。上述打★号为必备项，若有缺失，将导致投标被拒绝且不允许在开标后补正；上述未打★号为备查项，若缺项，则投标文件仍然有效，但将影响评分结果；</w:t>
      </w:r>
    </w:p>
    <w:p w14:paraId="70BDAE32">
      <w:pPr>
        <w:tabs>
          <w:tab w:val="left" w:pos="9214"/>
        </w:tabs>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3.10</w:t>
      </w:r>
      <w:r>
        <w:rPr>
          <w:rFonts w:hint="eastAsia" w:ascii="宋体" w:hAnsi="宋体"/>
          <w:sz w:val="24"/>
        </w:rPr>
        <w:t>法人的分支机构由于其不能独立承担民事责任，不能以分支机构的身份参加政府采购，只能以法人身份参加。</w:t>
      </w:r>
      <w:bookmarkStart w:id="3" w:name="_Toc39744254"/>
    </w:p>
    <w:p w14:paraId="6F534BAA">
      <w:pPr>
        <w:tabs>
          <w:tab w:val="left" w:pos="9214"/>
        </w:tabs>
        <w:adjustRightInd w:val="0"/>
        <w:snapToGrid w:val="0"/>
        <w:spacing w:line="440" w:lineRule="exact"/>
        <w:ind w:left="420" w:leftChars="200" w:right="420" w:rightChars="200" w:firstLine="482" w:firstLineChars="200"/>
        <w:contextualSpacing/>
        <w:rPr>
          <w:rFonts w:ascii="宋体" w:hAnsi="宋体"/>
          <w:sz w:val="24"/>
        </w:rPr>
      </w:pPr>
      <w:r>
        <w:rPr>
          <w:rFonts w:ascii="宋体" w:hAnsi="宋体"/>
          <w:b/>
          <w:sz w:val="24"/>
        </w:rPr>
        <w:t>4.</w:t>
      </w:r>
      <w:r>
        <w:rPr>
          <w:rFonts w:hint="eastAsia" w:ascii="宋体" w:hAnsi="宋体"/>
          <w:b/>
          <w:sz w:val="24"/>
        </w:rPr>
        <w:t>资格审查要求</w:t>
      </w:r>
      <w:bookmarkEnd w:id="3"/>
    </w:p>
    <w:p w14:paraId="4739625A">
      <w:pPr>
        <w:tabs>
          <w:tab w:val="left" w:pos="9214"/>
        </w:tabs>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2.1</w:t>
      </w:r>
      <w:r>
        <w:rPr>
          <w:rFonts w:hint="eastAsia" w:ascii="宋体" w:hAnsi="宋体"/>
          <w:sz w:val="24"/>
        </w:rPr>
        <w:t xml:space="preserve">  2024年8月19日17：00前须向招标人通过发送电子邮箱提供法人授权委托书、供应商参加谈判确认函、营业执照复印件等扫描件，该授权委托代理为指定联系人。</w:t>
      </w:r>
    </w:p>
    <w:p w14:paraId="63CCE5F4">
      <w:pPr>
        <w:autoSpaceDE w:val="0"/>
        <w:autoSpaceDN w:val="0"/>
        <w:adjustRightInd w:val="0"/>
        <w:snapToGrid w:val="0"/>
        <w:spacing w:line="440" w:lineRule="exact"/>
        <w:ind w:left="420" w:leftChars="200" w:right="420" w:rightChars="200" w:firstLine="482" w:firstLineChars="200"/>
        <w:contextualSpacing/>
        <w:rPr>
          <w:rFonts w:ascii="宋体" w:hAnsi="宋体"/>
          <w:sz w:val="24"/>
        </w:rPr>
      </w:pPr>
      <w:bookmarkStart w:id="4" w:name="_Toc39744256"/>
      <w:r>
        <w:rPr>
          <w:rFonts w:ascii="宋体" w:hAnsi="宋体"/>
          <w:b/>
          <w:sz w:val="24"/>
        </w:rPr>
        <w:t>5.</w:t>
      </w:r>
      <w:r>
        <w:rPr>
          <w:rFonts w:hint="eastAsia" w:ascii="宋体" w:hAnsi="宋体"/>
          <w:b/>
          <w:sz w:val="24"/>
        </w:rPr>
        <w:t>编制要求</w:t>
      </w:r>
    </w:p>
    <w:p w14:paraId="414BE8D7">
      <w:pPr>
        <w:autoSpaceDE w:val="0"/>
        <w:autoSpaceDN w:val="0"/>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5.1</w:t>
      </w:r>
      <w:r>
        <w:rPr>
          <w:rFonts w:hint="eastAsia" w:ascii="宋体" w:hAnsi="宋体"/>
          <w:sz w:val="24"/>
        </w:rPr>
        <w:t>投标人应在仔细阅读谈判文件的基础上，按招标方要求认真编写投标文件，并加盖投标单位公章。投标人提供的投标文件必须真实、详尽。所有投标文件须有总目录和总页码，每份标书从起始页依次插入连续的页码。投标文件袋须密封良好并加盖骑缝印章，送达指定地点，逾时送交的材料概不接受。</w:t>
      </w:r>
    </w:p>
    <w:p w14:paraId="7A77149B">
      <w:pPr>
        <w:autoSpaceDE w:val="0"/>
        <w:autoSpaceDN w:val="0"/>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 xml:space="preserve">5.2 </w:t>
      </w:r>
      <w:r>
        <w:rPr>
          <w:rFonts w:hint="eastAsia" w:ascii="宋体" w:hAnsi="宋体"/>
          <w:sz w:val="24"/>
        </w:rPr>
        <w:t>投标人在收到谈判文件后，若有疑问应以书面形式（包括书面文字、传真、电子邮件等）在规定时间前向招标人提出。招标人将所有问题集中后在统一答复所有投标人。</w:t>
      </w:r>
    </w:p>
    <w:p w14:paraId="064F0679">
      <w:pPr>
        <w:autoSpaceDE w:val="0"/>
        <w:autoSpaceDN w:val="0"/>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 xml:space="preserve">5.3 </w:t>
      </w:r>
      <w:r>
        <w:rPr>
          <w:rFonts w:hint="eastAsia" w:ascii="宋体" w:hAnsi="宋体" w:cs="Arial"/>
          <w:sz w:val="24"/>
        </w:rPr>
        <w:t>投标人应当根据招标文件要求编制投标文件，投标文件应对招标文件提出的要求和条件作出实质性响应，并在相应的投标文件中逐条标明满足与否。</w:t>
      </w:r>
    </w:p>
    <w:p w14:paraId="6C17E292">
      <w:pPr>
        <w:autoSpaceDE w:val="0"/>
        <w:autoSpaceDN w:val="0"/>
        <w:adjustRightInd w:val="0"/>
        <w:snapToGrid w:val="0"/>
        <w:spacing w:line="440" w:lineRule="exact"/>
        <w:ind w:left="420" w:leftChars="200" w:right="420" w:rightChars="200" w:firstLine="480" w:firstLineChars="200"/>
        <w:contextualSpacing/>
        <w:rPr>
          <w:rFonts w:ascii="宋体" w:hAnsi="宋体"/>
          <w:sz w:val="24"/>
        </w:rPr>
      </w:pPr>
      <w:r>
        <w:rPr>
          <w:rFonts w:hint="eastAsia" w:ascii="宋体" w:hAnsi="宋体"/>
          <w:sz w:val="24"/>
        </w:rPr>
        <w:t>5</w:t>
      </w:r>
      <w:r>
        <w:rPr>
          <w:rFonts w:ascii="宋体" w:hAnsi="宋体"/>
          <w:sz w:val="24"/>
        </w:rPr>
        <w:t xml:space="preserve">.4 </w:t>
      </w:r>
      <w:r>
        <w:rPr>
          <w:rFonts w:hint="eastAsia" w:ascii="宋体" w:hAnsi="宋体"/>
          <w:sz w:val="24"/>
        </w:rPr>
        <w:t>明确标明“正本”或“副本”字样，一旦正本和副本有差异，以正本为准。所有投标资料均需A4纸打印，按照谈判文件规定的顺序装订。</w:t>
      </w:r>
    </w:p>
    <w:p w14:paraId="275BEEB5">
      <w:pPr>
        <w:adjustRightInd w:val="0"/>
        <w:snapToGrid w:val="0"/>
        <w:spacing w:line="440" w:lineRule="exact"/>
        <w:ind w:left="420" w:leftChars="200" w:right="420" w:rightChars="200" w:firstLine="480" w:firstLineChars="200"/>
        <w:contextualSpacing/>
        <w:rPr>
          <w:rFonts w:ascii="宋体" w:hAnsi="宋体" w:cs="宋体"/>
          <w:bCs/>
          <w:color w:val="000000"/>
          <w:sz w:val="24"/>
        </w:rPr>
      </w:pPr>
      <w:r>
        <w:rPr>
          <w:rFonts w:ascii="宋体" w:hAnsi="宋体" w:cs="宋体"/>
          <w:bCs/>
          <w:color w:val="000000"/>
          <w:sz w:val="24"/>
        </w:rPr>
        <w:t>5.5</w:t>
      </w:r>
      <w:r>
        <w:rPr>
          <w:rFonts w:hint="eastAsia" w:ascii="宋体" w:hAnsi="宋体" w:cs="宋体"/>
          <w:color w:val="000000"/>
          <w:sz w:val="24"/>
        </w:rPr>
        <w:t>投标文件正本中，除招标文件规定的可提交复印件外，其他文件均须提交原件。文字材料需打印或用不褪色墨水书写。投标文件的正本须经法定代表人或授权代表签署和加盖投标人公章。本采购文件所表述（指定）的公章是指法定名称章，不包括合同专用章、业务专用章等印章。本采购文件所表述（指定）的“签字”是指当事人用不褪色墨水书写签名，非签字章。</w:t>
      </w:r>
    </w:p>
    <w:p w14:paraId="2D3B034A">
      <w:pPr>
        <w:adjustRightInd w:val="0"/>
        <w:snapToGrid w:val="0"/>
        <w:spacing w:line="440" w:lineRule="exact"/>
        <w:ind w:left="420" w:leftChars="200" w:right="420" w:rightChars="200" w:firstLine="480" w:firstLineChars="200"/>
        <w:contextualSpacing/>
        <w:rPr>
          <w:rFonts w:ascii="宋体" w:hAnsi="宋体" w:cs="Arial"/>
          <w:sz w:val="24"/>
        </w:rPr>
      </w:pPr>
      <w:r>
        <w:rPr>
          <w:rFonts w:ascii="宋体" w:hAnsi="宋体" w:cs="Arial"/>
          <w:sz w:val="24"/>
        </w:rPr>
        <w:t>5.6</w:t>
      </w:r>
      <w:r>
        <w:rPr>
          <w:rFonts w:hint="eastAsia" w:ascii="宋体" w:hAnsi="宋体" w:cs="Arial"/>
          <w:sz w:val="24"/>
        </w:rPr>
        <w:t>投标文件的正本和所有的副本均由投标人法定代表人或授权代表签字。</w:t>
      </w:r>
    </w:p>
    <w:p w14:paraId="59C147ED">
      <w:pPr>
        <w:adjustRightInd w:val="0"/>
        <w:snapToGrid w:val="0"/>
        <w:spacing w:line="440" w:lineRule="exact"/>
        <w:ind w:left="420" w:leftChars="200" w:right="420" w:rightChars="200" w:firstLine="480" w:firstLineChars="200"/>
        <w:contextualSpacing/>
        <w:rPr>
          <w:rFonts w:ascii="宋体" w:hAnsi="宋体" w:cs="宋体"/>
          <w:color w:val="000000"/>
          <w:sz w:val="24"/>
        </w:rPr>
      </w:pPr>
      <w:r>
        <w:rPr>
          <w:rFonts w:ascii="宋体" w:hAnsi="宋体" w:cs="Arial"/>
          <w:sz w:val="24"/>
        </w:rPr>
        <w:t>5.7</w:t>
      </w:r>
      <w:r>
        <w:rPr>
          <w:rFonts w:hint="eastAsia" w:ascii="宋体" w:hAnsi="宋体" w:cs="宋体"/>
          <w:color w:val="000000"/>
          <w:sz w:val="24"/>
        </w:rPr>
        <w:t>投标文件应字迹清楚、内容齐全、不得涂改。如有修改，修改处须有投标人加盖公章和法定代表人或其授权代表签字。</w:t>
      </w:r>
    </w:p>
    <w:p w14:paraId="0B29A18F">
      <w:pPr>
        <w:autoSpaceDE w:val="0"/>
        <w:autoSpaceDN w:val="0"/>
        <w:adjustRightInd w:val="0"/>
        <w:snapToGrid w:val="0"/>
        <w:spacing w:line="440" w:lineRule="exact"/>
        <w:ind w:left="420" w:leftChars="200" w:right="420" w:rightChars="200" w:firstLine="482" w:firstLineChars="200"/>
        <w:contextualSpacing/>
        <w:rPr>
          <w:rFonts w:ascii="宋体" w:hAnsi="宋体"/>
          <w:b/>
          <w:sz w:val="24"/>
        </w:rPr>
      </w:pPr>
      <w:r>
        <w:rPr>
          <w:rFonts w:hint="eastAsia" w:ascii="宋体" w:hAnsi="宋体"/>
          <w:b/>
          <w:sz w:val="24"/>
        </w:rPr>
        <w:t>6</w:t>
      </w:r>
      <w:r>
        <w:rPr>
          <w:rFonts w:ascii="宋体" w:hAnsi="宋体"/>
          <w:b/>
          <w:sz w:val="24"/>
        </w:rPr>
        <w:t>.</w:t>
      </w:r>
      <w:r>
        <w:rPr>
          <w:rFonts w:hint="eastAsia" w:ascii="宋体" w:hAnsi="宋体" w:cs="Arial"/>
          <w:b/>
          <w:sz w:val="24"/>
        </w:rPr>
        <w:t>招标文件构成</w:t>
      </w:r>
    </w:p>
    <w:p w14:paraId="5B6CAF0F">
      <w:pPr>
        <w:adjustRightInd w:val="0"/>
        <w:snapToGrid w:val="0"/>
        <w:spacing w:line="440" w:lineRule="exact"/>
        <w:ind w:left="420" w:leftChars="200" w:right="420" w:rightChars="200" w:firstLine="480" w:firstLineChars="200"/>
        <w:contextualSpacing/>
        <w:rPr>
          <w:rFonts w:ascii="宋体" w:hAnsi="宋体" w:cs="Arial"/>
          <w:sz w:val="24"/>
        </w:rPr>
      </w:pPr>
      <w:r>
        <w:rPr>
          <w:rFonts w:ascii="宋体" w:hAnsi="宋体"/>
          <w:sz w:val="24"/>
        </w:rPr>
        <w:t>6.1</w:t>
      </w:r>
      <w:r>
        <w:rPr>
          <w:rFonts w:hint="eastAsia" w:ascii="宋体" w:hAnsi="宋体" w:cs="Arial"/>
          <w:sz w:val="24"/>
        </w:rPr>
        <w:t>招标文件由招标文件目录所列内容组成。</w:t>
      </w:r>
    </w:p>
    <w:p w14:paraId="4569C540">
      <w:pPr>
        <w:adjustRightInd w:val="0"/>
        <w:snapToGrid w:val="0"/>
        <w:spacing w:line="440" w:lineRule="exact"/>
        <w:ind w:left="420" w:leftChars="200" w:right="420" w:rightChars="200" w:firstLine="480" w:firstLineChars="200"/>
        <w:contextualSpacing/>
        <w:rPr>
          <w:rFonts w:ascii="宋体" w:hAnsi="宋体" w:cs="Arial"/>
          <w:sz w:val="24"/>
        </w:rPr>
      </w:pPr>
      <w:r>
        <w:rPr>
          <w:rFonts w:ascii="宋体" w:hAnsi="宋体" w:cs="Arial"/>
          <w:sz w:val="24"/>
        </w:rPr>
        <w:t>6</w:t>
      </w:r>
      <w:r>
        <w:rPr>
          <w:rFonts w:hint="eastAsia" w:ascii="宋体" w:hAnsi="宋体" w:cs="Arial"/>
          <w:sz w:val="24"/>
        </w:rPr>
        <w:t>.2投标人应详细阅读招标文件的全部内容。如果投标人没有按照招标文件要求提交全部资料或者投标文件没有对招标文件在各方面的要求都做出实质性响应，可能导致其投标被拒绝。</w:t>
      </w:r>
    </w:p>
    <w:p w14:paraId="5F118CA8">
      <w:pPr>
        <w:adjustRightInd w:val="0"/>
        <w:snapToGrid w:val="0"/>
        <w:spacing w:line="440" w:lineRule="exact"/>
        <w:ind w:left="420" w:leftChars="200" w:right="420" w:rightChars="200" w:firstLine="480" w:firstLineChars="200"/>
        <w:contextualSpacing/>
        <w:rPr>
          <w:rFonts w:ascii="宋体" w:hAnsi="宋体" w:cs="Arial"/>
          <w:sz w:val="24"/>
        </w:rPr>
      </w:pPr>
      <w:r>
        <w:rPr>
          <w:rFonts w:ascii="宋体" w:hAnsi="宋体" w:cs="Arial"/>
          <w:sz w:val="24"/>
        </w:rPr>
        <w:t>6</w:t>
      </w:r>
      <w:r>
        <w:rPr>
          <w:rFonts w:hint="eastAsia" w:ascii="宋体" w:hAnsi="宋体" w:cs="Arial"/>
          <w:sz w:val="24"/>
        </w:rPr>
        <w:t>.3招标的最小单位是包。招标货物数量及技术要求中未分包的，投标人对要求提供的货物和服务没有部分投标；招标货物数量及技术要求中已经分包的，可以以包为单位投标。</w:t>
      </w:r>
    </w:p>
    <w:p w14:paraId="477CFABC">
      <w:pPr>
        <w:adjustRightInd w:val="0"/>
        <w:snapToGrid w:val="0"/>
        <w:spacing w:line="440" w:lineRule="exact"/>
        <w:ind w:left="420" w:leftChars="200" w:right="420" w:rightChars="200" w:firstLine="480" w:firstLineChars="200"/>
        <w:contextualSpacing/>
        <w:rPr>
          <w:rFonts w:ascii="宋体" w:hAnsi="宋体" w:cs="Arial"/>
          <w:sz w:val="24"/>
        </w:rPr>
      </w:pPr>
      <w:r>
        <w:rPr>
          <w:rFonts w:ascii="宋体" w:hAnsi="宋体" w:cs="Arial"/>
          <w:sz w:val="24"/>
        </w:rPr>
        <w:t>6</w:t>
      </w:r>
      <w:r>
        <w:rPr>
          <w:rFonts w:hint="eastAsia" w:ascii="宋体" w:hAnsi="宋体" w:cs="Arial"/>
          <w:sz w:val="24"/>
        </w:rPr>
        <w:t>.4采购人如果要求投标人按照招标文件规定提交备选投标方案的，投标人可以提交备选方案；否则，备选方案将被拒绝。</w:t>
      </w:r>
    </w:p>
    <w:p w14:paraId="795E2FD8">
      <w:pPr>
        <w:adjustRightInd w:val="0"/>
        <w:snapToGrid w:val="0"/>
        <w:spacing w:line="440" w:lineRule="exact"/>
        <w:ind w:left="420" w:leftChars="200" w:right="420" w:rightChars="200" w:firstLine="480" w:firstLineChars="200"/>
        <w:contextualSpacing/>
        <w:rPr>
          <w:rFonts w:ascii="宋体" w:hAnsi="宋体" w:cs="宋体"/>
          <w:color w:val="000000"/>
          <w:sz w:val="24"/>
        </w:rPr>
      </w:pPr>
      <w:r>
        <w:rPr>
          <w:rFonts w:ascii="宋体" w:hAnsi="宋体" w:cs="宋体"/>
          <w:color w:val="000000"/>
          <w:sz w:val="24"/>
        </w:rPr>
        <w:t>6</w:t>
      </w:r>
      <w:r>
        <w:rPr>
          <w:rFonts w:hint="eastAsia" w:ascii="宋体" w:hAnsi="宋体" w:cs="宋体"/>
          <w:color w:val="000000"/>
          <w:sz w:val="24"/>
        </w:rPr>
        <w:t>.5投标人应认真阅读招标文件中所有的事项、格式、条款和规范等要求。按招标文件要求和规定编制投标文件，并保证所提供的全部资料的真实性，以使其投标文件对招标文件提出的要求和条件作出实质性响应，否则其风险由投标人自行承担。</w:t>
      </w:r>
    </w:p>
    <w:p w14:paraId="4FDDE575">
      <w:pPr>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6.6</w:t>
      </w:r>
      <w:r>
        <w:rPr>
          <w:rFonts w:hint="eastAsia" w:ascii="宋体" w:hAnsi="宋体"/>
          <w:sz w:val="24"/>
        </w:rPr>
        <w:t>资格审查文件（结合上述资格审查要求，须单独装订编页码做目录，</w:t>
      </w:r>
      <w:r>
        <w:rPr>
          <w:rFonts w:hint="eastAsia" w:ascii="宋体" w:hAnsi="宋体" w:cs="Arial"/>
          <w:sz w:val="24"/>
        </w:rPr>
        <w:t>按顺序装订成册，</w:t>
      </w:r>
      <w:r>
        <w:rPr>
          <w:rFonts w:hint="eastAsia" w:ascii="宋体" w:hAnsi="宋体"/>
          <w:sz w:val="24"/>
        </w:rPr>
        <w:t>A4纸打印并在封面注明“资格审查文件”），所有复印件需加盖公章。</w:t>
      </w:r>
      <w:r>
        <w:rPr>
          <w:rFonts w:hint="eastAsia" w:ascii="宋体" w:hAnsi="宋体" w:cs="Arial"/>
          <w:sz w:val="24"/>
        </w:rPr>
        <w:t>由于编排混乱导致投标文件被误读或查找不到，责任由投标人承担。</w:t>
      </w:r>
    </w:p>
    <w:p w14:paraId="1FACF838">
      <w:pPr>
        <w:autoSpaceDE w:val="0"/>
        <w:autoSpaceDN w:val="0"/>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6.7</w:t>
      </w:r>
      <w:r>
        <w:rPr>
          <w:rFonts w:hint="eastAsia" w:ascii="宋体" w:hAnsi="宋体"/>
          <w:sz w:val="24"/>
        </w:rPr>
        <w:t>针对本项目谈判的授权委托书；</w:t>
      </w:r>
    </w:p>
    <w:p w14:paraId="62384B3B">
      <w:pPr>
        <w:tabs>
          <w:tab w:val="left" w:pos="312"/>
        </w:tabs>
        <w:autoSpaceDE w:val="0"/>
        <w:autoSpaceDN w:val="0"/>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6.8</w:t>
      </w:r>
      <w:r>
        <w:rPr>
          <w:rFonts w:hint="eastAsia" w:ascii="宋体" w:hAnsi="宋体"/>
          <w:sz w:val="24"/>
        </w:rPr>
        <w:t>由社保部门出具的投标人为授权委托人及谈判经办人缴纳的</w:t>
      </w:r>
      <w:r>
        <w:rPr>
          <w:rFonts w:hint="eastAsia" w:ascii="宋体" w:hAnsi="宋体"/>
          <w:b/>
          <w:sz w:val="24"/>
        </w:rPr>
        <w:t>近三个月中任意一个月</w:t>
      </w:r>
      <w:r>
        <w:rPr>
          <w:rFonts w:hint="eastAsia" w:ascii="宋体" w:hAnsi="宋体" w:cs="Arial"/>
          <w:color w:val="000000"/>
          <w:sz w:val="24"/>
        </w:rPr>
        <w:t>缴纳社会保障资金</w:t>
      </w:r>
      <w:r>
        <w:rPr>
          <w:rFonts w:hint="eastAsia" w:ascii="宋体" w:hAnsi="宋体"/>
          <w:sz w:val="24"/>
        </w:rPr>
        <w:t>的证明材料；</w:t>
      </w:r>
    </w:p>
    <w:bookmarkEnd w:id="4"/>
    <w:p w14:paraId="4B42B8FE">
      <w:pPr>
        <w:adjustRightInd w:val="0"/>
        <w:snapToGrid w:val="0"/>
        <w:spacing w:line="440" w:lineRule="exact"/>
        <w:ind w:left="420" w:leftChars="200" w:right="420" w:rightChars="200" w:firstLine="482" w:firstLineChars="200"/>
        <w:contextualSpacing/>
        <w:rPr>
          <w:rFonts w:ascii="宋体" w:hAnsi="宋体"/>
          <w:sz w:val="24"/>
        </w:rPr>
      </w:pPr>
      <w:bookmarkStart w:id="5" w:name="_Toc39744257"/>
      <w:r>
        <w:rPr>
          <w:rFonts w:ascii="宋体" w:hAnsi="宋体"/>
          <w:b/>
          <w:sz w:val="24"/>
        </w:rPr>
        <w:t>7</w:t>
      </w:r>
      <w:r>
        <w:rPr>
          <w:rFonts w:hint="eastAsia" w:ascii="宋体" w:hAnsi="宋体"/>
          <w:b/>
          <w:sz w:val="24"/>
        </w:rPr>
        <w:t>.报价文件</w:t>
      </w:r>
    </w:p>
    <w:p w14:paraId="7490DE97">
      <w:pPr>
        <w:adjustRightInd w:val="0"/>
        <w:snapToGrid w:val="0"/>
        <w:spacing w:line="440" w:lineRule="exact"/>
        <w:ind w:left="420" w:leftChars="200" w:right="420" w:rightChars="200" w:firstLine="480" w:firstLineChars="200"/>
        <w:contextualSpacing/>
        <w:rPr>
          <w:rFonts w:ascii="宋体" w:hAnsi="宋体"/>
          <w:bCs/>
          <w:sz w:val="24"/>
        </w:rPr>
      </w:pPr>
      <w:r>
        <w:rPr>
          <w:rFonts w:ascii="宋体" w:hAnsi="宋体"/>
          <w:bCs/>
          <w:sz w:val="24"/>
        </w:rPr>
        <w:t>7.1</w:t>
      </w:r>
      <w:r>
        <w:rPr>
          <w:rFonts w:hint="eastAsia" w:ascii="宋体" w:hAnsi="宋体"/>
          <w:bCs/>
          <w:sz w:val="24"/>
        </w:rPr>
        <w:t>投标函</w:t>
      </w:r>
    </w:p>
    <w:p w14:paraId="2ECE49DF">
      <w:pPr>
        <w:adjustRightInd w:val="0"/>
        <w:snapToGrid w:val="0"/>
        <w:spacing w:line="440" w:lineRule="exact"/>
        <w:ind w:left="420" w:leftChars="200" w:right="420" w:rightChars="200" w:firstLine="480" w:firstLineChars="200"/>
        <w:contextualSpacing/>
        <w:rPr>
          <w:rFonts w:ascii="宋体" w:hAnsi="宋体"/>
          <w:bCs/>
          <w:sz w:val="24"/>
        </w:rPr>
      </w:pPr>
      <w:r>
        <w:rPr>
          <w:rFonts w:ascii="宋体" w:hAnsi="宋体"/>
          <w:bCs/>
          <w:sz w:val="24"/>
        </w:rPr>
        <w:t>7.2</w:t>
      </w:r>
      <w:r>
        <w:rPr>
          <w:rFonts w:hint="eastAsia" w:ascii="宋体" w:hAnsi="宋体"/>
          <w:bCs/>
          <w:sz w:val="24"/>
        </w:rPr>
        <w:t>授权委托书</w:t>
      </w:r>
    </w:p>
    <w:p w14:paraId="635EAD28">
      <w:pPr>
        <w:adjustRightInd w:val="0"/>
        <w:snapToGrid w:val="0"/>
        <w:spacing w:line="440" w:lineRule="exact"/>
        <w:ind w:left="420" w:leftChars="200" w:right="420" w:rightChars="200" w:firstLine="480" w:firstLineChars="200"/>
        <w:contextualSpacing/>
        <w:rPr>
          <w:rFonts w:ascii="宋体" w:hAnsi="宋体"/>
          <w:color w:val="FF0000"/>
          <w:sz w:val="24"/>
        </w:rPr>
      </w:pPr>
      <w:r>
        <w:rPr>
          <w:rFonts w:ascii="宋体" w:hAnsi="宋体"/>
          <w:bCs/>
          <w:sz w:val="24"/>
        </w:rPr>
        <w:t>7.3</w:t>
      </w:r>
      <w:r>
        <w:rPr>
          <w:rFonts w:hint="eastAsia" w:ascii="宋体" w:hAnsi="宋体"/>
          <w:sz w:val="24"/>
        </w:rPr>
        <w:t>投标报价</w:t>
      </w:r>
    </w:p>
    <w:p w14:paraId="559FC473">
      <w:pPr>
        <w:adjustRightInd w:val="0"/>
        <w:snapToGrid w:val="0"/>
        <w:spacing w:line="440" w:lineRule="exact"/>
        <w:ind w:left="420" w:leftChars="200" w:right="420" w:rightChars="200" w:firstLine="482" w:firstLineChars="200"/>
        <w:contextualSpacing/>
        <w:rPr>
          <w:rFonts w:ascii="宋体" w:hAnsi="宋体" w:cs="宋体"/>
          <w:b/>
          <w:color w:val="000000"/>
          <w:kern w:val="0"/>
          <w:sz w:val="24"/>
        </w:rPr>
      </w:pPr>
      <w:r>
        <w:rPr>
          <w:rFonts w:hint="eastAsia" w:ascii="宋体" w:hAnsi="宋体" w:cs="宋体"/>
          <w:b/>
          <w:color w:val="000000"/>
          <w:kern w:val="0"/>
          <w:sz w:val="24"/>
        </w:rPr>
        <w:t>投标人在报价时不允许采用选择性报价，否则将被视为无效投标。</w:t>
      </w:r>
      <w:r>
        <w:rPr>
          <w:rFonts w:hint="eastAsia" w:ascii="宋体" w:hAnsi="宋体"/>
          <w:b/>
          <w:sz w:val="24"/>
        </w:rPr>
        <w:t>以上投标文件组成及报价要求将作为否决投标单位标书的重要条件。</w:t>
      </w:r>
    </w:p>
    <w:p w14:paraId="7B897FB2">
      <w:pPr>
        <w:adjustRightInd w:val="0"/>
        <w:snapToGrid w:val="0"/>
        <w:spacing w:line="440" w:lineRule="exact"/>
        <w:ind w:left="420" w:leftChars="200" w:right="420" w:rightChars="200" w:firstLine="482" w:firstLineChars="200"/>
        <w:contextualSpacing/>
        <w:rPr>
          <w:rFonts w:ascii="宋体" w:hAnsi="宋体" w:cs="Arial"/>
          <w:b/>
          <w:sz w:val="24"/>
        </w:rPr>
      </w:pPr>
      <w:r>
        <w:rPr>
          <w:rFonts w:ascii="宋体" w:hAnsi="宋体" w:cs="Arial"/>
          <w:b/>
          <w:sz w:val="24"/>
        </w:rPr>
        <w:t>8</w:t>
      </w:r>
      <w:r>
        <w:rPr>
          <w:rFonts w:hint="eastAsia" w:ascii="宋体" w:hAnsi="宋体" w:cs="Arial"/>
          <w:b/>
          <w:sz w:val="24"/>
        </w:rPr>
        <w:t>.招标文件的约束力</w:t>
      </w:r>
    </w:p>
    <w:p w14:paraId="7A00BF11">
      <w:pPr>
        <w:adjustRightInd w:val="0"/>
        <w:snapToGrid w:val="0"/>
        <w:spacing w:line="440" w:lineRule="exact"/>
        <w:ind w:left="420" w:leftChars="200" w:right="420" w:rightChars="200" w:firstLine="480" w:firstLineChars="200"/>
        <w:contextualSpacing/>
        <w:rPr>
          <w:rFonts w:ascii="宋体" w:hAnsi="宋体" w:cs="宋体"/>
          <w:bCs/>
          <w:color w:val="000000"/>
          <w:sz w:val="24"/>
        </w:rPr>
      </w:pPr>
      <w:r>
        <w:rPr>
          <w:rFonts w:ascii="宋体" w:hAnsi="宋体" w:cs="宋体"/>
          <w:bCs/>
          <w:color w:val="000000"/>
          <w:sz w:val="24"/>
        </w:rPr>
        <w:t>8</w:t>
      </w:r>
      <w:r>
        <w:rPr>
          <w:rFonts w:hint="eastAsia" w:ascii="宋体" w:hAnsi="宋体" w:cs="宋体"/>
          <w:bCs/>
          <w:color w:val="000000"/>
          <w:sz w:val="24"/>
        </w:rPr>
        <w:t>.1</w:t>
      </w:r>
      <w:r>
        <w:rPr>
          <w:rFonts w:hint="eastAsia" w:ascii="宋体" w:hAnsi="宋体" w:cs="宋体"/>
          <w:color w:val="000000"/>
          <w:sz w:val="24"/>
        </w:rPr>
        <w:t>投标人一旦参加本项目采购活动，即被认为接受了本招标文件的规定和约束。</w:t>
      </w:r>
    </w:p>
    <w:p w14:paraId="778CD2E1">
      <w:pPr>
        <w:adjustRightInd w:val="0"/>
        <w:snapToGrid w:val="0"/>
        <w:spacing w:line="440" w:lineRule="exact"/>
        <w:ind w:left="420" w:leftChars="200" w:right="420" w:rightChars="200" w:firstLine="482" w:firstLineChars="200"/>
        <w:contextualSpacing/>
        <w:rPr>
          <w:rFonts w:ascii="宋体" w:hAnsi="宋体" w:cs="宋体"/>
          <w:b/>
          <w:bCs/>
          <w:color w:val="000000"/>
          <w:sz w:val="24"/>
        </w:rPr>
      </w:pPr>
      <w:r>
        <w:rPr>
          <w:rFonts w:ascii="宋体" w:hAnsi="宋体" w:cs="Arial"/>
          <w:b/>
          <w:sz w:val="24"/>
        </w:rPr>
        <w:t>9</w:t>
      </w:r>
      <w:r>
        <w:rPr>
          <w:rFonts w:hint="eastAsia" w:ascii="宋体" w:hAnsi="宋体" w:cs="Arial"/>
          <w:b/>
          <w:sz w:val="24"/>
        </w:rPr>
        <w:t>.采购人一律不予退还投标人的投标文件。</w:t>
      </w:r>
    </w:p>
    <w:p w14:paraId="286AE313">
      <w:pPr>
        <w:adjustRightInd w:val="0"/>
        <w:snapToGrid w:val="0"/>
        <w:spacing w:line="440" w:lineRule="exact"/>
        <w:ind w:left="420" w:leftChars="200" w:right="420" w:rightChars="200" w:firstLine="482" w:firstLineChars="200"/>
        <w:contextualSpacing/>
        <w:rPr>
          <w:rFonts w:ascii="宋体" w:hAnsi="宋体" w:cs="宋体"/>
          <w:b/>
          <w:bCs/>
          <w:color w:val="000000"/>
          <w:sz w:val="24"/>
        </w:rPr>
      </w:pPr>
      <w:r>
        <w:rPr>
          <w:rFonts w:ascii="宋体" w:hAnsi="宋体" w:cs="Arial"/>
          <w:b/>
          <w:sz w:val="24"/>
        </w:rPr>
        <w:t>10</w:t>
      </w:r>
      <w:r>
        <w:rPr>
          <w:rFonts w:hint="eastAsia" w:ascii="宋体" w:hAnsi="宋体" w:cs="Arial"/>
          <w:b/>
          <w:sz w:val="24"/>
        </w:rPr>
        <w:t>.联合投标</w:t>
      </w:r>
    </w:p>
    <w:p w14:paraId="0A7349F9">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本项目不接受联合投标。</w:t>
      </w:r>
    </w:p>
    <w:p w14:paraId="344F6F01">
      <w:pPr>
        <w:adjustRightInd w:val="0"/>
        <w:snapToGrid w:val="0"/>
        <w:spacing w:line="440" w:lineRule="exact"/>
        <w:ind w:left="420" w:leftChars="200" w:right="420" w:rightChars="200" w:firstLine="482" w:firstLineChars="200"/>
        <w:contextualSpacing/>
        <w:rPr>
          <w:rFonts w:ascii="宋体" w:hAnsi="宋体" w:cs="宋体"/>
          <w:b/>
          <w:bCs/>
          <w:color w:val="000000"/>
          <w:sz w:val="24"/>
        </w:rPr>
      </w:pPr>
      <w:r>
        <w:rPr>
          <w:rFonts w:ascii="宋体" w:hAnsi="宋体" w:cs="Arial"/>
          <w:b/>
          <w:sz w:val="24"/>
        </w:rPr>
        <w:t>11</w:t>
      </w:r>
      <w:r>
        <w:rPr>
          <w:rFonts w:hint="eastAsia" w:ascii="宋体" w:hAnsi="宋体" w:cs="Arial"/>
          <w:b/>
          <w:sz w:val="24"/>
        </w:rPr>
        <w:t>.诚实信用</w:t>
      </w:r>
    </w:p>
    <w:p w14:paraId="2BD7C876">
      <w:pPr>
        <w:adjustRightInd w:val="0"/>
        <w:snapToGrid w:val="0"/>
        <w:spacing w:line="440" w:lineRule="exact"/>
        <w:ind w:left="420" w:leftChars="200" w:right="420" w:rightChars="200" w:firstLine="480" w:firstLineChars="200"/>
        <w:contextualSpacing/>
        <w:rPr>
          <w:rFonts w:ascii="宋体" w:hAnsi="宋体" w:cs="Arial"/>
          <w:sz w:val="24"/>
        </w:rPr>
      </w:pPr>
      <w:r>
        <w:rPr>
          <w:rFonts w:ascii="宋体" w:hAnsi="宋体" w:cs="Arial"/>
          <w:sz w:val="24"/>
        </w:rPr>
        <w:t>11</w:t>
      </w:r>
      <w:r>
        <w:rPr>
          <w:rFonts w:hint="eastAsia" w:ascii="宋体" w:hAnsi="宋体" w:cs="Arial"/>
          <w:sz w:val="24"/>
        </w:rPr>
        <w:t>.1投标人之间不得相互串通投标报价，不得妨碍其他投标人的公平竞争，不得损害采购人或者其他投标人的合法权益。</w:t>
      </w:r>
    </w:p>
    <w:p w14:paraId="6B8A8996">
      <w:pPr>
        <w:adjustRightInd w:val="0"/>
        <w:snapToGrid w:val="0"/>
        <w:spacing w:line="440" w:lineRule="exact"/>
        <w:ind w:left="420" w:leftChars="200" w:right="420" w:rightChars="200" w:firstLine="480" w:firstLineChars="200"/>
        <w:contextualSpacing/>
        <w:rPr>
          <w:rFonts w:ascii="宋体" w:hAnsi="宋体" w:cs="Arial"/>
          <w:sz w:val="24"/>
        </w:rPr>
      </w:pPr>
      <w:r>
        <w:rPr>
          <w:rFonts w:ascii="宋体" w:hAnsi="宋体" w:cs="Arial"/>
          <w:sz w:val="24"/>
        </w:rPr>
        <w:t>11</w:t>
      </w:r>
      <w:r>
        <w:rPr>
          <w:rFonts w:hint="eastAsia" w:ascii="宋体" w:hAnsi="宋体" w:cs="Arial"/>
          <w:sz w:val="24"/>
        </w:rPr>
        <w:t>.2投标人不得向采购人工作人员、评标委员会成员行贿或者采取其他不正当手段以谋取中标。即使在签订合同后，如果采购人有证据表明投标人有此行为的，将终止合同，并在扬州大学附属医院官</w:t>
      </w:r>
      <w:r>
        <w:rPr>
          <w:rFonts w:hint="eastAsia" w:ascii="宋体" w:hAnsi="宋体" w:cs="宋体"/>
          <w:sz w:val="24"/>
        </w:rPr>
        <w:t>网上</w:t>
      </w:r>
      <w:r>
        <w:rPr>
          <w:rFonts w:hint="eastAsia" w:ascii="宋体" w:hAnsi="宋体" w:cs="Arial"/>
          <w:sz w:val="24"/>
        </w:rPr>
        <w:t>公告，将投标人列入医院不良行为记录名单。</w:t>
      </w:r>
    </w:p>
    <w:p w14:paraId="5C69FCA7">
      <w:pPr>
        <w:adjustRightInd w:val="0"/>
        <w:snapToGrid w:val="0"/>
        <w:spacing w:line="440" w:lineRule="exact"/>
        <w:ind w:left="420" w:leftChars="200" w:right="420" w:rightChars="200" w:firstLine="480" w:firstLineChars="200"/>
        <w:contextualSpacing/>
        <w:rPr>
          <w:rFonts w:ascii="宋体" w:hAnsi="宋体" w:cs="宋体"/>
          <w:color w:val="000000"/>
          <w:sz w:val="24"/>
        </w:rPr>
      </w:pPr>
      <w:r>
        <w:rPr>
          <w:rFonts w:ascii="宋体" w:hAnsi="宋体" w:cs="宋体"/>
          <w:color w:val="000000"/>
          <w:sz w:val="24"/>
        </w:rPr>
        <w:t>11</w:t>
      </w:r>
      <w:r>
        <w:rPr>
          <w:rFonts w:hint="eastAsia" w:ascii="宋体" w:hAnsi="宋体" w:cs="宋体"/>
          <w:color w:val="000000"/>
          <w:sz w:val="24"/>
        </w:rPr>
        <w:t>.3投标人不得虚假承诺，否则，按照提供虚假材料谋取中标成交处理。</w:t>
      </w:r>
    </w:p>
    <w:p w14:paraId="54752B77">
      <w:pPr>
        <w:adjustRightInd w:val="0"/>
        <w:snapToGrid w:val="0"/>
        <w:spacing w:line="440" w:lineRule="exact"/>
        <w:ind w:left="420" w:leftChars="200" w:right="420" w:rightChars="200" w:firstLine="480" w:firstLineChars="200"/>
        <w:contextualSpacing/>
        <w:rPr>
          <w:rFonts w:ascii="宋体" w:hAnsi="宋体" w:cs="宋体"/>
          <w:color w:val="000000"/>
          <w:sz w:val="24"/>
        </w:rPr>
      </w:pPr>
      <w:r>
        <w:rPr>
          <w:rFonts w:ascii="宋体" w:hAnsi="宋体" w:cs="宋体"/>
          <w:color w:val="000000"/>
          <w:sz w:val="24"/>
        </w:rPr>
        <w:t>11</w:t>
      </w:r>
      <w:r>
        <w:rPr>
          <w:rFonts w:hint="eastAsia" w:ascii="宋体" w:hAnsi="宋体" w:cs="宋体"/>
          <w:color w:val="000000"/>
          <w:sz w:val="24"/>
        </w:rPr>
        <w:t>.4投标人应自觉遵守开标、评标纪律，扰乱开标评标现场秩序的，属于失信行为，失信行为将被记入投标人诚信档案。</w:t>
      </w:r>
    </w:p>
    <w:p w14:paraId="2F52BCAE">
      <w:pPr>
        <w:adjustRightInd w:val="0"/>
        <w:snapToGrid w:val="0"/>
        <w:spacing w:line="440" w:lineRule="exact"/>
        <w:ind w:left="420" w:leftChars="200" w:right="420" w:rightChars="200" w:firstLine="482" w:firstLineChars="200"/>
        <w:contextualSpacing/>
        <w:rPr>
          <w:rFonts w:ascii="宋体" w:hAnsi="宋体"/>
          <w:b/>
          <w:sz w:val="24"/>
        </w:rPr>
      </w:pPr>
      <w:r>
        <w:rPr>
          <w:rFonts w:ascii="宋体" w:hAnsi="宋体"/>
          <w:b/>
          <w:sz w:val="24"/>
        </w:rPr>
        <w:t>12.</w:t>
      </w:r>
      <w:r>
        <w:rPr>
          <w:rFonts w:hint="eastAsia" w:ascii="宋体" w:hAnsi="宋体"/>
          <w:b/>
          <w:sz w:val="24"/>
        </w:rPr>
        <w:t>谈判程序：</w:t>
      </w:r>
    </w:p>
    <w:p w14:paraId="11C430B1">
      <w:pPr>
        <w:adjustRightInd w:val="0"/>
        <w:snapToGrid w:val="0"/>
        <w:spacing w:line="440" w:lineRule="exact"/>
        <w:ind w:left="420" w:leftChars="200" w:right="420" w:rightChars="200" w:firstLine="480" w:firstLineChars="200"/>
        <w:contextualSpacing/>
        <w:rPr>
          <w:rFonts w:ascii="宋体" w:hAnsi="宋体"/>
          <w:sz w:val="24"/>
        </w:rPr>
      </w:pPr>
      <w:r>
        <w:rPr>
          <w:rFonts w:hint="eastAsia" w:ascii="宋体" w:hAnsi="宋体"/>
          <w:sz w:val="24"/>
        </w:rPr>
        <w:t>1</w:t>
      </w:r>
      <w:r>
        <w:rPr>
          <w:rFonts w:ascii="宋体" w:hAnsi="宋体"/>
          <w:sz w:val="24"/>
        </w:rPr>
        <w:t>2.1</w:t>
      </w:r>
      <w:r>
        <w:rPr>
          <w:rFonts w:hint="eastAsia" w:ascii="宋体" w:hAnsi="宋体"/>
          <w:sz w:val="24"/>
        </w:rPr>
        <w:t>资格审查；1</w:t>
      </w:r>
      <w:r>
        <w:rPr>
          <w:rFonts w:ascii="宋体" w:hAnsi="宋体"/>
          <w:sz w:val="24"/>
        </w:rPr>
        <w:t>3.2</w:t>
      </w:r>
      <w:r>
        <w:rPr>
          <w:rFonts w:hint="eastAsia" w:ascii="宋体" w:hAnsi="宋体"/>
          <w:sz w:val="24"/>
        </w:rPr>
        <w:t>谈判；1</w:t>
      </w:r>
      <w:r>
        <w:rPr>
          <w:rFonts w:ascii="宋体" w:hAnsi="宋体"/>
          <w:sz w:val="24"/>
        </w:rPr>
        <w:t>3.3</w:t>
      </w:r>
      <w:r>
        <w:rPr>
          <w:rFonts w:hint="eastAsia" w:ascii="宋体" w:hAnsi="宋体"/>
          <w:sz w:val="24"/>
        </w:rPr>
        <w:t>评委打分；1</w:t>
      </w:r>
      <w:r>
        <w:rPr>
          <w:rFonts w:ascii="宋体" w:hAnsi="宋体"/>
          <w:sz w:val="24"/>
        </w:rPr>
        <w:t>3.4</w:t>
      </w:r>
      <w:r>
        <w:rPr>
          <w:rFonts w:hint="eastAsia" w:ascii="宋体" w:hAnsi="宋体"/>
          <w:sz w:val="24"/>
        </w:rPr>
        <w:t>定标。</w:t>
      </w:r>
    </w:p>
    <w:p w14:paraId="1742AA24">
      <w:pPr>
        <w:adjustRightInd w:val="0"/>
        <w:snapToGrid w:val="0"/>
        <w:spacing w:line="440" w:lineRule="exact"/>
        <w:ind w:left="420" w:leftChars="200" w:right="420" w:rightChars="200" w:firstLine="482" w:firstLineChars="200"/>
        <w:contextualSpacing/>
        <w:rPr>
          <w:rFonts w:ascii="宋体" w:hAnsi="宋体"/>
          <w:b/>
          <w:sz w:val="24"/>
        </w:rPr>
      </w:pPr>
      <w:r>
        <w:rPr>
          <w:rFonts w:ascii="宋体" w:hAnsi="宋体"/>
          <w:b/>
          <w:sz w:val="24"/>
        </w:rPr>
        <w:t>13.</w:t>
      </w:r>
      <w:r>
        <w:rPr>
          <w:rFonts w:hint="eastAsia" w:ascii="宋体" w:hAnsi="宋体"/>
          <w:b/>
          <w:sz w:val="24"/>
        </w:rPr>
        <w:t>开标、评标</w:t>
      </w:r>
    </w:p>
    <w:p w14:paraId="6A8103E1">
      <w:pPr>
        <w:adjustRightInd w:val="0"/>
        <w:snapToGrid w:val="0"/>
        <w:spacing w:line="440" w:lineRule="exact"/>
        <w:ind w:left="420" w:leftChars="200" w:right="420" w:rightChars="200" w:firstLine="480" w:firstLineChars="200"/>
        <w:contextualSpacing/>
        <w:rPr>
          <w:rFonts w:ascii="宋体" w:hAnsi="宋体" w:cs="宋体"/>
          <w:color w:val="000000"/>
          <w:kern w:val="0"/>
          <w:sz w:val="24"/>
        </w:rPr>
      </w:pPr>
      <w:r>
        <w:rPr>
          <w:rFonts w:ascii="宋体" w:hAnsi="宋体"/>
          <w:sz w:val="24"/>
        </w:rPr>
        <w:t>13.1</w:t>
      </w:r>
      <w:r>
        <w:rPr>
          <w:rFonts w:hint="eastAsia" w:ascii="宋体" w:hAnsi="宋体" w:cs="Arial"/>
          <w:kern w:val="0"/>
          <w:sz w:val="24"/>
        </w:rPr>
        <w:t>采购人将在招标文件确定的时间和地点组织开标。投标人应委派</w:t>
      </w:r>
      <w:r>
        <w:rPr>
          <w:rFonts w:hint="eastAsia" w:ascii="宋体" w:hAnsi="宋体" w:cs="宋体"/>
          <w:color w:val="000000"/>
          <w:kern w:val="0"/>
          <w:sz w:val="24"/>
        </w:rPr>
        <w:t>携带有效证件的</w:t>
      </w:r>
      <w:r>
        <w:rPr>
          <w:rFonts w:hint="eastAsia" w:ascii="宋体" w:hAnsi="宋体" w:cs="Arial"/>
          <w:kern w:val="0"/>
          <w:sz w:val="24"/>
        </w:rPr>
        <w:t>代表准时参加，参加开标的代表须签名报到以证明其出席。</w:t>
      </w:r>
      <w:r>
        <w:rPr>
          <w:rFonts w:hint="eastAsia" w:ascii="宋体" w:hAnsi="宋体" w:cs="宋体"/>
          <w:color w:val="000000"/>
          <w:kern w:val="0"/>
          <w:sz w:val="24"/>
        </w:rPr>
        <w:t>投标人未参加开标的，视同认可开标结果。</w:t>
      </w:r>
    </w:p>
    <w:p w14:paraId="1C8DC60D">
      <w:pPr>
        <w:adjustRightInd w:val="0"/>
        <w:snapToGrid w:val="0"/>
        <w:spacing w:line="440" w:lineRule="exact"/>
        <w:ind w:left="420" w:leftChars="200" w:right="420" w:rightChars="200" w:firstLine="480" w:firstLineChars="200"/>
        <w:contextualSpacing/>
        <w:rPr>
          <w:rFonts w:ascii="宋体" w:hAnsi="宋体"/>
          <w:sz w:val="24"/>
        </w:rPr>
      </w:pPr>
      <w:r>
        <w:rPr>
          <w:rFonts w:hint="eastAsia" w:ascii="宋体" w:hAnsi="宋体"/>
          <w:sz w:val="24"/>
        </w:rPr>
        <w:t>1</w:t>
      </w:r>
      <w:r>
        <w:rPr>
          <w:rFonts w:ascii="宋体" w:hAnsi="宋体"/>
          <w:sz w:val="24"/>
        </w:rPr>
        <w:t>3.2</w:t>
      </w:r>
      <w:r>
        <w:rPr>
          <w:rFonts w:hint="eastAsia" w:ascii="宋体" w:hAnsi="宋体"/>
          <w:sz w:val="24"/>
        </w:rPr>
        <w:t>开标时，招标方代表或监管部门或投标单位检查投标文件的密封情况，在确认无误后拆封读标。投标文件一经开封不得进行改动。</w:t>
      </w:r>
    </w:p>
    <w:p w14:paraId="3D9893BB">
      <w:pPr>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13.3</w:t>
      </w:r>
      <w:r>
        <w:rPr>
          <w:rFonts w:hint="eastAsia" w:ascii="宋体" w:hAnsi="宋体"/>
          <w:sz w:val="24"/>
        </w:rPr>
        <w:t>初步评审要求：开标后，招标方将组织审查投标文件是否完整；是否有计算错误。投标文件出现下列情形之一的，将作为无效投标文件：</w:t>
      </w:r>
    </w:p>
    <w:p w14:paraId="7FE66F6B">
      <w:pPr>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13.3.1</w:t>
      </w:r>
      <w:r>
        <w:rPr>
          <w:rFonts w:hint="eastAsia" w:ascii="宋体" w:hAnsi="宋体"/>
          <w:sz w:val="24"/>
        </w:rPr>
        <w:t>投标文件不响应谈判文件要求的；</w:t>
      </w:r>
    </w:p>
    <w:p w14:paraId="1CAE9247">
      <w:pPr>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13.3.2</w:t>
      </w:r>
      <w:r>
        <w:rPr>
          <w:rFonts w:hint="eastAsia" w:ascii="宋体" w:hAnsi="宋体"/>
          <w:sz w:val="24"/>
        </w:rPr>
        <w:t>投标函未盖投标人的企业及企业法定代表人印章并签字的，或者企业法定代表人委托代理人没有合法、有效的委托书（原件）及委托代理人印章并签字的；</w:t>
      </w:r>
    </w:p>
    <w:p w14:paraId="746CCC90">
      <w:pPr>
        <w:adjustRightInd w:val="0"/>
        <w:snapToGrid w:val="0"/>
        <w:spacing w:line="440" w:lineRule="exact"/>
        <w:ind w:left="420" w:leftChars="200" w:right="420" w:rightChars="200" w:firstLine="480" w:firstLineChars="200"/>
        <w:contextualSpacing/>
        <w:rPr>
          <w:rFonts w:ascii="宋体" w:hAnsi="宋体"/>
          <w:sz w:val="24"/>
        </w:rPr>
      </w:pPr>
      <w:r>
        <w:rPr>
          <w:rFonts w:hint="eastAsia" w:ascii="宋体" w:hAnsi="宋体"/>
          <w:sz w:val="24"/>
        </w:rPr>
        <w:t>1</w:t>
      </w:r>
      <w:r>
        <w:rPr>
          <w:rFonts w:ascii="宋体" w:hAnsi="宋体"/>
          <w:sz w:val="24"/>
        </w:rPr>
        <w:t>3.3.3</w:t>
      </w:r>
      <w:r>
        <w:rPr>
          <w:rFonts w:hint="eastAsia" w:ascii="宋体" w:hAnsi="宋体"/>
          <w:sz w:val="24"/>
        </w:rPr>
        <w:t>投标文件的关键内容模糊、无法辨认的；</w:t>
      </w:r>
    </w:p>
    <w:p w14:paraId="47C20256">
      <w:pPr>
        <w:adjustRightInd w:val="0"/>
        <w:snapToGrid w:val="0"/>
        <w:spacing w:line="440" w:lineRule="exact"/>
        <w:ind w:left="420" w:leftChars="200" w:right="420" w:rightChars="200" w:firstLine="480" w:firstLineChars="200"/>
        <w:contextualSpacing/>
        <w:rPr>
          <w:rFonts w:ascii="宋体" w:hAnsi="宋体"/>
          <w:sz w:val="24"/>
        </w:rPr>
      </w:pPr>
      <w:r>
        <w:rPr>
          <w:rFonts w:ascii="宋体" w:hAnsi="宋体"/>
          <w:sz w:val="24"/>
        </w:rPr>
        <w:t>13.4</w:t>
      </w:r>
      <w:r>
        <w:rPr>
          <w:rFonts w:hint="eastAsia" w:ascii="宋体" w:hAnsi="宋体"/>
          <w:sz w:val="24"/>
        </w:rPr>
        <w:t>评标小组先评审技术文件，后评审报价文件。</w:t>
      </w:r>
    </w:p>
    <w:p w14:paraId="24C53E0B">
      <w:pPr>
        <w:adjustRightInd w:val="0"/>
        <w:snapToGrid w:val="0"/>
        <w:spacing w:line="440" w:lineRule="exact"/>
        <w:ind w:left="420" w:leftChars="200" w:right="420" w:rightChars="200" w:firstLine="480" w:firstLineChars="200"/>
        <w:contextualSpacing/>
        <w:jc w:val="left"/>
        <w:rPr>
          <w:rFonts w:ascii="宋体" w:hAnsi="宋体" w:cs="宋体"/>
          <w:bCs/>
          <w:color w:val="000000"/>
          <w:sz w:val="24"/>
        </w:rPr>
      </w:pPr>
      <w:r>
        <w:rPr>
          <w:rFonts w:ascii="宋体" w:hAnsi="宋体"/>
          <w:sz w:val="24"/>
        </w:rPr>
        <w:t>13.5</w:t>
      </w:r>
      <w:r>
        <w:rPr>
          <w:rFonts w:hint="eastAsia" w:ascii="宋体" w:hAnsi="宋体"/>
          <w:sz w:val="24"/>
        </w:rPr>
        <w:t>评标小组</w:t>
      </w:r>
      <w:r>
        <w:rPr>
          <w:rFonts w:hint="eastAsia" w:ascii="宋体" w:hAnsi="宋体" w:cs="宋体"/>
          <w:bCs/>
          <w:color w:val="000000"/>
          <w:sz w:val="24"/>
        </w:rPr>
        <w:t>将对确定为实质性响应的投标进行进一步审核，看其是否有计算上或累加上的算术错误，对开标一览表内容修正错误的原则如下：</w:t>
      </w:r>
    </w:p>
    <w:p w14:paraId="1E38AA5E">
      <w:pPr>
        <w:adjustRightInd w:val="0"/>
        <w:snapToGrid w:val="0"/>
        <w:spacing w:line="440" w:lineRule="exact"/>
        <w:ind w:left="420" w:leftChars="200" w:right="420" w:rightChars="200" w:firstLine="480" w:firstLineChars="200"/>
        <w:contextualSpacing/>
        <w:rPr>
          <w:rFonts w:ascii="宋体" w:hAnsi="宋体" w:cs="Arial"/>
          <w:kern w:val="0"/>
          <w:sz w:val="24"/>
        </w:rPr>
      </w:pPr>
      <w:r>
        <w:rPr>
          <w:rFonts w:ascii="宋体" w:hAnsi="宋体" w:cs="Arial"/>
          <w:kern w:val="0"/>
          <w:sz w:val="24"/>
        </w:rPr>
        <w:t>13.</w:t>
      </w:r>
      <w:r>
        <w:rPr>
          <w:rFonts w:hint="eastAsia" w:ascii="宋体" w:hAnsi="宋体" w:cs="Arial"/>
          <w:kern w:val="0"/>
          <w:sz w:val="24"/>
        </w:rPr>
        <w:t>5.1开标一览表内容与投标文件中其他内容不一致的，以开标一览表为准。</w:t>
      </w:r>
    </w:p>
    <w:p w14:paraId="5FA134F3">
      <w:pPr>
        <w:adjustRightInd w:val="0"/>
        <w:snapToGrid w:val="0"/>
        <w:spacing w:line="440" w:lineRule="exact"/>
        <w:ind w:left="420" w:leftChars="200" w:right="420" w:rightChars="200" w:firstLine="480" w:firstLineChars="200"/>
        <w:contextualSpacing/>
        <w:jc w:val="left"/>
        <w:rPr>
          <w:rFonts w:ascii="宋体" w:hAnsi="宋体" w:cs="Arial"/>
          <w:sz w:val="24"/>
        </w:rPr>
      </w:pPr>
      <w:r>
        <w:rPr>
          <w:rFonts w:ascii="宋体" w:hAnsi="宋体" w:cs="Arial"/>
          <w:sz w:val="24"/>
        </w:rPr>
        <w:t>13</w:t>
      </w:r>
      <w:r>
        <w:rPr>
          <w:rFonts w:hint="eastAsia" w:ascii="宋体" w:hAnsi="宋体" w:cs="Arial"/>
          <w:sz w:val="24"/>
        </w:rPr>
        <w:t>.5.2投标文件的大写金额与小写金额不一致的，以大写金额为准；总价金额与按单价金额计算不一致的，以单价金额计算为准；单价金额小数点有明显错位的，应以总价为准，并修改单价；对不同文字文本投标文件的解释发生异议的，以中文文本为准。</w:t>
      </w:r>
    </w:p>
    <w:p w14:paraId="6BCE6A72">
      <w:pPr>
        <w:adjustRightInd w:val="0"/>
        <w:snapToGrid w:val="0"/>
        <w:spacing w:line="440" w:lineRule="exact"/>
        <w:ind w:left="420" w:leftChars="200" w:right="420" w:rightChars="200" w:firstLine="480" w:firstLineChars="200"/>
        <w:contextualSpacing/>
        <w:jc w:val="left"/>
        <w:rPr>
          <w:rFonts w:ascii="宋体" w:hAnsi="宋体" w:cs="宋体"/>
          <w:bCs/>
          <w:color w:val="000000"/>
          <w:sz w:val="24"/>
        </w:rPr>
      </w:pPr>
      <w:r>
        <w:rPr>
          <w:rFonts w:ascii="宋体" w:hAnsi="宋体" w:cs="宋体"/>
          <w:bCs/>
          <w:color w:val="000000"/>
          <w:sz w:val="24"/>
        </w:rPr>
        <w:t>13</w:t>
      </w:r>
      <w:r>
        <w:rPr>
          <w:rFonts w:hint="eastAsia" w:ascii="宋体" w:hAnsi="宋体" w:cs="宋体"/>
          <w:bCs/>
          <w:color w:val="000000"/>
          <w:sz w:val="24"/>
        </w:rPr>
        <w:t>.5.3同时出现两种以上错误的，按照前款规定的顺序修正。对不同文字文本投标文件的解释发生异议的，以中文文本为准。</w:t>
      </w:r>
    </w:p>
    <w:p w14:paraId="43321159">
      <w:pPr>
        <w:adjustRightInd w:val="0"/>
        <w:snapToGrid w:val="0"/>
        <w:spacing w:line="440" w:lineRule="exact"/>
        <w:ind w:left="420" w:leftChars="200" w:right="420" w:rightChars="200" w:firstLine="480" w:firstLineChars="200"/>
        <w:contextualSpacing/>
        <w:jc w:val="left"/>
        <w:rPr>
          <w:rFonts w:ascii="宋体" w:hAnsi="宋体" w:cs="宋体"/>
          <w:bCs/>
          <w:color w:val="000000"/>
          <w:sz w:val="24"/>
        </w:rPr>
      </w:pPr>
      <w:r>
        <w:rPr>
          <w:rFonts w:ascii="宋体" w:hAnsi="宋体" w:cs="Arial"/>
          <w:sz w:val="24"/>
        </w:rPr>
        <w:t>13</w:t>
      </w:r>
      <w:r>
        <w:rPr>
          <w:rFonts w:hint="eastAsia" w:ascii="宋体" w:hAnsi="宋体" w:cs="Arial"/>
          <w:sz w:val="24"/>
        </w:rPr>
        <w:t>.6</w:t>
      </w:r>
      <w:r>
        <w:rPr>
          <w:rFonts w:hint="eastAsia" w:ascii="宋体" w:hAnsi="宋体"/>
          <w:sz w:val="24"/>
        </w:rPr>
        <w:t>评标小组</w:t>
      </w:r>
      <w:r>
        <w:rPr>
          <w:rFonts w:hint="eastAsia" w:ascii="宋体" w:hAnsi="宋体" w:cs="宋体"/>
          <w:bCs/>
          <w:color w:val="000000"/>
          <w:sz w:val="24"/>
        </w:rPr>
        <w:t>将允许修正投标文件中不构成重大偏离的、微小的、非正规的、不一致的或不规则的地方，但这些修改不能影响任何投标人相应的名次排列，否则不允许修正。</w:t>
      </w:r>
    </w:p>
    <w:p w14:paraId="76E90776">
      <w:pPr>
        <w:adjustRightInd w:val="0"/>
        <w:snapToGrid w:val="0"/>
        <w:spacing w:line="440" w:lineRule="exact"/>
        <w:ind w:left="420" w:leftChars="200" w:right="420" w:rightChars="200" w:firstLine="480" w:firstLineChars="200"/>
        <w:contextualSpacing/>
        <w:rPr>
          <w:rFonts w:ascii="宋体" w:hAnsi="宋体" w:cs="宋体"/>
          <w:color w:val="000000"/>
          <w:kern w:val="0"/>
          <w:sz w:val="24"/>
        </w:rPr>
      </w:pPr>
      <w:r>
        <w:rPr>
          <w:rFonts w:ascii="宋体" w:hAnsi="宋体" w:cs="宋体"/>
          <w:color w:val="000000"/>
          <w:kern w:val="0"/>
          <w:sz w:val="24"/>
        </w:rPr>
        <w:t>13</w:t>
      </w:r>
      <w:r>
        <w:rPr>
          <w:rFonts w:hint="eastAsia" w:ascii="宋体" w:hAnsi="宋体" w:cs="宋体"/>
          <w:color w:val="000000"/>
          <w:kern w:val="0"/>
          <w:sz w:val="24"/>
        </w:rPr>
        <w:t xml:space="preserve">.7 </w:t>
      </w:r>
      <w:r>
        <w:rPr>
          <w:rFonts w:hint="eastAsia" w:ascii="宋体" w:hAnsi="宋体"/>
          <w:sz w:val="24"/>
        </w:rPr>
        <w:t>评标小组</w:t>
      </w:r>
      <w:r>
        <w:rPr>
          <w:rFonts w:hint="eastAsia" w:ascii="宋体" w:hAnsi="宋体" w:cs="宋体"/>
          <w:bCs/>
          <w:color w:val="000000"/>
          <w:sz w:val="24"/>
        </w:rPr>
        <w:t>将按上述修正错误的方法调整投标文件中的投标报价，调整后的价格应对投标人具有约束力。如果投标人不接受修正后的价格，则其投标将被拒绝。</w:t>
      </w:r>
    </w:p>
    <w:p w14:paraId="54F2FC8E">
      <w:pPr>
        <w:adjustRightInd w:val="0"/>
        <w:snapToGrid w:val="0"/>
        <w:spacing w:line="440" w:lineRule="exact"/>
        <w:ind w:left="420" w:leftChars="200" w:right="420" w:rightChars="200" w:firstLine="480" w:firstLineChars="200"/>
        <w:contextualSpacing/>
        <w:rPr>
          <w:rFonts w:ascii="宋体" w:hAnsi="宋体" w:cs="宋体"/>
          <w:color w:val="000000"/>
          <w:kern w:val="0"/>
          <w:sz w:val="24"/>
        </w:rPr>
      </w:pPr>
      <w:r>
        <w:rPr>
          <w:rFonts w:hint="eastAsia" w:ascii="宋体" w:hAnsi="宋体"/>
          <w:sz w:val="24"/>
        </w:rPr>
        <w:t>1</w:t>
      </w:r>
      <w:r>
        <w:rPr>
          <w:rFonts w:ascii="宋体" w:hAnsi="宋体"/>
          <w:sz w:val="24"/>
        </w:rPr>
        <w:t>3.8</w:t>
      </w:r>
      <w:r>
        <w:rPr>
          <w:rFonts w:hint="eastAsia" w:ascii="宋体" w:hAnsi="宋体"/>
          <w:sz w:val="24"/>
        </w:rPr>
        <w:t>严格按照扬州大学采购管理暂行办法，组成项目评标小组。严格按招标文件，公平、公正、科学、严谨地对投标文件进行综合评定。</w:t>
      </w:r>
    </w:p>
    <w:p w14:paraId="0ADBA0DD">
      <w:pPr>
        <w:adjustRightInd w:val="0"/>
        <w:snapToGrid w:val="0"/>
        <w:spacing w:line="440" w:lineRule="exact"/>
        <w:ind w:left="420" w:leftChars="200" w:right="420" w:rightChars="200" w:firstLine="480" w:firstLineChars="200"/>
        <w:contextualSpacing/>
        <w:rPr>
          <w:rFonts w:ascii="宋体" w:hAnsi="宋体" w:cs="Arial"/>
          <w:sz w:val="24"/>
        </w:rPr>
      </w:pPr>
      <w:r>
        <w:rPr>
          <w:rFonts w:ascii="宋体" w:hAnsi="宋体" w:cs="Arial"/>
          <w:sz w:val="24"/>
        </w:rPr>
        <w:t>13</w:t>
      </w:r>
      <w:r>
        <w:rPr>
          <w:rFonts w:hint="eastAsia" w:ascii="宋体" w:hAnsi="宋体" w:cs="Arial"/>
          <w:sz w:val="24"/>
        </w:rPr>
        <w:t>.</w:t>
      </w:r>
      <w:r>
        <w:rPr>
          <w:rFonts w:ascii="宋体" w:hAnsi="宋体" w:cs="Arial"/>
          <w:sz w:val="24"/>
        </w:rPr>
        <w:t>9</w:t>
      </w:r>
    </w:p>
    <w:p w14:paraId="65CA12EB">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1</w:t>
      </w:r>
      <w:r>
        <w:rPr>
          <w:rFonts w:ascii="宋体" w:hAnsi="宋体" w:cs="Arial"/>
          <w:sz w:val="24"/>
        </w:rPr>
        <w:t>3.9.1</w:t>
      </w:r>
      <w:r>
        <w:rPr>
          <w:rFonts w:hint="eastAsia" w:ascii="宋体" w:hAnsi="宋体" w:cs="Arial"/>
          <w:sz w:val="24"/>
        </w:rPr>
        <w:t>评标工作由采购人负责组织，具体评标事务由依法组建的评标小组负责，并独立履行职责。</w:t>
      </w:r>
    </w:p>
    <w:p w14:paraId="0E07EA11">
      <w:pPr>
        <w:adjustRightInd w:val="0"/>
        <w:snapToGrid w:val="0"/>
        <w:spacing w:line="440" w:lineRule="exact"/>
        <w:ind w:left="420" w:leftChars="200" w:right="420" w:rightChars="200" w:firstLine="480" w:firstLineChars="200"/>
        <w:contextualSpacing/>
        <w:rPr>
          <w:rFonts w:ascii="宋体" w:hAnsi="宋体" w:cs="Arial"/>
          <w:sz w:val="24"/>
        </w:rPr>
      </w:pPr>
      <w:r>
        <w:rPr>
          <w:rFonts w:ascii="宋体" w:hAnsi="宋体" w:cs="Arial"/>
          <w:sz w:val="24"/>
        </w:rPr>
        <w:t>13.9</w:t>
      </w:r>
      <w:r>
        <w:rPr>
          <w:rFonts w:hint="eastAsia" w:ascii="宋体" w:hAnsi="宋体" w:cs="Arial"/>
          <w:sz w:val="24"/>
        </w:rPr>
        <w:t>.2评标小组独立开展评审工作。</w:t>
      </w:r>
    </w:p>
    <w:p w14:paraId="29E1E7C2">
      <w:pPr>
        <w:adjustRightInd w:val="0"/>
        <w:snapToGrid w:val="0"/>
        <w:spacing w:line="440" w:lineRule="exact"/>
        <w:ind w:left="420" w:leftChars="200" w:right="420" w:rightChars="200" w:firstLine="480" w:firstLineChars="200"/>
        <w:contextualSpacing/>
        <w:rPr>
          <w:rFonts w:ascii="宋体" w:hAnsi="宋体" w:cs="宋体"/>
          <w:b/>
          <w:color w:val="000000"/>
          <w:kern w:val="0"/>
          <w:sz w:val="24"/>
        </w:rPr>
      </w:pPr>
      <w:r>
        <w:rPr>
          <w:rFonts w:ascii="宋体" w:hAnsi="宋体" w:cs="Arial"/>
          <w:kern w:val="0"/>
          <w:sz w:val="24"/>
        </w:rPr>
        <w:t>13.9.3</w:t>
      </w:r>
      <w:r>
        <w:rPr>
          <w:rFonts w:hint="eastAsia" w:ascii="宋体" w:hAnsi="宋体" w:cs="宋体"/>
          <w:kern w:val="0"/>
          <w:sz w:val="24"/>
        </w:rPr>
        <w:t>本项目</w:t>
      </w:r>
      <w:r>
        <w:rPr>
          <w:rFonts w:hint="eastAsia" w:ascii="宋体" w:hAnsi="宋体" w:cs="Arial"/>
          <w:kern w:val="0"/>
          <w:sz w:val="24"/>
        </w:rPr>
        <w:t>评标采用综合评分法。</w:t>
      </w:r>
      <w:r>
        <w:rPr>
          <w:rFonts w:hint="eastAsia" w:ascii="宋体" w:hAnsi="宋体" w:cs="宋体"/>
          <w:kern w:val="0"/>
          <w:sz w:val="24"/>
        </w:rPr>
        <w:t>评委小组将对确定为实质性响应招标文件要求的投标文件进行评价和比较。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47ED3AD">
      <w:pPr>
        <w:adjustRightInd w:val="0"/>
        <w:snapToGrid w:val="0"/>
        <w:spacing w:line="440" w:lineRule="exact"/>
        <w:ind w:left="420" w:leftChars="200" w:right="420" w:rightChars="200" w:firstLine="480" w:firstLineChars="200"/>
        <w:contextualSpacing/>
        <w:rPr>
          <w:rFonts w:ascii="宋体" w:hAnsi="宋体" w:cs="宋体"/>
          <w:kern w:val="0"/>
          <w:sz w:val="24"/>
        </w:rPr>
      </w:pPr>
      <w:r>
        <w:rPr>
          <w:rFonts w:ascii="宋体" w:hAnsi="宋体" w:cs="宋体"/>
          <w:kern w:val="0"/>
          <w:sz w:val="24"/>
        </w:rPr>
        <w:t>13.9.4</w:t>
      </w:r>
      <w:r>
        <w:rPr>
          <w:rFonts w:hint="eastAsia" w:ascii="宋体" w:hAnsi="宋体" w:cs="宋体"/>
          <w:kern w:val="0"/>
          <w:sz w:val="24"/>
        </w:rPr>
        <w:t>评标考虑的主要因素及其分值：</w:t>
      </w:r>
    </w:p>
    <w:bookmarkEnd w:id="5"/>
    <w:tbl>
      <w:tblPr>
        <w:tblStyle w:val="21"/>
        <w:tblW w:w="9816" w:type="dxa"/>
        <w:jc w:val="center"/>
        <w:tblLayout w:type="fixed"/>
        <w:tblCellMar>
          <w:top w:w="0" w:type="dxa"/>
          <w:left w:w="0" w:type="dxa"/>
          <w:bottom w:w="0" w:type="dxa"/>
          <w:right w:w="0" w:type="dxa"/>
        </w:tblCellMar>
      </w:tblPr>
      <w:tblGrid>
        <w:gridCol w:w="1586"/>
        <w:gridCol w:w="8230"/>
      </w:tblGrid>
      <w:tr w14:paraId="1DB891A2">
        <w:tblPrEx>
          <w:tblCellMar>
            <w:top w:w="0" w:type="dxa"/>
            <w:left w:w="0" w:type="dxa"/>
            <w:bottom w:w="0" w:type="dxa"/>
            <w:right w:w="0" w:type="dxa"/>
          </w:tblCellMar>
        </w:tblPrEx>
        <w:trPr>
          <w:trHeight w:val="420" w:hRule="atLeast"/>
          <w:jc w:val="center"/>
        </w:trPr>
        <w:tc>
          <w:tcPr>
            <w:tcW w:w="158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62FC2B7">
            <w:pPr>
              <w:tabs>
                <w:tab w:val="left" w:pos="900"/>
              </w:tabs>
              <w:adjustRightInd w:val="0"/>
              <w:spacing w:line="400" w:lineRule="exact"/>
              <w:jc w:val="center"/>
              <w:rPr>
                <w:rFonts w:ascii="宋体" w:hAnsi="宋体" w:cs="宋体"/>
                <w:b/>
                <w:szCs w:val="21"/>
              </w:rPr>
            </w:pPr>
            <w:r>
              <w:rPr>
                <w:rFonts w:hint="eastAsia" w:ascii="宋体" w:hAnsi="宋体" w:cs="宋体"/>
                <w:b/>
                <w:szCs w:val="21"/>
              </w:rPr>
              <w:t>评分项目</w:t>
            </w:r>
          </w:p>
        </w:tc>
        <w:tc>
          <w:tcPr>
            <w:tcW w:w="823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8A0174F">
            <w:pPr>
              <w:tabs>
                <w:tab w:val="left" w:pos="900"/>
              </w:tabs>
              <w:adjustRightInd w:val="0"/>
              <w:spacing w:line="400" w:lineRule="exact"/>
              <w:jc w:val="center"/>
              <w:rPr>
                <w:rFonts w:ascii="宋体" w:hAnsi="宋体" w:cs="宋体"/>
                <w:b/>
                <w:szCs w:val="21"/>
              </w:rPr>
            </w:pPr>
            <w:r>
              <w:rPr>
                <w:rFonts w:hint="eastAsia" w:ascii="宋体" w:hAnsi="宋体" w:cs="宋体"/>
                <w:b/>
                <w:szCs w:val="21"/>
              </w:rPr>
              <w:t>评审标准</w:t>
            </w:r>
          </w:p>
        </w:tc>
      </w:tr>
      <w:tr w14:paraId="2C9BC057">
        <w:tblPrEx>
          <w:tblCellMar>
            <w:top w:w="0" w:type="dxa"/>
            <w:left w:w="0" w:type="dxa"/>
            <w:bottom w:w="0" w:type="dxa"/>
            <w:right w:w="0" w:type="dxa"/>
          </w:tblCellMar>
        </w:tblPrEx>
        <w:trPr>
          <w:trHeight w:val="1189" w:hRule="atLeast"/>
          <w:jc w:val="center"/>
        </w:trPr>
        <w:tc>
          <w:tcPr>
            <w:tcW w:w="158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5EF7B9">
            <w:pPr>
              <w:tabs>
                <w:tab w:val="left" w:pos="900"/>
              </w:tabs>
              <w:spacing w:line="360" w:lineRule="auto"/>
              <w:jc w:val="center"/>
              <w:rPr>
                <w:rFonts w:ascii="宋体" w:hAnsi="宋体" w:cs="宋体"/>
                <w:szCs w:val="21"/>
              </w:rPr>
            </w:pPr>
            <w:r>
              <w:rPr>
                <w:rFonts w:hint="eastAsia" w:ascii="宋体" w:hAnsi="宋体" w:cs="宋体"/>
                <w:szCs w:val="21"/>
              </w:rPr>
              <w:t>价格</w:t>
            </w:r>
          </w:p>
          <w:p w14:paraId="26B9FF73">
            <w:pPr>
              <w:tabs>
                <w:tab w:val="left" w:pos="900"/>
              </w:tabs>
              <w:spacing w:line="360" w:lineRule="auto"/>
              <w:jc w:val="center"/>
              <w:rPr>
                <w:rFonts w:ascii="宋体" w:hAnsi="宋体" w:cs="宋体"/>
                <w:szCs w:val="21"/>
              </w:rPr>
            </w:pPr>
            <w:r>
              <w:rPr>
                <w:rFonts w:hint="eastAsia" w:ascii="宋体" w:hAnsi="宋体" w:cs="宋体"/>
                <w:szCs w:val="21"/>
              </w:rPr>
              <w:t>(</w:t>
            </w:r>
            <w:r>
              <w:rPr>
                <w:rFonts w:ascii="宋体" w:hAnsi="宋体" w:cs="宋体"/>
                <w:szCs w:val="21"/>
              </w:rPr>
              <w:t>30</w:t>
            </w:r>
            <w:r>
              <w:rPr>
                <w:rFonts w:hint="eastAsia" w:ascii="宋体" w:hAnsi="宋体" w:cs="宋体"/>
                <w:szCs w:val="21"/>
              </w:rPr>
              <w:t>分）</w:t>
            </w:r>
          </w:p>
        </w:tc>
        <w:tc>
          <w:tcPr>
            <w:tcW w:w="823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41353A">
            <w:pPr>
              <w:tabs>
                <w:tab w:val="left" w:pos="900"/>
              </w:tabs>
              <w:adjustRightInd w:val="0"/>
              <w:snapToGrid w:val="0"/>
              <w:spacing w:line="440" w:lineRule="exact"/>
              <w:ind w:firstLine="420" w:firstLineChars="200"/>
              <w:contextualSpacing/>
              <w:jc w:val="left"/>
              <w:rPr>
                <w:rFonts w:ascii="宋体" w:hAnsi="宋体" w:cs="宋体"/>
                <w:szCs w:val="21"/>
              </w:rPr>
            </w:pPr>
            <w:r>
              <w:rPr>
                <w:rFonts w:hint="eastAsia" w:ascii="宋体" w:hAnsi="宋体" w:cs="宋体"/>
                <w:szCs w:val="21"/>
              </w:rPr>
              <w:t>价格评审采用低价优先法计算，即满足采购文件要求且价格最低的最终报价为基准价，其价格分为满分</w:t>
            </w:r>
            <w:r>
              <w:rPr>
                <w:rFonts w:ascii="宋体" w:hAnsi="宋体" w:cs="宋体"/>
                <w:szCs w:val="21"/>
              </w:rPr>
              <w:t>3</w:t>
            </w:r>
            <w:r>
              <w:rPr>
                <w:rFonts w:hint="eastAsia" w:ascii="宋体" w:hAnsi="宋体" w:cs="宋体"/>
                <w:szCs w:val="21"/>
              </w:rPr>
              <w:t>0分。其他供应商的价格分按照下列公式计算＝（基准价/最终报价）×</w:t>
            </w:r>
            <w:r>
              <w:rPr>
                <w:rFonts w:ascii="宋体" w:hAnsi="宋体" w:cs="宋体"/>
                <w:szCs w:val="21"/>
              </w:rPr>
              <w:t>3</w:t>
            </w:r>
            <w:r>
              <w:rPr>
                <w:rFonts w:hint="eastAsia" w:ascii="宋体" w:hAnsi="宋体" w:cs="宋体"/>
                <w:szCs w:val="21"/>
              </w:rPr>
              <w:t>0×100％，保留壹位小数。</w:t>
            </w:r>
          </w:p>
        </w:tc>
      </w:tr>
      <w:tr w14:paraId="0E48A670">
        <w:tblPrEx>
          <w:tblCellMar>
            <w:top w:w="0" w:type="dxa"/>
            <w:left w:w="0" w:type="dxa"/>
            <w:bottom w:w="0" w:type="dxa"/>
            <w:right w:w="0" w:type="dxa"/>
          </w:tblCellMar>
        </w:tblPrEx>
        <w:trPr>
          <w:trHeight w:val="1481" w:hRule="atLeast"/>
          <w:jc w:val="center"/>
        </w:trPr>
        <w:tc>
          <w:tcPr>
            <w:tcW w:w="158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3891AB5">
            <w:pPr>
              <w:tabs>
                <w:tab w:val="left" w:pos="900"/>
              </w:tabs>
              <w:spacing w:line="360" w:lineRule="auto"/>
              <w:jc w:val="center"/>
              <w:rPr>
                <w:rFonts w:ascii="宋体" w:hAnsi="宋体" w:cs="宋体"/>
                <w:szCs w:val="21"/>
              </w:rPr>
            </w:pPr>
            <w:r>
              <w:rPr>
                <w:rFonts w:hint="eastAsia" w:ascii="宋体" w:hAnsi="宋体" w:cs="宋体"/>
                <w:szCs w:val="21"/>
              </w:rPr>
              <w:t>深化设计方案</w:t>
            </w:r>
          </w:p>
          <w:p w14:paraId="358DEC47">
            <w:pPr>
              <w:tabs>
                <w:tab w:val="left" w:pos="900"/>
              </w:tabs>
              <w:spacing w:line="360" w:lineRule="auto"/>
              <w:jc w:val="center"/>
              <w:rPr>
                <w:rFonts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0分）</w:t>
            </w:r>
          </w:p>
        </w:tc>
        <w:tc>
          <w:tcPr>
            <w:tcW w:w="823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B0D9FDB">
            <w:pPr>
              <w:tabs>
                <w:tab w:val="left" w:pos="900"/>
              </w:tabs>
              <w:adjustRightInd w:val="0"/>
              <w:snapToGrid w:val="0"/>
              <w:spacing w:line="400" w:lineRule="exact"/>
              <w:ind w:firstLine="420" w:firstLineChars="200"/>
              <w:contextualSpacing/>
              <w:jc w:val="left"/>
              <w:rPr>
                <w:rFonts w:ascii="宋体" w:hAnsi="宋体" w:cs="宋体"/>
                <w:szCs w:val="21"/>
              </w:rPr>
            </w:pPr>
            <w:r>
              <w:rPr>
                <w:rFonts w:hint="eastAsia" w:ascii="宋体" w:hAnsi="宋体" w:cs="宋体"/>
                <w:szCs w:val="21"/>
              </w:rPr>
              <w:t>深化设计方案</w:t>
            </w:r>
            <w:r>
              <w:rPr>
                <w:rFonts w:hint="eastAsia" w:ascii="宋体" w:hAnsi="宋体" w:cs="宋体"/>
                <w:b/>
                <w:szCs w:val="21"/>
              </w:rPr>
              <w:t>（满分1</w:t>
            </w:r>
            <w:r>
              <w:rPr>
                <w:rFonts w:ascii="宋体" w:hAnsi="宋体" w:cs="宋体"/>
                <w:b/>
                <w:szCs w:val="21"/>
              </w:rPr>
              <w:t>0</w:t>
            </w:r>
            <w:r>
              <w:rPr>
                <w:rFonts w:hint="eastAsia" w:ascii="宋体" w:hAnsi="宋体" w:cs="宋体"/>
                <w:b/>
                <w:szCs w:val="21"/>
              </w:rPr>
              <w:t>）：</w:t>
            </w:r>
            <w:r>
              <w:rPr>
                <w:rFonts w:hint="eastAsia" w:ascii="宋体" w:hAnsi="宋体" w:cs="宋体"/>
                <w:szCs w:val="21"/>
              </w:rPr>
              <w:t>投标人根据给定空间，出具彩色效果图，从三个角度深化展示产品</w:t>
            </w:r>
            <w:r>
              <w:rPr>
                <w:rFonts w:hint="eastAsia" w:ascii="宋体" w:hAnsi="宋体" w:cs="宋体"/>
                <w:b/>
                <w:szCs w:val="21"/>
              </w:rPr>
              <w:t>（正视图、左视图、俯视图</w:t>
            </w:r>
            <w:r>
              <w:rPr>
                <w:rFonts w:hint="eastAsia" w:ascii="宋体" w:hAnsi="宋体" w:cs="宋体"/>
                <w:szCs w:val="21"/>
              </w:rPr>
              <w:t>），深化设计方案完整、效果好、合理规范、美观实用、安全牢固、与内部装饰风格和颜色相协调，可操作性和专业性强完全符合项目需求得</w:t>
            </w:r>
            <w:r>
              <w:rPr>
                <w:rFonts w:ascii="宋体" w:hAnsi="宋体" w:cs="宋体"/>
                <w:szCs w:val="21"/>
              </w:rPr>
              <w:t>1</w:t>
            </w:r>
            <w:r>
              <w:rPr>
                <w:rFonts w:hint="eastAsia" w:ascii="宋体" w:hAnsi="宋体" w:cs="宋体"/>
                <w:szCs w:val="21"/>
              </w:rPr>
              <w:t>0分；深化设计方案较完整、效果较好、较合理规范、较美观实用、安全较牢固、与内部装饰风格和颜色较协调，可操作性和专业性较强，比较符合项目需求得</w:t>
            </w:r>
            <w:r>
              <w:rPr>
                <w:rFonts w:ascii="宋体" w:hAnsi="宋体" w:cs="宋体"/>
                <w:szCs w:val="21"/>
              </w:rPr>
              <w:t>6</w:t>
            </w:r>
            <w:r>
              <w:rPr>
                <w:rFonts w:hint="eastAsia" w:ascii="宋体" w:hAnsi="宋体" w:cs="宋体"/>
                <w:szCs w:val="21"/>
              </w:rPr>
              <w:t>分；深化设计方案完整性一般、效果一般、基本合理规范、美观实用、安全基本牢固、与内部装饰风格和颜色基本协调，可操作性和专业性强一般得</w:t>
            </w:r>
            <w:r>
              <w:rPr>
                <w:rFonts w:ascii="宋体" w:hAnsi="宋体" w:cs="宋体"/>
                <w:szCs w:val="21"/>
              </w:rPr>
              <w:t>3</w:t>
            </w:r>
            <w:r>
              <w:rPr>
                <w:rFonts w:hint="eastAsia" w:ascii="宋体" w:hAnsi="宋体" w:cs="宋体"/>
                <w:szCs w:val="21"/>
              </w:rPr>
              <w:t>分；深化设计方案完整性较差、效果较差、不合理规范、不美观实用、不安全牢固、与内部装饰风格和颜色不协调，可操作性和专业性强较差得</w:t>
            </w:r>
            <w:r>
              <w:rPr>
                <w:rFonts w:ascii="宋体" w:hAnsi="宋体" w:cs="宋体"/>
                <w:szCs w:val="21"/>
              </w:rPr>
              <w:t>1</w:t>
            </w:r>
            <w:r>
              <w:rPr>
                <w:rFonts w:hint="eastAsia" w:ascii="宋体" w:hAnsi="宋体" w:cs="宋体"/>
                <w:szCs w:val="21"/>
              </w:rPr>
              <w:t>分；不提供深化设计方案不得分；</w:t>
            </w:r>
          </w:p>
        </w:tc>
      </w:tr>
      <w:tr w14:paraId="371DDC90">
        <w:tblPrEx>
          <w:tblCellMar>
            <w:top w:w="0" w:type="dxa"/>
            <w:left w:w="0" w:type="dxa"/>
            <w:bottom w:w="0" w:type="dxa"/>
            <w:right w:w="0" w:type="dxa"/>
          </w:tblCellMar>
        </w:tblPrEx>
        <w:trPr>
          <w:trHeight w:val="1100" w:hRule="atLeast"/>
          <w:jc w:val="center"/>
        </w:trPr>
        <w:tc>
          <w:tcPr>
            <w:tcW w:w="158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7BEB030">
            <w:pPr>
              <w:tabs>
                <w:tab w:val="left" w:pos="900"/>
              </w:tabs>
              <w:spacing w:line="360" w:lineRule="auto"/>
              <w:jc w:val="center"/>
              <w:rPr>
                <w:rFonts w:ascii="宋体" w:hAnsi="宋体" w:cs="宋体"/>
                <w:szCs w:val="21"/>
              </w:rPr>
            </w:pPr>
            <w:r>
              <w:rPr>
                <w:rFonts w:hint="eastAsia" w:ascii="宋体" w:hAnsi="宋体" w:cs="宋体"/>
                <w:szCs w:val="21"/>
              </w:rPr>
              <w:t>工艺方案</w:t>
            </w:r>
          </w:p>
          <w:p w14:paraId="39A2EBB4">
            <w:pPr>
              <w:tabs>
                <w:tab w:val="left" w:pos="900"/>
              </w:tabs>
              <w:spacing w:line="360" w:lineRule="auto"/>
              <w:jc w:val="center"/>
              <w:rPr>
                <w:rFonts w:ascii="宋体" w:hAnsi="宋体" w:cs="宋体"/>
                <w:szCs w:val="21"/>
              </w:rPr>
            </w:pPr>
            <w:r>
              <w:rPr>
                <w:rFonts w:hint="eastAsia" w:ascii="宋体" w:hAnsi="宋体" w:cs="宋体"/>
                <w:szCs w:val="21"/>
              </w:rPr>
              <w:t>（1</w:t>
            </w:r>
            <w:r>
              <w:rPr>
                <w:rFonts w:ascii="宋体" w:hAnsi="宋体" w:cs="宋体"/>
                <w:szCs w:val="21"/>
              </w:rPr>
              <w:t>0</w:t>
            </w:r>
            <w:r>
              <w:rPr>
                <w:rFonts w:hint="eastAsia" w:ascii="宋体" w:hAnsi="宋体" w:cs="宋体"/>
                <w:szCs w:val="21"/>
              </w:rPr>
              <w:t>分）</w:t>
            </w:r>
          </w:p>
        </w:tc>
        <w:tc>
          <w:tcPr>
            <w:tcW w:w="823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1E190F11">
            <w:pPr>
              <w:tabs>
                <w:tab w:val="left" w:pos="900"/>
              </w:tabs>
              <w:adjustRightInd w:val="0"/>
              <w:snapToGrid w:val="0"/>
              <w:spacing w:line="400" w:lineRule="exact"/>
              <w:ind w:firstLine="420" w:firstLineChars="200"/>
              <w:contextualSpacing/>
              <w:jc w:val="left"/>
              <w:rPr>
                <w:rFonts w:ascii="宋体" w:hAnsi="宋体" w:cs="宋体"/>
                <w:b/>
                <w:szCs w:val="21"/>
              </w:rPr>
            </w:pPr>
            <w:r>
              <w:rPr>
                <w:rFonts w:hint="eastAsia" w:ascii="宋体" w:hAnsi="宋体" w:cs="宋体"/>
                <w:szCs w:val="21"/>
              </w:rPr>
              <w:t>工艺方案</w:t>
            </w:r>
            <w:r>
              <w:rPr>
                <w:rFonts w:hint="eastAsia" w:ascii="宋体" w:hAnsi="宋体" w:cs="宋体"/>
                <w:b/>
                <w:szCs w:val="21"/>
              </w:rPr>
              <w:t>（满分1</w:t>
            </w:r>
            <w:r>
              <w:rPr>
                <w:rFonts w:ascii="宋体" w:hAnsi="宋体" w:cs="宋体"/>
                <w:b/>
                <w:szCs w:val="21"/>
              </w:rPr>
              <w:t>0</w:t>
            </w:r>
            <w:r>
              <w:rPr>
                <w:rFonts w:hint="eastAsia" w:ascii="宋体" w:hAnsi="宋体" w:cs="宋体"/>
                <w:b/>
                <w:szCs w:val="21"/>
              </w:rPr>
              <w:t>分）</w:t>
            </w:r>
            <w:r>
              <w:rPr>
                <w:rFonts w:hint="eastAsia" w:ascii="宋体" w:hAnsi="宋体" w:cs="宋体"/>
                <w:szCs w:val="21"/>
              </w:rPr>
              <w:t>：</w:t>
            </w:r>
            <w:r>
              <w:rPr>
                <w:rFonts w:hint="eastAsia" w:ascii="宋体" w:hAnsi="宋体" w:cs="宋体"/>
                <w:b/>
                <w:szCs w:val="21"/>
              </w:rPr>
              <w:t>响应供应商提供所响应产品生产工艺比较，提供产品生产实施方案，包括但不限于产品的三视图、部件结构图、用料明细、技术工艺要求等。</w:t>
            </w:r>
          </w:p>
          <w:p w14:paraId="3CD655A8">
            <w:pPr>
              <w:tabs>
                <w:tab w:val="left" w:pos="900"/>
              </w:tabs>
              <w:adjustRightInd w:val="0"/>
              <w:snapToGrid w:val="0"/>
              <w:spacing w:line="400" w:lineRule="exact"/>
              <w:ind w:firstLine="420" w:firstLineChars="200"/>
              <w:contextualSpacing/>
              <w:jc w:val="left"/>
              <w:rPr>
                <w:rFonts w:ascii="宋体" w:hAnsi="宋体" w:cs="宋体"/>
                <w:szCs w:val="21"/>
              </w:rPr>
            </w:pPr>
            <w:r>
              <w:rPr>
                <w:rFonts w:hint="eastAsia" w:ascii="宋体" w:hAnsi="宋体" w:cs="宋体"/>
                <w:szCs w:val="21"/>
              </w:rPr>
              <w:t>投标人提供的工艺方案材质优良</w:t>
            </w:r>
            <w:r>
              <w:rPr>
                <w:rFonts w:hint="eastAsia" w:ascii="宋体" w:hAnsi="宋体" w:cs="宋体"/>
                <w:b/>
                <w:szCs w:val="21"/>
              </w:rPr>
              <w:t>（说明材质的型号、规格、尺寸）</w:t>
            </w:r>
            <w:r>
              <w:rPr>
                <w:rFonts w:hint="eastAsia" w:ascii="宋体" w:hAnsi="宋体" w:cs="宋体"/>
                <w:szCs w:val="21"/>
              </w:rPr>
              <w:t>、设计结构合理，功能完善、生产工艺水精良考究、合理规范、安全实用，完全满足采购项目需求得1</w:t>
            </w:r>
            <w:r>
              <w:rPr>
                <w:rFonts w:ascii="宋体" w:hAnsi="宋体" w:cs="宋体"/>
                <w:szCs w:val="21"/>
              </w:rPr>
              <w:t>0</w:t>
            </w:r>
            <w:r>
              <w:rPr>
                <w:rFonts w:hint="eastAsia" w:ascii="宋体" w:hAnsi="宋体" w:cs="宋体"/>
                <w:szCs w:val="21"/>
              </w:rPr>
              <w:t>分；投标人提供的工艺方案材质较优良</w:t>
            </w:r>
            <w:r>
              <w:rPr>
                <w:rFonts w:hint="eastAsia" w:ascii="宋体" w:hAnsi="宋体" w:cs="宋体"/>
                <w:b/>
                <w:szCs w:val="21"/>
              </w:rPr>
              <w:t>（说明材质的型号、规格、尺寸）</w:t>
            </w:r>
            <w:r>
              <w:rPr>
                <w:rFonts w:hint="eastAsia" w:ascii="宋体" w:hAnsi="宋体" w:cs="宋体"/>
                <w:szCs w:val="21"/>
              </w:rPr>
              <w:t>、设计结构较合理，功能较完善，生产工艺水精良较考究、较合理规范、安全实用，基本满足采购项目需求得</w:t>
            </w:r>
            <w:r>
              <w:rPr>
                <w:rFonts w:ascii="宋体" w:hAnsi="宋体" w:cs="宋体"/>
                <w:szCs w:val="21"/>
              </w:rPr>
              <w:t>6</w:t>
            </w:r>
            <w:r>
              <w:rPr>
                <w:rFonts w:hint="eastAsia" w:ascii="宋体" w:hAnsi="宋体" w:cs="宋体"/>
                <w:szCs w:val="21"/>
              </w:rPr>
              <w:t>分；投标人提供的工艺方案材质一般</w:t>
            </w:r>
            <w:r>
              <w:rPr>
                <w:rFonts w:hint="eastAsia" w:ascii="宋体" w:hAnsi="宋体" w:cs="宋体"/>
                <w:b/>
                <w:szCs w:val="21"/>
              </w:rPr>
              <w:t>（说明材质的型号、规格、尺寸）</w:t>
            </w:r>
            <w:r>
              <w:rPr>
                <w:rFonts w:hint="eastAsia" w:ascii="宋体" w:hAnsi="宋体" w:cs="宋体"/>
                <w:szCs w:val="21"/>
              </w:rPr>
              <w:t>、设计结构基本合理，功能基本完善，生产工艺水平一般、基本合理规范、安全实用，设计、生产工艺存在与采购项目需求有偏差得</w:t>
            </w:r>
            <w:r>
              <w:rPr>
                <w:rFonts w:ascii="宋体" w:hAnsi="宋体" w:cs="宋体"/>
                <w:szCs w:val="21"/>
              </w:rPr>
              <w:t>3</w:t>
            </w:r>
            <w:r>
              <w:rPr>
                <w:rFonts w:hint="eastAsia" w:ascii="宋体" w:hAnsi="宋体" w:cs="宋体"/>
                <w:szCs w:val="21"/>
              </w:rPr>
              <w:t>分；投标人提供的工艺方案材质差（不说明材质的型号、规格、尺寸）、设计结构不合理，功能不完善、不合理规范、安全实用，不满足采购项目需求得1分；不提供工艺方案不得分；</w:t>
            </w:r>
          </w:p>
          <w:p w14:paraId="4CD48D9B">
            <w:pPr>
              <w:tabs>
                <w:tab w:val="left" w:pos="900"/>
              </w:tabs>
              <w:adjustRightInd w:val="0"/>
              <w:snapToGrid w:val="0"/>
              <w:spacing w:line="400" w:lineRule="exact"/>
              <w:ind w:firstLine="422" w:firstLineChars="200"/>
              <w:contextualSpacing/>
              <w:jc w:val="left"/>
              <w:rPr>
                <w:rFonts w:ascii="宋体" w:hAnsi="宋体" w:cs="宋体"/>
                <w:b/>
                <w:szCs w:val="21"/>
              </w:rPr>
            </w:pPr>
            <w:r>
              <w:rPr>
                <w:rFonts w:hint="eastAsia" w:ascii="宋体" w:hAnsi="宋体" w:cs="宋体"/>
                <w:b/>
                <w:szCs w:val="21"/>
              </w:rPr>
              <w:t>注：本项内容将作为成交后供货的验收标准之一。</w:t>
            </w:r>
          </w:p>
        </w:tc>
      </w:tr>
      <w:tr w14:paraId="6636B5C5">
        <w:tblPrEx>
          <w:tblCellMar>
            <w:top w:w="0" w:type="dxa"/>
            <w:left w:w="0" w:type="dxa"/>
            <w:bottom w:w="0" w:type="dxa"/>
            <w:right w:w="0" w:type="dxa"/>
          </w:tblCellMar>
        </w:tblPrEx>
        <w:trPr>
          <w:trHeight w:val="391" w:hRule="atLeast"/>
          <w:jc w:val="center"/>
        </w:trPr>
        <w:tc>
          <w:tcPr>
            <w:tcW w:w="158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tcPr>
          <w:p w14:paraId="2A7A75A3">
            <w:pPr>
              <w:rPr>
                <w:rFonts w:ascii="宋体" w:hAnsi="宋体" w:cs="宋体"/>
                <w:color w:val="000000"/>
                <w:sz w:val="24"/>
              </w:rPr>
            </w:pPr>
          </w:p>
          <w:p w14:paraId="4544E59A">
            <w:pPr>
              <w:jc w:val="center"/>
              <w:rPr>
                <w:rFonts w:ascii="宋体" w:hAnsi="宋体" w:cs="宋体"/>
                <w:color w:val="000000"/>
                <w:szCs w:val="21"/>
              </w:rPr>
            </w:pPr>
          </w:p>
          <w:p w14:paraId="75192FF1">
            <w:pPr>
              <w:jc w:val="center"/>
              <w:rPr>
                <w:rFonts w:ascii="宋体" w:hAnsi="宋体" w:cs="宋体"/>
                <w:color w:val="000000"/>
                <w:szCs w:val="21"/>
              </w:rPr>
            </w:pPr>
          </w:p>
          <w:p w14:paraId="386F6EF0">
            <w:pPr>
              <w:jc w:val="center"/>
              <w:rPr>
                <w:rFonts w:ascii="宋体" w:hAnsi="宋体" w:cs="宋体"/>
                <w:color w:val="000000"/>
                <w:szCs w:val="21"/>
              </w:rPr>
            </w:pPr>
            <w:r>
              <w:rPr>
                <w:rFonts w:hint="eastAsia" w:ascii="宋体" w:hAnsi="宋体" w:cs="宋体"/>
                <w:color w:val="000000"/>
                <w:szCs w:val="21"/>
              </w:rPr>
              <w:t>成品、原材料</w:t>
            </w:r>
          </w:p>
          <w:p w14:paraId="71DC532A">
            <w:pPr>
              <w:jc w:val="center"/>
              <w:rPr>
                <w:szCs w:val="21"/>
              </w:rPr>
            </w:pPr>
            <w:r>
              <w:rPr>
                <w:rFonts w:hint="eastAsia" w:ascii="宋体" w:hAnsi="宋体" w:cs="宋体"/>
                <w:color w:val="000000"/>
                <w:szCs w:val="21"/>
              </w:rPr>
              <w:t>检验报告           （</w:t>
            </w:r>
            <w:r>
              <w:rPr>
                <w:rFonts w:ascii="宋体" w:hAnsi="宋体" w:cs="宋体"/>
                <w:color w:val="000000"/>
                <w:szCs w:val="21"/>
              </w:rPr>
              <w:t>10</w:t>
            </w:r>
            <w:r>
              <w:rPr>
                <w:rFonts w:hint="eastAsia" w:ascii="宋体" w:hAnsi="宋体" w:cs="宋体"/>
                <w:color w:val="000000"/>
                <w:szCs w:val="21"/>
              </w:rPr>
              <w:t>分）</w:t>
            </w:r>
          </w:p>
        </w:tc>
        <w:tc>
          <w:tcPr>
            <w:tcW w:w="823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tcPr>
          <w:p w14:paraId="0A893AD6">
            <w:pPr>
              <w:adjustRightInd w:val="0"/>
              <w:snapToGrid w:val="0"/>
              <w:spacing w:line="400" w:lineRule="exact"/>
              <w:ind w:firstLine="420" w:firstLineChars="200"/>
              <w:contextualSpacing/>
              <w:jc w:val="left"/>
              <w:rPr>
                <w:rFonts w:ascii="宋体" w:hAnsi="宋体" w:cs="宋体"/>
                <w:b/>
                <w:szCs w:val="21"/>
              </w:rPr>
            </w:pPr>
            <w:r>
              <w:rPr>
                <w:rFonts w:hint="eastAsia" w:ascii="宋体" w:hAnsi="宋体" w:cs="宋体"/>
                <w:szCs w:val="21"/>
              </w:rPr>
              <w:t>1.提供20</w:t>
            </w:r>
            <w:r>
              <w:rPr>
                <w:rFonts w:ascii="宋体" w:hAnsi="宋体" w:cs="宋体"/>
                <w:szCs w:val="21"/>
              </w:rPr>
              <w:t>21</w:t>
            </w:r>
            <w:r>
              <w:rPr>
                <w:rFonts w:hint="eastAsia" w:ascii="宋体" w:hAnsi="宋体" w:cs="宋体"/>
                <w:szCs w:val="21"/>
              </w:rPr>
              <w:t>年</w:t>
            </w:r>
            <w:r>
              <w:rPr>
                <w:rFonts w:ascii="宋体" w:hAnsi="宋体" w:cs="宋体"/>
                <w:szCs w:val="21"/>
              </w:rPr>
              <w:t>1</w:t>
            </w:r>
            <w:r>
              <w:rPr>
                <w:rFonts w:hint="eastAsia" w:ascii="宋体" w:hAnsi="宋体" w:cs="宋体"/>
                <w:szCs w:val="21"/>
              </w:rPr>
              <w:t>月1日以来，国家认可的第三方检测机构出具的成品抽样检验合格报告包括：柜子、封边条、导轨、铰链、拉手，每有一个种类成品检验合格报告得1分，不合格或不提供不得分，最高得</w:t>
            </w:r>
            <w:r>
              <w:rPr>
                <w:rFonts w:ascii="宋体" w:hAnsi="宋体" w:cs="宋体"/>
                <w:szCs w:val="21"/>
              </w:rPr>
              <w:t>5</w:t>
            </w:r>
            <w:r>
              <w:rPr>
                <w:rFonts w:hint="eastAsia" w:ascii="宋体" w:hAnsi="宋体" w:cs="宋体"/>
                <w:szCs w:val="21"/>
              </w:rPr>
              <w:t>分；</w:t>
            </w:r>
            <w:r>
              <w:rPr>
                <w:rFonts w:hint="eastAsia" w:ascii="宋体" w:hAnsi="宋体" w:cs="宋体"/>
                <w:b/>
                <w:szCs w:val="21"/>
              </w:rPr>
              <w:t>（提供有效期内的检测报告复印件加盖投标人公章，原件备查）</w:t>
            </w:r>
          </w:p>
          <w:p w14:paraId="4485998C">
            <w:pPr>
              <w:widowControl/>
              <w:autoSpaceDE w:val="0"/>
              <w:autoSpaceDN w:val="0"/>
              <w:adjustRightInd w:val="0"/>
              <w:snapToGrid w:val="0"/>
              <w:spacing w:line="400" w:lineRule="exact"/>
              <w:ind w:firstLine="420" w:firstLineChars="200"/>
              <w:contextualSpacing/>
              <w:jc w:val="left"/>
              <w:rPr>
                <w:rFonts w:ascii="宋体" w:hAnsi="宋体" w:cs="宋体"/>
                <w:color w:val="000000"/>
                <w:szCs w:val="21"/>
              </w:rPr>
            </w:pPr>
            <w:r>
              <w:rPr>
                <w:rFonts w:hint="eastAsia" w:ascii="宋体" w:hAnsi="宋体" w:cs="宋体"/>
                <w:color w:val="000000"/>
                <w:szCs w:val="21"/>
              </w:rPr>
              <w:t>2.提供20</w:t>
            </w:r>
            <w:r>
              <w:rPr>
                <w:rFonts w:ascii="宋体" w:hAnsi="宋体" w:cs="宋体"/>
                <w:color w:val="000000"/>
                <w:szCs w:val="21"/>
              </w:rPr>
              <w:t>21</w:t>
            </w:r>
            <w:r>
              <w:rPr>
                <w:rFonts w:hint="eastAsia" w:ascii="宋体" w:hAnsi="宋体" w:cs="宋体"/>
                <w:color w:val="000000"/>
                <w:szCs w:val="21"/>
              </w:rPr>
              <w:t>年1月1日以来，国家认可的第三方检测机构出具的在本项目使用的板材检测报告须通过 GB 18580-2017 《室内装饰装修材料人造板及其制品中甲醛释放限量》，甲醛释放量≤0.124mg/m³得5分，不合格或不提供不得分，最高得5分；</w:t>
            </w:r>
            <w:r>
              <w:rPr>
                <w:rFonts w:hint="eastAsia" w:ascii="宋体" w:hAnsi="宋体" w:cs="宋体"/>
                <w:b/>
                <w:color w:val="000000"/>
                <w:szCs w:val="21"/>
              </w:rPr>
              <w:t>（提供有效期内的检测报告复印件加盖投标人公章，原件备查）</w:t>
            </w:r>
          </w:p>
        </w:tc>
      </w:tr>
      <w:tr w14:paraId="55F17C67">
        <w:tblPrEx>
          <w:tblCellMar>
            <w:top w:w="0" w:type="dxa"/>
            <w:left w:w="0" w:type="dxa"/>
            <w:bottom w:w="0" w:type="dxa"/>
            <w:right w:w="0" w:type="dxa"/>
          </w:tblCellMar>
        </w:tblPrEx>
        <w:trPr>
          <w:trHeight w:val="1973" w:hRule="atLeast"/>
          <w:jc w:val="center"/>
        </w:trPr>
        <w:tc>
          <w:tcPr>
            <w:tcW w:w="1586"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56208147">
            <w:pPr>
              <w:tabs>
                <w:tab w:val="left" w:pos="900"/>
              </w:tabs>
              <w:adjustRightInd w:val="0"/>
              <w:snapToGrid w:val="0"/>
              <w:spacing w:line="320" w:lineRule="exact"/>
              <w:ind w:left="420" w:hanging="420" w:hangingChars="200"/>
              <w:contextualSpacing/>
              <w:jc w:val="center"/>
              <w:rPr>
                <w:rFonts w:ascii="宋体" w:hAnsi="宋体" w:cs="宋体"/>
                <w:szCs w:val="21"/>
              </w:rPr>
            </w:pPr>
            <w:r>
              <w:rPr>
                <w:rFonts w:hint="eastAsia" w:ascii="宋体" w:hAnsi="宋体" w:cs="宋体"/>
                <w:szCs w:val="21"/>
              </w:rPr>
              <w:t>售后服务</w:t>
            </w:r>
          </w:p>
          <w:p w14:paraId="10082980">
            <w:pPr>
              <w:tabs>
                <w:tab w:val="left" w:pos="900"/>
              </w:tabs>
              <w:adjustRightInd w:val="0"/>
              <w:snapToGrid w:val="0"/>
              <w:spacing w:line="320" w:lineRule="exact"/>
              <w:ind w:left="420" w:hanging="420" w:hangingChars="200"/>
              <w:contextualSpacing/>
              <w:jc w:val="center"/>
              <w:rPr>
                <w:rFonts w:ascii="宋体" w:hAnsi="宋体" w:cs="宋体"/>
                <w:szCs w:val="21"/>
              </w:rPr>
            </w:pPr>
            <w:r>
              <w:rPr>
                <w:rFonts w:hint="eastAsia" w:ascii="宋体" w:hAnsi="宋体" w:cs="宋体"/>
                <w:szCs w:val="21"/>
              </w:rPr>
              <w:t>措施及承诺</w:t>
            </w:r>
          </w:p>
          <w:p w14:paraId="090A9EF0">
            <w:pPr>
              <w:tabs>
                <w:tab w:val="left" w:pos="900"/>
              </w:tabs>
              <w:adjustRightInd w:val="0"/>
              <w:snapToGrid w:val="0"/>
              <w:spacing w:line="320" w:lineRule="exact"/>
              <w:ind w:left="420" w:hanging="420" w:hangingChars="200"/>
              <w:contextualSpacing/>
              <w:jc w:val="center"/>
              <w:rPr>
                <w:rFonts w:ascii="宋体" w:hAnsi="宋体" w:cs="宋体"/>
                <w:szCs w:val="21"/>
              </w:rPr>
            </w:pPr>
            <w:r>
              <w:rPr>
                <w:rFonts w:hint="eastAsia" w:ascii="宋体" w:hAnsi="宋体" w:cs="宋体"/>
                <w:szCs w:val="21"/>
              </w:rPr>
              <w:t>（1</w:t>
            </w:r>
            <w:r>
              <w:rPr>
                <w:rFonts w:ascii="宋体" w:hAnsi="宋体" w:cs="宋体"/>
                <w:szCs w:val="21"/>
              </w:rPr>
              <w:t>0</w:t>
            </w:r>
            <w:r>
              <w:rPr>
                <w:rFonts w:hint="eastAsia" w:ascii="宋体" w:hAnsi="宋体" w:cs="宋体"/>
                <w:szCs w:val="21"/>
              </w:rPr>
              <w:t>分）</w:t>
            </w:r>
          </w:p>
        </w:tc>
        <w:tc>
          <w:tcPr>
            <w:tcW w:w="82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05211802">
            <w:pPr>
              <w:adjustRightInd w:val="0"/>
              <w:snapToGrid w:val="0"/>
              <w:spacing w:line="400" w:lineRule="exact"/>
              <w:ind w:firstLine="420" w:firstLineChars="200"/>
              <w:contextualSpacing/>
              <w:jc w:val="left"/>
              <w:rPr>
                <w:rFonts w:ascii="宋体" w:hAnsi="宋体" w:cs="宋体"/>
                <w:szCs w:val="21"/>
              </w:rPr>
            </w:pPr>
            <w:r>
              <w:rPr>
                <w:rFonts w:hint="eastAsia" w:ascii="宋体" w:hAnsi="宋体" w:cs="宋体"/>
                <w:szCs w:val="21"/>
              </w:rPr>
              <w:t>1.售后服务方案</w:t>
            </w:r>
            <w:r>
              <w:rPr>
                <w:rFonts w:hint="eastAsia" w:ascii="宋体" w:hAnsi="宋体" w:cs="宋体"/>
                <w:b/>
                <w:szCs w:val="21"/>
              </w:rPr>
              <w:t>（满分</w:t>
            </w:r>
            <w:r>
              <w:rPr>
                <w:rFonts w:ascii="宋体" w:hAnsi="宋体" w:cs="宋体"/>
                <w:b/>
                <w:szCs w:val="21"/>
              </w:rPr>
              <w:t>5</w:t>
            </w:r>
            <w:r>
              <w:rPr>
                <w:rFonts w:hint="eastAsia" w:ascii="宋体" w:hAnsi="宋体" w:cs="宋体"/>
                <w:b/>
                <w:szCs w:val="21"/>
              </w:rPr>
              <w:t>分）</w:t>
            </w:r>
            <w:r>
              <w:rPr>
                <w:rFonts w:hint="eastAsia" w:ascii="宋体" w:hAnsi="宋体" w:cs="宋体"/>
                <w:szCs w:val="21"/>
              </w:rPr>
              <w:t>：有服务保障体系、质量保障措施、困点难点的解决方案、售后服务保障方案、响应时间以及对后续服务方面的优惠承诺等服务方案，有一项服务方案且描述清晰完整、内容详细、合理规范、可操作性强得</w:t>
            </w:r>
            <w:r>
              <w:rPr>
                <w:rFonts w:ascii="宋体" w:hAnsi="宋体" w:cs="宋体"/>
                <w:szCs w:val="21"/>
              </w:rPr>
              <w:t>1</w:t>
            </w:r>
            <w:r>
              <w:rPr>
                <w:rFonts w:hint="eastAsia" w:ascii="宋体" w:hAnsi="宋体" w:cs="宋体"/>
                <w:szCs w:val="21"/>
              </w:rPr>
              <w:t>分，有一项服务方案且描述较清晰完整、内容较详细、、较合理规范、有一定的针对性、可操作性得</w:t>
            </w:r>
            <w:r>
              <w:rPr>
                <w:rFonts w:ascii="宋体" w:hAnsi="宋体" w:cs="宋体"/>
                <w:szCs w:val="21"/>
              </w:rPr>
              <w:t>0.5</w:t>
            </w:r>
            <w:r>
              <w:rPr>
                <w:rFonts w:hint="eastAsia" w:ascii="宋体" w:hAnsi="宋体" w:cs="宋体"/>
                <w:szCs w:val="21"/>
              </w:rPr>
              <w:t>分；有一项服务方案且完整详细性一般或差、合理性和规范性一般或差、针对性和可操作性不强不得分；</w:t>
            </w:r>
          </w:p>
          <w:p w14:paraId="5BFDE7AB">
            <w:pPr>
              <w:tabs>
                <w:tab w:val="left" w:pos="900"/>
              </w:tabs>
              <w:adjustRightInd w:val="0"/>
              <w:snapToGrid w:val="0"/>
              <w:spacing w:line="400" w:lineRule="exact"/>
              <w:ind w:firstLine="420" w:firstLineChars="200"/>
              <w:contextualSpacing/>
              <w:jc w:val="left"/>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售后维修响应时间及完成维修时间承诺</w:t>
            </w:r>
            <w:r>
              <w:rPr>
                <w:rFonts w:hint="eastAsia" w:ascii="宋体" w:hAnsi="宋体" w:cs="宋体"/>
                <w:b/>
                <w:szCs w:val="21"/>
              </w:rPr>
              <w:t xml:space="preserve">（满分5分）: </w:t>
            </w:r>
            <w:r>
              <w:rPr>
                <w:rFonts w:hint="eastAsia" w:ascii="宋体" w:hAnsi="宋体" w:cs="宋体"/>
                <w:szCs w:val="21"/>
              </w:rPr>
              <w:t>投标人承诺质保期间，接到维修通知后立即响应，30分钟内（含30分钟）到达现场，能解决问题得5分；1小时内（含1小时）到达现场，能解决问题，得3分；1小时30分钟内（含1小时30分钟）到达现场，能解决问题，得1分，2小时内（含2小时）到达现场，能解决问题，得0.5分，超过2小时到达现场，不得分（原件加盖投标人公章）；</w:t>
            </w:r>
            <w:r>
              <w:rPr>
                <w:rFonts w:hint="eastAsia" w:ascii="宋体" w:hAnsi="宋体" w:cs="宋体"/>
                <w:b/>
                <w:szCs w:val="21"/>
              </w:rPr>
              <w:t>（提供加盖投标人公章的售后维修响应时间及完成维修时间承诺函）</w:t>
            </w:r>
          </w:p>
        </w:tc>
      </w:tr>
      <w:tr w14:paraId="1BD789C8">
        <w:tblPrEx>
          <w:tblCellMar>
            <w:top w:w="0" w:type="dxa"/>
            <w:left w:w="0" w:type="dxa"/>
            <w:bottom w:w="0" w:type="dxa"/>
            <w:right w:w="0" w:type="dxa"/>
          </w:tblCellMar>
        </w:tblPrEx>
        <w:trPr>
          <w:trHeight w:val="879" w:hRule="atLeast"/>
          <w:jc w:val="center"/>
        </w:trPr>
        <w:tc>
          <w:tcPr>
            <w:tcW w:w="1586"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073DF99D">
            <w:pPr>
              <w:tabs>
                <w:tab w:val="left" w:pos="900"/>
              </w:tabs>
              <w:adjustRightInd w:val="0"/>
              <w:snapToGrid w:val="0"/>
              <w:spacing w:line="320" w:lineRule="exact"/>
              <w:contextualSpacing/>
              <w:jc w:val="center"/>
              <w:rPr>
                <w:rFonts w:ascii="宋体" w:hAnsi="宋体" w:cs="宋体"/>
                <w:szCs w:val="21"/>
              </w:rPr>
            </w:pPr>
            <w:r>
              <w:rPr>
                <w:rFonts w:hint="eastAsia" w:ascii="宋体" w:hAnsi="宋体" w:cs="宋体"/>
                <w:szCs w:val="21"/>
              </w:rPr>
              <w:t>履约能力</w:t>
            </w:r>
          </w:p>
          <w:p w14:paraId="524B6A6F">
            <w:pPr>
              <w:tabs>
                <w:tab w:val="left" w:pos="900"/>
              </w:tabs>
              <w:adjustRightInd w:val="0"/>
              <w:snapToGrid w:val="0"/>
              <w:spacing w:line="320" w:lineRule="exact"/>
              <w:contextualSpacing/>
              <w:jc w:val="center"/>
              <w:rPr>
                <w:rFonts w:ascii="宋体" w:hAnsi="宋体" w:cs="宋体"/>
                <w:szCs w:val="21"/>
              </w:rPr>
            </w:pPr>
            <w:r>
              <w:rPr>
                <w:rFonts w:hint="eastAsia" w:ascii="宋体" w:hAnsi="宋体" w:cs="宋体"/>
                <w:szCs w:val="21"/>
              </w:rPr>
              <w:t>（</w:t>
            </w:r>
            <w:r>
              <w:rPr>
                <w:rFonts w:ascii="宋体" w:hAnsi="宋体" w:cs="宋体"/>
                <w:szCs w:val="21"/>
              </w:rPr>
              <w:t>5</w:t>
            </w:r>
            <w:r>
              <w:rPr>
                <w:rFonts w:hint="eastAsia" w:ascii="宋体" w:hAnsi="宋体" w:cs="宋体"/>
                <w:szCs w:val="21"/>
              </w:rPr>
              <w:t>分）</w:t>
            </w:r>
          </w:p>
        </w:tc>
        <w:tc>
          <w:tcPr>
            <w:tcW w:w="8230" w:type="dxa"/>
            <w:tcBorders>
              <w:top w:val="single" w:color="000000" w:sz="8" w:space="0"/>
              <w:left w:val="single" w:color="000000" w:sz="8" w:space="0"/>
              <w:bottom w:val="single" w:color="000000" w:sz="8" w:space="0"/>
              <w:right w:val="single" w:color="000000" w:sz="8" w:space="0"/>
            </w:tcBorders>
            <w:shd w:val="clear" w:color="auto" w:fill="FFFFFF"/>
            <w:tcMar>
              <w:top w:w="15" w:type="dxa"/>
              <w:left w:w="15" w:type="dxa"/>
              <w:right w:w="15" w:type="dxa"/>
            </w:tcMar>
            <w:vAlign w:val="center"/>
          </w:tcPr>
          <w:p w14:paraId="17AFE07E">
            <w:pPr>
              <w:tabs>
                <w:tab w:val="left" w:pos="900"/>
              </w:tabs>
              <w:adjustRightInd w:val="0"/>
              <w:snapToGrid w:val="0"/>
              <w:spacing w:line="400" w:lineRule="exact"/>
              <w:ind w:firstLine="420" w:firstLineChars="200"/>
              <w:contextualSpacing/>
              <w:jc w:val="left"/>
              <w:rPr>
                <w:rFonts w:ascii="宋体" w:hAnsi="宋体" w:cs="宋体"/>
                <w:b/>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供货期</w:t>
            </w:r>
            <w:r>
              <w:rPr>
                <w:rFonts w:hint="eastAsia" w:ascii="宋体" w:hAnsi="宋体" w:cs="宋体"/>
                <w:b/>
                <w:szCs w:val="21"/>
              </w:rPr>
              <w:t>（满分</w:t>
            </w:r>
            <w:r>
              <w:rPr>
                <w:rFonts w:ascii="宋体" w:hAnsi="宋体" w:cs="宋体"/>
                <w:b/>
                <w:szCs w:val="21"/>
              </w:rPr>
              <w:t>3</w:t>
            </w:r>
            <w:r>
              <w:rPr>
                <w:rFonts w:hint="eastAsia" w:ascii="宋体" w:hAnsi="宋体" w:cs="宋体"/>
                <w:b/>
                <w:szCs w:val="21"/>
              </w:rPr>
              <w:t>分）：</w:t>
            </w:r>
            <w:r>
              <w:rPr>
                <w:rFonts w:hint="eastAsia" w:ascii="宋体" w:hAnsi="宋体" w:cs="宋体"/>
                <w:szCs w:val="21"/>
              </w:rPr>
              <w:t>满足招标文件供货期30个日历天的基础上，供货承诺每提前一天得0.5分，最高得</w:t>
            </w:r>
            <w:r>
              <w:rPr>
                <w:rFonts w:ascii="宋体" w:hAnsi="宋体" w:cs="宋体"/>
                <w:szCs w:val="21"/>
              </w:rPr>
              <w:t>3</w:t>
            </w:r>
            <w:r>
              <w:rPr>
                <w:rFonts w:hint="eastAsia" w:ascii="宋体" w:hAnsi="宋体" w:cs="宋体"/>
                <w:szCs w:val="21"/>
              </w:rPr>
              <w:t>分；</w:t>
            </w:r>
            <w:r>
              <w:rPr>
                <w:rFonts w:hint="eastAsia" w:ascii="宋体" w:hAnsi="宋体" w:cs="宋体"/>
                <w:b/>
                <w:szCs w:val="21"/>
              </w:rPr>
              <w:t>（提供加盖投标人公章的一次性供货周期承诺函）</w:t>
            </w:r>
          </w:p>
          <w:p w14:paraId="1AA6A51F">
            <w:pPr>
              <w:tabs>
                <w:tab w:val="left" w:pos="900"/>
              </w:tabs>
              <w:adjustRightInd w:val="0"/>
              <w:snapToGrid w:val="0"/>
              <w:spacing w:line="400" w:lineRule="exact"/>
              <w:ind w:firstLine="420" w:firstLineChars="200"/>
              <w:contextualSpacing/>
              <w:jc w:val="left"/>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质保期</w:t>
            </w:r>
            <w:r>
              <w:rPr>
                <w:rFonts w:hint="eastAsia" w:ascii="宋体" w:hAnsi="宋体" w:cs="宋体"/>
                <w:b/>
                <w:szCs w:val="21"/>
              </w:rPr>
              <w:t>（满分</w:t>
            </w:r>
            <w:r>
              <w:rPr>
                <w:rFonts w:ascii="宋体" w:hAnsi="宋体" w:cs="宋体"/>
                <w:b/>
                <w:szCs w:val="21"/>
              </w:rPr>
              <w:t>2</w:t>
            </w:r>
            <w:r>
              <w:rPr>
                <w:rFonts w:hint="eastAsia" w:ascii="宋体" w:hAnsi="宋体" w:cs="宋体"/>
                <w:b/>
                <w:szCs w:val="21"/>
              </w:rPr>
              <w:t>分）：</w:t>
            </w:r>
            <w:r>
              <w:rPr>
                <w:rFonts w:hint="eastAsia" w:ascii="宋体" w:hAnsi="宋体" w:cs="宋体"/>
                <w:szCs w:val="21"/>
              </w:rPr>
              <w:t>投标人满足招标文件免费质保期</w:t>
            </w:r>
            <w:r>
              <w:rPr>
                <w:rFonts w:ascii="宋体" w:hAnsi="宋体" w:cs="宋体"/>
                <w:szCs w:val="21"/>
              </w:rPr>
              <w:t>2</w:t>
            </w:r>
            <w:r>
              <w:rPr>
                <w:rFonts w:hint="eastAsia" w:ascii="宋体" w:hAnsi="宋体" w:cs="宋体"/>
                <w:szCs w:val="21"/>
              </w:rPr>
              <w:t>年要求基础上，承诺每增加1年得1分，最多得</w:t>
            </w:r>
            <w:r>
              <w:rPr>
                <w:rFonts w:ascii="宋体" w:hAnsi="宋体" w:cs="宋体"/>
                <w:szCs w:val="21"/>
              </w:rPr>
              <w:t>2</w:t>
            </w:r>
            <w:r>
              <w:rPr>
                <w:rFonts w:hint="eastAsia" w:ascii="宋体" w:hAnsi="宋体" w:cs="宋体"/>
                <w:szCs w:val="21"/>
              </w:rPr>
              <w:t>分，没有承诺不得分；</w:t>
            </w:r>
            <w:r>
              <w:rPr>
                <w:rFonts w:hint="eastAsia" w:ascii="宋体" w:hAnsi="宋体" w:cs="宋体"/>
                <w:b/>
                <w:szCs w:val="21"/>
              </w:rPr>
              <w:t>（提供加盖投标人公章的延长质保期承诺函）</w:t>
            </w:r>
          </w:p>
        </w:tc>
      </w:tr>
      <w:tr w14:paraId="06991944">
        <w:tblPrEx>
          <w:tblCellMar>
            <w:top w:w="0" w:type="dxa"/>
            <w:left w:w="0" w:type="dxa"/>
            <w:bottom w:w="0" w:type="dxa"/>
            <w:right w:w="0" w:type="dxa"/>
          </w:tblCellMar>
        </w:tblPrEx>
        <w:trPr>
          <w:trHeight w:val="1104" w:hRule="atLeast"/>
          <w:jc w:val="center"/>
        </w:trPr>
        <w:tc>
          <w:tcPr>
            <w:tcW w:w="158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F773873">
            <w:pPr>
              <w:tabs>
                <w:tab w:val="left" w:pos="900"/>
              </w:tabs>
              <w:spacing w:line="360" w:lineRule="auto"/>
              <w:jc w:val="center"/>
              <w:rPr>
                <w:rFonts w:ascii="宋体" w:hAnsi="宋体" w:cs="宋体"/>
                <w:szCs w:val="21"/>
              </w:rPr>
            </w:pPr>
            <w:r>
              <w:rPr>
                <w:rFonts w:hint="eastAsia" w:ascii="宋体" w:hAnsi="宋体" w:cs="宋体"/>
                <w:szCs w:val="21"/>
              </w:rPr>
              <w:t>企业实力</w:t>
            </w:r>
          </w:p>
          <w:p w14:paraId="183D0914">
            <w:pPr>
              <w:pStyle w:val="7"/>
              <w:spacing w:line="360" w:lineRule="auto"/>
              <w:jc w:val="center"/>
              <w:rPr>
                <w:rFonts w:ascii="宋体" w:hAnsi="宋体" w:eastAsia="宋体" w:cs="宋体"/>
                <w:sz w:val="21"/>
                <w:szCs w:val="21"/>
              </w:rPr>
            </w:pPr>
            <w:r>
              <w:rPr>
                <w:rFonts w:hint="eastAsia" w:ascii="宋体" w:hAnsi="宋体" w:eastAsia="宋体" w:cs="宋体"/>
                <w:sz w:val="21"/>
                <w:szCs w:val="21"/>
              </w:rPr>
              <w:t>（1</w:t>
            </w:r>
            <w:r>
              <w:rPr>
                <w:rFonts w:ascii="宋体" w:hAnsi="宋体" w:eastAsia="宋体" w:cs="宋体"/>
                <w:sz w:val="21"/>
                <w:szCs w:val="21"/>
              </w:rPr>
              <w:t>5</w:t>
            </w:r>
            <w:r>
              <w:rPr>
                <w:rFonts w:hint="eastAsia" w:ascii="宋体" w:hAnsi="宋体" w:eastAsia="宋体" w:cs="宋体"/>
                <w:sz w:val="21"/>
                <w:szCs w:val="21"/>
              </w:rPr>
              <w:t>分）</w:t>
            </w:r>
          </w:p>
        </w:tc>
        <w:tc>
          <w:tcPr>
            <w:tcW w:w="823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3261B2CE">
            <w:pPr>
              <w:tabs>
                <w:tab w:val="left" w:pos="900"/>
              </w:tabs>
              <w:adjustRightInd w:val="0"/>
              <w:snapToGrid w:val="0"/>
              <w:spacing w:line="400" w:lineRule="exact"/>
              <w:ind w:firstLine="420" w:firstLineChars="200"/>
              <w:contextualSpacing/>
              <w:jc w:val="left"/>
              <w:rPr>
                <w:rFonts w:ascii="宋体" w:hAnsi="宋体" w:cs="宋体"/>
                <w:b/>
                <w:szCs w:val="21"/>
              </w:rPr>
            </w:pPr>
            <w:r>
              <w:rPr>
                <w:rFonts w:hint="eastAsia" w:ascii="宋体" w:hAnsi="宋体" w:cs="宋体"/>
                <w:szCs w:val="21"/>
              </w:rPr>
              <w:t>1</w:t>
            </w:r>
            <w:r>
              <w:rPr>
                <w:rFonts w:ascii="宋体" w:hAnsi="宋体" w:cs="宋体"/>
                <w:szCs w:val="21"/>
              </w:rPr>
              <w:t>.</w:t>
            </w:r>
            <w:r>
              <w:rPr>
                <w:rFonts w:hint="eastAsia" w:ascii="宋体" w:hAnsi="宋体" w:cs="宋体"/>
                <w:szCs w:val="21"/>
              </w:rPr>
              <w:t>提供信用证书、ISO环境管理体系认证证书、ISO职业健康安全管理体系认证证书、ISO质量管理体系认证证书，每提供一个得2分，不提供不得分，最高得</w:t>
            </w:r>
            <w:r>
              <w:rPr>
                <w:rFonts w:ascii="宋体" w:hAnsi="宋体" w:cs="宋体"/>
                <w:szCs w:val="21"/>
              </w:rPr>
              <w:t>8</w:t>
            </w:r>
            <w:r>
              <w:rPr>
                <w:rFonts w:hint="eastAsia" w:ascii="宋体" w:hAnsi="宋体" w:cs="宋体"/>
                <w:szCs w:val="21"/>
              </w:rPr>
              <w:t>分；</w:t>
            </w:r>
            <w:r>
              <w:rPr>
                <w:rFonts w:hint="eastAsia" w:ascii="宋体" w:hAnsi="宋体" w:cs="宋体"/>
                <w:b/>
                <w:szCs w:val="21"/>
              </w:rPr>
              <w:t>（须提供证书复印件加盖投标人公章，证书在有效期内，原件备查）</w:t>
            </w:r>
          </w:p>
          <w:p w14:paraId="4CA1BDAA">
            <w:pPr>
              <w:tabs>
                <w:tab w:val="left" w:pos="900"/>
              </w:tabs>
              <w:adjustRightInd w:val="0"/>
              <w:snapToGrid w:val="0"/>
              <w:spacing w:line="400" w:lineRule="exact"/>
              <w:ind w:firstLine="420" w:firstLineChars="200"/>
              <w:contextualSpacing/>
              <w:jc w:val="left"/>
              <w:rPr>
                <w:rFonts w:ascii="宋体" w:hAnsi="宋体" w:cs="宋体"/>
                <w:b/>
                <w:szCs w:val="21"/>
              </w:rPr>
            </w:pPr>
            <w:r>
              <w:rPr>
                <w:rFonts w:ascii="宋体" w:hAnsi="宋体" w:cs="宋体"/>
                <w:szCs w:val="21"/>
              </w:rPr>
              <w:t>2.</w:t>
            </w:r>
            <w:r>
              <w:rPr>
                <w:rFonts w:hint="eastAsia" w:ascii="宋体" w:hAnsi="宋体" w:cs="宋体"/>
                <w:szCs w:val="21"/>
              </w:rPr>
              <w:t>投标单位获得国家权威认证机构颁发的中国环保产品认证证书，（CQC）认证证书，认证范围包含:桌椅、衣柜，水柜、有认证证书得</w:t>
            </w:r>
            <w:r>
              <w:rPr>
                <w:rFonts w:ascii="宋体" w:hAnsi="宋体" w:cs="宋体"/>
                <w:szCs w:val="21"/>
              </w:rPr>
              <w:t>2</w:t>
            </w:r>
            <w:r>
              <w:rPr>
                <w:rFonts w:hint="eastAsia" w:ascii="宋体" w:hAnsi="宋体" w:cs="宋体"/>
                <w:szCs w:val="21"/>
              </w:rPr>
              <w:t>分，不提供或没有不得分；</w:t>
            </w:r>
            <w:r>
              <w:rPr>
                <w:rFonts w:hint="eastAsia" w:ascii="宋体" w:hAnsi="宋体" w:cs="宋体"/>
                <w:b/>
                <w:szCs w:val="21"/>
              </w:rPr>
              <w:t>（须提供证书复印件加盖投标人公章，证书在有效期内，原件备查）</w:t>
            </w:r>
          </w:p>
          <w:p w14:paraId="50DFD32D">
            <w:pPr>
              <w:tabs>
                <w:tab w:val="left" w:pos="900"/>
              </w:tabs>
              <w:adjustRightInd w:val="0"/>
              <w:snapToGrid w:val="0"/>
              <w:spacing w:line="400" w:lineRule="exact"/>
              <w:ind w:firstLine="420" w:firstLineChars="200"/>
              <w:contextualSpacing/>
              <w:jc w:val="left"/>
              <w:rPr>
                <w:rFonts w:ascii="宋体" w:hAnsi="宋体" w:cs="宋体"/>
                <w:b/>
                <w:szCs w:val="21"/>
              </w:rPr>
            </w:pPr>
            <w:r>
              <w:rPr>
                <w:rFonts w:ascii="宋体" w:hAnsi="宋体" w:cs="宋体"/>
                <w:szCs w:val="21"/>
              </w:rPr>
              <w:t>3.</w:t>
            </w:r>
            <w:r>
              <w:rPr>
                <w:rFonts w:hint="eastAsia" w:ascii="宋体" w:hAnsi="宋体" w:cs="宋体"/>
                <w:szCs w:val="21"/>
              </w:rPr>
              <w:t>投标单位获得安全生产标准化认证证书，有认证证书得</w:t>
            </w:r>
            <w:r>
              <w:rPr>
                <w:rFonts w:ascii="宋体" w:hAnsi="宋体" w:cs="宋体"/>
                <w:szCs w:val="21"/>
              </w:rPr>
              <w:t>2</w:t>
            </w:r>
            <w:r>
              <w:rPr>
                <w:rFonts w:hint="eastAsia" w:ascii="宋体" w:hAnsi="宋体" w:cs="宋体"/>
                <w:szCs w:val="21"/>
              </w:rPr>
              <w:t>分，不提供或没有证书不得分；</w:t>
            </w:r>
            <w:r>
              <w:rPr>
                <w:rFonts w:hint="eastAsia" w:ascii="宋体" w:hAnsi="宋体" w:cs="宋体"/>
                <w:b/>
                <w:szCs w:val="21"/>
              </w:rPr>
              <w:t>（须提供证书复印件加盖投标人公章，证书在有效期内，原件备查）</w:t>
            </w:r>
          </w:p>
          <w:p w14:paraId="712863E6">
            <w:pPr>
              <w:tabs>
                <w:tab w:val="left" w:pos="900"/>
              </w:tabs>
              <w:adjustRightInd w:val="0"/>
              <w:snapToGrid w:val="0"/>
              <w:spacing w:line="400" w:lineRule="exact"/>
              <w:ind w:firstLine="420" w:firstLineChars="200"/>
              <w:contextualSpacing/>
              <w:jc w:val="left"/>
              <w:rPr>
                <w:rFonts w:ascii="宋体" w:hAnsi="宋体" w:cs="宋体"/>
                <w:szCs w:val="21"/>
              </w:rPr>
            </w:pPr>
            <w:r>
              <w:rPr>
                <w:rFonts w:ascii="宋体" w:hAnsi="宋体" w:cs="宋体"/>
                <w:szCs w:val="21"/>
              </w:rPr>
              <w:t>4</w:t>
            </w:r>
            <w:r>
              <w:rPr>
                <w:rFonts w:hint="eastAsia" w:ascii="宋体" w:hAnsi="宋体" w:cs="宋体"/>
                <w:szCs w:val="21"/>
              </w:rPr>
              <w:t>.投标人或制造商获得中国环境标志产品认证证书（十环），认证范围包含：人造板类家具、实木类家具、综合类木家具，有认证证书得</w:t>
            </w:r>
            <w:r>
              <w:rPr>
                <w:rFonts w:ascii="宋体" w:hAnsi="宋体" w:cs="宋体"/>
                <w:szCs w:val="21"/>
              </w:rPr>
              <w:t>3</w:t>
            </w:r>
            <w:r>
              <w:rPr>
                <w:rFonts w:hint="eastAsia" w:ascii="宋体" w:hAnsi="宋体" w:cs="宋体"/>
                <w:szCs w:val="21"/>
              </w:rPr>
              <w:t>分，不提供或没有证书不得分；</w:t>
            </w:r>
            <w:r>
              <w:rPr>
                <w:rFonts w:hint="eastAsia" w:ascii="宋体" w:hAnsi="宋体" w:cs="宋体"/>
                <w:b/>
                <w:szCs w:val="21"/>
              </w:rPr>
              <w:t>（须提供证书复印件加盖投标人公章，证书在有效期内，原件备查）</w:t>
            </w:r>
          </w:p>
        </w:tc>
      </w:tr>
      <w:tr w14:paraId="0F14EE0B">
        <w:tblPrEx>
          <w:tblCellMar>
            <w:top w:w="0" w:type="dxa"/>
            <w:left w:w="0" w:type="dxa"/>
            <w:bottom w:w="0" w:type="dxa"/>
            <w:right w:w="0" w:type="dxa"/>
          </w:tblCellMar>
        </w:tblPrEx>
        <w:trPr>
          <w:trHeight w:val="284" w:hRule="atLeast"/>
          <w:jc w:val="center"/>
        </w:trPr>
        <w:tc>
          <w:tcPr>
            <w:tcW w:w="158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76171FE9">
            <w:pPr>
              <w:tabs>
                <w:tab w:val="left" w:pos="900"/>
              </w:tabs>
              <w:spacing w:line="360" w:lineRule="auto"/>
              <w:jc w:val="center"/>
              <w:rPr>
                <w:rFonts w:ascii="宋体" w:hAnsi="宋体" w:cs="宋体"/>
                <w:szCs w:val="21"/>
              </w:rPr>
            </w:pPr>
            <w:r>
              <w:rPr>
                <w:rFonts w:hint="eastAsia" w:ascii="宋体" w:hAnsi="宋体" w:cs="宋体"/>
                <w:szCs w:val="21"/>
              </w:rPr>
              <w:t>业绩</w:t>
            </w:r>
          </w:p>
          <w:p w14:paraId="1019AE48">
            <w:pPr>
              <w:tabs>
                <w:tab w:val="left" w:pos="900"/>
              </w:tabs>
              <w:spacing w:line="360" w:lineRule="auto"/>
              <w:jc w:val="center"/>
              <w:rPr>
                <w:rFonts w:ascii="宋体" w:hAnsi="宋体" w:cs="宋体"/>
                <w:szCs w:val="21"/>
              </w:rPr>
            </w:pPr>
            <w:r>
              <w:rPr>
                <w:rFonts w:hint="eastAsia" w:ascii="宋体" w:hAnsi="宋体" w:cs="宋体"/>
                <w:szCs w:val="21"/>
              </w:rPr>
              <w:t>（</w:t>
            </w:r>
            <w:r>
              <w:rPr>
                <w:rFonts w:ascii="宋体" w:hAnsi="宋体" w:cs="宋体"/>
                <w:szCs w:val="21"/>
              </w:rPr>
              <w:t>10</w:t>
            </w:r>
            <w:r>
              <w:rPr>
                <w:rFonts w:hint="eastAsia" w:ascii="宋体" w:hAnsi="宋体" w:cs="宋体"/>
                <w:szCs w:val="21"/>
              </w:rPr>
              <w:t>分）</w:t>
            </w:r>
          </w:p>
        </w:tc>
        <w:tc>
          <w:tcPr>
            <w:tcW w:w="823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28F7CB18">
            <w:pPr>
              <w:tabs>
                <w:tab w:val="left" w:pos="900"/>
              </w:tabs>
              <w:adjustRightInd w:val="0"/>
              <w:spacing w:line="360" w:lineRule="auto"/>
              <w:ind w:firstLine="420" w:firstLineChars="200"/>
              <w:jc w:val="left"/>
              <w:rPr>
                <w:rFonts w:ascii="宋体" w:hAnsi="宋体" w:cs="宋体"/>
                <w:szCs w:val="21"/>
              </w:rPr>
            </w:pPr>
            <w:r>
              <w:rPr>
                <w:rFonts w:hint="eastAsia" w:ascii="宋体" w:hAnsi="宋体" w:cs="宋体"/>
                <w:szCs w:val="21"/>
              </w:rPr>
              <w:t>提供近三年（2021年7月）以来</w:t>
            </w:r>
            <w:r>
              <w:rPr>
                <w:rFonts w:hint="eastAsia" w:ascii="宋体" w:hAnsi="宋体" w:cs="宋体"/>
                <w:szCs w:val="21"/>
                <w:highlight w:val="cyan"/>
              </w:rPr>
              <w:t>成品柜及</w:t>
            </w:r>
            <w:r>
              <w:rPr>
                <w:rFonts w:hint="eastAsia" w:ascii="宋体" w:hAnsi="宋体" w:cs="宋体"/>
                <w:szCs w:val="21"/>
              </w:rPr>
              <w:t>吧台类似项目单项合同，每有一份得</w:t>
            </w:r>
            <w:r>
              <w:rPr>
                <w:rFonts w:ascii="宋体" w:hAnsi="宋体" w:cs="宋体"/>
                <w:szCs w:val="21"/>
              </w:rPr>
              <w:t>2</w:t>
            </w:r>
            <w:r>
              <w:rPr>
                <w:rFonts w:hint="eastAsia" w:ascii="宋体" w:hAnsi="宋体" w:cs="宋体"/>
                <w:szCs w:val="21"/>
              </w:rPr>
              <w:t>分，最高得1</w:t>
            </w:r>
            <w:r>
              <w:rPr>
                <w:rFonts w:ascii="宋体" w:hAnsi="宋体" w:cs="宋体"/>
                <w:szCs w:val="21"/>
              </w:rPr>
              <w:t>0</w:t>
            </w:r>
            <w:r>
              <w:rPr>
                <w:rFonts w:hint="eastAsia" w:ascii="宋体" w:hAnsi="宋体" w:cs="宋体"/>
                <w:szCs w:val="21"/>
              </w:rPr>
              <w:t>分</w:t>
            </w:r>
            <w:r>
              <w:rPr>
                <w:rFonts w:hint="eastAsia" w:ascii="宋体" w:hAnsi="宋体" w:cs="宋体"/>
                <w:b/>
                <w:szCs w:val="21"/>
              </w:rPr>
              <w:t>（提供合同复印件加盖投标人公章，以合同签订时间为准，原件备查，</w:t>
            </w:r>
            <w:r>
              <w:rPr>
                <w:rFonts w:hint="eastAsia" w:ascii="宋体" w:hAnsi="宋体" w:cs="宋体"/>
                <w:b/>
                <w:bCs/>
                <w:szCs w:val="21"/>
              </w:rPr>
              <w:t>不提供不得分</w:t>
            </w:r>
            <w:r>
              <w:rPr>
                <w:rFonts w:hint="eastAsia" w:ascii="宋体" w:hAnsi="宋体" w:cs="宋体"/>
                <w:b/>
                <w:szCs w:val="21"/>
              </w:rPr>
              <w:t>）</w:t>
            </w:r>
            <w:r>
              <w:rPr>
                <w:rFonts w:hint="eastAsia" w:ascii="宋体" w:hAnsi="宋体" w:cs="宋体"/>
                <w:szCs w:val="21"/>
              </w:rPr>
              <w:t>。</w:t>
            </w:r>
          </w:p>
        </w:tc>
      </w:tr>
      <w:tr w14:paraId="3910BE2C">
        <w:tblPrEx>
          <w:tblCellMar>
            <w:top w:w="0" w:type="dxa"/>
            <w:left w:w="0" w:type="dxa"/>
            <w:bottom w:w="0" w:type="dxa"/>
            <w:right w:w="0" w:type="dxa"/>
          </w:tblCellMar>
        </w:tblPrEx>
        <w:trPr>
          <w:trHeight w:val="788" w:hRule="atLeast"/>
          <w:jc w:val="center"/>
        </w:trPr>
        <w:tc>
          <w:tcPr>
            <w:tcW w:w="1586"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D1D718E">
            <w:pPr>
              <w:tabs>
                <w:tab w:val="left" w:pos="900"/>
              </w:tabs>
              <w:spacing w:line="360" w:lineRule="auto"/>
              <w:jc w:val="center"/>
              <w:rPr>
                <w:rFonts w:ascii="宋体" w:hAnsi="宋体" w:cs="宋体"/>
                <w:szCs w:val="21"/>
              </w:rPr>
            </w:pPr>
            <w:r>
              <w:rPr>
                <w:rFonts w:hint="eastAsia" w:ascii="宋体" w:hAnsi="宋体" w:cs="宋体"/>
                <w:szCs w:val="21"/>
              </w:rPr>
              <w:t>合计</w:t>
            </w:r>
          </w:p>
        </w:tc>
        <w:tc>
          <w:tcPr>
            <w:tcW w:w="8230"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418A6BF8">
            <w:pPr>
              <w:tabs>
                <w:tab w:val="left" w:pos="900"/>
              </w:tabs>
              <w:spacing w:line="360" w:lineRule="auto"/>
              <w:jc w:val="center"/>
              <w:rPr>
                <w:rFonts w:ascii="宋体" w:hAnsi="宋体" w:cs="宋体"/>
                <w:szCs w:val="21"/>
              </w:rPr>
            </w:pPr>
            <w:r>
              <w:rPr>
                <w:rFonts w:hint="eastAsia" w:ascii="宋体" w:hAnsi="宋体" w:cs="宋体"/>
                <w:szCs w:val="21"/>
              </w:rPr>
              <w:t>100分</w:t>
            </w:r>
          </w:p>
        </w:tc>
      </w:tr>
    </w:tbl>
    <w:p w14:paraId="14288FD9">
      <w:pPr>
        <w:adjustRightInd w:val="0"/>
        <w:snapToGrid w:val="0"/>
        <w:spacing w:line="440" w:lineRule="exact"/>
        <w:ind w:left="420" w:leftChars="200" w:right="420" w:rightChars="200" w:firstLine="482" w:firstLineChars="200"/>
        <w:contextualSpacing/>
        <w:rPr>
          <w:rFonts w:ascii="宋体" w:hAnsi="宋体" w:cs="宋体"/>
          <w:b/>
          <w:sz w:val="24"/>
        </w:rPr>
      </w:pPr>
      <w:r>
        <w:rPr>
          <w:rFonts w:hint="eastAsia" w:ascii="宋体" w:hAnsi="宋体" w:cs="宋体"/>
          <w:b/>
          <w:sz w:val="24"/>
        </w:rPr>
        <w:t>注：（1）评分细则中要求提供的证明文件及资料等在投标文件中提供复印件，要求“原件备查”的须在投标截止前将相关原件或公证件带至开评标现场并按要求提交评委会审查。</w:t>
      </w:r>
    </w:p>
    <w:p w14:paraId="4B1F27D0">
      <w:pPr>
        <w:adjustRightInd w:val="0"/>
        <w:snapToGrid w:val="0"/>
        <w:spacing w:line="440" w:lineRule="exact"/>
        <w:ind w:left="420" w:leftChars="200" w:right="420" w:rightChars="200" w:firstLine="482" w:firstLineChars="200"/>
        <w:contextualSpacing/>
        <w:rPr>
          <w:rFonts w:ascii="宋体" w:hAnsi="宋体" w:cs="宋体"/>
          <w:b/>
          <w:sz w:val="24"/>
        </w:rPr>
      </w:pPr>
      <w:r>
        <w:rPr>
          <w:rFonts w:hint="eastAsia" w:ascii="宋体" w:hAnsi="宋体" w:cs="宋体"/>
          <w:b/>
          <w:sz w:val="24"/>
        </w:rPr>
        <w:t>（2）评标时，未能按以上要求提供相应证明（复印件或原件、公证件）的，不作为评标依据，不得分。</w:t>
      </w:r>
    </w:p>
    <w:p w14:paraId="4F1254F8">
      <w:pPr>
        <w:adjustRightInd w:val="0"/>
        <w:snapToGrid w:val="0"/>
        <w:spacing w:line="440" w:lineRule="exact"/>
        <w:ind w:left="420" w:leftChars="200" w:right="420" w:rightChars="200" w:firstLine="482" w:firstLineChars="200"/>
        <w:contextualSpacing/>
        <w:rPr>
          <w:rFonts w:ascii="宋体" w:hAnsi="宋体" w:cs="宋体"/>
          <w:b/>
          <w:color w:val="000000"/>
          <w:sz w:val="24"/>
        </w:rPr>
      </w:pPr>
      <w:r>
        <w:rPr>
          <w:rFonts w:hint="eastAsia" w:ascii="宋体" w:hAnsi="宋体" w:cs="宋体"/>
          <w:b/>
          <w:color w:val="000000"/>
          <w:sz w:val="24"/>
        </w:rPr>
        <w:t>（3）若发现有提供虚假的证明材料或虚假应答技术偏离表的，视为无效投标，并追究相关责任。</w:t>
      </w:r>
    </w:p>
    <w:p w14:paraId="6D8DBFE1">
      <w:pPr>
        <w:adjustRightInd w:val="0"/>
        <w:snapToGrid w:val="0"/>
        <w:spacing w:line="440" w:lineRule="exact"/>
        <w:ind w:left="210" w:leftChars="100" w:right="210" w:rightChars="100" w:firstLine="482" w:firstLineChars="200"/>
        <w:contextualSpacing/>
        <w:rPr>
          <w:rFonts w:ascii="宋体" w:hAnsi="宋体"/>
          <w:b/>
          <w:sz w:val="24"/>
        </w:rPr>
      </w:pPr>
      <w:r>
        <w:rPr>
          <w:rFonts w:ascii="宋体" w:hAnsi="宋体"/>
          <w:b/>
          <w:sz w:val="24"/>
        </w:rPr>
        <w:t>14.</w:t>
      </w:r>
      <w:r>
        <w:rPr>
          <w:rFonts w:hint="eastAsia" w:ascii="宋体" w:hAnsi="宋体"/>
          <w:b/>
          <w:sz w:val="24"/>
        </w:rPr>
        <w:t>定标</w:t>
      </w:r>
    </w:p>
    <w:p w14:paraId="2E2B2E41">
      <w:pPr>
        <w:adjustRightInd w:val="0"/>
        <w:snapToGrid w:val="0"/>
        <w:spacing w:line="440" w:lineRule="exact"/>
        <w:ind w:left="210" w:leftChars="100" w:right="210" w:rightChars="100" w:firstLine="480" w:firstLineChars="200"/>
        <w:contextualSpacing/>
        <w:jc w:val="left"/>
        <w:rPr>
          <w:rFonts w:asciiTheme="minorEastAsia" w:hAnsiTheme="minorEastAsia" w:eastAsiaTheme="minorEastAsia"/>
          <w:sz w:val="24"/>
        </w:rPr>
      </w:pPr>
      <w:r>
        <w:rPr>
          <w:rFonts w:ascii="宋体" w:hAnsi="宋体" w:cs="Arial"/>
          <w:color w:val="000000"/>
          <w:sz w:val="24"/>
        </w:rPr>
        <w:t>14.1</w:t>
      </w:r>
      <w:r>
        <w:rPr>
          <w:rFonts w:hint="eastAsia" w:ascii="宋体" w:hAnsi="宋体" w:cs="Arial"/>
          <w:color w:val="000000"/>
          <w:sz w:val="24"/>
        </w:rPr>
        <w:t>推荐中标候选人名单。按照得分高低顺序对中标候选人进行排列，其数量根据采购需要确定。</w:t>
      </w:r>
      <w:r>
        <w:rPr>
          <w:rFonts w:hint="eastAsia" w:asciiTheme="minorEastAsia" w:hAnsiTheme="minorEastAsia" w:eastAsiaTheme="minorEastAsia"/>
          <w:sz w:val="24"/>
        </w:rPr>
        <w:t>本次谈判根据最终评分结果，得分最高的单位为中标单位。</w:t>
      </w:r>
    </w:p>
    <w:p w14:paraId="3A478D09">
      <w:pPr>
        <w:adjustRightInd w:val="0"/>
        <w:snapToGrid w:val="0"/>
        <w:spacing w:line="440" w:lineRule="exact"/>
        <w:ind w:left="210" w:leftChars="100" w:right="210" w:rightChars="100" w:firstLine="480" w:firstLineChars="200"/>
        <w:contextualSpacing/>
        <w:rPr>
          <w:rFonts w:ascii="宋体" w:hAnsi="宋体" w:cs="Arial"/>
          <w:sz w:val="24"/>
        </w:rPr>
      </w:pPr>
      <w:r>
        <w:rPr>
          <w:rFonts w:ascii="宋体" w:hAnsi="宋体" w:cs="Arial"/>
          <w:sz w:val="24"/>
        </w:rPr>
        <w:t>14.2</w:t>
      </w:r>
      <w:r>
        <w:rPr>
          <w:rFonts w:hint="eastAsia" w:ascii="宋体" w:hAnsi="宋体" w:cs="Arial"/>
          <w:sz w:val="24"/>
        </w:rPr>
        <w:t>确定的</w:t>
      </w:r>
      <w:r>
        <w:rPr>
          <w:rFonts w:hint="eastAsia" w:asciiTheme="minorEastAsia" w:hAnsiTheme="minorEastAsia" w:eastAsiaTheme="minorEastAsia"/>
          <w:sz w:val="24"/>
        </w:rPr>
        <w:t>中标单位，</w:t>
      </w:r>
      <w:r>
        <w:rPr>
          <w:rFonts w:ascii="宋体" w:hAnsi="宋体" w:cs="Arial"/>
          <w:sz w:val="24"/>
        </w:rPr>
        <w:t>采购人在</w:t>
      </w:r>
      <w:r>
        <w:rPr>
          <w:rFonts w:hint="eastAsia" w:ascii="宋体" w:hAnsi="宋体" w:cs="Arial"/>
          <w:sz w:val="24"/>
        </w:rPr>
        <w:t>扬州大学附属医院官网</w:t>
      </w:r>
      <w:r>
        <w:rPr>
          <w:rFonts w:ascii="宋体" w:hAnsi="宋体" w:cs="Arial"/>
          <w:sz w:val="24"/>
        </w:rPr>
        <w:t>公告中标结果</w:t>
      </w:r>
      <w:r>
        <w:rPr>
          <w:rFonts w:hint="eastAsia" w:ascii="宋体" w:hAnsi="宋体" w:cs="Arial"/>
          <w:sz w:val="24"/>
        </w:rPr>
        <w:t>。</w:t>
      </w:r>
    </w:p>
    <w:p w14:paraId="3E595F1A">
      <w:pPr>
        <w:adjustRightInd w:val="0"/>
        <w:snapToGrid w:val="0"/>
        <w:spacing w:line="440" w:lineRule="exact"/>
        <w:ind w:left="210" w:leftChars="100" w:right="210" w:rightChars="100" w:firstLine="482" w:firstLineChars="200"/>
        <w:contextualSpacing/>
        <w:rPr>
          <w:rFonts w:ascii="宋体" w:hAnsi="宋体" w:cs="宋体"/>
          <w:b/>
          <w:color w:val="000000"/>
          <w:sz w:val="24"/>
        </w:rPr>
      </w:pPr>
      <w:r>
        <w:rPr>
          <w:rFonts w:ascii="宋体" w:hAnsi="宋体" w:cs="Arial"/>
          <w:b/>
          <w:color w:val="000000"/>
          <w:sz w:val="24"/>
        </w:rPr>
        <w:t>15</w:t>
      </w:r>
      <w:r>
        <w:rPr>
          <w:rFonts w:hint="eastAsia" w:ascii="宋体" w:hAnsi="宋体" w:cs="Arial"/>
          <w:b/>
          <w:color w:val="000000"/>
          <w:sz w:val="24"/>
        </w:rPr>
        <w:t>.无效投标</w:t>
      </w:r>
    </w:p>
    <w:p w14:paraId="5183589C">
      <w:pPr>
        <w:adjustRightInd w:val="0"/>
        <w:snapToGrid w:val="0"/>
        <w:spacing w:line="440" w:lineRule="exact"/>
        <w:ind w:left="210" w:leftChars="100" w:right="210" w:rightChars="100" w:firstLine="480" w:firstLineChars="200"/>
        <w:contextualSpacing/>
        <w:rPr>
          <w:rFonts w:ascii="宋体" w:hAnsi="宋体" w:cs="宋体"/>
          <w:color w:val="000000"/>
          <w:sz w:val="24"/>
        </w:rPr>
      </w:pPr>
      <w:r>
        <w:rPr>
          <w:rFonts w:hint="eastAsia" w:ascii="宋体" w:hAnsi="宋体" w:cs="宋体"/>
          <w:color w:val="000000"/>
          <w:sz w:val="24"/>
        </w:rPr>
        <w:t>若有充分证据证明，中标人出现下列情况之一的，一经查实，将被取消中标资格：</w:t>
      </w:r>
    </w:p>
    <w:p w14:paraId="46E78F5A">
      <w:pPr>
        <w:adjustRightInd w:val="0"/>
        <w:snapToGrid w:val="0"/>
        <w:spacing w:line="440" w:lineRule="exact"/>
        <w:ind w:left="210" w:leftChars="100" w:right="210" w:rightChars="100" w:firstLine="480" w:firstLineChars="200"/>
        <w:contextualSpacing/>
        <w:rPr>
          <w:rFonts w:ascii="宋体" w:hAnsi="宋体" w:cs="宋体"/>
          <w:color w:val="000000"/>
          <w:sz w:val="24"/>
        </w:rPr>
      </w:pPr>
      <w:r>
        <w:rPr>
          <w:rFonts w:ascii="宋体" w:hAnsi="宋体" w:cs="宋体"/>
          <w:color w:val="000000"/>
          <w:sz w:val="24"/>
        </w:rPr>
        <w:t>15</w:t>
      </w:r>
      <w:r>
        <w:rPr>
          <w:rFonts w:hint="eastAsia" w:ascii="宋体" w:hAnsi="宋体" w:cs="宋体"/>
          <w:color w:val="000000"/>
          <w:sz w:val="24"/>
        </w:rPr>
        <w:t>.1提供虚假材料谋取中标的；</w:t>
      </w:r>
    </w:p>
    <w:p w14:paraId="075EB73D">
      <w:pPr>
        <w:adjustRightInd w:val="0"/>
        <w:snapToGrid w:val="0"/>
        <w:spacing w:line="440" w:lineRule="exact"/>
        <w:ind w:left="210" w:leftChars="100" w:right="210" w:rightChars="100" w:firstLine="480" w:firstLineChars="200"/>
        <w:contextualSpacing/>
        <w:rPr>
          <w:rFonts w:ascii="宋体" w:hAnsi="宋体" w:cs="宋体"/>
          <w:color w:val="000000"/>
          <w:sz w:val="24"/>
        </w:rPr>
      </w:pPr>
      <w:r>
        <w:rPr>
          <w:rFonts w:ascii="宋体" w:hAnsi="宋体" w:cs="宋体"/>
          <w:color w:val="000000"/>
          <w:sz w:val="24"/>
        </w:rPr>
        <w:t>15</w:t>
      </w:r>
      <w:r>
        <w:rPr>
          <w:rFonts w:hint="eastAsia" w:ascii="宋体" w:hAnsi="宋体" w:cs="宋体"/>
          <w:color w:val="000000"/>
          <w:sz w:val="24"/>
        </w:rPr>
        <w:t>.2向采购人、采购人行贿或者提供其他不正当利益的；</w:t>
      </w:r>
    </w:p>
    <w:p w14:paraId="5620E19C">
      <w:pPr>
        <w:adjustRightInd w:val="0"/>
        <w:snapToGrid w:val="0"/>
        <w:spacing w:line="440" w:lineRule="exact"/>
        <w:ind w:left="210" w:leftChars="100" w:right="210" w:rightChars="100" w:firstLine="480" w:firstLineChars="200"/>
        <w:contextualSpacing/>
        <w:rPr>
          <w:rFonts w:ascii="宋体" w:hAnsi="宋体" w:cs="宋体"/>
          <w:color w:val="000000"/>
          <w:sz w:val="24"/>
        </w:rPr>
      </w:pPr>
      <w:r>
        <w:rPr>
          <w:rFonts w:ascii="宋体" w:hAnsi="宋体" w:cs="宋体"/>
          <w:color w:val="000000"/>
          <w:sz w:val="24"/>
        </w:rPr>
        <w:t>15</w:t>
      </w:r>
      <w:r>
        <w:rPr>
          <w:rFonts w:hint="eastAsia" w:ascii="宋体" w:hAnsi="宋体" w:cs="宋体"/>
          <w:color w:val="000000"/>
          <w:sz w:val="24"/>
        </w:rPr>
        <w:t>.3属于本文件规定的无效条件，但在评标过程中又未被评委会发现的；</w:t>
      </w:r>
    </w:p>
    <w:p w14:paraId="4D94E594">
      <w:pPr>
        <w:adjustRightInd w:val="0"/>
        <w:snapToGrid w:val="0"/>
        <w:spacing w:line="440" w:lineRule="exact"/>
        <w:ind w:left="210" w:leftChars="100" w:right="210" w:rightChars="100" w:firstLine="480" w:firstLineChars="200"/>
        <w:contextualSpacing/>
        <w:rPr>
          <w:rFonts w:ascii="宋体" w:hAnsi="宋体" w:cs="宋体"/>
          <w:color w:val="000000"/>
          <w:sz w:val="24"/>
        </w:rPr>
      </w:pPr>
      <w:r>
        <w:rPr>
          <w:rFonts w:ascii="宋体" w:hAnsi="宋体" w:cs="宋体"/>
          <w:color w:val="000000"/>
          <w:sz w:val="24"/>
        </w:rPr>
        <w:t>15</w:t>
      </w:r>
      <w:r>
        <w:rPr>
          <w:rFonts w:hint="eastAsia" w:ascii="宋体" w:hAnsi="宋体" w:cs="宋体"/>
          <w:color w:val="000000"/>
          <w:sz w:val="24"/>
        </w:rPr>
        <w:t>.4</w:t>
      </w:r>
      <w:r>
        <w:rPr>
          <w:rFonts w:hint="eastAsia" w:ascii="宋体" w:hAnsi="宋体" w:cs="Arial"/>
          <w:sz w:val="24"/>
        </w:rPr>
        <w:t>不满足本招标文件规定的实质性要求，但在评标过程中又未被评委会发现的；</w:t>
      </w:r>
    </w:p>
    <w:p w14:paraId="12C7BE3B">
      <w:pPr>
        <w:adjustRightInd w:val="0"/>
        <w:snapToGrid w:val="0"/>
        <w:spacing w:line="440" w:lineRule="exact"/>
        <w:ind w:left="210" w:leftChars="100" w:right="210" w:rightChars="100" w:firstLine="480" w:firstLineChars="200"/>
        <w:contextualSpacing/>
        <w:rPr>
          <w:rFonts w:ascii="宋体" w:hAnsi="宋体" w:cs="宋体"/>
          <w:color w:val="000000"/>
          <w:sz w:val="24"/>
        </w:rPr>
      </w:pPr>
      <w:r>
        <w:rPr>
          <w:rFonts w:ascii="宋体" w:hAnsi="宋体" w:cs="Arial"/>
          <w:sz w:val="24"/>
        </w:rPr>
        <w:t>15</w:t>
      </w:r>
      <w:r>
        <w:rPr>
          <w:rFonts w:hint="eastAsia" w:ascii="宋体" w:hAnsi="宋体" w:cs="Arial"/>
          <w:sz w:val="24"/>
        </w:rPr>
        <w:t>.5</w:t>
      </w:r>
      <w:r>
        <w:rPr>
          <w:rFonts w:hint="eastAsia" w:ascii="宋体" w:hAnsi="宋体" w:cs="宋体"/>
          <w:color w:val="000000"/>
          <w:sz w:val="24"/>
        </w:rPr>
        <w:t>采取不正当手段诋毁、排挤其他服务商的；</w:t>
      </w:r>
    </w:p>
    <w:p w14:paraId="0AB6DFA2">
      <w:pPr>
        <w:adjustRightInd w:val="0"/>
        <w:snapToGrid w:val="0"/>
        <w:spacing w:line="440" w:lineRule="exact"/>
        <w:ind w:left="210" w:leftChars="100" w:right="210" w:rightChars="100" w:firstLine="480" w:firstLineChars="200"/>
        <w:contextualSpacing/>
        <w:rPr>
          <w:rFonts w:ascii="宋体" w:hAnsi="宋体" w:cs="Arial"/>
          <w:sz w:val="24"/>
        </w:rPr>
      </w:pPr>
      <w:r>
        <w:rPr>
          <w:rFonts w:ascii="宋体" w:hAnsi="宋体" w:cs="Arial"/>
          <w:sz w:val="24"/>
        </w:rPr>
        <w:t>15</w:t>
      </w:r>
      <w:r>
        <w:rPr>
          <w:rFonts w:hint="eastAsia" w:ascii="宋体" w:hAnsi="宋体" w:cs="Arial"/>
          <w:sz w:val="24"/>
        </w:rPr>
        <w:t>.6与评审小组人员、采购人、其他服务商恶意串通的；</w:t>
      </w:r>
    </w:p>
    <w:p w14:paraId="4D9000AF">
      <w:pPr>
        <w:adjustRightInd w:val="0"/>
        <w:snapToGrid w:val="0"/>
        <w:spacing w:line="440" w:lineRule="exact"/>
        <w:ind w:left="210" w:leftChars="100" w:right="210" w:rightChars="100" w:firstLine="480" w:firstLineChars="200"/>
        <w:contextualSpacing/>
        <w:rPr>
          <w:rFonts w:ascii="宋体" w:hAnsi="宋体" w:cs="Arial"/>
          <w:sz w:val="24"/>
        </w:rPr>
      </w:pPr>
      <w:r>
        <w:rPr>
          <w:rFonts w:ascii="宋体" w:hAnsi="宋体" w:cs="Arial"/>
          <w:sz w:val="24"/>
        </w:rPr>
        <w:t>15</w:t>
      </w:r>
      <w:r>
        <w:rPr>
          <w:rFonts w:hint="eastAsia" w:ascii="宋体" w:hAnsi="宋体" w:cs="Arial"/>
          <w:sz w:val="24"/>
        </w:rPr>
        <w:t>.7向评审小组、采购人行贿或者提供其他不正当利益的；</w:t>
      </w:r>
    </w:p>
    <w:p w14:paraId="01015CB7">
      <w:pPr>
        <w:adjustRightInd w:val="0"/>
        <w:snapToGrid w:val="0"/>
        <w:spacing w:line="440" w:lineRule="exact"/>
        <w:ind w:left="210" w:leftChars="100" w:right="210" w:rightChars="100" w:firstLine="480" w:firstLineChars="200"/>
        <w:contextualSpacing/>
        <w:rPr>
          <w:rFonts w:ascii="宋体" w:hAnsi="宋体" w:cs="Arial"/>
          <w:sz w:val="24"/>
        </w:rPr>
      </w:pPr>
      <w:r>
        <w:rPr>
          <w:rFonts w:ascii="宋体" w:hAnsi="宋体" w:cs="Arial"/>
          <w:color w:val="000000"/>
          <w:sz w:val="24"/>
        </w:rPr>
        <w:t>15.</w:t>
      </w:r>
      <w:r>
        <w:rPr>
          <w:rFonts w:hint="eastAsia" w:ascii="宋体" w:hAnsi="宋体" w:cs="Arial"/>
          <w:color w:val="000000"/>
          <w:sz w:val="24"/>
        </w:rPr>
        <w:t>8</w:t>
      </w:r>
      <w:r>
        <w:rPr>
          <w:rFonts w:ascii="宋体" w:hAnsi="宋体" w:cs="Arial"/>
          <w:sz w:val="24"/>
        </w:rPr>
        <w:t>恶意竞争，投标总报价明显低于其自身合理成本且又无法提供证明的。</w:t>
      </w:r>
    </w:p>
    <w:p w14:paraId="090775AE">
      <w:pPr>
        <w:adjustRightInd w:val="0"/>
        <w:snapToGrid w:val="0"/>
        <w:spacing w:line="440" w:lineRule="exact"/>
        <w:ind w:left="210" w:leftChars="100" w:right="210" w:rightChars="100" w:firstLine="480" w:firstLineChars="200"/>
        <w:contextualSpacing/>
        <w:rPr>
          <w:rFonts w:ascii="宋体" w:hAnsi="宋体" w:cs="宋体"/>
          <w:color w:val="000000"/>
          <w:sz w:val="24"/>
        </w:rPr>
      </w:pPr>
      <w:r>
        <w:rPr>
          <w:rFonts w:ascii="宋体" w:hAnsi="宋体" w:cs="宋体"/>
          <w:color w:val="000000"/>
          <w:sz w:val="24"/>
        </w:rPr>
        <w:t>15</w:t>
      </w:r>
      <w:r>
        <w:rPr>
          <w:rFonts w:hint="eastAsia" w:ascii="宋体" w:hAnsi="宋体" w:cs="宋体"/>
          <w:color w:val="000000"/>
          <w:sz w:val="24"/>
        </w:rPr>
        <w:t>.9不符合法律、法规的规定的。</w:t>
      </w:r>
    </w:p>
    <w:p w14:paraId="4C8D1EE5">
      <w:pPr>
        <w:adjustRightInd w:val="0"/>
        <w:snapToGrid w:val="0"/>
        <w:spacing w:line="440" w:lineRule="exact"/>
        <w:ind w:left="210" w:leftChars="100" w:right="210" w:rightChars="100" w:firstLine="480" w:firstLineChars="200"/>
        <w:contextualSpacing/>
        <w:rPr>
          <w:rFonts w:ascii="宋体" w:hAnsi="宋体" w:cs="宋体"/>
          <w:color w:val="000000"/>
          <w:sz w:val="24"/>
        </w:rPr>
      </w:pPr>
      <w:r>
        <w:rPr>
          <w:rFonts w:ascii="宋体" w:hAnsi="宋体" w:cs="宋体"/>
          <w:color w:val="000000"/>
          <w:sz w:val="24"/>
        </w:rPr>
        <w:t>16</w:t>
      </w:r>
      <w:r>
        <w:rPr>
          <w:rFonts w:hint="eastAsia" w:ascii="宋体" w:hAnsi="宋体" w:cs="宋体"/>
          <w:color w:val="000000"/>
          <w:sz w:val="24"/>
        </w:rPr>
        <w:t>.有下列情形之一的，视为投标人串通投标，投标无效：</w:t>
      </w:r>
    </w:p>
    <w:p w14:paraId="4F329C2F">
      <w:pPr>
        <w:adjustRightInd w:val="0"/>
        <w:snapToGrid w:val="0"/>
        <w:spacing w:line="440" w:lineRule="exact"/>
        <w:ind w:left="210" w:leftChars="100" w:right="210" w:rightChars="100" w:firstLine="480" w:firstLineChars="200"/>
        <w:contextualSpacing/>
        <w:rPr>
          <w:rFonts w:ascii="宋体" w:hAnsi="宋体" w:cs="宋体"/>
          <w:color w:val="000000"/>
          <w:sz w:val="24"/>
        </w:rPr>
      </w:pPr>
      <w:r>
        <w:rPr>
          <w:rFonts w:ascii="宋体" w:hAnsi="宋体" w:cs="宋体"/>
          <w:color w:val="000000"/>
          <w:sz w:val="24"/>
        </w:rPr>
        <w:t>16</w:t>
      </w:r>
      <w:r>
        <w:rPr>
          <w:rFonts w:hint="eastAsia" w:ascii="宋体" w:hAnsi="宋体" w:cs="宋体"/>
          <w:color w:val="000000"/>
          <w:sz w:val="24"/>
        </w:rPr>
        <w:t>.1不同投标人的投标文件由同一单位或者个人编制。</w:t>
      </w:r>
    </w:p>
    <w:p w14:paraId="68E98493">
      <w:pPr>
        <w:adjustRightInd w:val="0"/>
        <w:snapToGrid w:val="0"/>
        <w:spacing w:line="440" w:lineRule="exact"/>
        <w:ind w:left="210" w:leftChars="100" w:right="210" w:rightChars="100" w:firstLine="480" w:firstLineChars="200"/>
        <w:contextualSpacing/>
        <w:rPr>
          <w:rFonts w:ascii="宋体" w:hAnsi="宋体" w:cs="宋体"/>
          <w:color w:val="000000"/>
          <w:sz w:val="24"/>
        </w:rPr>
      </w:pPr>
      <w:r>
        <w:rPr>
          <w:rFonts w:ascii="宋体" w:hAnsi="宋体" w:cs="宋体"/>
          <w:color w:val="000000"/>
          <w:sz w:val="24"/>
        </w:rPr>
        <w:t>16</w:t>
      </w:r>
      <w:r>
        <w:rPr>
          <w:rFonts w:hint="eastAsia" w:ascii="宋体" w:hAnsi="宋体" w:cs="宋体"/>
          <w:color w:val="000000"/>
          <w:sz w:val="24"/>
        </w:rPr>
        <w:t>.2不同投标人委托同一单位或者个人办理投标事宜。</w:t>
      </w:r>
    </w:p>
    <w:p w14:paraId="3967AB37">
      <w:pPr>
        <w:adjustRightInd w:val="0"/>
        <w:snapToGrid w:val="0"/>
        <w:spacing w:line="440" w:lineRule="exact"/>
        <w:ind w:left="210" w:leftChars="100" w:right="210" w:rightChars="100" w:firstLine="480" w:firstLineChars="200"/>
        <w:contextualSpacing/>
        <w:rPr>
          <w:rFonts w:ascii="宋体" w:hAnsi="宋体" w:cs="宋体"/>
          <w:color w:val="000000"/>
          <w:sz w:val="24"/>
        </w:rPr>
      </w:pPr>
      <w:r>
        <w:rPr>
          <w:rFonts w:ascii="宋体" w:hAnsi="宋体" w:cs="宋体"/>
          <w:color w:val="000000"/>
          <w:sz w:val="24"/>
        </w:rPr>
        <w:t>16</w:t>
      </w:r>
      <w:r>
        <w:rPr>
          <w:rFonts w:hint="eastAsia" w:ascii="宋体" w:hAnsi="宋体" w:cs="宋体"/>
          <w:color w:val="000000"/>
          <w:sz w:val="24"/>
        </w:rPr>
        <w:t>.3不同投标人的投标文件载明的项目管理成员或者联系人员为同一人。</w:t>
      </w:r>
    </w:p>
    <w:p w14:paraId="70657DBF">
      <w:pPr>
        <w:adjustRightInd w:val="0"/>
        <w:snapToGrid w:val="0"/>
        <w:spacing w:line="440" w:lineRule="exact"/>
        <w:ind w:left="210" w:leftChars="100" w:right="210" w:rightChars="100" w:firstLine="480" w:firstLineChars="200"/>
        <w:contextualSpacing/>
        <w:rPr>
          <w:rFonts w:ascii="宋体" w:hAnsi="宋体" w:cs="宋体"/>
          <w:color w:val="000000"/>
          <w:sz w:val="24"/>
        </w:rPr>
      </w:pPr>
      <w:r>
        <w:rPr>
          <w:rFonts w:ascii="宋体" w:hAnsi="宋体" w:cs="宋体"/>
          <w:color w:val="000000"/>
          <w:sz w:val="24"/>
        </w:rPr>
        <w:t>16</w:t>
      </w:r>
      <w:r>
        <w:rPr>
          <w:rFonts w:hint="eastAsia" w:ascii="宋体" w:hAnsi="宋体" w:cs="宋体"/>
          <w:color w:val="000000"/>
          <w:sz w:val="24"/>
        </w:rPr>
        <w:t>.4不同投标人的投标文件异常一致或者投标报价呈规律性差异。</w:t>
      </w:r>
    </w:p>
    <w:p w14:paraId="484BF623">
      <w:pPr>
        <w:adjustRightInd w:val="0"/>
        <w:snapToGrid w:val="0"/>
        <w:spacing w:line="440" w:lineRule="exact"/>
        <w:ind w:left="210" w:leftChars="100" w:right="210" w:rightChars="100" w:firstLine="480" w:firstLineChars="200"/>
        <w:contextualSpacing/>
        <w:rPr>
          <w:rFonts w:ascii="宋体" w:hAnsi="宋体" w:cs="宋体"/>
          <w:color w:val="000000"/>
          <w:sz w:val="24"/>
        </w:rPr>
      </w:pPr>
      <w:r>
        <w:rPr>
          <w:rFonts w:ascii="宋体" w:hAnsi="宋体" w:cs="宋体"/>
          <w:color w:val="000000"/>
          <w:sz w:val="24"/>
        </w:rPr>
        <w:t>16</w:t>
      </w:r>
      <w:r>
        <w:rPr>
          <w:rFonts w:hint="eastAsia" w:ascii="宋体" w:hAnsi="宋体" w:cs="宋体"/>
          <w:color w:val="000000"/>
          <w:sz w:val="24"/>
        </w:rPr>
        <w:t>.5不同投标人的投标文件相互混装。</w:t>
      </w:r>
    </w:p>
    <w:p w14:paraId="3DA2488E">
      <w:pPr>
        <w:adjustRightInd w:val="0"/>
        <w:snapToGrid w:val="0"/>
        <w:spacing w:line="440" w:lineRule="exact"/>
        <w:ind w:left="210" w:leftChars="100" w:right="210" w:rightChars="100" w:firstLine="480" w:firstLineChars="200"/>
        <w:contextualSpacing/>
        <w:rPr>
          <w:rFonts w:ascii="宋体" w:hAnsi="宋体" w:cs="宋体"/>
          <w:color w:val="000000"/>
          <w:sz w:val="24"/>
        </w:rPr>
      </w:pPr>
      <w:r>
        <w:rPr>
          <w:rFonts w:ascii="宋体" w:hAnsi="宋体" w:cs="Arial"/>
          <w:sz w:val="24"/>
        </w:rPr>
        <w:t>17</w:t>
      </w:r>
      <w:r>
        <w:rPr>
          <w:rFonts w:hint="eastAsia" w:ascii="宋体" w:hAnsi="宋体" w:cs="Arial"/>
          <w:sz w:val="24"/>
        </w:rPr>
        <w:t>.有下列情形之一的予以流标，同时将流标理由通知所有投标人：</w:t>
      </w:r>
    </w:p>
    <w:p w14:paraId="43C62246">
      <w:pPr>
        <w:adjustRightInd w:val="0"/>
        <w:snapToGrid w:val="0"/>
        <w:spacing w:line="440" w:lineRule="exact"/>
        <w:ind w:left="210" w:leftChars="100" w:right="210" w:rightChars="100" w:firstLine="480" w:firstLineChars="200"/>
        <w:contextualSpacing/>
        <w:rPr>
          <w:rFonts w:ascii="宋体" w:hAnsi="宋体" w:cs="Arial"/>
          <w:sz w:val="24"/>
        </w:rPr>
      </w:pPr>
      <w:r>
        <w:rPr>
          <w:rFonts w:ascii="宋体" w:hAnsi="宋体" w:cs="Arial"/>
          <w:sz w:val="24"/>
        </w:rPr>
        <w:t>17</w:t>
      </w:r>
      <w:r>
        <w:rPr>
          <w:rFonts w:hint="eastAsia" w:ascii="宋体" w:hAnsi="宋体" w:cs="Arial"/>
          <w:sz w:val="24"/>
        </w:rPr>
        <w:t>.1符合专业条件的投标人或者对招标文件作实质性响应的投标人不足三家的，认定流标，同时将流标理由通知所有投标人。</w:t>
      </w:r>
    </w:p>
    <w:p w14:paraId="40B44CA5">
      <w:pPr>
        <w:adjustRightInd w:val="0"/>
        <w:snapToGrid w:val="0"/>
        <w:spacing w:line="440" w:lineRule="exact"/>
        <w:ind w:left="210" w:leftChars="100" w:right="210" w:rightChars="100" w:firstLine="480" w:firstLineChars="200"/>
        <w:contextualSpacing/>
        <w:rPr>
          <w:rFonts w:ascii="宋体" w:hAnsi="宋体" w:cs="Arial"/>
          <w:kern w:val="0"/>
          <w:sz w:val="24"/>
        </w:rPr>
      </w:pPr>
      <w:r>
        <w:rPr>
          <w:rFonts w:ascii="宋体" w:hAnsi="宋体" w:cs="Arial"/>
          <w:kern w:val="0"/>
          <w:sz w:val="24"/>
        </w:rPr>
        <w:t>17</w:t>
      </w:r>
      <w:r>
        <w:rPr>
          <w:rFonts w:hint="eastAsia" w:ascii="宋体" w:hAnsi="宋体" w:cs="Arial"/>
          <w:kern w:val="0"/>
          <w:sz w:val="24"/>
        </w:rPr>
        <w:t>.2因重大变故，采购任务取消的。</w:t>
      </w:r>
    </w:p>
    <w:p w14:paraId="3D3FFB65">
      <w:pPr>
        <w:adjustRightInd w:val="0"/>
        <w:snapToGrid w:val="0"/>
        <w:spacing w:line="440" w:lineRule="exact"/>
        <w:ind w:left="210" w:leftChars="100" w:right="210" w:rightChars="100" w:firstLine="480" w:firstLineChars="200"/>
        <w:contextualSpacing/>
        <w:rPr>
          <w:rFonts w:ascii="宋体" w:hAnsi="宋体" w:cs="宋体"/>
          <w:bCs/>
          <w:color w:val="000000"/>
          <w:kern w:val="0"/>
          <w:sz w:val="24"/>
        </w:rPr>
      </w:pPr>
      <w:r>
        <w:rPr>
          <w:rFonts w:ascii="宋体" w:hAnsi="宋体" w:cs="宋体"/>
          <w:bCs/>
          <w:color w:val="000000"/>
          <w:kern w:val="0"/>
          <w:sz w:val="24"/>
        </w:rPr>
        <w:t>17</w:t>
      </w:r>
      <w:r>
        <w:rPr>
          <w:rFonts w:hint="eastAsia" w:ascii="宋体" w:hAnsi="宋体" w:cs="宋体"/>
          <w:bCs/>
          <w:color w:val="000000"/>
          <w:kern w:val="0"/>
          <w:sz w:val="24"/>
        </w:rPr>
        <w:t>.3评标委员会认定招标文件存在歧义、重大缺陷导致评审工作无法进行。</w:t>
      </w:r>
    </w:p>
    <w:p w14:paraId="7C28631B">
      <w:pPr>
        <w:adjustRightInd w:val="0"/>
        <w:snapToGrid w:val="0"/>
        <w:spacing w:line="440" w:lineRule="exact"/>
        <w:ind w:left="210" w:leftChars="100" w:right="210" w:rightChars="100" w:firstLine="480" w:firstLineChars="200"/>
        <w:contextualSpacing/>
        <w:rPr>
          <w:rFonts w:ascii="宋体" w:hAnsi="宋体" w:cs="Arial"/>
          <w:sz w:val="24"/>
        </w:rPr>
      </w:pPr>
      <w:r>
        <w:rPr>
          <w:rFonts w:ascii="宋体" w:hAnsi="宋体" w:cs="宋体"/>
          <w:bCs/>
          <w:color w:val="000000"/>
          <w:kern w:val="0"/>
          <w:sz w:val="24"/>
        </w:rPr>
        <w:t>17</w:t>
      </w:r>
      <w:r>
        <w:rPr>
          <w:rFonts w:hint="eastAsia" w:ascii="宋体" w:hAnsi="宋体" w:cs="宋体"/>
          <w:bCs/>
          <w:color w:val="000000"/>
          <w:kern w:val="0"/>
          <w:sz w:val="24"/>
        </w:rPr>
        <w:t>.4投标截止时间结束后参加投标的投标人不足三家或者通过资格审查或符合性审查的投标人不足三家的</w:t>
      </w:r>
      <w:r>
        <w:rPr>
          <w:rFonts w:hint="eastAsia" w:ascii="宋体" w:hAnsi="宋体" w:cs="Arial"/>
          <w:sz w:val="24"/>
        </w:rPr>
        <w:t>。</w:t>
      </w:r>
    </w:p>
    <w:p w14:paraId="2F8712F4">
      <w:pPr>
        <w:widowControl/>
        <w:jc w:val="center"/>
        <w:rPr>
          <w:rFonts w:asciiTheme="minorEastAsia" w:hAnsiTheme="minorEastAsia" w:eastAsiaTheme="minorEastAsia"/>
          <w:b/>
          <w:sz w:val="24"/>
        </w:rPr>
      </w:pPr>
      <w:r>
        <w:rPr>
          <w:b/>
          <w:sz w:val="36"/>
          <w:szCs w:val="36"/>
        </w:rPr>
        <w:br w:type="page"/>
      </w:r>
      <w:r>
        <w:rPr>
          <w:rFonts w:hint="eastAsia"/>
          <w:b/>
          <w:sz w:val="24"/>
        </w:rPr>
        <w:t>四、投标文件格式及附件要求</w:t>
      </w:r>
    </w:p>
    <w:p w14:paraId="70B3708E">
      <w:pPr>
        <w:jc w:val="center"/>
        <w:rPr>
          <w:b/>
          <w:sz w:val="36"/>
          <w:szCs w:val="36"/>
        </w:rPr>
      </w:pPr>
    </w:p>
    <w:p w14:paraId="73AF54C9">
      <w:pPr>
        <w:snapToGrid w:val="0"/>
        <w:spacing w:after="120" w:line="360" w:lineRule="auto"/>
        <w:jc w:val="center"/>
        <w:rPr>
          <w:rFonts w:ascii="宋体" w:hAnsi="宋体" w:cs="宋体"/>
          <w:b/>
          <w:bCs/>
          <w:color w:val="000000"/>
          <w:kern w:val="44"/>
          <w:sz w:val="36"/>
          <w:szCs w:val="44"/>
        </w:rPr>
      </w:pPr>
      <w:r>
        <w:rPr>
          <w:rFonts w:hint="eastAsia" w:ascii="宋体" w:hAnsi="宋体" w:cs="宋体"/>
          <w:b/>
          <w:bCs/>
          <w:color w:val="000000"/>
          <w:kern w:val="44"/>
          <w:sz w:val="36"/>
          <w:szCs w:val="44"/>
        </w:rPr>
        <w:t>投标文件格式</w:t>
      </w:r>
    </w:p>
    <w:p w14:paraId="0D29387C">
      <w:pPr>
        <w:snapToGrid w:val="0"/>
        <w:spacing w:line="360" w:lineRule="auto"/>
        <w:rPr>
          <w:rFonts w:ascii="楷体_GB2312" w:hAnsi="Arial" w:eastAsia="楷体_GB2312" w:cs="Arial"/>
          <w:kern w:val="0"/>
          <w:sz w:val="28"/>
          <w:szCs w:val="28"/>
        </w:rPr>
      </w:pPr>
    </w:p>
    <w:p w14:paraId="057F6C9A">
      <w:pPr>
        <w:snapToGrid w:val="0"/>
        <w:spacing w:line="360" w:lineRule="auto"/>
        <w:jc w:val="center"/>
        <w:rPr>
          <w:rFonts w:ascii="宋体" w:hAnsi="宋体" w:cs="宋体"/>
          <w:b/>
          <w:sz w:val="22"/>
          <w:szCs w:val="21"/>
        </w:rPr>
      </w:pPr>
    </w:p>
    <w:p w14:paraId="73D20AD3">
      <w:pPr>
        <w:snapToGrid w:val="0"/>
        <w:spacing w:line="360" w:lineRule="auto"/>
        <w:jc w:val="center"/>
        <w:rPr>
          <w:rFonts w:ascii="宋体" w:hAnsi="宋体" w:cs="宋体"/>
          <w:b/>
          <w:sz w:val="52"/>
          <w:szCs w:val="52"/>
        </w:rPr>
      </w:pPr>
      <w:r>
        <w:rPr>
          <w:rFonts w:hint="eastAsia" w:ascii="宋体" w:hAnsi="宋体" w:cs="宋体"/>
          <w:b/>
          <w:sz w:val="52"/>
          <w:szCs w:val="52"/>
        </w:rPr>
        <w:t>投  标  文  件</w:t>
      </w:r>
    </w:p>
    <w:p w14:paraId="583F3026">
      <w:pPr>
        <w:snapToGrid w:val="0"/>
        <w:spacing w:line="360" w:lineRule="auto"/>
        <w:jc w:val="center"/>
        <w:rPr>
          <w:rFonts w:ascii="宋体" w:hAnsi="宋体" w:cs="宋体"/>
          <w:b/>
          <w:sz w:val="72"/>
        </w:rPr>
      </w:pPr>
    </w:p>
    <w:p w14:paraId="5486537D">
      <w:pPr>
        <w:snapToGrid w:val="0"/>
        <w:spacing w:line="360" w:lineRule="auto"/>
        <w:jc w:val="center"/>
        <w:rPr>
          <w:rFonts w:ascii="宋体" w:hAnsi="宋体" w:cs="宋体"/>
          <w:b/>
          <w:sz w:val="72"/>
        </w:rPr>
      </w:pPr>
    </w:p>
    <w:p w14:paraId="6EFD1663">
      <w:pPr>
        <w:snapToGrid w:val="0"/>
        <w:spacing w:line="360" w:lineRule="auto"/>
        <w:jc w:val="center"/>
        <w:rPr>
          <w:rFonts w:ascii="宋体" w:hAnsi="宋体" w:cs="宋体"/>
          <w:b/>
          <w:sz w:val="36"/>
        </w:rPr>
      </w:pPr>
    </w:p>
    <w:p w14:paraId="2EFC9AE4">
      <w:pPr>
        <w:snapToGrid w:val="0"/>
        <w:spacing w:line="360" w:lineRule="auto"/>
        <w:jc w:val="center"/>
        <w:rPr>
          <w:rFonts w:ascii="宋体" w:hAnsi="宋体" w:cs="宋体"/>
          <w:b/>
          <w:sz w:val="36"/>
        </w:rPr>
      </w:pPr>
    </w:p>
    <w:p w14:paraId="352660AB">
      <w:pPr>
        <w:adjustRightInd w:val="0"/>
        <w:snapToGrid w:val="0"/>
        <w:spacing w:line="600" w:lineRule="exact"/>
        <w:ind w:left="420" w:leftChars="200" w:right="420" w:rightChars="200" w:firstLine="643" w:firstLineChars="200"/>
        <w:contextualSpacing/>
        <w:rPr>
          <w:rFonts w:ascii="宋体" w:hAnsi="宋体" w:cs="宋体"/>
          <w:sz w:val="32"/>
          <w:szCs w:val="32"/>
          <w:u w:val="single"/>
        </w:rPr>
      </w:pPr>
      <w:r>
        <w:rPr>
          <w:rFonts w:hint="eastAsia" w:ascii="宋体" w:hAnsi="宋体" w:cs="宋体"/>
          <w:b/>
          <w:sz w:val="32"/>
          <w:szCs w:val="32"/>
        </w:rPr>
        <w:t>项 目 名 称：</w:t>
      </w:r>
      <w:r>
        <w:rPr>
          <w:rFonts w:hint="eastAsia" w:ascii="宋体" w:hAnsi="宋体" w:cs="宋体"/>
          <w:b/>
          <w:sz w:val="32"/>
          <w:szCs w:val="32"/>
          <w:u w:val="single"/>
        </w:rPr>
        <w:t xml:space="preserve"> </w:t>
      </w:r>
      <w:r>
        <w:rPr>
          <w:rFonts w:hint="eastAsia" w:ascii="宋体" w:hAnsi="宋体" w:cs="宋体"/>
          <w:sz w:val="32"/>
          <w:szCs w:val="32"/>
          <w:u w:val="single"/>
        </w:rPr>
        <w:t xml:space="preserve">                                </w:t>
      </w:r>
    </w:p>
    <w:p w14:paraId="3C22DB32">
      <w:pPr>
        <w:adjustRightInd w:val="0"/>
        <w:snapToGrid w:val="0"/>
        <w:spacing w:line="600" w:lineRule="exact"/>
        <w:ind w:left="420" w:leftChars="200" w:right="420" w:rightChars="200" w:firstLine="643" w:firstLineChars="200"/>
        <w:contextualSpacing/>
        <w:rPr>
          <w:rFonts w:ascii="宋体" w:hAnsi="宋体" w:cs="宋体"/>
          <w:b/>
          <w:sz w:val="32"/>
          <w:szCs w:val="32"/>
        </w:rPr>
      </w:pPr>
      <w:r>
        <w:rPr>
          <w:rFonts w:hint="eastAsia" w:ascii="宋体" w:hAnsi="宋体" w:cs="宋体"/>
          <w:b/>
          <w:sz w:val="32"/>
          <w:szCs w:val="32"/>
        </w:rPr>
        <w:t>投标人名称 ：</w:t>
      </w:r>
      <w:r>
        <w:rPr>
          <w:rFonts w:hint="eastAsia" w:ascii="宋体" w:hAnsi="宋体" w:cs="宋体"/>
          <w:b/>
          <w:sz w:val="32"/>
          <w:szCs w:val="32"/>
          <w:u w:val="single"/>
        </w:rPr>
        <w:t xml:space="preserve">                                 </w:t>
      </w:r>
    </w:p>
    <w:p w14:paraId="18AC6C35">
      <w:pPr>
        <w:adjustRightInd w:val="0"/>
        <w:snapToGrid w:val="0"/>
        <w:spacing w:line="600" w:lineRule="exact"/>
        <w:ind w:left="420" w:leftChars="200" w:right="420" w:rightChars="200" w:firstLine="643" w:firstLineChars="200"/>
        <w:contextualSpacing/>
        <w:rPr>
          <w:rFonts w:ascii="宋体" w:hAnsi="宋体" w:cs="宋体"/>
          <w:b/>
          <w:sz w:val="32"/>
          <w:szCs w:val="32"/>
        </w:rPr>
      </w:pPr>
      <w:r>
        <w:rPr>
          <w:rFonts w:hint="eastAsia" w:ascii="宋体" w:hAnsi="宋体" w:cs="宋体"/>
          <w:b/>
          <w:sz w:val="32"/>
          <w:szCs w:val="32"/>
        </w:rPr>
        <w:t>日       期 ：</w:t>
      </w:r>
      <w:r>
        <w:rPr>
          <w:rFonts w:hint="eastAsia" w:ascii="宋体" w:hAnsi="宋体" w:cs="宋体"/>
          <w:b/>
          <w:sz w:val="32"/>
          <w:szCs w:val="32"/>
          <w:u w:val="single"/>
        </w:rPr>
        <w:t xml:space="preserve">                                </w:t>
      </w:r>
    </w:p>
    <w:p w14:paraId="6B3BD052">
      <w:pPr>
        <w:snapToGrid w:val="0"/>
        <w:spacing w:line="360" w:lineRule="auto"/>
        <w:jc w:val="center"/>
        <w:rPr>
          <w:rFonts w:ascii="宋体" w:hAnsi="宋体" w:cs="宋体"/>
          <w:b/>
          <w:bCs/>
          <w:sz w:val="28"/>
          <w:szCs w:val="28"/>
        </w:rPr>
      </w:pPr>
    </w:p>
    <w:p w14:paraId="7DEADA0E">
      <w:pPr>
        <w:autoSpaceDE w:val="0"/>
        <w:autoSpaceDN w:val="0"/>
        <w:adjustRightInd w:val="0"/>
        <w:snapToGrid w:val="0"/>
        <w:spacing w:line="500" w:lineRule="exact"/>
        <w:ind w:left="420" w:leftChars="200" w:right="420" w:rightChars="200" w:firstLine="562" w:firstLineChars="200"/>
        <w:contextualSpacing/>
        <w:rPr>
          <w:rFonts w:ascii="宋体" w:hAnsi="宋体" w:cs="宋体"/>
          <w:b/>
          <w:bCs/>
          <w:sz w:val="28"/>
          <w:szCs w:val="28"/>
        </w:rPr>
      </w:pPr>
      <w:r>
        <w:rPr>
          <w:rFonts w:hint="eastAsia" w:ascii="宋体" w:hAnsi="宋体" w:cs="宋体"/>
          <w:b/>
          <w:bCs/>
          <w:sz w:val="28"/>
          <w:szCs w:val="28"/>
          <w:lang w:val="zh-CN"/>
        </w:rPr>
        <w:t>说明：</w:t>
      </w:r>
    </w:p>
    <w:p w14:paraId="6135294A">
      <w:pPr>
        <w:autoSpaceDE w:val="0"/>
        <w:autoSpaceDN w:val="0"/>
        <w:adjustRightInd w:val="0"/>
        <w:snapToGrid w:val="0"/>
        <w:spacing w:line="500" w:lineRule="exact"/>
        <w:ind w:left="420" w:leftChars="200" w:right="420" w:rightChars="200" w:firstLine="562" w:firstLineChars="200"/>
        <w:contextualSpacing/>
        <w:jc w:val="center"/>
        <w:rPr>
          <w:rFonts w:ascii="宋体" w:hAnsi="宋体" w:cs="宋体"/>
          <w:sz w:val="24"/>
        </w:rPr>
      </w:pPr>
      <w:r>
        <w:rPr>
          <w:rFonts w:hint="eastAsia" w:ascii="宋体" w:hAnsi="宋体" w:cs="宋体"/>
          <w:b/>
          <w:bCs/>
          <w:sz w:val="28"/>
          <w:szCs w:val="28"/>
          <w:lang w:val="zh-CN"/>
        </w:rPr>
        <w:t>对本章所有的投标文件格式 ，投标人可根据自身情况进行补充和修改，但补充和修改不得造成与本格式内容有实质性的违背。</w:t>
      </w:r>
    </w:p>
    <w:p w14:paraId="6FF99C95">
      <w:pPr>
        <w:widowControl/>
        <w:jc w:val="center"/>
        <w:rPr>
          <w:rFonts w:ascii="宋体" w:hAnsi="宋体" w:cs="宋体"/>
          <w:b/>
          <w:bCs/>
          <w:sz w:val="28"/>
          <w:szCs w:val="28"/>
        </w:rPr>
      </w:pPr>
      <w:r>
        <w:rPr>
          <w:b/>
          <w:sz w:val="36"/>
          <w:szCs w:val="36"/>
        </w:rPr>
        <w:br w:type="page"/>
      </w:r>
      <w:r>
        <w:rPr>
          <w:rFonts w:hint="eastAsia" w:ascii="宋体" w:hAnsi="宋体" w:cs="宋体"/>
          <w:b/>
          <w:sz w:val="28"/>
          <w:szCs w:val="28"/>
        </w:rPr>
        <w:t>评分索引表</w:t>
      </w:r>
    </w:p>
    <w:tbl>
      <w:tblPr>
        <w:tblStyle w:val="21"/>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6"/>
        <w:gridCol w:w="3261"/>
      </w:tblGrid>
      <w:tr w14:paraId="0867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386" w:type="dxa"/>
            <w:tcBorders>
              <w:top w:val="single" w:color="auto" w:sz="4" w:space="0"/>
              <w:left w:val="single" w:color="auto" w:sz="4" w:space="0"/>
              <w:bottom w:val="single" w:color="auto" w:sz="4" w:space="0"/>
              <w:right w:val="single" w:color="auto" w:sz="4" w:space="0"/>
            </w:tcBorders>
          </w:tcPr>
          <w:p w14:paraId="0CB2B4AB">
            <w:pPr>
              <w:shd w:val="clear" w:color="auto" w:fill="FFFFFF"/>
              <w:adjustRightInd w:val="0"/>
              <w:snapToGrid w:val="0"/>
              <w:spacing w:line="440" w:lineRule="exact"/>
              <w:contextualSpacing/>
              <w:jc w:val="center"/>
              <w:rPr>
                <w:rFonts w:ascii="宋体" w:hAnsi="宋体" w:cs="宋体"/>
                <w:b/>
                <w:bCs/>
                <w:sz w:val="24"/>
              </w:rPr>
            </w:pPr>
            <w:r>
              <w:rPr>
                <w:rFonts w:hint="eastAsia" w:ascii="宋体" w:hAnsi="宋体" w:cs="宋体"/>
                <w:b/>
                <w:sz w:val="24"/>
              </w:rPr>
              <w:t>评分项目</w:t>
            </w:r>
          </w:p>
        </w:tc>
        <w:tc>
          <w:tcPr>
            <w:tcW w:w="3261" w:type="dxa"/>
            <w:tcBorders>
              <w:top w:val="single" w:color="auto" w:sz="4" w:space="0"/>
              <w:left w:val="single" w:color="auto" w:sz="4" w:space="0"/>
              <w:bottom w:val="single" w:color="auto" w:sz="4" w:space="0"/>
              <w:right w:val="single" w:color="auto" w:sz="4" w:space="0"/>
            </w:tcBorders>
          </w:tcPr>
          <w:p w14:paraId="2FBCB6B7">
            <w:pPr>
              <w:adjustRightInd w:val="0"/>
              <w:snapToGrid w:val="0"/>
              <w:spacing w:line="440" w:lineRule="exact"/>
              <w:contextualSpacing/>
              <w:jc w:val="center"/>
              <w:rPr>
                <w:rFonts w:ascii="宋体" w:hAnsi="宋体" w:cs="宋体"/>
                <w:b/>
                <w:sz w:val="24"/>
              </w:rPr>
            </w:pPr>
            <w:r>
              <w:rPr>
                <w:rFonts w:hint="eastAsia" w:ascii="宋体" w:hAnsi="宋体" w:cs="宋体"/>
                <w:b/>
                <w:sz w:val="24"/>
                <w:lang w:bidi="en-US"/>
              </w:rPr>
              <w:t>在投标文件中的页码位置</w:t>
            </w:r>
          </w:p>
        </w:tc>
      </w:tr>
      <w:tr w14:paraId="2E1D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386" w:type="dxa"/>
            <w:tcBorders>
              <w:top w:val="single" w:color="auto" w:sz="4" w:space="0"/>
              <w:left w:val="single" w:color="auto" w:sz="4" w:space="0"/>
              <w:bottom w:val="single" w:color="auto" w:sz="4" w:space="0"/>
              <w:right w:val="single" w:color="auto" w:sz="4" w:space="0"/>
            </w:tcBorders>
          </w:tcPr>
          <w:p w14:paraId="14086637">
            <w:pPr>
              <w:shd w:val="clear" w:color="auto" w:fill="FFFFFF"/>
              <w:adjustRightInd w:val="0"/>
              <w:snapToGrid w:val="0"/>
              <w:spacing w:line="440" w:lineRule="exact"/>
              <w:ind w:firstLine="482" w:firstLineChars="200"/>
              <w:contextualSpacing/>
              <w:rPr>
                <w:rFonts w:ascii="宋体" w:hAnsi="宋体" w:cs="宋体"/>
                <w:b/>
                <w:sz w:val="24"/>
                <w:szCs w:val="21"/>
              </w:rPr>
            </w:pPr>
          </w:p>
        </w:tc>
        <w:tc>
          <w:tcPr>
            <w:tcW w:w="3261" w:type="dxa"/>
            <w:tcBorders>
              <w:top w:val="single" w:color="auto" w:sz="4" w:space="0"/>
              <w:left w:val="single" w:color="auto" w:sz="4" w:space="0"/>
              <w:bottom w:val="single" w:color="auto" w:sz="4" w:space="0"/>
              <w:right w:val="single" w:color="auto" w:sz="4" w:space="0"/>
            </w:tcBorders>
          </w:tcPr>
          <w:p w14:paraId="6E741823">
            <w:pPr>
              <w:adjustRightInd w:val="0"/>
              <w:snapToGrid w:val="0"/>
              <w:spacing w:after="200" w:line="440" w:lineRule="exact"/>
              <w:contextualSpacing/>
              <w:rPr>
                <w:rFonts w:ascii="宋体" w:hAnsi="宋体" w:cs="宋体"/>
                <w:b/>
                <w:sz w:val="24"/>
                <w:szCs w:val="21"/>
                <w:lang w:bidi="en-US"/>
              </w:rPr>
            </w:pPr>
          </w:p>
        </w:tc>
      </w:tr>
      <w:tr w14:paraId="6F5E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647" w:type="dxa"/>
            <w:gridSpan w:val="2"/>
            <w:tcBorders>
              <w:top w:val="single" w:color="auto" w:sz="4" w:space="0"/>
              <w:left w:val="single" w:color="auto" w:sz="4" w:space="0"/>
              <w:bottom w:val="single" w:color="auto" w:sz="4" w:space="0"/>
              <w:right w:val="single" w:color="auto" w:sz="4" w:space="0"/>
            </w:tcBorders>
          </w:tcPr>
          <w:p w14:paraId="19BED088">
            <w:pPr>
              <w:shd w:val="clear" w:color="auto" w:fill="FFFFFF"/>
              <w:adjustRightInd w:val="0"/>
              <w:snapToGrid w:val="0"/>
              <w:spacing w:line="440" w:lineRule="exact"/>
              <w:ind w:firstLine="480" w:firstLineChars="200"/>
              <w:contextualSpacing/>
              <w:rPr>
                <w:rFonts w:ascii="宋体" w:hAnsi="宋体" w:cs="宋体"/>
                <w:sz w:val="24"/>
                <w:szCs w:val="21"/>
              </w:rPr>
            </w:pPr>
          </w:p>
        </w:tc>
      </w:tr>
      <w:tr w14:paraId="17FA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386" w:type="dxa"/>
            <w:tcBorders>
              <w:top w:val="single" w:color="auto" w:sz="4" w:space="0"/>
              <w:left w:val="single" w:color="auto" w:sz="4" w:space="0"/>
              <w:bottom w:val="single" w:color="auto" w:sz="4" w:space="0"/>
              <w:right w:val="single" w:color="auto" w:sz="4" w:space="0"/>
            </w:tcBorders>
          </w:tcPr>
          <w:p w14:paraId="10B19582">
            <w:pPr>
              <w:shd w:val="clear" w:color="auto" w:fill="FFFFFF"/>
              <w:adjustRightInd w:val="0"/>
              <w:snapToGrid w:val="0"/>
              <w:spacing w:line="440" w:lineRule="exact"/>
              <w:ind w:firstLine="480" w:firstLineChars="200"/>
              <w:contextualSpacing/>
              <w:rPr>
                <w:rFonts w:ascii="宋体" w:hAnsi="宋体" w:cs="宋体"/>
                <w:sz w:val="24"/>
                <w:szCs w:val="21"/>
              </w:rPr>
            </w:pPr>
          </w:p>
        </w:tc>
        <w:tc>
          <w:tcPr>
            <w:tcW w:w="3261" w:type="dxa"/>
            <w:tcBorders>
              <w:top w:val="single" w:color="auto" w:sz="4" w:space="0"/>
              <w:left w:val="single" w:color="auto" w:sz="4" w:space="0"/>
              <w:bottom w:val="single" w:color="auto" w:sz="4" w:space="0"/>
              <w:right w:val="single" w:color="auto" w:sz="4" w:space="0"/>
            </w:tcBorders>
          </w:tcPr>
          <w:p w14:paraId="47905A48">
            <w:pPr>
              <w:adjustRightInd w:val="0"/>
              <w:snapToGrid w:val="0"/>
              <w:spacing w:after="200" w:line="440" w:lineRule="exact"/>
              <w:contextualSpacing/>
              <w:rPr>
                <w:rFonts w:ascii="宋体" w:hAnsi="宋体" w:cs="宋体"/>
                <w:sz w:val="24"/>
                <w:szCs w:val="21"/>
              </w:rPr>
            </w:pPr>
          </w:p>
        </w:tc>
      </w:tr>
      <w:tr w14:paraId="3C88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386" w:type="dxa"/>
            <w:tcBorders>
              <w:top w:val="single" w:color="auto" w:sz="4" w:space="0"/>
              <w:left w:val="single" w:color="auto" w:sz="4" w:space="0"/>
              <w:bottom w:val="single" w:color="auto" w:sz="4" w:space="0"/>
              <w:right w:val="single" w:color="auto" w:sz="4" w:space="0"/>
            </w:tcBorders>
          </w:tcPr>
          <w:p w14:paraId="59313364">
            <w:pPr>
              <w:shd w:val="clear" w:color="auto" w:fill="FFFFFF"/>
              <w:adjustRightInd w:val="0"/>
              <w:snapToGrid w:val="0"/>
              <w:spacing w:line="440" w:lineRule="exact"/>
              <w:ind w:firstLine="480" w:firstLineChars="200"/>
              <w:contextualSpacing/>
              <w:rPr>
                <w:rFonts w:ascii="宋体" w:hAnsi="宋体" w:cs="宋体"/>
                <w:sz w:val="24"/>
                <w:szCs w:val="21"/>
              </w:rPr>
            </w:pPr>
          </w:p>
        </w:tc>
        <w:tc>
          <w:tcPr>
            <w:tcW w:w="3261" w:type="dxa"/>
            <w:tcBorders>
              <w:top w:val="single" w:color="auto" w:sz="4" w:space="0"/>
              <w:left w:val="single" w:color="auto" w:sz="4" w:space="0"/>
              <w:bottom w:val="single" w:color="auto" w:sz="4" w:space="0"/>
              <w:right w:val="single" w:color="auto" w:sz="4" w:space="0"/>
            </w:tcBorders>
          </w:tcPr>
          <w:p w14:paraId="2EFBC39C">
            <w:pPr>
              <w:adjustRightInd w:val="0"/>
              <w:snapToGrid w:val="0"/>
              <w:spacing w:after="200" w:line="440" w:lineRule="exact"/>
              <w:contextualSpacing/>
              <w:rPr>
                <w:rFonts w:ascii="宋体" w:hAnsi="宋体" w:cs="宋体"/>
                <w:sz w:val="24"/>
                <w:szCs w:val="21"/>
              </w:rPr>
            </w:pPr>
          </w:p>
        </w:tc>
      </w:tr>
      <w:tr w14:paraId="5033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386" w:type="dxa"/>
            <w:tcBorders>
              <w:top w:val="single" w:color="auto" w:sz="4" w:space="0"/>
              <w:left w:val="single" w:color="auto" w:sz="4" w:space="0"/>
              <w:bottom w:val="single" w:color="auto" w:sz="4" w:space="0"/>
              <w:right w:val="single" w:color="auto" w:sz="4" w:space="0"/>
            </w:tcBorders>
          </w:tcPr>
          <w:p w14:paraId="7D2C8189">
            <w:pPr>
              <w:shd w:val="clear" w:color="auto" w:fill="FFFFFF"/>
              <w:adjustRightInd w:val="0"/>
              <w:snapToGrid w:val="0"/>
              <w:spacing w:line="440" w:lineRule="exact"/>
              <w:ind w:firstLine="480" w:firstLineChars="200"/>
              <w:contextualSpacing/>
              <w:rPr>
                <w:rFonts w:ascii="宋体" w:hAnsi="宋体" w:cs="宋体"/>
                <w:sz w:val="24"/>
                <w:szCs w:val="21"/>
              </w:rPr>
            </w:pPr>
          </w:p>
        </w:tc>
        <w:tc>
          <w:tcPr>
            <w:tcW w:w="3261" w:type="dxa"/>
            <w:tcBorders>
              <w:top w:val="single" w:color="auto" w:sz="4" w:space="0"/>
              <w:left w:val="single" w:color="auto" w:sz="4" w:space="0"/>
              <w:bottom w:val="single" w:color="auto" w:sz="4" w:space="0"/>
              <w:right w:val="single" w:color="auto" w:sz="4" w:space="0"/>
            </w:tcBorders>
          </w:tcPr>
          <w:p w14:paraId="3F029438">
            <w:pPr>
              <w:adjustRightInd w:val="0"/>
              <w:snapToGrid w:val="0"/>
              <w:spacing w:after="200" w:line="440" w:lineRule="exact"/>
              <w:contextualSpacing/>
              <w:rPr>
                <w:rFonts w:ascii="宋体" w:hAnsi="宋体" w:cs="宋体"/>
                <w:sz w:val="24"/>
                <w:szCs w:val="21"/>
              </w:rPr>
            </w:pPr>
          </w:p>
        </w:tc>
      </w:tr>
      <w:tr w14:paraId="686C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386" w:type="dxa"/>
            <w:tcBorders>
              <w:top w:val="single" w:color="auto" w:sz="4" w:space="0"/>
              <w:left w:val="single" w:color="auto" w:sz="4" w:space="0"/>
              <w:bottom w:val="single" w:color="auto" w:sz="4" w:space="0"/>
              <w:right w:val="single" w:color="auto" w:sz="4" w:space="0"/>
            </w:tcBorders>
          </w:tcPr>
          <w:p w14:paraId="1B2EBAD5">
            <w:pPr>
              <w:shd w:val="clear" w:color="auto" w:fill="FFFFFF"/>
              <w:adjustRightInd w:val="0"/>
              <w:snapToGrid w:val="0"/>
              <w:spacing w:line="440" w:lineRule="exact"/>
              <w:ind w:firstLine="480" w:firstLineChars="200"/>
              <w:contextualSpacing/>
              <w:rPr>
                <w:rFonts w:ascii="宋体" w:hAnsi="宋体" w:cs="宋体"/>
                <w:sz w:val="24"/>
                <w:szCs w:val="21"/>
              </w:rPr>
            </w:pPr>
          </w:p>
        </w:tc>
        <w:tc>
          <w:tcPr>
            <w:tcW w:w="3261" w:type="dxa"/>
            <w:tcBorders>
              <w:top w:val="single" w:color="auto" w:sz="4" w:space="0"/>
              <w:left w:val="single" w:color="auto" w:sz="4" w:space="0"/>
              <w:bottom w:val="single" w:color="auto" w:sz="4" w:space="0"/>
              <w:right w:val="single" w:color="auto" w:sz="4" w:space="0"/>
            </w:tcBorders>
          </w:tcPr>
          <w:p w14:paraId="354EB8F3">
            <w:pPr>
              <w:adjustRightInd w:val="0"/>
              <w:snapToGrid w:val="0"/>
              <w:spacing w:after="200" w:line="440" w:lineRule="exact"/>
              <w:contextualSpacing/>
              <w:rPr>
                <w:rFonts w:ascii="宋体" w:hAnsi="宋体" w:cs="宋体"/>
                <w:sz w:val="24"/>
                <w:szCs w:val="21"/>
              </w:rPr>
            </w:pPr>
          </w:p>
        </w:tc>
      </w:tr>
      <w:tr w14:paraId="64A9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386" w:type="dxa"/>
            <w:tcBorders>
              <w:top w:val="single" w:color="auto" w:sz="4" w:space="0"/>
              <w:left w:val="single" w:color="auto" w:sz="4" w:space="0"/>
              <w:bottom w:val="single" w:color="auto" w:sz="4" w:space="0"/>
              <w:right w:val="single" w:color="auto" w:sz="4" w:space="0"/>
            </w:tcBorders>
          </w:tcPr>
          <w:p w14:paraId="61B61BAD">
            <w:pPr>
              <w:shd w:val="clear" w:color="auto" w:fill="FFFFFF"/>
              <w:adjustRightInd w:val="0"/>
              <w:snapToGrid w:val="0"/>
              <w:spacing w:line="440" w:lineRule="exact"/>
              <w:ind w:firstLine="480" w:firstLineChars="200"/>
              <w:contextualSpacing/>
              <w:rPr>
                <w:rFonts w:ascii="宋体" w:hAnsi="宋体" w:cs="宋体"/>
                <w:sz w:val="24"/>
                <w:szCs w:val="21"/>
              </w:rPr>
            </w:pPr>
          </w:p>
        </w:tc>
        <w:tc>
          <w:tcPr>
            <w:tcW w:w="3261" w:type="dxa"/>
            <w:tcBorders>
              <w:top w:val="single" w:color="auto" w:sz="4" w:space="0"/>
              <w:left w:val="single" w:color="auto" w:sz="4" w:space="0"/>
              <w:bottom w:val="single" w:color="auto" w:sz="4" w:space="0"/>
              <w:right w:val="single" w:color="auto" w:sz="4" w:space="0"/>
            </w:tcBorders>
          </w:tcPr>
          <w:p w14:paraId="68A235D4">
            <w:pPr>
              <w:adjustRightInd w:val="0"/>
              <w:snapToGrid w:val="0"/>
              <w:spacing w:after="200" w:line="440" w:lineRule="exact"/>
              <w:contextualSpacing/>
              <w:rPr>
                <w:rFonts w:ascii="宋体" w:hAnsi="宋体" w:cs="宋体"/>
                <w:sz w:val="24"/>
                <w:szCs w:val="21"/>
              </w:rPr>
            </w:pPr>
          </w:p>
        </w:tc>
      </w:tr>
      <w:tr w14:paraId="0B4C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647" w:type="dxa"/>
            <w:gridSpan w:val="2"/>
            <w:tcBorders>
              <w:top w:val="single" w:color="auto" w:sz="4" w:space="0"/>
              <w:left w:val="single" w:color="auto" w:sz="4" w:space="0"/>
              <w:bottom w:val="single" w:color="auto" w:sz="4" w:space="0"/>
              <w:right w:val="single" w:color="auto" w:sz="4" w:space="0"/>
            </w:tcBorders>
          </w:tcPr>
          <w:p w14:paraId="015DEDB9">
            <w:pPr>
              <w:shd w:val="clear" w:color="auto" w:fill="FFFFFF"/>
              <w:adjustRightInd w:val="0"/>
              <w:snapToGrid w:val="0"/>
              <w:spacing w:line="440" w:lineRule="exact"/>
              <w:ind w:firstLine="480" w:firstLineChars="200"/>
              <w:contextualSpacing/>
              <w:rPr>
                <w:rFonts w:ascii="宋体" w:hAnsi="宋体" w:cs="宋体"/>
                <w:sz w:val="24"/>
                <w:szCs w:val="21"/>
              </w:rPr>
            </w:pPr>
          </w:p>
        </w:tc>
      </w:tr>
      <w:tr w14:paraId="13E4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386" w:type="dxa"/>
            <w:tcBorders>
              <w:top w:val="single" w:color="auto" w:sz="4" w:space="0"/>
              <w:left w:val="single" w:color="auto" w:sz="4" w:space="0"/>
              <w:bottom w:val="single" w:color="auto" w:sz="4" w:space="0"/>
              <w:right w:val="single" w:color="auto" w:sz="4" w:space="0"/>
            </w:tcBorders>
          </w:tcPr>
          <w:p w14:paraId="728A9379">
            <w:pPr>
              <w:shd w:val="clear" w:color="auto" w:fill="FFFFFF"/>
              <w:adjustRightInd w:val="0"/>
              <w:snapToGrid w:val="0"/>
              <w:spacing w:line="440" w:lineRule="exact"/>
              <w:ind w:firstLine="480" w:firstLineChars="200"/>
              <w:contextualSpacing/>
              <w:rPr>
                <w:rFonts w:ascii="宋体" w:hAnsi="宋体" w:cs="宋体"/>
                <w:sz w:val="24"/>
                <w:szCs w:val="21"/>
              </w:rPr>
            </w:pPr>
          </w:p>
        </w:tc>
        <w:tc>
          <w:tcPr>
            <w:tcW w:w="3261" w:type="dxa"/>
            <w:tcBorders>
              <w:top w:val="single" w:color="auto" w:sz="4" w:space="0"/>
              <w:left w:val="single" w:color="auto" w:sz="4" w:space="0"/>
              <w:bottom w:val="single" w:color="auto" w:sz="4" w:space="0"/>
              <w:right w:val="single" w:color="auto" w:sz="4" w:space="0"/>
            </w:tcBorders>
          </w:tcPr>
          <w:p w14:paraId="127B04D8">
            <w:pPr>
              <w:adjustRightInd w:val="0"/>
              <w:snapToGrid w:val="0"/>
              <w:spacing w:after="200" w:line="440" w:lineRule="exact"/>
              <w:contextualSpacing/>
              <w:rPr>
                <w:rFonts w:ascii="宋体" w:hAnsi="宋体" w:cs="宋体"/>
                <w:sz w:val="24"/>
                <w:szCs w:val="21"/>
              </w:rPr>
            </w:pPr>
          </w:p>
        </w:tc>
      </w:tr>
      <w:tr w14:paraId="116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386" w:type="dxa"/>
            <w:tcBorders>
              <w:top w:val="single" w:color="auto" w:sz="4" w:space="0"/>
              <w:left w:val="single" w:color="auto" w:sz="4" w:space="0"/>
              <w:bottom w:val="single" w:color="auto" w:sz="4" w:space="0"/>
              <w:right w:val="single" w:color="auto" w:sz="4" w:space="0"/>
            </w:tcBorders>
          </w:tcPr>
          <w:p w14:paraId="642EC440">
            <w:pPr>
              <w:shd w:val="clear" w:color="auto" w:fill="FFFFFF"/>
              <w:adjustRightInd w:val="0"/>
              <w:snapToGrid w:val="0"/>
              <w:spacing w:line="440" w:lineRule="exact"/>
              <w:ind w:firstLine="480" w:firstLineChars="200"/>
              <w:contextualSpacing/>
              <w:rPr>
                <w:rFonts w:ascii="宋体" w:hAnsi="宋体" w:cs="宋体"/>
                <w:sz w:val="24"/>
                <w:szCs w:val="21"/>
              </w:rPr>
            </w:pPr>
          </w:p>
        </w:tc>
        <w:tc>
          <w:tcPr>
            <w:tcW w:w="3261" w:type="dxa"/>
            <w:tcBorders>
              <w:top w:val="single" w:color="auto" w:sz="4" w:space="0"/>
              <w:left w:val="single" w:color="auto" w:sz="4" w:space="0"/>
              <w:bottom w:val="single" w:color="auto" w:sz="4" w:space="0"/>
              <w:right w:val="single" w:color="auto" w:sz="4" w:space="0"/>
            </w:tcBorders>
          </w:tcPr>
          <w:p w14:paraId="6D108B46">
            <w:pPr>
              <w:adjustRightInd w:val="0"/>
              <w:snapToGrid w:val="0"/>
              <w:spacing w:after="200" w:line="440" w:lineRule="exact"/>
              <w:contextualSpacing/>
              <w:rPr>
                <w:rFonts w:ascii="宋体" w:hAnsi="宋体" w:cs="宋体"/>
                <w:sz w:val="24"/>
                <w:szCs w:val="21"/>
              </w:rPr>
            </w:pPr>
          </w:p>
        </w:tc>
      </w:tr>
      <w:tr w14:paraId="1E3AD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386" w:type="dxa"/>
            <w:tcBorders>
              <w:top w:val="single" w:color="auto" w:sz="4" w:space="0"/>
              <w:left w:val="single" w:color="auto" w:sz="4" w:space="0"/>
              <w:bottom w:val="single" w:color="auto" w:sz="4" w:space="0"/>
              <w:right w:val="single" w:color="auto" w:sz="4" w:space="0"/>
            </w:tcBorders>
          </w:tcPr>
          <w:p w14:paraId="2CE989CC">
            <w:pPr>
              <w:shd w:val="clear" w:color="auto" w:fill="FFFFFF"/>
              <w:adjustRightInd w:val="0"/>
              <w:snapToGrid w:val="0"/>
              <w:spacing w:line="440" w:lineRule="exact"/>
              <w:ind w:firstLine="480" w:firstLineChars="200"/>
              <w:contextualSpacing/>
              <w:rPr>
                <w:rFonts w:ascii="宋体" w:hAnsi="宋体" w:cs="宋体"/>
                <w:sz w:val="24"/>
                <w:szCs w:val="21"/>
              </w:rPr>
            </w:pPr>
          </w:p>
        </w:tc>
        <w:tc>
          <w:tcPr>
            <w:tcW w:w="3261" w:type="dxa"/>
            <w:tcBorders>
              <w:top w:val="single" w:color="auto" w:sz="4" w:space="0"/>
              <w:left w:val="single" w:color="auto" w:sz="4" w:space="0"/>
              <w:bottom w:val="single" w:color="auto" w:sz="4" w:space="0"/>
              <w:right w:val="single" w:color="auto" w:sz="4" w:space="0"/>
            </w:tcBorders>
          </w:tcPr>
          <w:p w14:paraId="5666F9CC">
            <w:pPr>
              <w:adjustRightInd w:val="0"/>
              <w:snapToGrid w:val="0"/>
              <w:spacing w:after="200" w:line="440" w:lineRule="exact"/>
              <w:contextualSpacing/>
              <w:rPr>
                <w:rFonts w:ascii="宋体" w:hAnsi="宋体" w:cs="宋体"/>
                <w:sz w:val="24"/>
                <w:szCs w:val="21"/>
              </w:rPr>
            </w:pPr>
          </w:p>
        </w:tc>
      </w:tr>
      <w:tr w14:paraId="7884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386" w:type="dxa"/>
            <w:tcBorders>
              <w:top w:val="single" w:color="auto" w:sz="4" w:space="0"/>
              <w:left w:val="single" w:color="auto" w:sz="4" w:space="0"/>
              <w:bottom w:val="single" w:color="auto" w:sz="4" w:space="0"/>
              <w:right w:val="single" w:color="auto" w:sz="4" w:space="0"/>
            </w:tcBorders>
          </w:tcPr>
          <w:p w14:paraId="4A5C46B8">
            <w:pPr>
              <w:shd w:val="clear" w:color="auto" w:fill="FFFFFF"/>
              <w:adjustRightInd w:val="0"/>
              <w:snapToGrid w:val="0"/>
              <w:spacing w:line="440" w:lineRule="exact"/>
              <w:ind w:firstLine="480" w:firstLineChars="200"/>
              <w:contextualSpacing/>
              <w:rPr>
                <w:rFonts w:ascii="宋体" w:hAnsi="宋体" w:cs="宋体"/>
                <w:sz w:val="24"/>
                <w:szCs w:val="21"/>
              </w:rPr>
            </w:pPr>
          </w:p>
        </w:tc>
        <w:tc>
          <w:tcPr>
            <w:tcW w:w="3261" w:type="dxa"/>
            <w:tcBorders>
              <w:top w:val="single" w:color="auto" w:sz="4" w:space="0"/>
              <w:left w:val="single" w:color="auto" w:sz="4" w:space="0"/>
              <w:bottom w:val="single" w:color="auto" w:sz="4" w:space="0"/>
              <w:right w:val="single" w:color="auto" w:sz="4" w:space="0"/>
            </w:tcBorders>
          </w:tcPr>
          <w:p w14:paraId="5F8B3B01">
            <w:pPr>
              <w:adjustRightInd w:val="0"/>
              <w:snapToGrid w:val="0"/>
              <w:spacing w:after="200" w:line="440" w:lineRule="exact"/>
              <w:contextualSpacing/>
              <w:rPr>
                <w:rFonts w:ascii="宋体" w:hAnsi="宋体" w:cs="宋体"/>
                <w:sz w:val="24"/>
                <w:szCs w:val="21"/>
              </w:rPr>
            </w:pPr>
          </w:p>
        </w:tc>
      </w:tr>
      <w:tr w14:paraId="5FBA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386" w:type="dxa"/>
            <w:tcBorders>
              <w:top w:val="single" w:color="auto" w:sz="4" w:space="0"/>
              <w:left w:val="single" w:color="auto" w:sz="4" w:space="0"/>
              <w:bottom w:val="single" w:color="auto" w:sz="4" w:space="0"/>
              <w:right w:val="single" w:color="auto" w:sz="4" w:space="0"/>
            </w:tcBorders>
          </w:tcPr>
          <w:p w14:paraId="1A6948BE">
            <w:pPr>
              <w:shd w:val="clear" w:color="auto" w:fill="FFFFFF"/>
              <w:adjustRightInd w:val="0"/>
              <w:snapToGrid w:val="0"/>
              <w:spacing w:line="440" w:lineRule="exact"/>
              <w:ind w:firstLine="480" w:firstLineChars="200"/>
              <w:contextualSpacing/>
              <w:rPr>
                <w:rFonts w:ascii="宋体" w:hAnsi="宋体" w:cs="宋体"/>
                <w:sz w:val="24"/>
                <w:szCs w:val="21"/>
              </w:rPr>
            </w:pPr>
          </w:p>
        </w:tc>
        <w:tc>
          <w:tcPr>
            <w:tcW w:w="3261" w:type="dxa"/>
            <w:tcBorders>
              <w:top w:val="single" w:color="auto" w:sz="4" w:space="0"/>
              <w:left w:val="single" w:color="auto" w:sz="4" w:space="0"/>
              <w:bottom w:val="single" w:color="auto" w:sz="4" w:space="0"/>
              <w:right w:val="single" w:color="auto" w:sz="4" w:space="0"/>
            </w:tcBorders>
          </w:tcPr>
          <w:p w14:paraId="40B912B3">
            <w:pPr>
              <w:adjustRightInd w:val="0"/>
              <w:snapToGrid w:val="0"/>
              <w:spacing w:after="200" w:line="440" w:lineRule="exact"/>
              <w:contextualSpacing/>
              <w:rPr>
                <w:rFonts w:ascii="宋体" w:hAnsi="宋体" w:cs="宋体"/>
                <w:sz w:val="24"/>
                <w:szCs w:val="21"/>
              </w:rPr>
            </w:pPr>
          </w:p>
        </w:tc>
      </w:tr>
      <w:tr w14:paraId="2596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47" w:type="dxa"/>
            <w:gridSpan w:val="2"/>
            <w:tcBorders>
              <w:top w:val="single" w:color="auto" w:sz="4" w:space="0"/>
              <w:left w:val="single" w:color="auto" w:sz="4" w:space="0"/>
              <w:bottom w:val="single" w:color="auto" w:sz="4" w:space="0"/>
              <w:right w:val="single" w:color="auto" w:sz="4" w:space="0"/>
            </w:tcBorders>
          </w:tcPr>
          <w:p w14:paraId="1C3CE5C0">
            <w:pPr>
              <w:shd w:val="clear" w:color="auto" w:fill="FFFFFF"/>
              <w:adjustRightInd w:val="0"/>
              <w:snapToGrid w:val="0"/>
              <w:spacing w:line="440" w:lineRule="exact"/>
              <w:ind w:firstLine="482" w:firstLineChars="200"/>
              <w:contextualSpacing/>
              <w:rPr>
                <w:rFonts w:ascii="宋体" w:hAnsi="宋体" w:cs="宋体"/>
                <w:b/>
                <w:sz w:val="24"/>
                <w:szCs w:val="21"/>
              </w:rPr>
            </w:pPr>
          </w:p>
        </w:tc>
      </w:tr>
      <w:tr w14:paraId="4AFEB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386" w:type="dxa"/>
            <w:tcBorders>
              <w:top w:val="single" w:color="auto" w:sz="4" w:space="0"/>
              <w:left w:val="single" w:color="auto" w:sz="4" w:space="0"/>
              <w:bottom w:val="single" w:color="auto" w:sz="4" w:space="0"/>
              <w:right w:val="single" w:color="auto" w:sz="4" w:space="0"/>
            </w:tcBorders>
          </w:tcPr>
          <w:p w14:paraId="647ECF59">
            <w:pPr>
              <w:shd w:val="clear" w:color="auto" w:fill="FFFFFF"/>
              <w:adjustRightInd w:val="0"/>
              <w:snapToGrid w:val="0"/>
              <w:spacing w:line="440" w:lineRule="exact"/>
              <w:ind w:firstLine="482" w:firstLineChars="200"/>
              <w:contextualSpacing/>
              <w:rPr>
                <w:rFonts w:ascii="宋体" w:hAnsi="宋体" w:cs="宋体"/>
                <w:b/>
                <w:bCs/>
                <w:sz w:val="24"/>
                <w:szCs w:val="21"/>
              </w:rPr>
            </w:pPr>
          </w:p>
        </w:tc>
        <w:tc>
          <w:tcPr>
            <w:tcW w:w="3261" w:type="dxa"/>
            <w:tcBorders>
              <w:top w:val="single" w:color="auto" w:sz="4" w:space="0"/>
              <w:left w:val="single" w:color="auto" w:sz="4" w:space="0"/>
              <w:bottom w:val="single" w:color="auto" w:sz="4" w:space="0"/>
              <w:right w:val="single" w:color="auto" w:sz="4" w:space="0"/>
            </w:tcBorders>
          </w:tcPr>
          <w:p w14:paraId="552FD7E3">
            <w:pPr>
              <w:adjustRightInd w:val="0"/>
              <w:snapToGrid w:val="0"/>
              <w:spacing w:after="200" w:line="440" w:lineRule="exact"/>
              <w:contextualSpacing/>
              <w:rPr>
                <w:rFonts w:ascii="宋体" w:hAnsi="宋体" w:cs="宋体"/>
                <w:sz w:val="24"/>
                <w:szCs w:val="21"/>
              </w:rPr>
            </w:pPr>
          </w:p>
        </w:tc>
      </w:tr>
      <w:tr w14:paraId="3AD6A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386" w:type="dxa"/>
            <w:tcBorders>
              <w:top w:val="single" w:color="auto" w:sz="4" w:space="0"/>
              <w:left w:val="single" w:color="auto" w:sz="4" w:space="0"/>
              <w:bottom w:val="single" w:color="auto" w:sz="4" w:space="0"/>
              <w:right w:val="single" w:color="auto" w:sz="4" w:space="0"/>
            </w:tcBorders>
          </w:tcPr>
          <w:p w14:paraId="02D65F0B">
            <w:pPr>
              <w:shd w:val="clear" w:color="auto" w:fill="FFFFFF"/>
              <w:adjustRightInd w:val="0"/>
              <w:snapToGrid w:val="0"/>
              <w:spacing w:line="440" w:lineRule="exact"/>
              <w:ind w:firstLine="480" w:firstLineChars="200"/>
              <w:contextualSpacing/>
              <w:rPr>
                <w:rFonts w:ascii="宋体" w:hAnsi="宋体" w:cs="宋体"/>
                <w:sz w:val="24"/>
                <w:szCs w:val="21"/>
              </w:rPr>
            </w:pPr>
          </w:p>
        </w:tc>
        <w:tc>
          <w:tcPr>
            <w:tcW w:w="3261" w:type="dxa"/>
            <w:tcBorders>
              <w:top w:val="single" w:color="auto" w:sz="4" w:space="0"/>
              <w:left w:val="single" w:color="auto" w:sz="4" w:space="0"/>
              <w:bottom w:val="single" w:color="auto" w:sz="4" w:space="0"/>
              <w:right w:val="single" w:color="auto" w:sz="4" w:space="0"/>
            </w:tcBorders>
          </w:tcPr>
          <w:p w14:paraId="287839BB">
            <w:pPr>
              <w:adjustRightInd w:val="0"/>
              <w:snapToGrid w:val="0"/>
              <w:spacing w:after="200" w:line="440" w:lineRule="exact"/>
              <w:contextualSpacing/>
              <w:rPr>
                <w:rFonts w:ascii="宋体" w:hAnsi="宋体" w:cs="宋体"/>
                <w:sz w:val="24"/>
                <w:szCs w:val="21"/>
              </w:rPr>
            </w:pPr>
          </w:p>
        </w:tc>
      </w:tr>
      <w:tr w14:paraId="12EE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386" w:type="dxa"/>
            <w:tcBorders>
              <w:top w:val="single" w:color="auto" w:sz="4" w:space="0"/>
              <w:left w:val="single" w:color="auto" w:sz="4" w:space="0"/>
              <w:bottom w:val="single" w:color="auto" w:sz="4" w:space="0"/>
              <w:right w:val="single" w:color="auto" w:sz="4" w:space="0"/>
            </w:tcBorders>
          </w:tcPr>
          <w:p w14:paraId="0354E9C0">
            <w:pPr>
              <w:shd w:val="clear" w:color="auto" w:fill="FFFFFF"/>
              <w:adjustRightInd w:val="0"/>
              <w:snapToGrid w:val="0"/>
              <w:spacing w:line="440" w:lineRule="exact"/>
              <w:ind w:firstLine="482" w:firstLineChars="200"/>
              <w:contextualSpacing/>
              <w:rPr>
                <w:rFonts w:ascii="宋体" w:hAnsi="宋体" w:cs="宋体"/>
                <w:b/>
                <w:bCs/>
                <w:sz w:val="24"/>
                <w:szCs w:val="21"/>
              </w:rPr>
            </w:pPr>
          </w:p>
        </w:tc>
        <w:tc>
          <w:tcPr>
            <w:tcW w:w="3261" w:type="dxa"/>
            <w:tcBorders>
              <w:top w:val="single" w:color="auto" w:sz="4" w:space="0"/>
              <w:left w:val="single" w:color="auto" w:sz="4" w:space="0"/>
              <w:bottom w:val="single" w:color="auto" w:sz="4" w:space="0"/>
              <w:right w:val="single" w:color="auto" w:sz="4" w:space="0"/>
            </w:tcBorders>
          </w:tcPr>
          <w:p w14:paraId="39645A48">
            <w:pPr>
              <w:adjustRightInd w:val="0"/>
              <w:snapToGrid w:val="0"/>
              <w:spacing w:after="200" w:line="440" w:lineRule="exact"/>
              <w:contextualSpacing/>
              <w:rPr>
                <w:rFonts w:ascii="宋体" w:hAnsi="宋体" w:cs="宋体"/>
                <w:sz w:val="24"/>
                <w:szCs w:val="21"/>
              </w:rPr>
            </w:pPr>
          </w:p>
        </w:tc>
      </w:tr>
      <w:tr w14:paraId="7795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647" w:type="dxa"/>
            <w:gridSpan w:val="2"/>
            <w:tcBorders>
              <w:top w:val="single" w:color="auto" w:sz="4" w:space="0"/>
              <w:left w:val="single" w:color="auto" w:sz="4" w:space="0"/>
              <w:bottom w:val="single" w:color="auto" w:sz="4" w:space="0"/>
              <w:right w:val="single" w:color="auto" w:sz="4" w:space="0"/>
            </w:tcBorders>
          </w:tcPr>
          <w:p w14:paraId="1914B424">
            <w:pPr>
              <w:shd w:val="clear" w:color="auto" w:fill="FFFFFF"/>
              <w:adjustRightInd w:val="0"/>
              <w:snapToGrid w:val="0"/>
              <w:spacing w:line="440" w:lineRule="exact"/>
              <w:ind w:firstLine="482" w:firstLineChars="200"/>
              <w:contextualSpacing/>
              <w:rPr>
                <w:rFonts w:ascii="宋体" w:hAnsi="宋体" w:cs="宋体"/>
                <w:b/>
                <w:sz w:val="24"/>
                <w:szCs w:val="21"/>
              </w:rPr>
            </w:pPr>
          </w:p>
        </w:tc>
      </w:tr>
      <w:tr w14:paraId="6AC7D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386" w:type="dxa"/>
            <w:tcBorders>
              <w:top w:val="single" w:color="auto" w:sz="4" w:space="0"/>
              <w:left w:val="single" w:color="auto" w:sz="4" w:space="0"/>
              <w:bottom w:val="single" w:color="auto" w:sz="4" w:space="0"/>
              <w:right w:val="single" w:color="auto" w:sz="4" w:space="0"/>
            </w:tcBorders>
          </w:tcPr>
          <w:p w14:paraId="33641D78">
            <w:pPr>
              <w:shd w:val="clear" w:color="auto" w:fill="FFFFFF"/>
              <w:adjustRightInd w:val="0"/>
              <w:snapToGrid w:val="0"/>
              <w:spacing w:line="440" w:lineRule="exact"/>
              <w:ind w:firstLine="480" w:firstLineChars="200"/>
              <w:contextualSpacing/>
              <w:rPr>
                <w:rFonts w:ascii="宋体" w:hAnsi="宋体" w:cs="宋体"/>
                <w:sz w:val="24"/>
                <w:szCs w:val="21"/>
              </w:rPr>
            </w:pPr>
          </w:p>
        </w:tc>
        <w:tc>
          <w:tcPr>
            <w:tcW w:w="3261" w:type="dxa"/>
            <w:tcBorders>
              <w:top w:val="single" w:color="auto" w:sz="4" w:space="0"/>
              <w:left w:val="single" w:color="auto" w:sz="4" w:space="0"/>
              <w:bottom w:val="single" w:color="auto" w:sz="4" w:space="0"/>
              <w:right w:val="single" w:color="auto" w:sz="4" w:space="0"/>
            </w:tcBorders>
          </w:tcPr>
          <w:p w14:paraId="57FC8E68">
            <w:pPr>
              <w:adjustRightInd w:val="0"/>
              <w:snapToGrid w:val="0"/>
              <w:spacing w:after="200" w:line="440" w:lineRule="exact"/>
              <w:contextualSpacing/>
              <w:rPr>
                <w:rFonts w:ascii="宋体" w:hAnsi="宋体" w:cs="宋体"/>
                <w:sz w:val="24"/>
                <w:szCs w:val="21"/>
              </w:rPr>
            </w:pPr>
          </w:p>
        </w:tc>
      </w:tr>
      <w:tr w14:paraId="4DC0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386" w:type="dxa"/>
            <w:tcBorders>
              <w:top w:val="single" w:color="auto" w:sz="4" w:space="0"/>
              <w:left w:val="single" w:color="auto" w:sz="4" w:space="0"/>
              <w:bottom w:val="single" w:color="auto" w:sz="4" w:space="0"/>
              <w:right w:val="single" w:color="auto" w:sz="4" w:space="0"/>
            </w:tcBorders>
          </w:tcPr>
          <w:p w14:paraId="788E3A57">
            <w:pPr>
              <w:shd w:val="clear" w:color="auto" w:fill="FFFFFF"/>
              <w:adjustRightInd w:val="0"/>
              <w:snapToGrid w:val="0"/>
              <w:spacing w:line="440" w:lineRule="exact"/>
              <w:ind w:firstLine="480" w:firstLineChars="200"/>
              <w:contextualSpacing/>
              <w:rPr>
                <w:rFonts w:ascii="宋体" w:hAnsi="宋体" w:cs="宋体"/>
                <w:sz w:val="24"/>
                <w:szCs w:val="21"/>
              </w:rPr>
            </w:pPr>
          </w:p>
        </w:tc>
        <w:tc>
          <w:tcPr>
            <w:tcW w:w="3261" w:type="dxa"/>
            <w:tcBorders>
              <w:top w:val="single" w:color="auto" w:sz="4" w:space="0"/>
              <w:left w:val="single" w:color="auto" w:sz="4" w:space="0"/>
              <w:bottom w:val="single" w:color="auto" w:sz="4" w:space="0"/>
              <w:right w:val="single" w:color="auto" w:sz="4" w:space="0"/>
            </w:tcBorders>
          </w:tcPr>
          <w:p w14:paraId="7E148377">
            <w:pPr>
              <w:adjustRightInd w:val="0"/>
              <w:snapToGrid w:val="0"/>
              <w:spacing w:after="200" w:line="440" w:lineRule="exact"/>
              <w:contextualSpacing/>
              <w:rPr>
                <w:rFonts w:ascii="宋体" w:hAnsi="宋体" w:cs="宋体"/>
                <w:sz w:val="24"/>
                <w:szCs w:val="21"/>
              </w:rPr>
            </w:pPr>
          </w:p>
        </w:tc>
      </w:tr>
    </w:tbl>
    <w:p w14:paraId="13DE685F">
      <w:pPr>
        <w:snapToGrid w:val="0"/>
        <w:spacing w:after="240" w:afterLines="100" w:line="360" w:lineRule="auto"/>
        <w:rPr>
          <w:b/>
          <w:sz w:val="36"/>
          <w:szCs w:val="36"/>
        </w:rPr>
      </w:pPr>
    </w:p>
    <w:p w14:paraId="59E0E555">
      <w:pPr>
        <w:widowControl/>
        <w:ind w:firstLine="361" w:firstLineChars="100"/>
        <w:jc w:val="center"/>
        <w:rPr>
          <w:rFonts w:ascii="宋体" w:hAnsi="宋体" w:cs="宋体"/>
          <w:b/>
          <w:bCs/>
          <w:kern w:val="0"/>
          <w:sz w:val="36"/>
          <w:szCs w:val="36"/>
        </w:rPr>
      </w:pPr>
      <w:r>
        <w:rPr>
          <w:b/>
          <w:sz w:val="36"/>
          <w:szCs w:val="36"/>
        </w:rPr>
        <w:br w:type="page"/>
      </w:r>
      <w:r>
        <w:rPr>
          <w:rFonts w:hint="eastAsia" w:ascii="宋体" w:hAnsi="宋体" w:cs="宋体"/>
          <w:b/>
          <w:bCs/>
          <w:sz w:val="36"/>
          <w:szCs w:val="36"/>
        </w:rPr>
        <w:t>投标主要文件目录</w:t>
      </w:r>
    </w:p>
    <w:p w14:paraId="2E201C6A">
      <w:pPr>
        <w:adjustRightInd w:val="0"/>
        <w:snapToGrid w:val="0"/>
        <w:spacing w:line="440" w:lineRule="exact"/>
        <w:ind w:left="210" w:leftChars="100" w:right="210" w:rightChars="100" w:firstLine="482" w:firstLineChars="200"/>
        <w:contextualSpacing/>
        <w:rPr>
          <w:rFonts w:ascii="宋体" w:hAnsi="宋体"/>
          <w:b/>
          <w:snapToGrid w:val="0"/>
          <w:sz w:val="24"/>
        </w:rPr>
      </w:pPr>
      <w:r>
        <w:rPr>
          <w:rFonts w:hint="eastAsia" w:ascii="宋体" w:hAnsi="宋体"/>
          <w:b/>
          <w:snapToGrid w:val="0"/>
          <w:sz w:val="24"/>
        </w:rPr>
        <w:t>1</w:t>
      </w:r>
      <w:r>
        <w:rPr>
          <w:rFonts w:ascii="宋体" w:hAnsi="宋体"/>
          <w:b/>
          <w:snapToGrid w:val="0"/>
          <w:sz w:val="24"/>
        </w:rPr>
        <w:t>.</w:t>
      </w:r>
      <w:r>
        <w:rPr>
          <w:rFonts w:hint="eastAsia" w:ascii="宋体" w:hAnsi="宋体"/>
          <w:snapToGrid w:val="0"/>
          <w:sz w:val="24"/>
        </w:rPr>
        <w:t xml:space="preserve"> </w:t>
      </w:r>
      <w:r>
        <w:rPr>
          <w:rFonts w:hint="eastAsia" w:ascii="宋体" w:hAnsi="宋体"/>
          <w:b/>
          <w:snapToGrid w:val="0"/>
          <w:sz w:val="24"/>
        </w:rPr>
        <w:t>资格审查</w:t>
      </w:r>
      <w:r>
        <w:rPr>
          <w:rFonts w:hint="eastAsia" w:ascii="宋体" w:hAnsi="宋体" w:cs="宋体"/>
          <w:b/>
          <w:bCs/>
          <w:sz w:val="24"/>
        </w:rPr>
        <w:t>证明文件</w:t>
      </w:r>
    </w:p>
    <w:p w14:paraId="69F2FB06">
      <w:pPr>
        <w:tabs>
          <w:tab w:val="left" w:pos="1300"/>
          <w:tab w:val="left" w:pos="1600"/>
        </w:tabs>
        <w:adjustRightInd w:val="0"/>
        <w:snapToGrid w:val="0"/>
        <w:spacing w:line="440" w:lineRule="exact"/>
        <w:ind w:left="210" w:leftChars="100" w:right="210" w:rightChars="100" w:firstLine="480" w:firstLineChars="200"/>
        <w:contextualSpacing/>
        <w:rPr>
          <w:rFonts w:ascii="宋体" w:hAnsi="宋体"/>
          <w:snapToGrid w:val="0"/>
          <w:sz w:val="24"/>
        </w:rPr>
      </w:pPr>
      <w:r>
        <w:rPr>
          <w:rFonts w:ascii="宋体" w:hAnsi="宋体"/>
          <w:snapToGrid w:val="0"/>
          <w:sz w:val="24"/>
        </w:rPr>
        <w:t>1.1</w:t>
      </w:r>
      <w:r>
        <w:rPr>
          <w:rFonts w:hint="eastAsia" w:ascii="宋体" w:hAnsi="宋体"/>
          <w:snapToGrid w:val="0"/>
          <w:sz w:val="24"/>
        </w:rPr>
        <w:t>针对本项目的授权委托书原件；</w:t>
      </w:r>
    </w:p>
    <w:p w14:paraId="1D6F5F51">
      <w:pPr>
        <w:tabs>
          <w:tab w:val="left" w:pos="1300"/>
          <w:tab w:val="left" w:pos="1600"/>
        </w:tabs>
        <w:adjustRightInd w:val="0"/>
        <w:snapToGrid w:val="0"/>
        <w:spacing w:line="440" w:lineRule="exact"/>
        <w:ind w:left="210" w:leftChars="100" w:right="210" w:rightChars="100" w:firstLine="480" w:firstLineChars="200"/>
        <w:contextualSpacing/>
        <w:rPr>
          <w:rFonts w:ascii="宋体" w:hAnsi="宋体"/>
          <w:snapToGrid w:val="0"/>
          <w:sz w:val="24"/>
        </w:rPr>
      </w:pPr>
      <w:r>
        <w:rPr>
          <w:rFonts w:ascii="宋体" w:hAnsi="宋体"/>
          <w:snapToGrid w:val="0"/>
          <w:sz w:val="24"/>
        </w:rPr>
        <w:t>1.2</w:t>
      </w:r>
      <w:r>
        <w:rPr>
          <w:rFonts w:hint="eastAsia" w:ascii="宋体" w:hAnsi="宋体"/>
          <w:snapToGrid w:val="0"/>
          <w:sz w:val="24"/>
        </w:rPr>
        <w:t>企业法人营业执照；</w:t>
      </w:r>
    </w:p>
    <w:p w14:paraId="79C5D12A">
      <w:pPr>
        <w:tabs>
          <w:tab w:val="left" w:pos="1300"/>
          <w:tab w:val="left" w:pos="1600"/>
        </w:tabs>
        <w:adjustRightInd w:val="0"/>
        <w:snapToGrid w:val="0"/>
        <w:spacing w:line="440" w:lineRule="exact"/>
        <w:ind w:left="210" w:leftChars="100" w:right="210" w:rightChars="100" w:firstLine="480" w:firstLineChars="200"/>
        <w:contextualSpacing/>
        <w:rPr>
          <w:rFonts w:ascii="宋体" w:hAnsi="宋体"/>
          <w:snapToGrid w:val="0"/>
          <w:sz w:val="24"/>
        </w:rPr>
      </w:pPr>
      <w:r>
        <w:rPr>
          <w:rFonts w:ascii="宋体" w:hAnsi="宋体"/>
          <w:snapToGrid w:val="0"/>
          <w:sz w:val="24"/>
        </w:rPr>
        <w:t>1.3</w:t>
      </w:r>
      <w:r>
        <w:rPr>
          <w:rFonts w:hint="eastAsia" w:ascii="宋体" w:hAnsi="宋体"/>
          <w:snapToGrid w:val="0"/>
          <w:sz w:val="24"/>
        </w:rPr>
        <w:t>企业资质证书；</w:t>
      </w:r>
    </w:p>
    <w:p w14:paraId="37C95DEB">
      <w:pPr>
        <w:tabs>
          <w:tab w:val="left" w:pos="1300"/>
          <w:tab w:val="left" w:pos="1600"/>
        </w:tabs>
        <w:adjustRightInd w:val="0"/>
        <w:snapToGrid w:val="0"/>
        <w:spacing w:line="440" w:lineRule="exact"/>
        <w:ind w:left="210" w:leftChars="100" w:right="210" w:rightChars="100" w:firstLine="480" w:firstLineChars="200"/>
        <w:contextualSpacing/>
        <w:rPr>
          <w:rFonts w:ascii="宋体" w:hAnsi="宋体"/>
          <w:snapToGrid w:val="0"/>
          <w:sz w:val="24"/>
        </w:rPr>
      </w:pPr>
      <w:r>
        <w:rPr>
          <w:rFonts w:ascii="宋体" w:hAnsi="宋体"/>
          <w:snapToGrid w:val="0"/>
          <w:sz w:val="24"/>
        </w:rPr>
        <w:t>1.4</w:t>
      </w:r>
      <w:r>
        <w:rPr>
          <w:rFonts w:hint="eastAsia" w:ascii="宋体" w:hAnsi="宋体"/>
          <w:snapToGrid w:val="0"/>
          <w:sz w:val="24"/>
        </w:rPr>
        <w:t>由社保部门出具的投标人为经办人及投标报名项目负责人缴纳的近三个月中任意一个月养老保险费用的证明材料；</w:t>
      </w:r>
    </w:p>
    <w:p w14:paraId="7DDDD44A">
      <w:pPr>
        <w:tabs>
          <w:tab w:val="left" w:pos="1300"/>
          <w:tab w:val="left" w:pos="1600"/>
        </w:tabs>
        <w:adjustRightInd w:val="0"/>
        <w:snapToGrid w:val="0"/>
        <w:spacing w:line="440" w:lineRule="exact"/>
        <w:ind w:left="210" w:leftChars="100" w:right="210" w:rightChars="100" w:firstLine="480" w:firstLineChars="200"/>
        <w:contextualSpacing/>
        <w:rPr>
          <w:rFonts w:ascii="宋体" w:hAnsi="宋体"/>
          <w:snapToGrid w:val="0"/>
          <w:sz w:val="24"/>
        </w:rPr>
      </w:pPr>
      <w:r>
        <w:rPr>
          <w:rFonts w:ascii="宋体" w:hAnsi="宋体"/>
          <w:snapToGrid w:val="0"/>
          <w:sz w:val="24"/>
        </w:rPr>
        <w:t>1.5</w:t>
      </w:r>
      <w:r>
        <w:rPr>
          <w:rFonts w:hint="eastAsia" w:ascii="宋体" w:hAnsi="宋体"/>
          <w:snapToGrid w:val="0"/>
          <w:sz w:val="24"/>
        </w:rPr>
        <w:t>投标单位不在供应商被“信用中国”网站（www.creditchina.gov.cn）、“中国政府采购网"(www.ccgp.gov.cn)列入失信被执行人、重大税收违法案件当事人名单、政府采购严重违法失信行为记录名单的截图，并盖章；</w:t>
      </w:r>
    </w:p>
    <w:p w14:paraId="3BD48624">
      <w:pPr>
        <w:tabs>
          <w:tab w:val="left" w:pos="1300"/>
          <w:tab w:val="left" w:pos="1600"/>
        </w:tabs>
        <w:adjustRightInd w:val="0"/>
        <w:snapToGrid w:val="0"/>
        <w:spacing w:line="440" w:lineRule="exact"/>
        <w:ind w:left="210" w:leftChars="100" w:right="210" w:rightChars="100" w:firstLine="480" w:firstLineChars="200"/>
        <w:contextualSpacing/>
        <w:rPr>
          <w:rFonts w:ascii="宋体" w:hAnsi="宋体"/>
          <w:snapToGrid w:val="0"/>
          <w:sz w:val="24"/>
        </w:rPr>
      </w:pPr>
      <w:r>
        <w:rPr>
          <w:rFonts w:ascii="宋体" w:hAnsi="宋体"/>
          <w:snapToGrid w:val="0"/>
          <w:sz w:val="24"/>
        </w:rPr>
        <w:t>1.6</w:t>
      </w:r>
      <w:r>
        <w:rPr>
          <w:rFonts w:hint="eastAsia" w:ascii="宋体" w:hAnsi="宋体"/>
          <w:snapToGrid w:val="0"/>
          <w:sz w:val="24"/>
        </w:rPr>
        <w:t>需求响应表（格式自拟）；</w:t>
      </w:r>
    </w:p>
    <w:p w14:paraId="7E817A97">
      <w:pPr>
        <w:tabs>
          <w:tab w:val="left" w:pos="1300"/>
          <w:tab w:val="left" w:pos="1600"/>
        </w:tabs>
        <w:adjustRightInd w:val="0"/>
        <w:snapToGrid w:val="0"/>
        <w:spacing w:line="440" w:lineRule="exact"/>
        <w:ind w:left="210" w:leftChars="100" w:right="210" w:rightChars="100" w:firstLine="480" w:firstLineChars="200"/>
        <w:contextualSpacing/>
        <w:rPr>
          <w:rFonts w:ascii="宋体" w:hAnsi="宋体"/>
          <w:snapToGrid w:val="0"/>
          <w:sz w:val="24"/>
        </w:rPr>
      </w:pPr>
      <w:r>
        <w:rPr>
          <w:rFonts w:ascii="宋体" w:hAnsi="宋体"/>
          <w:snapToGrid w:val="0"/>
          <w:sz w:val="24"/>
        </w:rPr>
        <w:t>1.7</w:t>
      </w:r>
      <w:r>
        <w:rPr>
          <w:rFonts w:hint="eastAsia" w:ascii="宋体" w:hAnsi="宋体"/>
          <w:snapToGrid w:val="0"/>
          <w:sz w:val="24"/>
        </w:rPr>
        <w:t>投标人认为需要提供的其他材料。</w:t>
      </w:r>
    </w:p>
    <w:p w14:paraId="01C61336">
      <w:pPr>
        <w:tabs>
          <w:tab w:val="left" w:pos="1300"/>
          <w:tab w:val="left" w:pos="1600"/>
        </w:tabs>
        <w:adjustRightInd w:val="0"/>
        <w:snapToGrid w:val="0"/>
        <w:spacing w:line="440" w:lineRule="exact"/>
        <w:ind w:left="210" w:leftChars="100" w:right="210" w:rightChars="100" w:firstLine="482" w:firstLineChars="200"/>
        <w:contextualSpacing/>
        <w:rPr>
          <w:rFonts w:ascii="宋体" w:hAnsi="宋体"/>
          <w:b/>
          <w:snapToGrid w:val="0"/>
          <w:sz w:val="24"/>
        </w:rPr>
      </w:pPr>
      <w:r>
        <w:rPr>
          <w:rFonts w:hint="eastAsia" w:ascii="宋体" w:hAnsi="宋体"/>
          <w:b/>
          <w:snapToGrid w:val="0"/>
          <w:sz w:val="24"/>
        </w:rPr>
        <w:t>2</w:t>
      </w:r>
      <w:r>
        <w:rPr>
          <w:rFonts w:ascii="宋体" w:hAnsi="宋体"/>
          <w:b/>
          <w:snapToGrid w:val="0"/>
          <w:sz w:val="24"/>
        </w:rPr>
        <w:t>.</w:t>
      </w:r>
      <w:r>
        <w:rPr>
          <w:rFonts w:hint="eastAsia" w:ascii="宋体" w:hAnsi="宋体"/>
          <w:b/>
          <w:snapToGrid w:val="0"/>
          <w:sz w:val="24"/>
        </w:rPr>
        <w:t>报价文件</w:t>
      </w:r>
    </w:p>
    <w:p w14:paraId="2A9B8011">
      <w:pPr>
        <w:tabs>
          <w:tab w:val="left" w:pos="1300"/>
          <w:tab w:val="left" w:pos="1600"/>
        </w:tabs>
        <w:adjustRightInd w:val="0"/>
        <w:snapToGrid w:val="0"/>
        <w:spacing w:line="440" w:lineRule="exact"/>
        <w:ind w:left="210" w:leftChars="100" w:right="210" w:rightChars="100" w:firstLine="480" w:firstLineChars="200"/>
        <w:contextualSpacing/>
        <w:rPr>
          <w:rFonts w:ascii="宋体" w:hAnsi="宋体"/>
          <w:snapToGrid w:val="0"/>
          <w:sz w:val="24"/>
        </w:rPr>
      </w:pPr>
      <w:r>
        <w:rPr>
          <w:rFonts w:ascii="宋体" w:hAnsi="宋体"/>
          <w:snapToGrid w:val="0"/>
          <w:sz w:val="24"/>
        </w:rPr>
        <w:t>2.1</w:t>
      </w:r>
      <w:r>
        <w:rPr>
          <w:rFonts w:hint="eastAsia" w:ascii="宋体" w:hAnsi="宋体"/>
          <w:snapToGrid w:val="0"/>
          <w:sz w:val="24"/>
        </w:rPr>
        <w:t>投标函</w:t>
      </w:r>
    </w:p>
    <w:p w14:paraId="6AD03E63">
      <w:pPr>
        <w:adjustRightInd w:val="0"/>
        <w:snapToGrid w:val="0"/>
        <w:spacing w:line="440" w:lineRule="exact"/>
        <w:ind w:left="210" w:leftChars="100" w:right="210" w:rightChars="100" w:firstLine="480" w:firstLineChars="200"/>
        <w:contextualSpacing/>
        <w:rPr>
          <w:rFonts w:ascii="宋体" w:hAnsi="宋体"/>
          <w:snapToGrid w:val="0"/>
          <w:sz w:val="24"/>
        </w:rPr>
      </w:pPr>
      <w:r>
        <w:rPr>
          <w:rFonts w:ascii="宋体" w:hAnsi="宋体"/>
          <w:snapToGrid w:val="0"/>
          <w:sz w:val="24"/>
        </w:rPr>
        <w:t>2.2</w:t>
      </w:r>
      <w:r>
        <w:rPr>
          <w:rFonts w:hint="eastAsia" w:ascii="宋体" w:hAnsi="宋体"/>
          <w:snapToGrid w:val="0"/>
          <w:sz w:val="24"/>
        </w:rPr>
        <w:t>法人代表授权委托书</w:t>
      </w:r>
    </w:p>
    <w:p w14:paraId="58C1EE05">
      <w:pPr>
        <w:adjustRightInd w:val="0"/>
        <w:snapToGrid w:val="0"/>
        <w:spacing w:line="440" w:lineRule="exact"/>
        <w:ind w:left="210" w:leftChars="100" w:right="210" w:rightChars="100" w:firstLine="480" w:firstLineChars="200"/>
        <w:contextualSpacing/>
        <w:rPr>
          <w:rFonts w:ascii="宋体" w:hAnsi="宋体" w:cs="Arial"/>
          <w:sz w:val="24"/>
        </w:rPr>
      </w:pPr>
      <w:r>
        <w:rPr>
          <w:rFonts w:ascii="宋体" w:hAnsi="宋体" w:cs="Arial"/>
          <w:sz w:val="24"/>
        </w:rPr>
        <w:t>2.3</w:t>
      </w:r>
      <w:r>
        <w:rPr>
          <w:rFonts w:hint="eastAsia" w:ascii="宋体" w:hAnsi="宋体" w:cs="Arial"/>
          <w:sz w:val="24"/>
        </w:rPr>
        <w:t>开标一览表和投标分项报价表</w:t>
      </w:r>
    </w:p>
    <w:p w14:paraId="5695C089">
      <w:pPr>
        <w:tabs>
          <w:tab w:val="left" w:pos="1300"/>
          <w:tab w:val="left" w:pos="1600"/>
        </w:tabs>
        <w:adjustRightInd w:val="0"/>
        <w:snapToGrid w:val="0"/>
        <w:spacing w:line="440" w:lineRule="exact"/>
        <w:ind w:left="210" w:leftChars="100" w:right="210" w:rightChars="100" w:firstLine="480" w:firstLineChars="200"/>
        <w:contextualSpacing/>
        <w:rPr>
          <w:rFonts w:ascii="宋体" w:hAnsi="宋体" w:cs="Arial"/>
          <w:sz w:val="24"/>
        </w:rPr>
      </w:pPr>
      <w:r>
        <w:rPr>
          <w:rFonts w:ascii="宋体" w:hAnsi="宋体"/>
          <w:snapToGrid w:val="0"/>
          <w:sz w:val="24"/>
        </w:rPr>
        <w:t>2.4</w:t>
      </w:r>
      <w:r>
        <w:rPr>
          <w:rFonts w:hint="eastAsia" w:ascii="宋体" w:hAnsi="宋体" w:cs="Arial"/>
          <w:sz w:val="24"/>
        </w:rPr>
        <w:t>技术规格偏离表</w:t>
      </w:r>
    </w:p>
    <w:p w14:paraId="5E2D1DB2">
      <w:pPr>
        <w:adjustRightInd w:val="0"/>
        <w:snapToGrid w:val="0"/>
        <w:spacing w:line="440" w:lineRule="exact"/>
        <w:ind w:left="210" w:leftChars="100" w:right="210" w:rightChars="100" w:firstLine="480" w:firstLineChars="200"/>
        <w:contextualSpacing/>
        <w:rPr>
          <w:rFonts w:ascii="宋体" w:hAnsi="宋体"/>
          <w:kern w:val="0"/>
          <w:sz w:val="24"/>
          <w:lang w:val="zh-CN"/>
        </w:rPr>
      </w:pPr>
      <w:r>
        <w:rPr>
          <w:rFonts w:hint="eastAsia" w:ascii="宋体" w:hAnsi="宋体"/>
          <w:snapToGrid w:val="0"/>
          <w:sz w:val="24"/>
        </w:rPr>
        <w:t>2</w:t>
      </w:r>
      <w:r>
        <w:rPr>
          <w:rFonts w:ascii="宋体" w:hAnsi="宋体"/>
          <w:snapToGrid w:val="0"/>
          <w:sz w:val="24"/>
        </w:rPr>
        <w:t>.5</w:t>
      </w:r>
      <w:r>
        <w:rPr>
          <w:rFonts w:hint="eastAsia" w:ascii="宋体" w:hAnsi="宋体"/>
          <w:b/>
          <w:kern w:val="0"/>
          <w:sz w:val="24"/>
          <w:lang w:val="zh-CN"/>
        </w:rPr>
        <w:t>参</w:t>
      </w:r>
      <w:r>
        <w:rPr>
          <w:rFonts w:hint="eastAsia" w:ascii="宋体" w:hAnsi="宋体"/>
          <w:kern w:val="0"/>
          <w:sz w:val="24"/>
          <w:lang w:val="zh-CN"/>
        </w:rPr>
        <w:t>加政府采购活动前3年内在经营活动中没有重大违法记录的书面声明</w:t>
      </w:r>
    </w:p>
    <w:p w14:paraId="55A5A176">
      <w:pPr>
        <w:pStyle w:val="12"/>
        <w:widowControl/>
        <w:adjustRightInd w:val="0"/>
        <w:snapToGrid w:val="0"/>
        <w:spacing w:line="440" w:lineRule="exact"/>
        <w:ind w:left="210" w:leftChars="100" w:right="210" w:rightChars="100" w:firstLine="480" w:firstLineChars="200"/>
        <w:contextualSpacing/>
        <w:rPr>
          <w:rFonts w:ascii="宋体" w:hAnsi="宋体" w:eastAsia="宋体"/>
          <w:b w:val="0"/>
          <w:bCs w:val="0"/>
          <w:sz w:val="24"/>
        </w:rPr>
      </w:pPr>
      <w:r>
        <w:rPr>
          <w:rFonts w:hint="eastAsia" w:ascii="宋体" w:hAnsi="宋体"/>
          <w:b w:val="0"/>
          <w:snapToGrid w:val="0"/>
          <w:sz w:val="24"/>
          <w:lang w:val="zh-CN"/>
        </w:rPr>
        <w:t>2</w:t>
      </w:r>
      <w:r>
        <w:rPr>
          <w:rFonts w:ascii="宋体" w:hAnsi="宋体"/>
          <w:b w:val="0"/>
          <w:snapToGrid w:val="0"/>
          <w:sz w:val="24"/>
          <w:lang w:val="zh-CN"/>
        </w:rPr>
        <w:t>.6</w:t>
      </w:r>
      <w:r>
        <w:rPr>
          <w:rFonts w:hint="eastAsia" w:ascii="宋体" w:hAnsi="宋体" w:eastAsia="宋体"/>
          <w:b w:val="0"/>
          <w:bCs w:val="0"/>
          <w:sz w:val="24"/>
        </w:rPr>
        <w:t>承诺书</w:t>
      </w:r>
    </w:p>
    <w:p w14:paraId="4AD95DAB">
      <w:pPr>
        <w:tabs>
          <w:tab w:val="left" w:pos="1300"/>
          <w:tab w:val="left" w:pos="1600"/>
        </w:tabs>
        <w:adjustRightInd w:val="0"/>
        <w:snapToGrid w:val="0"/>
        <w:spacing w:line="440" w:lineRule="exact"/>
        <w:ind w:left="210" w:leftChars="100" w:right="210" w:rightChars="100" w:firstLine="480" w:firstLineChars="200"/>
        <w:contextualSpacing/>
        <w:rPr>
          <w:rFonts w:ascii="宋体" w:hAnsi="宋体"/>
          <w:snapToGrid w:val="0"/>
          <w:sz w:val="24"/>
        </w:rPr>
      </w:pPr>
      <w:r>
        <w:rPr>
          <w:rFonts w:hint="eastAsia" w:ascii="宋体" w:hAnsi="宋体"/>
          <w:snapToGrid w:val="0"/>
          <w:sz w:val="24"/>
        </w:rPr>
        <w:t>2</w:t>
      </w:r>
      <w:r>
        <w:rPr>
          <w:rFonts w:ascii="宋体" w:hAnsi="宋体"/>
          <w:snapToGrid w:val="0"/>
          <w:sz w:val="24"/>
        </w:rPr>
        <w:t>.7</w:t>
      </w:r>
      <w:r>
        <w:rPr>
          <w:rFonts w:hint="eastAsia" w:ascii="宋体" w:hAnsi="宋体"/>
          <w:snapToGrid w:val="0"/>
          <w:sz w:val="24"/>
        </w:rPr>
        <w:t>供应商廉洁自律承诺书</w:t>
      </w:r>
    </w:p>
    <w:p w14:paraId="7C3CDCE7">
      <w:pPr>
        <w:widowControl/>
        <w:ind w:firstLine="723" w:firstLineChars="300"/>
        <w:jc w:val="left"/>
        <w:rPr>
          <w:rFonts w:ascii="宋体" w:hAnsi="宋体" w:cs="Arial"/>
          <w:b/>
          <w:sz w:val="24"/>
        </w:rPr>
      </w:pPr>
      <w:r>
        <w:rPr>
          <w:rFonts w:ascii="宋体" w:hAnsi="宋体" w:cs="Arial"/>
          <w:b/>
          <w:sz w:val="24"/>
        </w:rPr>
        <w:br w:type="page"/>
      </w:r>
      <w:r>
        <w:rPr>
          <w:rFonts w:hint="eastAsia" w:ascii="宋体" w:hAnsi="宋体" w:cs="Arial"/>
          <w:b/>
          <w:sz w:val="24"/>
        </w:rPr>
        <w:t>3</w:t>
      </w:r>
      <w:r>
        <w:rPr>
          <w:rFonts w:ascii="宋体" w:hAnsi="宋体" w:cs="Arial"/>
          <w:b/>
          <w:sz w:val="24"/>
        </w:rPr>
        <w:t>.</w:t>
      </w:r>
      <w:r>
        <w:rPr>
          <w:rFonts w:hint="eastAsia" w:ascii="宋体" w:hAnsi="宋体" w:cs="Arial"/>
          <w:b/>
          <w:sz w:val="24"/>
        </w:rPr>
        <w:t>投标文件格式</w:t>
      </w:r>
    </w:p>
    <w:p w14:paraId="37146C9D">
      <w:pPr>
        <w:adjustRightInd w:val="0"/>
        <w:snapToGrid w:val="0"/>
        <w:spacing w:line="400" w:lineRule="exact"/>
        <w:ind w:left="210" w:leftChars="100" w:right="210" w:rightChars="100" w:firstLine="482" w:firstLineChars="200"/>
        <w:contextualSpacing/>
        <w:rPr>
          <w:rFonts w:ascii="宋体" w:hAnsi="宋体" w:cs="Arial"/>
          <w:b/>
          <w:sz w:val="24"/>
        </w:rPr>
      </w:pPr>
      <w:r>
        <w:rPr>
          <w:rFonts w:hint="eastAsia" w:ascii="宋体" w:hAnsi="宋体" w:cs="Arial"/>
          <w:b/>
          <w:sz w:val="24"/>
        </w:rPr>
        <w:t>3</w:t>
      </w:r>
      <w:r>
        <w:rPr>
          <w:rFonts w:ascii="宋体" w:hAnsi="宋体" w:cs="Arial"/>
          <w:b/>
          <w:sz w:val="24"/>
        </w:rPr>
        <w:t>.1</w:t>
      </w:r>
      <w:r>
        <w:rPr>
          <w:rFonts w:hint="eastAsia" w:ascii="宋体" w:hAnsi="宋体" w:cs="Arial"/>
          <w:b/>
          <w:sz w:val="24"/>
        </w:rPr>
        <w:t>投标函格式</w:t>
      </w:r>
    </w:p>
    <w:p w14:paraId="70461A3E">
      <w:pPr>
        <w:adjustRightInd w:val="0"/>
        <w:snapToGrid w:val="0"/>
        <w:spacing w:line="400" w:lineRule="exact"/>
        <w:ind w:left="420" w:leftChars="200" w:right="420" w:rightChars="200" w:firstLine="482" w:firstLineChars="200"/>
        <w:contextualSpacing/>
        <w:jc w:val="center"/>
        <w:rPr>
          <w:rFonts w:ascii="宋体" w:hAnsi="宋体" w:cs="Arial"/>
          <w:b/>
          <w:sz w:val="24"/>
        </w:rPr>
      </w:pPr>
      <w:r>
        <w:rPr>
          <w:rFonts w:hint="eastAsia" w:ascii="宋体" w:hAnsi="宋体" w:cs="Arial"/>
          <w:b/>
          <w:sz w:val="24"/>
        </w:rPr>
        <w:t>投标函</w:t>
      </w:r>
    </w:p>
    <w:p w14:paraId="28C7AD73">
      <w:pPr>
        <w:adjustRightInd w:val="0"/>
        <w:snapToGrid w:val="0"/>
        <w:spacing w:line="400" w:lineRule="exact"/>
        <w:ind w:left="420" w:leftChars="200" w:right="420" w:rightChars="200" w:firstLine="480" w:firstLineChars="200"/>
        <w:contextualSpacing/>
        <w:jc w:val="left"/>
        <w:rPr>
          <w:rFonts w:ascii="宋体" w:hAnsi="宋体" w:cs="Arial"/>
          <w:sz w:val="24"/>
        </w:rPr>
      </w:pPr>
      <w:r>
        <w:rPr>
          <w:rFonts w:hint="eastAsia" w:ascii="宋体" w:hAnsi="宋体" w:cs="Arial"/>
          <w:sz w:val="24"/>
        </w:rPr>
        <w:t>致：</w:t>
      </w:r>
      <w:r>
        <w:rPr>
          <w:rFonts w:hint="eastAsia" w:ascii="宋体" w:hAnsi="宋体"/>
          <w:sz w:val="24"/>
          <w:u w:val="single"/>
        </w:rPr>
        <w:t>扬州大学附属医院</w:t>
      </w:r>
    </w:p>
    <w:p w14:paraId="0A212749">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bCs/>
          <w:sz w:val="24"/>
        </w:rPr>
        <w:t>根据已收到贵方谈判的</w:t>
      </w:r>
      <w:r>
        <w:rPr>
          <w:rFonts w:hint="eastAsia" w:ascii="宋体" w:hAnsi="宋体"/>
          <w:b/>
          <w:bCs/>
          <w:sz w:val="24"/>
          <w:u w:val="single"/>
        </w:rPr>
        <w:t xml:space="preserve">                          </w:t>
      </w:r>
      <w:r>
        <w:rPr>
          <w:rFonts w:hint="eastAsia" w:ascii="宋体" w:hAnsi="宋体"/>
          <w:bCs/>
          <w:sz w:val="24"/>
        </w:rPr>
        <w:t>项目的谈判文件，</w:t>
      </w:r>
      <w:r>
        <w:rPr>
          <w:rFonts w:hint="eastAsia" w:ascii="宋体" w:hAnsi="宋体" w:cs="Arial"/>
          <w:sz w:val="24"/>
        </w:rPr>
        <w:t>正式授权下述签字人</w:t>
      </w:r>
      <w:r>
        <w:rPr>
          <w:rFonts w:hint="eastAsia" w:ascii="宋体" w:hAnsi="宋体" w:cs="Arial"/>
          <w:sz w:val="24"/>
          <w:u w:val="single"/>
        </w:rPr>
        <w:t xml:space="preserve">             </w:t>
      </w:r>
      <w:r>
        <w:rPr>
          <w:rFonts w:hint="eastAsia" w:ascii="宋体" w:hAnsi="宋体" w:cs="Arial"/>
          <w:sz w:val="24"/>
        </w:rPr>
        <w:t>(姓名和职务)代表投标人</w:t>
      </w:r>
      <w:r>
        <w:rPr>
          <w:rFonts w:hint="eastAsia" w:ascii="宋体" w:hAnsi="宋体" w:cs="Arial"/>
          <w:sz w:val="24"/>
          <w:u w:val="single"/>
        </w:rPr>
        <w:t xml:space="preserve">           </w:t>
      </w:r>
      <w:r>
        <w:rPr>
          <w:rFonts w:hint="eastAsia" w:ascii="宋体" w:hAnsi="宋体" w:cs="Arial"/>
          <w:sz w:val="24"/>
        </w:rPr>
        <w:t>（投标人名称），提交下述文件正本一式</w:t>
      </w:r>
      <w:r>
        <w:rPr>
          <w:rFonts w:hint="eastAsia" w:ascii="宋体" w:hAnsi="宋体" w:cs="Arial"/>
          <w:b/>
          <w:sz w:val="24"/>
          <w:u w:val="single"/>
        </w:rPr>
        <w:t>壹</w:t>
      </w:r>
      <w:r>
        <w:rPr>
          <w:rFonts w:hint="eastAsia" w:ascii="宋体" w:hAnsi="宋体" w:cs="Arial"/>
          <w:sz w:val="24"/>
        </w:rPr>
        <w:t>份，副本一式</w:t>
      </w:r>
      <w:r>
        <w:rPr>
          <w:rFonts w:hint="eastAsia" w:ascii="宋体" w:hAnsi="宋体" w:cs="Arial"/>
          <w:sz w:val="24"/>
          <w:u w:val="single"/>
        </w:rPr>
        <w:t xml:space="preserve">  </w:t>
      </w:r>
      <w:r>
        <w:rPr>
          <w:rFonts w:hint="eastAsia" w:ascii="宋体" w:hAnsi="宋体" w:cs="Arial"/>
          <w:sz w:val="24"/>
        </w:rPr>
        <w:t>份</w:t>
      </w:r>
    </w:p>
    <w:p w14:paraId="400F2715">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1.我们完全理解贵方不一定要接受最低报价的投标或收到的任何投标。</w:t>
      </w:r>
    </w:p>
    <w:p w14:paraId="4F713CE4">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2.我们已详细审核全部招标文件及其有效补充文件，我们知道必须放弃提出含糊不清或误解的问题的权利。</w:t>
      </w:r>
    </w:p>
    <w:p w14:paraId="29455990">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3.我们同意从规定的开标日期起遵循本投标文件，并在规定的投标有效期期满之前均具有约束力。</w:t>
      </w:r>
    </w:p>
    <w:p w14:paraId="0F6CDB2C">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4.同意向贵方提供贵方可能要求的与投标有关的任何证据或资料，并保证我方已提供和将要提供的文件是真实的、准确的。</w:t>
      </w:r>
    </w:p>
    <w:p w14:paraId="7B1745C9">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5.一旦我方中标，我方将根据招标文件的规定，严格履行合同，并保证于承诺的时间完成服务工作。</w:t>
      </w:r>
    </w:p>
    <w:p w14:paraId="754F8A90">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6.我方将严格遵守《中华人民共和国政府采购法》第七十七条规定，若有下列情形之一的，将被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9634E3B">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(1)提供虚假材料谋取中标、成交的；</w:t>
      </w:r>
    </w:p>
    <w:p w14:paraId="1C4DD575">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(2)采取不正当手段诋毁、排挤其他供应商的；</w:t>
      </w:r>
    </w:p>
    <w:p w14:paraId="2D7E4753">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(3)与采购人、其它投标人或者采购人恶意串通的；</w:t>
      </w:r>
    </w:p>
    <w:p w14:paraId="3F27B23C">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(4)向采购人、采购人行贿或者提供其他不正当利益的；</w:t>
      </w:r>
    </w:p>
    <w:p w14:paraId="678725EE">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(5)未经采购中心同意，在采购过程中与采购人进行协商谈判的；</w:t>
      </w:r>
    </w:p>
    <w:p w14:paraId="7254D13D">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(6)拒绝有关部门监督检查或提供虚假情况的。</w:t>
      </w:r>
    </w:p>
    <w:p w14:paraId="3FDA6B38">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7.与本投标有关的正式通讯地址为：</w:t>
      </w:r>
    </w:p>
    <w:p w14:paraId="4067FBD6">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地   址：</w:t>
      </w:r>
    </w:p>
    <w:p w14:paraId="502DCEDF">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电   话：</w:t>
      </w:r>
    </w:p>
    <w:p w14:paraId="6AFF2265">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传   真：</w:t>
      </w:r>
    </w:p>
    <w:p w14:paraId="5C31A34F">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法定代表人或授权代表（签字）：</w:t>
      </w:r>
    </w:p>
    <w:p w14:paraId="48B239DF">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投标人（章）：</w:t>
      </w:r>
    </w:p>
    <w:p w14:paraId="45D60F1C">
      <w:pPr>
        <w:adjustRightInd w:val="0"/>
        <w:snapToGrid w:val="0"/>
        <w:spacing w:line="400" w:lineRule="exact"/>
        <w:ind w:left="420" w:leftChars="200" w:right="420" w:rightChars="200" w:firstLine="480" w:firstLineChars="200"/>
        <w:contextualSpacing/>
        <w:rPr>
          <w:rFonts w:ascii="宋体" w:hAnsi="宋体" w:cs="Arial"/>
          <w:sz w:val="24"/>
        </w:rPr>
      </w:pPr>
      <w:r>
        <w:rPr>
          <w:rFonts w:hint="eastAsia" w:ascii="宋体" w:hAnsi="宋体" w:cs="Arial"/>
          <w:sz w:val="24"/>
        </w:rPr>
        <w:t>日    期：   年    月    日</w:t>
      </w:r>
    </w:p>
    <w:p w14:paraId="36523647">
      <w:pPr>
        <w:adjustRightInd w:val="0"/>
        <w:snapToGrid w:val="0"/>
        <w:spacing w:line="400" w:lineRule="exact"/>
        <w:ind w:left="100" w:right="100" w:firstLine="200"/>
        <w:contextualSpacing/>
        <w:rPr>
          <w:b/>
          <w:sz w:val="36"/>
          <w:szCs w:val="36"/>
        </w:rPr>
      </w:pPr>
    </w:p>
    <w:p w14:paraId="271179BA">
      <w:pPr>
        <w:adjustRightInd w:val="0"/>
        <w:snapToGrid w:val="0"/>
        <w:spacing w:line="400" w:lineRule="exact"/>
        <w:ind w:left="100" w:right="100" w:firstLine="200"/>
        <w:contextualSpacing/>
        <w:rPr>
          <w:b/>
          <w:sz w:val="36"/>
          <w:szCs w:val="36"/>
        </w:rPr>
      </w:pPr>
    </w:p>
    <w:p w14:paraId="1C92C452">
      <w:pPr>
        <w:adjustRightInd w:val="0"/>
        <w:snapToGrid w:val="0"/>
        <w:spacing w:line="440" w:lineRule="exact"/>
        <w:ind w:left="420" w:leftChars="200" w:right="420" w:rightChars="200" w:firstLine="482" w:firstLineChars="200"/>
        <w:contextualSpacing/>
        <w:rPr>
          <w:rFonts w:ascii="宋体" w:hAnsi="宋体" w:cs="Arial"/>
          <w:b/>
          <w:sz w:val="24"/>
        </w:rPr>
      </w:pPr>
      <w:r>
        <w:rPr>
          <w:rFonts w:hint="eastAsia" w:ascii="宋体" w:hAnsi="宋体" w:cs="Arial"/>
          <w:b/>
          <w:sz w:val="24"/>
        </w:rPr>
        <w:t>3</w:t>
      </w:r>
      <w:r>
        <w:rPr>
          <w:rFonts w:ascii="宋体" w:hAnsi="宋体" w:cs="Arial"/>
          <w:b/>
          <w:sz w:val="24"/>
        </w:rPr>
        <w:t>.2</w:t>
      </w:r>
      <w:r>
        <w:rPr>
          <w:rFonts w:hint="eastAsia" w:ascii="宋体" w:hAnsi="宋体" w:cs="Arial"/>
          <w:b/>
          <w:sz w:val="24"/>
        </w:rPr>
        <w:t>法定代表人授权委托书格式</w:t>
      </w:r>
    </w:p>
    <w:p w14:paraId="335C9FFE">
      <w:pPr>
        <w:pStyle w:val="11"/>
        <w:jc w:val="center"/>
        <w:rPr>
          <w:rFonts w:asciiTheme="minorEastAsia" w:hAnsiTheme="minorEastAsia" w:eastAsiaTheme="minorEastAsia"/>
          <w:b/>
          <w:sz w:val="24"/>
          <w:szCs w:val="24"/>
        </w:rPr>
      </w:pPr>
      <w:r>
        <w:rPr>
          <w:rFonts w:hint="eastAsia" w:asciiTheme="minorEastAsia" w:hAnsiTheme="minorEastAsia" w:eastAsiaTheme="minorEastAsia"/>
          <w:b/>
          <w:sz w:val="24"/>
          <w:szCs w:val="24"/>
        </w:rPr>
        <w:t>授权委书</w:t>
      </w:r>
    </w:p>
    <w:p w14:paraId="1378869B">
      <w:pPr>
        <w:pStyle w:val="11"/>
        <w:jc w:val="center"/>
        <w:rPr>
          <w:rFonts w:asciiTheme="minorEastAsia" w:hAnsiTheme="minorEastAsia" w:eastAsiaTheme="minorEastAsia"/>
          <w:b/>
          <w:sz w:val="24"/>
          <w:szCs w:val="24"/>
        </w:rPr>
      </w:pPr>
    </w:p>
    <w:p w14:paraId="15D10D9B">
      <w:pPr>
        <w:pStyle w:val="11"/>
        <w:adjustRightInd w:val="0"/>
        <w:snapToGrid w:val="0"/>
        <w:spacing w:line="440" w:lineRule="exact"/>
        <w:ind w:left="420" w:leftChars="200" w:right="420" w:rightChars="200" w:firstLine="480" w:firstLineChars="200"/>
        <w:contextualSpacing/>
        <w:rPr>
          <w:rFonts w:asciiTheme="minorEastAsia" w:hAnsiTheme="minorEastAsia" w:eastAsiaTheme="minorEastAsia"/>
          <w:sz w:val="24"/>
          <w:szCs w:val="24"/>
          <w:u w:val="single"/>
        </w:rPr>
      </w:pPr>
      <w:r>
        <w:rPr>
          <w:rFonts w:hint="eastAsia" w:asciiTheme="minorEastAsia" w:hAnsiTheme="minorEastAsia" w:eastAsiaTheme="minorEastAsia"/>
          <w:sz w:val="24"/>
          <w:szCs w:val="24"/>
        </w:rPr>
        <w:t>本授权委托书声明：我</w:t>
      </w:r>
      <w:r>
        <w:rPr>
          <w:rFonts w:asciiTheme="minorEastAsia" w:hAnsiTheme="minorEastAsia" w:eastAsiaTheme="minorEastAsia"/>
          <w:sz w:val="24"/>
          <w:szCs w:val="24"/>
        </w:rPr>
        <w:t>(</w:t>
      </w:r>
      <w:r>
        <w:rPr>
          <w:rFonts w:hint="eastAsia" w:asciiTheme="minorEastAsia" w:hAnsiTheme="minorEastAsia" w:eastAsiaTheme="minorEastAsia"/>
          <w:sz w:val="24"/>
          <w:szCs w:val="24"/>
        </w:rPr>
        <w:t>姓名</w:t>
      </w:r>
      <w:r>
        <w:rPr>
          <w:rFonts w:asciiTheme="minorEastAsia" w:hAnsiTheme="minorEastAsia" w:eastAsiaTheme="minorEastAsia"/>
          <w:sz w:val="24"/>
          <w:szCs w:val="24"/>
        </w:rPr>
        <w:t>)</w:t>
      </w:r>
      <w:r>
        <w:rPr>
          <w:rFonts w:hint="eastAsia" w:asciiTheme="minorEastAsia" w:hAnsiTheme="minorEastAsia" w:eastAsiaTheme="minorEastAsia"/>
          <w:sz w:val="24"/>
          <w:szCs w:val="24"/>
        </w:rPr>
        <w:t>系</w:t>
      </w:r>
      <w:r>
        <w:rPr>
          <w:rFonts w:asciiTheme="minorEastAsia" w:hAnsiTheme="minorEastAsia" w:eastAsiaTheme="minorEastAsia"/>
          <w:sz w:val="24"/>
          <w:szCs w:val="24"/>
        </w:rPr>
        <w:t>(</w:t>
      </w:r>
      <w:r>
        <w:rPr>
          <w:rFonts w:hint="eastAsia" w:asciiTheme="minorEastAsia" w:hAnsiTheme="minorEastAsia" w:eastAsiaTheme="minorEastAsia"/>
          <w:sz w:val="24"/>
          <w:szCs w:val="24"/>
        </w:rPr>
        <w:t>投标人名称</w:t>
      </w:r>
      <w:r>
        <w:rPr>
          <w:rFonts w:asciiTheme="minorEastAsia" w:hAnsiTheme="minorEastAsia" w:eastAsiaTheme="minorEastAsia"/>
          <w:sz w:val="24"/>
          <w:szCs w:val="24"/>
        </w:rPr>
        <w:t>)</w:t>
      </w:r>
      <w:r>
        <w:rPr>
          <w:rFonts w:hint="eastAsia" w:asciiTheme="minorEastAsia" w:hAnsiTheme="minorEastAsia" w:eastAsiaTheme="minorEastAsia"/>
          <w:sz w:val="24"/>
          <w:szCs w:val="24"/>
        </w:rPr>
        <w:t>的法定代表人，现授权委托我单位的(姓名)为我公司代理人。代理人在</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项目谈判活动中所签署的一切文件和处理与之有关的一切事务，我均予以承认。</w:t>
      </w:r>
    </w:p>
    <w:p w14:paraId="60F216E3">
      <w:pPr>
        <w:pStyle w:val="11"/>
        <w:adjustRightInd w:val="0"/>
        <w:snapToGrid w:val="0"/>
        <w:spacing w:line="440" w:lineRule="exact"/>
        <w:ind w:left="420" w:leftChars="200" w:right="420" w:rightChars="200" w:firstLine="480" w:firstLineChars="2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代理人无转委权。特此委托。</w:t>
      </w:r>
    </w:p>
    <w:p w14:paraId="2EC4CBA8">
      <w:pPr>
        <w:pStyle w:val="11"/>
        <w:adjustRightInd w:val="0"/>
        <w:snapToGrid w:val="0"/>
        <w:spacing w:line="440" w:lineRule="exact"/>
        <w:ind w:left="420" w:leftChars="200" w:right="420" w:rightChars="200" w:firstLine="480" w:firstLineChars="2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投标人：</w:t>
      </w:r>
      <w:r>
        <w:rPr>
          <w:rFonts w:asciiTheme="minorEastAsia" w:hAnsiTheme="minorEastAsia" w:eastAsiaTheme="minorEastAsia"/>
          <w:sz w:val="24"/>
          <w:szCs w:val="24"/>
        </w:rPr>
        <w:t>(</w:t>
      </w:r>
      <w:r>
        <w:rPr>
          <w:rFonts w:hint="eastAsia" w:asciiTheme="minorEastAsia" w:hAnsiTheme="minorEastAsia" w:eastAsiaTheme="minorEastAsia"/>
          <w:sz w:val="24"/>
          <w:szCs w:val="24"/>
        </w:rPr>
        <w:t>盖章</w:t>
      </w:r>
      <w:r>
        <w:rPr>
          <w:rFonts w:asciiTheme="minorEastAsia" w:hAnsiTheme="minorEastAsia" w:eastAsiaTheme="minorEastAsia"/>
          <w:sz w:val="24"/>
          <w:szCs w:val="24"/>
        </w:rPr>
        <w:t>)</w:t>
      </w:r>
    </w:p>
    <w:p w14:paraId="1A0C30FA">
      <w:pPr>
        <w:pStyle w:val="11"/>
        <w:adjustRightInd w:val="0"/>
        <w:snapToGrid w:val="0"/>
        <w:spacing w:line="440" w:lineRule="exact"/>
        <w:ind w:left="420" w:leftChars="200" w:right="420" w:rightChars="200" w:firstLine="480" w:firstLineChars="2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w:t>
      </w:r>
      <w:r>
        <w:rPr>
          <w:rFonts w:asciiTheme="minorEastAsia" w:hAnsiTheme="minorEastAsia" w:eastAsiaTheme="minorEastAsia"/>
          <w:sz w:val="24"/>
          <w:szCs w:val="24"/>
        </w:rPr>
        <w:t>(</w:t>
      </w:r>
      <w:r>
        <w:rPr>
          <w:rFonts w:hint="eastAsia" w:asciiTheme="minorEastAsia" w:hAnsiTheme="minorEastAsia" w:eastAsiaTheme="minorEastAsia"/>
          <w:sz w:val="24"/>
          <w:szCs w:val="24"/>
        </w:rPr>
        <w:t>签字</w:t>
      </w:r>
      <w:r>
        <w:rPr>
          <w:rFonts w:asciiTheme="minorEastAsia" w:hAnsiTheme="minorEastAsia" w:eastAsiaTheme="minorEastAsia"/>
          <w:sz w:val="24"/>
          <w:szCs w:val="24"/>
        </w:rPr>
        <w:t>)</w:t>
      </w:r>
    </w:p>
    <w:p w14:paraId="1DEC7352">
      <w:pPr>
        <w:pStyle w:val="11"/>
        <w:adjustRightInd w:val="0"/>
        <w:snapToGrid w:val="0"/>
        <w:spacing w:line="440" w:lineRule="exact"/>
        <w:ind w:left="420" w:leftChars="200" w:right="420" w:rightChars="200" w:firstLine="480" w:firstLineChars="200"/>
        <w:contextualSpacing/>
        <w:rPr>
          <w:rFonts w:asciiTheme="minorEastAsia" w:hAnsiTheme="minorEastAsia" w:eastAsiaTheme="minorEastAsia"/>
          <w:sz w:val="24"/>
          <w:szCs w:val="24"/>
        </w:rPr>
      </w:pPr>
    </w:p>
    <w:p w14:paraId="2312CD9A">
      <w:pPr>
        <w:pStyle w:val="11"/>
        <w:adjustRightInd w:val="0"/>
        <w:snapToGrid w:val="0"/>
        <w:spacing w:line="440" w:lineRule="exact"/>
        <w:ind w:left="420" w:leftChars="200" w:right="420" w:rightChars="200" w:firstLine="480" w:firstLineChars="2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日期： 年   月    日</w:t>
      </w:r>
    </w:p>
    <w:p w14:paraId="6EDAA9D5">
      <w:pPr>
        <w:pStyle w:val="11"/>
        <w:spacing w:line="480" w:lineRule="auto"/>
        <w:ind w:firstLine="420"/>
        <w:rPr>
          <w:rFonts w:asciiTheme="minorEastAsia" w:hAnsiTheme="minorEastAsia" w:eastAsiaTheme="minorEastAsia"/>
          <w:sz w:val="24"/>
          <w:szCs w:val="24"/>
        </w:rPr>
      </w:pPr>
    </w:p>
    <w:p w14:paraId="1B42C4D2">
      <w:pPr>
        <w:pStyle w:val="11"/>
        <w:adjustRightInd w:val="0"/>
        <w:snapToGrid w:val="0"/>
        <w:spacing w:line="440" w:lineRule="exact"/>
        <w:ind w:left="420" w:leftChars="200" w:right="420" w:rightChars="200" w:firstLine="480" w:firstLineChars="2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代理人姓名：签字：</w:t>
      </w:r>
    </w:p>
    <w:p w14:paraId="5091019B">
      <w:pPr>
        <w:pStyle w:val="11"/>
        <w:adjustRightInd w:val="0"/>
        <w:snapToGrid w:val="0"/>
        <w:spacing w:line="440" w:lineRule="exact"/>
        <w:ind w:left="420" w:leftChars="200" w:right="420" w:rightChars="200" w:firstLine="480" w:firstLineChars="2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身份证复印件：</w:t>
      </w:r>
    </w:p>
    <w:p w14:paraId="132A8CED">
      <w:pPr>
        <w:adjustRightInd w:val="0"/>
        <w:snapToGrid w:val="0"/>
        <w:spacing w:line="440" w:lineRule="exact"/>
        <w:ind w:left="420" w:leftChars="200" w:right="420" w:rightChars="200" w:firstLine="482" w:firstLineChars="200"/>
        <w:contextualSpacing/>
        <w:rPr>
          <w:rFonts w:ascii="宋体" w:hAnsi="宋体" w:cs="Arial"/>
          <w:b/>
          <w:sz w:val="24"/>
        </w:rPr>
      </w:pPr>
    </w:p>
    <w:p w14:paraId="05B39F27">
      <w:pPr>
        <w:adjustRightInd w:val="0"/>
        <w:snapToGrid w:val="0"/>
        <w:spacing w:line="440" w:lineRule="exact"/>
        <w:ind w:left="420" w:leftChars="200" w:right="420" w:rightChars="200" w:firstLine="482" w:firstLineChars="200"/>
        <w:contextualSpacing/>
        <w:rPr>
          <w:rFonts w:ascii="宋体" w:hAnsi="宋体" w:cs="Arial"/>
          <w:b/>
          <w:sz w:val="24"/>
        </w:rPr>
      </w:pPr>
      <w:r>
        <w:rPr>
          <w:rFonts w:hint="eastAsia" w:ascii="宋体" w:hAnsi="宋体" w:cs="Arial"/>
          <w:b/>
          <w:sz w:val="24"/>
        </w:rPr>
        <w:t>3</w:t>
      </w:r>
      <w:r>
        <w:rPr>
          <w:rFonts w:ascii="宋体" w:hAnsi="宋体" w:cs="Arial"/>
          <w:b/>
          <w:sz w:val="24"/>
        </w:rPr>
        <w:t>.3</w:t>
      </w:r>
      <w:r>
        <w:rPr>
          <w:rFonts w:hint="eastAsia" w:ascii="宋体" w:hAnsi="宋体" w:cs="Arial"/>
          <w:b/>
          <w:sz w:val="24"/>
        </w:rPr>
        <w:t>开标一览表和投标分项报价表格式</w:t>
      </w:r>
    </w:p>
    <w:p w14:paraId="00AE7518">
      <w:pPr>
        <w:adjustRightInd w:val="0"/>
        <w:snapToGrid w:val="0"/>
        <w:spacing w:line="440" w:lineRule="exact"/>
        <w:contextualSpacing/>
        <w:jc w:val="center"/>
        <w:rPr>
          <w:rFonts w:ascii="宋体" w:hAnsi="宋体" w:cs="Arial"/>
          <w:kern w:val="0"/>
          <w:sz w:val="28"/>
          <w:szCs w:val="28"/>
        </w:rPr>
      </w:pPr>
      <w:r>
        <w:rPr>
          <w:rFonts w:hint="eastAsia" w:ascii="宋体" w:hAnsi="宋体" w:cs="Arial"/>
          <w:b/>
          <w:kern w:val="0"/>
          <w:sz w:val="24"/>
        </w:rPr>
        <w:t>开标一览表</w:t>
      </w:r>
    </w:p>
    <w:p w14:paraId="24BECEF5">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项目名称：</w:t>
      </w:r>
    </w:p>
    <w:tbl>
      <w:tblPr>
        <w:tblStyle w:val="21"/>
        <w:tblW w:w="4195" w:type="pct"/>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6948"/>
      </w:tblGrid>
      <w:tr w14:paraId="67D6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32" w:hRule="atLeast"/>
        </w:trPr>
        <w:tc>
          <w:tcPr>
            <w:tcW w:w="846" w:type="pct"/>
            <w:tcBorders>
              <w:top w:val="single" w:color="auto" w:sz="4" w:space="0"/>
              <w:left w:val="single" w:color="auto" w:sz="4" w:space="0"/>
              <w:bottom w:val="single" w:color="auto" w:sz="4" w:space="0"/>
              <w:right w:val="single" w:color="auto" w:sz="4" w:space="0"/>
            </w:tcBorders>
            <w:vAlign w:val="center"/>
          </w:tcPr>
          <w:p w14:paraId="7A6CC841">
            <w:pPr>
              <w:adjustRightInd w:val="0"/>
              <w:snapToGrid w:val="0"/>
              <w:spacing w:line="400" w:lineRule="exact"/>
              <w:contextualSpacing/>
              <w:jc w:val="center"/>
              <w:rPr>
                <w:rFonts w:ascii="宋体" w:hAnsi="宋体" w:cs="Arial"/>
                <w:b/>
                <w:sz w:val="24"/>
              </w:rPr>
            </w:pPr>
            <w:r>
              <w:rPr>
                <w:rFonts w:ascii="宋体" w:hAnsi="宋体" w:cs="Arial"/>
                <w:b/>
                <w:sz w:val="24"/>
              </w:rPr>
              <w:t>项目名称</w:t>
            </w:r>
          </w:p>
        </w:tc>
        <w:tc>
          <w:tcPr>
            <w:tcW w:w="4154" w:type="pct"/>
            <w:tcBorders>
              <w:top w:val="single" w:color="auto" w:sz="4" w:space="0"/>
              <w:left w:val="single" w:color="auto" w:sz="4" w:space="0"/>
              <w:bottom w:val="single" w:color="auto" w:sz="4" w:space="0"/>
              <w:right w:val="single" w:color="auto" w:sz="4" w:space="0"/>
            </w:tcBorders>
            <w:vAlign w:val="center"/>
          </w:tcPr>
          <w:p w14:paraId="14ACC6CB">
            <w:pPr>
              <w:adjustRightInd w:val="0"/>
              <w:snapToGrid w:val="0"/>
              <w:spacing w:line="400" w:lineRule="exact"/>
              <w:contextualSpacing/>
              <w:jc w:val="center"/>
              <w:rPr>
                <w:rFonts w:ascii="宋体" w:hAnsi="宋体" w:cs="Arial"/>
                <w:b/>
                <w:sz w:val="24"/>
              </w:rPr>
            </w:pPr>
            <w:r>
              <w:rPr>
                <w:rFonts w:ascii="宋体" w:hAnsi="宋体" w:cs="Arial"/>
                <w:b/>
                <w:sz w:val="24"/>
              </w:rPr>
              <w:t>投标总报价</w:t>
            </w:r>
          </w:p>
        </w:tc>
      </w:tr>
      <w:tr w14:paraId="3A4B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9" w:hRule="atLeast"/>
        </w:trPr>
        <w:tc>
          <w:tcPr>
            <w:tcW w:w="846" w:type="pct"/>
            <w:tcBorders>
              <w:top w:val="single" w:color="auto" w:sz="4" w:space="0"/>
              <w:left w:val="single" w:color="auto" w:sz="4" w:space="0"/>
              <w:bottom w:val="single" w:color="auto" w:sz="4" w:space="0"/>
              <w:right w:val="single" w:color="auto" w:sz="4" w:space="0"/>
            </w:tcBorders>
            <w:vAlign w:val="center"/>
          </w:tcPr>
          <w:p w14:paraId="192F038F">
            <w:pPr>
              <w:adjustRightInd w:val="0"/>
              <w:snapToGrid w:val="0"/>
              <w:spacing w:line="300" w:lineRule="auto"/>
              <w:jc w:val="center"/>
              <w:rPr>
                <w:rFonts w:ascii="宋体" w:hAnsi="宋体" w:cs="Arial"/>
                <w:sz w:val="24"/>
              </w:rPr>
            </w:pPr>
          </w:p>
        </w:tc>
        <w:tc>
          <w:tcPr>
            <w:tcW w:w="4154" w:type="pct"/>
            <w:tcBorders>
              <w:top w:val="single" w:color="auto" w:sz="4" w:space="0"/>
              <w:left w:val="single" w:color="auto" w:sz="4" w:space="0"/>
              <w:bottom w:val="single" w:color="auto" w:sz="4" w:space="0"/>
              <w:right w:val="single" w:color="auto" w:sz="4" w:space="0"/>
            </w:tcBorders>
            <w:vAlign w:val="center"/>
          </w:tcPr>
          <w:p w14:paraId="3D2414A8">
            <w:pPr>
              <w:adjustRightInd w:val="0"/>
              <w:snapToGrid w:val="0"/>
              <w:spacing w:line="300" w:lineRule="auto"/>
              <w:rPr>
                <w:rFonts w:ascii="宋体" w:hAnsi="宋体" w:cs="Arial"/>
                <w:kern w:val="0"/>
                <w:sz w:val="24"/>
              </w:rPr>
            </w:pPr>
            <w:r>
              <w:rPr>
                <w:rFonts w:ascii="宋体" w:hAnsi="宋体" w:cs="Arial"/>
                <w:kern w:val="0"/>
                <w:sz w:val="24"/>
              </w:rPr>
              <w:t>大写：</w:t>
            </w:r>
          </w:p>
          <w:p w14:paraId="55B2851D">
            <w:pPr>
              <w:adjustRightInd w:val="0"/>
              <w:snapToGrid w:val="0"/>
              <w:spacing w:line="500" w:lineRule="exact"/>
              <w:jc w:val="left"/>
              <w:textAlignment w:val="baseline"/>
              <w:rPr>
                <w:rFonts w:ascii="宋体" w:hAnsi="宋体"/>
                <w:kern w:val="0"/>
                <w:sz w:val="24"/>
              </w:rPr>
            </w:pPr>
            <w:r>
              <w:rPr>
                <w:rFonts w:ascii="宋体" w:hAnsi="宋体"/>
                <w:kern w:val="0"/>
                <w:sz w:val="24"/>
              </w:rPr>
              <w:t>小写：                （人民币）</w:t>
            </w:r>
          </w:p>
        </w:tc>
      </w:tr>
      <w:tr w14:paraId="28AB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9" w:hRule="atLeast"/>
        </w:trPr>
        <w:tc>
          <w:tcPr>
            <w:tcW w:w="846" w:type="pct"/>
            <w:tcBorders>
              <w:top w:val="single" w:color="auto" w:sz="4" w:space="0"/>
              <w:left w:val="single" w:color="auto" w:sz="4" w:space="0"/>
              <w:bottom w:val="single" w:color="auto" w:sz="4" w:space="0"/>
              <w:right w:val="single" w:color="auto" w:sz="4" w:space="0"/>
            </w:tcBorders>
            <w:vAlign w:val="center"/>
          </w:tcPr>
          <w:p w14:paraId="732830A2">
            <w:pPr>
              <w:adjustRightInd w:val="0"/>
              <w:snapToGrid w:val="0"/>
              <w:spacing w:line="440" w:lineRule="exact"/>
              <w:contextualSpacing/>
              <w:jc w:val="center"/>
              <w:rPr>
                <w:rFonts w:ascii="宋体" w:hAnsi="宋体" w:cs="Arial"/>
                <w:sz w:val="24"/>
              </w:rPr>
            </w:pPr>
            <w:r>
              <w:rPr>
                <w:rFonts w:hint="eastAsia" w:ascii="宋体" w:hAnsi="宋体" w:cs="Arial"/>
                <w:sz w:val="24"/>
              </w:rPr>
              <w:t>备  注</w:t>
            </w:r>
          </w:p>
        </w:tc>
        <w:tc>
          <w:tcPr>
            <w:tcW w:w="4154" w:type="pct"/>
            <w:tcBorders>
              <w:top w:val="single" w:color="auto" w:sz="4" w:space="0"/>
              <w:left w:val="single" w:color="auto" w:sz="4" w:space="0"/>
              <w:bottom w:val="single" w:color="auto" w:sz="4" w:space="0"/>
              <w:right w:val="single" w:color="auto" w:sz="4" w:space="0"/>
            </w:tcBorders>
            <w:vAlign w:val="center"/>
          </w:tcPr>
          <w:p w14:paraId="65BF658B">
            <w:pPr>
              <w:adjustRightInd w:val="0"/>
              <w:snapToGrid w:val="0"/>
              <w:spacing w:line="440" w:lineRule="exact"/>
              <w:ind w:firstLine="1820" w:firstLineChars="650"/>
              <w:contextualSpacing/>
              <w:rPr>
                <w:rFonts w:ascii="宋体" w:hAnsi="宋体" w:cs="Arial"/>
                <w:kern w:val="0"/>
                <w:sz w:val="28"/>
                <w:szCs w:val="21"/>
              </w:rPr>
            </w:pPr>
          </w:p>
        </w:tc>
      </w:tr>
    </w:tbl>
    <w:p w14:paraId="3F0CE9F2">
      <w:pPr>
        <w:adjustRightInd w:val="0"/>
        <w:snapToGrid w:val="0"/>
        <w:spacing w:line="440" w:lineRule="exact"/>
        <w:ind w:left="420" w:leftChars="200" w:right="420" w:rightChars="200" w:firstLine="480" w:firstLineChars="200"/>
        <w:contextualSpacing/>
        <w:jc w:val="right"/>
        <w:rPr>
          <w:rFonts w:ascii="宋体" w:hAnsi="宋体" w:cs="宋体"/>
          <w:kern w:val="0"/>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67AAE767">
      <w:pPr>
        <w:adjustRightInd w:val="0"/>
        <w:snapToGrid w:val="0"/>
        <w:spacing w:line="440" w:lineRule="exact"/>
        <w:ind w:left="420" w:leftChars="200" w:right="420" w:rightChars="200" w:firstLine="480" w:firstLineChars="200"/>
        <w:contextualSpacing/>
        <w:rPr>
          <w:rFonts w:ascii="宋体" w:hAnsi="宋体" w:cs="宋体"/>
          <w:sz w:val="24"/>
        </w:rPr>
      </w:pPr>
      <w:r>
        <w:rPr>
          <w:rFonts w:hint="eastAsia" w:ascii="宋体" w:hAnsi="宋体" w:cs="宋体"/>
          <w:sz w:val="24"/>
        </w:rPr>
        <w:t>填写说明：</w:t>
      </w:r>
    </w:p>
    <w:p w14:paraId="76DCDAF5">
      <w:pPr>
        <w:adjustRightInd w:val="0"/>
        <w:snapToGrid w:val="0"/>
        <w:spacing w:line="440" w:lineRule="exact"/>
        <w:ind w:left="420" w:leftChars="200" w:right="420" w:rightChars="200" w:firstLine="480" w:firstLineChars="200"/>
        <w:contextualSpacing/>
        <w:rPr>
          <w:rFonts w:ascii="宋体" w:hAnsi="宋体" w:cs="宋体"/>
          <w:i/>
          <w:sz w:val="24"/>
          <w:u w:val="single"/>
        </w:rPr>
      </w:pPr>
      <w:r>
        <w:rPr>
          <w:rFonts w:hint="eastAsia" w:ascii="宋体" w:hAnsi="宋体" w:cs="宋体"/>
          <w:i/>
          <w:sz w:val="24"/>
        </w:rPr>
        <w:t>1．</w:t>
      </w:r>
      <w:r>
        <w:rPr>
          <w:rFonts w:hint="eastAsia" w:ascii="宋体" w:hAnsi="宋体" w:cs="宋体"/>
          <w:i/>
          <w:sz w:val="24"/>
          <w:u w:val="single"/>
        </w:rPr>
        <w:t>开标一览表和投标分项报价表须另外单独密封在信封中，在投标截止时间前与投标文件同时递交。</w:t>
      </w:r>
    </w:p>
    <w:p w14:paraId="5918443C">
      <w:pPr>
        <w:adjustRightInd w:val="0"/>
        <w:snapToGrid w:val="0"/>
        <w:spacing w:line="440" w:lineRule="exact"/>
        <w:ind w:left="420" w:leftChars="200" w:right="420" w:rightChars="200" w:firstLine="480" w:firstLineChars="200"/>
        <w:contextualSpacing/>
        <w:rPr>
          <w:rFonts w:ascii="宋体" w:hAnsi="宋体" w:cs="宋体"/>
          <w:i/>
          <w:sz w:val="24"/>
        </w:rPr>
      </w:pPr>
      <w:r>
        <w:rPr>
          <w:rFonts w:hint="eastAsia" w:ascii="宋体" w:hAnsi="宋体" w:cs="宋体"/>
          <w:i/>
          <w:sz w:val="24"/>
        </w:rPr>
        <w:t>2．</w:t>
      </w:r>
      <w:r>
        <w:rPr>
          <w:rFonts w:hint="eastAsia" w:ascii="宋体" w:hAnsi="宋体" w:cs="宋体"/>
          <w:bCs/>
          <w:i/>
          <w:iCs/>
          <w:sz w:val="24"/>
          <w:u w:val="single"/>
        </w:rPr>
        <w:t>开标一览表</w:t>
      </w:r>
      <w:r>
        <w:rPr>
          <w:rFonts w:hint="eastAsia" w:ascii="宋体" w:hAnsi="宋体" w:cs="宋体"/>
          <w:i/>
          <w:sz w:val="24"/>
          <w:u w:val="single"/>
        </w:rPr>
        <w:t>和投标分项报价表</w:t>
      </w:r>
      <w:r>
        <w:rPr>
          <w:rFonts w:hint="eastAsia" w:ascii="宋体" w:hAnsi="宋体" w:cs="宋体"/>
          <w:bCs/>
          <w:i/>
          <w:iCs/>
          <w:sz w:val="24"/>
          <w:u w:val="single"/>
        </w:rPr>
        <w:t>必须加盖投标人公章（复印件无效）</w:t>
      </w:r>
      <w:r>
        <w:rPr>
          <w:rFonts w:hint="eastAsia" w:ascii="宋体" w:hAnsi="宋体" w:cs="宋体"/>
          <w:i/>
          <w:sz w:val="24"/>
        </w:rPr>
        <w:t>。</w:t>
      </w:r>
    </w:p>
    <w:p w14:paraId="39485A6D">
      <w:pPr>
        <w:adjustRightInd w:val="0"/>
        <w:snapToGrid w:val="0"/>
        <w:spacing w:line="440" w:lineRule="exact"/>
        <w:ind w:left="420" w:leftChars="200" w:right="420" w:rightChars="200" w:firstLine="482" w:firstLineChars="200"/>
        <w:contextualSpacing/>
        <w:rPr>
          <w:rFonts w:ascii="宋体" w:hAnsi="宋体" w:cs="Arial"/>
          <w:b/>
          <w:sz w:val="24"/>
        </w:rPr>
      </w:pPr>
    </w:p>
    <w:p w14:paraId="02C4316B">
      <w:pPr>
        <w:adjustRightInd w:val="0"/>
        <w:snapToGrid w:val="0"/>
        <w:spacing w:line="440" w:lineRule="exact"/>
        <w:ind w:left="420" w:leftChars="200" w:right="420" w:rightChars="200" w:firstLine="480" w:firstLineChars="200"/>
        <w:contextualSpacing/>
        <w:rPr>
          <w:rFonts w:ascii="宋体" w:hAnsi="宋体" w:cs="宋体"/>
          <w:sz w:val="24"/>
        </w:rPr>
      </w:pPr>
      <w:r>
        <w:rPr>
          <w:rFonts w:hint="eastAsia" w:ascii="宋体" w:hAnsi="宋体" w:cs="宋体"/>
          <w:sz w:val="24"/>
        </w:rPr>
        <w:t>投标人全称（加盖公章）：</w:t>
      </w:r>
    </w:p>
    <w:p w14:paraId="1E6C6BBF">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法定代表人或授权代表签字：</w:t>
      </w:r>
    </w:p>
    <w:p w14:paraId="2FECFC52">
      <w:pPr>
        <w:adjustRightInd w:val="0"/>
        <w:snapToGrid w:val="0"/>
        <w:spacing w:line="440" w:lineRule="exact"/>
        <w:ind w:right="420" w:rightChars="200"/>
        <w:contextualSpacing/>
        <w:jc w:val="center"/>
        <w:rPr>
          <w:rFonts w:ascii="宋体" w:hAnsi="宋体" w:cs="Arial"/>
          <w:b/>
          <w:sz w:val="24"/>
        </w:rPr>
        <w:sectPr>
          <w:pgSz w:w="11906" w:h="16838"/>
          <w:pgMar w:top="1440" w:right="1077" w:bottom="1440" w:left="1077" w:header="851" w:footer="992" w:gutter="0"/>
          <w:cols w:space="425" w:num="1"/>
          <w:titlePg/>
          <w:docGrid w:linePitch="312" w:charSpace="0"/>
        </w:sectPr>
      </w:pPr>
    </w:p>
    <w:p w14:paraId="2D61D23F">
      <w:pPr>
        <w:adjustRightInd w:val="0"/>
        <w:snapToGrid w:val="0"/>
        <w:spacing w:line="440" w:lineRule="exact"/>
        <w:ind w:right="420" w:rightChars="200"/>
        <w:contextualSpacing/>
        <w:jc w:val="center"/>
        <w:rPr>
          <w:rFonts w:ascii="宋体" w:hAnsi="宋体" w:cs="Arial"/>
          <w:b/>
          <w:sz w:val="24"/>
        </w:rPr>
      </w:pPr>
      <w:r>
        <w:rPr>
          <w:rFonts w:hint="eastAsia" w:ascii="宋体" w:hAnsi="宋体" w:cs="Arial"/>
          <w:b/>
          <w:sz w:val="24"/>
        </w:rPr>
        <w:t>3</w:t>
      </w:r>
      <w:r>
        <w:rPr>
          <w:rFonts w:ascii="宋体" w:hAnsi="宋体" w:cs="Arial"/>
          <w:b/>
          <w:sz w:val="24"/>
        </w:rPr>
        <w:t>.4</w:t>
      </w:r>
      <w:r>
        <w:rPr>
          <w:rFonts w:hint="eastAsia" w:ascii="宋体" w:hAnsi="宋体" w:cs="Arial"/>
          <w:b/>
          <w:sz w:val="24"/>
        </w:rPr>
        <w:t>投标分项报价表</w:t>
      </w:r>
    </w:p>
    <w:p w14:paraId="400C7E9E">
      <w:pPr>
        <w:adjustRightInd w:val="0"/>
        <w:snapToGrid w:val="0"/>
        <w:spacing w:line="440" w:lineRule="exact"/>
        <w:ind w:firstLine="480" w:firstLineChars="200"/>
        <w:contextualSpacing/>
        <w:rPr>
          <w:rFonts w:ascii="宋体" w:hAnsi="宋体" w:cs="Arial"/>
          <w:sz w:val="24"/>
        </w:rPr>
      </w:pPr>
      <w:r>
        <w:rPr>
          <w:rFonts w:hint="eastAsia" w:ascii="宋体" w:hAnsi="宋体" w:cs="Arial"/>
          <w:sz w:val="24"/>
        </w:rPr>
        <w:t>投标人名称（公章）：</w:t>
      </w:r>
    </w:p>
    <w:tbl>
      <w:tblPr>
        <w:tblStyle w:val="21"/>
        <w:tblW w:w="13687" w:type="dxa"/>
        <w:jc w:val="center"/>
        <w:tblLayout w:type="fixed"/>
        <w:tblCellMar>
          <w:top w:w="0" w:type="dxa"/>
          <w:left w:w="108" w:type="dxa"/>
          <w:bottom w:w="0" w:type="dxa"/>
          <w:right w:w="108" w:type="dxa"/>
        </w:tblCellMar>
      </w:tblPr>
      <w:tblGrid>
        <w:gridCol w:w="857"/>
        <w:gridCol w:w="1275"/>
        <w:gridCol w:w="2258"/>
        <w:gridCol w:w="1710"/>
        <w:gridCol w:w="4255"/>
        <w:gridCol w:w="709"/>
        <w:gridCol w:w="708"/>
        <w:gridCol w:w="993"/>
        <w:gridCol w:w="922"/>
      </w:tblGrid>
      <w:tr w14:paraId="38C6AF19">
        <w:tblPrEx>
          <w:tblCellMar>
            <w:top w:w="0" w:type="dxa"/>
            <w:left w:w="108" w:type="dxa"/>
            <w:bottom w:w="0" w:type="dxa"/>
            <w:right w:w="108" w:type="dxa"/>
          </w:tblCellMar>
        </w:tblPrEx>
        <w:trPr>
          <w:trHeight w:val="500" w:hRule="atLeast"/>
          <w:jc w:val="center"/>
        </w:trPr>
        <w:tc>
          <w:tcPr>
            <w:tcW w:w="857" w:type="dxa"/>
            <w:vMerge w:val="restart"/>
            <w:tcBorders>
              <w:top w:val="single" w:color="000000" w:sz="4" w:space="0"/>
              <w:left w:val="single" w:color="000000" w:sz="4" w:space="0"/>
              <w:bottom w:val="single" w:color="000000" w:sz="4" w:space="0"/>
              <w:right w:val="single" w:color="000000" w:sz="4" w:space="0"/>
            </w:tcBorders>
            <w:vAlign w:val="center"/>
          </w:tcPr>
          <w:p w14:paraId="707A90E3">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序号</w:t>
            </w:r>
          </w:p>
        </w:tc>
        <w:tc>
          <w:tcPr>
            <w:tcW w:w="1275" w:type="dxa"/>
            <w:vMerge w:val="restart"/>
            <w:tcBorders>
              <w:top w:val="single" w:color="000000" w:sz="4" w:space="0"/>
              <w:left w:val="single" w:color="000000" w:sz="4" w:space="0"/>
              <w:bottom w:val="single" w:color="000000" w:sz="4" w:space="0"/>
              <w:right w:val="single" w:color="000000" w:sz="4" w:space="0"/>
            </w:tcBorders>
            <w:vAlign w:val="center"/>
          </w:tcPr>
          <w:p w14:paraId="7ED4358C">
            <w:pPr>
              <w:widowControl/>
              <w:jc w:val="center"/>
              <w:textAlignment w:val="center"/>
              <w:rPr>
                <w:rFonts w:ascii="宋体" w:hAnsi="宋体" w:cs="宋体"/>
                <w:b/>
                <w:bCs/>
                <w:color w:val="000000"/>
                <w:szCs w:val="21"/>
              </w:rPr>
            </w:pPr>
            <w:r>
              <w:rPr>
                <w:rFonts w:hint="eastAsia" w:ascii="宋体" w:hAnsi="宋体" w:cs="宋体"/>
                <w:b/>
                <w:bCs/>
                <w:color w:val="000000"/>
                <w:szCs w:val="21"/>
              </w:rPr>
              <w:t>名称</w:t>
            </w:r>
          </w:p>
        </w:tc>
        <w:tc>
          <w:tcPr>
            <w:tcW w:w="2258" w:type="dxa"/>
            <w:vMerge w:val="restart"/>
            <w:tcBorders>
              <w:top w:val="single" w:color="000000" w:sz="4" w:space="0"/>
              <w:left w:val="single" w:color="000000" w:sz="4" w:space="0"/>
              <w:bottom w:val="single" w:color="000000" w:sz="4" w:space="0"/>
              <w:right w:val="single" w:color="000000" w:sz="4" w:space="0"/>
            </w:tcBorders>
            <w:vAlign w:val="center"/>
          </w:tcPr>
          <w:p w14:paraId="57D06F19">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示例图</w:t>
            </w:r>
          </w:p>
        </w:tc>
        <w:tc>
          <w:tcPr>
            <w:tcW w:w="1710" w:type="dxa"/>
            <w:vMerge w:val="restart"/>
            <w:tcBorders>
              <w:top w:val="single" w:color="000000" w:sz="4" w:space="0"/>
              <w:left w:val="single" w:color="000000" w:sz="4" w:space="0"/>
              <w:bottom w:val="single" w:color="000000" w:sz="4" w:space="0"/>
              <w:right w:val="single" w:color="000000" w:sz="4" w:space="0"/>
            </w:tcBorders>
            <w:vAlign w:val="center"/>
          </w:tcPr>
          <w:p w14:paraId="204F3DB2">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规格(m):</w:t>
            </w:r>
          </w:p>
          <w:p w14:paraId="71529C3A">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L×W×H</w:t>
            </w:r>
          </w:p>
        </w:tc>
        <w:tc>
          <w:tcPr>
            <w:tcW w:w="4255" w:type="dxa"/>
            <w:vMerge w:val="restart"/>
            <w:tcBorders>
              <w:top w:val="single" w:color="000000" w:sz="4" w:space="0"/>
              <w:left w:val="single" w:color="000000" w:sz="4" w:space="0"/>
              <w:bottom w:val="single" w:color="000000" w:sz="4" w:space="0"/>
              <w:right w:val="single" w:color="000000" w:sz="4" w:space="0"/>
            </w:tcBorders>
            <w:vAlign w:val="center"/>
          </w:tcPr>
          <w:p w14:paraId="35EA2503">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材质说明</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14:paraId="74039486">
            <w:pPr>
              <w:widowControl/>
              <w:jc w:val="center"/>
              <w:textAlignment w:val="center"/>
              <w:rPr>
                <w:rFonts w:ascii="宋体" w:hAnsi="宋体" w:cs="宋体"/>
                <w:b/>
                <w:bCs/>
                <w:color w:val="000000"/>
                <w:szCs w:val="21"/>
              </w:rPr>
            </w:pPr>
            <w:r>
              <w:rPr>
                <w:rFonts w:hint="eastAsia" w:ascii="宋体" w:hAnsi="宋体" w:cs="宋体"/>
                <w:b/>
                <w:bCs/>
                <w:color w:val="000000"/>
                <w:kern w:val="0"/>
                <w:szCs w:val="21"/>
                <w:lang w:bidi="ar"/>
              </w:rPr>
              <w:t>数量</w:t>
            </w:r>
          </w:p>
        </w:tc>
        <w:tc>
          <w:tcPr>
            <w:tcW w:w="708" w:type="dxa"/>
            <w:vMerge w:val="restart"/>
            <w:tcBorders>
              <w:top w:val="single" w:color="000000" w:sz="4" w:space="0"/>
              <w:left w:val="single" w:color="000000" w:sz="4" w:space="0"/>
              <w:bottom w:val="single" w:color="000000" w:sz="4" w:space="0"/>
              <w:right w:val="single" w:color="auto" w:sz="4" w:space="0"/>
            </w:tcBorders>
            <w:vAlign w:val="center"/>
          </w:tcPr>
          <w:p w14:paraId="5A7E28A4">
            <w:pPr>
              <w:widowControl/>
              <w:textAlignment w:val="center"/>
              <w:rPr>
                <w:rFonts w:ascii="宋体" w:hAnsi="宋体" w:cs="宋体"/>
                <w:b/>
                <w:bCs/>
                <w:color w:val="000000"/>
                <w:szCs w:val="21"/>
              </w:rPr>
            </w:pPr>
            <w:r>
              <w:rPr>
                <w:rFonts w:hint="eastAsia" w:ascii="宋体" w:hAnsi="宋体" w:cs="宋体"/>
                <w:b/>
                <w:bCs/>
                <w:color w:val="000000"/>
                <w:kern w:val="0"/>
                <w:szCs w:val="21"/>
                <w:lang w:bidi="ar"/>
              </w:rPr>
              <w:t>单位</w:t>
            </w:r>
          </w:p>
        </w:tc>
        <w:tc>
          <w:tcPr>
            <w:tcW w:w="993" w:type="dxa"/>
            <w:vMerge w:val="restart"/>
            <w:tcBorders>
              <w:top w:val="single" w:color="000000" w:sz="4" w:space="0"/>
              <w:left w:val="single" w:color="auto" w:sz="4" w:space="0"/>
              <w:bottom w:val="single" w:color="000000" w:sz="4" w:space="0"/>
              <w:right w:val="single" w:color="auto" w:sz="4" w:space="0"/>
            </w:tcBorders>
            <w:vAlign w:val="center"/>
          </w:tcPr>
          <w:p w14:paraId="5DF34BD3">
            <w:pPr>
              <w:widowControl/>
              <w:jc w:val="center"/>
              <w:textAlignment w:val="center"/>
              <w:rPr>
                <w:rFonts w:ascii="宋体" w:hAnsi="宋体" w:cs="宋体"/>
                <w:b/>
                <w:bCs/>
                <w:color w:val="000000"/>
                <w:szCs w:val="21"/>
              </w:rPr>
            </w:pPr>
            <w:r>
              <w:rPr>
                <w:rFonts w:hint="eastAsia" w:ascii="宋体" w:hAnsi="宋体" w:cs="宋体"/>
                <w:b/>
                <w:bCs/>
                <w:color w:val="000000"/>
                <w:szCs w:val="21"/>
              </w:rPr>
              <w:t>单价</w:t>
            </w:r>
          </w:p>
        </w:tc>
        <w:tc>
          <w:tcPr>
            <w:tcW w:w="922" w:type="dxa"/>
            <w:vMerge w:val="restart"/>
            <w:tcBorders>
              <w:top w:val="single" w:color="000000" w:sz="4" w:space="0"/>
              <w:left w:val="single" w:color="auto" w:sz="4" w:space="0"/>
              <w:bottom w:val="single" w:color="000000" w:sz="4" w:space="0"/>
              <w:right w:val="single" w:color="000000" w:sz="4" w:space="0"/>
            </w:tcBorders>
            <w:vAlign w:val="center"/>
          </w:tcPr>
          <w:p w14:paraId="03B73300">
            <w:pPr>
              <w:widowControl/>
              <w:jc w:val="center"/>
              <w:textAlignment w:val="center"/>
              <w:rPr>
                <w:rFonts w:ascii="宋体" w:hAnsi="宋体" w:cs="宋体"/>
                <w:b/>
                <w:bCs/>
                <w:color w:val="000000"/>
                <w:szCs w:val="21"/>
              </w:rPr>
            </w:pPr>
            <w:r>
              <w:rPr>
                <w:rFonts w:hint="eastAsia" w:ascii="宋体" w:hAnsi="宋体" w:cs="宋体"/>
                <w:b/>
                <w:bCs/>
                <w:color w:val="000000"/>
                <w:szCs w:val="21"/>
              </w:rPr>
              <w:t>小计</w:t>
            </w:r>
          </w:p>
        </w:tc>
      </w:tr>
      <w:tr w14:paraId="085E2B6B">
        <w:tblPrEx>
          <w:tblCellMar>
            <w:top w:w="0" w:type="dxa"/>
            <w:left w:w="108" w:type="dxa"/>
            <w:bottom w:w="0" w:type="dxa"/>
            <w:right w:w="108" w:type="dxa"/>
          </w:tblCellMar>
        </w:tblPrEx>
        <w:trPr>
          <w:trHeight w:val="312" w:hRule="atLeast"/>
          <w:jc w:val="center"/>
        </w:trPr>
        <w:tc>
          <w:tcPr>
            <w:tcW w:w="857" w:type="dxa"/>
            <w:vMerge w:val="continue"/>
            <w:tcBorders>
              <w:top w:val="single" w:color="000000" w:sz="4" w:space="0"/>
              <w:left w:val="single" w:color="000000" w:sz="4" w:space="0"/>
              <w:bottom w:val="single" w:color="000000" w:sz="4" w:space="0"/>
              <w:right w:val="single" w:color="000000" w:sz="4" w:space="0"/>
            </w:tcBorders>
            <w:vAlign w:val="center"/>
          </w:tcPr>
          <w:p w14:paraId="5341D95F">
            <w:pPr>
              <w:jc w:val="center"/>
              <w:rPr>
                <w:rFonts w:ascii="宋体" w:hAnsi="宋体" w:cs="宋体"/>
                <w:color w:val="000000"/>
                <w:szCs w:val="21"/>
              </w:rPr>
            </w:pPr>
          </w:p>
        </w:tc>
        <w:tc>
          <w:tcPr>
            <w:tcW w:w="1275" w:type="dxa"/>
            <w:vMerge w:val="continue"/>
            <w:tcBorders>
              <w:top w:val="single" w:color="000000" w:sz="4" w:space="0"/>
              <w:left w:val="single" w:color="000000" w:sz="4" w:space="0"/>
              <w:bottom w:val="single" w:color="000000" w:sz="4" w:space="0"/>
              <w:right w:val="single" w:color="000000" w:sz="4" w:space="0"/>
            </w:tcBorders>
            <w:vAlign w:val="center"/>
          </w:tcPr>
          <w:p w14:paraId="4FD0C1D3">
            <w:pPr>
              <w:jc w:val="center"/>
              <w:rPr>
                <w:rFonts w:ascii="宋体" w:hAnsi="宋体" w:cs="宋体"/>
                <w:color w:val="000000"/>
                <w:szCs w:val="21"/>
              </w:rPr>
            </w:pPr>
          </w:p>
        </w:tc>
        <w:tc>
          <w:tcPr>
            <w:tcW w:w="2258" w:type="dxa"/>
            <w:vMerge w:val="continue"/>
            <w:tcBorders>
              <w:top w:val="single" w:color="000000" w:sz="4" w:space="0"/>
              <w:left w:val="single" w:color="000000" w:sz="4" w:space="0"/>
              <w:bottom w:val="single" w:color="000000" w:sz="4" w:space="0"/>
              <w:right w:val="single" w:color="000000" w:sz="4" w:space="0"/>
            </w:tcBorders>
            <w:vAlign w:val="center"/>
          </w:tcPr>
          <w:p w14:paraId="129C006C">
            <w:pPr>
              <w:jc w:val="center"/>
              <w:rPr>
                <w:rFonts w:ascii="宋体" w:hAnsi="宋体" w:cs="宋体"/>
                <w:color w:val="000000"/>
                <w:szCs w:val="21"/>
              </w:rPr>
            </w:pPr>
          </w:p>
        </w:tc>
        <w:tc>
          <w:tcPr>
            <w:tcW w:w="1710" w:type="dxa"/>
            <w:vMerge w:val="continue"/>
            <w:tcBorders>
              <w:top w:val="single" w:color="000000" w:sz="4" w:space="0"/>
              <w:left w:val="single" w:color="000000" w:sz="4" w:space="0"/>
              <w:bottom w:val="single" w:color="000000" w:sz="4" w:space="0"/>
              <w:right w:val="single" w:color="000000" w:sz="4" w:space="0"/>
            </w:tcBorders>
            <w:vAlign w:val="center"/>
          </w:tcPr>
          <w:p w14:paraId="227BC5C5">
            <w:pPr>
              <w:jc w:val="center"/>
              <w:rPr>
                <w:rFonts w:ascii="宋体" w:hAnsi="宋体" w:cs="宋体"/>
                <w:color w:val="000000"/>
                <w:szCs w:val="21"/>
              </w:rPr>
            </w:pPr>
          </w:p>
        </w:tc>
        <w:tc>
          <w:tcPr>
            <w:tcW w:w="4255" w:type="dxa"/>
            <w:vMerge w:val="continue"/>
            <w:tcBorders>
              <w:top w:val="single" w:color="000000" w:sz="4" w:space="0"/>
              <w:left w:val="single" w:color="000000" w:sz="4" w:space="0"/>
              <w:bottom w:val="single" w:color="000000" w:sz="4" w:space="0"/>
              <w:right w:val="single" w:color="000000" w:sz="4" w:space="0"/>
            </w:tcBorders>
            <w:vAlign w:val="center"/>
          </w:tcPr>
          <w:p w14:paraId="53CFF210">
            <w:pPr>
              <w:jc w:val="center"/>
              <w:rPr>
                <w:rFonts w:ascii="宋体" w:hAnsi="宋体" w:cs="宋体"/>
                <w:color w:val="000000"/>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14:paraId="76A3596F">
            <w:pPr>
              <w:jc w:val="center"/>
              <w:rPr>
                <w:rFonts w:ascii="宋体" w:hAnsi="宋体" w:cs="宋体"/>
                <w:color w:val="000000"/>
                <w:szCs w:val="21"/>
              </w:rPr>
            </w:pPr>
          </w:p>
        </w:tc>
        <w:tc>
          <w:tcPr>
            <w:tcW w:w="708" w:type="dxa"/>
            <w:vMerge w:val="continue"/>
            <w:tcBorders>
              <w:top w:val="single" w:color="000000" w:sz="4" w:space="0"/>
              <w:left w:val="single" w:color="000000" w:sz="4" w:space="0"/>
              <w:bottom w:val="single" w:color="000000" w:sz="4" w:space="0"/>
              <w:right w:val="single" w:color="auto" w:sz="4" w:space="0"/>
            </w:tcBorders>
            <w:vAlign w:val="center"/>
          </w:tcPr>
          <w:p w14:paraId="034317B1">
            <w:pPr>
              <w:jc w:val="center"/>
              <w:rPr>
                <w:rFonts w:ascii="宋体" w:hAnsi="宋体" w:cs="宋体"/>
                <w:color w:val="000000"/>
                <w:szCs w:val="21"/>
              </w:rPr>
            </w:pPr>
          </w:p>
        </w:tc>
        <w:tc>
          <w:tcPr>
            <w:tcW w:w="993" w:type="dxa"/>
            <w:vMerge w:val="continue"/>
            <w:tcBorders>
              <w:top w:val="single" w:color="000000" w:sz="4" w:space="0"/>
              <w:left w:val="single" w:color="auto" w:sz="4" w:space="0"/>
              <w:bottom w:val="single" w:color="000000" w:sz="4" w:space="0"/>
              <w:right w:val="single" w:color="auto" w:sz="4" w:space="0"/>
            </w:tcBorders>
            <w:vAlign w:val="center"/>
          </w:tcPr>
          <w:p w14:paraId="1D4A2661">
            <w:pPr>
              <w:jc w:val="center"/>
              <w:rPr>
                <w:rFonts w:ascii="宋体" w:hAnsi="宋体" w:cs="宋体"/>
                <w:color w:val="000000"/>
                <w:szCs w:val="21"/>
              </w:rPr>
            </w:pPr>
          </w:p>
        </w:tc>
        <w:tc>
          <w:tcPr>
            <w:tcW w:w="922" w:type="dxa"/>
            <w:vMerge w:val="continue"/>
            <w:tcBorders>
              <w:top w:val="single" w:color="000000" w:sz="4" w:space="0"/>
              <w:left w:val="single" w:color="auto" w:sz="4" w:space="0"/>
              <w:bottom w:val="single" w:color="000000" w:sz="4" w:space="0"/>
              <w:right w:val="single" w:color="000000" w:sz="4" w:space="0"/>
            </w:tcBorders>
            <w:vAlign w:val="center"/>
          </w:tcPr>
          <w:p w14:paraId="1EC9AAF9">
            <w:pPr>
              <w:jc w:val="center"/>
              <w:rPr>
                <w:rFonts w:ascii="宋体" w:hAnsi="宋体" w:cs="宋体"/>
                <w:color w:val="000000"/>
                <w:szCs w:val="21"/>
              </w:rPr>
            </w:pPr>
          </w:p>
        </w:tc>
      </w:tr>
      <w:tr w14:paraId="166EB42A">
        <w:tblPrEx>
          <w:tblCellMar>
            <w:top w:w="0" w:type="dxa"/>
            <w:left w:w="108" w:type="dxa"/>
            <w:bottom w:w="0" w:type="dxa"/>
            <w:right w:w="108" w:type="dxa"/>
          </w:tblCellMar>
        </w:tblPrEx>
        <w:trPr>
          <w:trHeight w:val="3415" w:hRule="atLeast"/>
          <w:jc w:val="center"/>
        </w:trPr>
        <w:tc>
          <w:tcPr>
            <w:tcW w:w="857" w:type="dxa"/>
            <w:tcBorders>
              <w:top w:val="single" w:color="000000" w:sz="4" w:space="0"/>
              <w:left w:val="single" w:color="000000" w:sz="4" w:space="0"/>
              <w:bottom w:val="single" w:color="000000" w:sz="4" w:space="0"/>
              <w:right w:val="single" w:color="000000" w:sz="4" w:space="0"/>
            </w:tcBorders>
            <w:vAlign w:val="center"/>
          </w:tcPr>
          <w:p w14:paraId="6AE392E7">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275" w:type="dxa"/>
            <w:tcBorders>
              <w:top w:val="single" w:color="000000" w:sz="4" w:space="0"/>
              <w:left w:val="single" w:color="000000" w:sz="4" w:space="0"/>
              <w:bottom w:val="single" w:color="000000" w:sz="4" w:space="0"/>
              <w:right w:val="single" w:color="000000" w:sz="4" w:space="0"/>
            </w:tcBorders>
            <w:vAlign w:val="center"/>
          </w:tcPr>
          <w:p w14:paraId="2C3726DE">
            <w:pPr>
              <w:widowControl/>
              <w:jc w:val="center"/>
              <w:textAlignment w:val="center"/>
              <w:rPr>
                <w:rFonts w:ascii="宋体" w:hAnsi="宋体" w:cs="宋体"/>
                <w:color w:val="000000"/>
                <w:szCs w:val="21"/>
              </w:rPr>
            </w:pPr>
            <w:r>
              <w:rPr>
                <w:rFonts w:hint="eastAsia" w:ascii="宋体" w:hAnsi="宋体" w:cs="宋体"/>
                <w:b/>
                <w:bCs/>
                <w:color w:val="000000"/>
                <w:kern w:val="0"/>
                <w:szCs w:val="21"/>
                <w:lang w:bidi="ar"/>
              </w:rPr>
              <w:t>分诊台</w:t>
            </w:r>
          </w:p>
        </w:tc>
        <w:tc>
          <w:tcPr>
            <w:tcW w:w="2258" w:type="dxa"/>
            <w:tcBorders>
              <w:top w:val="single" w:color="000000" w:sz="4" w:space="0"/>
              <w:left w:val="single" w:color="000000" w:sz="4" w:space="0"/>
              <w:bottom w:val="single" w:color="000000" w:sz="4" w:space="0"/>
              <w:right w:val="single" w:color="000000" w:sz="4" w:space="0"/>
            </w:tcBorders>
            <w:vAlign w:val="center"/>
          </w:tcPr>
          <w:p w14:paraId="27850DD0">
            <w:pPr>
              <w:widowControl/>
              <w:jc w:val="center"/>
              <w:textAlignment w:val="center"/>
              <w:rPr>
                <w:rFonts w:ascii="宋体" w:hAnsi="宋体" w:cs="宋体"/>
                <w:color w:val="000000"/>
                <w:szCs w:val="21"/>
              </w:rPr>
            </w:pPr>
            <w:r>
              <w:rPr>
                <w:rFonts w:hint="eastAsia" w:ascii="宋体" w:hAnsi="宋体" w:cs="宋体"/>
                <w:color w:val="000000"/>
                <w:szCs w:val="21"/>
              </w:rPr>
              <w:drawing>
                <wp:inline distT="0" distB="0" distL="114300" distR="114300">
                  <wp:extent cx="1428750" cy="1579880"/>
                  <wp:effectExtent l="0" t="0" r="0" b="1270"/>
                  <wp:docPr id="5" name="图片 5" descr="c1883678eaa5249b5eeacbe42876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1883678eaa5249b5eeacbe428762c0"/>
                          <pic:cNvPicPr>
                            <a:picLocks noChangeAspect="1"/>
                          </pic:cNvPicPr>
                        </pic:nvPicPr>
                        <pic:blipFill>
                          <a:blip r:embed="rId9"/>
                          <a:stretch>
                            <a:fillRect/>
                          </a:stretch>
                        </pic:blipFill>
                        <pic:spPr>
                          <a:xfrm>
                            <a:off x="0" y="0"/>
                            <a:ext cx="1428750" cy="1579880"/>
                          </a:xfrm>
                          <a:prstGeom prst="rect">
                            <a:avLst/>
                          </a:prstGeom>
                        </pic:spPr>
                      </pic:pic>
                    </a:graphicData>
                  </a:graphic>
                </wp:inline>
              </w:drawing>
            </w:r>
          </w:p>
        </w:tc>
        <w:tc>
          <w:tcPr>
            <w:tcW w:w="1710" w:type="dxa"/>
            <w:tcBorders>
              <w:top w:val="single" w:color="000000" w:sz="4" w:space="0"/>
              <w:left w:val="single" w:color="000000" w:sz="4" w:space="0"/>
              <w:bottom w:val="single" w:color="000000" w:sz="4" w:space="0"/>
              <w:right w:val="single" w:color="000000" w:sz="4" w:space="0"/>
            </w:tcBorders>
            <w:vAlign w:val="center"/>
          </w:tcPr>
          <w:p w14:paraId="1C40BFFC">
            <w:pPr>
              <w:widowControl/>
              <w:jc w:val="center"/>
              <w:textAlignment w:val="center"/>
              <w:rPr>
                <w:rFonts w:ascii="宋体" w:hAnsi="宋体" w:cs="宋体"/>
                <w:color w:val="000000"/>
                <w:szCs w:val="21"/>
              </w:rPr>
            </w:pPr>
            <w:r>
              <w:rPr>
                <w:rFonts w:ascii="宋体" w:hAnsi="宋体" w:cs="宋体"/>
                <w:color w:val="000000"/>
                <w:szCs w:val="21"/>
              </w:rPr>
              <w:t>0.6×0.4×1</w:t>
            </w:r>
          </w:p>
        </w:tc>
        <w:tc>
          <w:tcPr>
            <w:tcW w:w="4255" w:type="dxa"/>
            <w:tcBorders>
              <w:top w:val="single" w:color="000000" w:sz="4" w:space="0"/>
              <w:left w:val="single" w:color="000000" w:sz="4" w:space="0"/>
              <w:bottom w:val="single" w:color="000000" w:sz="4" w:space="0"/>
              <w:right w:val="single" w:color="000000" w:sz="4" w:space="0"/>
            </w:tcBorders>
            <w:vAlign w:val="center"/>
          </w:tcPr>
          <w:p w14:paraId="782E01AC">
            <w:pPr>
              <w:widowControl/>
              <w:numPr>
                <w:ilvl w:val="0"/>
                <w:numId w:val="2"/>
              </w:numPr>
              <w:jc w:val="left"/>
              <w:textAlignment w:val="center"/>
              <w:rPr>
                <w:rFonts w:ascii="宋体" w:hAnsi="宋体" w:cs="宋体"/>
                <w:color w:val="000000"/>
                <w:szCs w:val="21"/>
              </w:rPr>
            </w:pPr>
            <w:r>
              <w:rPr>
                <w:rFonts w:hint="eastAsia" w:ascii="宋体" w:hAnsi="宋体" w:cs="宋体"/>
                <w:color w:val="000000"/>
                <w:szCs w:val="21"/>
              </w:rPr>
              <w:t>台面:整体采用医用复合亚克力人造石，其材料厚度≥1.2cm，                                                                                              2、分诊台立面采用烤漆工艺或面漆板同色封边。柜体基材采用E0级实木多层板，</w:t>
            </w:r>
          </w:p>
          <w:p w14:paraId="6B355B82">
            <w:pPr>
              <w:widowControl/>
              <w:numPr>
                <w:ilvl w:val="0"/>
                <w:numId w:val="2"/>
              </w:numPr>
              <w:jc w:val="left"/>
              <w:textAlignment w:val="center"/>
              <w:rPr>
                <w:rFonts w:ascii="宋体" w:hAnsi="宋体" w:cs="宋体"/>
                <w:color w:val="000000"/>
                <w:szCs w:val="21"/>
              </w:rPr>
            </w:pPr>
            <w:r>
              <w:rPr>
                <w:rFonts w:hint="eastAsia" w:ascii="宋体" w:hAnsi="宋体" w:cs="宋体"/>
                <w:color w:val="000000"/>
                <w:szCs w:val="21"/>
              </w:rPr>
              <w:t>3、导轨：采用三节导轨，抽身可全部抽出，具有抽拉顺畅，消声静音，防倾覆功能。</w:t>
            </w:r>
          </w:p>
          <w:p w14:paraId="639AAEE9">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4、锁具：不锈钢材质                                                                                                                                                                                       5、铰链：采用不锈钢阻尼门铰</w:t>
            </w:r>
          </w:p>
        </w:tc>
        <w:tc>
          <w:tcPr>
            <w:tcW w:w="709" w:type="dxa"/>
            <w:tcBorders>
              <w:top w:val="single" w:color="000000" w:sz="4" w:space="0"/>
              <w:left w:val="single" w:color="000000" w:sz="4" w:space="0"/>
              <w:bottom w:val="single" w:color="000000" w:sz="4" w:space="0"/>
              <w:right w:val="single" w:color="000000" w:sz="4" w:space="0"/>
            </w:tcBorders>
            <w:vAlign w:val="center"/>
          </w:tcPr>
          <w:p w14:paraId="677D331F">
            <w:pPr>
              <w:widowControl/>
              <w:jc w:val="center"/>
              <w:textAlignment w:val="center"/>
              <w:rPr>
                <w:rFonts w:ascii="宋体" w:hAnsi="宋体" w:cs="宋体"/>
                <w:color w:val="000000"/>
                <w:szCs w:val="21"/>
              </w:rPr>
            </w:pPr>
            <w:r>
              <w:rPr>
                <w:rFonts w:hint="eastAsia" w:ascii="宋体" w:hAnsi="宋体" w:cs="宋体"/>
                <w:color w:val="000000"/>
                <w:szCs w:val="21"/>
              </w:rPr>
              <w:t>3</w:t>
            </w:r>
          </w:p>
        </w:tc>
        <w:tc>
          <w:tcPr>
            <w:tcW w:w="708" w:type="dxa"/>
            <w:tcBorders>
              <w:top w:val="single" w:color="000000" w:sz="4" w:space="0"/>
              <w:left w:val="single" w:color="000000" w:sz="4" w:space="0"/>
              <w:bottom w:val="single" w:color="000000" w:sz="4" w:space="0"/>
              <w:right w:val="single" w:color="auto" w:sz="4" w:space="0"/>
            </w:tcBorders>
            <w:vAlign w:val="center"/>
          </w:tcPr>
          <w:p w14:paraId="236DB121">
            <w:pPr>
              <w:widowControl/>
              <w:jc w:val="center"/>
              <w:textAlignment w:val="center"/>
              <w:rPr>
                <w:rFonts w:ascii="宋体" w:hAnsi="宋体" w:cs="宋体"/>
                <w:color w:val="000000"/>
                <w:szCs w:val="21"/>
              </w:rPr>
            </w:pPr>
            <w:r>
              <w:rPr>
                <w:rFonts w:hint="eastAsia" w:ascii="宋体" w:hAnsi="宋体" w:cs="宋体"/>
                <w:color w:val="000000"/>
                <w:szCs w:val="21"/>
              </w:rPr>
              <w:t>个</w:t>
            </w:r>
          </w:p>
        </w:tc>
        <w:tc>
          <w:tcPr>
            <w:tcW w:w="993" w:type="dxa"/>
            <w:tcBorders>
              <w:top w:val="single" w:color="000000" w:sz="4" w:space="0"/>
              <w:left w:val="single" w:color="auto" w:sz="4" w:space="0"/>
              <w:bottom w:val="single" w:color="000000" w:sz="4" w:space="0"/>
              <w:right w:val="single" w:color="auto" w:sz="4" w:space="0"/>
            </w:tcBorders>
            <w:vAlign w:val="center"/>
          </w:tcPr>
          <w:p w14:paraId="0ACA4E7C">
            <w:pPr>
              <w:jc w:val="center"/>
              <w:textAlignment w:val="center"/>
              <w:rPr>
                <w:rFonts w:ascii="宋体" w:hAnsi="宋体" w:cs="宋体"/>
                <w:color w:val="000000"/>
                <w:szCs w:val="21"/>
              </w:rPr>
            </w:pPr>
          </w:p>
        </w:tc>
        <w:tc>
          <w:tcPr>
            <w:tcW w:w="922" w:type="dxa"/>
            <w:tcBorders>
              <w:top w:val="single" w:color="000000" w:sz="4" w:space="0"/>
              <w:left w:val="single" w:color="auto" w:sz="4" w:space="0"/>
              <w:bottom w:val="single" w:color="000000" w:sz="4" w:space="0"/>
              <w:right w:val="single" w:color="000000" w:sz="4" w:space="0"/>
            </w:tcBorders>
            <w:vAlign w:val="center"/>
          </w:tcPr>
          <w:p w14:paraId="08F0F4F0">
            <w:pPr>
              <w:jc w:val="center"/>
              <w:textAlignment w:val="center"/>
              <w:rPr>
                <w:rFonts w:ascii="宋体" w:hAnsi="宋体" w:cs="宋体"/>
                <w:color w:val="000000"/>
                <w:szCs w:val="21"/>
              </w:rPr>
            </w:pPr>
          </w:p>
        </w:tc>
      </w:tr>
      <w:tr w14:paraId="7C92467F">
        <w:tblPrEx>
          <w:tblCellMar>
            <w:top w:w="0" w:type="dxa"/>
            <w:left w:w="108" w:type="dxa"/>
            <w:bottom w:w="0" w:type="dxa"/>
            <w:right w:w="108" w:type="dxa"/>
          </w:tblCellMar>
        </w:tblPrEx>
        <w:trPr>
          <w:trHeight w:val="740" w:hRule="atLeast"/>
          <w:jc w:val="center"/>
        </w:trPr>
        <w:tc>
          <w:tcPr>
            <w:tcW w:w="857" w:type="dxa"/>
            <w:tcBorders>
              <w:top w:val="single" w:color="000000" w:sz="4" w:space="0"/>
              <w:left w:val="single" w:color="000000" w:sz="4" w:space="0"/>
              <w:bottom w:val="single" w:color="000000" w:sz="4" w:space="0"/>
              <w:right w:val="single" w:color="000000" w:sz="4" w:space="0"/>
            </w:tcBorders>
            <w:vAlign w:val="center"/>
          </w:tcPr>
          <w:p w14:paraId="47363379">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w:t>
            </w:r>
          </w:p>
        </w:tc>
        <w:tc>
          <w:tcPr>
            <w:tcW w:w="1275" w:type="dxa"/>
            <w:tcBorders>
              <w:top w:val="single" w:color="000000" w:sz="4" w:space="0"/>
              <w:left w:val="single" w:color="000000" w:sz="4" w:space="0"/>
              <w:bottom w:val="single" w:color="000000" w:sz="4" w:space="0"/>
              <w:right w:val="single" w:color="000000" w:sz="4" w:space="0"/>
            </w:tcBorders>
            <w:vAlign w:val="center"/>
          </w:tcPr>
          <w:p w14:paraId="70F238B1">
            <w:pPr>
              <w:widowControl/>
              <w:jc w:val="center"/>
              <w:textAlignment w:val="center"/>
              <w:rPr>
                <w:rFonts w:ascii="宋体" w:hAnsi="宋体" w:cs="宋体"/>
                <w:color w:val="000000"/>
                <w:kern w:val="0"/>
                <w:szCs w:val="21"/>
                <w:lang w:bidi="ar"/>
              </w:rPr>
            </w:pPr>
            <w:r>
              <w:rPr>
                <w:rFonts w:hint="eastAsia" w:ascii="宋体" w:hAnsi="宋体" w:cs="宋体"/>
                <w:b/>
                <w:bCs/>
                <w:color w:val="000000"/>
                <w:kern w:val="0"/>
                <w:szCs w:val="21"/>
                <w:lang w:bidi="ar"/>
              </w:rPr>
              <w:t>碳13吧台</w:t>
            </w:r>
          </w:p>
        </w:tc>
        <w:tc>
          <w:tcPr>
            <w:tcW w:w="2258" w:type="dxa"/>
            <w:tcBorders>
              <w:top w:val="single" w:color="000000" w:sz="4" w:space="0"/>
              <w:left w:val="single" w:color="000000" w:sz="4" w:space="0"/>
              <w:bottom w:val="single" w:color="000000" w:sz="4" w:space="0"/>
              <w:right w:val="single" w:color="000000" w:sz="4" w:space="0"/>
            </w:tcBorders>
            <w:vAlign w:val="center"/>
          </w:tcPr>
          <w:p w14:paraId="6FC290B5">
            <w:pPr>
              <w:widowControl/>
              <w:jc w:val="center"/>
              <w:textAlignment w:val="center"/>
              <w:rPr>
                <w:rFonts w:ascii="宋体" w:hAnsi="宋体" w:cs="宋体"/>
                <w:color w:val="000000"/>
                <w:szCs w:val="21"/>
              </w:rPr>
            </w:pPr>
          </w:p>
        </w:tc>
        <w:tc>
          <w:tcPr>
            <w:tcW w:w="1710" w:type="dxa"/>
            <w:tcBorders>
              <w:top w:val="single" w:color="000000" w:sz="4" w:space="0"/>
              <w:left w:val="single" w:color="000000" w:sz="4" w:space="0"/>
              <w:bottom w:val="single" w:color="000000" w:sz="4" w:space="0"/>
              <w:right w:val="single" w:color="000000" w:sz="4" w:space="0"/>
            </w:tcBorders>
            <w:vAlign w:val="center"/>
          </w:tcPr>
          <w:p w14:paraId="0AD2F3A6">
            <w:pPr>
              <w:widowControl/>
              <w:adjustRightInd w:val="0"/>
              <w:snapToGrid w:val="0"/>
              <w:spacing w:line="440" w:lineRule="exact"/>
              <w:contextualSpacing/>
              <w:jc w:val="center"/>
              <w:textAlignment w:val="center"/>
              <w:rPr>
                <w:rFonts w:ascii="宋体" w:hAnsi="宋体" w:cs="宋体"/>
                <w:b/>
                <w:bCs/>
                <w:color w:val="000000"/>
                <w:kern w:val="0"/>
                <w:szCs w:val="21"/>
                <w:lang w:bidi="ar"/>
              </w:rPr>
            </w:pPr>
            <w:r>
              <w:rPr>
                <w:rFonts w:hint="eastAsia" w:ascii="宋体" w:hAnsi="宋体"/>
                <w:b/>
                <w:szCs w:val="21"/>
              </w:rPr>
              <w:t>按照</w:t>
            </w:r>
            <w:r>
              <w:rPr>
                <w:rFonts w:hint="eastAsia" w:ascii="宋体" w:hAnsi="宋体" w:cs="宋体"/>
                <w:b/>
                <w:bCs/>
                <w:color w:val="000000"/>
                <w:kern w:val="0"/>
                <w:szCs w:val="21"/>
                <w:lang w:bidi="ar"/>
              </w:rPr>
              <w:t>碳13</w:t>
            </w:r>
          </w:p>
          <w:p w14:paraId="30539EC3">
            <w:pPr>
              <w:spacing w:line="360" w:lineRule="auto"/>
              <w:jc w:val="center"/>
              <w:rPr>
                <w:rFonts w:ascii="宋体" w:hAnsi="宋体"/>
                <w:szCs w:val="21"/>
              </w:rPr>
            </w:pPr>
            <w:r>
              <w:rPr>
                <w:rFonts w:hint="eastAsia" w:ascii="宋体" w:hAnsi="宋体" w:cs="宋体"/>
                <w:b/>
                <w:bCs/>
                <w:color w:val="000000"/>
                <w:kern w:val="0"/>
                <w:szCs w:val="21"/>
                <w:lang w:bidi="ar"/>
              </w:rPr>
              <w:t>吧台规格报价</w:t>
            </w:r>
          </w:p>
        </w:tc>
        <w:tc>
          <w:tcPr>
            <w:tcW w:w="4255" w:type="dxa"/>
            <w:tcBorders>
              <w:top w:val="single" w:color="000000" w:sz="4" w:space="0"/>
              <w:left w:val="single" w:color="000000" w:sz="4" w:space="0"/>
              <w:bottom w:val="single" w:color="000000" w:sz="4" w:space="0"/>
              <w:right w:val="single" w:color="000000" w:sz="4" w:space="0"/>
            </w:tcBorders>
            <w:vAlign w:val="center"/>
          </w:tcPr>
          <w:p w14:paraId="03BC229A">
            <w:pPr>
              <w:widowControl/>
              <w:numPr>
                <w:ilvl w:val="0"/>
                <w:numId w:val="3"/>
              </w:numPr>
              <w:jc w:val="left"/>
              <w:textAlignment w:val="center"/>
              <w:rPr>
                <w:rFonts w:ascii="宋体" w:hAnsi="宋体" w:cs="宋体"/>
                <w:color w:val="000000"/>
                <w:szCs w:val="21"/>
              </w:rPr>
            </w:pPr>
            <w:r>
              <w:rPr>
                <w:rFonts w:hint="eastAsia" w:ascii="宋体" w:hAnsi="宋体" w:cs="宋体"/>
                <w:color w:val="000000"/>
                <w:szCs w:val="21"/>
              </w:rPr>
              <w:t>平面和立面采用杜邦品牌亚克力人造石</w:t>
            </w:r>
          </w:p>
          <w:p w14:paraId="1C5B39AC">
            <w:pPr>
              <w:widowControl/>
              <w:jc w:val="left"/>
              <w:textAlignment w:val="center"/>
              <w:rPr>
                <w:rFonts w:ascii="宋体" w:hAnsi="宋体" w:cs="宋体"/>
                <w:color w:val="000000"/>
                <w:szCs w:val="21"/>
              </w:rPr>
            </w:pPr>
            <w:r>
              <w:rPr>
                <w:rFonts w:hint="eastAsia" w:ascii="宋体" w:hAnsi="宋体" w:cs="宋体"/>
                <w:color w:val="000000"/>
                <w:szCs w:val="21"/>
              </w:rPr>
              <w:t>2、柜体：基材采用E0级实木多层板，</w:t>
            </w:r>
          </w:p>
          <w:p w14:paraId="32C0CD95">
            <w:pPr>
              <w:widowControl/>
              <w:jc w:val="left"/>
              <w:textAlignment w:val="center"/>
              <w:rPr>
                <w:rFonts w:ascii="宋体" w:hAnsi="宋体" w:cs="宋体"/>
                <w:color w:val="000000"/>
                <w:szCs w:val="21"/>
              </w:rPr>
            </w:pPr>
            <w:r>
              <w:rPr>
                <w:rFonts w:hint="eastAsia" w:ascii="宋体" w:hAnsi="宋体" w:cs="宋体"/>
                <w:color w:val="000000"/>
                <w:szCs w:val="21"/>
              </w:rPr>
              <w:t>3、立面造型及踢脚线配LED效果灯</w:t>
            </w:r>
          </w:p>
          <w:p w14:paraId="3905494F">
            <w:pPr>
              <w:widowControl/>
              <w:jc w:val="left"/>
              <w:textAlignment w:val="center"/>
              <w:rPr>
                <w:rFonts w:ascii="宋体" w:hAnsi="宋体" w:cs="宋体"/>
                <w:color w:val="000000"/>
                <w:szCs w:val="21"/>
              </w:rPr>
            </w:pPr>
            <w:r>
              <w:rPr>
                <w:rFonts w:hint="eastAsia" w:ascii="宋体" w:hAnsi="宋体" w:cs="宋体"/>
                <w:color w:val="000000"/>
                <w:szCs w:val="21"/>
              </w:rPr>
              <w:t>4、环保等级：E0级。</w:t>
            </w:r>
          </w:p>
          <w:p w14:paraId="5CAF73C6">
            <w:pPr>
              <w:widowControl/>
              <w:jc w:val="left"/>
              <w:textAlignment w:val="center"/>
              <w:rPr>
                <w:rFonts w:ascii="宋体" w:hAnsi="宋体" w:cs="宋体"/>
                <w:color w:val="000000"/>
                <w:szCs w:val="21"/>
              </w:rPr>
            </w:pPr>
            <w:r>
              <w:rPr>
                <w:rFonts w:hint="eastAsia" w:ascii="宋体" w:hAnsi="宋体" w:cs="宋体"/>
                <w:color w:val="000000"/>
                <w:szCs w:val="21"/>
              </w:rPr>
              <w:t>5、不锈钢踢脚线</w:t>
            </w:r>
          </w:p>
          <w:p w14:paraId="53A4F90E">
            <w:pPr>
              <w:widowControl/>
              <w:jc w:val="left"/>
              <w:textAlignment w:val="center"/>
              <w:rPr>
                <w:rFonts w:ascii="宋体" w:hAnsi="宋体" w:cs="宋体"/>
                <w:color w:val="000000"/>
                <w:szCs w:val="21"/>
              </w:rPr>
            </w:pPr>
            <w:r>
              <w:rPr>
                <w:rFonts w:hint="eastAsia" w:ascii="宋体" w:hAnsi="宋体" w:cs="宋体"/>
                <w:color w:val="000000"/>
                <w:szCs w:val="21"/>
              </w:rPr>
              <w:t>6、根据工位配套抽屉、键盘抽和电脑主机柜</w:t>
            </w:r>
          </w:p>
          <w:p w14:paraId="552FE187">
            <w:pPr>
              <w:widowControl/>
              <w:adjustRightInd w:val="0"/>
              <w:snapToGrid w:val="0"/>
              <w:spacing w:line="320" w:lineRule="exact"/>
              <w:contextualSpacing/>
              <w:jc w:val="left"/>
              <w:textAlignment w:val="center"/>
              <w:rPr>
                <w:rFonts w:ascii="宋体" w:hAnsi="宋体" w:cs="宋体"/>
                <w:color w:val="000000"/>
                <w:szCs w:val="21"/>
              </w:rPr>
            </w:pPr>
            <w:r>
              <w:rPr>
                <w:rFonts w:hint="eastAsia" w:ascii="宋体" w:hAnsi="宋体" w:cs="宋体"/>
                <w:color w:val="000000"/>
                <w:szCs w:val="21"/>
              </w:rPr>
              <w:t>7、配套5个工位的电源插座和网络插座</w:t>
            </w:r>
          </w:p>
        </w:tc>
        <w:tc>
          <w:tcPr>
            <w:tcW w:w="709" w:type="dxa"/>
            <w:tcBorders>
              <w:top w:val="single" w:color="000000" w:sz="4" w:space="0"/>
              <w:left w:val="single" w:color="000000" w:sz="4" w:space="0"/>
              <w:bottom w:val="single" w:color="000000" w:sz="4" w:space="0"/>
              <w:right w:val="single" w:color="000000" w:sz="4" w:space="0"/>
            </w:tcBorders>
            <w:vAlign w:val="center"/>
          </w:tcPr>
          <w:p w14:paraId="72D52B78">
            <w:pPr>
              <w:widowControl/>
              <w:jc w:val="center"/>
              <w:textAlignment w:val="center"/>
              <w:rPr>
                <w:rFonts w:ascii="宋体" w:hAnsi="宋体" w:cs="宋体"/>
                <w:color w:val="000000"/>
                <w:szCs w:val="21"/>
              </w:rPr>
            </w:pPr>
            <w:r>
              <w:rPr>
                <w:rFonts w:hint="eastAsia" w:ascii="宋体" w:hAnsi="宋体" w:cs="宋体"/>
                <w:color w:val="000000"/>
                <w:szCs w:val="21"/>
              </w:rPr>
              <w:t>1</w:t>
            </w:r>
          </w:p>
        </w:tc>
        <w:tc>
          <w:tcPr>
            <w:tcW w:w="708" w:type="dxa"/>
            <w:tcBorders>
              <w:top w:val="single" w:color="000000" w:sz="4" w:space="0"/>
              <w:left w:val="single" w:color="000000" w:sz="4" w:space="0"/>
              <w:bottom w:val="single" w:color="000000" w:sz="4" w:space="0"/>
              <w:right w:val="single" w:color="auto" w:sz="4" w:space="0"/>
            </w:tcBorders>
            <w:vAlign w:val="center"/>
          </w:tcPr>
          <w:p w14:paraId="5CF21A82">
            <w:pPr>
              <w:widowControl/>
              <w:jc w:val="center"/>
              <w:textAlignment w:val="center"/>
              <w:rPr>
                <w:rFonts w:ascii="宋体" w:hAnsi="宋体" w:cs="宋体"/>
                <w:color w:val="000000"/>
                <w:szCs w:val="21"/>
              </w:rPr>
            </w:pPr>
            <w:r>
              <w:rPr>
                <w:rFonts w:hint="eastAsia" w:ascii="宋体" w:hAnsi="宋体" w:cs="宋体"/>
                <w:color w:val="000000"/>
                <w:szCs w:val="21"/>
              </w:rPr>
              <w:t>个</w:t>
            </w:r>
          </w:p>
        </w:tc>
        <w:tc>
          <w:tcPr>
            <w:tcW w:w="993" w:type="dxa"/>
            <w:tcBorders>
              <w:top w:val="single" w:color="000000" w:sz="4" w:space="0"/>
              <w:left w:val="single" w:color="auto" w:sz="4" w:space="0"/>
              <w:bottom w:val="single" w:color="000000" w:sz="4" w:space="0"/>
              <w:right w:val="single" w:color="auto" w:sz="4" w:space="0"/>
            </w:tcBorders>
            <w:vAlign w:val="center"/>
          </w:tcPr>
          <w:p w14:paraId="39FA6F63">
            <w:pPr>
              <w:jc w:val="center"/>
              <w:textAlignment w:val="center"/>
              <w:rPr>
                <w:rFonts w:ascii="宋体" w:hAnsi="宋体" w:cs="宋体"/>
                <w:color w:val="000000"/>
                <w:szCs w:val="21"/>
              </w:rPr>
            </w:pPr>
          </w:p>
        </w:tc>
        <w:tc>
          <w:tcPr>
            <w:tcW w:w="922" w:type="dxa"/>
            <w:tcBorders>
              <w:top w:val="single" w:color="000000" w:sz="4" w:space="0"/>
              <w:left w:val="single" w:color="auto" w:sz="4" w:space="0"/>
              <w:bottom w:val="single" w:color="000000" w:sz="4" w:space="0"/>
              <w:right w:val="single" w:color="000000" w:sz="4" w:space="0"/>
            </w:tcBorders>
            <w:vAlign w:val="center"/>
          </w:tcPr>
          <w:p w14:paraId="79C3F351">
            <w:pPr>
              <w:jc w:val="center"/>
              <w:textAlignment w:val="center"/>
              <w:rPr>
                <w:rFonts w:ascii="宋体" w:hAnsi="宋体" w:cs="宋体"/>
                <w:color w:val="000000"/>
                <w:szCs w:val="21"/>
              </w:rPr>
            </w:pPr>
          </w:p>
        </w:tc>
      </w:tr>
      <w:tr w14:paraId="4D02A23E">
        <w:tblPrEx>
          <w:tblCellMar>
            <w:top w:w="0" w:type="dxa"/>
            <w:left w:w="108" w:type="dxa"/>
            <w:bottom w:w="0" w:type="dxa"/>
            <w:right w:w="108" w:type="dxa"/>
          </w:tblCellMar>
        </w:tblPrEx>
        <w:trPr>
          <w:trHeight w:val="1550" w:hRule="atLeast"/>
          <w:jc w:val="center"/>
        </w:trPr>
        <w:tc>
          <w:tcPr>
            <w:tcW w:w="857" w:type="dxa"/>
            <w:tcBorders>
              <w:top w:val="single" w:color="000000" w:sz="4" w:space="0"/>
              <w:left w:val="single" w:color="000000" w:sz="4" w:space="0"/>
              <w:bottom w:val="single" w:color="000000" w:sz="4" w:space="0"/>
              <w:right w:val="single" w:color="000000" w:sz="4" w:space="0"/>
            </w:tcBorders>
            <w:vAlign w:val="center"/>
          </w:tcPr>
          <w:p w14:paraId="7137EA21">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3</w:t>
            </w:r>
          </w:p>
        </w:tc>
        <w:tc>
          <w:tcPr>
            <w:tcW w:w="1275" w:type="dxa"/>
            <w:tcBorders>
              <w:top w:val="single" w:color="000000" w:sz="4" w:space="0"/>
              <w:left w:val="single" w:color="000000" w:sz="4" w:space="0"/>
              <w:bottom w:val="single" w:color="000000" w:sz="4" w:space="0"/>
              <w:right w:val="single" w:color="000000" w:sz="4" w:space="0"/>
            </w:tcBorders>
            <w:vAlign w:val="center"/>
          </w:tcPr>
          <w:p w14:paraId="4957EF69">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碳13吊柜及矮柜</w:t>
            </w:r>
          </w:p>
        </w:tc>
        <w:tc>
          <w:tcPr>
            <w:tcW w:w="2258" w:type="dxa"/>
            <w:tcBorders>
              <w:top w:val="single" w:color="000000" w:sz="4" w:space="0"/>
              <w:left w:val="single" w:color="000000" w:sz="4" w:space="0"/>
              <w:bottom w:val="single" w:color="000000" w:sz="4" w:space="0"/>
              <w:right w:val="single" w:color="000000" w:sz="4" w:space="0"/>
            </w:tcBorders>
            <w:vAlign w:val="center"/>
          </w:tcPr>
          <w:p w14:paraId="5795AE22">
            <w:pPr>
              <w:widowControl/>
              <w:jc w:val="center"/>
              <w:textAlignment w:val="center"/>
              <w:rPr>
                <w:rFonts w:ascii="宋体" w:hAnsi="宋体" w:cs="宋体"/>
                <w:color w:val="000000"/>
                <w:szCs w:val="21"/>
              </w:rPr>
            </w:pPr>
          </w:p>
        </w:tc>
        <w:tc>
          <w:tcPr>
            <w:tcW w:w="1710" w:type="dxa"/>
            <w:tcBorders>
              <w:top w:val="single" w:color="000000" w:sz="4" w:space="0"/>
              <w:left w:val="single" w:color="000000" w:sz="4" w:space="0"/>
              <w:bottom w:val="single" w:color="000000" w:sz="4" w:space="0"/>
              <w:right w:val="single" w:color="000000" w:sz="4" w:space="0"/>
            </w:tcBorders>
            <w:vAlign w:val="center"/>
          </w:tcPr>
          <w:p w14:paraId="101A0F26">
            <w:pPr>
              <w:widowControl/>
              <w:adjustRightInd w:val="0"/>
              <w:snapToGrid w:val="0"/>
              <w:spacing w:line="440" w:lineRule="exact"/>
              <w:contextualSpacing/>
              <w:jc w:val="center"/>
              <w:textAlignment w:val="center"/>
              <w:rPr>
                <w:rFonts w:ascii="宋体" w:hAnsi="宋体" w:cs="宋体"/>
                <w:b/>
                <w:bCs/>
                <w:color w:val="000000"/>
                <w:kern w:val="0"/>
                <w:szCs w:val="21"/>
                <w:lang w:bidi="ar"/>
              </w:rPr>
            </w:pPr>
            <w:r>
              <w:rPr>
                <w:rFonts w:hint="eastAsia" w:ascii="宋体" w:hAnsi="宋体"/>
                <w:b/>
                <w:szCs w:val="21"/>
              </w:rPr>
              <w:t>按照</w:t>
            </w:r>
            <w:r>
              <w:rPr>
                <w:rFonts w:hint="eastAsia" w:ascii="宋体" w:hAnsi="宋体" w:cs="宋体"/>
                <w:b/>
                <w:bCs/>
                <w:color w:val="000000"/>
                <w:kern w:val="0"/>
                <w:szCs w:val="21"/>
                <w:lang w:bidi="ar"/>
              </w:rPr>
              <w:t>碳13</w:t>
            </w:r>
          </w:p>
          <w:p w14:paraId="0E4729CB">
            <w:pPr>
              <w:adjustRightInd w:val="0"/>
              <w:snapToGrid w:val="0"/>
              <w:spacing w:line="440" w:lineRule="exact"/>
              <w:contextualSpacing/>
              <w:rPr>
                <w:rFonts w:ascii="宋体" w:hAnsi="宋体"/>
                <w:szCs w:val="21"/>
              </w:rPr>
            </w:pPr>
            <w:r>
              <w:rPr>
                <w:rFonts w:hint="eastAsia" w:ascii="宋体" w:hAnsi="宋体" w:cs="宋体"/>
                <w:b/>
                <w:bCs/>
                <w:color w:val="000000"/>
                <w:kern w:val="0"/>
                <w:szCs w:val="21"/>
                <w:lang w:bidi="ar"/>
              </w:rPr>
              <w:t>吊柜及矮柜规格报价</w:t>
            </w:r>
          </w:p>
        </w:tc>
        <w:tc>
          <w:tcPr>
            <w:tcW w:w="4255" w:type="dxa"/>
            <w:tcBorders>
              <w:top w:val="single" w:color="000000" w:sz="4" w:space="0"/>
              <w:left w:val="single" w:color="000000" w:sz="4" w:space="0"/>
              <w:bottom w:val="single" w:color="000000" w:sz="4" w:space="0"/>
              <w:right w:val="single" w:color="000000" w:sz="4" w:space="0"/>
            </w:tcBorders>
            <w:vAlign w:val="center"/>
          </w:tcPr>
          <w:p w14:paraId="72999255">
            <w:pPr>
              <w:widowControl/>
              <w:numPr>
                <w:ilvl w:val="0"/>
                <w:numId w:val="4"/>
              </w:numPr>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板材采用E0级实木多层面免漆板，板材厚度不小于18mm，所有板材经防潮、防虫、防腐处理，抗弯力强，不易变形，甲醛释放量≤0.07mg/m³。所有柜门板采用45°斜边免拉手；</w:t>
            </w:r>
          </w:p>
          <w:p w14:paraId="568183F8">
            <w:pPr>
              <w:widowControl/>
              <w:adjustRightInd w:val="0"/>
              <w:snapToGrid w:val="0"/>
              <w:spacing w:line="320" w:lineRule="exact"/>
              <w:contextualSpacing/>
              <w:jc w:val="left"/>
              <w:textAlignment w:val="center"/>
              <w:rPr>
                <w:rFonts w:ascii="宋体" w:hAnsi="宋体" w:cs="宋体"/>
                <w:color w:val="000000"/>
                <w:szCs w:val="21"/>
              </w:rPr>
            </w:pPr>
            <w:r>
              <w:rPr>
                <w:rFonts w:hint="eastAsia" w:ascii="宋体" w:hAnsi="宋体" w:cs="宋体"/>
                <w:color w:val="000000"/>
                <w:szCs w:val="21"/>
              </w:rPr>
              <w:t xml:space="preserve">板材为木纹，木纹与房屋现场木纹装饰板同色。                                                            </w:t>
            </w:r>
          </w:p>
          <w:p w14:paraId="08EF9ED9">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 xml:space="preserve">2、台面采用人造石材；                                                                   </w:t>
            </w:r>
          </w:p>
          <w:p w14:paraId="32BA9D49">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 xml:space="preserve">3、所有板材断面需采用1.5mm厚优质同色PVC封边；                                                </w:t>
            </w:r>
          </w:p>
          <w:p w14:paraId="54B550A9">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 xml:space="preserve">4、连接件五金采用优质三合一扣件；柜门门板开关自如，关闭时无响声；                               </w:t>
            </w:r>
          </w:p>
          <w:p w14:paraId="691E49E9">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 xml:space="preserve">5、柜脚踢脚板采用1.0mm厚不锈钢，颜色参照室内装修材质；                  </w:t>
            </w:r>
          </w:p>
          <w:p w14:paraId="3E169669">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6、台盆污废翻盖采用优质不锈钢制品；                                              7、上柜下方安装嵌入式LED条形灯；</w:t>
            </w:r>
          </w:p>
          <w:p w14:paraId="080D321A">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8、上柜与下柜之间的墙面采用18mm厚优质实木多层免漆板。</w:t>
            </w:r>
          </w:p>
        </w:tc>
        <w:tc>
          <w:tcPr>
            <w:tcW w:w="709" w:type="dxa"/>
            <w:tcBorders>
              <w:top w:val="single" w:color="000000" w:sz="4" w:space="0"/>
              <w:left w:val="single" w:color="000000" w:sz="4" w:space="0"/>
              <w:bottom w:val="single" w:color="000000" w:sz="4" w:space="0"/>
              <w:right w:val="single" w:color="000000" w:sz="4" w:space="0"/>
            </w:tcBorders>
            <w:vAlign w:val="center"/>
          </w:tcPr>
          <w:p w14:paraId="268FC86C">
            <w:pPr>
              <w:widowControl/>
              <w:jc w:val="center"/>
              <w:textAlignment w:val="center"/>
              <w:rPr>
                <w:rFonts w:ascii="宋体" w:hAnsi="宋体" w:cs="宋体"/>
                <w:color w:val="000000"/>
                <w:szCs w:val="21"/>
              </w:rPr>
            </w:pPr>
            <w:r>
              <w:rPr>
                <w:rFonts w:ascii="宋体" w:hAnsi="宋体" w:cs="宋体"/>
                <w:color w:val="000000"/>
                <w:szCs w:val="21"/>
              </w:rPr>
              <w:t>1</w:t>
            </w:r>
          </w:p>
        </w:tc>
        <w:tc>
          <w:tcPr>
            <w:tcW w:w="708" w:type="dxa"/>
            <w:tcBorders>
              <w:top w:val="single" w:color="000000" w:sz="4" w:space="0"/>
              <w:left w:val="single" w:color="000000" w:sz="4" w:space="0"/>
              <w:bottom w:val="single" w:color="000000" w:sz="4" w:space="0"/>
              <w:right w:val="single" w:color="auto" w:sz="4" w:space="0"/>
            </w:tcBorders>
            <w:vAlign w:val="center"/>
          </w:tcPr>
          <w:p w14:paraId="5A80D3BC">
            <w:pPr>
              <w:widowControl/>
              <w:jc w:val="center"/>
              <w:textAlignment w:val="center"/>
              <w:rPr>
                <w:rFonts w:ascii="宋体" w:hAnsi="宋体" w:cs="宋体"/>
                <w:color w:val="000000"/>
                <w:szCs w:val="21"/>
              </w:rPr>
            </w:pPr>
            <w:r>
              <w:rPr>
                <w:rFonts w:hint="eastAsia" w:ascii="宋体" w:hAnsi="宋体" w:cs="宋体"/>
                <w:color w:val="000000"/>
                <w:szCs w:val="21"/>
              </w:rPr>
              <w:t>组</w:t>
            </w:r>
          </w:p>
        </w:tc>
        <w:tc>
          <w:tcPr>
            <w:tcW w:w="993" w:type="dxa"/>
            <w:tcBorders>
              <w:top w:val="single" w:color="000000" w:sz="4" w:space="0"/>
              <w:left w:val="single" w:color="auto" w:sz="4" w:space="0"/>
              <w:bottom w:val="single" w:color="000000" w:sz="4" w:space="0"/>
              <w:right w:val="single" w:color="auto" w:sz="4" w:space="0"/>
            </w:tcBorders>
            <w:vAlign w:val="center"/>
          </w:tcPr>
          <w:p w14:paraId="0E2CE1C8">
            <w:pPr>
              <w:jc w:val="center"/>
              <w:textAlignment w:val="center"/>
              <w:rPr>
                <w:rFonts w:ascii="宋体" w:hAnsi="宋体" w:cs="宋体"/>
                <w:color w:val="000000"/>
                <w:szCs w:val="21"/>
              </w:rPr>
            </w:pPr>
          </w:p>
        </w:tc>
        <w:tc>
          <w:tcPr>
            <w:tcW w:w="922" w:type="dxa"/>
            <w:tcBorders>
              <w:top w:val="single" w:color="000000" w:sz="4" w:space="0"/>
              <w:left w:val="single" w:color="auto" w:sz="4" w:space="0"/>
              <w:bottom w:val="single" w:color="000000" w:sz="4" w:space="0"/>
              <w:right w:val="single" w:color="000000" w:sz="4" w:space="0"/>
            </w:tcBorders>
            <w:vAlign w:val="center"/>
          </w:tcPr>
          <w:p w14:paraId="0670CF4E">
            <w:pPr>
              <w:jc w:val="center"/>
              <w:textAlignment w:val="center"/>
              <w:rPr>
                <w:rFonts w:ascii="宋体" w:hAnsi="宋体" w:cs="宋体"/>
                <w:color w:val="000000"/>
                <w:szCs w:val="21"/>
              </w:rPr>
            </w:pPr>
          </w:p>
        </w:tc>
      </w:tr>
      <w:tr w14:paraId="476829B0">
        <w:tblPrEx>
          <w:tblCellMar>
            <w:top w:w="0" w:type="dxa"/>
            <w:left w:w="108" w:type="dxa"/>
            <w:bottom w:w="0" w:type="dxa"/>
            <w:right w:w="108" w:type="dxa"/>
          </w:tblCellMar>
        </w:tblPrEx>
        <w:trPr>
          <w:trHeight w:val="2390" w:hRule="atLeast"/>
          <w:jc w:val="center"/>
        </w:trPr>
        <w:tc>
          <w:tcPr>
            <w:tcW w:w="857" w:type="dxa"/>
            <w:tcBorders>
              <w:left w:val="single" w:color="000000" w:sz="4" w:space="0"/>
              <w:bottom w:val="single" w:color="000000" w:sz="4" w:space="0"/>
              <w:right w:val="single" w:color="000000" w:sz="4" w:space="0"/>
            </w:tcBorders>
            <w:vAlign w:val="center"/>
          </w:tcPr>
          <w:p w14:paraId="778AFB93">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4</w:t>
            </w:r>
          </w:p>
        </w:tc>
        <w:tc>
          <w:tcPr>
            <w:tcW w:w="1275" w:type="dxa"/>
            <w:tcBorders>
              <w:left w:val="single" w:color="000000" w:sz="4" w:space="0"/>
              <w:bottom w:val="single" w:color="000000" w:sz="4" w:space="0"/>
              <w:right w:val="single" w:color="000000" w:sz="4" w:space="0"/>
            </w:tcBorders>
            <w:vAlign w:val="center"/>
          </w:tcPr>
          <w:p w14:paraId="6FD01BDF">
            <w:pPr>
              <w:widowControl/>
              <w:jc w:val="center"/>
              <w:textAlignment w:val="center"/>
              <w:rPr>
                <w:rFonts w:ascii="宋体" w:hAnsi="宋体" w:cs="宋体"/>
                <w:color w:val="000000"/>
                <w:kern w:val="0"/>
                <w:szCs w:val="21"/>
                <w:lang w:bidi="ar"/>
              </w:rPr>
            </w:pPr>
            <w:r>
              <w:rPr>
                <w:rFonts w:hint="eastAsia" w:ascii="宋体" w:hAnsi="宋体"/>
                <w:b/>
                <w:bCs/>
                <w:szCs w:val="21"/>
              </w:rPr>
              <w:t>碳13水柜</w:t>
            </w:r>
          </w:p>
        </w:tc>
        <w:tc>
          <w:tcPr>
            <w:tcW w:w="2258" w:type="dxa"/>
            <w:tcBorders>
              <w:left w:val="single" w:color="000000" w:sz="4" w:space="0"/>
              <w:bottom w:val="single" w:color="000000" w:sz="4" w:space="0"/>
              <w:right w:val="single" w:color="000000" w:sz="4" w:space="0"/>
            </w:tcBorders>
            <w:vAlign w:val="center"/>
          </w:tcPr>
          <w:p w14:paraId="1A61C14B">
            <w:pPr>
              <w:widowControl/>
              <w:jc w:val="center"/>
              <w:textAlignment w:val="center"/>
              <w:rPr>
                <w:rFonts w:ascii="宋体" w:hAnsi="宋体" w:cs="宋体"/>
                <w:color w:val="000000"/>
                <w:kern w:val="0"/>
                <w:szCs w:val="21"/>
                <w:lang w:bidi="ar"/>
              </w:rPr>
            </w:pPr>
          </w:p>
        </w:tc>
        <w:tc>
          <w:tcPr>
            <w:tcW w:w="1710" w:type="dxa"/>
            <w:tcBorders>
              <w:left w:val="single" w:color="000000" w:sz="4" w:space="0"/>
              <w:bottom w:val="single" w:color="000000" w:sz="4" w:space="0"/>
              <w:right w:val="single" w:color="000000" w:sz="4" w:space="0"/>
            </w:tcBorders>
            <w:vAlign w:val="center"/>
          </w:tcPr>
          <w:p w14:paraId="6682AC00">
            <w:pPr>
              <w:widowControl/>
              <w:adjustRightInd w:val="0"/>
              <w:snapToGrid w:val="0"/>
              <w:spacing w:line="440" w:lineRule="exact"/>
              <w:contextualSpacing/>
              <w:jc w:val="center"/>
              <w:textAlignment w:val="center"/>
              <w:rPr>
                <w:rFonts w:ascii="宋体" w:hAnsi="宋体" w:cs="宋体"/>
                <w:b/>
                <w:bCs/>
                <w:color w:val="000000"/>
                <w:kern w:val="0"/>
                <w:szCs w:val="21"/>
                <w:lang w:bidi="ar"/>
              </w:rPr>
            </w:pPr>
            <w:r>
              <w:rPr>
                <w:rFonts w:hint="eastAsia" w:ascii="宋体" w:hAnsi="宋体"/>
                <w:b/>
                <w:szCs w:val="21"/>
              </w:rPr>
              <w:t>按照</w:t>
            </w:r>
            <w:r>
              <w:rPr>
                <w:rFonts w:hint="eastAsia" w:ascii="宋体" w:hAnsi="宋体" w:cs="宋体"/>
                <w:b/>
                <w:bCs/>
                <w:color w:val="000000"/>
                <w:kern w:val="0"/>
                <w:szCs w:val="21"/>
                <w:lang w:bidi="ar"/>
              </w:rPr>
              <w:t>碳13</w:t>
            </w:r>
          </w:p>
          <w:p w14:paraId="71E20313">
            <w:pPr>
              <w:spacing w:line="360" w:lineRule="auto"/>
              <w:jc w:val="center"/>
              <w:rPr>
                <w:rFonts w:ascii="宋体" w:hAnsi="宋体"/>
                <w:szCs w:val="21"/>
              </w:rPr>
            </w:pPr>
            <w:r>
              <w:rPr>
                <w:rFonts w:hint="eastAsia" w:ascii="宋体" w:hAnsi="宋体" w:cs="宋体"/>
                <w:b/>
                <w:bCs/>
                <w:color w:val="000000"/>
                <w:kern w:val="0"/>
                <w:szCs w:val="21"/>
                <w:lang w:bidi="ar"/>
              </w:rPr>
              <w:t>水柜规格报价</w:t>
            </w:r>
          </w:p>
        </w:tc>
        <w:tc>
          <w:tcPr>
            <w:tcW w:w="4255" w:type="dxa"/>
            <w:tcBorders>
              <w:left w:val="single" w:color="000000" w:sz="4" w:space="0"/>
              <w:bottom w:val="single" w:color="000000" w:sz="4" w:space="0"/>
              <w:right w:val="single" w:color="000000" w:sz="4" w:space="0"/>
            </w:tcBorders>
            <w:vAlign w:val="center"/>
          </w:tcPr>
          <w:p w14:paraId="1D6438D2">
            <w:pPr>
              <w:widowControl/>
              <w:adjustRightInd w:val="0"/>
              <w:snapToGrid w:val="0"/>
              <w:spacing w:line="320" w:lineRule="exact"/>
              <w:ind w:firstLine="420" w:firstLineChars="200"/>
              <w:contextualSpacing/>
              <w:jc w:val="left"/>
              <w:textAlignment w:val="center"/>
              <w:rPr>
                <w:rFonts w:ascii="宋体" w:hAnsi="宋体" w:cs="宋体"/>
                <w:kern w:val="0"/>
                <w:szCs w:val="21"/>
              </w:rPr>
            </w:pPr>
            <w:r>
              <w:rPr>
                <w:rFonts w:hint="eastAsia" w:ascii="宋体" w:hAnsi="宋体" w:cs="宋体"/>
                <w:kern w:val="0"/>
                <w:szCs w:val="21"/>
              </w:rPr>
              <w:t xml:space="preserve">1、板材采用E0级实木多层面免漆板，板材厚度不小于18mm，所有板材经防潮、防虫、防腐处理，抗弯力强，不易变形，甲醛释放量≤0.07mg/m³。所有柜门板采用45°斜边免拉手；                                         </w:t>
            </w:r>
          </w:p>
          <w:p w14:paraId="2D2A9EFB">
            <w:pPr>
              <w:widowControl/>
              <w:adjustRightInd w:val="0"/>
              <w:snapToGrid w:val="0"/>
              <w:spacing w:line="320" w:lineRule="exact"/>
              <w:ind w:firstLine="420" w:firstLineChars="200"/>
              <w:contextualSpacing/>
              <w:jc w:val="left"/>
              <w:textAlignment w:val="center"/>
              <w:rPr>
                <w:rFonts w:ascii="宋体" w:hAnsi="宋体" w:cs="宋体"/>
                <w:kern w:val="0"/>
                <w:szCs w:val="21"/>
              </w:rPr>
            </w:pPr>
            <w:r>
              <w:rPr>
                <w:rFonts w:hint="eastAsia" w:ascii="宋体" w:hAnsi="宋体" w:cs="宋体"/>
                <w:kern w:val="0"/>
                <w:szCs w:val="21"/>
              </w:rPr>
              <w:t xml:space="preserve">2、台面采用人造石材；                                                                  </w:t>
            </w:r>
          </w:p>
          <w:p w14:paraId="48B6C069">
            <w:pPr>
              <w:widowControl/>
              <w:adjustRightInd w:val="0"/>
              <w:snapToGrid w:val="0"/>
              <w:spacing w:line="320" w:lineRule="exact"/>
              <w:ind w:firstLine="420" w:firstLineChars="200"/>
              <w:contextualSpacing/>
              <w:jc w:val="left"/>
              <w:textAlignment w:val="center"/>
              <w:rPr>
                <w:rFonts w:ascii="宋体" w:hAnsi="宋体" w:cs="宋体"/>
                <w:kern w:val="0"/>
                <w:szCs w:val="21"/>
              </w:rPr>
            </w:pPr>
            <w:r>
              <w:rPr>
                <w:rFonts w:hint="eastAsia" w:ascii="宋体" w:hAnsi="宋体" w:cs="宋体"/>
                <w:kern w:val="0"/>
                <w:szCs w:val="21"/>
              </w:rPr>
              <w:t xml:space="preserve">3、所有板材断面需采用1.5mm厚优质同色PVC封边；                                                </w:t>
            </w:r>
          </w:p>
          <w:p w14:paraId="043C301D">
            <w:pPr>
              <w:widowControl/>
              <w:adjustRightInd w:val="0"/>
              <w:snapToGrid w:val="0"/>
              <w:spacing w:line="320" w:lineRule="exact"/>
              <w:ind w:firstLine="420" w:firstLineChars="200"/>
              <w:contextualSpacing/>
              <w:jc w:val="left"/>
              <w:textAlignment w:val="center"/>
              <w:rPr>
                <w:rFonts w:ascii="宋体" w:hAnsi="宋体" w:cs="宋体"/>
                <w:kern w:val="0"/>
                <w:szCs w:val="21"/>
              </w:rPr>
            </w:pPr>
            <w:r>
              <w:rPr>
                <w:rFonts w:hint="eastAsia" w:ascii="宋体" w:hAnsi="宋体" w:cs="宋体"/>
                <w:kern w:val="0"/>
                <w:szCs w:val="21"/>
              </w:rPr>
              <w:t xml:space="preserve">4、连接件五金采用优质三合一扣件；柜门门板开关自如，关闭时无响声；                                 </w:t>
            </w:r>
          </w:p>
          <w:p w14:paraId="365DF841">
            <w:pPr>
              <w:widowControl/>
              <w:adjustRightInd w:val="0"/>
              <w:snapToGrid w:val="0"/>
              <w:spacing w:line="320" w:lineRule="exact"/>
              <w:ind w:firstLine="420" w:firstLineChars="200"/>
              <w:contextualSpacing/>
              <w:jc w:val="left"/>
              <w:textAlignment w:val="center"/>
              <w:rPr>
                <w:rFonts w:ascii="宋体" w:hAnsi="宋体" w:cs="宋体"/>
                <w:kern w:val="0"/>
                <w:szCs w:val="21"/>
              </w:rPr>
            </w:pPr>
            <w:r>
              <w:rPr>
                <w:rFonts w:hint="eastAsia" w:ascii="宋体" w:hAnsi="宋体" w:cs="宋体"/>
                <w:kern w:val="0"/>
                <w:szCs w:val="21"/>
              </w:rPr>
              <w:t xml:space="preserve">5、柜脚踢脚板采用1.0mm厚不锈钢，颜色参照室内装修材质；                  </w:t>
            </w:r>
          </w:p>
          <w:p w14:paraId="6AB70577">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kern w:val="0"/>
                <w:szCs w:val="21"/>
              </w:rPr>
              <w:t>6、台盆采用陶瓷台下盆，台盆下方安装安装不锈钢支架，台面龙头采用感应式水龙头。台盆及水龙头使用品牌建议为：箭牌、TOTO、科勒或优于上述品牌。</w:t>
            </w:r>
          </w:p>
        </w:tc>
        <w:tc>
          <w:tcPr>
            <w:tcW w:w="709" w:type="dxa"/>
            <w:tcBorders>
              <w:left w:val="single" w:color="000000" w:sz="4" w:space="0"/>
              <w:bottom w:val="single" w:color="000000" w:sz="4" w:space="0"/>
              <w:right w:val="single" w:color="000000" w:sz="4" w:space="0"/>
            </w:tcBorders>
            <w:vAlign w:val="center"/>
          </w:tcPr>
          <w:p w14:paraId="1C9D8191">
            <w:pPr>
              <w:widowControl/>
              <w:jc w:val="center"/>
              <w:textAlignment w:val="center"/>
              <w:rPr>
                <w:rFonts w:ascii="宋体" w:hAnsi="宋体" w:cs="宋体"/>
                <w:color w:val="000000"/>
                <w:szCs w:val="21"/>
              </w:rPr>
            </w:pPr>
            <w:r>
              <w:rPr>
                <w:rFonts w:hint="eastAsia" w:ascii="宋体" w:hAnsi="宋体" w:cs="宋体"/>
                <w:color w:val="000000"/>
                <w:szCs w:val="21"/>
              </w:rPr>
              <w:t>4.64</w:t>
            </w:r>
          </w:p>
        </w:tc>
        <w:tc>
          <w:tcPr>
            <w:tcW w:w="708" w:type="dxa"/>
            <w:tcBorders>
              <w:left w:val="single" w:color="000000" w:sz="4" w:space="0"/>
              <w:bottom w:val="single" w:color="000000" w:sz="4" w:space="0"/>
              <w:right w:val="single" w:color="auto" w:sz="4" w:space="0"/>
            </w:tcBorders>
            <w:vAlign w:val="center"/>
          </w:tcPr>
          <w:p w14:paraId="73333573">
            <w:pPr>
              <w:widowControl/>
              <w:jc w:val="center"/>
              <w:textAlignment w:val="center"/>
              <w:rPr>
                <w:rFonts w:ascii="宋体" w:hAnsi="宋体" w:cs="宋体"/>
                <w:color w:val="000000"/>
                <w:szCs w:val="21"/>
              </w:rPr>
            </w:pPr>
            <w:r>
              <w:rPr>
                <w:rFonts w:hint="eastAsia" w:ascii="宋体" w:hAnsi="宋体" w:cs="宋体"/>
                <w:color w:val="000000"/>
                <w:szCs w:val="21"/>
              </w:rPr>
              <w:t>m²</w:t>
            </w:r>
          </w:p>
        </w:tc>
        <w:tc>
          <w:tcPr>
            <w:tcW w:w="993" w:type="dxa"/>
            <w:tcBorders>
              <w:left w:val="single" w:color="auto" w:sz="4" w:space="0"/>
              <w:bottom w:val="single" w:color="000000" w:sz="4" w:space="0"/>
              <w:right w:val="single" w:color="auto" w:sz="4" w:space="0"/>
            </w:tcBorders>
            <w:vAlign w:val="center"/>
          </w:tcPr>
          <w:p w14:paraId="10855CAD">
            <w:pPr>
              <w:jc w:val="center"/>
              <w:textAlignment w:val="center"/>
              <w:rPr>
                <w:rFonts w:ascii="宋体" w:hAnsi="宋体" w:cs="宋体"/>
                <w:color w:val="000000"/>
                <w:szCs w:val="21"/>
              </w:rPr>
            </w:pPr>
          </w:p>
        </w:tc>
        <w:tc>
          <w:tcPr>
            <w:tcW w:w="922" w:type="dxa"/>
            <w:tcBorders>
              <w:left w:val="single" w:color="auto" w:sz="4" w:space="0"/>
              <w:bottom w:val="single" w:color="000000" w:sz="4" w:space="0"/>
              <w:right w:val="single" w:color="000000" w:sz="4" w:space="0"/>
            </w:tcBorders>
            <w:vAlign w:val="center"/>
          </w:tcPr>
          <w:p w14:paraId="21BDCA1D">
            <w:pPr>
              <w:jc w:val="center"/>
              <w:textAlignment w:val="center"/>
              <w:rPr>
                <w:rFonts w:ascii="宋体" w:hAnsi="宋体" w:cs="宋体"/>
                <w:color w:val="000000"/>
                <w:szCs w:val="21"/>
              </w:rPr>
            </w:pPr>
          </w:p>
        </w:tc>
      </w:tr>
      <w:tr w14:paraId="171B83B5">
        <w:tblPrEx>
          <w:tblCellMar>
            <w:top w:w="0" w:type="dxa"/>
            <w:left w:w="108" w:type="dxa"/>
            <w:bottom w:w="0" w:type="dxa"/>
            <w:right w:w="108" w:type="dxa"/>
          </w:tblCellMar>
        </w:tblPrEx>
        <w:trPr>
          <w:trHeight w:val="2390" w:hRule="atLeast"/>
          <w:jc w:val="center"/>
        </w:trPr>
        <w:tc>
          <w:tcPr>
            <w:tcW w:w="857" w:type="dxa"/>
            <w:tcBorders>
              <w:top w:val="single" w:color="000000" w:sz="4" w:space="0"/>
              <w:left w:val="single" w:color="000000" w:sz="4" w:space="0"/>
              <w:bottom w:val="single" w:color="000000" w:sz="4" w:space="0"/>
              <w:right w:val="single" w:color="000000" w:sz="4" w:space="0"/>
            </w:tcBorders>
            <w:vAlign w:val="center"/>
          </w:tcPr>
          <w:p w14:paraId="5BE311D5">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5</w:t>
            </w:r>
          </w:p>
        </w:tc>
        <w:tc>
          <w:tcPr>
            <w:tcW w:w="1275" w:type="dxa"/>
            <w:tcBorders>
              <w:top w:val="single" w:color="000000" w:sz="4" w:space="0"/>
              <w:left w:val="single" w:color="000000" w:sz="4" w:space="0"/>
              <w:bottom w:val="single" w:color="000000" w:sz="4" w:space="0"/>
              <w:right w:val="single" w:color="000000" w:sz="4" w:space="0"/>
            </w:tcBorders>
            <w:vAlign w:val="center"/>
          </w:tcPr>
          <w:p w14:paraId="01474BEA">
            <w:pPr>
              <w:widowControl/>
              <w:jc w:val="center"/>
              <w:textAlignment w:val="center"/>
              <w:rPr>
                <w:rFonts w:ascii="宋体" w:hAnsi="宋体"/>
                <w:b/>
                <w:bCs/>
                <w:szCs w:val="21"/>
              </w:rPr>
            </w:pPr>
            <w:r>
              <w:rPr>
                <w:rFonts w:hint="eastAsia" w:ascii="宋体" w:hAnsi="宋体"/>
                <w:b/>
                <w:bCs/>
                <w:szCs w:val="21"/>
              </w:rPr>
              <w:t>回访室高柜</w:t>
            </w:r>
          </w:p>
        </w:tc>
        <w:tc>
          <w:tcPr>
            <w:tcW w:w="2258" w:type="dxa"/>
            <w:tcBorders>
              <w:top w:val="single" w:color="000000" w:sz="4" w:space="0"/>
              <w:left w:val="single" w:color="000000" w:sz="4" w:space="0"/>
              <w:bottom w:val="single" w:color="000000" w:sz="4" w:space="0"/>
              <w:right w:val="single" w:color="000000" w:sz="4" w:space="0"/>
            </w:tcBorders>
            <w:vAlign w:val="center"/>
          </w:tcPr>
          <w:p w14:paraId="5748C473">
            <w:pPr>
              <w:widowControl/>
              <w:jc w:val="center"/>
              <w:textAlignment w:val="center"/>
              <w:rPr>
                <w:rFonts w:ascii="宋体" w:hAnsi="宋体" w:cs="宋体"/>
                <w:color w:val="000000"/>
                <w:kern w:val="0"/>
                <w:szCs w:val="21"/>
                <w:lang w:bidi="ar"/>
              </w:rPr>
            </w:pPr>
          </w:p>
        </w:tc>
        <w:tc>
          <w:tcPr>
            <w:tcW w:w="1710" w:type="dxa"/>
            <w:tcBorders>
              <w:top w:val="single" w:color="000000" w:sz="4" w:space="0"/>
              <w:left w:val="single" w:color="000000" w:sz="4" w:space="0"/>
              <w:bottom w:val="single" w:color="000000" w:sz="4" w:space="0"/>
              <w:right w:val="single" w:color="000000" w:sz="4" w:space="0"/>
            </w:tcBorders>
            <w:vAlign w:val="center"/>
          </w:tcPr>
          <w:p w14:paraId="7B157FEB">
            <w:pPr>
              <w:widowControl/>
              <w:adjustRightInd w:val="0"/>
              <w:snapToGrid w:val="0"/>
              <w:spacing w:line="440" w:lineRule="exact"/>
              <w:contextualSpacing/>
              <w:jc w:val="center"/>
              <w:textAlignment w:val="center"/>
              <w:rPr>
                <w:rFonts w:ascii="宋体" w:hAnsi="宋体" w:cs="宋体"/>
                <w:b/>
                <w:bCs/>
                <w:color w:val="000000"/>
                <w:kern w:val="0"/>
                <w:szCs w:val="21"/>
                <w:lang w:bidi="ar"/>
              </w:rPr>
            </w:pPr>
            <w:r>
              <w:rPr>
                <w:rFonts w:hint="eastAsia" w:ascii="宋体" w:hAnsi="宋体"/>
                <w:b/>
                <w:szCs w:val="21"/>
              </w:rPr>
              <w:t>按照回访室</w:t>
            </w:r>
          </w:p>
          <w:p w14:paraId="3E7B0E0D">
            <w:pPr>
              <w:spacing w:line="360" w:lineRule="auto"/>
              <w:jc w:val="center"/>
              <w:rPr>
                <w:rFonts w:ascii="宋体" w:hAnsi="宋体"/>
                <w:szCs w:val="21"/>
              </w:rPr>
            </w:pPr>
            <w:r>
              <w:rPr>
                <w:rFonts w:hint="eastAsia" w:ascii="宋体" w:hAnsi="宋体" w:cs="宋体"/>
                <w:b/>
                <w:bCs/>
                <w:color w:val="000000"/>
                <w:kern w:val="0"/>
                <w:szCs w:val="21"/>
                <w:lang w:bidi="ar"/>
              </w:rPr>
              <w:t>高柜规格报价</w:t>
            </w:r>
          </w:p>
        </w:tc>
        <w:tc>
          <w:tcPr>
            <w:tcW w:w="4255" w:type="dxa"/>
            <w:tcBorders>
              <w:top w:val="single" w:color="000000" w:sz="4" w:space="0"/>
              <w:left w:val="single" w:color="000000" w:sz="4" w:space="0"/>
              <w:bottom w:val="single" w:color="000000" w:sz="4" w:space="0"/>
              <w:right w:val="single" w:color="000000" w:sz="4" w:space="0"/>
            </w:tcBorders>
            <w:vAlign w:val="center"/>
          </w:tcPr>
          <w:p w14:paraId="22DBF121">
            <w:pPr>
              <w:widowControl/>
              <w:jc w:val="left"/>
              <w:textAlignment w:val="center"/>
              <w:rPr>
                <w:rFonts w:ascii="宋体" w:hAnsi="宋体" w:cs="宋体"/>
                <w:color w:val="000000"/>
                <w:szCs w:val="21"/>
              </w:rPr>
            </w:pPr>
            <w:r>
              <w:rPr>
                <w:rFonts w:hint="eastAsia" w:ascii="宋体" w:hAnsi="宋体" w:cs="宋体"/>
                <w:color w:val="000000"/>
                <w:szCs w:val="21"/>
              </w:rPr>
              <w:t xml:space="preserve">1、板材采用E0级实木多层面免漆板，板材厚度不小于18mm，所有板材经防潮、防虫、防腐处理，抗弯力强，不易变形，甲醛释放量≤0.07mg/m³。所有柜门板采用45°斜边免拉手；                                             </w:t>
            </w:r>
          </w:p>
          <w:p w14:paraId="51E8F311">
            <w:pPr>
              <w:widowControl/>
              <w:jc w:val="left"/>
              <w:textAlignment w:val="center"/>
              <w:rPr>
                <w:rFonts w:ascii="宋体" w:hAnsi="宋体" w:cs="宋体"/>
                <w:color w:val="000000"/>
                <w:szCs w:val="21"/>
              </w:rPr>
            </w:pPr>
            <w:r>
              <w:rPr>
                <w:rFonts w:hint="eastAsia" w:ascii="宋体" w:hAnsi="宋体" w:cs="宋体"/>
                <w:color w:val="000000"/>
                <w:szCs w:val="21"/>
              </w:rPr>
              <w:t xml:space="preserve">2、台面采用人造石材；                                                                   </w:t>
            </w:r>
          </w:p>
          <w:p w14:paraId="766A5939">
            <w:pPr>
              <w:widowControl/>
              <w:jc w:val="left"/>
              <w:textAlignment w:val="center"/>
              <w:rPr>
                <w:rFonts w:ascii="宋体" w:hAnsi="宋体" w:cs="宋体"/>
                <w:color w:val="000000"/>
                <w:szCs w:val="21"/>
              </w:rPr>
            </w:pPr>
            <w:r>
              <w:rPr>
                <w:rFonts w:hint="eastAsia" w:ascii="宋体" w:hAnsi="宋体" w:cs="宋体"/>
                <w:color w:val="000000"/>
                <w:szCs w:val="21"/>
              </w:rPr>
              <w:t xml:space="preserve">3、所有板材断面需采用1.5mm厚优质同色PVC封边；                                                </w:t>
            </w:r>
          </w:p>
          <w:p w14:paraId="7EEF9D9E">
            <w:pPr>
              <w:widowControl/>
              <w:jc w:val="left"/>
              <w:textAlignment w:val="center"/>
              <w:rPr>
                <w:rFonts w:ascii="宋体" w:hAnsi="宋体" w:cs="宋体"/>
                <w:color w:val="000000"/>
                <w:szCs w:val="21"/>
              </w:rPr>
            </w:pPr>
            <w:r>
              <w:rPr>
                <w:rFonts w:hint="eastAsia" w:ascii="宋体" w:hAnsi="宋体" w:cs="宋体"/>
                <w:color w:val="000000"/>
                <w:szCs w:val="21"/>
              </w:rPr>
              <w:t xml:space="preserve">4、连接件五金采用优质三合一扣件；柜门门板开关自如，关闭时无响声；                               </w:t>
            </w:r>
          </w:p>
          <w:p w14:paraId="19E4AED5">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5、柜脚踢脚板采用1.0mm厚不锈钢，颜色参照室内装修材质。</w:t>
            </w:r>
          </w:p>
        </w:tc>
        <w:tc>
          <w:tcPr>
            <w:tcW w:w="709" w:type="dxa"/>
            <w:tcBorders>
              <w:top w:val="single" w:color="000000" w:sz="4" w:space="0"/>
              <w:left w:val="single" w:color="000000" w:sz="4" w:space="0"/>
              <w:bottom w:val="single" w:color="000000" w:sz="4" w:space="0"/>
              <w:right w:val="single" w:color="000000" w:sz="4" w:space="0"/>
            </w:tcBorders>
            <w:vAlign w:val="center"/>
          </w:tcPr>
          <w:p w14:paraId="26BF10C6">
            <w:pPr>
              <w:widowControl/>
              <w:jc w:val="center"/>
              <w:textAlignment w:val="center"/>
              <w:rPr>
                <w:rFonts w:ascii="宋体" w:hAnsi="宋体" w:cs="宋体"/>
                <w:color w:val="000000"/>
                <w:szCs w:val="21"/>
              </w:rPr>
            </w:pPr>
            <w:r>
              <w:rPr>
                <w:rFonts w:ascii="宋体" w:hAnsi="宋体" w:cs="宋体"/>
                <w:color w:val="000000"/>
                <w:szCs w:val="21"/>
              </w:rPr>
              <w:t>1</w:t>
            </w:r>
          </w:p>
        </w:tc>
        <w:tc>
          <w:tcPr>
            <w:tcW w:w="708" w:type="dxa"/>
            <w:tcBorders>
              <w:top w:val="single" w:color="000000" w:sz="4" w:space="0"/>
              <w:left w:val="single" w:color="000000" w:sz="4" w:space="0"/>
              <w:bottom w:val="single" w:color="000000" w:sz="4" w:space="0"/>
              <w:right w:val="single" w:color="auto" w:sz="4" w:space="0"/>
            </w:tcBorders>
            <w:vAlign w:val="center"/>
          </w:tcPr>
          <w:p w14:paraId="680957C9">
            <w:pPr>
              <w:widowControl/>
              <w:jc w:val="center"/>
              <w:textAlignment w:val="center"/>
              <w:rPr>
                <w:rFonts w:ascii="宋体" w:hAnsi="宋体" w:cs="宋体"/>
                <w:color w:val="000000"/>
                <w:szCs w:val="21"/>
              </w:rPr>
            </w:pPr>
            <w:r>
              <w:rPr>
                <w:rFonts w:hint="eastAsia" w:ascii="宋体" w:hAnsi="宋体" w:cs="宋体"/>
                <w:color w:val="000000"/>
                <w:szCs w:val="21"/>
              </w:rPr>
              <w:t>组</w:t>
            </w:r>
          </w:p>
        </w:tc>
        <w:tc>
          <w:tcPr>
            <w:tcW w:w="993" w:type="dxa"/>
            <w:tcBorders>
              <w:top w:val="single" w:color="000000" w:sz="4" w:space="0"/>
              <w:left w:val="single" w:color="auto" w:sz="4" w:space="0"/>
              <w:bottom w:val="single" w:color="000000" w:sz="4" w:space="0"/>
              <w:right w:val="single" w:color="auto" w:sz="4" w:space="0"/>
            </w:tcBorders>
            <w:vAlign w:val="center"/>
          </w:tcPr>
          <w:p w14:paraId="3CCCBB89">
            <w:pPr>
              <w:jc w:val="center"/>
              <w:textAlignment w:val="center"/>
              <w:rPr>
                <w:rFonts w:ascii="宋体" w:hAnsi="宋体" w:cs="宋体"/>
                <w:color w:val="000000"/>
                <w:szCs w:val="21"/>
              </w:rPr>
            </w:pPr>
          </w:p>
        </w:tc>
        <w:tc>
          <w:tcPr>
            <w:tcW w:w="922" w:type="dxa"/>
            <w:tcBorders>
              <w:top w:val="single" w:color="000000" w:sz="4" w:space="0"/>
              <w:left w:val="single" w:color="auto" w:sz="4" w:space="0"/>
              <w:bottom w:val="single" w:color="000000" w:sz="4" w:space="0"/>
              <w:right w:val="single" w:color="000000" w:sz="4" w:space="0"/>
            </w:tcBorders>
            <w:vAlign w:val="center"/>
          </w:tcPr>
          <w:p w14:paraId="4C122904">
            <w:pPr>
              <w:jc w:val="center"/>
              <w:textAlignment w:val="center"/>
              <w:rPr>
                <w:rFonts w:ascii="宋体" w:hAnsi="宋体" w:cs="宋体"/>
                <w:color w:val="000000"/>
                <w:szCs w:val="21"/>
              </w:rPr>
            </w:pPr>
          </w:p>
        </w:tc>
      </w:tr>
      <w:tr w14:paraId="3AC48DFD">
        <w:tblPrEx>
          <w:tblCellMar>
            <w:top w:w="0" w:type="dxa"/>
            <w:left w:w="108" w:type="dxa"/>
            <w:bottom w:w="0" w:type="dxa"/>
            <w:right w:w="108" w:type="dxa"/>
          </w:tblCellMar>
        </w:tblPrEx>
        <w:trPr>
          <w:trHeight w:val="1408" w:hRule="atLeast"/>
          <w:jc w:val="center"/>
        </w:trPr>
        <w:tc>
          <w:tcPr>
            <w:tcW w:w="857" w:type="dxa"/>
            <w:tcBorders>
              <w:top w:val="single" w:color="000000" w:sz="4" w:space="0"/>
              <w:left w:val="single" w:color="000000" w:sz="4" w:space="0"/>
              <w:bottom w:val="single" w:color="000000" w:sz="4" w:space="0"/>
              <w:right w:val="single" w:color="000000" w:sz="4" w:space="0"/>
            </w:tcBorders>
            <w:vAlign w:val="center"/>
          </w:tcPr>
          <w:p w14:paraId="2255EB45">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6</w:t>
            </w:r>
          </w:p>
        </w:tc>
        <w:tc>
          <w:tcPr>
            <w:tcW w:w="1275" w:type="dxa"/>
            <w:tcBorders>
              <w:top w:val="single" w:color="000000" w:sz="4" w:space="0"/>
              <w:left w:val="single" w:color="000000" w:sz="4" w:space="0"/>
              <w:bottom w:val="single" w:color="000000" w:sz="4" w:space="0"/>
              <w:right w:val="single" w:color="000000" w:sz="4" w:space="0"/>
            </w:tcBorders>
            <w:vAlign w:val="center"/>
          </w:tcPr>
          <w:p w14:paraId="000EF123">
            <w:pPr>
              <w:widowControl/>
              <w:jc w:val="center"/>
              <w:textAlignment w:val="center"/>
              <w:rPr>
                <w:rFonts w:ascii="宋体" w:hAnsi="宋体" w:cs="宋体"/>
                <w:color w:val="000000"/>
                <w:kern w:val="0"/>
                <w:szCs w:val="21"/>
                <w:lang w:bidi="ar"/>
              </w:rPr>
            </w:pPr>
            <w:r>
              <w:rPr>
                <w:rFonts w:hint="eastAsia" w:ascii="宋体" w:hAnsi="宋体"/>
                <w:b/>
                <w:bCs/>
                <w:szCs w:val="21"/>
              </w:rPr>
              <w:t>首诊水柜</w:t>
            </w:r>
          </w:p>
        </w:tc>
        <w:tc>
          <w:tcPr>
            <w:tcW w:w="2258" w:type="dxa"/>
            <w:tcBorders>
              <w:top w:val="single" w:color="000000" w:sz="4" w:space="0"/>
              <w:left w:val="single" w:color="000000" w:sz="4" w:space="0"/>
              <w:bottom w:val="single" w:color="000000" w:sz="4" w:space="0"/>
              <w:right w:val="single" w:color="000000" w:sz="4" w:space="0"/>
            </w:tcBorders>
            <w:vAlign w:val="center"/>
          </w:tcPr>
          <w:p w14:paraId="2C49A741">
            <w:pPr>
              <w:widowControl/>
              <w:jc w:val="center"/>
              <w:textAlignment w:val="center"/>
              <w:rPr>
                <w:rFonts w:ascii="宋体" w:hAnsi="宋体" w:cs="宋体"/>
                <w:color w:val="000000"/>
                <w:kern w:val="0"/>
                <w:szCs w:val="21"/>
                <w:lang w:bidi="ar"/>
              </w:rPr>
            </w:pPr>
          </w:p>
        </w:tc>
        <w:tc>
          <w:tcPr>
            <w:tcW w:w="1710" w:type="dxa"/>
            <w:tcBorders>
              <w:top w:val="single" w:color="000000" w:sz="4" w:space="0"/>
              <w:left w:val="single" w:color="000000" w:sz="4" w:space="0"/>
              <w:bottom w:val="single" w:color="000000" w:sz="4" w:space="0"/>
              <w:right w:val="single" w:color="000000" w:sz="4" w:space="0"/>
            </w:tcBorders>
            <w:vAlign w:val="center"/>
          </w:tcPr>
          <w:p w14:paraId="000BC39D">
            <w:pPr>
              <w:spacing w:line="360" w:lineRule="auto"/>
              <w:jc w:val="center"/>
              <w:rPr>
                <w:rFonts w:ascii="宋体" w:hAnsi="宋体"/>
                <w:b/>
                <w:bCs/>
                <w:szCs w:val="21"/>
              </w:rPr>
            </w:pPr>
            <w:r>
              <w:rPr>
                <w:rFonts w:hint="eastAsia" w:ascii="宋体" w:hAnsi="宋体"/>
                <w:b/>
                <w:szCs w:val="21"/>
              </w:rPr>
              <w:t>按照</w:t>
            </w:r>
            <w:r>
              <w:rPr>
                <w:rFonts w:hint="eastAsia" w:ascii="宋体" w:hAnsi="宋体"/>
                <w:b/>
                <w:bCs/>
                <w:szCs w:val="21"/>
              </w:rPr>
              <w:t>首诊</w:t>
            </w:r>
          </w:p>
          <w:p w14:paraId="033CCC0F">
            <w:pPr>
              <w:spacing w:line="360" w:lineRule="auto"/>
              <w:jc w:val="center"/>
              <w:rPr>
                <w:rFonts w:ascii="宋体" w:hAnsi="宋体"/>
                <w:szCs w:val="21"/>
              </w:rPr>
            </w:pPr>
            <w:r>
              <w:rPr>
                <w:rFonts w:hint="eastAsia" w:ascii="宋体" w:hAnsi="宋体" w:cs="宋体"/>
                <w:b/>
                <w:bCs/>
                <w:color w:val="000000"/>
                <w:kern w:val="0"/>
                <w:szCs w:val="21"/>
                <w:lang w:bidi="ar"/>
              </w:rPr>
              <w:t>水柜规格报价</w:t>
            </w:r>
          </w:p>
        </w:tc>
        <w:tc>
          <w:tcPr>
            <w:tcW w:w="4255" w:type="dxa"/>
            <w:tcBorders>
              <w:top w:val="single" w:color="000000" w:sz="4" w:space="0"/>
              <w:left w:val="single" w:color="000000" w:sz="4" w:space="0"/>
              <w:bottom w:val="single" w:color="000000" w:sz="4" w:space="0"/>
              <w:right w:val="single" w:color="000000" w:sz="4" w:space="0"/>
            </w:tcBorders>
            <w:vAlign w:val="center"/>
          </w:tcPr>
          <w:p w14:paraId="36B9D29B">
            <w:pPr>
              <w:widowControl/>
              <w:jc w:val="left"/>
              <w:textAlignment w:val="center"/>
              <w:rPr>
                <w:rFonts w:ascii="宋体" w:hAnsi="宋体" w:cs="宋体"/>
                <w:color w:val="000000"/>
                <w:szCs w:val="21"/>
              </w:rPr>
            </w:pPr>
            <w:r>
              <w:rPr>
                <w:rFonts w:hint="eastAsia" w:ascii="宋体" w:hAnsi="宋体" w:cs="宋体"/>
                <w:color w:val="000000"/>
                <w:szCs w:val="21"/>
              </w:rPr>
              <w:t>1、板材采用E0级实木多层面免漆板，板材厚度不小于18mm，所有板材经防潮、防虫、防腐处理，抗弯力强，不易变形，甲醛释放量≤0.07mg/m³。所有柜门板采用45°斜边免拉手；                                          2、台面采用人造石材；                                                                   3、所有板材断面需采用1.5mm厚优质同色PVC封边；                                                4、连接件五金采用优质三合一扣件；柜门门板开关自如，关闭时无响声；                                  5、柜脚踢脚板采用1.0mm厚304不锈钢，颜色参照室内装修材质；</w:t>
            </w:r>
          </w:p>
          <w:p w14:paraId="477EF59D">
            <w:pPr>
              <w:widowControl/>
              <w:adjustRightInd w:val="0"/>
              <w:snapToGrid w:val="0"/>
              <w:spacing w:line="320" w:lineRule="exact"/>
              <w:ind w:firstLine="420" w:firstLineChars="200"/>
              <w:contextualSpacing/>
              <w:jc w:val="left"/>
              <w:textAlignment w:val="center"/>
              <w:rPr>
                <w:rFonts w:ascii="宋体" w:hAnsi="宋体" w:cs="宋体"/>
                <w:color w:val="000000"/>
                <w:szCs w:val="21"/>
              </w:rPr>
            </w:pPr>
            <w:r>
              <w:rPr>
                <w:rFonts w:hint="eastAsia" w:ascii="宋体" w:hAnsi="宋体" w:cs="宋体"/>
                <w:color w:val="000000"/>
                <w:szCs w:val="21"/>
              </w:rPr>
              <w:t>6、台盆采用陶瓷台下盆，台盆下方安装安装不锈钢支架，台面龙头采用感应式水龙头。台盆及水龙头使用品牌建议为：箭牌、TOTO、科勒或优于上述品牌。</w:t>
            </w:r>
          </w:p>
        </w:tc>
        <w:tc>
          <w:tcPr>
            <w:tcW w:w="709" w:type="dxa"/>
            <w:tcBorders>
              <w:top w:val="single" w:color="000000" w:sz="4" w:space="0"/>
              <w:left w:val="single" w:color="000000" w:sz="4" w:space="0"/>
              <w:bottom w:val="single" w:color="000000" w:sz="4" w:space="0"/>
              <w:right w:val="single" w:color="000000" w:sz="4" w:space="0"/>
            </w:tcBorders>
            <w:vAlign w:val="center"/>
          </w:tcPr>
          <w:p w14:paraId="719286F0">
            <w:pPr>
              <w:widowControl/>
              <w:jc w:val="center"/>
              <w:textAlignment w:val="center"/>
              <w:rPr>
                <w:rFonts w:ascii="宋体" w:hAnsi="宋体" w:cs="宋体"/>
                <w:color w:val="000000"/>
                <w:szCs w:val="21"/>
              </w:rPr>
            </w:pPr>
            <w:r>
              <w:rPr>
                <w:rFonts w:ascii="宋体" w:hAnsi="宋体" w:cs="宋体"/>
                <w:color w:val="000000"/>
                <w:szCs w:val="21"/>
              </w:rPr>
              <w:t>1</w:t>
            </w:r>
          </w:p>
        </w:tc>
        <w:tc>
          <w:tcPr>
            <w:tcW w:w="708" w:type="dxa"/>
            <w:tcBorders>
              <w:top w:val="single" w:color="000000" w:sz="4" w:space="0"/>
              <w:left w:val="single" w:color="000000" w:sz="4" w:space="0"/>
              <w:bottom w:val="single" w:color="000000" w:sz="4" w:space="0"/>
              <w:right w:val="single" w:color="auto" w:sz="4" w:space="0"/>
            </w:tcBorders>
            <w:vAlign w:val="center"/>
          </w:tcPr>
          <w:p w14:paraId="1C72E50D">
            <w:pPr>
              <w:widowControl/>
              <w:jc w:val="center"/>
              <w:textAlignment w:val="center"/>
              <w:rPr>
                <w:rFonts w:ascii="宋体" w:hAnsi="宋体" w:cs="宋体"/>
                <w:color w:val="000000"/>
                <w:szCs w:val="21"/>
              </w:rPr>
            </w:pPr>
            <w:r>
              <w:rPr>
                <w:rFonts w:hint="eastAsia" w:ascii="宋体" w:hAnsi="宋体" w:cs="宋体"/>
                <w:color w:val="000000"/>
                <w:szCs w:val="21"/>
              </w:rPr>
              <w:t>组</w:t>
            </w:r>
          </w:p>
        </w:tc>
        <w:tc>
          <w:tcPr>
            <w:tcW w:w="993" w:type="dxa"/>
            <w:tcBorders>
              <w:top w:val="single" w:color="000000" w:sz="4" w:space="0"/>
              <w:left w:val="single" w:color="auto" w:sz="4" w:space="0"/>
              <w:bottom w:val="single" w:color="000000" w:sz="4" w:space="0"/>
              <w:right w:val="single" w:color="auto" w:sz="4" w:space="0"/>
            </w:tcBorders>
            <w:vAlign w:val="center"/>
          </w:tcPr>
          <w:p w14:paraId="18246487">
            <w:pPr>
              <w:jc w:val="center"/>
              <w:textAlignment w:val="center"/>
              <w:rPr>
                <w:rFonts w:ascii="宋体" w:hAnsi="宋体" w:cs="宋体"/>
                <w:color w:val="000000"/>
                <w:szCs w:val="21"/>
              </w:rPr>
            </w:pPr>
          </w:p>
        </w:tc>
        <w:tc>
          <w:tcPr>
            <w:tcW w:w="922" w:type="dxa"/>
            <w:tcBorders>
              <w:top w:val="single" w:color="000000" w:sz="4" w:space="0"/>
              <w:left w:val="single" w:color="auto" w:sz="4" w:space="0"/>
              <w:bottom w:val="single" w:color="000000" w:sz="4" w:space="0"/>
              <w:right w:val="single" w:color="000000" w:sz="4" w:space="0"/>
            </w:tcBorders>
            <w:vAlign w:val="center"/>
          </w:tcPr>
          <w:p w14:paraId="1FD9FD6D">
            <w:pPr>
              <w:jc w:val="center"/>
              <w:textAlignment w:val="center"/>
              <w:rPr>
                <w:rFonts w:ascii="宋体" w:hAnsi="宋体" w:cs="宋体"/>
                <w:color w:val="000000"/>
                <w:szCs w:val="21"/>
              </w:rPr>
            </w:pPr>
          </w:p>
        </w:tc>
      </w:tr>
      <w:tr w14:paraId="405C8686">
        <w:tblPrEx>
          <w:tblCellMar>
            <w:top w:w="0" w:type="dxa"/>
            <w:left w:w="108" w:type="dxa"/>
            <w:bottom w:w="0" w:type="dxa"/>
            <w:right w:w="108" w:type="dxa"/>
          </w:tblCellMar>
        </w:tblPrEx>
        <w:trPr>
          <w:trHeight w:val="90" w:hRule="atLeast"/>
          <w:jc w:val="center"/>
        </w:trPr>
        <w:tc>
          <w:tcPr>
            <w:tcW w:w="857" w:type="dxa"/>
            <w:tcBorders>
              <w:top w:val="single" w:color="000000" w:sz="4" w:space="0"/>
              <w:left w:val="single" w:color="000000" w:sz="4" w:space="0"/>
              <w:bottom w:val="single" w:color="000000" w:sz="4" w:space="0"/>
              <w:right w:val="single" w:color="000000" w:sz="4" w:space="0"/>
            </w:tcBorders>
            <w:vAlign w:val="center"/>
          </w:tcPr>
          <w:p w14:paraId="47CA3991">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7</w:t>
            </w:r>
          </w:p>
        </w:tc>
        <w:tc>
          <w:tcPr>
            <w:tcW w:w="1275" w:type="dxa"/>
            <w:tcBorders>
              <w:top w:val="single" w:color="000000" w:sz="4" w:space="0"/>
              <w:left w:val="single" w:color="000000" w:sz="4" w:space="0"/>
              <w:bottom w:val="single" w:color="000000" w:sz="4" w:space="0"/>
              <w:right w:val="single" w:color="000000" w:sz="4" w:space="0"/>
            </w:tcBorders>
            <w:vAlign w:val="center"/>
          </w:tcPr>
          <w:p w14:paraId="1EEEBAEE">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大厅吧台</w:t>
            </w:r>
          </w:p>
        </w:tc>
        <w:tc>
          <w:tcPr>
            <w:tcW w:w="2258" w:type="dxa"/>
            <w:tcBorders>
              <w:top w:val="single" w:color="000000" w:sz="4" w:space="0"/>
              <w:left w:val="single" w:color="000000" w:sz="4" w:space="0"/>
              <w:bottom w:val="single" w:color="000000" w:sz="4" w:space="0"/>
              <w:right w:val="single" w:color="000000" w:sz="4" w:space="0"/>
            </w:tcBorders>
            <w:vAlign w:val="center"/>
          </w:tcPr>
          <w:p w14:paraId="26EAB094">
            <w:pPr>
              <w:widowControl/>
              <w:jc w:val="center"/>
              <w:textAlignment w:val="center"/>
              <w:rPr>
                <w:rFonts w:ascii="宋体" w:hAnsi="宋体" w:cs="宋体"/>
                <w:b/>
                <w:bCs/>
                <w:color w:val="000000"/>
                <w:kern w:val="0"/>
                <w:szCs w:val="21"/>
                <w:lang w:bidi="ar"/>
              </w:rPr>
            </w:pPr>
          </w:p>
        </w:tc>
        <w:tc>
          <w:tcPr>
            <w:tcW w:w="1710" w:type="dxa"/>
            <w:tcBorders>
              <w:top w:val="single" w:color="000000" w:sz="4" w:space="0"/>
              <w:left w:val="single" w:color="000000" w:sz="4" w:space="0"/>
              <w:bottom w:val="single" w:color="000000" w:sz="4" w:space="0"/>
              <w:right w:val="single" w:color="000000" w:sz="4" w:space="0"/>
            </w:tcBorders>
            <w:vAlign w:val="center"/>
          </w:tcPr>
          <w:p w14:paraId="7FF35F61">
            <w:pPr>
              <w:spacing w:line="360" w:lineRule="auto"/>
              <w:jc w:val="center"/>
              <w:rPr>
                <w:rFonts w:ascii="宋体" w:hAnsi="宋体"/>
                <w:b/>
                <w:bCs/>
                <w:szCs w:val="21"/>
              </w:rPr>
            </w:pPr>
            <w:r>
              <w:rPr>
                <w:rFonts w:hint="eastAsia" w:ascii="宋体" w:hAnsi="宋体"/>
                <w:b/>
                <w:szCs w:val="21"/>
              </w:rPr>
              <w:t>按照大厅</w:t>
            </w:r>
          </w:p>
          <w:p w14:paraId="632E85C1">
            <w:pPr>
              <w:spacing w:line="360" w:lineRule="auto"/>
              <w:jc w:val="center"/>
              <w:rPr>
                <w:rFonts w:ascii="宋体" w:hAnsi="宋体"/>
                <w:szCs w:val="21"/>
              </w:rPr>
            </w:pPr>
            <w:r>
              <w:rPr>
                <w:rFonts w:hint="eastAsia" w:ascii="宋体" w:hAnsi="宋体" w:cs="宋体"/>
                <w:b/>
                <w:bCs/>
                <w:color w:val="000000"/>
                <w:kern w:val="0"/>
                <w:szCs w:val="21"/>
                <w:lang w:bidi="ar"/>
              </w:rPr>
              <w:t>吧台规格报价</w:t>
            </w:r>
          </w:p>
        </w:tc>
        <w:tc>
          <w:tcPr>
            <w:tcW w:w="4255" w:type="dxa"/>
            <w:tcBorders>
              <w:top w:val="single" w:color="000000" w:sz="4" w:space="0"/>
              <w:left w:val="single" w:color="000000" w:sz="4" w:space="0"/>
              <w:bottom w:val="single" w:color="000000" w:sz="4" w:space="0"/>
              <w:right w:val="single" w:color="000000" w:sz="4" w:space="0"/>
            </w:tcBorders>
            <w:vAlign w:val="center"/>
          </w:tcPr>
          <w:p w14:paraId="7942CB13">
            <w:pPr>
              <w:widowControl/>
              <w:numPr>
                <w:ilvl w:val="0"/>
                <w:numId w:val="6"/>
              </w:numPr>
              <w:jc w:val="left"/>
              <w:textAlignment w:val="center"/>
              <w:rPr>
                <w:rFonts w:ascii="宋体" w:hAnsi="宋体" w:cs="宋体"/>
                <w:color w:val="000000"/>
                <w:szCs w:val="21"/>
              </w:rPr>
            </w:pPr>
            <w:r>
              <w:rPr>
                <w:rFonts w:hint="eastAsia" w:ascii="宋体" w:hAnsi="宋体" w:cs="宋体"/>
                <w:color w:val="000000"/>
                <w:szCs w:val="21"/>
              </w:rPr>
              <w:t>平面和立面采用亚克力人造石</w:t>
            </w:r>
          </w:p>
          <w:p w14:paraId="312BCBCE">
            <w:pPr>
              <w:widowControl/>
              <w:jc w:val="left"/>
              <w:textAlignment w:val="center"/>
              <w:rPr>
                <w:rFonts w:ascii="宋体" w:hAnsi="宋体" w:cs="宋体"/>
                <w:color w:val="000000"/>
                <w:szCs w:val="21"/>
              </w:rPr>
            </w:pPr>
            <w:r>
              <w:rPr>
                <w:rFonts w:hint="eastAsia" w:ascii="宋体" w:hAnsi="宋体" w:cs="宋体"/>
                <w:color w:val="000000"/>
                <w:szCs w:val="21"/>
              </w:rPr>
              <w:t>2、柜体：基材实木多层板，</w:t>
            </w:r>
          </w:p>
          <w:p w14:paraId="44D130BB">
            <w:pPr>
              <w:widowControl/>
              <w:jc w:val="left"/>
              <w:textAlignment w:val="center"/>
              <w:rPr>
                <w:rFonts w:ascii="宋体" w:hAnsi="宋体" w:cs="宋体"/>
                <w:color w:val="000000"/>
                <w:szCs w:val="21"/>
              </w:rPr>
            </w:pPr>
            <w:r>
              <w:rPr>
                <w:rFonts w:hint="eastAsia" w:ascii="宋体" w:hAnsi="宋体" w:cs="宋体"/>
                <w:color w:val="000000"/>
                <w:szCs w:val="21"/>
              </w:rPr>
              <w:t>3、立面造型及踢脚线配LED效果灯</w:t>
            </w:r>
          </w:p>
          <w:p w14:paraId="486C095F">
            <w:pPr>
              <w:widowControl/>
              <w:jc w:val="left"/>
              <w:textAlignment w:val="center"/>
              <w:rPr>
                <w:rFonts w:ascii="宋体" w:hAnsi="宋体" w:cs="宋体"/>
                <w:color w:val="000000"/>
                <w:szCs w:val="21"/>
              </w:rPr>
            </w:pPr>
            <w:r>
              <w:rPr>
                <w:rFonts w:hint="eastAsia" w:ascii="宋体" w:hAnsi="宋体" w:cs="宋体"/>
                <w:color w:val="000000"/>
                <w:szCs w:val="21"/>
              </w:rPr>
              <w:t>4、环保等级：E0级。</w:t>
            </w:r>
          </w:p>
          <w:p w14:paraId="4480203F">
            <w:pPr>
              <w:widowControl/>
              <w:jc w:val="left"/>
              <w:textAlignment w:val="center"/>
              <w:rPr>
                <w:rFonts w:ascii="宋体" w:hAnsi="宋体" w:cs="宋体"/>
                <w:color w:val="000000"/>
                <w:szCs w:val="21"/>
              </w:rPr>
            </w:pPr>
            <w:r>
              <w:rPr>
                <w:rFonts w:hint="eastAsia" w:ascii="宋体" w:hAnsi="宋体" w:cs="宋体"/>
                <w:color w:val="000000"/>
                <w:szCs w:val="21"/>
              </w:rPr>
              <w:t>5、不锈钢踢脚线</w:t>
            </w:r>
          </w:p>
          <w:p w14:paraId="7CF490C6">
            <w:pPr>
              <w:widowControl/>
              <w:jc w:val="left"/>
              <w:textAlignment w:val="center"/>
              <w:rPr>
                <w:rFonts w:ascii="宋体" w:hAnsi="宋体" w:cs="宋体"/>
                <w:color w:val="000000"/>
                <w:szCs w:val="21"/>
              </w:rPr>
            </w:pPr>
            <w:r>
              <w:rPr>
                <w:rFonts w:hint="eastAsia" w:ascii="宋体" w:hAnsi="宋体" w:cs="宋体"/>
                <w:color w:val="000000"/>
                <w:szCs w:val="21"/>
              </w:rPr>
              <w:t>6、根据工位配套抽屉、键盘抽和电脑主机柜</w:t>
            </w:r>
          </w:p>
          <w:p w14:paraId="6C180CD6">
            <w:pPr>
              <w:widowControl/>
              <w:adjustRightInd w:val="0"/>
              <w:snapToGrid w:val="0"/>
              <w:spacing w:line="320" w:lineRule="exact"/>
              <w:contextualSpacing/>
              <w:jc w:val="left"/>
              <w:textAlignment w:val="center"/>
              <w:rPr>
                <w:rFonts w:ascii="宋体" w:hAnsi="宋体" w:cs="宋体"/>
                <w:color w:val="000000"/>
                <w:szCs w:val="21"/>
              </w:rPr>
            </w:pPr>
            <w:r>
              <w:rPr>
                <w:rFonts w:hint="eastAsia" w:ascii="宋体" w:hAnsi="宋体" w:cs="宋体"/>
                <w:color w:val="000000"/>
                <w:szCs w:val="21"/>
              </w:rPr>
              <w:t>7、配套5个工位的电源插座和网络插座</w:t>
            </w:r>
          </w:p>
        </w:tc>
        <w:tc>
          <w:tcPr>
            <w:tcW w:w="709" w:type="dxa"/>
            <w:tcBorders>
              <w:top w:val="single" w:color="000000" w:sz="4" w:space="0"/>
              <w:left w:val="single" w:color="000000" w:sz="4" w:space="0"/>
              <w:bottom w:val="single" w:color="000000" w:sz="4" w:space="0"/>
              <w:right w:val="single" w:color="000000" w:sz="4" w:space="0"/>
            </w:tcBorders>
            <w:vAlign w:val="center"/>
          </w:tcPr>
          <w:p w14:paraId="02DB8C59">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2</w:t>
            </w:r>
          </w:p>
        </w:tc>
        <w:tc>
          <w:tcPr>
            <w:tcW w:w="708" w:type="dxa"/>
            <w:tcBorders>
              <w:top w:val="single" w:color="000000" w:sz="4" w:space="0"/>
              <w:left w:val="single" w:color="000000" w:sz="4" w:space="0"/>
              <w:bottom w:val="single" w:color="000000" w:sz="4" w:space="0"/>
              <w:right w:val="single" w:color="auto" w:sz="4" w:space="0"/>
            </w:tcBorders>
            <w:vAlign w:val="center"/>
          </w:tcPr>
          <w:p w14:paraId="6E0D0D93">
            <w:pPr>
              <w:widowControl/>
              <w:jc w:val="center"/>
              <w:textAlignment w:val="center"/>
              <w:rPr>
                <w:rFonts w:ascii="宋体" w:hAnsi="宋体" w:cs="宋体"/>
                <w:color w:val="000000"/>
                <w:kern w:val="0"/>
                <w:szCs w:val="21"/>
                <w:lang w:bidi="ar"/>
              </w:rPr>
            </w:pPr>
            <w:r>
              <w:rPr>
                <w:rFonts w:hint="eastAsia" w:ascii="宋体" w:hAnsi="宋体" w:cs="宋体"/>
                <w:color w:val="000000"/>
                <w:kern w:val="0"/>
                <w:szCs w:val="21"/>
                <w:lang w:bidi="ar"/>
              </w:rPr>
              <w:t>个</w:t>
            </w:r>
          </w:p>
        </w:tc>
        <w:tc>
          <w:tcPr>
            <w:tcW w:w="993" w:type="dxa"/>
            <w:tcBorders>
              <w:top w:val="single" w:color="000000" w:sz="4" w:space="0"/>
              <w:left w:val="single" w:color="auto" w:sz="4" w:space="0"/>
              <w:bottom w:val="single" w:color="000000" w:sz="4" w:space="0"/>
              <w:right w:val="single" w:color="auto" w:sz="4" w:space="0"/>
            </w:tcBorders>
            <w:vAlign w:val="center"/>
          </w:tcPr>
          <w:p w14:paraId="7706E8B4">
            <w:pPr>
              <w:jc w:val="center"/>
              <w:textAlignment w:val="center"/>
              <w:rPr>
                <w:rFonts w:ascii="宋体" w:hAnsi="宋体" w:cs="宋体"/>
                <w:color w:val="000000"/>
                <w:kern w:val="0"/>
                <w:szCs w:val="21"/>
                <w:lang w:bidi="ar"/>
              </w:rPr>
            </w:pPr>
          </w:p>
        </w:tc>
        <w:tc>
          <w:tcPr>
            <w:tcW w:w="922" w:type="dxa"/>
            <w:tcBorders>
              <w:top w:val="single" w:color="000000" w:sz="4" w:space="0"/>
              <w:left w:val="single" w:color="auto" w:sz="4" w:space="0"/>
              <w:bottom w:val="single" w:color="000000" w:sz="4" w:space="0"/>
              <w:right w:val="single" w:color="000000" w:sz="4" w:space="0"/>
            </w:tcBorders>
            <w:vAlign w:val="center"/>
          </w:tcPr>
          <w:p w14:paraId="77F86B77">
            <w:pPr>
              <w:jc w:val="center"/>
              <w:textAlignment w:val="center"/>
              <w:rPr>
                <w:rFonts w:ascii="宋体" w:hAnsi="宋体" w:cs="宋体"/>
                <w:color w:val="000000"/>
                <w:kern w:val="0"/>
                <w:szCs w:val="21"/>
                <w:lang w:bidi="ar"/>
              </w:rPr>
            </w:pPr>
          </w:p>
        </w:tc>
      </w:tr>
      <w:tr w14:paraId="47392490">
        <w:tblPrEx>
          <w:tblCellMar>
            <w:top w:w="0" w:type="dxa"/>
            <w:left w:w="108" w:type="dxa"/>
            <w:bottom w:w="0" w:type="dxa"/>
            <w:right w:w="108" w:type="dxa"/>
          </w:tblCellMar>
        </w:tblPrEx>
        <w:trPr>
          <w:trHeight w:val="498" w:hRule="atLeast"/>
          <w:jc w:val="center"/>
        </w:trPr>
        <w:tc>
          <w:tcPr>
            <w:tcW w:w="857" w:type="dxa"/>
            <w:tcBorders>
              <w:top w:val="single" w:color="000000" w:sz="4" w:space="0"/>
              <w:left w:val="single" w:color="000000" w:sz="4" w:space="0"/>
              <w:bottom w:val="single" w:color="000000" w:sz="4" w:space="0"/>
              <w:right w:val="single" w:color="000000" w:sz="4" w:space="0"/>
            </w:tcBorders>
            <w:vAlign w:val="center"/>
          </w:tcPr>
          <w:p w14:paraId="26F003AE">
            <w:pPr>
              <w:widowControl/>
              <w:jc w:val="center"/>
              <w:textAlignment w:val="center"/>
              <w:rPr>
                <w:rFonts w:ascii="宋体" w:hAnsi="宋体" w:cs="宋体"/>
                <w:color w:val="000000"/>
                <w:kern w:val="0"/>
                <w:szCs w:val="21"/>
                <w:lang w:bidi="ar"/>
              </w:rPr>
            </w:pPr>
          </w:p>
        </w:tc>
        <w:tc>
          <w:tcPr>
            <w:tcW w:w="11908" w:type="dxa"/>
            <w:gridSpan w:val="7"/>
            <w:tcBorders>
              <w:top w:val="single" w:color="000000" w:sz="4" w:space="0"/>
              <w:left w:val="single" w:color="000000" w:sz="4" w:space="0"/>
              <w:bottom w:val="single" w:color="000000" w:sz="4" w:space="0"/>
              <w:right w:val="single" w:color="auto" w:sz="4" w:space="0"/>
            </w:tcBorders>
            <w:vAlign w:val="center"/>
          </w:tcPr>
          <w:p w14:paraId="5802C7E8">
            <w:pPr>
              <w:widowControl/>
              <w:jc w:val="left"/>
              <w:textAlignment w:val="center"/>
              <w:rPr>
                <w:rFonts w:ascii="宋体" w:hAnsi="宋体" w:cs="宋体"/>
                <w:b/>
                <w:bCs/>
                <w:color w:val="000000"/>
                <w:kern w:val="0"/>
                <w:sz w:val="28"/>
                <w:szCs w:val="28"/>
                <w:lang w:bidi="ar"/>
              </w:rPr>
            </w:pPr>
            <w:r>
              <w:rPr>
                <w:rFonts w:hint="eastAsia" w:ascii="宋体" w:hAnsi="宋体" w:cs="宋体"/>
                <w:b/>
                <w:bCs/>
                <w:color w:val="000000"/>
                <w:kern w:val="0"/>
                <w:sz w:val="28"/>
                <w:szCs w:val="28"/>
                <w:lang w:bidi="ar"/>
              </w:rPr>
              <w:t>注：</w:t>
            </w:r>
          </w:p>
          <w:p w14:paraId="3D988AEE">
            <w:pPr>
              <w:widowControl/>
              <w:numPr>
                <w:ilvl w:val="0"/>
                <w:numId w:val="7"/>
              </w:numPr>
              <w:ind w:firstLine="562" w:firstLineChars="200"/>
              <w:jc w:val="left"/>
              <w:textAlignment w:val="center"/>
              <w:rPr>
                <w:rFonts w:ascii="宋体" w:hAnsi="宋体" w:cs="宋体"/>
                <w:b/>
                <w:bCs/>
                <w:color w:val="000000"/>
                <w:kern w:val="0"/>
                <w:sz w:val="28"/>
                <w:szCs w:val="28"/>
                <w:lang w:bidi="ar"/>
              </w:rPr>
            </w:pPr>
            <w:r>
              <w:rPr>
                <w:rFonts w:hint="eastAsia" w:ascii="宋体" w:hAnsi="宋体" w:cs="宋体"/>
                <w:b/>
                <w:bCs/>
                <w:color w:val="000000"/>
                <w:kern w:val="0"/>
                <w:sz w:val="28"/>
                <w:szCs w:val="28"/>
                <w:lang w:bidi="ar"/>
              </w:rPr>
              <w:t>大厅吧台和碳十三吧台必须为工厂化生产的成品吧台，供应商负责生产完成后整体（或分成两段）搬运安装至供货地点，供应商不得采用散件供货现场安装。</w:t>
            </w:r>
          </w:p>
          <w:p w14:paraId="0DF993AE">
            <w:pPr>
              <w:widowControl/>
              <w:numPr>
                <w:ilvl w:val="0"/>
                <w:numId w:val="7"/>
              </w:numPr>
              <w:ind w:firstLine="480" w:firstLineChars="200"/>
              <w:jc w:val="left"/>
              <w:textAlignment w:val="center"/>
              <w:rPr>
                <w:rFonts w:hint="eastAsia" w:ascii="宋体" w:hAnsi="宋体" w:cs="宋体"/>
                <w:sz w:val="24"/>
              </w:rPr>
            </w:pPr>
            <w:r>
              <w:rPr>
                <w:rFonts w:hint="eastAsia" w:ascii="宋体" w:hAnsi="宋体" w:cs="宋体"/>
                <w:sz w:val="24"/>
              </w:rPr>
              <w:t>导轨：采用三节导轨，抽身可全部抽出，具有抽拉顺畅，消声静音，防倾覆功能。导轨符合QB/T 2454-2013《家具五金抽屉导轨》标准：①操作力当承载重量M&lt;40kg时，推力或拉力≤50N；②耐久性40000次；③垂直向下静载荷250N；④水平侧向静载荷125N；⑤下沉量不应超过抽屉导轨拉出长度的4%；⑥采用三节导轨，抽身可全部抽出，具有抽拉顺畅，消声静音。品牌为东泰、海福乐、BMB品牌；</w:t>
            </w:r>
          </w:p>
          <w:p w14:paraId="3197C954">
            <w:pPr>
              <w:widowControl/>
              <w:numPr>
                <w:ilvl w:val="0"/>
                <w:numId w:val="7"/>
              </w:numPr>
              <w:ind w:firstLine="480" w:firstLineChars="200"/>
              <w:jc w:val="left"/>
              <w:textAlignment w:val="center"/>
              <w:rPr>
                <w:rFonts w:hint="eastAsia" w:ascii="宋体" w:hAnsi="宋体" w:cs="宋体"/>
                <w:sz w:val="24"/>
              </w:rPr>
            </w:pPr>
            <w:r>
              <w:rPr>
                <w:rFonts w:hint="eastAsia" w:ascii="宋体" w:hAnsi="宋体" w:cs="宋体"/>
                <w:sz w:val="24"/>
              </w:rPr>
              <w:t>实木多层板和面漆板标准：①木材经过脱脂干燥处理不生霉，经久耐用，甲醛释放量≤0.5mg/L，符合E0级环保标准，含水率不低于国家标准；②坚固、可靠，长期使用不松动、不腐朽，各项指标不低于国家标准，符合GB18584-2001《室内装饰装修材料 木家具中有害物质限量》。品牌为兔宝宝、莫干山、千年舟；</w:t>
            </w:r>
          </w:p>
          <w:p w14:paraId="08DDBEAE">
            <w:pPr>
              <w:widowControl/>
              <w:numPr>
                <w:ilvl w:val="0"/>
                <w:numId w:val="7"/>
              </w:numPr>
              <w:ind w:firstLine="480" w:firstLineChars="200"/>
              <w:jc w:val="left"/>
              <w:textAlignment w:val="center"/>
              <w:rPr>
                <w:rFonts w:hint="eastAsia" w:ascii="宋体" w:hAnsi="宋体" w:cs="宋体"/>
                <w:sz w:val="24"/>
              </w:rPr>
            </w:pPr>
            <w:r>
              <w:rPr>
                <w:rFonts w:hint="eastAsia" w:ascii="宋体" w:hAnsi="宋体" w:cs="宋体"/>
                <w:sz w:val="24"/>
              </w:rPr>
              <w:t>铰链：采用不锈钢阻尼门铰，材料符合QB/T 2189-2013《家具五金杯状暗铰链》标准：①操作力在耐久性试验前后，具有自动关闭装置的杯状暗铰链的关闭力应大于0.5N；②在耐久性试验前后，打开力和关闭力不应大于20N；③垂直静载荷20kg；④水平静载荷60N；⑤耐久性40000次；⑥在使用调整系统前，安装B型试验门时，下沉量不应大于3.0mm，⑦耐腐蚀要求18H，1.5mm以下锈点≤20点/dm²，其中≥1.0mm锈点不超过5点。抗菌喷涂粉末：电解钢板（电镀锌钢板）表面采用抗菌粉末涂料，涂层膜厚度均匀，喷粉涂层厚度60-80um。抗菌粉末涂料符合GB/T 21866-2008 《抗菌涂料（漆膜）抗菌性能测定法和抗菌效果》抗菌检测：大肠杆菌大于99.99%，金黄色葡萄球菌大于99.99%。铰链采用海蒂诗“Hettich”、 百隆“blum”或海福乐“HAFELE”品牌；</w:t>
            </w:r>
          </w:p>
          <w:p w14:paraId="1A1A7E56">
            <w:pPr>
              <w:widowControl/>
              <w:numPr>
                <w:ilvl w:val="0"/>
                <w:numId w:val="7"/>
              </w:numPr>
              <w:ind w:firstLine="480" w:firstLineChars="200"/>
              <w:jc w:val="left"/>
              <w:textAlignment w:val="center"/>
              <w:rPr>
                <w:rFonts w:hint="eastAsia" w:ascii="宋体" w:hAnsi="宋体" w:cs="宋体"/>
                <w:sz w:val="24"/>
              </w:rPr>
            </w:pPr>
            <w:r>
              <w:rPr>
                <w:rFonts w:hint="eastAsia" w:ascii="宋体" w:hAnsi="宋体" w:cs="宋体"/>
                <w:sz w:val="24"/>
              </w:rPr>
              <w:t>人造石采用材质为亚克力人造石，材料厚度≥1.2cm。品牌为宝丽雅、戈兰迪、杜邦品牌；</w:t>
            </w:r>
          </w:p>
          <w:p w14:paraId="7C7F0BC7">
            <w:pPr>
              <w:widowControl/>
              <w:numPr>
                <w:ilvl w:val="0"/>
                <w:numId w:val="7"/>
              </w:numPr>
              <w:ind w:firstLine="480" w:firstLineChars="200"/>
              <w:jc w:val="left"/>
              <w:textAlignment w:val="center"/>
              <w:rPr>
                <w:rFonts w:hint="eastAsia" w:ascii="宋体" w:hAnsi="宋体" w:cs="宋体"/>
                <w:sz w:val="24"/>
              </w:rPr>
            </w:pPr>
            <w:r>
              <w:rPr>
                <w:rFonts w:hint="eastAsia" w:ascii="宋体" w:hAnsi="宋体" w:cs="宋体"/>
                <w:sz w:val="24"/>
              </w:rPr>
              <w:t>木纹装饰板采用富美家、威盛亚、普利品牌产品。</w:t>
            </w:r>
          </w:p>
        </w:tc>
        <w:tc>
          <w:tcPr>
            <w:tcW w:w="922" w:type="dxa"/>
            <w:tcBorders>
              <w:top w:val="single" w:color="000000" w:sz="4" w:space="0"/>
              <w:left w:val="single" w:color="auto" w:sz="4" w:space="0"/>
              <w:bottom w:val="single" w:color="000000" w:sz="4" w:space="0"/>
              <w:right w:val="single" w:color="000000" w:sz="4" w:space="0"/>
            </w:tcBorders>
            <w:vAlign w:val="center"/>
          </w:tcPr>
          <w:p w14:paraId="623B835E">
            <w:pPr>
              <w:textAlignment w:val="center"/>
              <w:rPr>
                <w:rFonts w:ascii="宋体" w:hAnsi="宋体" w:cs="宋体"/>
                <w:color w:val="000000"/>
                <w:kern w:val="0"/>
                <w:szCs w:val="21"/>
                <w:lang w:bidi="ar"/>
              </w:rPr>
            </w:pPr>
          </w:p>
        </w:tc>
      </w:tr>
      <w:tr w14:paraId="21E28447">
        <w:tblPrEx>
          <w:tblCellMar>
            <w:top w:w="0" w:type="dxa"/>
            <w:left w:w="108" w:type="dxa"/>
            <w:bottom w:w="0" w:type="dxa"/>
            <w:right w:w="108" w:type="dxa"/>
          </w:tblCellMar>
        </w:tblPrEx>
        <w:trPr>
          <w:trHeight w:val="498" w:hRule="atLeast"/>
          <w:jc w:val="center"/>
        </w:trPr>
        <w:tc>
          <w:tcPr>
            <w:tcW w:w="857" w:type="dxa"/>
            <w:tcBorders>
              <w:top w:val="single" w:color="000000" w:sz="4" w:space="0"/>
              <w:left w:val="single" w:color="000000" w:sz="4" w:space="0"/>
              <w:bottom w:val="single" w:color="000000" w:sz="4" w:space="0"/>
              <w:right w:val="single" w:color="000000" w:sz="4" w:space="0"/>
            </w:tcBorders>
            <w:vAlign w:val="center"/>
          </w:tcPr>
          <w:p w14:paraId="35BE0AB5">
            <w:pPr>
              <w:widowControl/>
              <w:jc w:val="center"/>
              <w:textAlignment w:val="center"/>
              <w:rPr>
                <w:rFonts w:ascii="宋体" w:hAnsi="宋体" w:cs="宋体"/>
                <w:color w:val="000000"/>
                <w:kern w:val="0"/>
                <w:szCs w:val="21"/>
                <w:lang w:bidi="ar"/>
              </w:rPr>
            </w:pPr>
            <w:r>
              <w:rPr>
                <w:rFonts w:ascii="宋体" w:hAnsi="宋体" w:cs="宋体"/>
                <w:color w:val="000000"/>
                <w:kern w:val="0"/>
                <w:szCs w:val="21"/>
                <w:lang w:bidi="ar"/>
              </w:rPr>
              <w:t>8</w:t>
            </w:r>
          </w:p>
        </w:tc>
        <w:tc>
          <w:tcPr>
            <w:tcW w:w="1275" w:type="dxa"/>
            <w:tcBorders>
              <w:top w:val="single" w:color="000000" w:sz="4" w:space="0"/>
              <w:left w:val="single" w:color="000000" w:sz="4" w:space="0"/>
              <w:bottom w:val="single" w:color="000000" w:sz="4" w:space="0"/>
              <w:right w:val="single" w:color="000000" w:sz="4" w:space="0"/>
            </w:tcBorders>
            <w:vAlign w:val="center"/>
          </w:tcPr>
          <w:p w14:paraId="7D71E83F">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总价</w:t>
            </w:r>
          </w:p>
        </w:tc>
        <w:tc>
          <w:tcPr>
            <w:tcW w:w="10633" w:type="dxa"/>
            <w:gridSpan w:val="6"/>
            <w:tcBorders>
              <w:top w:val="single" w:color="000000" w:sz="4" w:space="0"/>
              <w:left w:val="single" w:color="000000" w:sz="4" w:space="0"/>
              <w:bottom w:val="single" w:color="000000" w:sz="4" w:space="0"/>
              <w:right w:val="single" w:color="auto" w:sz="4" w:space="0"/>
            </w:tcBorders>
            <w:vAlign w:val="center"/>
          </w:tcPr>
          <w:p w14:paraId="36F0AF04">
            <w:pPr>
              <w:textAlignment w:val="center"/>
              <w:rPr>
                <w:rFonts w:ascii="宋体" w:hAnsi="宋体" w:cs="宋体"/>
                <w:color w:val="000000"/>
                <w:kern w:val="0"/>
                <w:szCs w:val="21"/>
                <w:lang w:bidi="ar"/>
              </w:rPr>
            </w:pPr>
            <w:r>
              <w:rPr>
                <w:rFonts w:hint="eastAsia" w:ascii="宋体" w:hAnsi="宋体" w:cs="Arial"/>
                <w:sz w:val="24"/>
              </w:rPr>
              <w:t xml:space="preserve">人民币（大写）：                  </w:t>
            </w:r>
            <w:r>
              <w:rPr>
                <w:rFonts w:ascii="宋体" w:hAnsi="宋体" w:cs="Arial"/>
                <w:sz w:val="24"/>
              </w:rPr>
              <w:t xml:space="preserve">    </w:t>
            </w:r>
            <w:r>
              <w:rPr>
                <w:rFonts w:hint="eastAsia" w:ascii="宋体" w:hAnsi="宋体" w:cs="Arial"/>
                <w:sz w:val="24"/>
              </w:rPr>
              <w:t xml:space="preserve"> 元</w:t>
            </w:r>
          </w:p>
        </w:tc>
        <w:tc>
          <w:tcPr>
            <w:tcW w:w="922" w:type="dxa"/>
            <w:tcBorders>
              <w:top w:val="single" w:color="000000" w:sz="4" w:space="0"/>
              <w:left w:val="single" w:color="auto" w:sz="4" w:space="0"/>
              <w:bottom w:val="single" w:color="000000" w:sz="4" w:space="0"/>
              <w:right w:val="single" w:color="000000" w:sz="4" w:space="0"/>
            </w:tcBorders>
            <w:vAlign w:val="center"/>
          </w:tcPr>
          <w:p w14:paraId="153854F3">
            <w:pPr>
              <w:textAlignment w:val="center"/>
              <w:rPr>
                <w:rFonts w:ascii="宋体" w:hAnsi="宋体" w:cs="宋体"/>
                <w:color w:val="000000"/>
                <w:kern w:val="0"/>
                <w:szCs w:val="21"/>
                <w:lang w:bidi="ar"/>
              </w:rPr>
            </w:pPr>
          </w:p>
        </w:tc>
      </w:tr>
    </w:tbl>
    <w:p w14:paraId="3B566B18">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法定代表人或授权代表签字：</w:t>
      </w:r>
      <w:r>
        <w:rPr>
          <w:rFonts w:hint="eastAsia" w:ascii="宋体" w:hAnsi="宋体" w:cs="Arial"/>
          <w:sz w:val="24"/>
          <w:u w:val="single"/>
        </w:rPr>
        <w:t xml:space="preserve">         </w:t>
      </w:r>
    </w:p>
    <w:p w14:paraId="2201B885">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注：1.如果按单价计算的结果与总价不一致，以单价为准修正总价。</w:t>
      </w:r>
    </w:p>
    <w:p w14:paraId="456720E9">
      <w:pPr>
        <w:adjustRightInd w:val="0"/>
        <w:snapToGrid w:val="0"/>
        <w:spacing w:line="440" w:lineRule="exact"/>
        <w:ind w:left="420" w:leftChars="200" w:right="420" w:rightChars="200" w:firstLine="960" w:firstLineChars="400"/>
        <w:contextualSpacing/>
        <w:rPr>
          <w:rFonts w:ascii="宋体" w:hAnsi="宋体" w:cs="Arial"/>
          <w:sz w:val="24"/>
        </w:rPr>
      </w:pPr>
      <w:r>
        <w:rPr>
          <w:rFonts w:hint="eastAsia" w:ascii="宋体" w:hAnsi="宋体" w:cs="Arial"/>
          <w:sz w:val="24"/>
        </w:rPr>
        <w:t>2.如果不提供详细分项报价将视为没有实质性响应招标文件。</w:t>
      </w:r>
    </w:p>
    <w:p w14:paraId="1C2FAF67">
      <w:pPr>
        <w:adjustRightInd w:val="0"/>
        <w:snapToGrid w:val="0"/>
        <w:spacing w:line="400" w:lineRule="exact"/>
        <w:ind w:right="100" w:firstLine="1440" w:firstLineChars="600"/>
        <w:contextualSpacing/>
        <w:rPr>
          <w:b/>
          <w:sz w:val="36"/>
          <w:szCs w:val="36"/>
        </w:rPr>
      </w:pPr>
      <w:r>
        <w:rPr>
          <w:rFonts w:hint="eastAsia" w:ascii="宋体" w:hAnsi="宋体" w:cs="Arial"/>
          <w:sz w:val="24"/>
        </w:rPr>
        <w:t>3.“开标一览表”和“投标分项报价表”不需装订，投标时请单独密封递交</w:t>
      </w:r>
    </w:p>
    <w:p w14:paraId="20AB5FF3">
      <w:pPr>
        <w:jc w:val="center"/>
        <w:rPr>
          <w:b/>
          <w:sz w:val="36"/>
          <w:szCs w:val="36"/>
        </w:rPr>
        <w:sectPr>
          <w:pgSz w:w="16838" w:h="11906" w:orient="landscape"/>
          <w:pgMar w:top="1077" w:right="1440" w:bottom="1077" w:left="1440" w:header="851" w:footer="992" w:gutter="0"/>
          <w:cols w:space="425" w:num="1"/>
          <w:titlePg/>
          <w:docGrid w:linePitch="312" w:charSpace="0"/>
        </w:sectPr>
      </w:pPr>
    </w:p>
    <w:p w14:paraId="0DDA7D84">
      <w:pPr>
        <w:adjustRightInd w:val="0"/>
        <w:snapToGrid w:val="0"/>
        <w:spacing w:line="440" w:lineRule="exact"/>
        <w:ind w:left="420" w:leftChars="200" w:right="420" w:rightChars="200" w:firstLine="482" w:firstLineChars="200"/>
        <w:contextualSpacing/>
        <w:rPr>
          <w:rFonts w:ascii="宋体" w:hAnsi="宋体" w:cs="Arial"/>
          <w:b/>
          <w:sz w:val="24"/>
        </w:rPr>
      </w:pPr>
      <w:r>
        <w:rPr>
          <w:rFonts w:hint="eastAsia" w:ascii="宋体" w:hAnsi="宋体" w:cs="Arial"/>
          <w:b/>
          <w:sz w:val="24"/>
        </w:rPr>
        <w:t>3</w:t>
      </w:r>
      <w:r>
        <w:rPr>
          <w:rFonts w:ascii="宋体" w:hAnsi="宋体" w:cs="Arial"/>
          <w:b/>
          <w:sz w:val="24"/>
        </w:rPr>
        <w:t>.5</w:t>
      </w:r>
      <w:r>
        <w:rPr>
          <w:rFonts w:hint="eastAsia" w:ascii="宋体" w:hAnsi="宋体" w:cs="Arial"/>
          <w:b/>
          <w:sz w:val="24"/>
        </w:rPr>
        <w:t>技术规格偏离表格式</w:t>
      </w:r>
    </w:p>
    <w:p w14:paraId="24B5719B">
      <w:pPr>
        <w:adjustRightInd w:val="0"/>
        <w:snapToGrid w:val="0"/>
        <w:spacing w:line="440" w:lineRule="exact"/>
        <w:ind w:left="420" w:leftChars="200" w:right="420" w:rightChars="200" w:firstLine="482" w:firstLineChars="200"/>
        <w:contextualSpacing/>
        <w:jc w:val="center"/>
        <w:rPr>
          <w:rFonts w:ascii="宋体" w:hAnsi="宋体" w:cs="Arial"/>
          <w:b/>
          <w:sz w:val="24"/>
        </w:rPr>
      </w:pPr>
      <w:r>
        <w:rPr>
          <w:rFonts w:hint="eastAsia" w:ascii="宋体" w:hAnsi="宋体" w:cs="Arial"/>
          <w:b/>
          <w:sz w:val="24"/>
        </w:rPr>
        <w:t>技术参数、规格标准偏离表</w:t>
      </w:r>
    </w:p>
    <w:p w14:paraId="163F5F35">
      <w:pPr>
        <w:adjustRightInd w:val="0"/>
        <w:snapToGrid w:val="0"/>
        <w:spacing w:line="440" w:lineRule="exact"/>
        <w:ind w:left="420" w:leftChars="200" w:right="420" w:rightChars="200" w:firstLine="480" w:firstLineChars="200"/>
        <w:contextualSpacing/>
        <w:rPr>
          <w:rFonts w:ascii="宋体" w:hAnsi="宋体" w:cs="Arial"/>
          <w:sz w:val="24"/>
          <w:u w:val="single"/>
        </w:rPr>
      </w:pPr>
      <w:r>
        <w:rPr>
          <w:rFonts w:hint="eastAsia" w:ascii="宋体" w:hAnsi="宋体" w:cs="Arial"/>
          <w:sz w:val="24"/>
        </w:rPr>
        <w:t>投标人名称（公章）：</w:t>
      </w:r>
      <w:r>
        <w:rPr>
          <w:rFonts w:hint="eastAsia" w:ascii="宋体" w:hAnsi="宋体" w:cs="Arial"/>
          <w:sz w:val="24"/>
          <w:u w:val="single"/>
        </w:rPr>
        <w:t xml:space="preserve">               </w:t>
      </w:r>
    </w:p>
    <w:tbl>
      <w:tblPr>
        <w:tblStyle w:val="21"/>
        <w:tblW w:w="9461" w:type="dxa"/>
        <w:jc w:val="center"/>
        <w:tblLayout w:type="fixed"/>
        <w:tblCellMar>
          <w:top w:w="0" w:type="dxa"/>
          <w:left w:w="108" w:type="dxa"/>
          <w:bottom w:w="0" w:type="dxa"/>
          <w:right w:w="108" w:type="dxa"/>
        </w:tblCellMar>
      </w:tblPr>
      <w:tblGrid>
        <w:gridCol w:w="792"/>
        <w:gridCol w:w="1701"/>
        <w:gridCol w:w="3260"/>
        <w:gridCol w:w="2410"/>
        <w:gridCol w:w="1298"/>
      </w:tblGrid>
      <w:tr w14:paraId="12063228">
        <w:tblPrEx>
          <w:tblCellMar>
            <w:top w:w="0" w:type="dxa"/>
            <w:left w:w="108" w:type="dxa"/>
            <w:bottom w:w="0" w:type="dxa"/>
            <w:right w:w="108" w:type="dxa"/>
          </w:tblCellMar>
        </w:tblPrEx>
        <w:trPr>
          <w:jc w:val="center"/>
        </w:trPr>
        <w:tc>
          <w:tcPr>
            <w:tcW w:w="792" w:type="dxa"/>
            <w:tcBorders>
              <w:top w:val="single" w:color="auto" w:sz="6" w:space="0"/>
              <w:left w:val="single" w:color="auto" w:sz="6" w:space="0"/>
              <w:bottom w:val="single" w:color="auto" w:sz="6" w:space="0"/>
              <w:right w:val="single" w:color="auto" w:sz="4" w:space="0"/>
            </w:tcBorders>
          </w:tcPr>
          <w:p w14:paraId="1C209C5A">
            <w:pPr>
              <w:adjustRightInd w:val="0"/>
              <w:snapToGrid w:val="0"/>
              <w:spacing w:line="400" w:lineRule="exact"/>
              <w:contextualSpacing/>
              <w:jc w:val="center"/>
              <w:rPr>
                <w:rFonts w:ascii="宋体" w:hAnsi="宋体" w:cs="Arial"/>
                <w:b/>
                <w:sz w:val="24"/>
              </w:rPr>
            </w:pPr>
            <w:r>
              <w:rPr>
                <w:rFonts w:hint="eastAsia" w:ascii="宋体" w:hAnsi="宋体" w:cs="Arial"/>
                <w:b/>
                <w:sz w:val="24"/>
              </w:rPr>
              <w:t>序号</w:t>
            </w:r>
          </w:p>
        </w:tc>
        <w:tc>
          <w:tcPr>
            <w:tcW w:w="1701" w:type="dxa"/>
            <w:tcBorders>
              <w:top w:val="single" w:color="auto" w:sz="6" w:space="0"/>
              <w:left w:val="single" w:color="auto" w:sz="4" w:space="0"/>
              <w:bottom w:val="single" w:color="auto" w:sz="6" w:space="0"/>
              <w:right w:val="single" w:color="auto" w:sz="6" w:space="0"/>
            </w:tcBorders>
          </w:tcPr>
          <w:p w14:paraId="72F2930D">
            <w:pPr>
              <w:adjustRightInd w:val="0"/>
              <w:snapToGrid w:val="0"/>
              <w:spacing w:line="400" w:lineRule="exact"/>
              <w:contextualSpacing/>
              <w:jc w:val="center"/>
              <w:rPr>
                <w:rFonts w:ascii="宋体" w:hAnsi="宋体" w:cs="Arial"/>
                <w:b/>
                <w:sz w:val="24"/>
              </w:rPr>
            </w:pPr>
            <w:r>
              <w:rPr>
                <w:rFonts w:hint="eastAsia" w:ascii="宋体" w:hAnsi="宋体" w:cs="Arial"/>
                <w:b/>
                <w:sz w:val="24"/>
              </w:rPr>
              <w:t>货物名称</w:t>
            </w:r>
          </w:p>
        </w:tc>
        <w:tc>
          <w:tcPr>
            <w:tcW w:w="3260" w:type="dxa"/>
            <w:tcBorders>
              <w:top w:val="single" w:color="auto" w:sz="6" w:space="0"/>
              <w:left w:val="nil"/>
              <w:bottom w:val="single" w:color="auto" w:sz="6" w:space="0"/>
              <w:right w:val="single" w:color="auto" w:sz="6" w:space="0"/>
            </w:tcBorders>
          </w:tcPr>
          <w:p w14:paraId="47E580E8">
            <w:pPr>
              <w:adjustRightInd w:val="0"/>
              <w:snapToGrid w:val="0"/>
              <w:spacing w:line="400" w:lineRule="exact"/>
              <w:contextualSpacing/>
              <w:jc w:val="center"/>
              <w:rPr>
                <w:rFonts w:ascii="宋体" w:hAnsi="宋体" w:cs="Arial"/>
                <w:b/>
                <w:sz w:val="24"/>
              </w:rPr>
            </w:pPr>
            <w:r>
              <w:rPr>
                <w:rFonts w:hint="eastAsia" w:ascii="宋体" w:hAnsi="宋体" w:cs="Arial"/>
                <w:b/>
                <w:sz w:val="24"/>
              </w:rPr>
              <w:t>标书要求参数</w:t>
            </w:r>
          </w:p>
        </w:tc>
        <w:tc>
          <w:tcPr>
            <w:tcW w:w="2410" w:type="dxa"/>
            <w:tcBorders>
              <w:top w:val="single" w:color="auto" w:sz="6" w:space="0"/>
              <w:left w:val="nil"/>
              <w:bottom w:val="single" w:color="auto" w:sz="6" w:space="0"/>
              <w:right w:val="single" w:color="auto" w:sz="6" w:space="0"/>
            </w:tcBorders>
          </w:tcPr>
          <w:p w14:paraId="5D305731">
            <w:pPr>
              <w:adjustRightInd w:val="0"/>
              <w:snapToGrid w:val="0"/>
              <w:spacing w:line="400" w:lineRule="exact"/>
              <w:contextualSpacing/>
              <w:jc w:val="center"/>
              <w:rPr>
                <w:rFonts w:ascii="宋体" w:hAnsi="宋体" w:cs="Arial"/>
                <w:b/>
                <w:sz w:val="24"/>
              </w:rPr>
            </w:pPr>
            <w:r>
              <w:rPr>
                <w:rFonts w:hint="eastAsia" w:ascii="宋体" w:hAnsi="宋体" w:cs="Arial"/>
                <w:b/>
                <w:sz w:val="24"/>
              </w:rPr>
              <w:t>投标参数</w:t>
            </w:r>
          </w:p>
        </w:tc>
        <w:tc>
          <w:tcPr>
            <w:tcW w:w="1298" w:type="dxa"/>
            <w:tcBorders>
              <w:top w:val="single" w:color="auto" w:sz="6" w:space="0"/>
              <w:left w:val="nil"/>
              <w:bottom w:val="single" w:color="auto" w:sz="6" w:space="0"/>
              <w:right w:val="single" w:color="auto" w:sz="6" w:space="0"/>
            </w:tcBorders>
          </w:tcPr>
          <w:p w14:paraId="6A4B4DEC">
            <w:pPr>
              <w:adjustRightInd w:val="0"/>
              <w:snapToGrid w:val="0"/>
              <w:spacing w:line="400" w:lineRule="exact"/>
              <w:contextualSpacing/>
              <w:jc w:val="center"/>
              <w:rPr>
                <w:rFonts w:ascii="宋体" w:hAnsi="宋体" w:cs="Arial"/>
                <w:b/>
                <w:sz w:val="24"/>
              </w:rPr>
            </w:pPr>
            <w:r>
              <w:rPr>
                <w:rFonts w:hint="eastAsia" w:ascii="宋体" w:hAnsi="宋体" w:cs="Arial"/>
                <w:b/>
                <w:sz w:val="24"/>
              </w:rPr>
              <w:t>偏离值</w:t>
            </w:r>
          </w:p>
        </w:tc>
      </w:tr>
      <w:tr w14:paraId="5F42B04B">
        <w:tblPrEx>
          <w:tblCellMar>
            <w:top w:w="0" w:type="dxa"/>
            <w:left w:w="108" w:type="dxa"/>
            <w:bottom w:w="0" w:type="dxa"/>
            <w:right w:w="108" w:type="dxa"/>
          </w:tblCellMar>
        </w:tblPrEx>
        <w:trPr>
          <w:trHeight w:val="511" w:hRule="atLeast"/>
          <w:jc w:val="center"/>
        </w:trPr>
        <w:tc>
          <w:tcPr>
            <w:tcW w:w="792" w:type="dxa"/>
            <w:tcBorders>
              <w:top w:val="single" w:color="auto" w:sz="6" w:space="0"/>
              <w:left w:val="single" w:color="auto" w:sz="6" w:space="0"/>
              <w:bottom w:val="single" w:color="auto" w:sz="6" w:space="0"/>
              <w:right w:val="single" w:color="auto" w:sz="4" w:space="0"/>
            </w:tcBorders>
          </w:tcPr>
          <w:p w14:paraId="76E4865F">
            <w:pPr>
              <w:snapToGrid w:val="0"/>
              <w:spacing w:line="280" w:lineRule="exact"/>
              <w:ind w:firstLine="210" w:firstLineChars="100"/>
              <w:rPr>
                <w:rFonts w:ascii="宋体" w:hAnsi="宋体" w:cs="Arial"/>
                <w:szCs w:val="21"/>
              </w:rPr>
            </w:pPr>
          </w:p>
        </w:tc>
        <w:tc>
          <w:tcPr>
            <w:tcW w:w="1701" w:type="dxa"/>
            <w:tcBorders>
              <w:top w:val="single" w:color="auto" w:sz="6" w:space="0"/>
              <w:left w:val="single" w:color="auto" w:sz="4" w:space="0"/>
              <w:bottom w:val="single" w:color="auto" w:sz="6" w:space="0"/>
              <w:right w:val="single" w:color="auto" w:sz="6" w:space="0"/>
            </w:tcBorders>
          </w:tcPr>
          <w:p w14:paraId="7BE70426">
            <w:pPr>
              <w:snapToGrid w:val="0"/>
              <w:spacing w:line="280" w:lineRule="exact"/>
              <w:ind w:left="420" w:hanging="420" w:hangingChars="200"/>
              <w:rPr>
                <w:rFonts w:ascii="宋体" w:hAnsi="宋体" w:cs="Arial"/>
                <w:szCs w:val="21"/>
              </w:rPr>
            </w:pPr>
          </w:p>
        </w:tc>
        <w:tc>
          <w:tcPr>
            <w:tcW w:w="3260" w:type="dxa"/>
            <w:tcBorders>
              <w:top w:val="single" w:color="auto" w:sz="6" w:space="0"/>
              <w:left w:val="nil"/>
              <w:bottom w:val="single" w:color="auto" w:sz="6" w:space="0"/>
              <w:right w:val="single" w:color="auto" w:sz="6" w:space="0"/>
            </w:tcBorders>
          </w:tcPr>
          <w:p w14:paraId="631E448C">
            <w:pPr>
              <w:spacing w:line="280" w:lineRule="exact"/>
              <w:ind w:firstLine="411" w:firstLineChars="196"/>
              <w:rPr>
                <w:rFonts w:ascii="宋体" w:hAnsi="宋体" w:cs="Arial"/>
                <w:color w:val="000000"/>
                <w:szCs w:val="21"/>
              </w:rPr>
            </w:pPr>
          </w:p>
        </w:tc>
        <w:tc>
          <w:tcPr>
            <w:tcW w:w="2410" w:type="dxa"/>
            <w:tcBorders>
              <w:top w:val="single" w:color="auto" w:sz="6" w:space="0"/>
              <w:left w:val="nil"/>
              <w:bottom w:val="single" w:color="auto" w:sz="6" w:space="0"/>
              <w:right w:val="single" w:color="auto" w:sz="6" w:space="0"/>
            </w:tcBorders>
          </w:tcPr>
          <w:p w14:paraId="5E84733D">
            <w:pPr>
              <w:snapToGrid w:val="0"/>
              <w:spacing w:line="360" w:lineRule="auto"/>
              <w:rPr>
                <w:rFonts w:ascii="宋体" w:hAnsi="宋体" w:cs="Arial"/>
                <w:sz w:val="24"/>
              </w:rPr>
            </w:pPr>
          </w:p>
        </w:tc>
        <w:tc>
          <w:tcPr>
            <w:tcW w:w="1298" w:type="dxa"/>
            <w:tcBorders>
              <w:top w:val="single" w:color="auto" w:sz="6" w:space="0"/>
              <w:left w:val="nil"/>
              <w:bottom w:val="single" w:color="auto" w:sz="6" w:space="0"/>
              <w:right w:val="single" w:color="auto" w:sz="6" w:space="0"/>
            </w:tcBorders>
          </w:tcPr>
          <w:p w14:paraId="7AB1AF76">
            <w:pPr>
              <w:snapToGrid w:val="0"/>
              <w:spacing w:line="360" w:lineRule="auto"/>
              <w:rPr>
                <w:rFonts w:ascii="宋体" w:hAnsi="宋体" w:cs="Arial"/>
                <w:sz w:val="24"/>
              </w:rPr>
            </w:pPr>
          </w:p>
        </w:tc>
      </w:tr>
      <w:tr w14:paraId="4FE0AE6E">
        <w:tblPrEx>
          <w:tblCellMar>
            <w:top w:w="0" w:type="dxa"/>
            <w:left w:w="108" w:type="dxa"/>
            <w:bottom w:w="0" w:type="dxa"/>
            <w:right w:w="108" w:type="dxa"/>
          </w:tblCellMar>
        </w:tblPrEx>
        <w:trPr>
          <w:trHeight w:val="294" w:hRule="atLeast"/>
          <w:jc w:val="center"/>
        </w:trPr>
        <w:tc>
          <w:tcPr>
            <w:tcW w:w="792" w:type="dxa"/>
            <w:tcBorders>
              <w:top w:val="single" w:color="auto" w:sz="6" w:space="0"/>
              <w:left w:val="single" w:color="auto" w:sz="6" w:space="0"/>
              <w:bottom w:val="single" w:color="auto" w:sz="6" w:space="0"/>
              <w:right w:val="single" w:color="auto" w:sz="4" w:space="0"/>
            </w:tcBorders>
          </w:tcPr>
          <w:p w14:paraId="1071F738">
            <w:pPr>
              <w:snapToGrid w:val="0"/>
              <w:spacing w:line="280" w:lineRule="exact"/>
              <w:ind w:firstLine="210" w:firstLineChars="100"/>
              <w:rPr>
                <w:rFonts w:ascii="宋体" w:hAnsi="宋体" w:cs="Arial"/>
                <w:szCs w:val="21"/>
              </w:rPr>
            </w:pPr>
          </w:p>
        </w:tc>
        <w:tc>
          <w:tcPr>
            <w:tcW w:w="1701" w:type="dxa"/>
            <w:tcBorders>
              <w:top w:val="single" w:color="auto" w:sz="6" w:space="0"/>
              <w:left w:val="single" w:color="auto" w:sz="4" w:space="0"/>
              <w:bottom w:val="single" w:color="auto" w:sz="6" w:space="0"/>
              <w:right w:val="single" w:color="auto" w:sz="6" w:space="0"/>
            </w:tcBorders>
          </w:tcPr>
          <w:p w14:paraId="43E51236">
            <w:pPr>
              <w:spacing w:line="280" w:lineRule="exact"/>
              <w:rPr>
                <w:rFonts w:ascii="宋体" w:hAnsi="宋体" w:cs="Arial"/>
                <w:color w:val="000000"/>
                <w:szCs w:val="21"/>
              </w:rPr>
            </w:pPr>
          </w:p>
        </w:tc>
        <w:tc>
          <w:tcPr>
            <w:tcW w:w="3260" w:type="dxa"/>
            <w:tcBorders>
              <w:top w:val="single" w:color="auto" w:sz="6" w:space="0"/>
              <w:left w:val="nil"/>
              <w:bottom w:val="single" w:color="auto" w:sz="6" w:space="0"/>
              <w:right w:val="single" w:color="auto" w:sz="6" w:space="0"/>
            </w:tcBorders>
          </w:tcPr>
          <w:p w14:paraId="66090478">
            <w:pPr>
              <w:snapToGrid w:val="0"/>
              <w:spacing w:line="280" w:lineRule="exact"/>
              <w:rPr>
                <w:rFonts w:ascii="宋体" w:hAnsi="宋体" w:cs="宋体"/>
                <w:szCs w:val="21"/>
              </w:rPr>
            </w:pPr>
          </w:p>
        </w:tc>
        <w:tc>
          <w:tcPr>
            <w:tcW w:w="2410" w:type="dxa"/>
            <w:tcBorders>
              <w:top w:val="single" w:color="auto" w:sz="6" w:space="0"/>
              <w:left w:val="nil"/>
              <w:bottom w:val="single" w:color="auto" w:sz="6" w:space="0"/>
              <w:right w:val="single" w:color="auto" w:sz="6" w:space="0"/>
            </w:tcBorders>
          </w:tcPr>
          <w:p w14:paraId="375FEE17">
            <w:pPr>
              <w:snapToGrid w:val="0"/>
              <w:spacing w:line="360" w:lineRule="auto"/>
              <w:rPr>
                <w:rFonts w:ascii="宋体" w:hAnsi="宋体" w:cs="Arial"/>
                <w:sz w:val="24"/>
              </w:rPr>
            </w:pPr>
          </w:p>
        </w:tc>
        <w:tc>
          <w:tcPr>
            <w:tcW w:w="1298" w:type="dxa"/>
            <w:tcBorders>
              <w:top w:val="single" w:color="auto" w:sz="6" w:space="0"/>
              <w:left w:val="nil"/>
              <w:bottom w:val="single" w:color="auto" w:sz="6" w:space="0"/>
              <w:right w:val="single" w:color="auto" w:sz="6" w:space="0"/>
            </w:tcBorders>
          </w:tcPr>
          <w:p w14:paraId="4AF693D7">
            <w:pPr>
              <w:snapToGrid w:val="0"/>
              <w:spacing w:line="360" w:lineRule="auto"/>
              <w:rPr>
                <w:rFonts w:ascii="宋体" w:hAnsi="宋体" w:cs="Arial"/>
                <w:sz w:val="24"/>
              </w:rPr>
            </w:pPr>
          </w:p>
        </w:tc>
      </w:tr>
      <w:tr w14:paraId="708DDBBF">
        <w:tblPrEx>
          <w:tblCellMar>
            <w:top w:w="0" w:type="dxa"/>
            <w:left w:w="108" w:type="dxa"/>
            <w:bottom w:w="0" w:type="dxa"/>
            <w:right w:w="108" w:type="dxa"/>
          </w:tblCellMar>
        </w:tblPrEx>
        <w:trPr>
          <w:trHeight w:val="294" w:hRule="atLeast"/>
          <w:jc w:val="center"/>
        </w:trPr>
        <w:tc>
          <w:tcPr>
            <w:tcW w:w="792" w:type="dxa"/>
            <w:tcBorders>
              <w:top w:val="single" w:color="auto" w:sz="6" w:space="0"/>
              <w:left w:val="single" w:color="auto" w:sz="6" w:space="0"/>
              <w:bottom w:val="single" w:color="auto" w:sz="6" w:space="0"/>
              <w:right w:val="single" w:color="auto" w:sz="4" w:space="0"/>
            </w:tcBorders>
          </w:tcPr>
          <w:p w14:paraId="2B8C533D">
            <w:pPr>
              <w:snapToGrid w:val="0"/>
              <w:spacing w:line="280" w:lineRule="exact"/>
              <w:ind w:firstLine="210" w:firstLineChars="100"/>
              <w:rPr>
                <w:rFonts w:ascii="宋体" w:hAnsi="宋体" w:cs="Arial"/>
                <w:szCs w:val="21"/>
              </w:rPr>
            </w:pPr>
          </w:p>
        </w:tc>
        <w:tc>
          <w:tcPr>
            <w:tcW w:w="1701" w:type="dxa"/>
            <w:tcBorders>
              <w:top w:val="single" w:color="auto" w:sz="6" w:space="0"/>
              <w:left w:val="single" w:color="auto" w:sz="4" w:space="0"/>
              <w:bottom w:val="single" w:color="auto" w:sz="6" w:space="0"/>
              <w:right w:val="single" w:color="auto" w:sz="6" w:space="0"/>
            </w:tcBorders>
          </w:tcPr>
          <w:p w14:paraId="499440B3">
            <w:pPr>
              <w:spacing w:line="280" w:lineRule="exact"/>
              <w:ind w:firstLine="210" w:firstLineChars="100"/>
              <w:rPr>
                <w:rFonts w:ascii="宋体" w:hAnsi="宋体" w:cs="Arial"/>
                <w:color w:val="000000"/>
                <w:szCs w:val="21"/>
              </w:rPr>
            </w:pPr>
          </w:p>
        </w:tc>
        <w:tc>
          <w:tcPr>
            <w:tcW w:w="3260" w:type="dxa"/>
            <w:tcBorders>
              <w:top w:val="single" w:color="auto" w:sz="6" w:space="0"/>
              <w:left w:val="nil"/>
              <w:bottom w:val="single" w:color="auto" w:sz="6" w:space="0"/>
              <w:right w:val="single" w:color="auto" w:sz="6" w:space="0"/>
            </w:tcBorders>
          </w:tcPr>
          <w:p w14:paraId="738552A0">
            <w:pPr>
              <w:spacing w:line="280" w:lineRule="exact"/>
              <w:ind w:firstLine="420" w:firstLineChars="200"/>
              <w:rPr>
                <w:rFonts w:ascii="宋体" w:hAnsi="宋体" w:cs="Arial"/>
                <w:color w:val="000000"/>
                <w:szCs w:val="21"/>
              </w:rPr>
            </w:pPr>
          </w:p>
        </w:tc>
        <w:tc>
          <w:tcPr>
            <w:tcW w:w="2410" w:type="dxa"/>
            <w:tcBorders>
              <w:top w:val="single" w:color="auto" w:sz="6" w:space="0"/>
              <w:left w:val="nil"/>
              <w:bottom w:val="single" w:color="auto" w:sz="6" w:space="0"/>
              <w:right w:val="single" w:color="auto" w:sz="6" w:space="0"/>
            </w:tcBorders>
          </w:tcPr>
          <w:p w14:paraId="2A14D8FD">
            <w:pPr>
              <w:snapToGrid w:val="0"/>
              <w:spacing w:line="360" w:lineRule="auto"/>
              <w:rPr>
                <w:rFonts w:ascii="宋体" w:hAnsi="宋体" w:cs="Arial"/>
                <w:sz w:val="24"/>
              </w:rPr>
            </w:pPr>
          </w:p>
        </w:tc>
        <w:tc>
          <w:tcPr>
            <w:tcW w:w="1298" w:type="dxa"/>
            <w:tcBorders>
              <w:top w:val="single" w:color="auto" w:sz="6" w:space="0"/>
              <w:left w:val="nil"/>
              <w:bottom w:val="single" w:color="auto" w:sz="6" w:space="0"/>
              <w:right w:val="single" w:color="auto" w:sz="6" w:space="0"/>
            </w:tcBorders>
          </w:tcPr>
          <w:p w14:paraId="602E3B9C">
            <w:pPr>
              <w:snapToGrid w:val="0"/>
              <w:spacing w:line="360" w:lineRule="auto"/>
              <w:rPr>
                <w:rFonts w:ascii="宋体" w:hAnsi="宋体" w:cs="Arial"/>
                <w:sz w:val="24"/>
              </w:rPr>
            </w:pPr>
          </w:p>
        </w:tc>
      </w:tr>
    </w:tbl>
    <w:p w14:paraId="6137A6B8">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法定代表人或授权代表（签字或盖章）：</w:t>
      </w:r>
    </w:p>
    <w:p w14:paraId="2ED141CC">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注：请各位投标人按照以下表格形式逐项应答配置要求内容，在偏离值一栏内如实填写“无偏离、正偏离或负偏离”，行数不够可以添加，有具体参数的应填写详细参数，否则该投标可能被拒绝。货物类项目提供投标产品的彩页/样本/技术资料等。</w:t>
      </w:r>
      <w:r>
        <w:rPr>
          <w:rFonts w:hint="eastAsia" w:ascii="宋体" w:hAnsi="宋体" w:cs="Arial"/>
          <w:color w:val="FF0000"/>
          <w:sz w:val="24"/>
        </w:rPr>
        <w:t xml:space="preserve"> </w:t>
      </w:r>
    </w:p>
    <w:p w14:paraId="2DF6151B">
      <w:pPr>
        <w:jc w:val="center"/>
        <w:rPr>
          <w:b/>
          <w:sz w:val="36"/>
          <w:szCs w:val="36"/>
        </w:rPr>
      </w:pPr>
    </w:p>
    <w:p w14:paraId="79C32580">
      <w:pPr>
        <w:adjustRightInd w:val="0"/>
        <w:snapToGrid w:val="0"/>
        <w:spacing w:line="440" w:lineRule="exact"/>
        <w:ind w:left="420" w:leftChars="200" w:right="420" w:rightChars="200" w:firstLine="482" w:firstLineChars="200"/>
        <w:contextualSpacing/>
        <w:rPr>
          <w:rFonts w:ascii="宋体" w:hAnsi="宋体"/>
          <w:b/>
          <w:kern w:val="0"/>
          <w:sz w:val="24"/>
          <w:lang w:val="zh-CN"/>
        </w:rPr>
      </w:pPr>
      <w:r>
        <w:rPr>
          <w:rFonts w:hint="eastAsia" w:ascii="宋体" w:hAnsi="宋体"/>
          <w:b/>
          <w:kern w:val="0"/>
          <w:sz w:val="24"/>
          <w:lang w:val="zh-CN"/>
        </w:rPr>
        <w:t>3</w:t>
      </w:r>
      <w:r>
        <w:rPr>
          <w:rFonts w:ascii="宋体" w:hAnsi="宋体"/>
          <w:b/>
          <w:kern w:val="0"/>
          <w:sz w:val="24"/>
          <w:lang w:val="zh-CN"/>
        </w:rPr>
        <w:t>.6</w:t>
      </w:r>
      <w:r>
        <w:rPr>
          <w:rFonts w:hint="eastAsia" w:ascii="宋体" w:hAnsi="宋体"/>
          <w:b/>
          <w:kern w:val="0"/>
          <w:sz w:val="24"/>
          <w:lang w:val="zh-CN"/>
        </w:rPr>
        <w:t>参加政府采购活动前3年内在经营活动中没有重大违法记录的书面声明(参考格式)</w:t>
      </w:r>
    </w:p>
    <w:p w14:paraId="32D2290F">
      <w:pPr>
        <w:adjustRightInd w:val="0"/>
        <w:snapToGrid w:val="0"/>
        <w:spacing w:line="440" w:lineRule="exact"/>
        <w:ind w:left="420" w:leftChars="200" w:right="420" w:rightChars="200" w:firstLine="480" w:firstLineChars="200"/>
        <w:contextualSpacing/>
        <w:rPr>
          <w:rFonts w:ascii="宋体" w:hAnsi="宋体" w:cs="Arial"/>
          <w:b/>
          <w:sz w:val="24"/>
        </w:rPr>
      </w:pPr>
      <w:r>
        <w:rPr>
          <w:rFonts w:hint="eastAsia" w:ascii="宋体" w:hAnsi="宋体" w:cs="Arial"/>
          <w:sz w:val="24"/>
        </w:rPr>
        <w:t xml:space="preserve">                            </w:t>
      </w:r>
      <w:r>
        <w:rPr>
          <w:rFonts w:hint="eastAsia" w:ascii="宋体" w:hAnsi="宋体" w:cs="Arial"/>
          <w:b/>
          <w:sz w:val="24"/>
        </w:rPr>
        <w:t xml:space="preserve">  声  明</w:t>
      </w:r>
    </w:p>
    <w:p w14:paraId="14557877">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我公司郑重声明：参加本次政府采购活动前3年内，我公司在经营活动中没有因违法经营受到刑事处罚或者责令停产停业、吊销许可证或者执照、较大数额罚款等行政处罚。</w:t>
      </w:r>
    </w:p>
    <w:p w14:paraId="3415DAD0">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 xml:space="preserve">                                        供应商名称（公章）：</w:t>
      </w:r>
    </w:p>
    <w:p w14:paraId="17211989">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 xml:space="preserve">                                        授权代表签字：</w:t>
      </w:r>
      <w:r>
        <w:rPr>
          <w:rFonts w:hint="eastAsia" w:ascii="宋体" w:hAnsi="宋体" w:cs="Arial"/>
          <w:sz w:val="24"/>
          <w:u w:val="single"/>
        </w:rPr>
        <w:t>___________</w:t>
      </w:r>
    </w:p>
    <w:p w14:paraId="19DCD126">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 xml:space="preserve">                                        日期：</w:t>
      </w:r>
      <w:r>
        <w:rPr>
          <w:rFonts w:hint="eastAsia" w:ascii="宋体" w:hAnsi="宋体" w:cs="Arial"/>
          <w:sz w:val="24"/>
          <w:u w:val="single"/>
        </w:rPr>
        <w:t>______</w:t>
      </w:r>
      <w:r>
        <w:rPr>
          <w:rFonts w:hint="eastAsia" w:ascii="宋体" w:hAnsi="宋体" w:cs="Arial"/>
          <w:sz w:val="24"/>
        </w:rPr>
        <w:t>年</w:t>
      </w:r>
      <w:r>
        <w:rPr>
          <w:rFonts w:hint="eastAsia" w:ascii="宋体" w:hAnsi="宋体" w:cs="Arial"/>
          <w:sz w:val="24"/>
          <w:u w:val="single"/>
        </w:rPr>
        <w:t xml:space="preserve">    </w:t>
      </w:r>
      <w:r>
        <w:rPr>
          <w:rFonts w:hint="eastAsia" w:ascii="宋体" w:hAnsi="宋体" w:cs="Arial"/>
          <w:sz w:val="24"/>
        </w:rPr>
        <w:t>月</w:t>
      </w:r>
      <w:r>
        <w:rPr>
          <w:rFonts w:hint="eastAsia" w:ascii="宋体" w:hAnsi="宋体" w:cs="Arial"/>
          <w:sz w:val="24"/>
          <w:u w:val="single"/>
        </w:rPr>
        <w:t xml:space="preserve">    </w:t>
      </w:r>
      <w:r>
        <w:rPr>
          <w:rFonts w:hint="eastAsia" w:ascii="宋体" w:hAnsi="宋体" w:cs="Arial"/>
          <w:sz w:val="24"/>
        </w:rPr>
        <w:t>日</w:t>
      </w:r>
    </w:p>
    <w:p w14:paraId="010863C8">
      <w:pPr>
        <w:widowControl/>
        <w:jc w:val="left"/>
        <w:rPr>
          <w:rFonts w:ascii="宋体" w:hAnsi="宋体"/>
          <w:b/>
          <w:sz w:val="24"/>
        </w:rPr>
      </w:pPr>
      <w:r>
        <w:rPr>
          <w:rFonts w:ascii="宋体" w:hAnsi="宋体"/>
          <w:bCs/>
          <w:sz w:val="24"/>
        </w:rPr>
        <w:br w:type="page"/>
      </w:r>
    </w:p>
    <w:p w14:paraId="3296BC47">
      <w:pPr>
        <w:pStyle w:val="12"/>
        <w:widowControl/>
        <w:adjustRightInd w:val="0"/>
        <w:snapToGrid w:val="0"/>
        <w:spacing w:line="440" w:lineRule="exact"/>
        <w:ind w:left="420" w:leftChars="200" w:right="420" w:rightChars="200" w:firstLine="482" w:firstLineChars="200"/>
        <w:contextualSpacing/>
        <w:rPr>
          <w:rFonts w:ascii="宋体" w:hAnsi="宋体" w:eastAsia="宋体"/>
          <w:bCs w:val="0"/>
          <w:sz w:val="24"/>
        </w:rPr>
      </w:pPr>
      <w:r>
        <w:rPr>
          <w:rFonts w:hint="eastAsia" w:ascii="宋体" w:hAnsi="宋体" w:eastAsia="宋体"/>
          <w:bCs w:val="0"/>
          <w:sz w:val="24"/>
        </w:rPr>
        <w:t>3</w:t>
      </w:r>
      <w:r>
        <w:rPr>
          <w:rFonts w:ascii="宋体" w:hAnsi="宋体" w:eastAsia="宋体"/>
          <w:bCs w:val="0"/>
          <w:sz w:val="24"/>
        </w:rPr>
        <w:t>.7</w:t>
      </w:r>
      <w:r>
        <w:rPr>
          <w:rFonts w:hint="eastAsia" w:ascii="宋体" w:hAnsi="宋体" w:eastAsia="宋体"/>
          <w:bCs w:val="0"/>
          <w:sz w:val="24"/>
        </w:rPr>
        <w:t>承诺书格式</w:t>
      </w:r>
    </w:p>
    <w:p w14:paraId="5B7ECE56">
      <w:pPr>
        <w:pStyle w:val="12"/>
        <w:widowControl/>
        <w:spacing w:line="540" w:lineRule="exact"/>
        <w:ind w:left="0" w:leftChars="0"/>
        <w:jc w:val="center"/>
        <w:rPr>
          <w:rFonts w:ascii="宋体" w:hAnsi="宋体" w:eastAsia="宋体" w:cs="Arial"/>
          <w:szCs w:val="32"/>
        </w:rPr>
      </w:pPr>
      <w:r>
        <w:rPr>
          <w:rFonts w:hint="eastAsia" w:ascii="宋体" w:hAnsi="宋体" w:eastAsia="宋体" w:cs="Arial"/>
          <w:szCs w:val="32"/>
        </w:rPr>
        <w:t>承诺书</w:t>
      </w:r>
    </w:p>
    <w:p w14:paraId="23ECBE65">
      <w:pPr>
        <w:adjustRightInd w:val="0"/>
        <w:snapToGrid w:val="0"/>
        <w:spacing w:line="440" w:lineRule="exact"/>
        <w:ind w:left="424" w:leftChars="202" w:right="531" w:rightChars="253" w:firstLine="424" w:firstLineChars="177"/>
        <w:contextualSpacing/>
        <w:rPr>
          <w:sz w:val="24"/>
        </w:rPr>
      </w:pPr>
      <w:r>
        <w:rPr>
          <w:rFonts w:hint="eastAsia"/>
          <w:sz w:val="24"/>
        </w:rPr>
        <w:t>致：</w:t>
      </w:r>
      <w:r>
        <w:rPr>
          <w:rFonts w:hint="eastAsia"/>
          <w:b/>
          <w:sz w:val="24"/>
          <w:u w:val="single"/>
        </w:rPr>
        <w:t>扬州大学附属医院</w:t>
      </w:r>
      <w:r>
        <w:rPr>
          <w:rFonts w:hint="eastAsia"/>
          <w:sz w:val="24"/>
        </w:rPr>
        <w:t>：</w:t>
      </w:r>
    </w:p>
    <w:p w14:paraId="0AC9C056">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sz w:val="24"/>
        </w:rPr>
        <w:t>我公司自愿参加贵单位</w:t>
      </w:r>
      <w:r>
        <w:rPr>
          <w:rFonts w:hint="eastAsia" w:ascii="宋体" w:hAnsi="宋体"/>
          <w:b/>
          <w:sz w:val="24"/>
        </w:rPr>
        <w:t xml:space="preserve">                         </w:t>
      </w:r>
      <w:r>
        <w:rPr>
          <w:rFonts w:hint="eastAsia" w:ascii="宋体" w:hAnsi="宋体"/>
          <w:sz w:val="24"/>
        </w:rPr>
        <w:t>的谈判，并接受对我公司的资格审查，我公司承诺</w:t>
      </w:r>
      <w:r>
        <w:rPr>
          <w:rFonts w:hint="eastAsia" w:ascii="宋体" w:hAnsi="宋体" w:cs="Arial"/>
          <w:sz w:val="24"/>
        </w:rPr>
        <w:t>应按不低于招标文件中提出的所有要求的标准做出响应。其基本要求如下：</w:t>
      </w:r>
    </w:p>
    <w:p w14:paraId="43A0A1B6">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1.投标人所提供的货物开箱后，发现有任何问题（包括外观损伤），必须以使用方能接受的方式加以解决。</w:t>
      </w:r>
    </w:p>
    <w:p w14:paraId="243A72B2">
      <w:pPr>
        <w:adjustRightInd w:val="0"/>
        <w:snapToGrid w:val="0"/>
        <w:spacing w:line="440" w:lineRule="exact"/>
        <w:ind w:left="420" w:leftChars="200" w:right="420" w:rightChars="200" w:firstLine="480" w:firstLineChars="200"/>
        <w:contextualSpacing/>
        <w:rPr>
          <w:rFonts w:ascii="宋体" w:hAnsi="宋体" w:cs="Arial"/>
          <w:sz w:val="24"/>
        </w:rPr>
      </w:pPr>
      <w:r>
        <w:rPr>
          <w:rFonts w:ascii="宋体" w:hAnsi="宋体" w:cs="Arial"/>
          <w:sz w:val="24"/>
        </w:rPr>
        <w:t>2.</w:t>
      </w:r>
      <w:r>
        <w:rPr>
          <w:rFonts w:hint="eastAsia" w:ascii="宋体" w:hAnsi="宋体" w:cs="Arial"/>
          <w:sz w:val="24"/>
        </w:rPr>
        <w:t>明确售后服务能力（包括交货期、保修期时限、培训、售后服务、维护响应时间、是否提供备用机、软件升级等）。</w:t>
      </w:r>
    </w:p>
    <w:p w14:paraId="4087B1DF">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3.在设备的设计使用寿命期内，投标人应能保证使用方更换到原厂正宗的零部件，确保设备的正常使用。</w:t>
      </w:r>
    </w:p>
    <w:p w14:paraId="3420F825">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4.投标人应写明保修期后的维修收费标准，维修备件库地点（离扬州最近）、及厂家维修站地点（离扬州最近）。</w:t>
      </w:r>
    </w:p>
    <w:p w14:paraId="4279018E">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5.列出易损件及主要配件保障情况及价格，设备日常使用耗材的优惠价（率），按百分比计算。</w:t>
      </w:r>
    </w:p>
    <w:p w14:paraId="31F0C686">
      <w:pPr>
        <w:adjustRightInd w:val="0"/>
        <w:snapToGrid w:val="0"/>
        <w:spacing w:line="440" w:lineRule="exact"/>
        <w:ind w:left="424" w:leftChars="202" w:right="531" w:rightChars="253" w:firstLine="424" w:firstLineChars="177"/>
        <w:contextualSpacing/>
        <w:rPr>
          <w:sz w:val="24"/>
        </w:rPr>
      </w:pPr>
      <w:r>
        <w:rPr>
          <w:rFonts w:hint="eastAsia" w:ascii="宋体" w:hAnsi="宋体" w:cs="Arial"/>
          <w:sz w:val="24"/>
        </w:rPr>
        <w:t>6</w:t>
      </w:r>
      <w:r>
        <w:rPr>
          <w:rFonts w:ascii="宋体" w:hAnsi="宋体" w:cs="Arial"/>
          <w:sz w:val="24"/>
        </w:rPr>
        <w:t>.</w:t>
      </w:r>
      <w:r>
        <w:rPr>
          <w:rFonts w:hint="eastAsia" w:ascii="宋体" w:hAnsi="宋体"/>
          <w:sz w:val="24"/>
        </w:rPr>
        <w:t>本公司递交的资格审查申请书中的内容没有隐瞒、虚假、伪造等弄虚作假行为。</w:t>
      </w:r>
    </w:p>
    <w:p w14:paraId="7AD9173F">
      <w:pPr>
        <w:adjustRightInd w:val="0"/>
        <w:snapToGrid w:val="0"/>
        <w:spacing w:line="440" w:lineRule="exact"/>
        <w:ind w:left="420" w:leftChars="200" w:right="420" w:rightChars="200" w:firstLine="480" w:firstLineChars="200"/>
        <w:contextualSpacing/>
        <w:rPr>
          <w:rFonts w:ascii="宋体" w:hAnsi="宋体"/>
          <w:sz w:val="24"/>
        </w:rPr>
      </w:pPr>
      <w:r>
        <w:rPr>
          <w:rFonts w:hint="eastAsia" w:ascii="宋体" w:hAnsi="宋体" w:cs="Arial"/>
          <w:sz w:val="24"/>
        </w:rPr>
        <w:t>7.</w:t>
      </w:r>
      <w:r>
        <w:rPr>
          <w:rFonts w:hint="eastAsia" w:ascii="宋体" w:hAnsi="宋体"/>
          <w:sz w:val="24"/>
        </w:rPr>
        <w:t>根据贵单位提出的资格审查合格条件标准和要求，本公司没有因骗取中标或者严重违约以及发生重大工程质量、安全生产事故等问题，被有关部门暂停投标资格并在暂停期内。</w:t>
      </w:r>
    </w:p>
    <w:p w14:paraId="424F488B">
      <w:pPr>
        <w:adjustRightInd w:val="0"/>
        <w:snapToGrid w:val="0"/>
        <w:spacing w:line="440" w:lineRule="exact"/>
        <w:ind w:left="420" w:leftChars="200" w:right="420" w:rightChars="200" w:firstLine="480" w:firstLineChars="200"/>
        <w:contextualSpacing/>
        <w:rPr>
          <w:rFonts w:ascii="宋体" w:hAnsi="宋体" w:cs="Arial"/>
          <w:sz w:val="24"/>
        </w:rPr>
      </w:pPr>
      <w:r>
        <w:rPr>
          <w:rFonts w:hint="eastAsia" w:ascii="宋体" w:hAnsi="宋体" w:cs="Arial"/>
          <w:sz w:val="24"/>
        </w:rPr>
        <w:t>8.其他服务。</w:t>
      </w:r>
    </w:p>
    <w:p w14:paraId="2A7D48E6">
      <w:pPr>
        <w:widowControl/>
        <w:jc w:val="left"/>
        <w:rPr>
          <w:rFonts w:ascii="宋体" w:hAnsi="宋体" w:cs="Arial"/>
          <w:sz w:val="24"/>
        </w:rPr>
      </w:pPr>
      <w:r>
        <w:rPr>
          <w:rFonts w:ascii="宋体" w:hAnsi="宋体" w:cs="Arial"/>
          <w:sz w:val="24"/>
        </w:rPr>
        <w:br w:type="page"/>
      </w:r>
    </w:p>
    <w:p w14:paraId="7F6F2B5A">
      <w:pPr>
        <w:adjustRightInd w:val="0"/>
        <w:snapToGrid w:val="0"/>
        <w:spacing w:line="440" w:lineRule="exact"/>
        <w:ind w:left="210" w:leftChars="100" w:right="210" w:rightChars="100" w:firstLine="482" w:firstLineChars="200"/>
        <w:contextualSpacing/>
        <w:rPr>
          <w:rFonts w:asciiTheme="minorEastAsia" w:hAnsiTheme="minorEastAsia" w:eastAsiaTheme="minorEastAsia"/>
          <w:b/>
          <w:bCs/>
          <w:sz w:val="24"/>
        </w:rPr>
      </w:pPr>
      <w:r>
        <w:rPr>
          <w:rFonts w:hint="eastAsia" w:ascii="宋体" w:hAnsi="宋体" w:cs="Arial"/>
          <w:b/>
          <w:sz w:val="24"/>
        </w:rPr>
        <w:t>3</w:t>
      </w:r>
      <w:r>
        <w:rPr>
          <w:rFonts w:ascii="宋体" w:hAnsi="宋体" w:cs="Arial"/>
          <w:b/>
          <w:sz w:val="24"/>
        </w:rPr>
        <w:t>.8</w:t>
      </w:r>
      <w:r>
        <w:rPr>
          <w:rFonts w:hint="eastAsia" w:asciiTheme="minorEastAsia" w:hAnsiTheme="minorEastAsia" w:eastAsiaTheme="minorEastAsia"/>
          <w:b/>
          <w:bCs/>
          <w:sz w:val="24"/>
        </w:rPr>
        <w:t>供应商廉洁自律承诺书格式</w:t>
      </w:r>
    </w:p>
    <w:p w14:paraId="343A0E5C">
      <w:pPr>
        <w:adjustRightInd w:val="0"/>
        <w:snapToGrid w:val="0"/>
        <w:spacing w:line="440" w:lineRule="exact"/>
        <w:ind w:left="210" w:leftChars="100" w:right="210" w:rightChars="100" w:firstLine="200"/>
        <w:contextualSpacing/>
        <w:jc w:val="center"/>
        <w:rPr>
          <w:rFonts w:asciiTheme="minorEastAsia" w:hAnsiTheme="minorEastAsia" w:eastAsiaTheme="minorEastAsia"/>
          <w:b/>
          <w:bCs/>
          <w:sz w:val="32"/>
          <w:szCs w:val="32"/>
        </w:rPr>
      </w:pPr>
    </w:p>
    <w:p w14:paraId="0E2F7C47">
      <w:pPr>
        <w:adjustRightInd w:val="0"/>
        <w:snapToGrid w:val="0"/>
        <w:spacing w:line="440" w:lineRule="exact"/>
        <w:ind w:left="210" w:leftChars="100" w:right="210" w:rightChars="100" w:firstLine="200"/>
        <w:contextualSpacing/>
        <w:jc w:val="center"/>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供应商廉洁自律承诺书</w:t>
      </w:r>
    </w:p>
    <w:p w14:paraId="3156E4CE">
      <w:pPr>
        <w:adjustRightInd w:val="0"/>
        <w:snapToGrid w:val="0"/>
        <w:spacing w:line="440" w:lineRule="exact"/>
        <w:ind w:left="210" w:leftChars="100" w:right="210" w:rightChars="100" w:firstLine="200"/>
        <w:contextualSpacing/>
        <w:rPr>
          <w:rFonts w:ascii="楷体_GB2312" w:eastAsia="楷体_GB2312"/>
        </w:rPr>
      </w:pPr>
    </w:p>
    <w:p w14:paraId="77124FAA">
      <w:pPr>
        <w:pStyle w:val="2"/>
        <w:adjustRightInd w:val="0"/>
        <w:snapToGrid w:val="0"/>
        <w:spacing w:after="0" w:line="440" w:lineRule="exact"/>
        <w:ind w:left="210" w:leftChars="100" w:right="210" w:rightChars="100" w:firstLine="480" w:firstLineChars="200"/>
        <w:contextualSpacing/>
        <w:rPr>
          <w:rFonts w:asciiTheme="minorEastAsia" w:hAnsiTheme="minorEastAsia" w:eastAsiaTheme="minorEastAsia"/>
          <w:bCs/>
          <w:sz w:val="24"/>
        </w:rPr>
      </w:pPr>
      <w:r>
        <w:rPr>
          <w:rFonts w:hint="eastAsia" w:asciiTheme="minorEastAsia" w:hAnsiTheme="minorEastAsia" w:eastAsiaTheme="minorEastAsia"/>
          <w:bCs/>
          <w:sz w:val="24"/>
        </w:rPr>
        <w:t>扬州大学附属医院                          造项目院内公开谈判是实行公开、公平、公正的阳光工程，给予了每个供应商平等竞争的机会。作为参与此次谈判活动的承包商,我公司现郑重作出以下承诺：</w:t>
      </w:r>
    </w:p>
    <w:p w14:paraId="1902511B">
      <w:pPr>
        <w:adjustRightInd w:val="0"/>
        <w:snapToGrid w:val="0"/>
        <w:spacing w:line="440" w:lineRule="exact"/>
        <w:ind w:left="210" w:leftChars="100" w:right="210" w:rightChars="100" w:firstLine="480" w:firstLineChars="200"/>
        <w:contextualSpacing/>
        <w:rPr>
          <w:rFonts w:asciiTheme="minorEastAsia" w:hAnsiTheme="minorEastAsia" w:eastAsiaTheme="minorEastAsia"/>
          <w:sz w:val="24"/>
        </w:rPr>
      </w:pPr>
      <w:r>
        <w:rPr>
          <w:rFonts w:hint="eastAsia" w:asciiTheme="minorEastAsia" w:hAnsiTheme="minorEastAsia" w:eastAsiaTheme="minorEastAsia"/>
          <w:sz w:val="24"/>
        </w:rPr>
        <w:t>一、遵守《中华人民共和国政府采购法》及省、市有关政府采购的各项法律、法规和制度以及《扬州大学采购管理暂行办法》的规定。</w:t>
      </w:r>
    </w:p>
    <w:p w14:paraId="717785EC">
      <w:pPr>
        <w:adjustRightInd w:val="0"/>
        <w:snapToGrid w:val="0"/>
        <w:spacing w:line="440" w:lineRule="exact"/>
        <w:ind w:left="210" w:leftChars="100" w:right="210" w:rightChars="100" w:firstLine="480" w:firstLineChars="200"/>
        <w:contextualSpacing/>
        <w:rPr>
          <w:rFonts w:asciiTheme="minorEastAsia" w:hAnsiTheme="minorEastAsia" w:eastAsiaTheme="minorEastAsia"/>
          <w:sz w:val="24"/>
        </w:rPr>
      </w:pPr>
      <w:r>
        <w:rPr>
          <w:rFonts w:hint="eastAsia" w:asciiTheme="minorEastAsia" w:hAnsiTheme="minorEastAsia" w:eastAsiaTheme="minorEastAsia"/>
          <w:sz w:val="24"/>
        </w:rPr>
        <w:t>二、客观真实反映自身情况，按规定接受采购供应商资格审查,不提供虚假材料，不夸大自身技术和提供服务的能力。</w:t>
      </w:r>
    </w:p>
    <w:p w14:paraId="7F5974F6">
      <w:pPr>
        <w:adjustRightInd w:val="0"/>
        <w:snapToGrid w:val="0"/>
        <w:spacing w:line="440" w:lineRule="exact"/>
        <w:ind w:left="210" w:leftChars="100" w:right="210" w:rightChars="100" w:firstLine="480" w:firstLineChars="200"/>
        <w:contextualSpacing/>
        <w:rPr>
          <w:rFonts w:asciiTheme="minorEastAsia" w:hAnsiTheme="minorEastAsia" w:eastAsiaTheme="minorEastAsia"/>
          <w:sz w:val="24"/>
        </w:rPr>
      </w:pPr>
      <w:r>
        <w:rPr>
          <w:rFonts w:hint="eastAsia" w:asciiTheme="minorEastAsia" w:hAnsiTheme="minorEastAsia" w:eastAsiaTheme="minorEastAsia"/>
          <w:sz w:val="24"/>
        </w:rPr>
        <w:t>三、以合法正当的手段参与采购的公平竞争。不与采购人、其他供应商或者采购代理机构恶意串通，不以不正当手段诋毁、排挤其他供应商，不向采购人、评审机构行贿或者提供其他不正当利益。</w:t>
      </w:r>
    </w:p>
    <w:p w14:paraId="0E5EFBA2">
      <w:pPr>
        <w:adjustRightInd w:val="0"/>
        <w:snapToGrid w:val="0"/>
        <w:spacing w:line="440" w:lineRule="exact"/>
        <w:ind w:left="210" w:leftChars="100" w:right="210" w:rightChars="100" w:firstLine="480" w:firstLineChars="200"/>
        <w:contextualSpacing/>
        <w:rPr>
          <w:rFonts w:asciiTheme="minorEastAsia" w:hAnsiTheme="minorEastAsia" w:eastAsiaTheme="minorEastAsia"/>
          <w:sz w:val="24"/>
        </w:rPr>
      </w:pPr>
      <w:r>
        <w:rPr>
          <w:rFonts w:hint="eastAsia" w:asciiTheme="minorEastAsia" w:hAnsiTheme="minorEastAsia" w:eastAsiaTheme="minorEastAsia"/>
          <w:sz w:val="24"/>
        </w:rPr>
        <w:t>四、在采购活动中，认真履行规定义务,包括:遵守采购程序，按要求编写投标、响应文件，并保证投标、响应文件内容的真实可靠；按时递交投标、响应文件；在评标、谈判现场遵守相关纪律，不影响正常的采购秩序。</w:t>
      </w:r>
    </w:p>
    <w:p w14:paraId="3A5BE89A">
      <w:pPr>
        <w:adjustRightInd w:val="0"/>
        <w:snapToGrid w:val="0"/>
        <w:spacing w:line="440" w:lineRule="exact"/>
        <w:ind w:left="210" w:leftChars="100" w:right="210" w:rightChars="100" w:firstLine="480" w:firstLineChars="200"/>
        <w:contextualSpacing/>
        <w:rPr>
          <w:rFonts w:asciiTheme="minorEastAsia" w:hAnsiTheme="minorEastAsia" w:eastAsiaTheme="minorEastAsia"/>
          <w:sz w:val="24"/>
        </w:rPr>
      </w:pPr>
      <w:r>
        <w:rPr>
          <w:rFonts w:hint="eastAsia" w:asciiTheme="minorEastAsia" w:hAnsiTheme="minorEastAsia" w:eastAsiaTheme="minorEastAsia"/>
          <w:sz w:val="24"/>
        </w:rPr>
        <w:t>五、自觉接受采购监督管理部门及其他相关部门的监督检查。</w:t>
      </w:r>
    </w:p>
    <w:p w14:paraId="05FEBFF7">
      <w:pPr>
        <w:pStyle w:val="2"/>
        <w:adjustRightInd w:val="0"/>
        <w:snapToGrid w:val="0"/>
        <w:spacing w:after="0" w:line="440" w:lineRule="exact"/>
        <w:ind w:left="210" w:leftChars="100" w:right="210" w:rightChars="100" w:firstLine="482" w:firstLineChars="200"/>
        <w:contextualSpacing/>
        <w:rPr>
          <w:rFonts w:asciiTheme="minorEastAsia" w:hAnsiTheme="minorEastAsia" w:eastAsiaTheme="minorEastAsia"/>
          <w:b/>
          <w:bCs/>
          <w:sz w:val="24"/>
        </w:rPr>
      </w:pPr>
      <w:r>
        <w:rPr>
          <w:rFonts w:hint="eastAsia" w:asciiTheme="minorEastAsia" w:hAnsiTheme="minorEastAsia" w:eastAsiaTheme="minorEastAsia"/>
          <w:b/>
          <w:bCs/>
          <w:sz w:val="24"/>
        </w:rPr>
        <w:t>如违反以上承诺，我公司愿承担一切法律责任，并接受采购监督管理部门及其他相关部门依法作出的处罚。</w:t>
      </w:r>
    </w:p>
    <w:p w14:paraId="0AF4F8BB">
      <w:pPr>
        <w:pStyle w:val="2"/>
        <w:adjustRightInd w:val="0"/>
        <w:snapToGrid w:val="0"/>
        <w:spacing w:after="0" w:line="440" w:lineRule="exact"/>
        <w:ind w:right="420" w:rightChars="200" w:firstLine="480" w:firstLineChars="200"/>
        <w:contextualSpacing/>
        <w:rPr>
          <w:rFonts w:asciiTheme="minorEastAsia" w:hAnsiTheme="minorEastAsia" w:eastAsiaTheme="minorEastAsia"/>
          <w:sz w:val="24"/>
        </w:rPr>
      </w:pPr>
    </w:p>
    <w:p w14:paraId="0DE254F3">
      <w:pPr>
        <w:adjustRightInd w:val="0"/>
        <w:snapToGrid w:val="0"/>
        <w:spacing w:line="440" w:lineRule="exact"/>
        <w:ind w:left="420" w:leftChars="200" w:right="420" w:rightChars="200" w:firstLine="480" w:firstLineChars="200"/>
        <w:contextualSpacing/>
        <w:rPr>
          <w:rFonts w:asciiTheme="minorEastAsia" w:hAnsiTheme="minorEastAsia" w:eastAsiaTheme="minorEastAsia"/>
          <w:sz w:val="24"/>
        </w:rPr>
      </w:pPr>
    </w:p>
    <w:p w14:paraId="376D08B0">
      <w:pPr>
        <w:adjustRightInd w:val="0"/>
        <w:snapToGrid w:val="0"/>
        <w:spacing w:line="440" w:lineRule="exact"/>
        <w:ind w:left="420" w:leftChars="200" w:right="420" w:rightChars="200" w:firstLine="480" w:firstLineChars="200"/>
        <w:contextualSpacing/>
        <w:rPr>
          <w:rFonts w:asciiTheme="minorEastAsia" w:hAnsiTheme="minorEastAsia" w:eastAsiaTheme="minorEastAsia"/>
          <w:sz w:val="24"/>
        </w:rPr>
      </w:pPr>
      <w:r>
        <w:rPr>
          <w:rFonts w:hint="eastAsia" w:asciiTheme="minorEastAsia" w:hAnsiTheme="minorEastAsia" w:eastAsiaTheme="minorEastAsia"/>
          <w:sz w:val="24"/>
        </w:rPr>
        <w:t>承诺单位（盖章）</w:t>
      </w:r>
    </w:p>
    <w:p w14:paraId="7D4FE7C9">
      <w:pPr>
        <w:adjustRightInd w:val="0"/>
        <w:snapToGrid w:val="0"/>
        <w:spacing w:line="440" w:lineRule="exact"/>
        <w:ind w:left="420" w:leftChars="200" w:right="420" w:rightChars="200" w:firstLine="480" w:firstLineChars="200"/>
        <w:contextualSpacing/>
        <w:rPr>
          <w:rFonts w:asciiTheme="minorEastAsia" w:hAnsiTheme="minorEastAsia" w:eastAsiaTheme="minorEastAsia"/>
          <w:sz w:val="24"/>
        </w:rPr>
      </w:pPr>
      <w:r>
        <w:rPr>
          <w:rFonts w:hint="eastAsia" w:asciiTheme="minorEastAsia" w:hAnsiTheme="minorEastAsia" w:eastAsiaTheme="minorEastAsia"/>
          <w:sz w:val="24"/>
        </w:rPr>
        <w:t>法定代表人（授权代表签字）：</w:t>
      </w:r>
    </w:p>
    <w:p w14:paraId="690C8D82">
      <w:pPr>
        <w:pStyle w:val="9"/>
        <w:adjustRightInd w:val="0"/>
        <w:snapToGrid w:val="0"/>
        <w:spacing w:line="440" w:lineRule="exact"/>
        <w:ind w:right="420" w:rightChars="200" w:firstLine="480" w:firstLineChars="200"/>
        <w:contextualSpacing/>
        <w:rPr>
          <w:rFonts w:hint="eastAsia" w:asciiTheme="minorEastAsia" w:hAnsiTheme="minorEastAsia" w:eastAsiaTheme="minorEastAsia"/>
          <w:sz w:val="24"/>
        </w:rPr>
      </w:pPr>
      <w:r>
        <w:rPr>
          <w:rFonts w:hint="eastAsia" w:asciiTheme="minorEastAsia" w:hAnsiTheme="minorEastAsia" w:eastAsiaTheme="minorEastAsia"/>
          <w:sz w:val="24"/>
        </w:rPr>
        <w:t>2024年    月    日</w:t>
      </w:r>
    </w:p>
    <w:p w14:paraId="323A4226">
      <w:pPr>
        <w:rPr>
          <w:rFonts w:hint="eastAsia" w:asciiTheme="minorEastAsia" w:hAnsiTheme="minorEastAsia" w:eastAsiaTheme="minorEastAsia"/>
          <w:sz w:val="24"/>
        </w:rPr>
      </w:pPr>
      <w:r>
        <w:rPr>
          <w:rFonts w:hint="eastAsia" w:asciiTheme="minorEastAsia" w:hAnsiTheme="minorEastAsia" w:eastAsiaTheme="minorEastAsia"/>
          <w:sz w:val="24"/>
        </w:rPr>
        <w:br w:type="page"/>
      </w:r>
    </w:p>
    <w:p w14:paraId="50A1F393">
      <w:pPr>
        <w:adjustRightInd w:val="0"/>
        <w:snapToGrid w:val="0"/>
        <w:spacing w:line="440" w:lineRule="exact"/>
        <w:ind w:firstLine="200"/>
        <w:contextualSpacing/>
        <w:jc w:val="center"/>
        <w:rPr>
          <w:rFonts w:ascii="宋体" w:hAnsi="宋体"/>
          <w:b/>
          <w:bCs/>
          <w:sz w:val="32"/>
          <w:szCs w:val="32"/>
        </w:rPr>
      </w:pPr>
      <w:r>
        <w:rPr>
          <w:rFonts w:hint="eastAsia" w:ascii="宋体" w:hAnsi="宋体"/>
          <w:b/>
          <w:bCs/>
          <w:sz w:val="32"/>
          <w:szCs w:val="32"/>
        </w:rPr>
        <w:t>合同</w:t>
      </w:r>
    </w:p>
    <w:p w14:paraId="2C3AE32A">
      <w:pPr>
        <w:adjustRightInd w:val="0"/>
        <w:snapToGrid w:val="0"/>
        <w:spacing w:line="420" w:lineRule="exact"/>
        <w:ind w:firstLine="200"/>
        <w:contextualSpacing/>
        <w:rPr>
          <w:rFonts w:ascii="宋体" w:hAnsi="宋体" w:cs="宋体"/>
          <w:sz w:val="24"/>
        </w:rPr>
      </w:pPr>
      <w:r>
        <w:rPr>
          <w:rFonts w:hint="eastAsia" w:ascii="宋体" w:hAnsi="宋体" w:cs="宋体"/>
          <w:sz w:val="24"/>
        </w:rPr>
        <w:t xml:space="preserve">审计编号： </w:t>
      </w:r>
    </w:p>
    <w:p w14:paraId="6FEF0B98">
      <w:pPr>
        <w:adjustRightInd w:val="0"/>
        <w:snapToGrid w:val="0"/>
        <w:spacing w:line="420" w:lineRule="exact"/>
        <w:ind w:firstLine="200"/>
        <w:contextualSpacing/>
        <w:rPr>
          <w:rFonts w:ascii="宋体" w:hAnsi="宋体" w:cs="宋体"/>
          <w:b/>
          <w:sz w:val="24"/>
        </w:rPr>
      </w:pPr>
      <w:r>
        <w:rPr>
          <w:rFonts w:hint="eastAsia" w:ascii="宋体" w:hAnsi="宋体" w:cs="宋体"/>
          <w:sz w:val="24"/>
        </w:rPr>
        <w:t>甲方：</w:t>
      </w:r>
      <w:r>
        <w:rPr>
          <w:rFonts w:hint="eastAsia" w:ascii="宋体" w:hAnsi="宋体" w:cs="宋体"/>
          <w:b/>
          <w:sz w:val="24"/>
        </w:rPr>
        <w:t>扬州大学附属医院</w:t>
      </w:r>
    </w:p>
    <w:p w14:paraId="67F14FAB">
      <w:pPr>
        <w:adjustRightInd w:val="0"/>
        <w:snapToGrid w:val="0"/>
        <w:spacing w:line="420" w:lineRule="exact"/>
        <w:ind w:firstLine="200"/>
        <w:contextualSpacing/>
        <w:rPr>
          <w:rFonts w:ascii="宋体" w:hAnsi="宋体" w:cs="宋体"/>
          <w:b/>
          <w:sz w:val="24"/>
        </w:rPr>
      </w:pPr>
      <w:r>
        <w:rPr>
          <w:rFonts w:hint="eastAsia" w:ascii="宋体" w:hAnsi="宋体" w:cs="宋体"/>
          <w:sz w:val="24"/>
        </w:rPr>
        <w:t>乙方：</w:t>
      </w:r>
    </w:p>
    <w:p w14:paraId="5375C4EB">
      <w:pPr>
        <w:adjustRightInd w:val="0"/>
        <w:snapToGrid w:val="0"/>
        <w:spacing w:line="420" w:lineRule="exact"/>
        <w:ind w:firstLine="200"/>
        <w:contextualSpacing/>
        <w:rPr>
          <w:rFonts w:ascii="宋体" w:hAnsi="宋体" w:cs="宋体"/>
          <w:kern w:val="0"/>
          <w:sz w:val="24"/>
        </w:rPr>
      </w:pPr>
      <w:r>
        <w:rPr>
          <w:rFonts w:hint="eastAsia" w:ascii="宋体" w:hAnsi="宋体" w:cs="宋体"/>
          <w:kern w:val="0"/>
          <w:sz w:val="24"/>
        </w:rPr>
        <w:t>甲乙双方根据《中华人民共和国民法典》及国家相关法律法规、</w:t>
      </w:r>
      <w:r>
        <w:rPr>
          <w:rFonts w:hint="eastAsia" w:ascii="宋体" w:hAnsi="宋体" w:cs="宋体"/>
          <w:sz w:val="24"/>
        </w:rPr>
        <w:t>询价采购结果，遵循平等、自愿、公平、诚实信用原则，</w:t>
      </w:r>
      <w:r>
        <w:rPr>
          <w:rFonts w:hint="eastAsia" w:ascii="宋体" w:hAnsi="宋体" w:cs="宋体"/>
          <w:kern w:val="0"/>
          <w:sz w:val="24"/>
        </w:rPr>
        <w:t>经甲乙双方</w:t>
      </w:r>
      <w:r>
        <w:rPr>
          <w:rFonts w:hint="eastAsia" w:ascii="宋体" w:hAnsi="宋体" w:cs="宋体"/>
          <w:sz w:val="24"/>
        </w:rPr>
        <w:t>友好</w:t>
      </w:r>
      <w:r>
        <w:rPr>
          <w:rFonts w:hint="eastAsia" w:ascii="宋体" w:hAnsi="宋体" w:cs="宋体"/>
          <w:kern w:val="0"/>
          <w:sz w:val="24"/>
        </w:rPr>
        <w:t>协商</w:t>
      </w:r>
      <w:r>
        <w:rPr>
          <w:rFonts w:hint="eastAsia" w:ascii="宋体" w:hAnsi="宋体" w:cs="宋体"/>
          <w:sz w:val="24"/>
        </w:rPr>
        <w:t>签署本合同</w:t>
      </w:r>
      <w:r>
        <w:rPr>
          <w:rFonts w:hint="eastAsia" w:ascii="宋体" w:hAnsi="宋体" w:cs="宋体"/>
          <w:kern w:val="0"/>
          <w:sz w:val="24"/>
        </w:rPr>
        <w:t>：</w:t>
      </w:r>
    </w:p>
    <w:p w14:paraId="0EC9320F">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第一条合同项目</w:t>
      </w:r>
    </w:p>
    <w:p w14:paraId="63F010FF">
      <w:pPr>
        <w:adjustRightInd w:val="0"/>
        <w:snapToGrid w:val="0"/>
        <w:spacing w:line="420" w:lineRule="exact"/>
        <w:ind w:firstLine="480" w:firstLineChars="200"/>
        <w:contextualSpacing/>
        <w:jc w:val="left"/>
        <w:rPr>
          <w:rFonts w:ascii="宋体" w:hAnsi="宋体" w:cs="宋体"/>
          <w:sz w:val="24"/>
          <w:u w:val="single"/>
        </w:rPr>
      </w:pPr>
      <w:r>
        <w:rPr>
          <w:rFonts w:hint="eastAsia" w:ascii="宋体" w:hAnsi="宋体"/>
          <w:sz w:val="24"/>
        </w:rPr>
        <w:t>1、项目名称：</w:t>
      </w:r>
    </w:p>
    <w:p w14:paraId="1A0B2374">
      <w:pPr>
        <w:adjustRightInd w:val="0"/>
        <w:snapToGrid w:val="0"/>
        <w:spacing w:line="420" w:lineRule="exact"/>
        <w:ind w:firstLine="480" w:firstLineChars="200"/>
        <w:contextualSpacing/>
        <w:jc w:val="left"/>
        <w:rPr>
          <w:rFonts w:ascii="宋体" w:hAnsi="宋体"/>
          <w:sz w:val="24"/>
        </w:rPr>
      </w:pPr>
      <w:r>
        <w:rPr>
          <w:rFonts w:hint="eastAsia" w:ascii="宋体" w:hAnsi="宋体"/>
          <w:sz w:val="24"/>
        </w:rPr>
        <w:t>2、本项目产品名称、型号、规格、数量及技术要求等，详见乙方投标报价清单（附后）。</w:t>
      </w:r>
    </w:p>
    <w:p w14:paraId="57153BD8">
      <w:pPr>
        <w:adjustRightInd w:val="0"/>
        <w:snapToGrid w:val="0"/>
        <w:spacing w:line="420" w:lineRule="exact"/>
        <w:ind w:firstLine="480" w:firstLineChars="200"/>
        <w:contextualSpacing/>
        <w:jc w:val="left"/>
        <w:rPr>
          <w:rFonts w:ascii="宋体" w:hAnsi="宋体"/>
          <w:sz w:val="24"/>
        </w:rPr>
      </w:pPr>
      <w:r>
        <w:rPr>
          <w:rFonts w:hint="eastAsia" w:ascii="宋体" w:hAnsi="宋体"/>
          <w:sz w:val="24"/>
        </w:rPr>
        <w:t>第二条合同金额</w:t>
      </w:r>
    </w:p>
    <w:p w14:paraId="44C1B6EA">
      <w:pPr>
        <w:adjustRightInd w:val="0"/>
        <w:spacing w:line="420" w:lineRule="exact"/>
        <w:ind w:firstLine="424" w:firstLineChars="177"/>
        <w:contextualSpacing/>
        <w:rPr>
          <w:rFonts w:ascii="宋体" w:hAnsi="宋体"/>
          <w:sz w:val="24"/>
        </w:rPr>
      </w:pPr>
      <w:r>
        <w:rPr>
          <w:rFonts w:hint="eastAsia" w:ascii="宋体" w:hAnsi="宋体"/>
          <w:sz w:val="24"/>
        </w:rPr>
        <w:t>1、本合同总价：人民币(大写)：</w:t>
      </w:r>
    </w:p>
    <w:p w14:paraId="7D532205">
      <w:pPr>
        <w:adjustRightInd w:val="0"/>
        <w:spacing w:line="420" w:lineRule="exact"/>
        <w:ind w:firstLine="3400" w:firstLineChars="1417"/>
        <w:contextualSpacing/>
        <w:rPr>
          <w:rFonts w:ascii="宋体" w:hAnsi="宋体"/>
          <w:sz w:val="24"/>
          <w:u w:val="single"/>
        </w:rPr>
      </w:pPr>
      <w:r>
        <w:rPr>
          <w:rFonts w:hint="eastAsia" w:ascii="宋体" w:hAnsi="宋体"/>
          <w:sz w:val="24"/>
        </w:rPr>
        <w:t>￥：</w:t>
      </w:r>
    </w:p>
    <w:p w14:paraId="17C372AE">
      <w:pPr>
        <w:adjustRightInd w:val="0"/>
        <w:snapToGrid w:val="0"/>
        <w:spacing w:line="420" w:lineRule="exact"/>
        <w:ind w:firstLine="420"/>
        <w:contextualSpacing/>
        <w:rPr>
          <w:rFonts w:ascii="宋体" w:hAnsi="宋体" w:cs="宋体"/>
          <w:sz w:val="24"/>
        </w:rPr>
      </w:pPr>
      <w:r>
        <w:rPr>
          <w:rFonts w:hint="eastAsia" w:ascii="宋体" w:hAnsi="宋体" w:cs="宋体"/>
          <w:sz w:val="24"/>
        </w:rPr>
        <w:t>2、以上合同总价为乙方将所供商品交付甲方使用前所产生的一切费用，包括但不限于运输费、装卸费、安装费、辅材、保险费、材料费、包装费、杂费、加工费、增值税及其它税费、各种规费等直至完全交付甲方使用的所有费用、保修期内费用和利润。</w:t>
      </w:r>
    </w:p>
    <w:p w14:paraId="5E570EDD">
      <w:pPr>
        <w:pStyle w:val="10"/>
        <w:numPr>
          <w:ilvl w:val="0"/>
          <w:numId w:val="0"/>
        </w:numPr>
        <w:spacing w:line="420" w:lineRule="exact"/>
        <w:ind w:firstLine="480" w:firstLineChars="200"/>
        <w:rPr>
          <w:rFonts w:ascii="宋体" w:hAnsi="宋体" w:cs="宋体"/>
          <w:sz w:val="24"/>
        </w:rPr>
      </w:pPr>
      <w:r>
        <w:rPr>
          <w:rFonts w:hint="eastAsia" w:ascii="宋体" w:hAnsi="宋体" w:cs="宋体"/>
          <w:sz w:val="24"/>
        </w:rPr>
        <w:t>3、乙方负责回收包装物，并及时清理现场残物、垃圾，符合环保部门相关规定。如乙方未能及时清理，甲方有权委派他人现场清除、处理，由此发生的费用从货款中扣除。</w:t>
      </w:r>
    </w:p>
    <w:p w14:paraId="5CFA1ECA">
      <w:pPr>
        <w:adjustRightInd w:val="0"/>
        <w:snapToGrid w:val="0"/>
        <w:spacing w:line="420" w:lineRule="exact"/>
        <w:ind w:firstLine="480" w:firstLineChars="200"/>
        <w:contextualSpacing/>
        <w:rPr>
          <w:rFonts w:ascii="宋体" w:hAnsi="宋体" w:cs="宋体"/>
          <w:bCs/>
          <w:sz w:val="24"/>
        </w:rPr>
      </w:pPr>
      <w:r>
        <w:rPr>
          <w:rFonts w:hint="eastAsia" w:ascii="宋体" w:hAnsi="宋体" w:cs="宋体"/>
          <w:bCs/>
          <w:sz w:val="24"/>
        </w:rPr>
        <w:t>第三条货款支付</w:t>
      </w:r>
    </w:p>
    <w:p w14:paraId="46EDA3DB">
      <w:pPr>
        <w:autoSpaceDE w:val="0"/>
        <w:autoSpaceDN w:val="0"/>
        <w:adjustRightInd w:val="0"/>
        <w:snapToGrid w:val="0"/>
        <w:spacing w:line="420" w:lineRule="exact"/>
        <w:ind w:firstLine="480" w:firstLineChars="200"/>
        <w:contextualSpacing/>
        <w:rPr>
          <w:rFonts w:ascii="宋体" w:hAnsi="宋体" w:cs="宋体"/>
          <w:sz w:val="22"/>
        </w:rPr>
      </w:pPr>
      <w:r>
        <w:rPr>
          <w:rFonts w:hint="eastAsia" w:ascii="宋体" w:hAnsi="宋体" w:cs="宋体"/>
          <w:sz w:val="24"/>
        </w:rPr>
        <w:t>1、本合同款项由甲方支付，</w:t>
      </w:r>
      <w:r>
        <w:rPr>
          <w:rFonts w:hint="eastAsia" w:ascii="宋体" w:hAnsi="宋体"/>
          <w:sz w:val="24"/>
        </w:rPr>
        <w:t>付款前乙方向甲方开具发票。</w:t>
      </w:r>
      <w:r>
        <w:rPr>
          <w:rFonts w:hint="eastAsia" w:ascii="宋体" w:hAnsi="宋体" w:cs="宋体"/>
          <w:sz w:val="24"/>
          <w:szCs w:val="28"/>
        </w:rPr>
        <w:t>因乙方开票不及时或开票不符合规定，甲方有权拒付，由此造成的责任和损失由乙方承担。</w:t>
      </w:r>
    </w:p>
    <w:p w14:paraId="4936433C">
      <w:pPr>
        <w:adjustRightInd w:val="0"/>
        <w:snapToGrid w:val="0"/>
        <w:spacing w:line="420" w:lineRule="exact"/>
        <w:ind w:firstLine="480" w:firstLineChars="200"/>
        <w:contextualSpacing/>
        <w:rPr>
          <w:rFonts w:ascii="宋体" w:hAnsi="宋体" w:cs="宋体"/>
          <w:bCs/>
          <w:sz w:val="24"/>
        </w:rPr>
      </w:pPr>
      <w:r>
        <w:rPr>
          <w:rFonts w:hint="eastAsia" w:ascii="宋体" w:hAnsi="宋体" w:cs="宋体"/>
          <w:bCs/>
          <w:sz w:val="24"/>
        </w:rPr>
        <w:t>2、付款方式：</w:t>
      </w:r>
      <w:r>
        <w:rPr>
          <w:rFonts w:hint="eastAsia" w:ascii="宋体" w:hAnsi="宋体" w:cs="宋体"/>
          <w:sz w:val="24"/>
        </w:rPr>
        <w:t>设备安装验收合格一个月内，乙方凭甲方的验收单及开具的正规增值税发票等材料向甲方办理付款手续，甲方凭手续齐全的票据向乙方支付全额货款（以上均不计息）</w:t>
      </w:r>
      <w:r>
        <w:rPr>
          <w:rFonts w:hint="eastAsia" w:ascii="宋体" w:hAnsi="宋体" w:cs="宋体"/>
          <w:kern w:val="0"/>
          <w:sz w:val="24"/>
        </w:rPr>
        <w:t>。</w:t>
      </w:r>
    </w:p>
    <w:p w14:paraId="48979729">
      <w:pPr>
        <w:adjustRightInd w:val="0"/>
        <w:snapToGrid w:val="0"/>
        <w:spacing w:line="420" w:lineRule="exact"/>
        <w:ind w:firstLine="480" w:firstLineChars="200"/>
        <w:contextualSpacing/>
        <w:rPr>
          <w:rFonts w:ascii="宋体" w:hAnsi="宋体" w:cs="宋体"/>
          <w:bCs/>
          <w:sz w:val="24"/>
        </w:rPr>
      </w:pPr>
      <w:r>
        <w:rPr>
          <w:rFonts w:hint="eastAsia" w:ascii="宋体" w:hAnsi="宋体" w:cs="宋体"/>
          <w:bCs/>
          <w:sz w:val="24"/>
        </w:rPr>
        <w:t>第四条知识产权保证</w:t>
      </w:r>
    </w:p>
    <w:p w14:paraId="3C4D956C">
      <w:pPr>
        <w:adjustRightInd w:val="0"/>
        <w:snapToGrid w:val="0"/>
        <w:spacing w:line="420" w:lineRule="exact"/>
        <w:ind w:firstLine="480" w:firstLineChars="200"/>
        <w:contextualSpacing/>
        <w:rPr>
          <w:rFonts w:hint="eastAsia" w:ascii="宋体" w:hAnsi="宋体" w:cs="宋体"/>
          <w:bCs/>
          <w:sz w:val="24"/>
        </w:rPr>
      </w:pPr>
      <w:r>
        <w:rPr>
          <w:rFonts w:hint="eastAsia" w:ascii="宋体" w:hAnsi="宋体" w:cs="宋体"/>
          <w:sz w:val="24"/>
        </w:rPr>
        <w:t>乙方保证甲方在使用、接受本合同商品和服务或其任何一部分时，不受第三方提出侵犯其专利权、版权、商标权和产品设计权等知识产权的起诉。一旦出现侵权，由乙方负全部责任，并赔</w:t>
      </w:r>
      <w:r>
        <w:rPr>
          <w:rFonts w:hint="eastAsia" w:ascii="宋体" w:hAnsi="宋体" w:cs="宋体"/>
          <w:bCs/>
          <w:sz w:val="24"/>
        </w:rPr>
        <w:t>偿由此给甲方造成的一切损失。</w:t>
      </w:r>
    </w:p>
    <w:p w14:paraId="474D231C">
      <w:pPr>
        <w:adjustRightInd w:val="0"/>
        <w:snapToGrid w:val="0"/>
        <w:spacing w:line="420" w:lineRule="exact"/>
        <w:ind w:firstLine="480" w:firstLineChars="200"/>
        <w:contextualSpacing/>
        <w:rPr>
          <w:rFonts w:hint="eastAsia" w:ascii="宋体" w:hAnsi="宋体" w:cs="宋体"/>
          <w:bCs/>
          <w:sz w:val="24"/>
        </w:rPr>
      </w:pPr>
      <w:r>
        <w:rPr>
          <w:rFonts w:hint="eastAsia" w:ascii="宋体" w:hAnsi="宋体" w:cs="宋体"/>
          <w:bCs/>
          <w:sz w:val="24"/>
        </w:rPr>
        <w:t>第五条履约保证金</w:t>
      </w:r>
    </w:p>
    <w:p w14:paraId="0C5F9436">
      <w:pPr>
        <w:pStyle w:val="17"/>
        <w:kinsoku w:val="0"/>
        <w:adjustRightInd w:val="0"/>
        <w:snapToGrid w:val="0"/>
        <w:spacing w:before="0" w:beforeAutospacing="0" w:after="0" w:afterAutospacing="0" w:line="420" w:lineRule="exact"/>
        <w:ind w:firstLine="480" w:firstLineChars="200"/>
        <w:contextualSpacing/>
        <w:rPr>
          <w:bCs/>
        </w:rPr>
      </w:pPr>
      <w:r>
        <w:t>1</w:t>
      </w:r>
      <w:r>
        <w:rPr>
          <w:rFonts w:hint="eastAsia"/>
        </w:rPr>
        <w:t>、</w:t>
      </w:r>
      <w:r>
        <w:t>合同签订前，</w:t>
      </w:r>
      <w:r>
        <w:rPr>
          <w:bCs/>
        </w:rPr>
        <w:t>乙方</w:t>
      </w:r>
      <w:r>
        <w:rPr>
          <w:rFonts w:hint="eastAsia"/>
          <w:bCs/>
        </w:rPr>
        <w:t>须向甲方缴纳合同额的10%，</w:t>
      </w:r>
      <w:r>
        <w:rPr>
          <w:bCs/>
        </w:rPr>
        <w:t>人民币</w:t>
      </w:r>
      <w:r>
        <w:rPr>
          <w:rFonts w:hint="eastAsia"/>
          <w:bCs/>
        </w:rPr>
        <w:t>（大写）</w:t>
      </w:r>
      <w:r>
        <w:rPr>
          <w:rFonts w:hint="eastAsia"/>
          <w:b/>
          <w:u w:val="single"/>
          <w:lang w:val="en-US" w:eastAsia="zh-CN"/>
        </w:rPr>
        <w:t xml:space="preserve">         </w:t>
      </w:r>
      <w:r>
        <w:rPr>
          <w:rFonts w:hint="eastAsia"/>
          <w:bCs/>
        </w:rPr>
        <w:t>，</w:t>
      </w:r>
      <w:r>
        <w:rPr>
          <w:rFonts w:hint="eastAsia"/>
        </w:rPr>
        <w:t>￥：</w:t>
      </w:r>
      <w:r>
        <w:rPr>
          <w:rFonts w:hint="eastAsia"/>
          <w:b/>
          <w:bCs/>
          <w:u w:val="single"/>
          <w:lang w:val="en-US" w:eastAsia="zh-CN"/>
        </w:rPr>
        <w:t xml:space="preserve">      </w:t>
      </w:r>
      <w:bookmarkStart w:id="6" w:name="_GoBack"/>
      <w:bookmarkEnd w:id="6"/>
      <w:r>
        <w:rPr>
          <w:rFonts w:hint="eastAsia"/>
          <w:b/>
          <w:bCs/>
          <w:u w:val="single"/>
          <w:lang w:val="en-US" w:eastAsia="zh-CN"/>
        </w:rPr>
        <w:t xml:space="preserve">       </w:t>
      </w:r>
      <w:r>
        <w:rPr>
          <w:bCs/>
        </w:rPr>
        <w:t>元作为本合同的履约保证金。</w:t>
      </w:r>
      <w:r>
        <w:rPr>
          <w:rFonts w:hint="eastAsia"/>
          <w:bCs/>
        </w:rPr>
        <w:t>如果乙方未及时提交履约保证金，将被视为放弃中标资格，由此给甲方造成的损失，应予以赔偿。</w:t>
      </w:r>
    </w:p>
    <w:p w14:paraId="63F186B5">
      <w:pPr>
        <w:adjustRightInd w:val="0"/>
        <w:snapToGrid w:val="0"/>
        <w:spacing w:line="420" w:lineRule="exact"/>
        <w:ind w:firstLine="480" w:firstLineChars="200"/>
        <w:contextualSpacing/>
        <w:rPr>
          <w:rFonts w:hint="eastAsia" w:ascii="宋体" w:hAnsi="宋体"/>
          <w:sz w:val="24"/>
        </w:rPr>
      </w:pPr>
      <w:r>
        <w:rPr>
          <w:rFonts w:ascii="宋体" w:hAnsi="宋体" w:cs="宋体"/>
          <w:sz w:val="24"/>
        </w:rPr>
        <w:t>2</w:t>
      </w:r>
      <w:r>
        <w:rPr>
          <w:rFonts w:hint="eastAsia" w:ascii="宋体" w:hAnsi="宋体" w:cs="宋体"/>
          <w:sz w:val="24"/>
        </w:rPr>
        <w:t>、</w:t>
      </w:r>
      <w:r>
        <w:rPr>
          <w:rFonts w:hint="eastAsia" w:ascii="宋体" w:hAnsi="宋体"/>
          <w:sz w:val="24"/>
        </w:rPr>
        <w:t>履约保证金自</w:t>
      </w:r>
      <w:r>
        <w:rPr>
          <w:rFonts w:hint="eastAsia" w:ascii="宋体" w:hAnsi="宋体" w:cs="宋体"/>
          <w:sz w:val="24"/>
        </w:rPr>
        <w:t>本项目竣工验收合格后满一年</w:t>
      </w:r>
      <w:r>
        <w:rPr>
          <w:rFonts w:hint="eastAsia" w:ascii="宋体" w:hAnsi="宋体"/>
          <w:sz w:val="24"/>
        </w:rPr>
        <w:t>且无违约行为由甲方退还给乙方，履约保证金不计利息。</w:t>
      </w:r>
    </w:p>
    <w:p w14:paraId="046CF28D">
      <w:pPr>
        <w:adjustRightInd w:val="0"/>
        <w:snapToGrid w:val="0"/>
        <w:spacing w:line="420" w:lineRule="exact"/>
        <w:ind w:firstLine="480" w:firstLineChars="200"/>
        <w:contextualSpacing/>
        <w:rPr>
          <w:rFonts w:ascii="宋体" w:hAnsi="宋体" w:cs="宋体"/>
          <w:bCs/>
          <w:sz w:val="24"/>
        </w:rPr>
      </w:pPr>
      <w:r>
        <w:rPr>
          <w:rFonts w:hint="eastAsia" w:ascii="宋体" w:hAnsi="宋体" w:cs="宋体"/>
          <w:bCs/>
          <w:sz w:val="24"/>
        </w:rPr>
        <w:t>第六条转包或分包</w:t>
      </w:r>
    </w:p>
    <w:p w14:paraId="12DCA165">
      <w:pPr>
        <w:adjustRightInd w:val="0"/>
        <w:snapToGrid w:val="0"/>
        <w:spacing w:line="420" w:lineRule="exact"/>
        <w:ind w:firstLine="480"/>
        <w:contextualSpacing/>
        <w:rPr>
          <w:rFonts w:ascii="宋体" w:hAnsi="宋体"/>
          <w:sz w:val="24"/>
        </w:rPr>
      </w:pPr>
      <w:r>
        <w:rPr>
          <w:rFonts w:hint="eastAsia" w:ascii="宋体" w:hAnsi="宋体"/>
          <w:sz w:val="24"/>
        </w:rPr>
        <w:t>1、本合同禁止转包，本合同范围的服务，应由乙方直接提供的，不得转让他人提供。</w:t>
      </w:r>
    </w:p>
    <w:p w14:paraId="286E26E9">
      <w:pPr>
        <w:adjustRightInd w:val="0"/>
        <w:snapToGrid w:val="0"/>
        <w:spacing w:line="420" w:lineRule="exact"/>
        <w:ind w:firstLine="480" w:firstLineChars="200"/>
        <w:contextualSpacing/>
        <w:rPr>
          <w:rFonts w:ascii="宋体" w:hAnsi="宋体"/>
          <w:sz w:val="24"/>
        </w:rPr>
      </w:pPr>
      <w:r>
        <w:rPr>
          <w:rFonts w:hint="eastAsia" w:ascii="宋体" w:hAnsi="宋体"/>
          <w:sz w:val="24"/>
        </w:rPr>
        <w:t>2、经甲方同意，乙方可以依法采取分包方式履行合同，但是分包方式履行的，乙方应就采购项目向甲方负全责。</w:t>
      </w:r>
    </w:p>
    <w:p w14:paraId="7CAF4C42">
      <w:pPr>
        <w:adjustRightInd w:val="0"/>
        <w:snapToGrid w:val="0"/>
        <w:spacing w:line="420" w:lineRule="exact"/>
        <w:ind w:firstLine="480" w:firstLineChars="200"/>
        <w:rPr>
          <w:rFonts w:ascii="宋体" w:hAnsi="宋体" w:cs="宋体"/>
          <w:bCs/>
          <w:sz w:val="24"/>
        </w:rPr>
      </w:pPr>
      <w:r>
        <w:rPr>
          <w:rFonts w:hint="eastAsia" w:ascii="宋体" w:hAnsi="宋体" w:cs="宋体"/>
          <w:bCs/>
          <w:sz w:val="24"/>
        </w:rPr>
        <w:t>第七条</w:t>
      </w:r>
      <w:r>
        <w:rPr>
          <w:rFonts w:hint="eastAsia" w:ascii="宋体" w:hAnsi="宋体" w:cs="宋体"/>
          <w:sz w:val="24"/>
        </w:rPr>
        <w:t>保修期</w:t>
      </w:r>
    </w:p>
    <w:p w14:paraId="7DFE50FD">
      <w:pPr>
        <w:widowControl/>
        <w:spacing w:line="440" w:lineRule="exact"/>
        <w:ind w:firstLine="480" w:firstLineChars="200"/>
        <w:jc w:val="left"/>
        <w:rPr>
          <w:rFonts w:ascii="宋体" w:hAnsi="宋体" w:cs="宋体"/>
          <w:kern w:val="0"/>
          <w:sz w:val="24"/>
        </w:rPr>
      </w:pPr>
      <w:r>
        <w:rPr>
          <w:rFonts w:hint="eastAsia" w:ascii="宋体" w:hAnsi="宋体" w:cs="宋体"/>
          <w:sz w:val="24"/>
        </w:rPr>
        <w:t>保修期</w:t>
      </w:r>
      <w:r>
        <w:rPr>
          <w:rFonts w:hint="eastAsia" w:ascii="宋体" w:hAnsi="宋体" w:cs="宋体"/>
          <w:b/>
          <w:sz w:val="24"/>
          <w:u w:val="single"/>
        </w:rPr>
        <w:t xml:space="preserve"> </w:t>
      </w:r>
      <w:r>
        <w:rPr>
          <w:rFonts w:hint="eastAsia" w:ascii="宋体" w:hAnsi="宋体" w:cs="宋体"/>
          <w:b/>
          <w:sz w:val="24"/>
          <w:u w:val="single"/>
          <w:lang w:val="en-US" w:eastAsia="zh-CN"/>
        </w:rPr>
        <w:t xml:space="preserve"> </w:t>
      </w:r>
      <w:r>
        <w:rPr>
          <w:rFonts w:hint="eastAsia" w:ascii="宋体" w:hAnsi="宋体" w:cs="宋体"/>
          <w:b/>
          <w:sz w:val="24"/>
          <w:u w:val="single"/>
        </w:rPr>
        <w:t xml:space="preserve"> </w:t>
      </w:r>
      <w:r>
        <w:rPr>
          <w:rFonts w:hint="eastAsia" w:ascii="宋体" w:hAnsi="宋体" w:cs="宋体"/>
          <w:sz w:val="24"/>
        </w:rPr>
        <w:t>年，保修期自甲方验收合格之日起计算。保修期</w:t>
      </w:r>
      <w:r>
        <w:rPr>
          <w:rFonts w:hint="eastAsia" w:ascii="宋体" w:hAnsi="宋体" w:cs="宋体"/>
          <w:kern w:val="0"/>
          <w:sz w:val="24"/>
        </w:rPr>
        <w:t>内，乙方负责对其提供的商品实行免费维修。若同一质量问题经两次维修仍无法修复的，乙方负责包换。</w:t>
      </w:r>
      <w:r>
        <w:rPr>
          <w:rFonts w:hint="eastAsia" w:ascii="宋体" w:hAnsi="宋体" w:cs="宋体"/>
          <w:sz w:val="24"/>
        </w:rPr>
        <w:t>保修期</w:t>
      </w:r>
      <w:r>
        <w:rPr>
          <w:rFonts w:hint="eastAsia" w:ascii="宋体" w:hAnsi="宋体" w:cs="宋体"/>
          <w:kern w:val="0"/>
          <w:sz w:val="24"/>
        </w:rPr>
        <w:t>后，乙方仍提供维修服务，收取成本费（免收人工费，差旅费）。</w:t>
      </w:r>
    </w:p>
    <w:p w14:paraId="25D60539">
      <w:pPr>
        <w:adjustRightInd w:val="0"/>
        <w:snapToGrid w:val="0"/>
        <w:spacing w:line="420" w:lineRule="exact"/>
        <w:ind w:firstLine="480" w:firstLineChars="200"/>
        <w:contextualSpacing/>
        <w:rPr>
          <w:rFonts w:ascii="宋体" w:hAnsi="宋体" w:cs="宋体"/>
          <w:bCs/>
          <w:sz w:val="24"/>
        </w:rPr>
      </w:pPr>
      <w:r>
        <w:rPr>
          <w:rFonts w:hint="eastAsia" w:ascii="宋体" w:hAnsi="宋体" w:cs="宋体"/>
          <w:bCs/>
          <w:sz w:val="24"/>
        </w:rPr>
        <w:t>第八条交货时间和地点</w:t>
      </w:r>
    </w:p>
    <w:p w14:paraId="492E67B4">
      <w:pPr>
        <w:adjustRightInd w:val="0"/>
        <w:snapToGrid w:val="0"/>
        <w:spacing w:line="420" w:lineRule="exact"/>
        <w:ind w:firstLine="480" w:firstLineChars="200"/>
        <w:contextualSpacing/>
        <w:rPr>
          <w:rFonts w:ascii="宋体" w:hAnsi="宋体" w:cs="宋体"/>
          <w:kern w:val="0"/>
          <w:sz w:val="24"/>
        </w:rPr>
      </w:pPr>
      <w:r>
        <w:rPr>
          <w:rFonts w:hint="eastAsia" w:ascii="宋体" w:hAnsi="宋体" w:cs="宋体"/>
          <w:kern w:val="0"/>
          <w:sz w:val="24"/>
        </w:rPr>
        <w:t>1、乙方在合同签订后</w:t>
      </w:r>
      <w:r>
        <w:rPr>
          <w:rFonts w:hint="eastAsia" w:ascii="宋体" w:hAnsi="宋体" w:cs="宋体"/>
          <w:b/>
          <w:bCs/>
          <w:kern w:val="0"/>
          <w:sz w:val="24"/>
          <w:u w:val="single"/>
        </w:rPr>
        <w:t xml:space="preserve"> </w:t>
      </w:r>
      <w:r>
        <w:rPr>
          <w:rFonts w:hint="eastAsia" w:ascii="宋体" w:hAnsi="宋体" w:cs="宋体"/>
          <w:b/>
          <w:bCs/>
          <w:kern w:val="0"/>
          <w:sz w:val="24"/>
          <w:u w:val="single"/>
          <w:lang w:val="en-US" w:eastAsia="zh-CN"/>
        </w:rPr>
        <w:t xml:space="preserve">  </w:t>
      </w:r>
      <w:r>
        <w:rPr>
          <w:rFonts w:hint="eastAsia" w:ascii="宋体" w:hAnsi="宋体" w:cs="宋体"/>
          <w:b/>
          <w:bCs/>
          <w:kern w:val="0"/>
          <w:sz w:val="24"/>
          <w:u w:val="single"/>
        </w:rPr>
        <w:t xml:space="preserve"> </w:t>
      </w:r>
      <w:r>
        <w:rPr>
          <w:rFonts w:hint="eastAsia" w:ascii="宋体" w:hAnsi="宋体" w:cs="宋体"/>
          <w:kern w:val="0"/>
          <w:sz w:val="24"/>
        </w:rPr>
        <w:t>天内，按照合同约定将所供商品安全运至</w:t>
      </w:r>
      <w:r>
        <w:rPr>
          <w:rFonts w:hint="eastAsia" w:ascii="宋体" w:hAnsi="宋体" w:cs="宋体"/>
          <w:b/>
          <w:bCs/>
          <w:kern w:val="0"/>
          <w:sz w:val="24"/>
          <w:u w:val="single"/>
        </w:rPr>
        <w:t>扬州大学附属医院甲方指定地点</w:t>
      </w:r>
      <w:r>
        <w:rPr>
          <w:rFonts w:hint="eastAsia" w:ascii="宋体" w:hAnsi="宋体" w:cs="宋体"/>
          <w:kern w:val="0"/>
          <w:sz w:val="24"/>
        </w:rPr>
        <w:t>，并负责安装调试完毕后交甲方验收所供商品。</w:t>
      </w:r>
    </w:p>
    <w:p w14:paraId="74DD7DB2">
      <w:pPr>
        <w:pStyle w:val="10"/>
        <w:numPr>
          <w:ilvl w:val="0"/>
          <w:numId w:val="0"/>
        </w:numPr>
        <w:spacing w:line="420" w:lineRule="exact"/>
        <w:ind w:firstLine="480" w:firstLineChars="200"/>
        <w:rPr>
          <w:rFonts w:ascii="宋体" w:hAnsi="宋体"/>
          <w:sz w:val="24"/>
        </w:rPr>
      </w:pPr>
      <w:r>
        <w:rPr>
          <w:rFonts w:hint="eastAsia" w:ascii="宋体" w:hAnsi="宋体"/>
          <w:sz w:val="24"/>
        </w:rPr>
        <w:t>2、</w:t>
      </w:r>
      <w:r>
        <w:rPr>
          <w:rFonts w:hint="eastAsia" w:ascii="宋体" w:hAnsi="宋体" w:cs="宋体"/>
          <w:kern w:val="0"/>
          <w:sz w:val="24"/>
        </w:rPr>
        <w:t>在所供商品交付使用时，乙方必须向甲方提供产品说明书、质量保证书、保修卡等必须具备的相关资料和必备的附件。</w:t>
      </w:r>
    </w:p>
    <w:p w14:paraId="74740447">
      <w:pPr>
        <w:adjustRightInd w:val="0"/>
        <w:snapToGrid w:val="0"/>
        <w:spacing w:line="420" w:lineRule="exact"/>
        <w:ind w:firstLine="480" w:firstLineChars="200"/>
        <w:contextualSpacing/>
        <w:rPr>
          <w:rFonts w:ascii="宋体" w:hAnsi="宋体" w:cs="宋体"/>
          <w:b/>
          <w:bCs/>
          <w:sz w:val="24"/>
        </w:rPr>
      </w:pPr>
      <w:r>
        <w:rPr>
          <w:rFonts w:hint="eastAsia" w:ascii="宋体" w:hAnsi="宋体" w:cs="宋体"/>
          <w:bCs/>
          <w:sz w:val="24"/>
        </w:rPr>
        <w:t>第九条税费</w:t>
      </w:r>
    </w:p>
    <w:p w14:paraId="6036A93C">
      <w:pPr>
        <w:adjustRightInd w:val="0"/>
        <w:snapToGrid w:val="0"/>
        <w:spacing w:line="420" w:lineRule="exact"/>
        <w:ind w:firstLine="480" w:firstLineChars="200"/>
        <w:contextualSpacing/>
        <w:rPr>
          <w:rFonts w:ascii="宋体" w:hAnsi="宋体" w:cs="宋体"/>
          <w:b/>
          <w:bCs/>
          <w:sz w:val="24"/>
        </w:rPr>
      </w:pPr>
      <w:r>
        <w:rPr>
          <w:rFonts w:hint="eastAsia" w:ascii="宋体" w:hAnsi="宋体" w:cs="宋体"/>
          <w:sz w:val="24"/>
        </w:rPr>
        <w:t>本合同执行中相关的一切税费均由乙方承担。</w:t>
      </w:r>
    </w:p>
    <w:p w14:paraId="10551DB4">
      <w:pPr>
        <w:adjustRightInd w:val="0"/>
        <w:snapToGrid w:val="0"/>
        <w:spacing w:line="420" w:lineRule="exact"/>
        <w:ind w:firstLine="480" w:firstLineChars="200"/>
        <w:contextualSpacing/>
        <w:rPr>
          <w:rFonts w:ascii="宋体" w:hAnsi="宋体" w:cs="宋体"/>
          <w:bCs/>
          <w:sz w:val="24"/>
        </w:rPr>
      </w:pPr>
      <w:r>
        <w:rPr>
          <w:rFonts w:hint="eastAsia" w:ascii="宋体" w:hAnsi="宋体" w:cs="宋体"/>
          <w:bCs/>
          <w:sz w:val="24"/>
        </w:rPr>
        <w:t>第十条包装及运输</w:t>
      </w:r>
    </w:p>
    <w:p w14:paraId="470CE10A">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1、乙方应在商品发运前对其进行满足运输距离、防潮、防震、防锈和防破损装卸等要求包装，以保证商品安全运达甲方指定地点。</w:t>
      </w:r>
    </w:p>
    <w:p w14:paraId="556F35EE">
      <w:pPr>
        <w:autoSpaceDE w:val="0"/>
        <w:autoSpaceDN w:val="0"/>
        <w:adjustRightInd w:val="0"/>
        <w:snapToGrid w:val="0"/>
        <w:spacing w:line="420" w:lineRule="exact"/>
        <w:ind w:firstLine="480" w:firstLineChars="200"/>
        <w:contextualSpacing/>
        <w:jc w:val="left"/>
        <w:rPr>
          <w:rFonts w:ascii="宋体" w:hAnsi="宋体" w:cs="宋体"/>
          <w:sz w:val="24"/>
        </w:rPr>
      </w:pPr>
      <w:r>
        <w:rPr>
          <w:rFonts w:hint="eastAsia" w:ascii="宋体" w:hAnsi="宋体" w:cs="宋体"/>
          <w:sz w:val="24"/>
        </w:rPr>
        <w:t>2、由乙方负责运输至甲方，负责将商品卸在甲方指定的地点并堆放整齐，不损坏周围成品。运输、保险及装卸费用均已包括在合同总价中，由乙方承担。乙方保证在确认商品装卸、运输中发生损坏或短缺后，应尽快免费予以调换、修复和补充缺件，不得以任何原因为由拖延交货日期。</w:t>
      </w:r>
    </w:p>
    <w:p w14:paraId="0EEFABAF">
      <w:pPr>
        <w:adjustRightInd w:val="0"/>
        <w:snapToGrid w:val="0"/>
        <w:spacing w:line="420" w:lineRule="exact"/>
        <w:ind w:firstLine="420"/>
        <w:contextualSpacing/>
        <w:rPr>
          <w:rFonts w:ascii="宋体" w:hAnsi="宋体" w:cs="宋体"/>
          <w:bCs/>
          <w:sz w:val="24"/>
        </w:rPr>
      </w:pPr>
      <w:r>
        <w:rPr>
          <w:rFonts w:hint="eastAsia" w:ascii="宋体" w:hAnsi="宋体" w:cs="宋体"/>
          <w:bCs/>
          <w:sz w:val="24"/>
        </w:rPr>
        <w:t>第十一条交付和验收</w:t>
      </w:r>
    </w:p>
    <w:p w14:paraId="195129AF">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1、乙方应当在合同约定时间内将商品交付甲方使用，在发货前，乙方应对产品作全面检查和对验收文件进行整理，并列出清单，作为甲方收货验收和使用的技术条件依据。</w:t>
      </w:r>
    </w:p>
    <w:p w14:paraId="4A9449D3">
      <w:pPr>
        <w:widowControl/>
        <w:spacing w:line="440" w:lineRule="exact"/>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kern w:val="0"/>
          <w:sz w:val="24"/>
        </w:rPr>
        <w:t>乙方将所供商品运至交货地点拆箱并安装调试完毕后，由甲方对外观及零配件等当场进行验收，具体验收指标由乙方提供并得到甲方认可，同时参照投标商品的性能指标进行验收。</w:t>
      </w:r>
      <w:r>
        <w:rPr>
          <w:rFonts w:hint="eastAsia" w:ascii="宋体" w:hAnsi="宋体" w:cs="宋体"/>
          <w:sz w:val="24"/>
        </w:rPr>
        <w:t>如经验收达不到合同约定要求，甲方有权要求全部退货，</w:t>
      </w:r>
      <w:r>
        <w:rPr>
          <w:rFonts w:hint="eastAsia" w:ascii="宋体" w:hAnsi="宋体" w:cs="宋体"/>
          <w:kern w:val="0"/>
          <w:sz w:val="24"/>
        </w:rPr>
        <w:t>由此产生的一切责任和后果由乙方承担。</w:t>
      </w:r>
    </w:p>
    <w:p w14:paraId="69DF5DBE">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3、乙方应保证所供商品是全新的、未使用过的，是用一流的工艺生产的，并完全符合国家、行业对于该类产品的质量标准，并符合国家环保标准。</w:t>
      </w:r>
    </w:p>
    <w:p w14:paraId="70202C81">
      <w:pPr>
        <w:autoSpaceDE w:val="0"/>
        <w:autoSpaceDN w:val="0"/>
        <w:adjustRightInd w:val="0"/>
        <w:snapToGrid w:val="0"/>
        <w:spacing w:line="420" w:lineRule="exact"/>
        <w:ind w:firstLine="480" w:firstLineChars="200"/>
        <w:contextualSpacing/>
        <w:jc w:val="left"/>
        <w:rPr>
          <w:rFonts w:ascii="宋体" w:hAnsi="宋体" w:cs="宋体"/>
          <w:sz w:val="24"/>
        </w:rPr>
      </w:pPr>
      <w:r>
        <w:rPr>
          <w:rFonts w:hint="eastAsia" w:ascii="宋体" w:hAnsi="宋体" w:cs="宋体"/>
          <w:sz w:val="24"/>
        </w:rPr>
        <w:t>4、质量：合格。一次核验不合格是由乙方原因引起的，乙方负责赔偿甲方损失外，另按合同总价百分之五支付违约金，甲方有权延期支付合同款项，同时乙方必须负责重新验收达到合同约定的标准。</w:t>
      </w:r>
    </w:p>
    <w:p w14:paraId="2ED6B1E0">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5、验收过程中，甲方可以随机抽检成品实物委托国家认可的专业检测机构做相关检测（检测费用乙方承担），并由其出具质量检测报告，检测报告每项指标及技术参数均要达到询价文件要求。</w:t>
      </w:r>
    </w:p>
    <w:p w14:paraId="1C4C6F10">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6、如果检测未达标准，甲方有权提前解除合同，商品退回乙方，同时乙方赔偿甲方合同总价百分之五的损失。由于检测未达标造成合同解除，乙方承担违约责任。</w:t>
      </w:r>
    </w:p>
    <w:p w14:paraId="78B4AFF9">
      <w:pPr>
        <w:adjustRightInd w:val="0"/>
        <w:snapToGrid w:val="0"/>
        <w:spacing w:line="420" w:lineRule="exact"/>
        <w:ind w:firstLine="480" w:firstLineChars="200"/>
        <w:contextualSpacing/>
        <w:rPr>
          <w:rFonts w:ascii="宋体" w:hAnsi="宋体" w:cs="宋体"/>
          <w:bCs/>
          <w:sz w:val="24"/>
        </w:rPr>
      </w:pPr>
      <w:r>
        <w:rPr>
          <w:rFonts w:hint="eastAsia" w:ascii="宋体" w:hAnsi="宋体" w:cs="宋体"/>
          <w:bCs/>
          <w:sz w:val="24"/>
        </w:rPr>
        <w:t>第十二条质量保证及售后服务</w:t>
      </w:r>
    </w:p>
    <w:p w14:paraId="66E99BB1">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1、乙方应保证其提供的商品在正确安装、正常使用和保养条件下，在其使用寿命内具有良好的性能。商品验收后，在保修期内，乙方应对由于设计、工艺或材料的缺陷所发生的任何不足或故障负责，所需费用由乙方承担。</w:t>
      </w:r>
    </w:p>
    <w:p w14:paraId="5DF21F75">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2、乙方提供的商品在保修期内</w:t>
      </w:r>
      <w:r>
        <w:rPr>
          <w:rFonts w:hint="eastAsia" w:ascii="宋体" w:hAnsi="宋体" w:cs="宋体"/>
          <w:kern w:val="0"/>
          <w:sz w:val="24"/>
        </w:rPr>
        <w:t>出现非甲方人为因素造成的无法排除的故障，由乙方予以整机调换。</w:t>
      </w:r>
      <w:r>
        <w:rPr>
          <w:rFonts w:hint="eastAsia" w:ascii="宋体" w:hAnsi="宋体" w:cs="宋体"/>
          <w:sz w:val="24"/>
        </w:rPr>
        <w:t>对达不到技术要求的商品，根据实际情况，经双方协商，可按以下办法处理：</w:t>
      </w:r>
    </w:p>
    <w:p w14:paraId="3B2873D8">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（1）更换：由乙方承担所发生的全部费用。</w:t>
      </w:r>
    </w:p>
    <w:p w14:paraId="06E37E25">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（2）贬值处理：由甲乙双方合议定价。</w:t>
      </w:r>
    </w:p>
    <w:p w14:paraId="43219473">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（3）退货处理：乙方应退还甲方支付的合同款，同时应承担该商品的直接费用（运输、保险、检验、货款利息及银行手续费等）。</w:t>
      </w:r>
    </w:p>
    <w:p w14:paraId="5AB74AC5">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3、根据合同双方约定的要求，保修期内，乙方应在接到报修电话后1小时内响应，4小时内到达现场，48小时内修复完毕，如不能修复应采取补救措施，以保证甲方的正常使用，否则甲方有权从质量保证金中扣除未及时修复商品的双倍价款作为赔偿。</w:t>
      </w:r>
    </w:p>
    <w:p w14:paraId="102215EF">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4、乙方不履行或适当履行上述维修义务，经过书面催告后仍不履行的，甲方有权没收乙方质量保证金的同时按合同总价百分之五收取乙方违约金，并可追究乙方其他违约责任。</w:t>
      </w:r>
    </w:p>
    <w:p w14:paraId="627D7B8E">
      <w:pPr>
        <w:adjustRightInd w:val="0"/>
        <w:snapToGrid w:val="0"/>
        <w:spacing w:line="420" w:lineRule="exact"/>
        <w:ind w:firstLine="480" w:firstLineChars="200"/>
        <w:contextualSpacing/>
        <w:rPr>
          <w:rFonts w:ascii="宋体" w:hAnsi="宋体" w:cs="宋体"/>
          <w:bCs/>
          <w:sz w:val="24"/>
        </w:rPr>
      </w:pPr>
      <w:r>
        <w:rPr>
          <w:rFonts w:hint="eastAsia" w:ascii="宋体" w:hAnsi="宋体" w:cs="宋体"/>
          <w:bCs/>
          <w:sz w:val="24"/>
        </w:rPr>
        <w:t>第十三条违约责任</w:t>
      </w:r>
    </w:p>
    <w:p w14:paraId="7BDD49A7">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1、</w:t>
      </w:r>
      <w:r>
        <w:rPr>
          <w:rFonts w:hint="eastAsia" w:ascii="宋体" w:hAnsi="宋体" w:cs="宋体"/>
          <w:kern w:val="0"/>
          <w:sz w:val="24"/>
        </w:rPr>
        <w:t>合同生效后，如甲方逾期向乙方支付货款或无正当理由拒收商品</w:t>
      </w:r>
      <w:r>
        <w:rPr>
          <w:rFonts w:hint="eastAsia" w:ascii="宋体" w:hAnsi="宋体" w:cs="宋体"/>
          <w:sz w:val="24"/>
        </w:rPr>
        <w:t>（</w:t>
      </w:r>
      <w:r>
        <w:rPr>
          <w:rFonts w:hint="eastAsia" w:ascii="宋体" w:hAnsi="宋体" w:cs="宋体"/>
          <w:kern w:val="0"/>
          <w:sz w:val="24"/>
        </w:rPr>
        <w:t>乙方未符合</w:t>
      </w:r>
      <w:r>
        <w:rPr>
          <w:rFonts w:hint="eastAsia" w:ascii="宋体" w:hAnsi="宋体" w:cs="宋体"/>
          <w:sz w:val="24"/>
        </w:rPr>
        <w:t>合同规定的情况除外）,应向乙方每日偿付合同总价万分之二的违约金。</w:t>
      </w:r>
    </w:p>
    <w:p w14:paraId="14015152">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2、</w:t>
      </w:r>
      <w:r>
        <w:rPr>
          <w:rFonts w:hint="eastAsia" w:ascii="宋体" w:hAnsi="宋体" w:cs="宋体"/>
          <w:kern w:val="0"/>
          <w:sz w:val="24"/>
        </w:rPr>
        <w:t>合同生效后，乙方逾期履行合同的，自逾期之日起，向甲方每日偿付合同总价万分之二的违约金；乙方逾期三十日不能交货的，应向甲方支付合同总价百分之五的违约金；乙方逾期六十日不能交货的，应向甲方支付合同总价百分之二十的违约金，同时不解除合同交货责任。</w:t>
      </w:r>
    </w:p>
    <w:p w14:paraId="17E888F9">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3、乙方所交商品全部或部分产品、型号、规格、技术参数、质量不符合合同规定及询价文件规定标准的，乙方更换商品但逾期交货的（甲方拒绝接收的除外），按乙方逾期交货处理；乙方拒绝更换商品的，甲方可选择解除本合同或本合同的一部分，并可追究乙方的其他违约责任。</w:t>
      </w:r>
    </w:p>
    <w:p w14:paraId="0B95999B">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4、合同生效后，发现乙方投标属虚假承诺，或经权威部门监测提供的商品不能满足询价文件要求，造成合同无法继续履行的，乙方质量保证金不予退还外，还应向甲方支付不少于合同总价百分之二的赔偿金。</w:t>
      </w:r>
    </w:p>
    <w:p w14:paraId="64956E66">
      <w:pPr>
        <w:widowControl/>
        <w:adjustRightInd w:val="0"/>
        <w:snapToGrid w:val="0"/>
        <w:spacing w:line="420" w:lineRule="exact"/>
        <w:ind w:firstLine="480" w:firstLineChars="200"/>
        <w:contextualSpacing/>
        <w:jc w:val="left"/>
        <w:rPr>
          <w:rFonts w:ascii="宋体" w:hAnsi="宋体" w:cs="宋体"/>
          <w:sz w:val="24"/>
        </w:rPr>
      </w:pPr>
      <w:r>
        <w:rPr>
          <w:rFonts w:hint="eastAsia" w:ascii="宋体" w:hAnsi="宋体" w:cs="宋体"/>
          <w:sz w:val="24"/>
        </w:rPr>
        <w:t>5、乙方应加强工作人员的管理</w:t>
      </w:r>
      <w:r>
        <w:rPr>
          <w:rFonts w:hint="eastAsia" w:ascii="宋体" w:hAnsi="宋体"/>
          <w:sz w:val="24"/>
        </w:rPr>
        <w:t>,禁止乙方以各种手段腐蚀、贿赂甲方单位工作人员，并将诚信档案记录的工作人员违规不良行为纳入违约行为,如有违反，甲方将停止履行合同，并追究乙方违约责任</w:t>
      </w:r>
      <w:r>
        <w:rPr>
          <w:rFonts w:hint="eastAsia" w:ascii="宋体" w:hAnsi="宋体" w:cs="宋体"/>
          <w:sz w:val="24"/>
        </w:rPr>
        <w:t>。</w:t>
      </w:r>
    </w:p>
    <w:p w14:paraId="1E6117A8">
      <w:pPr>
        <w:adjustRightInd w:val="0"/>
        <w:snapToGrid w:val="0"/>
        <w:spacing w:line="420" w:lineRule="exact"/>
        <w:ind w:firstLine="480" w:firstLineChars="200"/>
        <w:contextualSpacing/>
        <w:rPr>
          <w:rFonts w:ascii="宋体" w:hAnsi="宋体" w:cs="宋体"/>
          <w:bCs/>
          <w:sz w:val="24"/>
        </w:rPr>
      </w:pPr>
      <w:r>
        <w:rPr>
          <w:rFonts w:hint="eastAsia" w:ascii="宋体" w:hAnsi="宋体" w:cs="宋体"/>
          <w:bCs/>
          <w:sz w:val="24"/>
        </w:rPr>
        <w:t>第十四条不可抗力事件处理</w:t>
      </w:r>
    </w:p>
    <w:p w14:paraId="372E127F">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1、在合同有效期内，甲乙双方因不可抗力事件导致不能履行合同，则合同履行期可延长，其延长期与不可抗力影响期相同。不可抗力，是指不能预见、不能避免且不能克服的客观情况，例如战争、严重的地震、洪水等，但一方违约或疏忽导致合同不能履行的不属于不可抗力因素。</w:t>
      </w:r>
    </w:p>
    <w:p w14:paraId="7284B61F">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2、不可抗力事件发生后，应立即通知对方，并寄送有关权威机构出具的证明。除甲方书面另行要求外，乙方应尽实际可能继续履行合同义务，以及寻求采取合理的方案履行不受不可抗力影响的其他事项。若不可抗力事件延续120天以上，双方应通过友好协商，确定是否继续履行合同。</w:t>
      </w:r>
    </w:p>
    <w:p w14:paraId="102AB4A7">
      <w:pPr>
        <w:adjustRightInd w:val="0"/>
        <w:snapToGrid w:val="0"/>
        <w:spacing w:line="420" w:lineRule="exact"/>
        <w:ind w:firstLine="480" w:firstLineChars="200"/>
        <w:contextualSpacing/>
        <w:rPr>
          <w:rFonts w:ascii="宋体" w:hAnsi="宋体" w:cs="宋体"/>
          <w:bCs/>
          <w:sz w:val="24"/>
        </w:rPr>
      </w:pPr>
      <w:r>
        <w:rPr>
          <w:rFonts w:hint="eastAsia" w:ascii="宋体" w:hAnsi="宋体" w:cs="宋体"/>
          <w:bCs/>
          <w:sz w:val="24"/>
        </w:rPr>
        <w:t>第十五条争议解决</w:t>
      </w:r>
    </w:p>
    <w:p w14:paraId="6AE9AB0A">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1、因商品质量问题发生争议的，可在国家认可的质量检测机构对商品质量进行鉴定。商品符合标准的，鉴定费由甲方承担；商品不符合质量标准的，鉴定费由乙方承担。</w:t>
      </w:r>
    </w:p>
    <w:p w14:paraId="051439D3">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2、因履行本合同引起的或与本合同有关的争议，甲乙双方应首先通过友好协商解决；如果协商不能解决争议，甲乙双方同意采取下列两种方式的第</w:t>
      </w:r>
      <w:r>
        <w:rPr>
          <w:rFonts w:hint="eastAsia" w:ascii="宋体" w:hAnsi="宋体" w:cs="宋体"/>
          <w:b/>
          <w:sz w:val="24"/>
          <w:u w:val="single"/>
        </w:rPr>
        <w:t>（ 1 ）</w:t>
      </w:r>
      <w:r>
        <w:rPr>
          <w:rFonts w:hint="eastAsia" w:ascii="宋体" w:hAnsi="宋体" w:cs="宋体"/>
          <w:sz w:val="24"/>
        </w:rPr>
        <w:t>种方式解决争议：</w:t>
      </w:r>
    </w:p>
    <w:p w14:paraId="03D26E53">
      <w:pPr>
        <w:adjustRightInd w:val="0"/>
        <w:snapToGrid w:val="0"/>
        <w:spacing w:line="420" w:lineRule="exact"/>
        <w:ind w:firstLine="424" w:firstLineChars="177"/>
        <w:contextualSpacing/>
        <w:rPr>
          <w:rFonts w:ascii="宋体" w:hAnsi="宋体" w:cs="宋体"/>
          <w:sz w:val="24"/>
        </w:rPr>
      </w:pPr>
      <w:r>
        <w:rPr>
          <w:rFonts w:hint="eastAsia" w:ascii="宋体" w:hAnsi="宋体" w:cs="宋体"/>
          <w:sz w:val="24"/>
        </w:rPr>
        <w:t>（1）向甲方扬州市所在地有管辖权的人民法院提起诉讼，适用中华人民共和国法律；</w:t>
      </w:r>
    </w:p>
    <w:p w14:paraId="397194C1">
      <w:pPr>
        <w:adjustRightInd w:val="0"/>
        <w:snapToGrid w:val="0"/>
        <w:spacing w:line="420" w:lineRule="exact"/>
        <w:ind w:firstLine="424" w:firstLineChars="177"/>
        <w:contextualSpacing/>
        <w:rPr>
          <w:rFonts w:ascii="宋体" w:hAnsi="宋体" w:cs="宋体"/>
          <w:sz w:val="24"/>
        </w:rPr>
      </w:pPr>
      <w:r>
        <w:rPr>
          <w:rFonts w:hint="eastAsia" w:ascii="宋体" w:hAnsi="宋体" w:cs="宋体"/>
          <w:sz w:val="24"/>
        </w:rPr>
        <w:t>（2）向扬州仲裁委员会按其仲裁规则申请仲裁。</w:t>
      </w:r>
    </w:p>
    <w:p w14:paraId="5F475B90">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3、若甲乙双方任何一方都没有选择解除合同的，为避免扩大损失，在诉讼或仲裁期间，双方应继续履行。</w:t>
      </w:r>
    </w:p>
    <w:p w14:paraId="2012B662">
      <w:pPr>
        <w:adjustRightInd w:val="0"/>
        <w:snapToGrid w:val="0"/>
        <w:spacing w:line="420" w:lineRule="exact"/>
        <w:ind w:firstLine="480" w:firstLineChars="200"/>
        <w:contextualSpacing/>
        <w:rPr>
          <w:rFonts w:ascii="宋体" w:hAnsi="宋体" w:cs="宋体"/>
          <w:bCs/>
          <w:sz w:val="24"/>
        </w:rPr>
      </w:pPr>
      <w:r>
        <w:rPr>
          <w:rFonts w:hint="eastAsia" w:ascii="宋体" w:hAnsi="宋体" w:cs="宋体"/>
          <w:bCs/>
          <w:sz w:val="24"/>
        </w:rPr>
        <w:t>第十六条</w:t>
      </w:r>
      <w:r>
        <w:rPr>
          <w:rFonts w:hint="eastAsia" w:ascii="宋体" w:hAnsi="宋体" w:cs="宋体"/>
          <w:sz w:val="24"/>
        </w:rPr>
        <w:t>合同生效及其他</w:t>
      </w:r>
    </w:p>
    <w:p w14:paraId="21B0D363">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1、本合同一式</w:t>
      </w:r>
      <w:r>
        <w:rPr>
          <w:rFonts w:hint="eastAsia" w:ascii="宋体" w:hAnsi="宋体" w:cs="宋体"/>
          <w:b/>
          <w:sz w:val="24"/>
          <w:u w:val="single"/>
        </w:rPr>
        <w:t>肆</w:t>
      </w:r>
      <w:r>
        <w:rPr>
          <w:rFonts w:hint="eastAsia" w:ascii="宋体" w:hAnsi="宋体" w:cs="宋体"/>
          <w:sz w:val="24"/>
        </w:rPr>
        <w:t>份，甲、乙双方各执</w:t>
      </w:r>
      <w:r>
        <w:rPr>
          <w:rFonts w:hint="eastAsia" w:ascii="宋体" w:hAnsi="宋体" w:cs="宋体"/>
          <w:b/>
          <w:sz w:val="24"/>
          <w:u w:val="single"/>
        </w:rPr>
        <w:t>贰</w:t>
      </w:r>
      <w:r>
        <w:rPr>
          <w:rFonts w:hint="eastAsia" w:ascii="宋体" w:hAnsi="宋体" w:cs="宋体"/>
          <w:sz w:val="24"/>
        </w:rPr>
        <w:t>份，经</w:t>
      </w:r>
      <w:r>
        <w:rPr>
          <w:rFonts w:hint="eastAsia" w:ascii="宋体" w:hAnsi="宋体" w:cs="宋体"/>
          <w:kern w:val="0"/>
          <w:sz w:val="24"/>
        </w:rPr>
        <w:t>双方</w:t>
      </w:r>
      <w:r>
        <w:rPr>
          <w:rFonts w:hint="eastAsia" w:ascii="宋体" w:hAnsi="宋体" w:cs="宋体"/>
          <w:sz w:val="24"/>
        </w:rPr>
        <w:t>法定代表人或其授权签约人签字盖章后生效。</w:t>
      </w:r>
    </w:p>
    <w:p w14:paraId="25A958BB">
      <w:pPr>
        <w:spacing w:line="420" w:lineRule="exact"/>
        <w:ind w:firstLine="480" w:firstLineChars="200"/>
        <w:contextualSpacing/>
        <w:rPr>
          <w:rFonts w:ascii="宋体" w:hAnsi="宋体" w:cs="宋体"/>
          <w:sz w:val="24"/>
        </w:rPr>
      </w:pPr>
      <w:r>
        <w:rPr>
          <w:rFonts w:hint="eastAsia" w:ascii="宋体" w:hAnsi="宋体" w:cs="宋体"/>
          <w:sz w:val="24"/>
        </w:rPr>
        <w:t>2、</w:t>
      </w:r>
      <w:r>
        <w:rPr>
          <w:rFonts w:hint="eastAsia" w:ascii="宋体" w:hAnsi="宋体" w:cs="宋体"/>
          <w:kern w:val="0"/>
          <w:sz w:val="24"/>
        </w:rPr>
        <w:t>相关询价材料与本合同具有同等法律效力。</w:t>
      </w:r>
    </w:p>
    <w:p w14:paraId="0868BD01">
      <w:pPr>
        <w:adjustRightInd w:val="0"/>
        <w:snapToGrid w:val="0"/>
        <w:spacing w:line="420" w:lineRule="exact"/>
        <w:ind w:firstLine="480" w:firstLineChars="200"/>
        <w:contextualSpacing/>
        <w:rPr>
          <w:rFonts w:ascii="宋体" w:hAnsi="宋体" w:cs="宋体"/>
          <w:sz w:val="24"/>
        </w:rPr>
      </w:pPr>
      <w:r>
        <w:rPr>
          <w:rFonts w:hint="eastAsia" w:ascii="宋体" w:hAnsi="宋体" w:cs="宋体"/>
          <w:sz w:val="24"/>
        </w:rPr>
        <w:t>3、</w:t>
      </w:r>
      <w:r>
        <w:rPr>
          <w:rFonts w:hint="eastAsia" w:ascii="宋体" w:hAnsi="宋体" w:cs="宋体"/>
          <w:kern w:val="0"/>
          <w:sz w:val="24"/>
        </w:rPr>
        <w:t>本合同未尽事宜，如需修改或补充合同内容，经协商一致，双方应签订补充协议，补充协议与本合同具有同等效力。</w:t>
      </w:r>
    </w:p>
    <w:p w14:paraId="40CE6C94">
      <w:pPr>
        <w:pStyle w:val="10"/>
        <w:numPr>
          <w:ilvl w:val="0"/>
          <w:numId w:val="0"/>
        </w:numPr>
      </w:pPr>
    </w:p>
    <w:p w14:paraId="7A42B7B1">
      <w:pPr>
        <w:widowControl/>
        <w:spacing w:line="440" w:lineRule="exact"/>
        <w:ind w:left="5280" w:hanging="5280" w:hangingChars="2200"/>
        <w:rPr>
          <w:rFonts w:ascii="宋体" w:hAnsi="宋体" w:cs="宋体"/>
          <w:b/>
          <w:kern w:val="0"/>
          <w:sz w:val="24"/>
        </w:rPr>
      </w:pPr>
      <w:r>
        <w:rPr>
          <w:rFonts w:hint="eastAsia" w:ascii="宋体" w:hAnsi="宋体" w:cs="宋体"/>
          <w:kern w:val="0"/>
          <w:sz w:val="24"/>
        </w:rPr>
        <w:t>甲方：</w:t>
      </w:r>
      <w:r>
        <w:rPr>
          <w:rFonts w:hint="eastAsia" w:ascii="宋体" w:hAnsi="宋体" w:cs="宋体"/>
          <w:b/>
          <w:bCs/>
          <w:kern w:val="0"/>
          <w:sz w:val="24"/>
        </w:rPr>
        <w:t xml:space="preserve">扬州大学附属医院              </w:t>
      </w:r>
      <w:r>
        <w:rPr>
          <w:rFonts w:hint="eastAsia" w:ascii="宋体" w:hAnsi="宋体" w:cs="宋体"/>
          <w:kern w:val="0"/>
          <w:sz w:val="24"/>
        </w:rPr>
        <w:t>乙方：</w:t>
      </w:r>
    </w:p>
    <w:p w14:paraId="58A4824E">
      <w:pPr>
        <w:spacing w:line="440" w:lineRule="exact"/>
        <w:rPr>
          <w:rFonts w:ascii="宋体" w:hAnsi="宋体" w:cs="宋体"/>
          <w:kern w:val="0"/>
          <w:sz w:val="24"/>
        </w:rPr>
      </w:pPr>
      <w:r>
        <w:rPr>
          <w:rFonts w:hint="eastAsia" w:ascii="宋体" w:hAnsi="宋体" w:cs="宋体"/>
          <w:kern w:val="0"/>
          <w:sz w:val="24"/>
        </w:rPr>
        <w:t>法定代表人或授权签约人              法定代表人或授权签约人</w:t>
      </w:r>
    </w:p>
    <w:p w14:paraId="72BA96E4">
      <w:pPr>
        <w:widowControl/>
        <w:spacing w:line="440" w:lineRule="exact"/>
        <w:jc w:val="left"/>
        <w:rPr>
          <w:rFonts w:ascii="宋体" w:hAnsi="宋体" w:cs="宋体"/>
          <w:kern w:val="0"/>
          <w:sz w:val="24"/>
        </w:rPr>
      </w:pPr>
      <w:r>
        <w:rPr>
          <w:rFonts w:hint="eastAsia" w:ascii="宋体" w:hAnsi="宋体" w:cs="宋体"/>
          <w:kern w:val="0"/>
          <w:sz w:val="24"/>
        </w:rPr>
        <w:t>（签字）：                         （签字）：</w:t>
      </w:r>
    </w:p>
    <w:p w14:paraId="27E3897D">
      <w:pPr>
        <w:widowControl/>
        <w:spacing w:line="440" w:lineRule="exact"/>
        <w:ind w:left="5640" w:hanging="5640" w:hangingChars="2350"/>
        <w:jc w:val="left"/>
        <w:rPr>
          <w:rFonts w:ascii="宋体" w:hAnsi="宋体" w:cs="宋体"/>
          <w:kern w:val="0"/>
          <w:sz w:val="24"/>
        </w:rPr>
      </w:pPr>
      <w:r>
        <w:rPr>
          <w:rFonts w:hint="eastAsia" w:ascii="宋体" w:hAnsi="宋体" w:cs="宋体"/>
          <w:kern w:val="0"/>
          <w:sz w:val="24"/>
        </w:rPr>
        <w:t>地址：                              地址：</w:t>
      </w:r>
    </w:p>
    <w:p w14:paraId="66A6D0B4">
      <w:pPr>
        <w:widowControl/>
        <w:spacing w:line="440" w:lineRule="exact"/>
        <w:jc w:val="left"/>
        <w:rPr>
          <w:rFonts w:ascii="宋体" w:hAnsi="宋体" w:cs="宋体"/>
          <w:kern w:val="0"/>
          <w:sz w:val="24"/>
        </w:rPr>
      </w:pPr>
      <w:r>
        <w:rPr>
          <w:rFonts w:hint="eastAsia" w:ascii="宋体" w:hAnsi="宋体" w:cs="宋体"/>
          <w:kern w:val="0"/>
          <w:sz w:val="24"/>
        </w:rPr>
        <w:t>信用代码：                          邮编：</w:t>
      </w:r>
    </w:p>
    <w:p w14:paraId="447D86C4">
      <w:pPr>
        <w:spacing w:line="440" w:lineRule="exact"/>
        <w:rPr>
          <w:rFonts w:ascii="宋体" w:hAnsi="宋体" w:cs="宋体"/>
          <w:kern w:val="0"/>
          <w:sz w:val="24"/>
        </w:rPr>
      </w:pPr>
      <w:r>
        <w:rPr>
          <w:rFonts w:hint="eastAsia" w:ascii="宋体" w:hAnsi="宋体" w:cs="宋体"/>
          <w:kern w:val="0"/>
          <w:sz w:val="24"/>
        </w:rPr>
        <w:t>电话：                              电话：</w:t>
      </w:r>
    </w:p>
    <w:p w14:paraId="56807661">
      <w:pPr>
        <w:spacing w:line="440" w:lineRule="exact"/>
        <w:rPr>
          <w:rFonts w:ascii="宋体" w:hAnsi="宋体" w:cs="宋体"/>
          <w:kern w:val="0"/>
          <w:sz w:val="24"/>
        </w:rPr>
      </w:pPr>
      <w:r>
        <w:rPr>
          <w:rFonts w:hint="eastAsia" w:ascii="宋体" w:hAnsi="宋体" w:cs="宋体"/>
          <w:kern w:val="0"/>
          <w:sz w:val="24"/>
        </w:rPr>
        <w:t>开户银行：                          开户银行：</w:t>
      </w:r>
    </w:p>
    <w:p w14:paraId="2DE9CE16">
      <w:pPr>
        <w:spacing w:line="440" w:lineRule="exact"/>
        <w:rPr>
          <w:rFonts w:ascii="宋体" w:hAnsi="宋体" w:cs="宋体"/>
          <w:b/>
          <w:bCs/>
          <w:kern w:val="36"/>
          <w:sz w:val="24"/>
        </w:rPr>
      </w:pPr>
      <w:r>
        <w:rPr>
          <w:rFonts w:hint="eastAsia" w:ascii="宋体" w:hAnsi="宋体" w:cs="宋体"/>
          <w:kern w:val="0"/>
          <w:sz w:val="24"/>
        </w:rPr>
        <w:t>账号：                              账号：</w:t>
      </w:r>
    </w:p>
    <w:p w14:paraId="0727AC16">
      <w:pPr>
        <w:pStyle w:val="17"/>
        <w:shd w:val="clear" w:color="auto" w:fill="FFFFFF"/>
        <w:spacing w:before="0" w:beforeAutospacing="0" w:after="0" w:afterAutospacing="0" w:line="440" w:lineRule="exact"/>
        <w:jc w:val="both"/>
      </w:pPr>
      <w:r>
        <w:rPr>
          <w:rFonts w:hint="eastAsia"/>
        </w:rPr>
        <w:t>日期：2024年   月   日             日期：2024年   月   日</w:t>
      </w:r>
    </w:p>
    <w:p w14:paraId="45C3498E">
      <w:pPr>
        <w:widowControl/>
        <w:jc w:val="left"/>
        <w:rPr>
          <w:rFonts w:ascii="宋体" w:hAnsi="宋体" w:cs="宋体"/>
          <w:b/>
          <w:bCs/>
          <w:kern w:val="36"/>
          <w:sz w:val="36"/>
          <w:szCs w:val="36"/>
        </w:rPr>
      </w:pPr>
      <w:r>
        <w:rPr>
          <w:rFonts w:ascii="宋体" w:hAnsi="宋体" w:cs="宋体"/>
          <w:kern w:val="0"/>
          <w:sz w:val="24"/>
        </w:rPr>
        <w:br w:type="page"/>
      </w:r>
    </w:p>
    <w:p w14:paraId="3A0AC7B6">
      <w:pPr>
        <w:pStyle w:val="10"/>
        <w:numPr>
          <w:ilvl w:val="0"/>
          <w:numId w:val="0"/>
        </w:numPr>
        <w:ind w:left="780"/>
        <w:jc w:val="center"/>
        <w:rPr>
          <w:rFonts w:ascii="宋体" w:hAnsi="宋体" w:cs="宋体"/>
          <w:b/>
          <w:bCs/>
          <w:kern w:val="36"/>
          <w:sz w:val="36"/>
          <w:szCs w:val="36"/>
        </w:rPr>
      </w:pPr>
      <w:r>
        <w:rPr>
          <w:rFonts w:hint="eastAsia" w:ascii="宋体" w:hAnsi="宋体" w:cs="宋体"/>
          <w:b/>
          <w:bCs/>
          <w:kern w:val="36"/>
          <w:sz w:val="36"/>
          <w:szCs w:val="36"/>
        </w:rPr>
        <w:t>廉洁合作协议</w:t>
      </w:r>
    </w:p>
    <w:p w14:paraId="072B50D3">
      <w:pPr>
        <w:adjustRightInd w:val="0"/>
        <w:snapToGrid w:val="0"/>
        <w:spacing w:line="340" w:lineRule="exact"/>
        <w:contextualSpacing/>
        <w:rPr>
          <w:rFonts w:ascii="宋体" w:hAnsi="宋体" w:cs="宋体"/>
          <w:b/>
          <w:kern w:val="0"/>
          <w:sz w:val="24"/>
        </w:rPr>
      </w:pPr>
      <w:r>
        <w:rPr>
          <w:rFonts w:hint="eastAsia" w:ascii="宋体" w:hAnsi="宋体" w:cs="宋体"/>
          <w:kern w:val="0"/>
          <w:sz w:val="24"/>
        </w:rPr>
        <w:t>甲方名称：</w:t>
      </w:r>
      <w:r>
        <w:rPr>
          <w:rFonts w:hint="eastAsia" w:ascii="宋体" w:hAnsi="宋体" w:cs="宋体"/>
          <w:b/>
          <w:bCs/>
          <w:kern w:val="0"/>
          <w:sz w:val="24"/>
        </w:rPr>
        <w:t>扬州大学附属医院</w:t>
      </w:r>
    </w:p>
    <w:p w14:paraId="11799631">
      <w:pPr>
        <w:adjustRightInd w:val="0"/>
        <w:snapToGrid w:val="0"/>
        <w:spacing w:line="340" w:lineRule="exact"/>
        <w:contextualSpacing/>
        <w:rPr>
          <w:b/>
          <w:bCs/>
        </w:rPr>
      </w:pPr>
      <w:r>
        <w:rPr>
          <w:rFonts w:hint="eastAsia" w:ascii="宋体" w:hAnsi="宋体" w:cs="宋体"/>
          <w:kern w:val="0"/>
          <w:sz w:val="24"/>
        </w:rPr>
        <w:t>乙方名称：</w:t>
      </w:r>
    </w:p>
    <w:p w14:paraId="76CF1F06">
      <w:pPr>
        <w:adjustRightInd w:val="0"/>
        <w:snapToGrid w:val="0"/>
        <w:spacing w:line="340" w:lineRule="exact"/>
        <w:ind w:firstLine="580" w:firstLineChars="242"/>
        <w:contextualSpacing/>
        <w:rPr>
          <w:rFonts w:ascii="宋体" w:hAnsi="宋体" w:cs="宋体"/>
          <w:kern w:val="0"/>
          <w:sz w:val="24"/>
        </w:rPr>
      </w:pPr>
      <w:r>
        <w:rPr>
          <w:rFonts w:hint="eastAsia" w:ascii="宋体" w:hAnsi="宋体" w:cs="宋体"/>
          <w:kern w:val="0"/>
          <w:sz w:val="24"/>
        </w:rPr>
        <w:t>在甲乙双方订立、履行合同过程中，为保持廉洁自律的工作作风，防止各种不正当行为的发生，甲乙双方订立协议如下：</w:t>
      </w:r>
    </w:p>
    <w:p w14:paraId="4FDE22C2">
      <w:pPr>
        <w:adjustRightInd w:val="0"/>
        <w:snapToGrid w:val="0"/>
        <w:spacing w:line="340" w:lineRule="exact"/>
        <w:ind w:firstLine="480" w:firstLineChars="200"/>
        <w:contextualSpacing/>
        <w:rPr>
          <w:rFonts w:ascii="宋体" w:hAnsi="宋体" w:cs="宋体"/>
          <w:kern w:val="0"/>
          <w:sz w:val="24"/>
        </w:rPr>
      </w:pPr>
      <w:r>
        <w:rPr>
          <w:rFonts w:hint="eastAsia" w:ascii="宋体" w:hAnsi="宋体" w:cs="宋体"/>
          <w:kern w:val="0"/>
          <w:sz w:val="24"/>
        </w:rPr>
        <w:t>一、甲乙双方应当自觉遵守国家、地方法律法规以及本协议的约定，在合同的订立、履行过程中廉洁自律。</w:t>
      </w:r>
    </w:p>
    <w:p w14:paraId="73B38830">
      <w:pPr>
        <w:adjustRightInd w:val="0"/>
        <w:snapToGrid w:val="0"/>
        <w:spacing w:line="340" w:lineRule="exact"/>
        <w:ind w:firstLine="480" w:firstLineChars="200"/>
        <w:contextualSpacing/>
        <w:rPr>
          <w:rFonts w:ascii="宋体" w:hAnsi="宋体" w:cs="宋体"/>
          <w:kern w:val="0"/>
          <w:sz w:val="24"/>
        </w:rPr>
      </w:pPr>
      <w:r>
        <w:rPr>
          <w:rFonts w:hint="eastAsia" w:ascii="宋体" w:hAnsi="宋体" w:cs="宋体"/>
          <w:kern w:val="0"/>
          <w:sz w:val="24"/>
        </w:rPr>
        <w:t>二、甲方工作人员严禁进行商业目的的统方，不得以任何形式向乙方索要和收受个人回扣等好处费。</w:t>
      </w:r>
    </w:p>
    <w:p w14:paraId="310724DB">
      <w:pPr>
        <w:adjustRightInd w:val="0"/>
        <w:snapToGrid w:val="0"/>
        <w:spacing w:line="340" w:lineRule="exact"/>
        <w:ind w:firstLine="480" w:firstLineChars="200"/>
        <w:contextualSpacing/>
        <w:rPr>
          <w:rFonts w:ascii="宋体" w:hAnsi="宋体" w:cs="宋体"/>
          <w:kern w:val="0"/>
          <w:sz w:val="24"/>
        </w:rPr>
      </w:pPr>
      <w:r>
        <w:rPr>
          <w:rFonts w:hint="eastAsia" w:ascii="宋体" w:hAnsi="宋体" w:cs="宋体"/>
          <w:kern w:val="0"/>
          <w:sz w:val="24"/>
        </w:rPr>
        <w:t>三、甲方工作人员应当保持与乙方的正常业务交往，不得接受乙方的礼金、有价证券和贵重物品，不得在乙方报销任何应由其个人承担的费用。</w:t>
      </w:r>
    </w:p>
    <w:p w14:paraId="5877506F">
      <w:pPr>
        <w:adjustRightInd w:val="0"/>
        <w:snapToGrid w:val="0"/>
        <w:spacing w:line="340" w:lineRule="exact"/>
        <w:ind w:firstLine="480" w:firstLineChars="200"/>
        <w:contextualSpacing/>
        <w:rPr>
          <w:rFonts w:ascii="宋体" w:hAnsi="宋体" w:cs="宋体"/>
          <w:kern w:val="0"/>
          <w:sz w:val="24"/>
        </w:rPr>
      </w:pPr>
      <w:r>
        <w:rPr>
          <w:rFonts w:hint="eastAsia" w:ascii="宋体" w:hAnsi="宋体" w:cs="宋体"/>
          <w:kern w:val="0"/>
          <w:sz w:val="24"/>
        </w:rPr>
        <w:t>四、甲方工作人员不得参加可能对公正开展业务有影响的宴请和娱乐活动。如甲方工作人员确因实际情况须参加宴请、进行娱乐活动的，须事先报上一级批准。</w:t>
      </w:r>
    </w:p>
    <w:p w14:paraId="3E42EA26">
      <w:pPr>
        <w:adjustRightInd w:val="0"/>
        <w:snapToGrid w:val="0"/>
        <w:spacing w:line="340" w:lineRule="exact"/>
        <w:ind w:firstLine="480" w:firstLineChars="200"/>
        <w:contextualSpacing/>
        <w:rPr>
          <w:rFonts w:ascii="宋体" w:hAnsi="宋体" w:cs="宋体"/>
          <w:kern w:val="0"/>
          <w:sz w:val="24"/>
        </w:rPr>
      </w:pPr>
      <w:r>
        <w:rPr>
          <w:rFonts w:hint="eastAsia" w:ascii="宋体" w:hAnsi="宋体" w:cs="宋体"/>
          <w:kern w:val="0"/>
          <w:sz w:val="24"/>
        </w:rPr>
        <w:t>五、甲方工作人员不得要求或者接受乙方为其住房装修、婚丧嫁娶、家属和子女的工作安排以及出国等提供方便。</w:t>
      </w:r>
    </w:p>
    <w:p w14:paraId="3A86528C">
      <w:pPr>
        <w:adjustRightInd w:val="0"/>
        <w:snapToGrid w:val="0"/>
        <w:spacing w:line="340" w:lineRule="exact"/>
        <w:ind w:firstLine="480" w:firstLineChars="200"/>
        <w:contextualSpacing/>
        <w:rPr>
          <w:rFonts w:ascii="宋体" w:hAnsi="宋体" w:cs="宋体"/>
          <w:kern w:val="0"/>
          <w:sz w:val="24"/>
        </w:rPr>
      </w:pPr>
      <w:r>
        <w:rPr>
          <w:rFonts w:hint="eastAsia" w:ascii="宋体" w:hAnsi="宋体" w:cs="宋体"/>
          <w:kern w:val="0"/>
          <w:sz w:val="24"/>
        </w:rPr>
        <w:t>六、乙方不得接受甲方工作人员介绍的家属或者亲友从事与合同相关的业务。</w:t>
      </w:r>
    </w:p>
    <w:p w14:paraId="63D87689">
      <w:pPr>
        <w:adjustRightInd w:val="0"/>
        <w:snapToGrid w:val="0"/>
        <w:spacing w:line="340" w:lineRule="exact"/>
        <w:ind w:firstLine="480" w:firstLineChars="200"/>
        <w:contextualSpacing/>
        <w:rPr>
          <w:rFonts w:ascii="宋体" w:hAnsi="宋体" w:cs="宋体"/>
          <w:kern w:val="0"/>
          <w:sz w:val="24"/>
        </w:rPr>
      </w:pPr>
      <w:r>
        <w:rPr>
          <w:rFonts w:hint="eastAsia" w:ascii="宋体" w:hAnsi="宋体" w:cs="宋体"/>
          <w:kern w:val="0"/>
          <w:sz w:val="24"/>
        </w:rPr>
        <w:t>七、乙方应当通过正常途径开展相关业务，不得为获取某些不正当利益而向甲方工作人员赠送礼金、有价证券和贵重物品等，或给甲方工作人员报销其个人费用，或邀请甲方工作人员外出旅游和进入营业性娱乐场所，或为甲方工作人员住房装修、婚丧嫁娶、家属和子女的工作安排以及出国等提供方便。</w:t>
      </w:r>
    </w:p>
    <w:p w14:paraId="0B9B2513">
      <w:pPr>
        <w:adjustRightInd w:val="0"/>
        <w:snapToGrid w:val="0"/>
        <w:spacing w:line="340" w:lineRule="exact"/>
        <w:ind w:firstLine="480" w:firstLineChars="200"/>
        <w:contextualSpacing/>
        <w:rPr>
          <w:rFonts w:ascii="宋体" w:hAnsi="宋体" w:cs="宋体"/>
          <w:kern w:val="0"/>
          <w:sz w:val="24"/>
        </w:rPr>
      </w:pPr>
      <w:r>
        <w:rPr>
          <w:rFonts w:hint="eastAsia" w:ascii="宋体" w:hAnsi="宋体" w:cs="宋体"/>
          <w:kern w:val="0"/>
          <w:sz w:val="24"/>
        </w:rPr>
        <w:t>八、乙方如发现甲方工作人员有违反上述协议者，应向甲方举报（甲方举报接待部门：纪委办公室；举报电话：87907263）。甲方不得找任何借口对乙方进行报复。甲方对举报属实和严格遵守廉洁协议的乙方，在同等条件下优先考虑与乙方继续合作。</w:t>
      </w:r>
    </w:p>
    <w:p w14:paraId="749078B5">
      <w:pPr>
        <w:adjustRightInd w:val="0"/>
        <w:snapToGrid w:val="0"/>
        <w:spacing w:line="340" w:lineRule="exact"/>
        <w:ind w:firstLine="480" w:firstLineChars="200"/>
        <w:contextualSpacing/>
        <w:rPr>
          <w:rFonts w:ascii="宋体" w:hAnsi="宋体" w:cs="宋体"/>
          <w:kern w:val="0"/>
          <w:sz w:val="24"/>
        </w:rPr>
      </w:pPr>
      <w:r>
        <w:rPr>
          <w:rFonts w:hint="eastAsia" w:ascii="宋体" w:hAnsi="宋体" w:cs="宋体"/>
          <w:kern w:val="0"/>
          <w:sz w:val="24"/>
        </w:rPr>
        <w:t>九、甲方发现乙方有违反本协议或者采用不正当的手段行贿甲方工作人员等不正当竞争行为的，甲方有权解除合同。</w:t>
      </w:r>
    </w:p>
    <w:p w14:paraId="56EC83D4">
      <w:pPr>
        <w:adjustRightInd w:val="0"/>
        <w:snapToGrid w:val="0"/>
        <w:spacing w:line="340" w:lineRule="exact"/>
        <w:ind w:firstLine="480" w:firstLineChars="200"/>
        <w:contextualSpacing/>
        <w:rPr>
          <w:rFonts w:ascii="宋体" w:hAnsi="宋体" w:cs="宋体"/>
          <w:kern w:val="0"/>
          <w:sz w:val="24"/>
        </w:rPr>
      </w:pPr>
      <w:r>
        <w:rPr>
          <w:rFonts w:hint="eastAsia" w:ascii="宋体" w:hAnsi="宋体" w:cs="宋体"/>
          <w:kern w:val="0"/>
          <w:sz w:val="24"/>
        </w:rPr>
        <w:t>十、本廉洁协议作为合同的附件，与合同具有同等法律效力。经协议双方签署后立即生效。</w:t>
      </w:r>
    </w:p>
    <w:p w14:paraId="631F68E3">
      <w:pPr>
        <w:adjustRightInd w:val="0"/>
        <w:snapToGrid w:val="0"/>
        <w:spacing w:line="340" w:lineRule="exact"/>
        <w:ind w:firstLine="480" w:firstLineChars="200"/>
        <w:contextualSpacing/>
        <w:rPr>
          <w:rFonts w:ascii="宋体" w:hAnsi="宋体" w:cs="宋体"/>
          <w:kern w:val="0"/>
          <w:sz w:val="24"/>
        </w:rPr>
      </w:pPr>
      <w:r>
        <w:rPr>
          <w:rFonts w:hint="eastAsia" w:ascii="宋体" w:hAnsi="宋体" w:cs="宋体"/>
          <w:kern w:val="0"/>
          <w:sz w:val="24"/>
        </w:rPr>
        <w:t>十一、本协议一式肆份，甲、乙双方各贰份，并从签订之日起生效。</w:t>
      </w:r>
    </w:p>
    <w:p w14:paraId="43B979A2">
      <w:pPr>
        <w:pStyle w:val="10"/>
        <w:numPr>
          <w:ilvl w:val="0"/>
          <w:numId w:val="0"/>
        </w:numPr>
      </w:pPr>
    </w:p>
    <w:p w14:paraId="5843A49E">
      <w:pPr>
        <w:adjustRightInd w:val="0"/>
        <w:snapToGrid w:val="0"/>
        <w:spacing w:line="440" w:lineRule="exact"/>
        <w:ind w:left="6000" w:hanging="6000" w:hangingChars="2500"/>
        <w:contextualSpacing/>
        <w:rPr>
          <w:rFonts w:ascii="宋体" w:hAnsi="宋体" w:cs="宋体"/>
          <w:b/>
          <w:kern w:val="0"/>
          <w:sz w:val="24"/>
        </w:rPr>
      </w:pPr>
      <w:r>
        <w:rPr>
          <w:rFonts w:hint="eastAsia" w:ascii="宋体" w:hAnsi="宋体" w:cs="宋体"/>
          <w:kern w:val="0"/>
          <w:sz w:val="24"/>
        </w:rPr>
        <w:t>甲方：（盖章）</w:t>
      </w:r>
      <w:r>
        <w:rPr>
          <w:rFonts w:hint="eastAsia" w:ascii="宋体" w:hAnsi="宋体" w:cs="宋体"/>
          <w:b/>
          <w:kern w:val="0"/>
          <w:sz w:val="24"/>
        </w:rPr>
        <w:t xml:space="preserve">扬州大学附属医院  </w:t>
      </w:r>
      <w:r>
        <w:rPr>
          <w:rFonts w:hint="eastAsia" w:ascii="宋体" w:hAnsi="宋体" w:cs="宋体"/>
          <w:kern w:val="0"/>
          <w:sz w:val="24"/>
        </w:rPr>
        <w:t>乙方：（盖章）</w:t>
      </w:r>
    </w:p>
    <w:p w14:paraId="347F2776">
      <w:pPr>
        <w:adjustRightInd w:val="0"/>
        <w:snapToGrid w:val="0"/>
        <w:spacing w:line="340" w:lineRule="exact"/>
        <w:contextualSpacing/>
        <w:rPr>
          <w:rFonts w:ascii="宋体" w:hAnsi="宋体" w:cs="宋体"/>
          <w:kern w:val="0"/>
          <w:sz w:val="24"/>
        </w:rPr>
      </w:pPr>
      <w:r>
        <w:rPr>
          <w:rFonts w:hint="eastAsia" w:ascii="宋体" w:hAnsi="宋体" w:cs="宋体"/>
          <w:kern w:val="0"/>
          <w:sz w:val="24"/>
        </w:rPr>
        <w:t>法定代表人：                    法定代表人：</w:t>
      </w:r>
    </w:p>
    <w:p w14:paraId="15D1A046">
      <w:pPr>
        <w:adjustRightInd w:val="0"/>
        <w:snapToGrid w:val="0"/>
        <w:spacing w:line="340" w:lineRule="exact"/>
        <w:contextualSpacing/>
        <w:rPr>
          <w:rFonts w:ascii="宋体" w:hAnsi="宋体" w:cs="宋体"/>
          <w:kern w:val="0"/>
          <w:sz w:val="24"/>
        </w:rPr>
      </w:pPr>
      <w:r>
        <w:rPr>
          <w:rFonts w:hint="eastAsia" w:ascii="宋体" w:hAnsi="宋体" w:cs="宋体"/>
          <w:kern w:val="0"/>
          <w:sz w:val="24"/>
        </w:rPr>
        <w:t>（或授权签约人）：              （或授权签约人）：</w:t>
      </w:r>
    </w:p>
    <w:p w14:paraId="73585562">
      <w:pPr>
        <w:adjustRightInd w:val="0"/>
        <w:snapToGrid w:val="0"/>
        <w:spacing w:line="340" w:lineRule="exact"/>
        <w:contextualSpacing/>
        <w:rPr>
          <w:rFonts w:ascii="宋体" w:hAnsi="宋体" w:cs="宋体"/>
          <w:kern w:val="0"/>
          <w:sz w:val="24"/>
        </w:rPr>
      </w:pPr>
    </w:p>
    <w:p w14:paraId="110D042D">
      <w:pPr>
        <w:adjustRightInd w:val="0"/>
        <w:snapToGrid w:val="0"/>
        <w:spacing w:line="340" w:lineRule="exact"/>
        <w:contextualSpacing/>
        <w:rPr>
          <w:rFonts w:ascii="宋体" w:hAnsi="宋体" w:cs="宋体"/>
          <w:kern w:val="0"/>
          <w:sz w:val="24"/>
        </w:rPr>
      </w:pPr>
      <w:r>
        <w:rPr>
          <w:rFonts w:hint="eastAsia" w:ascii="宋体" w:hAnsi="宋体" w:cs="宋体"/>
          <w:kern w:val="0"/>
          <w:sz w:val="24"/>
        </w:rPr>
        <w:t>日期:2024年   月   日           日期：2024年   月   日</w:t>
      </w:r>
    </w:p>
    <w:p w14:paraId="150EAAD3">
      <w:pPr>
        <w:rPr>
          <w:rFonts w:ascii="宋体" w:hAnsi="宋体" w:cs="宋体"/>
          <w:b/>
          <w:color w:val="000000"/>
          <w:kern w:val="0"/>
          <w:sz w:val="24"/>
        </w:rPr>
      </w:pPr>
    </w:p>
    <w:p w14:paraId="2D04B8FC">
      <w:pPr>
        <w:pStyle w:val="9"/>
        <w:adjustRightInd w:val="0"/>
        <w:snapToGrid w:val="0"/>
        <w:spacing w:line="440" w:lineRule="exact"/>
        <w:ind w:right="420" w:rightChars="200" w:firstLine="480" w:firstLineChars="200"/>
        <w:contextualSpacing/>
        <w:rPr>
          <w:rFonts w:hint="eastAsia" w:asciiTheme="minorEastAsia" w:hAnsiTheme="minorEastAsia" w:eastAsiaTheme="minorEastAsia"/>
          <w:sz w:val="24"/>
        </w:rPr>
      </w:pPr>
    </w:p>
    <w:sectPr>
      <w:footerReference r:id="rId6" w:type="first"/>
      <w:pgSz w:w="11906" w:h="16838"/>
      <w:pgMar w:top="1440" w:right="1077" w:bottom="1440" w:left="1077" w:header="851" w:footer="992" w:gutter="0"/>
      <w:cols w:space="425"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3622898"/>
    </w:sdtPr>
    <w:sdtContent>
      <w:p w14:paraId="670AE71F">
        <w:pPr>
          <w:pStyle w:val="14"/>
          <w:jc w:val="center"/>
        </w:pPr>
        <w:r>
          <w:t>1</w:t>
        </w:r>
      </w:p>
    </w:sdtContent>
  </w:sdt>
  <w:p w14:paraId="461FDD57">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8438243"/>
    </w:sdtPr>
    <w:sdtContent>
      <w:p w14:paraId="641E86D9">
        <w:pPr>
          <w:pStyle w:val="14"/>
          <w:jc w:val="center"/>
        </w:pPr>
        <w:r>
          <w:fldChar w:fldCharType="begin"/>
        </w:r>
        <w:r>
          <w:instrText xml:space="preserve">PAGE   \* MERGEFORMAT</w:instrText>
        </w:r>
        <w:r>
          <w:fldChar w:fldCharType="separate"/>
        </w:r>
        <w:r>
          <w:rPr>
            <w:lang w:val="zh-CN"/>
          </w:rPr>
          <w:t>4</w:t>
        </w:r>
        <w:r>
          <w:fldChar w:fldCharType="end"/>
        </w:r>
      </w:p>
    </w:sdtContent>
  </w:sdt>
  <w:p w14:paraId="11876908">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7938314"/>
    </w:sdtPr>
    <w:sdtContent>
      <w:p w14:paraId="6699BC06">
        <w:pPr>
          <w:pStyle w:val="14"/>
          <w:jc w:val="center"/>
        </w:pPr>
        <w:r>
          <w:fldChar w:fldCharType="begin"/>
        </w:r>
        <w:r>
          <w:instrText xml:space="preserve">PAGE   \* MERGEFORMAT</w:instrText>
        </w:r>
        <w:r>
          <w:fldChar w:fldCharType="separate"/>
        </w:r>
        <w:r>
          <w:rPr>
            <w:lang w:val="zh-CN"/>
          </w:rPr>
          <w:t>3</w:t>
        </w:r>
        <w:r>
          <w:fldChar w:fldCharType="end"/>
        </w:r>
      </w:p>
    </w:sdtContent>
  </w:sdt>
  <w:p w14:paraId="1EB2FA4C">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3272841"/>
    </w:sdtPr>
    <w:sdtContent>
      <w:p w14:paraId="07DFE6DC">
        <w:pPr>
          <w:pStyle w:val="14"/>
          <w:jc w:val="center"/>
        </w:pPr>
        <w:r>
          <w:fldChar w:fldCharType="begin"/>
        </w:r>
        <w:r>
          <w:instrText xml:space="preserve">PAGE   \* MERGEFORMAT</w:instrText>
        </w:r>
        <w:r>
          <w:fldChar w:fldCharType="separate"/>
        </w:r>
        <w:r>
          <w:rPr>
            <w:lang w:val="zh-CN"/>
          </w:rPr>
          <w:t>36</w:t>
        </w:r>
        <w:r>
          <w:fldChar w:fldCharType="end"/>
        </w:r>
      </w:p>
    </w:sdtContent>
  </w:sdt>
  <w:p w14:paraId="7EB2F3F0">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40164"/>
    <w:multiLevelType w:val="singleLevel"/>
    <w:tmpl w:val="9F140164"/>
    <w:lvl w:ilvl="0" w:tentative="0">
      <w:start w:val="1"/>
      <w:numFmt w:val="decimal"/>
      <w:suff w:val="nothing"/>
      <w:lvlText w:val="%1、"/>
      <w:lvlJc w:val="left"/>
    </w:lvl>
  </w:abstractNum>
  <w:abstractNum w:abstractNumId="1">
    <w:nsid w:val="B5DD9E67"/>
    <w:multiLevelType w:val="singleLevel"/>
    <w:tmpl w:val="B5DD9E67"/>
    <w:lvl w:ilvl="0" w:tentative="0">
      <w:start w:val="1"/>
      <w:numFmt w:val="decimal"/>
      <w:suff w:val="nothing"/>
      <w:lvlText w:val="%1、"/>
      <w:lvlJc w:val="left"/>
    </w:lvl>
  </w:abstractNum>
  <w:abstractNum w:abstractNumId="2">
    <w:nsid w:val="D066436D"/>
    <w:multiLevelType w:val="singleLevel"/>
    <w:tmpl w:val="D066436D"/>
    <w:lvl w:ilvl="0" w:tentative="0">
      <w:start w:val="1"/>
      <w:numFmt w:val="decimal"/>
      <w:suff w:val="nothing"/>
      <w:lvlText w:val="%1、"/>
      <w:lvlJc w:val="left"/>
    </w:lvl>
  </w:abstractNum>
  <w:abstractNum w:abstractNumId="3">
    <w:nsid w:val="F1372D58"/>
    <w:multiLevelType w:val="singleLevel"/>
    <w:tmpl w:val="F1372D58"/>
    <w:lvl w:ilvl="0" w:tentative="0">
      <w:start w:val="1"/>
      <w:numFmt w:val="decimal"/>
      <w:suff w:val="nothing"/>
      <w:lvlText w:val="%1、"/>
      <w:lvlJc w:val="left"/>
    </w:lvl>
  </w:abstractNum>
  <w:abstractNum w:abstractNumId="4">
    <w:nsid w:val="FFFFFF83"/>
    <w:multiLevelType w:val="singleLevel"/>
    <w:tmpl w:val="FFFFFF83"/>
    <w:lvl w:ilvl="0" w:tentative="0">
      <w:start w:val="1"/>
      <w:numFmt w:val="bullet"/>
      <w:pStyle w:val="10"/>
      <w:lvlText w:val=""/>
      <w:lvlJc w:val="left"/>
      <w:pPr>
        <w:tabs>
          <w:tab w:val="left" w:pos="780"/>
        </w:tabs>
        <w:ind w:left="780" w:leftChars="200" w:hanging="360" w:hangingChars="200"/>
      </w:pPr>
      <w:rPr>
        <w:rFonts w:hint="default" w:ascii="Wingdings" w:hAnsi="Wingdings"/>
      </w:rPr>
    </w:lvl>
  </w:abstractNum>
  <w:abstractNum w:abstractNumId="5">
    <w:nsid w:val="0CCFCE54"/>
    <w:multiLevelType w:val="singleLevel"/>
    <w:tmpl w:val="0CCFCE54"/>
    <w:lvl w:ilvl="0" w:tentative="0">
      <w:start w:val="1"/>
      <w:numFmt w:val="decimal"/>
      <w:suff w:val="nothing"/>
      <w:lvlText w:val="%1、"/>
      <w:lvlJc w:val="left"/>
    </w:lvl>
  </w:abstractNum>
  <w:abstractNum w:abstractNumId="6">
    <w:nsid w:val="61D80044"/>
    <w:multiLevelType w:val="singleLevel"/>
    <w:tmpl w:val="61D80044"/>
    <w:lvl w:ilvl="0" w:tentative="0">
      <w:start w:val="1"/>
      <w:numFmt w:val="decimal"/>
      <w:suff w:val="nothing"/>
      <w:lvlText w:val="%1、"/>
      <w:lvlJc w:val="left"/>
    </w:lvl>
  </w:abstractNum>
  <w:num w:numId="1">
    <w:abstractNumId w:val="4"/>
  </w:num>
  <w:num w:numId="2">
    <w:abstractNumId w:val="3"/>
  </w:num>
  <w:num w:numId="3">
    <w:abstractNumId w:val="2"/>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RiNjhlYzQwYTQ1ZWJiZDE3NTEzMWEyNmJlZmIxNTkifQ=="/>
  </w:docVars>
  <w:rsids>
    <w:rsidRoot w:val="004B6C46"/>
    <w:rsid w:val="0000270E"/>
    <w:rsid w:val="00004032"/>
    <w:rsid w:val="00004153"/>
    <w:rsid w:val="0000425E"/>
    <w:rsid w:val="000058AF"/>
    <w:rsid w:val="00006F20"/>
    <w:rsid w:val="000077B3"/>
    <w:rsid w:val="00010637"/>
    <w:rsid w:val="000106D7"/>
    <w:rsid w:val="00011CCA"/>
    <w:rsid w:val="00015063"/>
    <w:rsid w:val="00015440"/>
    <w:rsid w:val="000211A7"/>
    <w:rsid w:val="00021B40"/>
    <w:rsid w:val="00023EE4"/>
    <w:rsid w:val="000251B0"/>
    <w:rsid w:val="000262B3"/>
    <w:rsid w:val="00027277"/>
    <w:rsid w:val="00027A9E"/>
    <w:rsid w:val="00031E4A"/>
    <w:rsid w:val="000324B6"/>
    <w:rsid w:val="000342A5"/>
    <w:rsid w:val="0003449F"/>
    <w:rsid w:val="0003700B"/>
    <w:rsid w:val="00041B7A"/>
    <w:rsid w:val="00041BA1"/>
    <w:rsid w:val="00042874"/>
    <w:rsid w:val="00043CAB"/>
    <w:rsid w:val="000444A5"/>
    <w:rsid w:val="00047C26"/>
    <w:rsid w:val="000500A7"/>
    <w:rsid w:val="00050FFE"/>
    <w:rsid w:val="000514F0"/>
    <w:rsid w:val="00051B95"/>
    <w:rsid w:val="00051C0A"/>
    <w:rsid w:val="00052743"/>
    <w:rsid w:val="000528B0"/>
    <w:rsid w:val="00052CB3"/>
    <w:rsid w:val="00052F93"/>
    <w:rsid w:val="0005416E"/>
    <w:rsid w:val="0005624C"/>
    <w:rsid w:val="00056910"/>
    <w:rsid w:val="00057554"/>
    <w:rsid w:val="0005769F"/>
    <w:rsid w:val="000657D3"/>
    <w:rsid w:val="00067DCB"/>
    <w:rsid w:val="00070769"/>
    <w:rsid w:val="00070E1D"/>
    <w:rsid w:val="00072A11"/>
    <w:rsid w:val="000745EF"/>
    <w:rsid w:val="0007514C"/>
    <w:rsid w:val="000755D2"/>
    <w:rsid w:val="00075E7E"/>
    <w:rsid w:val="00084298"/>
    <w:rsid w:val="00085004"/>
    <w:rsid w:val="0009129B"/>
    <w:rsid w:val="000914DC"/>
    <w:rsid w:val="0009169D"/>
    <w:rsid w:val="00091E74"/>
    <w:rsid w:val="00092540"/>
    <w:rsid w:val="00093012"/>
    <w:rsid w:val="000967E7"/>
    <w:rsid w:val="00096ADA"/>
    <w:rsid w:val="00096B7B"/>
    <w:rsid w:val="000A2512"/>
    <w:rsid w:val="000A3D4A"/>
    <w:rsid w:val="000A4BBD"/>
    <w:rsid w:val="000A6D0E"/>
    <w:rsid w:val="000A6E49"/>
    <w:rsid w:val="000B1028"/>
    <w:rsid w:val="000B34F4"/>
    <w:rsid w:val="000B3E14"/>
    <w:rsid w:val="000B50D9"/>
    <w:rsid w:val="000B6BE9"/>
    <w:rsid w:val="000C0DCD"/>
    <w:rsid w:val="000C2069"/>
    <w:rsid w:val="000C23F2"/>
    <w:rsid w:val="000C2CF2"/>
    <w:rsid w:val="000C51AF"/>
    <w:rsid w:val="000C55D7"/>
    <w:rsid w:val="000D02D6"/>
    <w:rsid w:val="000D03A0"/>
    <w:rsid w:val="000D07DB"/>
    <w:rsid w:val="000D140E"/>
    <w:rsid w:val="000D1543"/>
    <w:rsid w:val="000D1F68"/>
    <w:rsid w:val="000D2AFA"/>
    <w:rsid w:val="000D40D9"/>
    <w:rsid w:val="000D47F6"/>
    <w:rsid w:val="000D7845"/>
    <w:rsid w:val="000D79DC"/>
    <w:rsid w:val="000E00FA"/>
    <w:rsid w:val="000E11E0"/>
    <w:rsid w:val="000E364B"/>
    <w:rsid w:val="000E4728"/>
    <w:rsid w:val="000E4B6A"/>
    <w:rsid w:val="000E4EA3"/>
    <w:rsid w:val="000E54E5"/>
    <w:rsid w:val="000F0043"/>
    <w:rsid w:val="000F03D5"/>
    <w:rsid w:val="000F10CA"/>
    <w:rsid w:val="000F4538"/>
    <w:rsid w:val="000F7A06"/>
    <w:rsid w:val="000F7BF6"/>
    <w:rsid w:val="000F7CEC"/>
    <w:rsid w:val="001000E6"/>
    <w:rsid w:val="00100C1C"/>
    <w:rsid w:val="00102036"/>
    <w:rsid w:val="001041DF"/>
    <w:rsid w:val="0010572D"/>
    <w:rsid w:val="001071E4"/>
    <w:rsid w:val="00110991"/>
    <w:rsid w:val="00111341"/>
    <w:rsid w:val="00112329"/>
    <w:rsid w:val="00114234"/>
    <w:rsid w:val="001153BB"/>
    <w:rsid w:val="00116DEF"/>
    <w:rsid w:val="00120FC3"/>
    <w:rsid w:val="001227D1"/>
    <w:rsid w:val="00122E69"/>
    <w:rsid w:val="00123FB1"/>
    <w:rsid w:val="00124007"/>
    <w:rsid w:val="00124044"/>
    <w:rsid w:val="00125547"/>
    <w:rsid w:val="00125673"/>
    <w:rsid w:val="001257D7"/>
    <w:rsid w:val="00125FFC"/>
    <w:rsid w:val="0012632F"/>
    <w:rsid w:val="00126E59"/>
    <w:rsid w:val="00127F17"/>
    <w:rsid w:val="00127FC8"/>
    <w:rsid w:val="001312CF"/>
    <w:rsid w:val="00133005"/>
    <w:rsid w:val="00134CAE"/>
    <w:rsid w:val="001377C1"/>
    <w:rsid w:val="0014052F"/>
    <w:rsid w:val="00144BE6"/>
    <w:rsid w:val="001451DC"/>
    <w:rsid w:val="00146512"/>
    <w:rsid w:val="00150005"/>
    <w:rsid w:val="00150D6F"/>
    <w:rsid w:val="00152C2A"/>
    <w:rsid w:val="00153F6A"/>
    <w:rsid w:val="00155B28"/>
    <w:rsid w:val="0015741C"/>
    <w:rsid w:val="00160C59"/>
    <w:rsid w:val="00160F65"/>
    <w:rsid w:val="00162B2D"/>
    <w:rsid w:val="00164056"/>
    <w:rsid w:val="0016575D"/>
    <w:rsid w:val="00165D8B"/>
    <w:rsid w:val="00172142"/>
    <w:rsid w:val="0017216F"/>
    <w:rsid w:val="0017240E"/>
    <w:rsid w:val="001725C3"/>
    <w:rsid w:val="00172DF4"/>
    <w:rsid w:val="00175320"/>
    <w:rsid w:val="0017657B"/>
    <w:rsid w:val="00176B93"/>
    <w:rsid w:val="00176EFD"/>
    <w:rsid w:val="00180953"/>
    <w:rsid w:val="00181D6F"/>
    <w:rsid w:val="0018375F"/>
    <w:rsid w:val="00183A27"/>
    <w:rsid w:val="001860A4"/>
    <w:rsid w:val="0018660F"/>
    <w:rsid w:val="0019029F"/>
    <w:rsid w:val="001929EE"/>
    <w:rsid w:val="001931CB"/>
    <w:rsid w:val="0019323C"/>
    <w:rsid w:val="00193320"/>
    <w:rsid w:val="00193FB3"/>
    <w:rsid w:val="001946C7"/>
    <w:rsid w:val="0019499D"/>
    <w:rsid w:val="001952F8"/>
    <w:rsid w:val="0019599C"/>
    <w:rsid w:val="00195FF8"/>
    <w:rsid w:val="001969B5"/>
    <w:rsid w:val="001A264D"/>
    <w:rsid w:val="001A32DA"/>
    <w:rsid w:val="001A3575"/>
    <w:rsid w:val="001A4417"/>
    <w:rsid w:val="001A49AE"/>
    <w:rsid w:val="001A6A76"/>
    <w:rsid w:val="001A6EFD"/>
    <w:rsid w:val="001B0988"/>
    <w:rsid w:val="001B1CBD"/>
    <w:rsid w:val="001B407B"/>
    <w:rsid w:val="001B5353"/>
    <w:rsid w:val="001B61F1"/>
    <w:rsid w:val="001B636F"/>
    <w:rsid w:val="001C0BDC"/>
    <w:rsid w:val="001C76D3"/>
    <w:rsid w:val="001C7E23"/>
    <w:rsid w:val="001D07DA"/>
    <w:rsid w:val="001D1BD1"/>
    <w:rsid w:val="001D4E25"/>
    <w:rsid w:val="001D4F3F"/>
    <w:rsid w:val="001D601B"/>
    <w:rsid w:val="001D6075"/>
    <w:rsid w:val="001E000F"/>
    <w:rsid w:val="001E0021"/>
    <w:rsid w:val="001E0618"/>
    <w:rsid w:val="001E0D2D"/>
    <w:rsid w:val="001E158C"/>
    <w:rsid w:val="001E1596"/>
    <w:rsid w:val="001E3684"/>
    <w:rsid w:val="001E65EA"/>
    <w:rsid w:val="001E7CE3"/>
    <w:rsid w:val="001F069E"/>
    <w:rsid w:val="001F1F9A"/>
    <w:rsid w:val="001F35FE"/>
    <w:rsid w:val="001F36D1"/>
    <w:rsid w:val="001F5577"/>
    <w:rsid w:val="001F57B3"/>
    <w:rsid w:val="001F5B6E"/>
    <w:rsid w:val="002063FB"/>
    <w:rsid w:val="002106F1"/>
    <w:rsid w:val="00211F2C"/>
    <w:rsid w:val="00212CBA"/>
    <w:rsid w:val="002130E0"/>
    <w:rsid w:val="0021423F"/>
    <w:rsid w:val="0021514D"/>
    <w:rsid w:val="002159EB"/>
    <w:rsid w:val="00217134"/>
    <w:rsid w:val="00220D94"/>
    <w:rsid w:val="00220E43"/>
    <w:rsid w:val="00220F6C"/>
    <w:rsid w:val="00223922"/>
    <w:rsid w:val="00225F53"/>
    <w:rsid w:val="00230BE6"/>
    <w:rsid w:val="00231AA9"/>
    <w:rsid w:val="0023328D"/>
    <w:rsid w:val="002341AA"/>
    <w:rsid w:val="00235632"/>
    <w:rsid w:val="00235F90"/>
    <w:rsid w:val="00237CDE"/>
    <w:rsid w:val="00237F55"/>
    <w:rsid w:val="00240256"/>
    <w:rsid w:val="002410E4"/>
    <w:rsid w:val="002418F2"/>
    <w:rsid w:val="00241B56"/>
    <w:rsid w:val="00242F20"/>
    <w:rsid w:val="00243852"/>
    <w:rsid w:val="002454B6"/>
    <w:rsid w:val="0025008C"/>
    <w:rsid w:val="002503F2"/>
    <w:rsid w:val="002516AA"/>
    <w:rsid w:val="002534E1"/>
    <w:rsid w:val="002541A0"/>
    <w:rsid w:val="00254742"/>
    <w:rsid w:val="002565F3"/>
    <w:rsid w:val="00256FE9"/>
    <w:rsid w:val="002612E1"/>
    <w:rsid w:val="00261352"/>
    <w:rsid w:val="002651E3"/>
    <w:rsid w:val="00267EB9"/>
    <w:rsid w:val="0027154E"/>
    <w:rsid w:val="00271BCA"/>
    <w:rsid w:val="00273D92"/>
    <w:rsid w:val="00274AF2"/>
    <w:rsid w:val="00275663"/>
    <w:rsid w:val="002801EA"/>
    <w:rsid w:val="002808D4"/>
    <w:rsid w:val="00284D1D"/>
    <w:rsid w:val="00285D3E"/>
    <w:rsid w:val="00285E69"/>
    <w:rsid w:val="00287508"/>
    <w:rsid w:val="0028752B"/>
    <w:rsid w:val="00291B7B"/>
    <w:rsid w:val="00295864"/>
    <w:rsid w:val="00296FA7"/>
    <w:rsid w:val="002A15B0"/>
    <w:rsid w:val="002A31E8"/>
    <w:rsid w:val="002A3D2D"/>
    <w:rsid w:val="002A407D"/>
    <w:rsid w:val="002B154D"/>
    <w:rsid w:val="002B3E1C"/>
    <w:rsid w:val="002B3F78"/>
    <w:rsid w:val="002B4315"/>
    <w:rsid w:val="002B57B6"/>
    <w:rsid w:val="002B5979"/>
    <w:rsid w:val="002B5A82"/>
    <w:rsid w:val="002B7C7B"/>
    <w:rsid w:val="002C08F2"/>
    <w:rsid w:val="002C2D5B"/>
    <w:rsid w:val="002C377A"/>
    <w:rsid w:val="002C6CB2"/>
    <w:rsid w:val="002D0471"/>
    <w:rsid w:val="002D49BC"/>
    <w:rsid w:val="002D4EA5"/>
    <w:rsid w:val="002D6B92"/>
    <w:rsid w:val="002D7331"/>
    <w:rsid w:val="002D73C6"/>
    <w:rsid w:val="002E14AF"/>
    <w:rsid w:val="002E2468"/>
    <w:rsid w:val="002E27F8"/>
    <w:rsid w:val="002E377A"/>
    <w:rsid w:val="002E3CFD"/>
    <w:rsid w:val="002E41D0"/>
    <w:rsid w:val="002E4643"/>
    <w:rsid w:val="002E6879"/>
    <w:rsid w:val="002E7A00"/>
    <w:rsid w:val="002E7B06"/>
    <w:rsid w:val="002F0C39"/>
    <w:rsid w:val="002F10E7"/>
    <w:rsid w:val="002F1327"/>
    <w:rsid w:val="002F19F1"/>
    <w:rsid w:val="002F2EE6"/>
    <w:rsid w:val="002F3689"/>
    <w:rsid w:val="002F3896"/>
    <w:rsid w:val="002F46F0"/>
    <w:rsid w:val="002F4C60"/>
    <w:rsid w:val="002F586F"/>
    <w:rsid w:val="002F5AFF"/>
    <w:rsid w:val="002F5D50"/>
    <w:rsid w:val="002F7CE0"/>
    <w:rsid w:val="00301F0C"/>
    <w:rsid w:val="0030401B"/>
    <w:rsid w:val="003044E4"/>
    <w:rsid w:val="00304880"/>
    <w:rsid w:val="00306D77"/>
    <w:rsid w:val="003109D2"/>
    <w:rsid w:val="00312325"/>
    <w:rsid w:val="00312D45"/>
    <w:rsid w:val="0032018B"/>
    <w:rsid w:val="00321E1C"/>
    <w:rsid w:val="003221C8"/>
    <w:rsid w:val="0032304A"/>
    <w:rsid w:val="00326C5C"/>
    <w:rsid w:val="0033073C"/>
    <w:rsid w:val="00330A60"/>
    <w:rsid w:val="00336511"/>
    <w:rsid w:val="00336701"/>
    <w:rsid w:val="00341CB3"/>
    <w:rsid w:val="00342647"/>
    <w:rsid w:val="003431F1"/>
    <w:rsid w:val="0034462C"/>
    <w:rsid w:val="00346BE6"/>
    <w:rsid w:val="0034709A"/>
    <w:rsid w:val="003478B4"/>
    <w:rsid w:val="00350E54"/>
    <w:rsid w:val="00351765"/>
    <w:rsid w:val="003525C6"/>
    <w:rsid w:val="003541C5"/>
    <w:rsid w:val="00354287"/>
    <w:rsid w:val="00356F1F"/>
    <w:rsid w:val="0035787B"/>
    <w:rsid w:val="0036022E"/>
    <w:rsid w:val="003623AC"/>
    <w:rsid w:val="00365996"/>
    <w:rsid w:val="00370EFB"/>
    <w:rsid w:val="00371741"/>
    <w:rsid w:val="0037262D"/>
    <w:rsid w:val="00373547"/>
    <w:rsid w:val="00373948"/>
    <w:rsid w:val="00373D76"/>
    <w:rsid w:val="003759EF"/>
    <w:rsid w:val="00375BD8"/>
    <w:rsid w:val="00376202"/>
    <w:rsid w:val="00382E86"/>
    <w:rsid w:val="00383671"/>
    <w:rsid w:val="0038462C"/>
    <w:rsid w:val="0038595E"/>
    <w:rsid w:val="00385A9D"/>
    <w:rsid w:val="00387375"/>
    <w:rsid w:val="00387488"/>
    <w:rsid w:val="003928E9"/>
    <w:rsid w:val="00392BE0"/>
    <w:rsid w:val="003931EA"/>
    <w:rsid w:val="003932C6"/>
    <w:rsid w:val="00394065"/>
    <w:rsid w:val="003943D3"/>
    <w:rsid w:val="00395417"/>
    <w:rsid w:val="00395817"/>
    <w:rsid w:val="00396D00"/>
    <w:rsid w:val="00396F2D"/>
    <w:rsid w:val="003A0487"/>
    <w:rsid w:val="003A2D4E"/>
    <w:rsid w:val="003A2F57"/>
    <w:rsid w:val="003A334D"/>
    <w:rsid w:val="003A45ED"/>
    <w:rsid w:val="003A4C49"/>
    <w:rsid w:val="003A505F"/>
    <w:rsid w:val="003B086B"/>
    <w:rsid w:val="003B46C3"/>
    <w:rsid w:val="003B65AD"/>
    <w:rsid w:val="003B6A04"/>
    <w:rsid w:val="003B6CC9"/>
    <w:rsid w:val="003B77FB"/>
    <w:rsid w:val="003C4352"/>
    <w:rsid w:val="003C73C4"/>
    <w:rsid w:val="003D0F77"/>
    <w:rsid w:val="003D3BF2"/>
    <w:rsid w:val="003D3C5A"/>
    <w:rsid w:val="003D4601"/>
    <w:rsid w:val="003D5FA1"/>
    <w:rsid w:val="003D72DD"/>
    <w:rsid w:val="003D7B15"/>
    <w:rsid w:val="003E0994"/>
    <w:rsid w:val="003E0E50"/>
    <w:rsid w:val="003E10CF"/>
    <w:rsid w:val="003E12AD"/>
    <w:rsid w:val="003E1C7D"/>
    <w:rsid w:val="003E3E1B"/>
    <w:rsid w:val="003E670F"/>
    <w:rsid w:val="003E6C88"/>
    <w:rsid w:val="003E748B"/>
    <w:rsid w:val="003E75F8"/>
    <w:rsid w:val="003F09BD"/>
    <w:rsid w:val="003F0E01"/>
    <w:rsid w:val="003F4E3E"/>
    <w:rsid w:val="00401318"/>
    <w:rsid w:val="00405B08"/>
    <w:rsid w:val="00407276"/>
    <w:rsid w:val="00407389"/>
    <w:rsid w:val="004118F0"/>
    <w:rsid w:val="00412FC6"/>
    <w:rsid w:val="004131D9"/>
    <w:rsid w:val="00414399"/>
    <w:rsid w:val="00415B4D"/>
    <w:rsid w:val="004163D9"/>
    <w:rsid w:val="00416D75"/>
    <w:rsid w:val="00417231"/>
    <w:rsid w:val="00417BC1"/>
    <w:rsid w:val="0042068D"/>
    <w:rsid w:val="004213F9"/>
    <w:rsid w:val="00421C0A"/>
    <w:rsid w:val="004264C4"/>
    <w:rsid w:val="00427917"/>
    <w:rsid w:val="0043156D"/>
    <w:rsid w:val="00431BB8"/>
    <w:rsid w:val="00432B2C"/>
    <w:rsid w:val="00432C93"/>
    <w:rsid w:val="00435F0A"/>
    <w:rsid w:val="00437742"/>
    <w:rsid w:val="004403CB"/>
    <w:rsid w:val="004417FA"/>
    <w:rsid w:val="004450D0"/>
    <w:rsid w:val="0044542F"/>
    <w:rsid w:val="004462F0"/>
    <w:rsid w:val="00447846"/>
    <w:rsid w:val="00447F0D"/>
    <w:rsid w:val="00450129"/>
    <w:rsid w:val="00451B9F"/>
    <w:rsid w:val="00452F7D"/>
    <w:rsid w:val="0045460B"/>
    <w:rsid w:val="00460FA1"/>
    <w:rsid w:val="00461031"/>
    <w:rsid w:val="00461820"/>
    <w:rsid w:val="004659CB"/>
    <w:rsid w:val="00471ECB"/>
    <w:rsid w:val="00472820"/>
    <w:rsid w:val="00473067"/>
    <w:rsid w:val="00473D5B"/>
    <w:rsid w:val="00474E4A"/>
    <w:rsid w:val="00475303"/>
    <w:rsid w:val="00480AED"/>
    <w:rsid w:val="004818BD"/>
    <w:rsid w:val="00482280"/>
    <w:rsid w:val="004822DF"/>
    <w:rsid w:val="00483498"/>
    <w:rsid w:val="00484905"/>
    <w:rsid w:val="004854DB"/>
    <w:rsid w:val="00485F44"/>
    <w:rsid w:val="00486ED1"/>
    <w:rsid w:val="004872E1"/>
    <w:rsid w:val="00490046"/>
    <w:rsid w:val="00490712"/>
    <w:rsid w:val="00490D83"/>
    <w:rsid w:val="004916F3"/>
    <w:rsid w:val="00494DAF"/>
    <w:rsid w:val="00495CF5"/>
    <w:rsid w:val="00495D1E"/>
    <w:rsid w:val="004961DC"/>
    <w:rsid w:val="004963E9"/>
    <w:rsid w:val="00497FF3"/>
    <w:rsid w:val="004A481C"/>
    <w:rsid w:val="004A5115"/>
    <w:rsid w:val="004A5F95"/>
    <w:rsid w:val="004A6DD6"/>
    <w:rsid w:val="004B28BE"/>
    <w:rsid w:val="004B3F13"/>
    <w:rsid w:val="004B57AD"/>
    <w:rsid w:val="004B5FA4"/>
    <w:rsid w:val="004B6000"/>
    <w:rsid w:val="004B64B6"/>
    <w:rsid w:val="004B6C46"/>
    <w:rsid w:val="004B6F27"/>
    <w:rsid w:val="004B70D1"/>
    <w:rsid w:val="004B775C"/>
    <w:rsid w:val="004C203F"/>
    <w:rsid w:val="004C2FC5"/>
    <w:rsid w:val="004C304C"/>
    <w:rsid w:val="004C42BA"/>
    <w:rsid w:val="004C4B5B"/>
    <w:rsid w:val="004C6405"/>
    <w:rsid w:val="004C787A"/>
    <w:rsid w:val="004D0E7C"/>
    <w:rsid w:val="004D0FB0"/>
    <w:rsid w:val="004D1C35"/>
    <w:rsid w:val="004D6462"/>
    <w:rsid w:val="004E0088"/>
    <w:rsid w:val="004E04D7"/>
    <w:rsid w:val="004E4AE9"/>
    <w:rsid w:val="004E5F95"/>
    <w:rsid w:val="004F176C"/>
    <w:rsid w:val="004F3565"/>
    <w:rsid w:val="004F705B"/>
    <w:rsid w:val="004F72C8"/>
    <w:rsid w:val="0050181D"/>
    <w:rsid w:val="005028B9"/>
    <w:rsid w:val="00502DE5"/>
    <w:rsid w:val="00502FD9"/>
    <w:rsid w:val="00503074"/>
    <w:rsid w:val="00504176"/>
    <w:rsid w:val="00504BD3"/>
    <w:rsid w:val="00504DE1"/>
    <w:rsid w:val="00510E42"/>
    <w:rsid w:val="005118FE"/>
    <w:rsid w:val="005121DB"/>
    <w:rsid w:val="00512FDC"/>
    <w:rsid w:val="00513252"/>
    <w:rsid w:val="00513324"/>
    <w:rsid w:val="005135B2"/>
    <w:rsid w:val="00513EDC"/>
    <w:rsid w:val="005149F0"/>
    <w:rsid w:val="00521F5A"/>
    <w:rsid w:val="00522F64"/>
    <w:rsid w:val="00523A30"/>
    <w:rsid w:val="00523B6F"/>
    <w:rsid w:val="0052405E"/>
    <w:rsid w:val="0052553B"/>
    <w:rsid w:val="00525919"/>
    <w:rsid w:val="005269B0"/>
    <w:rsid w:val="0053218A"/>
    <w:rsid w:val="00533A52"/>
    <w:rsid w:val="00533DBD"/>
    <w:rsid w:val="005362C2"/>
    <w:rsid w:val="0053644C"/>
    <w:rsid w:val="0053749B"/>
    <w:rsid w:val="00541625"/>
    <w:rsid w:val="0054188F"/>
    <w:rsid w:val="00542C1F"/>
    <w:rsid w:val="00543138"/>
    <w:rsid w:val="00545406"/>
    <w:rsid w:val="00550554"/>
    <w:rsid w:val="0055147D"/>
    <w:rsid w:val="00552640"/>
    <w:rsid w:val="0055563C"/>
    <w:rsid w:val="005565CC"/>
    <w:rsid w:val="00556F31"/>
    <w:rsid w:val="00560746"/>
    <w:rsid w:val="00563833"/>
    <w:rsid w:val="00563C6B"/>
    <w:rsid w:val="00566F2F"/>
    <w:rsid w:val="00567B2A"/>
    <w:rsid w:val="0057135C"/>
    <w:rsid w:val="00571697"/>
    <w:rsid w:val="00571AEC"/>
    <w:rsid w:val="00575576"/>
    <w:rsid w:val="00576ADF"/>
    <w:rsid w:val="00577FB8"/>
    <w:rsid w:val="005800C5"/>
    <w:rsid w:val="00580985"/>
    <w:rsid w:val="0058196C"/>
    <w:rsid w:val="00581D9A"/>
    <w:rsid w:val="00585D26"/>
    <w:rsid w:val="005867C8"/>
    <w:rsid w:val="0059143E"/>
    <w:rsid w:val="0059234F"/>
    <w:rsid w:val="00592565"/>
    <w:rsid w:val="00595FCA"/>
    <w:rsid w:val="005A1F46"/>
    <w:rsid w:val="005A46E2"/>
    <w:rsid w:val="005A4836"/>
    <w:rsid w:val="005A4FB5"/>
    <w:rsid w:val="005A64E0"/>
    <w:rsid w:val="005B1769"/>
    <w:rsid w:val="005B1CBA"/>
    <w:rsid w:val="005B3EA4"/>
    <w:rsid w:val="005B50B2"/>
    <w:rsid w:val="005B594D"/>
    <w:rsid w:val="005B5E0E"/>
    <w:rsid w:val="005C0A63"/>
    <w:rsid w:val="005C214F"/>
    <w:rsid w:val="005C26E5"/>
    <w:rsid w:val="005C27D4"/>
    <w:rsid w:val="005C3B41"/>
    <w:rsid w:val="005C3C3F"/>
    <w:rsid w:val="005C5EE9"/>
    <w:rsid w:val="005C6898"/>
    <w:rsid w:val="005D170A"/>
    <w:rsid w:val="005D3026"/>
    <w:rsid w:val="005D3EF0"/>
    <w:rsid w:val="005D4611"/>
    <w:rsid w:val="005D5076"/>
    <w:rsid w:val="005D6928"/>
    <w:rsid w:val="005D719D"/>
    <w:rsid w:val="005E335A"/>
    <w:rsid w:val="005E3AC4"/>
    <w:rsid w:val="005E3C4B"/>
    <w:rsid w:val="005E3D9F"/>
    <w:rsid w:val="005E4C43"/>
    <w:rsid w:val="005E4D9D"/>
    <w:rsid w:val="005E6CF8"/>
    <w:rsid w:val="005E6EA4"/>
    <w:rsid w:val="005E76C7"/>
    <w:rsid w:val="005E7D6A"/>
    <w:rsid w:val="005F2306"/>
    <w:rsid w:val="005F60A2"/>
    <w:rsid w:val="00600300"/>
    <w:rsid w:val="00600B17"/>
    <w:rsid w:val="00600FDE"/>
    <w:rsid w:val="00601D6F"/>
    <w:rsid w:val="00602914"/>
    <w:rsid w:val="00605DC9"/>
    <w:rsid w:val="006078D6"/>
    <w:rsid w:val="006102B0"/>
    <w:rsid w:val="00611189"/>
    <w:rsid w:val="0061139E"/>
    <w:rsid w:val="00614598"/>
    <w:rsid w:val="00614B3E"/>
    <w:rsid w:val="00615EC7"/>
    <w:rsid w:val="006170C1"/>
    <w:rsid w:val="0062079F"/>
    <w:rsid w:val="00620FEA"/>
    <w:rsid w:val="00621E6E"/>
    <w:rsid w:val="00625D25"/>
    <w:rsid w:val="0063028A"/>
    <w:rsid w:val="006303D1"/>
    <w:rsid w:val="00630DA3"/>
    <w:rsid w:val="00631FF0"/>
    <w:rsid w:val="00632BCE"/>
    <w:rsid w:val="00632F9F"/>
    <w:rsid w:val="00632FE3"/>
    <w:rsid w:val="006372DD"/>
    <w:rsid w:val="006404AB"/>
    <w:rsid w:val="00642A93"/>
    <w:rsid w:val="00642E38"/>
    <w:rsid w:val="006446AF"/>
    <w:rsid w:val="006463E1"/>
    <w:rsid w:val="0065105A"/>
    <w:rsid w:val="00651D84"/>
    <w:rsid w:val="00651E74"/>
    <w:rsid w:val="00652BE1"/>
    <w:rsid w:val="00653D25"/>
    <w:rsid w:val="00655A80"/>
    <w:rsid w:val="00655B93"/>
    <w:rsid w:val="00660885"/>
    <w:rsid w:val="00663EC7"/>
    <w:rsid w:val="006647BA"/>
    <w:rsid w:val="00672077"/>
    <w:rsid w:val="0067378C"/>
    <w:rsid w:val="0067402F"/>
    <w:rsid w:val="00674273"/>
    <w:rsid w:val="00675D6A"/>
    <w:rsid w:val="006775B2"/>
    <w:rsid w:val="006801F6"/>
    <w:rsid w:val="006808A3"/>
    <w:rsid w:val="00682169"/>
    <w:rsid w:val="00682A5B"/>
    <w:rsid w:val="00684F3E"/>
    <w:rsid w:val="006860E4"/>
    <w:rsid w:val="00686198"/>
    <w:rsid w:val="00686611"/>
    <w:rsid w:val="00690E90"/>
    <w:rsid w:val="0069232A"/>
    <w:rsid w:val="00693080"/>
    <w:rsid w:val="00695435"/>
    <w:rsid w:val="006964F6"/>
    <w:rsid w:val="006A04E1"/>
    <w:rsid w:val="006A1054"/>
    <w:rsid w:val="006A13B9"/>
    <w:rsid w:val="006A22B5"/>
    <w:rsid w:val="006A2331"/>
    <w:rsid w:val="006A3F0B"/>
    <w:rsid w:val="006A7DB1"/>
    <w:rsid w:val="006B1475"/>
    <w:rsid w:val="006B1A94"/>
    <w:rsid w:val="006B1F69"/>
    <w:rsid w:val="006B2AC2"/>
    <w:rsid w:val="006B33E1"/>
    <w:rsid w:val="006B4027"/>
    <w:rsid w:val="006B4583"/>
    <w:rsid w:val="006C0630"/>
    <w:rsid w:val="006C0F5C"/>
    <w:rsid w:val="006C36F8"/>
    <w:rsid w:val="006C6327"/>
    <w:rsid w:val="006C7860"/>
    <w:rsid w:val="006D0355"/>
    <w:rsid w:val="006D0D3F"/>
    <w:rsid w:val="006D209E"/>
    <w:rsid w:val="006D21FC"/>
    <w:rsid w:val="006D256C"/>
    <w:rsid w:val="006D3F9E"/>
    <w:rsid w:val="006D4824"/>
    <w:rsid w:val="006D4F17"/>
    <w:rsid w:val="006D5129"/>
    <w:rsid w:val="006D5B92"/>
    <w:rsid w:val="006D678F"/>
    <w:rsid w:val="006D67EA"/>
    <w:rsid w:val="006D75D3"/>
    <w:rsid w:val="006E12DA"/>
    <w:rsid w:val="006E350A"/>
    <w:rsid w:val="006E5B9B"/>
    <w:rsid w:val="006F0C1F"/>
    <w:rsid w:val="006F1619"/>
    <w:rsid w:val="006F2C5B"/>
    <w:rsid w:val="006F3840"/>
    <w:rsid w:val="006F407F"/>
    <w:rsid w:val="006F5A79"/>
    <w:rsid w:val="006F5CCE"/>
    <w:rsid w:val="006F5F05"/>
    <w:rsid w:val="007008B4"/>
    <w:rsid w:val="0070116E"/>
    <w:rsid w:val="007017B6"/>
    <w:rsid w:val="00701E0E"/>
    <w:rsid w:val="00704A16"/>
    <w:rsid w:val="00704CFA"/>
    <w:rsid w:val="00706FC7"/>
    <w:rsid w:val="007072F7"/>
    <w:rsid w:val="0070791A"/>
    <w:rsid w:val="00712999"/>
    <w:rsid w:val="00713F3F"/>
    <w:rsid w:val="00716058"/>
    <w:rsid w:val="00716F25"/>
    <w:rsid w:val="00717EF6"/>
    <w:rsid w:val="00720A9A"/>
    <w:rsid w:val="007217F4"/>
    <w:rsid w:val="00721BDC"/>
    <w:rsid w:val="00722589"/>
    <w:rsid w:val="0072291A"/>
    <w:rsid w:val="007249B8"/>
    <w:rsid w:val="00727C39"/>
    <w:rsid w:val="00730EE1"/>
    <w:rsid w:val="007315AA"/>
    <w:rsid w:val="00732532"/>
    <w:rsid w:val="00733436"/>
    <w:rsid w:val="00734924"/>
    <w:rsid w:val="0073609B"/>
    <w:rsid w:val="0073705E"/>
    <w:rsid w:val="00742C2C"/>
    <w:rsid w:val="00742E50"/>
    <w:rsid w:val="007457FD"/>
    <w:rsid w:val="007459B2"/>
    <w:rsid w:val="00746E52"/>
    <w:rsid w:val="0075035E"/>
    <w:rsid w:val="0075332B"/>
    <w:rsid w:val="0075695D"/>
    <w:rsid w:val="00756F95"/>
    <w:rsid w:val="00761227"/>
    <w:rsid w:val="007613A3"/>
    <w:rsid w:val="00763D7D"/>
    <w:rsid w:val="00764D37"/>
    <w:rsid w:val="00764D8E"/>
    <w:rsid w:val="00765A08"/>
    <w:rsid w:val="00766160"/>
    <w:rsid w:val="00767765"/>
    <w:rsid w:val="00770E16"/>
    <w:rsid w:val="00771D22"/>
    <w:rsid w:val="00775007"/>
    <w:rsid w:val="00782864"/>
    <w:rsid w:val="00784F3F"/>
    <w:rsid w:val="007875FD"/>
    <w:rsid w:val="007878C3"/>
    <w:rsid w:val="00787E66"/>
    <w:rsid w:val="00791B54"/>
    <w:rsid w:val="00795779"/>
    <w:rsid w:val="00796698"/>
    <w:rsid w:val="007972B9"/>
    <w:rsid w:val="00797AF6"/>
    <w:rsid w:val="007A05D9"/>
    <w:rsid w:val="007A13BF"/>
    <w:rsid w:val="007A3639"/>
    <w:rsid w:val="007A5279"/>
    <w:rsid w:val="007A7340"/>
    <w:rsid w:val="007B21A5"/>
    <w:rsid w:val="007B24A5"/>
    <w:rsid w:val="007C3160"/>
    <w:rsid w:val="007C5D5E"/>
    <w:rsid w:val="007C60BD"/>
    <w:rsid w:val="007D4484"/>
    <w:rsid w:val="007D49A7"/>
    <w:rsid w:val="007D5868"/>
    <w:rsid w:val="007D5EEC"/>
    <w:rsid w:val="007D600F"/>
    <w:rsid w:val="007D74B6"/>
    <w:rsid w:val="007E0AC6"/>
    <w:rsid w:val="007E1080"/>
    <w:rsid w:val="007E1B68"/>
    <w:rsid w:val="007E2727"/>
    <w:rsid w:val="007E4333"/>
    <w:rsid w:val="007E44FF"/>
    <w:rsid w:val="007E6E4D"/>
    <w:rsid w:val="007E6EEE"/>
    <w:rsid w:val="007E728A"/>
    <w:rsid w:val="007E7BC6"/>
    <w:rsid w:val="007E7D4E"/>
    <w:rsid w:val="007F09C2"/>
    <w:rsid w:val="007F0BFF"/>
    <w:rsid w:val="007F2509"/>
    <w:rsid w:val="007F3471"/>
    <w:rsid w:val="007F4907"/>
    <w:rsid w:val="007F5248"/>
    <w:rsid w:val="007F573D"/>
    <w:rsid w:val="007F6DE2"/>
    <w:rsid w:val="0080360D"/>
    <w:rsid w:val="0080517C"/>
    <w:rsid w:val="00806045"/>
    <w:rsid w:val="0080703C"/>
    <w:rsid w:val="0080716A"/>
    <w:rsid w:val="00807C66"/>
    <w:rsid w:val="008125F8"/>
    <w:rsid w:val="0081487A"/>
    <w:rsid w:val="00814B20"/>
    <w:rsid w:val="00814F05"/>
    <w:rsid w:val="00820106"/>
    <w:rsid w:val="0082011C"/>
    <w:rsid w:val="0082127F"/>
    <w:rsid w:val="0082167F"/>
    <w:rsid w:val="00821724"/>
    <w:rsid w:val="0082258D"/>
    <w:rsid w:val="00822BD4"/>
    <w:rsid w:val="00823614"/>
    <w:rsid w:val="008251D5"/>
    <w:rsid w:val="008262E0"/>
    <w:rsid w:val="008277A3"/>
    <w:rsid w:val="00831899"/>
    <w:rsid w:val="008353BE"/>
    <w:rsid w:val="0083594F"/>
    <w:rsid w:val="00836915"/>
    <w:rsid w:val="00836C39"/>
    <w:rsid w:val="00840605"/>
    <w:rsid w:val="0084566E"/>
    <w:rsid w:val="0084760C"/>
    <w:rsid w:val="008553B6"/>
    <w:rsid w:val="00855D60"/>
    <w:rsid w:val="00857508"/>
    <w:rsid w:val="0085763C"/>
    <w:rsid w:val="00857B6E"/>
    <w:rsid w:val="00857E39"/>
    <w:rsid w:val="008605EB"/>
    <w:rsid w:val="00861878"/>
    <w:rsid w:val="00864932"/>
    <w:rsid w:val="008651A5"/>
    <w:rsid w:val="00872F79"/>
    <w:rsid w:val="00873511"/>
    <w:rsid w:val="008744CC"/>
    <w:rsid w:val="00874D7F"/>
    <w:rsid w:val="0087619D"/>
    <w:rsid w:val="00881A2D"/>
    <w:rsid w:val="00881E5F"/>
    <w:rsid w:val="00882405"/>
    <w:rsid w:val="00882FA7"/>
    <w:rsid w:val="00884FCF"/>
    <w:rsid w:val="0089184B"/>
    <w:rsid w:val="008921FA"/>
    <w:rsid w:val="00894F7B"/>
    <w:rsid w:val="008964A9"/>
    <w:rsid w:val="008A0747"/>
    <w:rsid w:val="008A0996"/>
    <w:rsid w:val="008A1780"/>
    <w:rsid w:val="008A3CE3"/>
    <w:rsid w:val="008A40EA"/>
    <w:rsid w:val="008A58E2"/>
    <w:rsid w:val="008A5F56"/>
    <w:rsid w:val="008A735A"/>
    <w:rsid w:val="008A7E1E"/>
    <w:rsid w:val="008B2AFA"/>
    <w:rsid w:val="008B391F"/>
    <w:rsid w:val="008B507E"/>
    <w:rsid w:val="008B6351"/>
    <w:rsid w:val="008B6740"/>
    <w:rsid w:val="008B697E"/>
    <w:rsid w:val="008B71CB"/>
    <w:rsid w:val="008C1C42"/>
    <w:rsid w:val="008C1EBA"/>
    <w:rsid w:val="008C27D9"/>
    <w:rsid w:val="008C32BE"/>
    <w:rsid w:val="008C3EB3"/>
    <w:rsid w:val="008C4DC6"/>
    <w:rsid w:val="008C56BC"/>
    <w:rsid w:val="008C5D03"/>
    <w:rsid w:val="008C5FA9"/>
    <w:rsid w:val="008D11AB"/>
    <w:rsid w:val="008D22C0"/>
    <w:rsid w:val="008D33B7"/>
    <w:rsid w:val="008D3A94"/>
    <w:rsid w:val="008D7547"/>
    <w:rsid w:val="008D7A4A"/>
    <w:rsid w:val="008D7B5E"/>
    <w:rsid w:val="008E126D"/>
    <w:rsid w:val="008E1A4A"/>
    <w:rsid w:val="008E7A21"/>
    <w:rsid w:val="008F19F2"/>
    <w:rsid w:val="008F3B22"/>
    <w:rsid w:val="008F421C"/>
    <w:rsid w:val="008F5D67"/>
    <w:rsid w:val="008F77F3"/>
    <w:rsid w:val="00901145"/>
    <w:rsid w:val="009019CE"/>
    <w:rsid w:val="00902275"/>
    <w:rsid w:val="009030DD"/>
    <w:rsid w:val="009044A8"/>
    <w:rsid w:val="009045BA"/>
    <w:rsid w:val="00904AB7"/>
    <w:rsid w:val="00906345"/>
    <w:rsid w:val="009140EE"/>
    <w:rsid w:val="00915BE5"/>
    <w:rsid w:val="00917207"/>
    <w:rsid w:val="00920CE2"/>
    <w:rsid w:val="00921035"/>
    <w:rsid w:val="00921457"/>
    <w:rsid w:val="00922BD2"/>
    <w:rsid w:val="009234A5"/>
    <w:rsid w:val="0092364B"/>
    <w:rsid w:val="0092373D"/>
    <w:rsid w:val="00924510"/>
    <w:rsid w:val="00925496"/>
    <w:rsid w:val="009303C1"/>
    <w:rsid w:val="009337DA"/>
    <w:rsid w:val="0093404B"/>
    <w:rsid w:val="00935621"/>
    <w:rsid w:val="00940DF1"/>
    <w:rsid w:val="009413FF"/>
    <w:rsid w:val="00942348"/>
    <w:rsid w:val="009455EF"/>
    <w:rsid w:val="00946902"/>
    <w:rsid w:val="00950394"/>
    <w:rsid w:val="00955198"/>
    <w:rsid w:val="0095543C"/>
    <w:rsid w:val="00956597"/>
    <w:rsid w:val="00956737"/>
    <w:rsid w:val="00957BFF"/>
    <w:rsid w:val="00957DE2"/>
    <w:rsid w:val="00960CE6"/>
    <w:rsid w:val="0096121A"/>
    <w:rsid w:val="00962294"/>
    <w:rsid w:val="009637EE"/>
    <w:rsid w:val="0096440E"/>
    <w:rsid w:val="0096641D"/>
    <w:rsid w:val="00966435"/>
    <w:rsid w:val="00966A73"/>
    <w:rsid w:val="00967730"/>
    <w:rsid w:val="00970EDB"/>
    <w:rsid w:val="009717F2"/>
    <w:rsid w:val="0097331B"/>
    <w:rsid w:val="00973E00"/>
    <w:rsid w:val="009763C2"/>
    <w:rsid w:val="0098089D"/>
    <w:rsid w:val="00980A5C"/>
    <w:rsid w:val="00981F15"/>
    <w:rsid w:val="009827E0"/>
    <w:rsid w:val="00982F0D"/>
    <w:rsid w:val="00983ABA"/>
    <w:rsid w:val="00983E79"/>
    <w:rsid w:val="009848B7"/>
    <w:rsid w:val="00985A7C"/>
    <w:rsid w:val="00985AFD"/>
    <w:rsid w:val="00991CBC"/>
    <w:rsid w:val="0099247C"/>
    <w:rsid w:val="00992E7E"/>
    <w:rsid w:val="00993BEA"/>
    <w:rsid w:val="009953B4"/>
    <w:rsid w:val="009A46B4"/>
    <w:rsid w:val="009A4AA9"/>
    <w:rsid w:val="009A54BE"/>
    <w:rsid w:val="009A5634"/>
    <w:rsid w:val="009A6A1C"/>
    <w:rsid w:val="009B27AE"/>
    <w:rsid w:val="009B3CE6"/>
    <w:rsid w:val="009B3F9E"/>
    <w:rsid w:val="009B61CA"/>
    <w:rsid w:val="009B6859"/>
    <w:rsid w:val="009B753A"/>
    <w:rsid w:val="009C0A13"/>
    <w:rsid w:val="009C1621"/>
    <w:rsid w:val="009C39AB"/>
    <w:rsid w:val="009C78B0"/>
    <w:rsid w:val="009D0259"/>
    <w:rsid w:val="009D0582"/>
    <w:rsid w:val="009D121C"/>
    <w:rsid w:val="009D43D1"/>
    <w:rsid w:val="009D4D00"/>
    <w:rsid w:val="009D50A5"/>
    <w:rsid w:val="009D5DC8"/>
    <w:rsid w:val="009D6017"/>
    <w:rsid w:val="009D7822"/>
    <w:rsid w:val="009E071B"/>
    <w:rsid w:val="009E0A3B"/>
    <w:rsid w:val="009E1ACB"/>
    <w:rsid w:val="009E444A"/>
    <w:rsid w:val="009E5001"/>
    <w:rsid w:val="009E5EBC"/>
    <w:rsid w:val="009E61DD"/>
    <w:rsid w:val="009F3F1B"/>
    <w:rsid w:val="009F4D26"/>
    <w:rsid w:val="009F53A0"/>
    <w:rsid w:val="009F5EBC"/>
    <w:rsid w:val="00A00CD8"/>
    <w:rsid w:val="00A01218"/>
    <w:rsid w:val="00A02DDC"/>
    <w:rsid w:val="00A03269"/>
    <w:rsid w:val="00A03559"/>
    <w:rsid w:val="00A049C7"/>
    <w:rsid w:val="00A04A25"/>
    <w:rsid w:val="00A05959"/>
    <w:rsid w:val="00A07CB1"/>
    <w:rsid w:val="00A1419F"/>
    <w:rsid w:val="00A1434B"/>
    <w:rsid w:val="00A144EA"/>
    <w:rsid w:val="00A14F93"/>
    <w:rsid w:val="00A177DF"/>
    <w:rsid w:val="00A20C41"/>
    <w:rsid w:val="00A21794"/>
    <w:rsid w:val="00A21E95"/>
    <w:rsid w:val="00A2520C"/>
    <w:rsid w:val="00A25910"/>
    <w:rsid w:val="00A316B1"/>
    <w:rsid w:val="00A35EA7"/>
    <w:rsid w:val="00A371A7"/>
    <w:rsid w:val="00A3794D"/>
    <w:rsid w:val="00A379BA"/>
    <w:rsid w:val="00A40B1E"/>
    <w:rsid w:val="00A42D4D"/>
    <w:rsid w:val="00A50770"/>
    <w:rsid w:val="00A50F18"/>
    <w:rsid w:val="00A51367"/>
    <w:rsid w:val="00A51641"/>
    <w:rsid w:val="00A52E42"/>
    <w:rsid w:val="00A54944"/>
    <w:rsid w:val="00A553EC"/>
    <w:rsid w:val="00A5602F"/>
    <w:rsid w:val="00A57593"/>
    <w:rsid w:val="00A62AD7"/>
    <w:rsid w:val="00A637CA"/>
    <w:rsid w:val="00A7229B"/>
    <w:rsid w:val="00A733BB"/>
    <w:rsid w:val="00A75763"/>
    <w:rsid w:val="00A77CCA"/>
    <w:rsid w:val="00A831CB"/>
    <w:rsid w:val="00A838FF"/>
    <w:rsid w:val="00A84B3C"/>
    <w:rsid w:val="00A8575A"/>
    <w:rsid w:val="00A85E29"/>
    <w:rsid w:val="00A860C0"/>
    <w:rsid w:val="00A86AA7"/>
    <w:rsid w:val="00A86BAA"/>
    <w:rsid w:val="00A93B26"/>
    <w:rsid w:val="00A93E83"/>
    <w:rsid w:val="00A942D3"/>
    <w:rsid w:val="00A9529F"/>
    <w:rsid w:val="00A952E7"/>
    <w:rsid w:val="00A97226"/>
    <w:rsid w:val="00AA0307"/>
    <w:rsid w:val="00AA127E"/>
    <w:rsid w:val="00AA154C"/>
    <w:rsid w:val="00AA2102"/>
    <w:rsid w:val="00AA3894"/>
    <w:rsid w:val="00AA5483"/>
    <w:rsid w:val="00AA5AC2"/>
    <w:rsid w:val="00AA6155"/>
    <w:rsid w:val="00AA6A22"/>
    <w:rsid w:val="00AA6AD8"/>
    <w:rsid w:val="00AB07DC"/>
    <w:rsid w:val="00AB0808"/>
    <w:rsid w:val="00AB1031"/>
    <w:rsid w:val="00AB1D11"/>
    <w:rsid w:val="00AB4307"/>
    <w:rsid w:val="00AB48F3"/>
    <w:rsid w:val="00AC0641"/>
    <w:rsid w:val="00AC1464"/>
    <w:rsid w:val="00AC1B93"/>
    <w:rsid w:val="00AC55BE"/>
    <w:rsid w:val="00AD0042"/>
    <w:rsid w:val="00AD02BC"/>
    <w:rsid w:val="00AD0842"/>
    <w:rsid w:val="00AD27C4"/>
    <w:rsid w:val="00AD503A"/>
    <w:rsid w:val="00AE0F54"/>
    <w:rsid w:val="00AE5CF0"/>
    <w:rsid w:val="00AF0896"/>
    <w:rsid w:val="00AF14FF"/>
    <w:rsid w:val="00AF1F29"/>
    <w:rsid w:val="00AF20BD"/>
    <w:rsid w:val="00AF2743"/>
    <w:rsid w:val="00AF5FE1"/>
    <w:rsid w:val="00AF6FD7"/>
    <w:rsid w:val="00B0169B"/>
    <w:rsid w:val="00B02932"/>
    <w:rsid w:val="00B070CD"/>
    <w:rsid w:val="00B07805"/>
    <w:rsid w:val="00B07D02"/>
    <w:rsid w:val="00B07D20"/>
    <w:rsid w:val="00B11411"/>
    <w:rsid w:val="00B11628"/>
    <w:rsid w:val="00B1166D"/>
    <w:rsid w:val="00B119B8"/>
    <w:rsid w:val="00B130AC"/>
    <w:rsid w:val="00B13D91"/>
    <w:rsid w:val="00B15347"/>
    <w:rsid w:val="00B2003A"/>
    <w:rsid w:val="00B208ED"/>
    <w:rsid w:val="00B25B9C"/>
    <w:rsid w:val="00B26DD9"/>
    <w:rsid w:val="00B31E69"/>
    <w:rsid w:val="00B333A7"/>
    <w:rsid w:val="00B36547"/>
    <w:rsid w:val="00B37CD3"/>
    <w:rsid w:val="00B40342"/>
    <w:rsid w:val="00B40611"/>
    <w:rsid w:val="00B42429"/>
    <w:rsid w:val="00B4531E"/>
    <w:rsid w:val="00B462FA"/>
    <w:rsid w:val="00B47925"/>
    <w:rsid w:val="00B50E26"/>
    <w:rsid w:val="00B519E9"/>
    <w:rsid w:val="00B5488D"/>
    <w:rsid w:val="00B54B26"/>
    <w:rsid w:val="00B551C7"/>
    <w:rsid w:val="00B55A1C"/>
    <w:rsid w:val="00B57785"/>
    <w:rsid w:val="00B60082"/>
    <w:rsid w:val="00B613B6"/>
    <w:rsid w:val="00B61668"/>
    <w:rsid w:val="00B61903"/>
    <w:rsid w:val="00B62506"/>
    <w:rsid w:val="00B64D36"/>
    <w:rsid w:val="00B673A7"/>
    <w:rsid w:val="00B6759D"/>
    <w:rsid w:val="00B67715"/>
    <w:rsid w:val="00B679A3"/>
    <w:rsid w:val="00B7091C"/>
    <w:rsid w:val="00B71289"/>
    <w:rsid w:val="00B72B6A"/>
    <w:rsid w:val="00B737F3"/>
    <w:rsid w:val="00B73919"/>
    <w:rsid w:val="00B740C3"/>
    <w:rsid w:val="00B7517C"/>
    <w:rsid w:val="00B759F3"/>
    <w:rsid w:val="00B75C32"/>
    <w:rsid w:val="00B774F4"/>
    <w:rsid w:val="00B77E60"/>
    <w:rsid w:val="00B80A1B"/>
    <w:rsid w:val="00B80E1D"/>
    <w:rsid w:val="00B8302E"/>
    <w:rsid w:val="00B838D1"/>
    <w:rsid w:val="00B84DEA"/>
    <w:rsid w:val="00B87A33"/>
    <w:rsid w:val="00B931D8"/>
    <w:rsid w:val="00B93942"/>
    <w:rsid w:val="00B9445A"/>
    <w:rsid w:val="00B94AD5"/>
    <w:rsid w:val="00B96F06"/>
    <w:rsid w:val="00B97453"/>
    <w:rsid w:val="00BA0574"/>
    <w:rsid w:val="00BA09E7"/>
    <w:rsid w:val="00BA0F7A"/>
    <w:rsid w:val="00BA1EB9"/>
    <w:rsid w:val="00BA42F7"/>
    <w:rsid w:val="00BA7634"/>
    <w:rsid w:val="00BB13F0"/>
    <w:rsid w:val="00BB143F"/>
    <w:rsid w:val="00BB280C"/>
    <w:rsid w:val="00BB4976"/>
    <w:rsid w:val="00BB5AF5"/>
    <w:rsid w:val="00BB7FE0"/>
    <w:rsid w:val="00BC0D92"/>
    <w:rsid w:val="00BC1497"/>
    <w:rsid w:val="00BC250D"/>
    <w:rsid w:val="00BC33E3"/>
    <w:rsid w:val="00BC46E7"/>
    <w:rsid w:val="00BC47DF"/>
    <w:rsid w:val="00BC5105"/>
    <w:rsid w:val="00BC52D1"/>
    <w:rsid w:val="00BC546A"/>
    <w:rsid w:val="00BC56ED"/>
    <w:rsid w:val="00BD2853"/>
    <w:rsid w:val="00BD6688"/>
    <w:rsid w:val="00BD6EEE"/>
    <w:rsid w:val="00BD709B"/>
    <w:rsid w:val="00BD78E0"/>
    <w:rsid w:val="00BD7DC6"/>
    <w:rsid w:val="00BE2D3E"/>
    <w:rsid w:val="00BE39AD"/>
    <w:rsid w:val="00BE4FF5"/>
    <w:rsid w:val="00BF035D"/>
    <w:rsid w:val="00BF3CD8"/>
    <w:rsid w:val="00BF429A"/>
    <w:rsid w:val="00BF49B3"/>
    <w:rsid w:val="00BF57CA"/>
    <w:rsid w:val="00BF785E"/>
    <w:rsid w:val="00C0079F"/>
    <w:rsid w:val="00C00D11"/>
    <w:rsid w:val="00C01CC7"/>
    <w:rsid w:val="00C0242F"/>
    <w:rsid w:val="00C046E9"/>
    <w:rsid w:val="00C04F37"/>
    <w:rsid w:val="00C050D6"/>
    <w:rsid w:val="00C0750B"/>
    <w:rsid w:val="00C133DB"/>
    <w:rsid w:val="00C14DB6"/>
    <w:rsid w:val="00C174C9"/>
    <w:rsid w:val="00C17AFC"/>
    <w:rsid w:val="00C211A6"/>
    <w:rsid w:val="00C213D2"/>
    <w:rsid w:val="00C2166B"/>
    <w:rsid w:val="00C43F09"/>
    <w:rsid w:val="00C45E59"/>
    <w:rsid w:val="00C504CE"/>
    <w:rsid w:val="00C5230C"/>
    <w:rsid w:val="00C564C2"/>
    <w:rsid w:val="00C5688F"/>
    <w:rsid w:val="00C569C1"/>
    <w:rsid w:val="00C5765C"/>
    <w:rsid w:val="00C61FAF"/>
    <w:rsid w:val="00C62657"/>
    <w:rsid w:val="00C626BF"/>
    <w:rsid w:val="00C6379D"/>
    <w:rsid w:val="00C66EF6"/>
    <w:rsid w:val="00C67621"/>
    <w:rsid w:val="00C6769B"/>
    <w:rsid w:val="00C74FBB"/>
    <w:rsid w:val="00C75182"/>
    <w:rsid w:val="00C759B1"/>
    <w:rsid w:val="00C7714A"/>
    <w:rsid w:val="00C77551"/>
    <w:rsid w:val="00C77DD9"/>
    <w:rsid w:val="00C80C79"/>
    <w:rsid w:val="00C81710"/>
    <w:rsid w:val="00C81DDD"/>
    <w:rsid w:val="00C831E8"/>
    <w:rsid w:val="00C832D6"/>
    <w:rsid w:val="00C8384C"/>
    <w:rsid w:val="00C84997"/>
    <w:rsid w:val="00C90948"/>
    <w:rsid w:val="00C90D34"/>
    <w:rsid w:val="00C91F68"/>
    <w:rsid w:val="00C93460"/>
    <w:rsid w:val="00C960CB"/>
    <w:rsid w:val="00C96437"/>
    <w:rsid w:val="00C964DA"/>
    <w:rsid w:val="00C969AE"/>
    <w:rsid w:val="00C97B38"/>
    <w:rsid w:val="00CA0825"/>
    <w:rsid w:val="00CA246D"/>
    <w:rsid w:val="00CA4FD6"/>
    <w:rsid w:val="00CA50D9"/>
    <w:rsid w:val="00CA6FB6"/>
    <w:rsid w:val="00CA7198"/>
    <w:rsid w:val="00CB05D9"/>
    <w:rsid w:val="00CB07EE"/>
    <w:rsid w:val="00CC0F77"/>
    <w:rsid w:val="00CC334C"/>
    <w:rsid w:val="00CC3556"/>
    <w:rsid w:val="00CC37AF"/>
    <w:rsid w:val="00CC43D3"/>
    <w:rsid w:val="00CC4F41"/>
    <w:rsid w:val="00CC5E10"/>
    <w:rsid w:val="00CC6CEB"/>
    <w:rsid w:val="00CD0093"/>
    <w:rsid w:val="00CD10CB"/>
    <w:rsid w:val="00CD11E8"/>
    <w:rsid w:val="00CD1BC5"/>
    <w:rsid w:val="00CD1E22"/>
    <w:rsid w:val="00CD263F"/>
    <w:rsid w:val="00CD35FF"/>
    <w:rsid w:val="00CD40A1"/>
    <w:rsid w:val="00CD5E0A"/>
    <w:rsid w:val="00CD6F70"/>
    <w:rsid w:val="00CE063D"/>
    <w:rsid w:val="00CE065D"/>
    <w:rsid w:val="00CE2F4E"/>
    <w:rsid w:val="00CE407B"/>
    <w:rsid w:val="00CE4DA0"/>
    <w:rsid w:val="00CE79D6"/>
    <w:rsid w:val="00CF5571"/>
    <w:rsid w:val="00D01120"/>
    <w:rsid w:val="00D017D3"/>
    <w:rsid w:val="00D03587"/>
    <w:rsid w:val="00D03B81"/>
    <w:rsid w:val="00D048BD"/>
    <w:rsid w:val="00D050CB"/>
    <w:rsid w:val="00D05A25"/>
    <w:rsid w:val="00D072D9"/>
    <w:rsid w:val="00D109B7"/>
    <w:rsid w:val="00D12AC7"/>
    <w:rsid w:val="00D16089"/>
    <w:rsid w:val="00D160FC"/>
    <w:rsid w:val="00D16867"/>
    <w:rsid w:val="00D171FF"/>
    <w:rsid w:val="00D20A3E"/>
    <w:rsid w:val="00D21440"/>
    <w:rsid w:val="00D23DF3"/>
    <w:rsid w:val="00D2413C"/>
    <w:rsid w:val="00D25C2C"/>
    <w:rsid w:val="00D25FDC"/>
    <w:rsid w:val="00D260CD"/>
    <w:rsid w:val="00D30023"/>
    <w:rsid w:val="00D30D53"/>
    <w:rsid w:val="00D3247A"/>
    <w:rsid w:val="00D334BD"/>
    <w:rsid w:val="00D35483"/>
    <w:rsid w:val="00D35888"/>
    <w:rsid w:val="00D364C6"/>
    <w:rsid w:val="00D41940"/>
    <w:rsid w:val="00D42DE5"/>
    <w:rsid w:val="00D42F97"/>
    <w:rsid w:val="00D43DB0"/>
    <w:rsid w:val="00D44CE3"/>
    <w:rsid w:val="00D45FDA"/>
    <w:rsid w:val="00D469A8"/>
    <w:rsid w:val="00D46D65"/>
    <w:rsid w:val="00D51084"/>
    <w:rsid w:val="00D51A64"/>
    <w:rsid w:val="00D53942"/>
    <w:rsid w:val="00D53B7F"/>
    <w:rsid w:val="00D54F63"/>
    <w:rsid w:val="00D56ED3"/>
    <w:rsid w:val="00D604C3"/>
    <w:rsid w:val="00D60F9E"/>
    <w:rsid w:val="00D61C24"/>
    <w:rsid w:val="00D620EB"/>
    <w:rsid w:val="00D62D11"/>
    <w:rsid w:val="00D6447D"/>
    <w:rsid w:val="00D66298"/>
    <w:rsid w:val="00D70FDE"/>
    <w:rsid w:val="00D718DE"/>
    <w:rsid w:val="00D719E8"/>
    <w:rsid w:val="00D71EED"/>
    <w:rsid w:val="00D7391A"/>
    <w:rsid w:val="00D75ABB"/>
    <w:rsid w:val="00D77761"/>
    <w:rsid w:val="00D8269B"/>
    <w:rsid w:val="00D83EF1"/>
    <w:rsid w:val="00D93A5E"/>
    <w:rsid w:val="00D94C1A"/>
    <w:rsid w:val="00D94F92"/>
    <w:rsid w:val="00D95394"/>
    <w:rsid w:val="00D959B7"/>
    <w:rsid w:val="00D96021"/>
    <w:rsid w:val="00D97308"/>
    <w:rsid w:val="00D97B8A"/>
    <w:rsid w:val="00DA0AA5"/>
    <w:rsid w:val="00DA2A5E"/>
    <w:rsid w:val="00DA6173"/>
    <w:rsid w:val="00DB08BE"/>
    <w:rsid w:val="00DB0F72"/>
    <w:rsid w:val="00DB131E"/>
    <w:rsid w:val="00DB1AD6"/>
    <w:rsid w:val="00DB1DA7"/>
    <w:rsid w:val="00DB2F04"/>
    <w:rsid w:val="00DB4549"/>
    <w:rsid w:val="00DB5FCC"/>
    <w:rsid w:val="00DB6033"/>
    <w:rsid w:val="00DB7455"/>
    <w:rsid w:val="00DB76A6"/>
    <w:rsid w:val="00DC0FC0"/>
    <w:rsid w:val="00DC5A63"/>
    <w:rsid w:val="00DC79DD"/>
    <w:rsid w:val="00DD0265"/>
    <w:rsid w:val="00DD1663"/>
    <w:rsid w:val="00DD37D9"/>
    <w:rsid w:val="00DD3844"/>
    <w:rsid w:val="00DE26A8"/>
    <w:rsid w:val="00DE2C94"/>
    <w:rsid w:val="00DE3753"/>
    <w:rsid w:val="00DE5FB4"/>
    <w:rsid w:val="00DE6A3E"/>
    <w:rsid w:val="00DE72D6"/>
    <w:rsid w:val="00DF1656"/>
    <w:rsid w:val="00DF165B"/>
    <w:rsid w:val="00DF1777"/>
    <w:rsid w:val="00DF2855"/>
    <w:rsid w:val="00DF3823"/>
    <w:rsid w:val="00E01521"/>
    <w:rsid w:val="00E018E5"/>
    <w:rsid w:val="00E02E04"/>
    <w:rsid w:val="00E03730"/>
    <w:rsid w:val="00E041E8"/>
    <w:rsid w:val="00E05EDC"/>
    <w:rsid w:val="00E06A32"/>
    <w:rsid w:val="00E06BBC"/>
    <w:rsid w:val="00E06DBC"/>
    <w:rsid w:val="00E071DB"/>
    <w:rsid w:val="00E10A48"/>
    <w:rsid w:val="00E1102A"/>
    <w:rsid w:val="00E1120C"/>
    <w:rsid w:val="00E12106"/>
    <w:rsid w:val="00E12322"/>
    <w:rsid w:val="00E1337A"/>
    <w:rsid w:val="00E141F3"/>
    <w:rsid w:val="00E14A0A"/>
    <w:rsid w:val="00E15851"/>
    <w:rsid w:val="00E1656B"/>
    <w:rsid w:val="00E20BF2"/>
    <w:rsid w:val="00E214D2"/>
    <w:rsid w:val="00E24066"/>
    <w:rsid w:val="00E24C04"/>
    <w:rsid w:val="00E251DA"/>
    <w:rsid w:val="00E26F57"/>
    <w:rsid w:val="00E30E33"/>
    <w:rsid w:val="00E31EB5"/>
    <w:rsid w:val="00E34FAA"/>
    <w:rsid w:val="00E36ACB"/>
    <w:rsid w:val="00E36CF7"/>
    <w:rsid w:val="00E50A02"/>
    <w:rsid w:val="00E51C1D"/>
    <w:rsid w:val="00E6040C"/>
    <w:rsid w:val="00E60493"/>
    <w:rsid w:val="00E60B9B"/>
    <w:rsid w:val="00E63E7C"/>
    <w:rsid w:val="00E66ACD"/>
    <w:rsid w:val="00E6776D"/>
    <w:rsid w:val="00E714C8"/>
    <w:rsid w:val="00E73202"/>
    <w:rsid w:val="00E74802"/>
    <w:rsid w:val="00E76093"/>
    <w:rsid w:val="00E76654"/>
    <w:rsid w:val="00E76DA5"/>
    <w:rsid w:val="00E77D63"/>
    <w:rsid w:val="00E806B3"/>
    <w:rsid w:val="00E818AC"/>
    <w:rsid w:val="00E83BA9"/>
    <w:rsid w:val="00E92D4E"/>
    <w:rsid w:val="00E96811"/>
    <w:rsid w:val="00E971AD"/>
    <w:rsid w:val="00E97EFA"/>
    <w:rsid w:val="00EA0B96"/>
    <w:rsid w:val="00EA0BC0"/>
    <w:rsid w:val="00EA1526"/>
    <w:rsid w:val="00EA1767"/>
    <w:rsid w:val="00EA1CD5"/>
    <w:rsid w:val="00EA26C7"/>
    <w:rsid w:val="00EA319C"/>
    <w:rsid w:val="00EA39BB"/>
    <w:rsid w:val="00EA4FC6"/>
    <w:rsid w:val="00EA5103"/>
    <w:rsid w:val="00EA5A0D"/>
    <w:rsid w:val="00EA6299"/>
    <w:rsid w:val="00EA6403"/>
    <w:rsid w:val="00EA7115"/>
    <w:rsid w:val="00EB0487"/>
    <w:rsid w:val="00EB05C2"/>
    <w:rsid w:val="00EB1C9F"/>
    <w:rsid w:val="00EB23DE"/>
    <w:rsid w:val="00EC43C5"/>
    <w:rsid w:val="00EC7A92"/>
    <w:rsid w:val="00ED12DE"/>
    <w:rsid w:val="00ED38B9"/>
    <w:rsid w:val="00ED5972"/>
    <w:rsid w:val="00ED60E0"/>
    <w:rsid w:val="00ED7A73"/>
    <w:rsid w:val="00EE4B0F"/>
    <w:rsid w:val="00EF2D9F"/>
    <w:rsid w:val="00EF5213"/>
    <w:rsid w:val="00EF5E30"/>
    <w:rsid w:val="00EF7FDB"/>
    <w:rsid w:val="00F00E59"/>
    <w:rsid w:val="00F00E97"/>
    <w:rsid w:val="00F024A6"/>
    <w:rsid w:val="00F02C12"/>
    <w:rsid w:val="00F02CBE"/>
    <w:rsid w:val="00F0475D"/>
    <w:rsid w:val="00F04A19"/>
    <w:rsid w:val="00F051D2"/>
    <w:rsid w:val="00F070BE"/>
    <w:rsid w:val="00F10C17"/>
    <w:rsid w:val="00F1214E"/>
    <w:rsid w:val="00F12651"/>
    <w:rsid w:val="00F1643A"/>
    <w:rsid w:val="00F20677"/>
    <w:rsid w:val="00F23C79"/>
    <w:rsid w:val="00F240BB"/>
    <w:rsid w:val="00F242F0"/>
    <w:rsid w:val="00F24F7B"/>
    <w:rsid w:val="00F25396"/>
    <w:rsid w:val="00F30711"/>
    <w:rsid w:val="00F31EBC"/>
    <w:rsid w:val="00F3261B"/>
    <w:rsid w:val="00F365C4"/>
    <w:rsid w:val="00F36AE2"/>
    <w:rsid w:val="00F36BB0"/>
    <w:rsid w:val="00F371D9"/>
    <w:rsid w:val="00F37A96"/>
    <w:rsid w:val="00F43666"/>
    <w:rsid w:val="00F43E42"/>
    <w:rsid w:val="00F450AD"/>
    <w:rsid w:val="00F45864"/>
    <w:rsid w:val="00F45B13"/>
    <w:rsid w:val="00F51111"/>
    <w:rsid w:val="00F513A5"/>
    <w:rsid w:val="00F53649"/>
    <w:rsid w:val="00F5422C"/>
    <w:rsid w:val="00F54CD5"/>
    <w:rsid w:val="00F55D9A"/>
    <w:rsid w:val="00F55F5D"/>
    <w:rsid w:val="00F5787A"/>
    <w:rsid w:val="00F57FD4"/>
    <w:rsid w:val="00F60784"/>
    <w:rsid w:val="00F62CEF"/>
    <w:rsid w:val="00F638B4"/>
    <w:rsid w:val="00F64500"/>
    <w:rsid w:val="00F6501E"/>
    <w:rsid w:val="00F65CF0"/>
    <w:rsid w:val="00F66C37"/>
    <w:rsid w:val="00F66FEB"/>
    <w:rsid w:val="00F6761C"/>
    <w:rsid w:val="00F70AB3"/>
    <w:rsid w:val="00F71CCC"/>
    <w:rsid w:val="00F73483"/>
    <w:rsid w:val="00F736DB"/>
    <w:rsid w:val="00F7565F"/>
    <w:rsid w:val="00F76DBA"/>
    <w:rsid w:val="00F7707C"/>
    <w:rsid w:val="00F82E64"/>
    <w:rsid w:val="00F8431A"/>
    <w:rsid w:val="00F869F0"/>
    <w:rsid w:val="00F87523"/>
    <w:rsid w:val="00F92509"/>
    <w:rsid w:val="00F9257C"/>
    <w:rsid w:val="00F934B0"/>
    <w:rsid w:val="00F952BC"/>
    <w:rsid w:val="00F95844"/>
    <w:rsid w:val="00F96766"/>
    <w:rsid w:val="00F979B8"/>
    <w:rsid w:val="00FA08E7"/>
    <w:rsid w:val="00FA13D2"/>
    <w:rsid w:val="00FA147D"/>
    <w:rsid w:val="00FA2CE8"/>
    <w:rsid w:val="00FA3879"/>
    <w:rsid w:val="00FA3A0D"/>
    <w:rsid w:val="00FA664A"/>
    <w:rsid w:val="00FA76B7"/>
    <w:rsid w:val="00FA7AA1"/>
    <w:rsid w:val="00FB1042"/>
    <w:rsid w:val="00FB1A4B"/>
    <w:rsid w:val="00FB2310"/>
    <w:rsid w:val="00FB355E"/>
    <w:rsid w:val="00FB36B3"/>
    <w:rsid w:val="00FB3B41"/>
    <w:rsid w:val="00FB3F19"/>
    <w:rsid w:val="00FB66E9"/>
    <w:rsid w:val="00FB6EAD"/>
    <w:rsid w:val="00FC0128"/>
    <w:rsid w:val="00FC44A3"/>
    <w:rsid w:val="00FC5920"/>
    <w:rsid w:val="00FC5F43"/>
    <w:rsid w:val="00FC7F83"/>
    <w:rsid w:val="00FD0453"/>
    <w:rsid w:val="00FD1274"/>
    <w:rsid w:val="00FD13D5"/>
    <w:rsid w:val="00FD4C6A"/>
    <w:rsid w:val="00FD6D3D"/>
    <w:rsid w:val="00FE0165"/>
    <w:rsid w:val="00FE05F6"/>
    <w:rsid w:val="00FE2AD8"/>
    <w:rsid w:val="00FE335F"/>
    <w:rsid w:val="00FE3B07"/>
    <w:rsid w:val="00FE4406"/>
    <w:rsid w:val="00FE704F"/>
    <w:rsid w:val="00FE705E"/>
    <w:rsid w:val="00FE790B"/>
    <w:rsid w:val="00FE7E59"/>
    <w:rsid w:val="00FF0E68"/>
    <w:rsid w:val="00FF1081"/>
    <w:rsid w:val="00FF10FA"/>
    <w:rsid w:val="00FF223A"/>
    <w:rsid w:val="00FF25D1"/>
    <w:rsid w:val="00FF3171"/>
    <w:rsid w:val="017734CE"/>
    <w:rsid w:val="020410A9"/>
    <w:rsid w:val="02B71386"/>
    <w:rsid w:val="03041433"/>
    <w:rsid w:val="037C337C"/>
    <w:rsid w:val="05E92648"/>
    <w:rsid w:val="07443763"/>
    <w:rsid w:val="077E1896"/>
    <w:rsid w:val="0865499C"/>
    <w:rsid w:val="092B7FA2"/>
    <w:rsid w:val="09E813E1"/>
    <w:rsid w:val="0CE00754"/>
    <w:rsid w:val="0FE54BC6"/>
    <w:rsid w:val="119500A0"/>
    <w:rsid w:val="160B65B8"/>
    <w:rsid w:val="16DA6555"/>
    <w:rsid w:val="181B00DE"/>
    <w:rsid w:val="1CFD4BB7"/>
    <w:rsid w:val="1D1E7436"/>
    <w:rsid w:val="1EE97BD3"/>
    <w:rsid w:val="1F881244"/>
    <w:rsid w:val="20473BA3"/>
    <w:rsid w:val="223E5BEA"/>
    <w:rsid w:val="24903D54"/>
    <w:rsid w:val="27475E96"/>
    <w:rsid w:val="278A40F4"/>
    <w:rsid w:val="292D6E86"/>
    <w:rsid w:val="294C6E3F"/>
    <w:rsid w:val="29AC0C5F"/>
    <w:rsid w:val="2AA943CB"/>
    <w:rsid w:val="2B0A6292"/>
    <w:rsid w:val="2B812EEA"/>
    <w:rsid w:val="2EAF0755"/>
    <w:rsid w:val="35F8791E"/>
    <w:rsid w:val="37971BCD"/>
    <w:rsid w:val="3823357F"/>
    <w:rsid w:val="38507FCD"/>
    <w:rsid w:val="3F1104B7"/>
    <w:rsid w:val="41ED07ED"/>
    <w:rsid w:val="44613C8E"/>
    <w:rsid w:val="46790A77"/>
    <w:rsid w:val="46B83A15"/>
    <w:rsid w:val="47E22DAA"/>
    <w:rsid w:val="48253225"/>
    <w:rsid w:val="485338EE"/>
    <w:rsid w:val="492B7622"/>
    <w:rsid w:val="4A1240B3"/>
    <w:rsid w:val="4D2A7712"/>
    <w:rsid w:val="4E462DBA"/>
    <w:rsid w:val="4F2B257A"/>
    <w:rsid w:val="501747B4"/>
    <w:rsid w:val="517E2641"/>
    <w:rsid w:val="518C5EE4"/>
    <w:rsid w:val="54BF230B"/>
    <w:rsid w:val="55FE375F"/>
    <w:rsid w:val="57771297"/>
    <w:rsid w:val="5785783C"/>
    <w:rsid w:val="59260BAB"/>
    <w:rsid w:val="5B524410"/>
    <w:rsid w:val="5B603A70"/>
    <w:rsid w:val="5CE768A3"/>
    <w:rsid w:val="5D8C204C"/>
    <w:rsid w:val="5E3873B6"/>
    <w:rsid w:val="5F1C0A86"/>
    <w:rsid w:val="61581B1D"/>
    <w:rsid w:val="637F5CBE"/>
    <w:rsid w:val="639F1B94"/>
    <w:rsid w:val="669453A6"/>
    <w:rsid w:val="66AE269A"/>
    <w:rsid w:val="676E3E49"/>
    <w:rsid w:val="6933534A"/>
    <w:rsid w:val="69FA3B9E"/>
    <w:rsid w:val="6C20148A"/>
    <w:rsid w:val="7130216F"/>
    <w:rsid w:val="71A45F17"/>
    <w:rsid w:val="71E250FB"/>
    <w:rsid w:val="734A47CF"/>
    <w:rsid w:val="763527EB"/>
    <w:rsid w:val="76BF646F"/>
    <w:rsid w:val="775213D7"/>
    <w:rsid w:val="775F5EBE"/>
    <w:rsid w:val="79BA116F"/>
    <w:rsid w:val="7BAE6AB2"/>
    <w:rsid w:val="7C296138"/>
    <w:rsid w:val="7E555BF7"/>
    <w:rsid w:val="7E6C1254"/>
    <w:rsid w:val="7F453289"/>
    <w:rsid w:val="7F6A1B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qFormat="1" w:uiPriority="99"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28"/>
    <w:qFormat/>
    <w:uiPriority w:val="0"/>
    <w:pPr>
      <w:keepNext/>
      <w:spacing w:line="360" w:lineRule="auto"/>
      <w:jc w:val="center"/>
      <w:outlineLvl w:val="0"/>
    </w:pPr>
    <w:rPr>
      <w:rFonts w:ascii="宋体" w:hAnsi="宋体" w:cs="宋体"/>
      <w:b/>
      <w:sz w:val="28"/>
      <w:szCs w:val="20"/>
    </w:rPr>
  </w:style>
  <w:style w:type="paragraph" w:styleId="4">
    <w:name w:val="heading 3"/>
    <w:basedOn w:val="1"/>
    <w:next w:val="1"/>
    <w:link w:val="29"/>
    <w:semiHidden/>
    <w:unhideWhenUsed/>
    <w:qFormat/>
    <w:uiPriority w:val="0"/>
    <w:pPr>
      <w:keepNext/>
      <w:keepLines/>
      <w:spacing w:before="260" w:after="260" w:line="412" w:lineRule="auto"/>
      <w:outlineLvl w:val="2"/>
    </w:pPr>
    <w:rPr>
      <w:rFonts w:cs="宋体"/>
      <w:b/>
      <w:sz w:val="32"/>
      <w:szCs w:val="20"/>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37"/>
    <w:semiHidden/>
    <w:unhideWhenUsed/>
    <w:qFormat/>
    <w:uiPriority w:val="99"/>
    <w:pPr>
      <w:spacing w:after="120" w:line="480" w:lineRule="auto"/>
      <w:ind w:left="420" w:leftChars="200"/>
    </w:pPr>
  </w:style>
  <w:style w:type="paragraph" w:styleId="5">
    <w:name w:val="Normal Indent"/>
    <w:basedOn w:val="1"/>
    <w:semiHidden/>
    <w:unhideWhenUsed/>
    <w:qFormat/>
    <w:uiPriority w:val="99"/>
    <w:pPr>
      <w:ind w:firstLine="420"/>
    </w:pPr>
  </w:style>
  <w:style w:type="paragraph" w:styleId="6">
    <w:name w:val="annotation text"/>
    <w:basedOn w:val="1"/>
    <w:link w:val="30"/>
    <w:semiHidden/>
    <w:unhideWhenUsed/>
    <w:qFormat/>
    <w:uiPriority w:val="99"/>
    <w:pPr>
      <w:jc w:val="left"/>
    </w:pPr>
  </w:style>
  <w:style w:type="paragraph" w:styleId="7">
    <w:name w:val="Body Text"/>
    <w:basedOn w:val="1"/>
    <w:next w:val="8"/>
    <w:link w:val="34"/>
    <w:semiHidden/>
    <w:unhideWhenUsed/>
    <w:qFormat/>
    <w:uiPriority w:val="99"/>
    <w:pPr>
      <w:jc w:val="left"/>
    </w:pPr>
    <w:rPr>
      <w:rFonts w:ascii="楷体_GB2312" w:hAnsi="华文楷体" w:eastAsia="楷体_GB2312"/>
      <w:sz w:val="28"/>
      <w:szCs w:val="28"/>
    </w:rPr>
  </w:style>
  <w:style w:type="paragraph" w:styleId="8">
    <w:name w:val="Body Text 2"/>
    <w:basedOn w:val="1"/>
    <w:link w:val="56"/>
    <w:semiHidden/>
    <w:unhideWhenUsed/>
    <w:qFormat/>
    <w:uiPriority w:val="99"/>
    <w:pPr>
      <w:spacing w:after="120" w:line="480" w:lineRule="auto"/>
    </w:pPr>
  </w:style>
  <w:style w:type="paragraph" w:styleId="9">
    <w:name w:val="Body Text Indent"/>
    <w:basedOn w:val="1"/>
    <w:link w:val="35"/>
    <w:unhideWhenUsed/>
    <w:qFormat/>
    <w:uiPriority w:val="99"/>
    <w:pPr>
      <w:spacing w:after="120"/>
      <w:ind w:left="420" w:leftChars="200"/>
    </w:pPr>
  </w:style>
  <w:style w:type="paragraph" w:styleId="10">
    <w:name w:val="List Bullet 2"/>
    <w:basedOn w:val="1"/>
    <w:qFormat/>
    <w:uiPriority w:val="0"/>
    <w:pPr>
      <w:numPr>
        <w:ilvl w:val="0"/>
        <w:numId w:val="1"/>
      </w:numPr>
      <w:ind w:left="0" w:leftChars="0" w:firstLine="0" w:firstLineChars="0"/>
    </w:pPr>
    <w:rPr>
      <w:rFonts w:ascii="Times New Roman" w:hAnsi="Times New Roman"/>
      <w:szCs w:val="22"/>
    </w:rPr>
  </w:style>
  <w:style w:type="paragraph" w:styleId="11">
    <w:name w:val="Plain Text"/>
    <w:basedOn w:val="1"/>
    <w:link w:val="38"/>
    <w:unhideWhenUsed/>
    <w:qFormat/>
    <w:uiPriority w:val="99"/>
    <w:rPr>
      <w:rFonts w:ascii="宋体" w:hAnsi="Courier New" w:cs="Courier New"/>
      <w:szCs w:val="21"/>
    </w:rPr>
  </w:style>
  <w:style w:type="paragraph" w:styleId="12">
    <w:name w:val="Date"/>
    <w:basedOn w:val="1"/>
    <w:next w:val="1"/>
    <w:link w:val="36"/>
    <w:unhideWhenUsed/>
    <w:qFormat/>
    <w:uiPriority w:val="99"/>
    <w:pPr>
      <w:ind w:left="100" w:leftChars="2500"/>
    </w:pPr>
    <w:rPr>
      <w:rFonts w:eastAsia="楷体_GB2312"/>
      <w:b/>
      <w:bCs/>
      <w:sz w:val="32"/>
    </w:rPr>
  </w:style>
  <w:style w:type="paragraph" w:styleId="13">
    <w:name w:val="Balloon Text"/>
    <w:basedOn w:val="1"/>
    <w:link w:val="40"/>
    <w:semiHidden/>
    <w:unhideWhenUsed/>
    <w:qFormat/>
    <w:uiPriority w:val="99"/>
    <w:rPr>
      <w:sz w:val="18"/>
      <w:szCs w:val="18"/>
    </w:rPr>
  </w:style>
  <w:style w:type="paragraph" w:styleId="14">
    <w:name w:val="footer"/>
    <w:basedOn w:val="1"/>
    <w:link w:val="32"/>
    <w:unhideWhenUsed/>
    <w:qFormat/>
    <w:uiPriority w:val="99"/>
    <w:pPr>
      <w:tabs>
        <w:tab w:val="center" w:pos="4153"/>
        <w:tab w:val="right" w:pos="8306"/>
      </w:tabs>
      <w:snapToGrid w:val="0"/>
      <w:jc w:val="left"/>
    </w:pPr>
    <w:rPr>
      <w:sz w:val="18"/>
      <w:szCs w:val="18"/>
    </w:rPr>
  </w:style>
  <w:style w:type="paragraph" w:styleId="15">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tabs>
        <w:tab w:val="right" w:leader="dot" w:pos="8296"/>
      </w:tabs>
      <w:spacing w:line="360" w:lineRule="auto"/>
    </w:pPr>
  </w:style>
  <w:style w:type="paragraph" w:styleId="17">
    <w:name w:val="Normal (Web)"/>
    <w:basedOn w:val="1"/>
    <w:unhideWhenUsed/>
    <w:qFormat/>
    <w:uiPriority w:val="0"/>
    <w:pPr>
      <w:spacing w:before="100" w:beforeAutospacing="1" w:after="100" w:afterAutospacing="1"/>
      <w:jc w:val="left"/>
    </w:pPr>
    <w:rPr>
      <w:kern w:val="0"/>
      <w:sz w:val="24"/>
      <w:szCs w:val="20"/>
    </w:rPr>
  </w:style>
  <w:style w:type="paragraph" w:styleId="18">
    <w:name w:val="Title"/>
    <w:basedOn w:val="1"/>
    <w:link w:val="33"/>
    <w:qFormat/>
    <w:uiPriority w:val="99"/>
    <w:pPr>
      <w:adjustRightInd w:val="0"/>
      <w:spacing w:before="240" w:after="60" w:line="420" w:lineRule="atLeast"/>
      <w:jc w:val="center"/>
      <w:outlineLvl w:val="0"/>
    </w:pPr>
    <w:rPr>
      <w:rFonts w:ascii="Arial" w:hAnsi="Arial"/>
      <w:b/>
      <w:kern w:val="0"/>
      <w:sz w:val="32"/>
      <w:szCs w:val="20"/>
    </w:rPr>
  </w:style>
  <w:style w:type="paragraph" w:styleId="19">
    <w:name w:val="annotation subject"/>
    <w:basedOn w:val="6"/>
    <w:next w:val="6"/>
    <w:link w:val="39"/>
    <w:semiHidden/>
    <w:unhideWhenUsed/>
    <w:qFormat/>
    <w:uiPriority w:val="99"/>
    <w:rPr>
      <w:b/>
      <w:bCs/>
    </w:rPr>
  </w:style>
  <w:style w:type="paragraph" w:styleId="20">
    <w:name w:val="Body Text First Indent 2"/>
    <w:basedOn w:val="9"/>
    <w:qFormat/>
    <w:uiPriority w:val="0"/>
    <w:pPr>
      <w:tabs>
        <w:tab w:val="left" w:pos="0"/>
        <w:tab w:val="left" w:pos="993"/>
        <w:tab w:val="left" w:pos="1134"/>
      </w:tabs>
      <w:ind w:firstLine="420"/>
    </w:pPr>
    <w:rPr>
      <w:rFonts w:ascii="Times New Roman" w:hAnsi="Times New Roman"/>
    </w:rPr>
  </w:style>
  <w:style w:type="table" w:styleId="22">
    <w:name w:val="Table Grid"/>
    <w:basedOn w:val="21"/>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basedOn w:val="23"/>
    <w:semiHidden/>
    <w:unhideWhenUsed/>
    <w:qFormat/>
    <w:uiPriority w:val="99"/>
    <w:rPr>
      <w:color w:val="800080" w:themeColor="followedHyperlink"/>
      <w:u w:val="single"/>
      <w14:textFill>
        <w14:solidFill>
          <w14:schemeClr w14:val="folHlink"/>
        </w14:solidFill>
      </w14:textFill>
    </w:rPr>
  </w:style>
  <w:style w:type="character" w:styleId="25">
    <w:name w:val="Hyperlink"/>
    <w:unhideWhenUsed/>
    <w:qFormat/>
    <w:uiPriority w:val="99"/>
    <w:rPr>
      <w:color w:val="0000FF"/>
      <w:u w:val="single"/>
    </w:rPr>
  </w:style>
  <w:style w:type="character" w:styleId="26">
    <w:name w:val="annotation reference"/>
    <w:semiHidden/>
    <w:unhideWhenUsed/>
    <w:qFormat/>
    <w:uiPriority w:val="0"/>
    <w:rPr>
      <w:sz w:val="21"/>
      <w:szCs w:val="21"/>
    </w:rPr>
  </w:style>
  <w:style w:type="paragraph" w:customStyle="1" w:styleId="27">
    <w:name w:val="Default"/>
    <w:qFormat/>
    <w:uiPriority w:val="0"/>
    <w:pPr>
      <w:widowControl w:val="0"/>
      <w:autoSpaceDE w:val="0"/>
      <w:autoSpaceDN w:val="0"/>
      <w:adjustRightInd w:val="0"/>
    </w:pPr>
    <w:rPr>
      <w:rFonts w:ascii="等线" w:hAnsi="等线" w:eastAsia="等线" w:cs="Times New Roman"/>
      <w:color w:val="000000"/>
      <w:sz w:val="24"/>
      <w:szCs w:val="24"/>
      <w:lang w:val="en-US" w:eastAsia="zh-CN" w:bidi="ar-SA"/>
    </w:rPr>
  </w:style>
  <w:style w:type="character" w:customStyle="1" w:styleId="28">
    <w:name w:val="标题 1 Char"/>
    <w:basedOn w:val="23"/>
    <w:link w:val="3"/>
    <w:qFormat/>
    <w:uiPriority w:val="0"/>
    <w:rPr>
      <w:rFonts w:ascii="宋体" w:hAnsi="宋体" w:eastAsia="宋体" w:cs="宋体"/>
      <w:b/>
      <w:sz w:val="28"/>
      <w:szCs w:val="20"/>
    </w:rPr>
  </w:style>
  <w:style w:type="character" w:customStyle="1" w:styleId="29">
    <w:name w:val="标题 3 Char"/>
    <w:basedOn w:val="23"/>
    <w:link w:val="4"/>
    <w:semiHidden/>
    <w:qFormat/>
    <w:uiPriority w:val="0"/>
    <w:rPr>
      <w:rFonts w:ascii="Calibri" w:hAnsi="Calibri" w:eastAsia="宋体" w:cs="宋体"/>
      <w:b/>
      <w:sz w:val="32"/>
      <w:szCs w:val="20"/>
    </w:rPr>
  </w:style>
  <w:style w:type="character" w:customStyle="1" w:styleId="30">
    <w:name w:val="批注文字 Char"/>
    <w:basedOn w:val="23"/>
    <w:link w:val="6"/>
    <w:semiHidden/>
    <w:qFormat/>
    <w:uiPriority w:val="99"/>
    <w:rPr>
      <w:rFonts w:ascii="Calibri" w:hAnsi="Calibri" w:eastAsia="宋体" w:cs="Times New Roman"/>
      <w:szCs w:val="24"/>
    </w:rPr>
  </w:style>
  <w:style w:type="character" w:customStyle="1" w:styleId="31">
    <w:name w:val="页眉 Char"/>
    <w:basedOn w:val="23"/>
    <w:link w:val="15"/>
    <w:qFormat/>
    <w:uiPriority w:val="99"/>
    <w:rPr>
      <w:rFonts w:ascii="Calibri" w:hAnsi="Calibri" w:eastAsia="宋体" w:cs="Times New Roman"/>
      <w:sz w:val="18"/>
      <w:szCs w:val="18"/>
    </w:rPr>
  </w:style>
  <w:style w:type="character" w:customStyle="1" w:styleId="32">
    <w:name w:val="页脚 Char"/>
    <w:basedOn w:val="23"/>
    <w:link w:val="14"/>
    <w:qFormat/>
    <w:uiPriority w:val="99"/>
    <w:rPr>
      <w:rFonts w:ascii="Calibri" w:hAnsi="Calibri" w:eastAsia="宋体" w:cs="Times New Roman"/>
      <w:sz w:val="18"/>
      <w:szCs w:val="18"/>
    </w:rPr>
  </w:style>
  <w:style w:type="character" w:customStyle="1" w:styleId="33">
    <w:name w:val="标题 Char"/>
    <w:basedOn w:val="23"/>
    <w:link w:val="18"/>
    <w:qFormat/>
    <w:uiPriority w:val="99"/>
    <w:rPr>
      <w:rFonts w:ascii="Arial" w:hAnsi="Arial" w:eastAsia="宋体" w:cs="Times New Roman"/>
      <w:b/>
      <w:kern w:val="0"/>
      <w:sz w:val="32"/>
      <w:szCs w:val="20"/>
    </w:rPr>
  </w:style>
  <w:style w:type="character" w:customStyle="1" w:styleId="34">
    <w:name w:val="正文文本 Char"/>
    <w:basedOn w:val="23"/>
    <w:link w:val="7"/>
    <w:semiHidden/>
    <w:qFormat/>
    <w:uiPriority w:val="99"/>
    <w:rPr>
      <w:rFonts w:ascii="楷体_GB2312" w:hAnsi="华文楷体" w:eastAsia="楷体_GB2312" w:cs="Times New Roman"/>
      <w:sz w:val="28"/>
      <w:szCs w:val="28"/>
    </w:rPr>
  </w:style>
  <w:style w:type="character" w:customStyle="1" w:styleId="35">
    <w:name w:val="正文文本缩进 Char"/>
    <w:basedOn w:val="23"/>
    <w:link w:val="9"/>
    <w:qFormat/>
    <w:uiPriority w:val="99"/>
    <w:rPr>
      <w:rFonts w:ascii="Calibri" w:hAnsi="Calibri" w:eastAsia="宋体" w:cs="Times New Roman"/>
      <w:szCs w:val="24"/>
    </w:rPr>
  </w:style>
  <w:style w:type="character" w:customStyle="1" w:styleId="36">
    <w:name w:val="日期 Char"/>
    <w:basedOn w:val="23"/>
    <w:link w:val="12"/>
    <w:qFormat/>
    <w:uiPriority w:val="99"/>
    <w:rPr>
      <w:rFonts w:ascii="Calibri" w:hAnsi="Calibri" w:eastAsia="楷体_GB2312" w:cs="Times New Roman"/>
      <w:b/>
      <w:bCs/>
      <w:sz w:val="32"/>
      <w:szCs w:val="24"/>
    </w:rPr>
  </w:style>
  <w:style w:type="character" w:customStyle="1" w:styleId="37">
    <w:name w:val="正文文本缩进 2 Char"/>
    <w:basedOn w:val="23"/>
    <w:link w:val="2"/>
    <w:semiHidden/>
    <w:qFormat/>
    <w:uiPriority w:val="99"/>
    <w:rPr>
      <w:rFonts w:ascii="Calibri" w:hAnsi="Calibri" w:eastAsia="宋体" w:cs="Times New Roman"/>
      <w:szCs w:val="24"/>
    </w:rPr>
  </w:style>
  <w:style w:type="character" w:customStyle="1" w:styleId="38">
    <w:name w:val="纯文本 Char"/>
    <w:basedOn w:val="23"/>
    <w:link w:val="11"/>
    <w:qFormat/>
    <w:uiPriority w:val="99"/>
    <w:rPr>
      <w:rFonts w:ascii="宋体" w:hAnsi="Courier New" w:eastAsia="宋体" w:cs="Courier New"/>
      <w:szCs w:val="21"/>
    </w:rPr>
  </w:style>
  <w:style w:type="character" w:customStyle="1" w:styleId="39">
    <w:name w:val="批注主题 Char"/>
    <w:basedOn w:val="30"/>
    <w:link w:val="19"/>
    <w:semiHidden/>
    <w:qFormat/>
    <w:uiPriority w:val="99"/>
    <w:rPr>
      <w:rFonts w:ascii="Calibri" w:hAnsi="Calibri" w:eastAsia="宋体" w:cs="Times New Roman"/>
      <w:b/>
      <w:bCs/>
      <w:szCs w:val="24"/>
    </w:rPr>
  </w:style>
  <w:style w:type="character" w:customStyle="1" w:styleId="40">
    <w:name w:val="批注框文本 Char"/>
    <w:basedOn w:val="23"/>
    <w:link w:val="13"/>
    <w:semiHidden/>
    <w:qFormat/>
    <w:uiPriority w:val="99"/>
    <w:rPr>
      <w:rFonts w:ascii="Calibri" w:hAnsi="Calibri" w:eastAsia="宋体" w:cs="Times New Roman"/>
      <w:sz w:val="18"/>
      <w:szCs w:val="18"/>
    </w:rPr>
  </w:style>
  <w:style w:type="paragraph" w:styleId="41">
    <w:name w:val="List Paragraph"/>
    <w:basedOn w:val="1"/>
    <w:qFormat/>
    <w:uiPriority w:val="34"/>
    <w:pPr>
      <w:ind w:firstLine="420" w:firstLineChars="200"/>
    </w:pPr>
    <w:rPr>
      <w:szCs w:val="20"/>
    </w:rPr>
  </w:style>
  <w:style w:type="paragraph" w:customStyle="1" w:styleId="42">
    <w:name w:val="Char Char1 Char Char Char Char Char Char"/>
    <w:basedOn w:val="1"/>
    <w:qFormat/>
    <w:uiPriority w:val="99"/>
    <w:pPr>
      <w:widowControl/>
      <w:spacing w:after="160" w:line="240" w:lineRule="exact"/>
      <w:jc w:val="left"/>
    </w:pPr>
    <w:rPr>
      <w:szCs w:val="20"/>
    </w:rPr>
  </w:style>
  <w:style w:type="paragraph" w:customStyle="1" w:styleId="43">
    <w:name w:val="2"/>
    <w:basedOn w:val="1"/>
    <w:qFormat/>
    <w:uiPriority w:val="99"/>
    <w:pPr>
      <w:widowControl/>
      <w:spacing w:before="100" w:beforeAutospacing="1" w:after="100" w:afterAutospacing="1"/>
      <w:jc w:val="left"/>
    </w:pPr>
    <w:rPr>
      <w:rFonts w:ascii="宋体" w:hAnsi="宋体" w:cs="宋体"/>
      <w:kern w:val="0"/>
      <w:sz w:val="24"/>
    </w:rPr>
  </w:style>
  <w:style w:type="paragraph" w:customStyle="1" w:styleId="44">
    <w:name w:val="列出段落1"/>
    <w:basedOn w:val="1"/>
    <w:qFormat/>
    <w:uiPriority w:val="0"/>
    <w:pPr>
      <w:ind w:firstLine="420" w:firstLineChars="200"/>
    </w:pPr>
  </w:style>
  <w:style w:type="paragraph" w:customStyle="1" w:styleId="45">
    <w:name w:val="Char"/>
    <w:basedOn w:val="1"/>
    <w:qFormat/>
    <w:uiPriority w:val="99"/>
    <w:pPr>
      <w:widowControl/>
      <w:spacing w:after="160" w:line="240" w:lineRule="exact"/>
      <w:jc w:val="left"/>
    </w:pPr>
  </w:style>
  <w:style w:type="paragraph" w:customStyle="1" w:styleId="46">
    <w:name w:val="正文_2"/>
    <w:qFormat/>
    <w:uiPriority w:val="99"/>
    <w:rPr>
      <w:rFonts w:ascii="Calibri" w:hAnsi="Calibri" w:eastAsia="宋体" w:cs="Times New Roman"/>
      <w:sz w:val="21"/>
      <w:szCs w:val="22"/>
      <w:lang w:val="en-US" w:eastAsia="zh-CN" w:bidi="ar-SA"/>
    </w:rPr>
  </w:style>
  <w:style w:type="paragraph" w:customStyle="1" w:styleId="47">
    <w:name w:val="正文_0_0"/>
    <w:qFormat/>
    <w:uiPriority w:val="99"/>
    <w:pPr>
      <w:widowControl w:val="0"/>
      <w:jc w:val="both"/>
    </w:pPr>
    <w:rPr>
      <w:rFonts w:ascii="Calibri" w:hAnsi="Calibri" w:eastAsia="宋体" w:cs="Times New Roman"/>
      <w:kern w:val="2"/>
      <w:sz w:val="21"/>
      <w:szCs w:val="22"/>
      <w:lang w:val="en-US" w:eastAsia="zh-CN" w:bidi="ar-SA"/>
    </w:rPr>
  </w:style>
  <w:style w:type="character" w:customStyle="1" w:styleId="48">
    <w:name w:val="标题 Char1"/>
    <w:basedOn w:val="23"/>
    <w:qFormat/>
    <w:uiPriority w:val="10"/>
    <w:rPr>
      <w:rFonts w:hint="default" w:asciiTheme="majorHAnsi" w:hAnsiTheme="majorHAnsi" w:cstheme="majorBidi"/>
      <w:b/>
      <w:bCs/>
      <w:kern w:val="2"/>
      <w:sz w:val="32"/>
      <w:szCs w:val="32"/>
    </w:rPr>
  </w:style>
  <w:style w:type="character" w:customStyle="1" w:styleId="49">
    <w:name w:val="批注文字 Char1"/>
    <w:basedOn w:val="23"/>
    <w:semiHidden/>
    <w:qFormat/>
    <w:uiPriority w:val="99"/>
    <w:rPr>
      <w:kern w:val="2"/>
      <w:sz w:val="21"/>
      <w:szCs w:val="24"/>
    </w:rPr>
  </w:style>
  <w:style w:type="character" w:customStyle="1" w:styleId="50">
    <w:name w:val="批注主题 Char1"/>
    <w:basedOn w:val="49"/>
    <w:semiHidden/>
    <w:qFormat/>
    <w:uiPriority w:val="99"/>
    <w:rPr>
      <w:b/>
      <w:bCs/>
      <w:kern w:val="2"/>
      <w:sz w:val="21"/>
      <w:szCs w:val="24"/>
    </w:rPr>
  </w:style>
  <w:style w:type="paragraph" w:customStyle="1" w:styleId="51">
    <w:name w:val="TOC 标题1"/>
    <w:basedOn w:val="3"/>
    <w:next w:val="1"/>
    <w:unhideWhenUsed/>
    <w:qFormat/>
    <w:uiPriority w:val="39"/>
    <w:pPr>
      <w:keepLines/>
      <w:widowControl/>
      <w:spacing w:before="24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character" w:customStyle="1" w:styleId="52">
    <w:name w:val="Blockquote Char Char"/>
    <w:link w:val="53"/>
    <w:qFormat/>
    <w:uiPriority w:val="0"/>
    <w:rPr>
      <w:sz w:val="24"/>
    </w:rPr>
  </w:style>
  <w:style w:type="paragraph" w:customStyle="1" w:styleId="53">
    <w:name w:val="Blockquote"/>
    <w:basedOn w:val="1"/>
    <w:link w:val="52"/>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54">
    <w:name w:val="正文_0_0_0_0"/>
    <w:qFormat/>
    <w:uiPriority w:val="0"/>
    <w:pPr>
      <w:widowControl w:val="0"/>
      <w:jc w:val="both"/>
    </w:pPr>
    <w:rPr>
      <w:rFonts w:ascii="Times New Roman" w:hAnsi="Times New Roman" w:eastAsia="宋体" w:cs="Times New Roman"/>
      <w:lang w:val="en-US" w:eastAsia="zh-CN" w:bidi="ar-SA"/>
    </w:rPr>
  </w:style>
  <w:style w:type="paragraph" w:customStyle="1" w:styleId="55">
    <w:name w:val="正文_0"/>
    <w:qFormat/>
    <w:uiPriority w:val="0"/>
    <w:pPr>
      <w:widowControl w:val="0"/>
      <w:ind w:firstLine="360"/>
      <w:jc w:val="both"/>
    </w:pPr>
    <w:rPr>
      <w:rFonts w:ascii="Times New Roman" w:hAnsi="Times New Roman" w:eastAsia="宋体" w:cs="Times New Roman"/>
      <w:kern w:val="2"/>
      <w:sz w:val="21"/>
      <w:szCs w:val="22"/>
      <w:lang w:val="en-US" w:eastAsia="zh-CN" w:bidi="ar-SA"/>
    </w:rPr>
  </w:style>
  <w:style w:type="character" w:customStyle="1" w:styleId="56">
    <w:name w:val="正文文本 2 Char"/>
    <w:basedOn w:val="23"/>
    <w:link w:val="8"/>
    <w:semiHidden/>
    <w:qFormat/>
    <w:uiPriority w:val="99"/>
    <w:rPr>
      <w:rFonts w:ascii="Calibri" w:hAnsi="Calibri" w:eastAsia="宋体" w:cs="Times New Roman"/>
      <w:kern w:val="2"/>
      <w:sz w:val="21"/>
      <w:szCs w:val="24"/>
    </w:rPr>
  </w:style>
  <w:style w:type="character" w:customStyle="1" w:styleId="57">
    <w:name w:val="NormalCharacter"/>
    <w:qFormat/>
    <w:uiPriority w:val="0"/>
  </w:style>
  <w:style w:type="paragraph" w:customStyle="1" w:styleId="58">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59">
    <w:name w:val="宋体小四正文"/>
    <w:basedOn w:val="1"/>
    <w:link w:val="60"/>
    <w:qFormat/>
    <w:uiPriority w:val="0"/>
    <w:pPr>
      <w:spacing w:line="360" w:lineRule="auto"/>
      <w:ind w:firstLine="200" w:firstLineChars="200"/>
    </w:pPr>
    <w:rPr>
      <w:rFonts w:ascii="宋体" w:hAnsi="宋体" w:cstheme="minorBidi"/>
      <w:color w:val="000000" w:themeColor="text1"/>
      <w:sz w:val="24"/>
      <w:szCs w:val="28"/>
      <w14:textFill>
        <w14:solidFill>
          <w14:schemeClr w14:val="tx1"/>
        </w14:solidFill>
      </w14:textFill>
    </w:rPr>
  </w:style>
  <w:style w:type="character" w:customStyle="1" w:styleId="60">
    <w:name w:val="宋体小四正文 字符"/>
    <w:basedOn w:val="23"/>
    <w:link w:val="59"/>
    <w:qFormat/>
    <w:uiPriority w:val="0"/>
    <w:rPr>
      <w:rFonts w:ascii="宋体" w:hAnsi="宋体" w:eastAsia="宋体"/>
      <w:color w:val="000000" w:themeColor="text1"/>
      <w:kern w:val="2"/>
      <w:sz w:val="24"/>
      <w:szCs w:val="28"/>
      <w14:textFill>
        <w14:solidFill>
          <w14:schemeClr w14:val="tx1"/>
        </w14:solidFill>
      </w14:textFill>
    </w:rPr>
  </w:style>
  <w:style w:type="character" w:customStyle="1" w:styleId="61">
    <w:name w:val="font31"/>
    <w:basedOn w:val="23"/>
    <w:qFormat/>
    <w:uiPriority w:val="0"/>
    <w:rPr>
      <w:rFonts w:hint="eastAsia" w:ascii="宋体" w:hAnsi="宋体" w:eastAsia="宋体" w:cs="宋体"/>
      <w:color w:val="000000"/>
      <w:sz w:val="24"/>
      <w:szCs w:val="24"/>
      <w:u w:val="none"/>
    </w:rPr>
  </w:style>
  <w:style w:type="character" w:customStyle="1" w:styleId="62">
    <w:name w:val="font51"/>
    <w:basedOn w:val="23"/>
    <w:qFormat/>
    <w:uiPriority w:val="0"/>
    <w:rPr>
      <w:rFonts w:hint="eastAsia" w:ascii="宋体" w:hAnsi="宋体" w:eastAsia="宋体" w:cs="宋体"/>
      <w:b/>
      <w:bCs/>
      <w:color w:val="000000"/>
      <w:sz w:val="21"/>
      <w:szCs w:val="21"/>
      <w:u w:val="none"/>
    </w:rPr>
  </w:style>
  <w:style w:type="character" w:customStyle="1" w:styleId="63">
    <w:name w:val="font11"/>
    <w:basedOn w:val="23"/>
    <w:qFormat/>
    <w:uiPriority w:val="0"/>
    <w:rPr>
      <w:rFonts w:hint="eastAsia" w:ascii="微软雅黑" w:hAnsi="微软雅黑" w:eastAsia="微软雅黑" w:cs="微软雅黑"/>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D8403-FB8A-47C3-B5B7-9A98C90975E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42</Pages>
  <Words>18106</Words>
  <Characters>19462</Characters>
  <Lines>163</Lines>
  <Paragraphs>46</Paragraphs>
  <TotalTime>0</TotalTime>
  <ScaleCrop>false</ScaleCrop>
  <LinksUpToDate>false</LinksUpToDate>
  <CharactersWithSpaces>22352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2023-09-08T08:36:00Z</dcterms:created>
  <dc:creator>未定义</dc:creator>
  <cp:lastModifiedBy>基建处</cp:lastModifiedBy>
  <cp:lastPrinted>2024-06-17T23:43:00Z</cp:lastPrinted>
  <dcterms:modified xsi:type="dcterms:W3CDTF">2024-08-13T02:45:39Z</dcterms:modified>
  <cp:revision>130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59DFB1EC03774A409468DB494AA9DE2A_13</vt:lpwstr>
  </property>
</Properties>
</file>