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YDFYXJ-2025001号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ascii="宋体" w:hAnsi="宋体" w:cs="宋体"/>
          <w:b/>
          <w:snapToGrid w:val="0"/>
          <w:kern w:val="0"/>
          <w:sz w:val="48"/>
          <w:szCs w:val="48"/>
        </w:rPr>
      </w:pPr>
      <w:r>
        <w:rPr>
          <w:rFonts w:hint="eastAsia" w:ascii="宋体" w:hAnsi="宋体" w:cs="宋体"/>
          <w:b/>
          <w:snapToGrid w:val="0"/>
          <w:kern w:val="0"/>
          <w:sz w:val="48"/>
          <w:szCs w:val="48"/>
        </w:rPr>
        <w:t>洁净场所洁净度检测项目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2025年1月</w:t>
      </w:r>
      <w:r>
        <w:rPr>
          <w:rFonts w:hint="eastAsia" w:asciiTheme="minorEastAsia" w:hAnsiTheme="minorEastAsia" w:eastAsiaTheme="minorEastAsia"/>
          <w:b/>
          <w:w w:val="90"/>
          <w:kern w:val="0"/>
          <w:sz w:val="32"/>
          <w:szCs w:val="32"/>
          <w:lang w:val="en-US" w:eastAsia="zh-CN"/>
        </w:rPr>
        <w:t>3</w:t>
      </w:r>
      <w:r>
        <w:rPr>
          <w:rFonts w:hint="eastAsia" w:asciiTheme="minorEastAsia" w:hAnsiTheme="minorEastAsia" w:eastAsiaTheme="minorEastAsia"/>
          <w:b/>
          <w:w w:val="90"/>
          <w:kern w:val="0"/>
          <w:sz w:val="32"/>
          <w:szCs w:val="32"/>
        </w:rPr>
        <w:t>日</w:t>
      </w:r>
      <w:bookmarkEnd w:id="0"/>
    </w:p>
    <w:p>
      <w:pPr>
        <w:rPr>
          <w:b/>
          <w:w w:val="90"/>
          <w:kern w:val="0"/>
        </w:rPr>
      </w:pPr>
    </w:p>
    <w:p>
      <w:pPr>
        <w:spacing w:afterLines="25" w:line="520" w:lineRule="exact"/>
        <w:jc w:val="center"/>
        <w:rPr>
          <w:rFonts w:ascii="宋体" w:hAnsi="宋体"/>
          <w:b/>
          <w:bCs/>
          <w:sz w:val="44"/>
          <w:szCs w:val="44"/>
        </w:rPr>
      </w:pPr>
    </w:p>
    <w:p>
      <w:pPr>
        <w:spacing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扬州大学附属医院洁净场所洁净度检测项目（编号：YDFYXJ-2025001号）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1.项目名称：扬州大学附属医院洁净场所洁净度检测项目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3.最高限价：2.8万元，投标报价高于最高限价作废标处理。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4.2具有有效期内的资质认定(CMA)。</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在2025年1月</w:t>
      </w:r>
      <w:r>
        <w:rPr>
          <w:rFonts w:hint="eastAsia" w:ascii="宋体" w:hAnsi="宋体"/>
          <w:b/>
          <w:sz w:val="24"/>
          <w:lang w:val="en-US" w:eastAsia="zh-CN"/>
        </w:rPr>
        <w:t>10</w:t>
      </w:r>
      <w:r>
        <w:rPr>
          <w:rFonts w:hint="eastAsia" w:ascii="宋体" w:hAnsi="宋体"/>
          <w:b/>
          <w:sz w:val="24"/>
        </w:rPr>
        <w:t>日上午10：30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9.本项目不分包，报价时请详细列明洁净场所洁净度检测项目需求和具体参数，如因表述不详影响中标，责任自负。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rPr>
        <w:t>洁净场所洁净度检测项目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12.协议结算方式：本协议价款采用固定单价协议方式确定。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付款方式为按甲方要求完成检测清单中规定所有检测项目后，乙方凭甲方的验收单及开具的正规增值税发票等材料向甲方办理付款手续，甲方凭手续齐全的票据向乙方支付检测费用。</w:t>
      </w:r>
      <w:r>
        <w:rPr>
          <w:rFonts w:hint="eastAsia" w:ascii="宋体" w:hAnsi="宋体" w:cs="宋体"/>
          <w:snapToGrid w:val="0"/>
          <w:kern w:val="0"/>
          <w:sz w:val="24"/>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2025年1月</w:t>
      </w:r>
      <w:r>
        <w:rPr>
          <w:rFonts w:hint="eastAsia" w:cs="微软雅黑"/>
          <w:b/>
          <w:lang w:val="en-US" w:eastAsia="zh-CN"/>
        </w:rPr>
        <w:t>10</w:t>
      </w:r>
      <w:r>
        <w:rPr>
          <w:rFonts w:hint="eastAsia" w:cs="微软雅黑"/>
          <w:b/>
        </w:rPr>
        <w:t>日</w:t>
      </w:r>
      <w:r>
        <w:rPr>
          <w:rStyle w:val="32"/>
          <w:b/>
        </w:rPr>
        <w:t>1</w:t>
      </w:r>
      <w:r>
        <w:rPr>
          <w:rStyle w:val="32"/>
          <w:rFonts w:hint="eastAsia"/>
          <w:b/>
        </w:rPr>
        <w:t>0</w:t>
      </w:r>
      <w:r>
        <w:rPr>
          <w:rStyle w:val="32"/>
          <w:b/>
        </w:rPr>
        <w:t>：30</w:t>
      </w:r>
      <w:r>
        <w:rPr>
          <w:rFonts w:hint="eastAsia" w:cs="微软雅黑"/>
          <w:color w:val="000000"/>
        </w:rPr>
        <w:t>前</w:t>
      </w:r>
      <w:r>
        <w:rPr>
          <w:rStyle w:val="32"/>
          <w:b/>
        </w:rPr>
        <w:t>（北</w:t>
      </w:r>
      <w:r>
        <w:rPr>
          <w:rStyle w:val="32"/>
          <w:b/>
          <w:color w:val="000000"/>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rPr>
        <w:t>2025</w:t>
      </w:r>
      <w:r>
        <w:rPr>
          <w:rStyle w:val="32"/>
          <w:rFonts w:ascii="宋体" w:hAnsi="宋体"/>
          <w:b/>
          <w:sz w:val="24"/>
        </w:rPr>
        <w:t>年</w:t>
      </w:r>
      <w:r>
        <w:rPr>
          <w:rStyle w:val="32"/>
          <w:rFonts w:hint="eastAsia" w:ascii="宋体" w:hAnsi="宋体"/>
          <w:b/>
          <w:sz w:val="24"/>
        </w:rPr>
        <w:t>1</w:t>
      </w:r>
      <w:r>
        <w:rPr>
          <w:rStyle w:val="32"/>
          <w:rFonts w:ascii="宋体" w:hAnsi="宋体"/>
          <w:b/>
          <w:sz w:val="24"/>
        </w:rPr>
        <w:t>月</w:t>
      </w:r>
      <w:r>
        <w:rPr>
          <w:rStyle w:val="32"/>
          <w:rFonts w:hint="eastAsia" w:ascii="宋体" w:hAnsi="宋体"/>
          <w:b/>
          <w:sz w:val="24"/>
          <w:lang w:val="en-US" w:eastAsia="zh-CN"/>
        </w:rPr>
        <w:t>10</w:t>
      </w:r>
      <w:r>
        <w:rPr>
          <w:rStyle w:val="32"/>
          <w:rFonts w:ascii="宋体" w:hAnsi="宋体"/>
          <w:b/>
          <w:sz w:val="24"/>
        </w:rPr>
        <w:t>日1</w:t>
      </w:r>
      <w:r>
        <w:rPr>
          <w:rStyle w:val="32"/>
          <w:rFonts w:hint="eastAsia" w:ascii="宋体" w:hAnsi="宋体"/>
          <w:b/>
          <w:sz w:val="24"/>
        </w:rPr>
        <w:t>0</w:t>
      </w:r>
      <w:r>
        <w:rPr>
          <w:rStyle w:val="32"/>
          <w:rFonts w:ascii="宋体" w:hAnsi="宋体"/>
          <w:b/>
          <w:sz w:val="24"/>
        </w:rPr>
        <w:t>：30（北</w:t>
      </w:r>
      <w:r>
        <w:rPr>
          <w:rStyle w:val="32"/>
          <w:rFonts w:ascii="宋体" w:hAnsi="宋体"/>
          <w:b/>
          <w:color w:val="000000"/>
          <w:sz w:val="24"/>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同时需与采购经办人（联系电话：0514-82099555）确认是否收到《供应商参加投标确认函》。（投标确认函格式附后）</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2025年1月</w:t>
      </w:r>
      <w:r>
        <w:rPr>
          <w:rFonts w:hint="eastAsia" w:ascii="宋体" w:hAnsi="宋体" w:cs="宋体"/>
          <w:b/>
          <w:snapToGrid w:val="0"/>
          <w:spacing w:val="-4"/>
          <w:kern w:val="0"/>
          <w:sz w:val="24"/>
          <w:lang w:val="en-US" w:eastAsia="zh-CN"/>
        </w:rPr>
        <w:t>10</w:t>
      </w:r>
      <w:r>
        <w:rPr>
          <w:rFonts w:hint="eastAsia" w:ascii="宋体" w:hAnsi="宋体" w:cs="宋体"/>
          <w:b/>
          <w:snapToGrid w:val="0"/>
          <w:spacing w:val="-4"/>
          <w:kern w:val="0"/>
          <w:sz w:val="24"/>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1.1项目名称：扬州大学附属医院洁净场所洁净度检测项目</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1.2项目编号：YDFYXJ-2025001号</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rPr>
        <w:t>1.4最高限价：2.8万元，投标报价高于最高限价作废标处理。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6"/>
        <w:tblW w:w="9480" w:type="dxa"/>
        <w:tblInd w:w="93" w:type="dxa"/>
        <w:tblLayout w:type="autofit"/>
        <w:tblCellMar>
          <w:top w:w="0" w:type="dxa"/>
          <w:left w:w="108" w:type="dxa"/>
          <w:bottom w:w="0" w:type="dxa"/>
          <w:right w:w="108" w:type="dxa"/>
        </w:tblCellMar>
      </w:tblPr>
      <w:tblGrid>
        <w:gridCol w:w="1437"/>
        <w:gridCol w:w="6094"/>
        <w:gridCol w:w="876"/>
        <w:gridCol w:w="1073"/>
      </w:tblGrid>
      <w:tr>
        <w:tblPrEx>
          <w:tblCellMar>
            <w:top w:w="0" w:type="dxa"/>
            <w:left w:w="108" w:type="dxa"/>
            <w:bottom w:w="0" w:type="dxa"/>
            <w:right w:w="108" w:type="dxa"/>
          </w:tblCellMar>
        </w:tblPrEx>
        <w:trPr>
          <w:trHeight w:val="600" w:hRule="atLeast"/>
        </w:trPr>
        <w:tc>
          <w:tcPr>
            <w:tcW w:w="9480" w:type="dxa"/>
            <w:gridSpan w:val="4"/>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rPr>
              <w:t>扬州大学附属医院洁净场所洁净度检测清单</w:t>
            </w:r>
          </w:p>
        </w:tc>
      </w:tr>
      <w:tr>
        <w:tblPrEx>
          <w:tblCellMar>
            <w:top w:w="0" w:type="dxa"/>
            <w:left w:w="108" w:type="dxa"/>
            <w:bottom w:w="0" w:type="dxa"/>
            <w:right w:w="108" w:type="dxa"/>
          </w:tblCellMar>
        </w:tblPrEx>
        <w:trPr>
          <w:trHeight w:val="66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被检测洁净场所名称</w:t>
            </w:r>
          </w:p>
        </w:tc>
        <w:tc>
          <w:tcPr>
            <w:tcW w:w="6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房间名称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数量（间）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402" w:hRule="atLeast"/>
        </w:trPr>
        <w:tc>
          <w:tcPr>
            <w:tcW w:w="1437"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西区手术室</w:t>
            </w:r>
          </w:p>
        </w:tc>
        <w:tc>
          <w:tcPr>
            <w:tcW w:w="609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换鞋区、拖鞋清洗间、女淋浴、男淋浴、女更衣、男更衣、二次换鞋、缓冲、百级无菌病房1、百级无菌病房2、前室、协谈室1、协谈室2、洁车存放、污车存放、一次性物品间、护士站、护士办、治疗室、处置室、术后恢复室、洁净走廊、药品室、无菌器械室、前室二、体位垫、体外循环、仪器室、清洁走廊、污布内间、洗涤间、清洗间、准备间、器械间、标本、药品室、术后恢复室、库房、OR1-OR16</w:t>
            </w:r>
          </w:p>
        </w:tc>
        <w:tc>
          <w:tcPr>
            <w:tcW w:w="87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1-4号手术室万级标准</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5-6号手术室百级标准</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7-11号万级标准</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12、15号百级标准</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16-18号万级标准</w:t>
            </w:r>
          </w:p>
        </w:tc>
      </w:tr>
      <w:tr>
        <w:tblPrEx>
          <w:tblCellMar>
            <w:top w:w="0" w:type="dxa"/>
            <w:left w:w="108" w:type="dxa"/>
            <w:bottom w:w="0" w:type="dxa"/>
            <w:right w:w="108" w:type="dxa"/>
          </w:tblCellMar>
        </w:tblPrEx>
        <w:trPr>
          <w:trHeight w:val="402" w:hRule="atLeast"/>
        </w:trPr>
        <w:tc>
          <w:tcPr>
            <w:tcW w:w="143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609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ascii="宋体" w:hAnsi="宋体" w:cs="宋体"/>
                <w:color w:val="000000"/>
                <w:sz w:val="22"/>
                <w:szCs w:val="22"/>
              </w:rPr>
            </w:pPr>
          </w:p>
        </w:tc>
        <w:tc>
          <w:tcPr>
            <w:tcW w:w="87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5"/>
                <w:szCs w:val="15"/>
              </w:rPr>
            </w:pPr>
          </w:p>
        </w:tc>
      </w:tr>
      <w:tr>
        <w:tblPrEx>
          <w:tblCellMar>
            <w:top w:w="0" w:type="dxa"/>
            <w:left w:w="108" w:type="dxa"/>
            <w:bottom w:w="0" w:type="dxa"/>
            <w:right w:w="108" w:type="dxa"/>
          </w:tblCellMar>
        </w:tblPrEx>
        <w:trPr>
          <w:trHeight w:val="402" w:hRule="atLeast"/>
        </w:trPr>
        <w:tc>
          <w:tcPr>
            <w:tcW w:w="143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609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ascii="宋体" w:hAnsi="宋体" w:cs="宋体"/>
                <w:color w:val="000000"/>
                <w:sz w:val="22"/>
                <w:szCs w:val="22"/>
              </w:rPr>
            </w:pPr>
          </w:p>
        </w:tc>
        <w:tc>
          <w:tcPr>
            <w:tcW w:w="87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5"/>
                <w:szCs w:val="15"/>
              </w:rPr>
            </w:pPr>
          </w:p>
        </w:tc>
      </w:tr>
      <w:tr>
        <w:tblPrEx>
          <w:tblCellMar>
            <w:top w:w="0" w:type="dxa"/>
            <w:left w:w="108" w:type="dxa"/>
            <w:bottom w:w="0" w:type="dxa"/>
            <w:right w:w="108" w:type="dxa"/>
          </w:tblCellMar>
        </w:tblPrEx>
        <w:trPr>
          <w:trHeight w:val="402" w:hRule="atLeast"/>
        </w:trPr>
        <w:tc>
          <w:tcPr>
            <w:tcW w:w="143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609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ascii="宋体" w:hAnsi="宋体" w:cs="宋体"/>
                <w:color w:val="000000"/>
                <w:sz w:val="22"/>
                <w:szCs w:val="22"/>
              </w:rPr>
            </w:pPr>
          </w:p>
        </w:tc>
        <w:tc>
          <w:tcPr>
            <w:tcW w:w="87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5"/>
                <w:szCs w:val="15"/>
              </w:rPr>
            </w:pPr>
          </w:p>
        </w:tc>
      </w:tr>
      <w:tr>
        <w:tblPrEx>
          <w:tblCellMar>
            <w:top w:w="0" w:type="dxa"/>
            <w:left w:w="108" w:type="dxa"/>
            <w:bottom w:w="0" w:type="dxa"/>
            <w:right w:w="108" w:type="dxa"/>
          </w:tblCellMar>
        </w:tblPrEx>
        <w:trPr>
          <w:trHeight w:val="402" w:hRule="atLeast"/>
        </w:trPr>
        <w:tc>
          <w:tcPr>
            <w:tcW w:w="143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609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ascii="宋体" w:hAnsi="宋体" w:cs="宋体"/>
                <w:color w:val="000000"/>
                <w:sz w:val="22"/>
                <w:szCs w:val="22"/>
              </w:rPr>
            </w:pPr>
          </w:p>
        </w:tc>
        <w:tc>
          <w:tcPr>
            <w:tcW w:w="87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5"/>
                <w:szCs w:val="15"/>
              </w:rPr>
            </w:pPr>
          </w:p>
        </w:tc>
      </w:tr>
      <w:tr>
        <w:tblPrEx>
          <w:tblCellMar>
            <w:top w:w="0" w:type="dxa"/>
            <w:left w:w="108" w:type="dxa"/>
            <w:bottom w:w="0" w:type="dxa"/>
            <w:right w:w="108" w:type="dxa"/>
          </w:tblCellMar>
        </w:tblPrEx>
        <w:trPr>
          <w:trHeight w:val="312" w:hRule="atLeast"/>
        </w:trPr>
        <w:tc>
          <w:tcPr>
            <w:tcW w:w="143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609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ascii="宋体" w:hAnsi="宋体" w:cs="宋体"/>
                <w:color w:val="000000"/>
                <w:sz w:val="22"/>
                <w:szCs w:val="22"/>
              </w:rPr>
            </w:pPr>
          </w:p>
        </w:tc>
        <w:tc>
          <w:tcPr>
            <w:tcW w:w="87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5"/>
                <w:szCs w:val="15"/>
              </w:rPr>
            </w:pPr>
          </w:p>
        </w:tc>
      </w:tr>
      <w:tr>
        <w:tblPrEx>
          <w:tblCellMar>
            <w:top w:w="0" w:type="dxa"/>
            <w:left w:w="108" w:type="dxa"/>
            <w:bottom w:w="0" w:type="dxa"/>
            <w:right w:w="108" w:type="dxa"/>
          </w:tblCellMar>
        </w:tblPrEx>
        <w:trPr>
          <w:trHeight w:val="402" w:hRule="atLeast"/>
        </w:trPr>
        <w:tc>
          <w:tcPr>
            <w:tcW w:w="1437"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东区手术室</w:t>
            </w:r>
          </w:p>
        </w:tc>
        <w:tc>
          <w:tcPr>
            <w:tcW w:w="609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手术室1号-手术室8号、手术室10号、污物暂存、洁净走廊、物品准备、清洗间、污物间、机械室、库房、辅房、一次性物品、无菌室、无菌器械、治疗室1、术后观察、治疗室2、吧台、换床、洁净走廊</w:t>
            </w:r>
          </w:p>
        </w:tc>
        <w:tc>
          <w:tcPr>
            <w:tcW w:w="87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1-2号手术室百级标准</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3-8号手术室万级标准</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10号手术室十万级标准</w:t>
            </w:r>
          </w:p>
        </w:tc>
      </w:tr>
      <w:tr>
        <w:tblPrEx>
          <w:tblCellMar>
            <w:top w:w="0" w:type="dxa"/>
            <w:left w:w="108" w:type="dxa"/>
            <w:bottom w:w="0" w:type="dxa"/>
            <w:right w:w="108" w:type="dxa"/>
          </w:tblCellMar>
        </w:tblPrEx>
        <w:trPr>
          <w:trHeight w:val="402" w:hRule="atLeast"/>
        </w:trPr>
        <w:tc>
          <w:tcPr>
            <w:tcW w:w="143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609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ascii="宋体" w:hAnsi="宋体" w:cs="宋体"/>
                <w:color w:val="000000"/>
                <w:sz w:val="22"/>
                <w:szCs w:val="22"/>
              </w:rPr>
            </w:pPr>
          </w:p>
        </w:tc>
        <w:tc>
          <w:tcPr>
            <w:tcW w:w="87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5"/>
                <w:szCs w:val="15"/>
              </w:rPr>
            </w:pPr>
          </w:p>
        </w:tc>
      </w:tr>
      <w:tr>
        <w:tblPrEx>
          <w:tblCellMar>
            <w:top w:w="0" w:type="dxa"/>
            <w:left w:w="108" w:type="dxa"/>
            <w:bottom w:w="0" w:type="dxa"/>
            <w:right w:w="108" w:type="dxa"/>
          </w:tblCellMar>
        </w:tblPrEx>
        <w:trPr>
          <w:trHeight w:val="402" w:hRule="atLeast"/>
        </w:trPr>
        <w:tc>
          <w:tcPr>
            <w:tcW w:w="143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609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ascii="宋体" w:hAnsi="宋体" w:cs="宋体"/>
                <w:color w:val="000000"/>
                <w:sz w:val="22"/>
                <w:szCs w:val="22"/>
              </w:rPr>
            </w:pPr>
          </w:p>
        </w:tc>
        <w:tc>
          <w:tcPr>
            <w:tcW w:w="87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5"/>
                <w:szCs w:val="15"/>
              </w:rPr>
            </w:pPr>
          </w:p>
        </w:tc>
      </w:tr>
      <w:tr>
        <w:tblPrEx>
          <w:tblCellMar>
            <w:top w:w="0" w:type="dxa"/>
            <w:left w:w="108" w:type="dxa"/>
            <w:bottom w:w="0" w:type="dxa"/>
            <w:right w:w="108" w:type="dxa"/>
          </w:tblCellMar>
        </w:tblPrEx>
        <w:trPr>
          <w:trHeight w:val="312" w:hRule="atLeast"/>
        </w:trPr>
        <w:tc>
          <w:tcPr>
            <w:tcW w:w="143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609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ascii="宋体" w:hAnsi="宋体" w:cs="宋体"/>
                <w:color w:val="000000"/>
                <w:sz w:val="22"/>
                <w:szCs w:val="22"/>
              </w:rPr>
            </w:pPr>
          </w:p>
        </w:tc>
        <w:tc>
          <w:tcPr>
            <w:tcW w:w="87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5"/>
                <w:szCs w:val="15"/>
              </w:rPr>
            </w:pPr>
          </w:p>
        </w:tc>
      </w:tr>
      <w:tr>
        <w:tblPrEx>
          <w:tblCellMar>
            <w:top w:w="0" w:type="dxa"/>
            <w:left w:w="108" w:type="dxa"/>
            <w:bottom w:w="0" w:type="dxa"/>
            <w:right w:w="108" w:type="dxa"/>
          </w:tblCellMar>
        </w:tblPrEx>
        <w:trPr>
          <w:trHeight w:val="1250" w:hRule="atLeast"/>
        </w:trPr>
        <w:tc>
          <w:tcPr>
            <w:tcW w:w="1437"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核酸检测PCR实验室</w:t>
            </w:r>
          </w:p>
        </w:tc>
        <w:tc>
          <w:tcPr>
            <w:tcW w:w="609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样本接收间、缓冲间1、走廊1、消洗间、缓冲间2、样本预处理间、扩增/分析间、缓冲5、产物分析间、扩增间、缓冲6、洁净走廊1、PCR1专用走廊、PCR2专用走廊、样本制作间1、样本制作间2、缓冲3、缓冲4、缓冲7、缓冲8、试剂准备间1、试剂准备间2、女更衣室、男更衣室、耗材库、清洁走廊2</w:t>
            </w:r>
          </w:p>
        </w:tc>
        <w:tc>
          <w:tcPr>
            <w:tcW w:w="87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39"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西区产房</w:t>
            </w:r>
          </w:p>
        </w:tc>
        <w:tc>
          <w:tcPr>
            <w:tcW w:w="6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待产二、缓冲、隔离待产、处置室、治疗室、应急消毒、隔离产房1、产房2、清洗间、打包间、清洁走廊、洁净走廊、产房3、手术间OR1、库房1、库房2、换鞋、男更衣，女更衣、女卫浴、男卫浴</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洁净度十万级</w:t>
            </w:r>
          </w:p>
        </w:tc>
      </w:tr>
      <w:tr>
        <w:tblPrEx>
          <w:tblCellMar>
            <w:top w:w="0" w:type="dxa"/>
            <w:left w:w="108" w:type="dxa"/>
            <w:bottom w:w="0" w:type="dxa"/>
            <w:right w:w="108" w:type="dxa"/>
          </w:tblCellMar>
        </w:tblPrEx>
        <w:trPr>
          <w:trHeight w:val="439"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6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5"/>
                <w:szCs w:val="15"/>
              </w:rPr>
            </w:pPr>
          </w:p>
        </w:tc>
      </w:tr>
      <w:tr>
        <w:tblPrEx>
          <w:tblCellMar>
            <w:top w:w="0" w:type="dxa"/>
            <w:left w:w="108" w:type="dxa"/>
            <w:bottom w:w="0" w:type="dxa"/>
            <w:right w:w="108" w:type="dxa"/>
          </w:tblCellMar>
        </w:tblPrEx>
        <w:trPr>
          <w:trHeight w:val="439"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6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5"/>
                <w:szCs w:val="15"/>
              </w:rPr>
            </w:pPr>
          </w:p>
        </w:tc>
      </w:tr>
      <w:tr>
        <w:tblPrEx>
          <w:tblCellMar>
            <w:top w:w="0" w:type="dxa"/>
            <w:left w:w="108" w:type="dxa"/>
            <w:bottom w:w="0" w:type="dxa"/>
            <w:right w:w="108" w:type="dxa"/>
          </w:tblCellMar>
        </w:tblPrEx>
        <w:trPr>
          <w:trHeight w:val="312"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6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5"/>
                <w:szCs w:val="15"/>
              </w:rPr>
            </w:pPr>
          </w:p>
        </w:tc>
      </w:tr>
      <w:tr>
        <w:tblPrEx>
          <w:tblCellMar>
            <w:top w:w="0" w:type="dxa"/>
            <w:left w:w="108" w:type="dxa"/>
            <w:bottom w:w="0" w:type="dxa"/>
            <w:right w:w="108" w:type="dxa"/>
          </w:tblCellMar>
        </w:tblPrEx>
        <w:trPr>
          <w:trHeight w:val="660" w:hRule="atLeast"/>
        </w:trPr>
        <w:tc>
          <w:tcPr>
            <w:tcW w:w="94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检测参照依据：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1.GB 50333-2013《医院洁净手术部建筑技术规范》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 GB 50591-2010 《洁净室施工及验收规范》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3.GB/T 16292-2010《医药工业洁净室（区）悬浮粒子的测试方法》</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4.GB/T 16294-2010《医药工业洁净室(区)沉降菌的测试方法》</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5.《静脉用药调配中心建设与管理指南（试行）》国卫办医函[2021]598号 附表 静脉用药调配中心洁净环境检测指标及标准                                                                                                    6.GB 50073-2013《洁净厂房设计规范》                                                       7.GB 50346-2011《生物安全实验室建筑技术规范》                                                  8.GB 15982-2012《医院消毒卫生标准》 </w:t>
            </w:r>
          </w:p>
        </w:tc>
      </w:tr>
      <w:tr>
        <w:tblPrEx>
          <w:tblCellMar>
            <w:top w:w="0" w:type="dxa"/>
            <w:left w:w="108" w:type="dxa"/>
            <w:bottom w:w="0" w:type="dxa"/>
            <w:right w:w="108" w:type="dxa"/>
          </w:tblCellMar>
        </w:tblPrEx>
        <w:trPr>
          <w:trHeight w:val="2235" w:hRule="atLeast"/>
        </w:trPr>
        <w:tc>
          <w:tcPr>
            <w:tcW w:w="94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szCs w:val="22"/>
              </w:rPr>
            </w:pPr>
          </w:p>
        </w:tc>
      </w:tr>
    </w:tbl>
    <w:p>
      <w:pPr>
        <w:pStyle w:val="8"/>
        <w:numPr>
          <w:ilvl w:val="0"/>
          <w:numId w:val="0"/>
        </w:numPr>
        <w:rPr>
          <w:rFonts w:ascii="宋体" w:hAnsi="宋体" w:cs="宋体"/>
          <w:snapToGrid w:val="0"/>
          <w:kern w:val="0"/>
          <w:sz w:val="24"/>
        </w:rPr>
      </w:pPr>
      <w:r>
        <w:rPr>
          <w:rFonts w:hint="eastAsia" w:ascii="宋体" w:hAnsi="宋体" w:cs="宋体"/>
          <w:snapToGrid w:val="0"/>
          <w:kern w:val="0"/>
          <w:sz w:val="24"/>
        </w:rPr>
        <w:t>一、服务时限说明</w:t>
      </w:r>
    </w:p>
    <w:p>
      <w:pPr>
        <w:pStyle w:val="8"/>
        <w:numPr>
          <w:ilvl w:val="0"/>
          <w:numId w:val="0"/>
        </w:numPr>
        <w:rPr>
          <w:rFonts w:ascii="宋体" w:hAnsi="宋体" w:cs="宋体"/>
          <w:snapToGrid w:val="0"/>
          <w:kern w:val="0"/>
          <w:sz w:val="24"/>
        </w:rPr>
      </w:pPr>
      <w:r>
        <w:rPr>
          <w:rFonts w:hint="eastAsia" w:ascii="宋体" w:hAnsi="宋体" w:cs="宋体"/>
          <w:snapToGrid w:val="0"/>
          <w:kern w:val="0"/>
          <w:sz w:val="24"/>
        </w:rPr>
        <w:t>考虑医院运行，检测利用夜间和周六周日，人工降效费用考虑到报价中，成交供应商检测完成后5日内出具CMA检测报告。</w:t>
      </w:r>
    </w:p>
    <w:p>
      <w:pPr>
        <w:pStyle w:val="8"/>
        <w:numPr>
          <w:ilvl w:val="0"/>
          <w:numId w:val="0"/>
        </w:numPr>
        <w:rPr>
          <w:rFonts w:ascii="宋体" w:hAnsi="宋体" w:cs="宋体"/>
          <w:snapToGrid w:val="0"/>
          <w:kern w:val="0"/>
          <w:sz w:val="24"/>
        </w:rPr>
      </w:pPr>
      <w:r>
        <w:rPr>
          <w:rFonts w:hint="eastAsia" w:ascii="宋体" w:hAnsi="宋体" w:cs="宋体"/>
          <w:snapToGrid w:val="0"/>
          <w:kern w:val="0"/>
          <w:sz w:val="24"/>
        </w:rPr>
        <w:t>二、检测要求：</w:t>
      </w:r>
    </w:p>
    <w:p>
      <w:pPr>
        <w:pStyle w:val="8"/>
        <w:numPr>
          <w:ilvl w:val="0"/>
          <w:numId w:val="0"/>
        </w:numPr>
        <w:rPr>
          <w:rFonts w:ascii="宋体" w:hAnsi="宋体" w:cs="宋体"/>
          <w:snapToGrid w:val="0"/>
          <w:kern w:val="0"/>
          <w:sz w:val="24"/>
        </w:rPr>
      </w:pPr>
      <w:r>
        <w:rPr>
          <w:rFonts w:hint="eastAsia" w:ascii="宋体" w:hAnsi="宋体" w:cs="宋体"/>
          <w:snapToGrid w:val="0"/>
          <w:kern w:val="0"/>
          <w:sz w:val="24"/>
        </w:rPr>
        <w:t>（1）检测项目：温度、相对湿度、悬浮粒子、静压差、风速、换气次数、最小新风量、最少术间自净时间、照度、噪声、沉降菌、浮游菌、空气细菌总数等；报告包含不同洁净区域规范标准与检测结果对照并形成结论，完成洁净度级别检测报告。</w:t>
      </w:r>
    </w:p>
    <w:p>
      <w:pPr>
        <w:pStyle w:val="8"/>
        <w:numPr>
          <w:ilvl w:val="0"/>
          <w:numId w:val="0"/>
        </w:numPr>
        <w:rPr>
          <w:rFonts w:ascii="宋体" w:hAnsi="宋体" w:cs="宋体"/>
          <w:snapToGrid w:val="0"/>
          <w:kern w:val="0"/>
          <w:sz w:val="24"/>
        </w:rPr>
      </w:pPr>
      <w:r>
        <w:rPr>
          <w:rFonts w:hint="eastAsia" w:ascii="宋体" w:hAnsi="宋体" w:cs="宋体"/>
          <w:snapToGrid w:val="0"/>
          <w:kern w:val="0"/>
          <w:sz w:val="24"/>
        </w:rPr>
        <w:t>（2）执行标准：</w:t>
      </w:r>
    </w:p>
    <w:p>
      <w:pPr>
        <w:pStyle w:val="8"/>
        <w:numPr>
          <w:ilvl w:val="0"/>
          <w:numId w:val="0"/>
        </w:numPr>
        <w:rPr>
          <w:rFonts w:ascii="宋体" w:hAnsi="宋体" w:cs="宋体"/>
          <w:snapToGrid w:val="0"/>
          <w:kern w:val="0"/>
          <w:sz w:val="24"/>
        </w:rPr>
      </w:pPr>
      <w:r>
        <w:rPr>
          <w:rFonts w:hint="eastAsia" w:ascii="宋体" w:hAnsi="宋体" w:cs="宋体"/>
          <w:snapToGrid w:val="0"/>
          <w:kern w:val="0"/>
          <w:sz w:val="24"/>
        </w:rPr>
        <w:t>GB50333-2013《医院洁净手术部建筑技术规范》、GB50591-2010《洁净室施工及验收规范》、GB/T16292-2010《医药工业洁净室（区）悬浮粒子的测试方法》、GB/T16294-2010《医药工业洁净室(区)沉降菌的测试方法》、《静脉用药调配中心建设与管理指南（试行）》国卫办医函[2021]598号 附表 静脉用药调配中心洁净环境检测指标及标准、GB50073-2013《洁净厂房设计规范》、 GB50346-2011《生物安全实验室建筑技术规范》、GB15982-2012《医院消毒卫生标准》等</w:t>
      </w:r>
    </w:p>
    <w:p>
      <w:pPr>
        <w:pStyle w:val="8"/>
        <w:numPr>
          <w:ilvl w:val="0"/>
          <w:numId w:val="0"/>
        </w:numPr>
        <w:rPr>
          <w:rFonts w:ascii="宋体" w:hAnsi="宋体" w:cs="宋体"/>
          <w:snapToGrid w:val="0"/>
          <w:kern w:val="0"/>
          <w:sz w:val="24"/>
        </w:rPr>
      </w:pPr>
      <w:r>
        <w:rPr>
          <w:rFonts w:hint="eastAsia" w:ascii="宋体" w:hAnsi="宋体" w:cs="宋体"/>
          <w:snapToGrid w:val="0"/>
          <w:kern w:val="0"/>
          <w:sz w:val="24"/>
        </w:rPr>
        <w:t>（3）检测时间：仅限晚上或周六、周日18点后。</w:t>
      </w:r>
    </w:p>
    <w:p>
      <w:pPr>
        <w:pStyle w:val="8"/>
        <w:numPr>
          <w:ilvl w:val="0"/>
          <w:numId w:val="0"/>
        </w:numPr>
        <w:rPr>
          <w:rFonts w:ascii="宋体" w:hAnsi="宋体" w:cs="宋体"/>
          <w:snapToGrid w:val="0"/>
          <w:kern w:val="0"/>
          <w:sz w:val="24"/>
        </w:rPr>
      </w:pPr>
      <w:r>
        <w:rPr>
          <w:rFonts w:hint="eastAsia" w:ascii="宋体" w:hAnsi="宋体" w:cs="宋体"/>
          <w:snapToGrid w:val="0"/>
          <w:kern w:val="0"/>
          <w:sz w:val="24"/>
        </w:rPr>
        <w:t>三、现场勘查</w:t>
      </w:r>
    </w:p>
    <w:p>
      <w:pPr>
        <w:pStyle w:val="8"/>
        <w:numPr>
          <w:ilvl w:val="0"/>
          <w:numId w:val="0"/>
        </w:numPr>
        <w:rPr>
          <w:rFonts w:ascii="宋体" w:hAnsi="宋体" w:cs="宋体"/>
          <w:snapToGrid w:val="0"/>
          <w:kern w:val="0"/>
          <w:sz w:val="24"/>
        </w:rPr>
      </w:pPr>
      <w:r>
        <w:rPr>
          <w:rFonts w:hint="eastAsia" w:ascii="宋体" w:hAnsi="宋体" w:cs="宋体"/>
          <w:snapToGrid w:val="0"/>
          <w:kern w:val="0"/>
          <w:sz w:val="24"/>
        </w:rPr>
        <w:t>勘察时间：2025年1月6日下午2：00，联系人：李欢 15371331264</w:t>
      </w:r>
    </w:p>
    <w:p>
      <w:pPr>
        <w:pStyle w:val="8"/>
        <w:numPr>
          <w:ilvl w:val="0"/>
          <w:numId w:val="0"/>
        </w:numPr>
        <w:rPr>
          <w:rFonts w:ascii="宋体" w:hAnsi="宋体" w:cs="宋体"/>
          <w:snapToGrid w:val="0"/>
          <w:kern w:val="0"/>
          <w:sz w:val="24"/>
        </w:rPr>
      </w:pPr>
      <w:r>
        <w:rPr>
          <w:rFonts w:hint="eastAsia" w:ascii="宋体" w:hAnsi="宋体" w:cs="宋体"/>
          <w:snapToGrid w:val="0"/>
          <w:kern w:val="0"/>
          <w:sz w:val="24"/>
        </w:rPr>
        <w:t>四、保密要求</w:t>
      </w:r>
    </w:p>
    <w:p>
      <w:pPr>
        <w:pStyle w:val="8"/>
        <w:numPr>
          <w:ilvl w:val="0"/>
          <w:numId w:val="0"/>
        </w:numPr>
        <w:rPr>
          <w:rFonts w:ascii="宋体" w:hAnsi="宋体" w:cs="宋体"/>
          <w:snapToGrid w:val="0"/>
          <w:kern w:val="0"/>
          <w:sz w:val="24"/>
        </w:rPr>
      </w:pPr>
      <w:r>
        <w:rPr>
          <w:rFonts w:hint="eastAsia" w:ascii="宋体" w:hAnsi="宋体" w:cs="宋体"/>
          <w:snapToGrid w:val="0"/>
          <w:kern w:val="0"/>
          <w:sz w:val="24"/>
        </w:rPr>
        <w:t>成交供应商对此检测报告负有保密责任，不得泄露相关信息，如受损失医院可依照法律追究成交供应商相关责任和赔偿。</w:t>
      </w:r>
    </w:p>
    <w:p>
      <w:pPr>
        <w:pStyle w:val="14"/>
        <w:shd w:val="clear" w:color="auto" w:fill="FFFFFF"/>
        <w:spacing w:before="0" w:beforeAutospacing="0" w:after="0" w:afterAutospacing="0"/>
        <w:rPr>
          <w:b/>
          <w:bCs/>
          <w:snapToGrid w:val="0"/>
        </w:rPr>
      </w:pPr>
      <w:r>
        <w:rPr>
          <w:rFonts w:hint="eastAsia"/>
          <w:b/>
          <w:bCs/>
          <w:snapToGrid w:val="0"/>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扬州大学附属医院洁净场所洁净度检测项目</w:t>
      </w:r>
      <w:r>
        <w:rPr>
          <w:rFonts w:hint="eastAsia" w:ascii="宋体" w:hAnsi="宋体" w:cs="宋体"/>
          <w:sz w:val="24"/>
        </w:rPr>
        <w:t>（编号：</w:t>
      </w:r>
      <w:r>
        <w:rPr>
          <w:rFonts w:hint="eastAsia" w:ascii="宋体" w:hAnsi="宋体" w:cs="宋体"/>
          <w:snapToGrid w:val="0"/>
          <w:kern w:val="0"/>
          <w:sz w:val="24"/>
        </w:rPr>
        <w:t>YDFYXJ-2025001号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2025年月日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Lines="100" w:line="360" w:lineRule="auto"/>
        <w:jc w:val="center"/>
        <w:rPr>
          <w:rFonts w:ascii="宋体" w:hAnsi="宋体"/>
          <w:b/>
          <w:bCs/>
          <w:szCs w:val="21"/>
        </w:rPr>
      </w:pPr>
    </w:p>
    <w:p>
      <w:pPr>
        <w:spacing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ascii="宋体" w:hAnsi="宋体"/>
          <w:b/>
          <w:sz w:val="36"/>
          <w:szCs w:val="36"/>
        </w:rPr>
      </w:pPr>
      <w:bookmarkStart w:id="1" w:name="_Toc16938559"/>
      <w:bookmarkStart w:id="2" w:name="_Toc20823315"/>
      <w:bookmarkStart w:id="3" w:name="_Toc513029243"/>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ascii="宋体" w:hAnsi="宋体" w:cs="宋体"/>
          <w:b/>
          <w:bCs/>
          <w:szCs w:val="21"/>
        </w:rPr>
      </w:pPr>
      <w:r>
        <w:rPr>
          <w:rFonts w:hint="eastAsia" w:ascii="宋体" w:hAnsi="宋体"/>
          <w:b/>
          <w:sz w:val="36"/>
          <w:szCs w:val="36"/>
        </w:rPr>
        <w:t>服务协议</w:t>
      </w:r>
    </w:p>
    <w:p>
      <w:pPr>
        <w:pStyle w:val="9"/>
        <w:adjustRightInd w:val="0"/>
        <w:snapToGrid w:val="0"/>
        <w:spacing w:line="440" w:lineRule="exact"/>
        <w:contextualSpacing/>
        <w:rPr>
          <w:rFonts w:hAnsi="宋体" w:cs="宋体"/>
          <w:b/>
          <w:snapToGrid w:val="0"/>
          <w:kern w:val="0"/>
          <w:sz w:val="24"/>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扬州大学附属医院洁净场所洁净度检测项目</w:t>
      </w:r>
    </w:p>
    <w:p>
      <w:pPr>
        <w:pStyle w:val="9"/>
        <w:adjustRightInd w:val="0"/>
        <w:snapToGrid w:val="0"/>
        <w:spacing w:line="440" w:lineRule="exact"/>
        <w:contextualSpacing/>
        <w:rPr>
          <w:rFonts w:hAnsi="宋体" w:cs="宋体"/>
          <w:sz w:val="24"/>
        </w:rPr>
      </w:pPr>
      <w:r>
        <w:rPr>
          <w:rFonts w:hint="eastAsia" w:hAnsi="宋体" w:cs="宋体"/>
          <w:sz w:val="24"/>
        </w:rPr>
        <w:t>协议编号：</w:t>
      </w:r>
      <w:r>
        <w:rPr>
          <w:rFonts w:hint="eastAsia" w:hAnsi="宋体" w:cs="宋体"/>
          <w:b/>
          <w:bCs/>
          <w:sz w:val="24"/>
        </w:rPr>
        <w:t>YDFYXJ-2025001</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p>
    <w:p>
      <w:pPr>
        <w:pStyle w:val="9"/>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rPr>
        <w:t>洁净场所洁净度检测项目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扬州大学附属医院洁净场所洁净度检测项目</w:t>
      </w:r>
      <w:r>
        <w:rPr>
          <w:rFonts w:hint="eastAsia" w:ascii="宋体" w:hAnsi="宋体" w:cs="宋体"/>
          <w:b/>
          <w:bCs/>
          <w:sz w:val="24"/>
        </w:rPr>
        <w:t>。</w:t>
      </w:r>
    </w:p>
    <w:p>
      <w:pPr>
        <w:adjustRightInd w:val="0"/>
        <w:snapToGrid w:val="0"/>
        <w:spacing w:line="340" w:lineRule="exact"/>
        <w:ind w:firstLine="480" w:firstLineChars="200"/>
        <w:contextualSpacing/>
        <w:jc w:val="left"/>
        <w:rPr>
          <w:rFonts w:ascii="宋体" w:hAnsi="宋体"/>
          <w:sz w:val="24"/>
        </w:rPr>
      </w:pPr>
      <w:r>
        <w:rPr>
          <w:rFonts w:hint="eastAsia" w:ascii="宋体" w:hAnsi="宋体"/>
          <w:sz w:val="24"/>
        </w:rPr>
        <w:t>2.本项目服务要求。</w:t>
      </w: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u w:val="single"/>
        </w:rPr>
        <w:t>人民币元整（¥）</w:t>
      </w:r>
    </w:p>
    <w:p>
      <w:pPr>
        <w:adjustRightInd w:val="0"/>
        <w:snapToGrid w:val="0"/>
        <w:spacing w:line="340" w:lineRule="exact"/>
        <w:ind w:firstLine="480" w:firstLineChars="200"/>
        <w:contextualSpacing/>
        <w:rPr>
          <w:rFonts w:ascii="宋体" w:hAnsi="宋体" w:cs="宋体"/>
          <w:sz w:val="24"/>
        </w:rPr>
      </w:pPr>
      <w:r>
        <w:rPr>
          <w:rFonts w:hint="eastAsia" w:ascii="宋体" w:hAnsi="宋体" w:cs="宋体"/>
          <w:sz w:val="24"/>
        </w:rPr>
        <w:t>2.以上协议</w:t>
      </w:r>
      <w:r>
        <w:rPr>
          <w:rFonts w:hint="eastAsia" w:hAnsi="宋体" w:cs="宋体"/>
          <w:sz w:val="24"/>
        </w:rPr>
        <w:t>总金额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424" w:firstLineChars="151"/>
        <w:contextualSpacing/>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adjustRightInd w:val="0"/>
        <w:snapToGrid w:val="0"/>
        <w:spacing w:before="0" w:beforeAutospacing="0" w:after="0" w:afterAutospacing="0" w:line="340" w:lineRule="exact"/>
        <w:ind w:firstLine="480" w:firstLineChars="200"/>
        <w:contextualSpacing/>
      </w:pPr>
      <w:r>
        <w:rPr>
          <w:rFonts w:hint="eastAsia"/>
        </w:rPr>
        <w:t>甲方付款方式：付款方式为按甲方要求完成检测清单中规定所有检测项目后，乙方凭甲方的验收单及开具的正规增值税发票等材料向甲方办理付款手续，甲方凭手续齐全的票据向乙方支付检测费用。（</w:t>
      </w:r>
      <w:r>
        <w:rPr>
          <w:rFonts w:hint="eastAsia"/>
          <w:b/>
          <w:bCs/>
        </w:rPr>
        <w:t>以上均不计息</w:t>
      </w:r>
      <w:r>
        <w:rPr>
          <w:rFonts w:hint="eastAsia"/>
        </w:rPr>
        <w:t>）。</w:t>
      </w:r>
    </w:p>
    <w:p>
      <w:pPr>
        <w:pStyle w:val="9"/>
        <w:adjustRightInd w:val="0"/>
        <w:snapToGrid w:val="0"/>
        <w:spacing w:line="340" w:lineRule="exact"/>
        <w:ind w:firstLine="482" w:firstLineChars="200"/>
        <w:contextualSpacing/>
        <w:rPr>
          <w:rFonts w:hAnsi="宋体" w:cs="宋体"/>
          <w:b/>
          <w:bCs/>
          <w:sz w:val="24"/>
        </w:rPr>
      </w:pPr>
      <w:r>
        <w:rPr>
          <w:rFonts w:hint="eastAsia" w:hAnsi="宋体" w:cs="宋体"/>
          <w:b/>
          <w:bCs/>
          <w:sz w:val="24"/>
        </w:rPr>
        <w:t>四、转包或分包</w:t>
      </w:r>
    </w:p>
    <w:p>
      <w:pPr>
        <w:pStyle w:val="9"/>
        <w:adjustRightInd w:val="0"/>
        <w:snapToGrid w:val="0"/>
        <w:spacing w:line="340" w:lineRule="exact"/>
        <w:ind w:firstLine="480" w:firstLineChars="200"/>
        <w:contextualSpacing/>
        <w:rPr>
          <w:rFonts w:hAnsi="宋体"/>
          <w:sz w:val="24"/>
        </w:rPr>
      </w:pPr>
      <w:r>
        <w:rPr>
          <w:rFonts w:hint="eastAsia" w:hAnsi="宋体"/>
          <w:sz w:val="24"/>
        </w:rPr>
        <w:t>本协议禁止转包，本协议范围的服务，应由乙方直接提供的，不得转让他人提供。</w:t>
      </w:r>
    </w:p>
    <w:p>
      <w:pPr>
        <w:adjustRightInd w:val="0"/>
        <w:snapToGrid w:val="0"/>
        <w:spacing w:line="340" w:lineRule="exact"/>
        <w:ind w:firstLine="482" w:firstLineChars="200"/>
        <w:contextualSpacing/>
        <w:rPr>
          <w:rFonts w:ascii="宋体" w:hAnsi="宋体" w:cs="宋体"/>
          <w:b/>
          <w:bCs/>
          <w:sz w:val="24"/>
        </w:rPr>
      </w:pPr>
      <w:r>
        <w:rPr>
          <w:rFonts w:hint="eastAsia" w:ascii="宋体" w:hAnsi="宋体" w:cs="宋体"/>
          <w:b/>
          <w:bCs/>
          <w:sz w:val="24"/>
        </w:rPr>
        <w:t>五、质保期</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cs="宋体"/>
          <w:sz w:val="24"/>
        </w:rPr>
        <w:t>1.商品质保期</w:t>
      </w:r>
      <w:r>
        <w:rPr>
          <w:rFonts w:hint="eastAsia" w:ascii="宋体" w:hAnsi="宋体" w:cs="宋体"/>
          <w:b/>
          <w:sz w:val="24"/>
          <w:u w:val="single"/>
        </w:rPr>
        <w:t xml:space="preserve">/ </w:t>
      </w:r>
      <w:r>
        <w:rPr>
          <w:rFonts w:hint="eastAsia" w:ascii="宋体" w:hAnsi="宋体" w:cs="宋体"/>
          <w:sz w:val="24"/>
        </w:rPr>
        <w:t>年，质保期自甲方验收合格之日起计算。</w:t>
      </w:r>
    </w:p>
    <w:p>
      <w:pPr>
        <w:pStyle w:val="9"/>
        <w:adjustRightInd w:val="0"/>
        <w:snapToGrid w:val="0"/>
        <w:spacing w:line="340" w:lineRule="exact"/>
        <w:ind w:firstLine="480" w:firstLineChars="200"/>
        <w:contextualSpacing/>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adjustRightInd w:val="0"/>
        <w:snapToGrid w:val="0"/>
        <w:spacing w:line="340" w:lineRule="exact"/>
        <w:ind w:firstLine="480" w:firstLineChars="200"/>
        <w:contextualSpacing/>
        <w:rPr>
          <w:rFonts w:hAnsi="宋体"/>
          <w:sz w:val="24"/>
          <w:szCs w:val="24"/>
        </w:rPr>
      </w:pPr>
      <w:r>
        <w:rPr>
          <w:rFonts w:hint="eastAsia" w:hAnsi="宋体" w:cs="宋体"/>
          <w:color w:val="000000"/>
          <w:kern w:val="0"/>
          <w:sz w:val="24"/>
        </w:rPr>
        <w:t>3.质保期后，乙方仍提供维修服务，收取成本费（免收人工费，差旅费）。</w:t>
      </w:r>
    </w:p>
    <w:p>
      <w:pPr>
        <w:adjustRightInd w:val="0"/>
        <w:snapToGrid w:val="0"/>
        <w:spacing w:line="340" w:lineRule="exact"/>
        <w:ind w:firstLine="548" w:firstLineChars="195"/>
        <w:contextualSpacing/>
        <w:rPr>
          <w:rFonts w:ascii="宋体" w:hAnsi="宋体"/>
          <w:kern w:val="20"/>
          <w:sz w:val="24"/>
        </w:rPr>
      </w:pPr>
      <w:r>
        <w:rPr>
          <w:rFonts w:hint="eastAsia" w:ascii="宋体" w:hAnsi="宋体"/>
          <w:b/>
          <w:spacing w:val="20"/>
          <w:sz w:val="24"/>
        </w:rPr>
        <w:t>六、</w:t>
      </w:r>
      <w:r>
        <w:rPr>
          <w:rFonts w:hint="eastAsia" w:ascii="宋体" w:hAnsi="宋体" w:cs="宋体"/>
          <w:b/>
          <w:bCs/>
          <w:sz w:val="24"/>
        </w:rPr>
        <w:t>交货时间和地点</w:t>
      </w:r>
    </w:p>
    <w:p>
      <w:pPr>
        <w:adjustRightInd w:val="0"/>
        <w:snapToGrid w:val="0"/>
        <w:spacing w:line="340" w:lineRule="exact"/>
        <w:ind w:firstLine="480" w:firstLineChars="200"/>
        <w:contextualSpacing/>
        <w:rPr>
          <w:rFonts w:ascii="宋体" w:hAnsi="宋体" w:cs="宋体"/>
          <w:color w:val="000000"/>
          <w:kern w:val="0"/>
          <w:sz w:val="24"/>
        </w:rPr>
      </w:pPr>
      <w:r>
        <w:rPr>
          <w:rFonts w:hint="eastAsia" w:ascii="宋体" w:hAnsi="宋体" w:cs="宋体"/>
          <w:color w:val="000000"/>
          <w:kern w:val="0"/>
          <w:sz w:val="24"/>
        </w:rPr>
        <w:t>1.乙方在协议签订后</w:t>
      </w:r>
      <w:r>
        <w:rPr>
          <w:rFonts w:hint="eastAsia" w:ascii="宋体" w:hAnsi="宋体" w:cs="宋体"/>
          <w:b/>
          <w:kern w:val="0"/>
          <w:sz w:val="24"/>
          <w:u w:val="single"/>
        </w:rPr>
        <w:t>/</w:t>
      </w:r>
      <w:r>
        <w:rPr>
          <w:rFonts w:hint="eastAsia" w:ascii="宋体" w:hAnsi="宋体" w:cs="宋体"/>
          <w:color w:val="000000"/>
          <w:kern w:val="0"/>
          <w:sz w:val="24"/>
        </w:rPr>
        <w:t>天内，每次接到甲方通知5个工作日内完成相关检测并出具国家认可的检测报告。</w:t>
      </w:r>
    </w:p>
    <w:p>
      <w:pPr>
        <w:pStyle w:val="8"/>
        <w:numPr>
          <w:ilvl w:val="0"/>
          <w:numId w:val="0"/>
        </w:numPr>
        <w:tabs>
          <w:tab w:val="left" w:pos="420"/>
        </w:tabs>
        <w:adjustRightInd w:val="0"/>
        <w:snapToGrid w:val="0"/>
        <w:spacing w:line="340" w:lineRule="exact"/>
        <w:ind w:firstLine="480" w:firstLineChars="200"/>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adjustRightInd w:val="0"/>
        <w:snapToGrid w:val="0"/>
        <w:spacing w:line="340" w:lineRule="exact"/>
        <w:ind w:firstLine="482" w:firstLineChars="200"/>
        <w:rPr>
          <w:rFonts w:ascii="宋体" w:hAnsi="宋体" w:cs="宋体"/>
          <w:b/>
          <w:bCs/>
          <w:sz w:val="24"/>
        </w:rPr>
      </w:pPr>
      <w:r>
        <w:rPr>
          <w:rFonts w:hint="eastAsia" w:ascii="宋体" w:hAnsi="宋体" w:cs="宋体"/>
          <w:b/>
          <w:bCs/>
          <w:sz w:val="24"/>
        </w:rPr>
        <w:t>七、违约责任</w:t>
      </w:r>
    </w:p>
    <w:p>
      <w:pPr>
        <w:adjustRightInd w:val="0"/>
        <w:snapToGrid w:val="0"/>
        <w:spacing w:line="34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color w:val="000000"/>
          <w:kern w:val="0"/>
          <w:sz w:val="24"/>
        </w:rPr>
        <w:t>协议生效后，乙方逾期履行协议的，自逾期之日起，向甲方每日偿付协议总价万分之二的违约金；乙方逾期三十日不能交货的，应向甲方支付协议总价百分之五的违约金； 乙方逾期六十日不能交货的，应向甲方支付协议总价百分之二十的违约金，同时不解除协议交货责任。</w:t>
      </w:r>
    </w:p>
    <w:p>
      <w:pPr>
        <w:adjustRightInd w:val="0"/>
        <w:snapToGrid w:val="0"/>
        <w:spacing w:line="340" w:lineRule="exact"/>
        <w:ind w:firstLine="480" w:firstLineChars="200"/>
        <w:rPr>
          <w:rFonts w:ascii="宋体" w:hAnsi="宋体" w:cs="宋体"/>
          <w:sz w:val="24"/>
        </w:rPr>
      </w:pPr>
      <w:r>
        <w:rPr>
          <w:rFonts w:hint="eastAsia" w:ascii="宋体" w:hAnsi="宋体" w:cs="宋体"/>
          <w:sz w:val="24"/>
        </w:rPr>
        <w:t>2.乙方所交商品全部或部分产品、型号、规格、技术参数、质量不符合协议规定及询价文件规定标准的，乙方更换商品但逾期交货的（甲方拒绝接收的除外），按乙方逾期交货处理；乙方拒绝更换商品的，甲方可选择解除本协议或本协议的一部分，并可追究乙方的其他违约责任。</w:t>
      </w:r>
    </w:p>
    <w:p>
      <w:pPr>
        <w:pStyle w:val="15"/>
        <w:ind w:firstLine="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 xml:space="preserve">扬州大学附属医院采购中心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法定代表人：                       法定代表人：</w:t>
      </w:r>
    </w:p>
    <w:p>
      <w:pPr>
        <w:spacing w:line="440" w:lineRule="exact"/>
        <w:rPr>
          <w:rFonts w:ascii="宋体" w:hAnsi="宋体"/>
          <w:kern w:val="20"/>
          <w:sz w:val="24"/>
        </w:rPr>
      </w:pPr>
      <w:r>
        <w:rPr>
          <w:rFonts w:hint="eastAsia" w:ascii="宋体" w:hAnsi="宋体"/>
          <w:kern w:val="20"/>
          <w:sz w:val="24"/>
        </w:rPr>
        <w:t>或授权代表：                       或授权代表：</w:t>
      </w:r>
    </w:p>
    <w:p>
      <w:pPr>
        <w:spacing w:line="440" w:lineRule="exact"/>
        <w:rPr>
          <w:rFonts w:ascii="宋体" w:hAnsi="宋体"/>
          <w:kern w:val="20"/>
          <w:sz w:val="24"/>
        </w:rPr>
      </w:pPr>
      <w:r>
        <w:rPr>
          <w:rFonts w:hint="eastAsia" w:ascii="宋体" w:hAnsi="宋体"/>
          <w:kern w:val="20"/>
          <w:sz w:val="24"/>
        </w:rPr>
        <w:t>电    话：                         电    话：</w:t>
      </w:r>
    </w:p>
    <w:p>
      <w:pPr>
        <w:spacing w:line="440" w:lineRule="exact"/>
        <w:rPr>
          <w:rFonts w:ascii="宋体" w:hAnsi="宋体"/>
          <w:kern w:val="20"/>
          <w:sz w:val="24"/>
        </w:rPr>
      </w:pPr>
      <w:r>
        <w:rPr>
          <w:rFonts w:hint="eastAsia" w:ascii="宋体" w:hAnsi="宋体"/>
          <w:kern w:val="20"/>
          <w:sz w:val="24"/>
        </w:rPr>
        <w:t>开户银行：                         开户银行：</w:t>
      </w:r>
    </w:p>
    <w:p>
      <w:pPr>
        <w:spacing w:line="440" w:lineRule="exact"/>
        <w:rPr>
          <w:rFonts w:ascii="宋体" w:hAnsi="宋体"/>
          <w:kern w:val="20"/>
          <w:sz w:val="24"/>
        </w:rPr>
      </w:pPr>
      <w:r>
        <w:rPr>
          <w:rFonts w:hint="eastAsia" w:ascii="宋体" w:hAnsi="宋体"/>
          <w:kern w:val="20"/>
          <w:sz w:val="24"/>
        </w:rPr>
        <w:t>帐    号：                         帐    号：</w:t>
      </w:r>
    </w:p>
    <w:p>
      <w:pPr>
        <w:spacing w:line="440" w:lineRule="exact"/>
        <w:rPr>
          <w:rFonts w:ascii="宋体" w:hAnsi="宋体"/>
          <w:kern w:val="20"/>
          <w:sz w:val="24"/>
        </w:rPr>
      </w:pPr>
      <w:r>
        <w:rPr>
          <w:rFonts w:hint="eastAsia" w:ascii="宋体" w:hAnsi="宋体"/>
          <w:kern w:val="20"/>
          <w:sz w:val="24"/>
        </w:rPr>
        <w:t>单位地址：                         单位地址：</w:t>
      </w:r>
    </w:p>
    <w:p>
      <w:pPr>
        <w:spacing w:line="440" w:lineRule="exact"/>
        <w:rPr>
          <w:rFonts w:ascii="宋体" w:hAnsi="宋体"/>
          <w:kern w:val="20"/>
          <w:sz w:val="24"/>
        </w:rPr>
      </w:pPr>
      <w:r>
        <w:rPr>
          <w:rFonts w:hint="eastAsia" w:ascii="宋体" w:hAnsi="宋体"/>
          <w:kern w:val="20"/>
          <w:sz w:val="24"/>
        </w:rPr>
        <w:t>日    期：2025 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bookmarkStart w:id="4" w:name="_GoBack"/>
      <w:bookmarkEnd w:id="4"/>
      <w:r>
        <w:rPr>
          <w:rFonts w:hint="eastAsia" w:ascii="宋体" w:hAnsi="宋体"/>
          <w:kern w:val="20"/>
          <w:sz w:val="24"/>
        </w:rPr>
        <w:t>日    期：2025年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7CD3AA2"/>
    <w:rsid w:val="08E8612B"/>
    <w:rsid w:val="0907213E"/>
    <w:rsid w:val="0BE47D69"/>
    <w:rsid w:val="0C067990"/>
    <w:rsid w:val="0C4A2728"/>
    <w:rsid w:val="0CF140C8"/>
    <w:rsid w:val="0D2E16CF"/>
    <w:rsid w:val="0D4515B4"/>
    <w:rsid w:val="0E126F52"/>
    <w:rsid w:val="0E2A13BF"/>
    <w:rsid w:val="0EE42777"/>
    <w:rsid w:val="110961DE"/>
    <w:rsid w:val="145A2EDB"/>
    <w:rsid w:val="1485379E"/>
    <w:rsid w:val="15D76399"/>
    <w:rsid w:val="172469D5"/>
    <w:rsid w:val="17407202"/>
    <w:rsid w:val="186D5CBC"/>
    <w:rsid w:val="19826916"/>
    <w:rsid w:val="1A965BFC"/>
    <w:rsid w:val="1B6D7D2D"/>
    <w:rsid w:val="1C94789B"/>
    <w:rsid w:val="1D762024"/>
    <w:rsid w:val="1E525F06"/>
    <w:rsid w:val="1E63111B"/>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50EC3"/>
    <w:rsid w:val="2F716810"/>
    <w:rsid w:val="2F877A0A"/>
    <w:rsid w:val="30DF7E8F"/>
    <w:rsid w:val="318E7998"/>
    <w:rsid w:val="32542738"/>
    <w:rsid w:val="32961BEB"/>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rPr>
      <w:sz w:val="16"/>
      <w:szCs w:val="16"/>
    </w:rPr>
  </w:style>
  <w:style w:type="paragraph" w:styleId="4">
    <w:name w:val="table of authorities"/>
    <w:basedOn w:val="1"/>
    <w:next w:val="1"/>
    <w:autoRedefine/>
    <w:qFormat/>
    <w:uiPriority w:val="0"/>
    <w:pPr>
      <w:ind w:left="420" w:leftChars="200"/>
    </w:pPr>
  </w:style>
  <w:style w:type="paragraph" w:styleId="5">
    <w:name w:val="Normal Indent"/>
    <w:basedOn w:val="1"/>
    <w:link w:val="31"/>
    <w:autoRedefine/>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5"/>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1097</Words>
  <Characters>6259</Characters>
  <Lines>52</Lines>
  <Paragraphs>14</Paragraphs>
  <TotalTime>54</TotalTime>
  <ScaleCrop>false</ScaleCrop>
  <LinksUpToDate>false</LinksUpToDate>
  <CharactersWithSpaces>7342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2025-01-02T07:42:09Z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85A759F6FA27473B988CDA07F398625D_13</vt:lpwstr>
  </property>
</Properties>
</file>