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240" w:lineRule="auto"/>
        <w:jc w:val="center"/>
        <w:rPr>
          <w:rFonts w:hint="eastAsia" w:ascii="新宋体" w:hAnsi="新宋体" w:eastAsia="新宋体"/>
          <w:b/>
          <w:i/>
          <w:iCs/>
          <w:sz w:val="24"/>
          <w:szCs w:val="24"/>
          <w:u w:val="single"/>
        </w:rPr>
      </w:pPr>
      <w:r>
        <w:rPr>
          <w:rFonts w:hint="eastAsia" w:ascii="宋体" w:hAnsi="宋体" w:eastAsia="宋体" w:cs="宋体"/>
          <w:b/>
          <w:bCs/>
          <w:color w:val="auto"/>
          <w:sz w:val="36"/>
          <w:szCs w:val="36"/>
          <w:lang w:val="en-US" w:eastAsia="zh-CN"/>
        </w:rPr>
        <w:t>第一部分 项目需求</w:t>
      </w:r>
    </w:p>
    <w:p>
      <w:pPr>
        <w:adjustRightInd w:val="0"/>
        <w:snapToGrid w:val="0"/>
        <w:spacing w:line="360" w:lineRule="auto"/>
        <w:rPr>
          <w:rFonts w:hint="eastAsia" w:ascii="新宋体" w:hAnsi="新宋体" w:eastAsia="新宋体"/>
          <w:b/>
          <w:sz w:val="28"/>
          <w:szCs w:val="28"/>
        </w:rPr>
      </w:pPr>
      <w:r>
        <w:rPr>
          <w:rFonts w:hint="eastAsia" w:ascii="新宋体" w:hAnsi="新宋体" w:eastAsia="新宋体"/>
          <w:b/>
          <w:i/>
          <w:iCs/>
          <w:sz w:val="24"/>
          <w:szCs w:val="24"/>
          <w:u w:val="single"/>
        </w:rPr>
        <w:t>注：本章☆号项为必须响应项，均需提供承诺函加盖投标人公章，不提供视为无效投标</w:t>
      </w:r>
    </w:p>
    <w:p>
      <w:pPr>
        <w:adjustRightInd w:val="0"/>
        <w:snapToGrid w:val="0"/>
        <w:spacing w:line="360" w:lineRule="auto"/>
        <w:ind w:firstLine="482" w:firstLineChars="200"/>
        <w:rPr>
          <w:rFonts w:hint="eastAsia" w:ascii="宋体" w:hAnsi="宋体" w:cs="宋体"/>
          <w:sz w:val="24"/>
          <w:szCs w:val="24"/>
        </w:rPr>
      </w:pPr>
      <w:r>
        <w:rPr>
          <w:rFonts w:hint="eastAsia" w:ascii="宋体" w:hAnsi="宋体" w:eastAsia="宋体" w:cs="宋体"/>
          <w:b/>
          <w:sz w:val="24"/>
          <w:szCs w:val="24"/>
        </w:rPr>
        <w:t>项目名称：</w:t>
      </w:r>
      <w:r>
        <w:rPr>
          <w:rFonts w:hint="eastAsia" w:ascii="宋体" w:hAnsi="宋体" w:eastAsia="宋体" w:cs="宋体"/>
          <w:sz w:val="24"/>
          <w:szCs w:val="24"/>
        </w:rPr>
        <w:t>扬州大学附属医院西区职工食堂服务项目</w:t>
      </w:r>
    </w:p>
    <w:p>
      <w:pPr>
        <w:adjustRightInd w:val="0"/>
        <w:snapToGrid w:val="0"/>
        <w:spacing w:line="360" w:lineRule="auto"/>
        <w:ind w:firstLine="482" w:firstLineChars="200"/>
        <w:rPr>
          <w:rFonts w:hint="eastAsia" w:ascii="宋体" w:hAnsi="宋体" w:cs="宋体"/>
          <w:sz w:val="24"/>
          <w:szCs w:val="24"/>
        </w:rPr>
      </w:pPr>
      <w:r>
        <w:rPr>
          <w:rFonts w:hint="eastAsia" w:ascii="宋体" w:hAnsi="宋体" w:eastAsia="宋体" w:cs="宋体"/>
          <w:b/>
          <w:sz w:val="24"/>
          <w:szCs w:val="24"/>
        </w:rPr>
        <w:t>采购需求：</w:t>
      </w:r>
      <w:r>
        <w:rPr>
          <w:rFonts w:hint="eastAsia" w:ascii="宋体" w:hAnsi="宋体" w:eastAsia="宋体" w:cs="宋体"/>
          <w:sz w:val="24"/>
          <w:szCs w:val="24"/>
        </w:rPr>
        <w:t xml:space="preserve">本服务项目总期限3年（自合同签订之日起计），服务合同一年一签，每年合同期满并考核合格，在预算资金落实且采购人同意的情况下可续签一年，累计续签时长不超过服务总期限。 </w:t>
      </w:r>
    </w:p>
    <w:p>
      <w:pPr>
        <w:adjustRightInd w:val="0"/>
        <w:snapToGrid w:val="0"/>
        <w:spacing w:line="360" w:lineRule="auto"/>
        <w:ind w:firstLine="482" w:firstLineChars="200"/>
        <w:rPr>
          <w:rFonts w:hint="eastAsia" w:ascii="新宋体" w:hAnsi="新宋体" w:eastAsia="新宋体"/>
          <w:b/>
          <w:sz w:val="24"/>
          <w:szCs w:val="24"/>
        </w:rPr>
      </w:pPr>
      <w:r>
        <w:rPr>
          <w:rFonts w:hint="eastAsia" w:ascii="新宋体" w:hAnsi="新宋体" w:eastAsia="新宋体"/>
          <w:b/>
          <w:sz w:val="24"/>
          <w:szCs w:val="24"/>
        </w:rPr>
        <w:t>一、医院简介</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扬州大学附属医院（扬州市第一人民医院）创建于</w:t>
      </w:r>
      <w:r>
        <w:rPr>
          <w:rFonts w:ascii="新宋体" w:hAnsi="新宋体" w:eastAsia="新宋体"/>
          <w:sz w:val="24"/>
          <w:szCs w:val="24"/>
        </w:rPr>
        <w:t>1960年，系扬州大学唯一直属附属医院。历经建设与发展，现已成为一所集医疗、教学、科研、急救、预防、康复为一体的综合性三级甲等医院。 医院</w:t>
      </w:r>
      <w:r>
        <w:rPr>
          <w:rFonts w:hint="eastAsia" w:ascii="新宋体" w:hAnsi="新宋体" w:eastAsia="新宋体"/>
          <w:sz w:val="24"/>
          <w:szCs w:val="24"/>
        </w:rPr>
        <w:t>系</w:t>
      </w:r>
      <w:r>
        <w:rPr>
          <w:rFonts w:ascii="新宋体" w:hAnsi="新宋体" w:eastAsia="新宋体"/>
          <w:sz w:val="24"/>
          <w:szCs w:val="24"/>
        </w:rPr>
        <w:t>住院医师规范化培训国家级基地，全科医师规范化培训省级示范基地，2008年获国家药物临床试验机构资格认定，并先后被评为“全国精神文明建设工作先进单位”和“全国文明单位”。医院现有东、西两个院区，占地138.2亩，总建筑面积17.3万平方米，总资产16.7亿元，各类专业诊疗设备3000余台（套）。医院实行一院两区</w:t>
      </w:r>
      <w:r>
        <w:rPr>
          <w:rFonts w:hint="eastAsia" w:ascii="新宋体" w:hAnsi="新宋体" w:eastAsia="新宋体"/>
          <w:sz w:val="24"/>
          <w:szCs w:val="24"/>
        </w:rPr>
        <w:t>一体化管理，开放床位</w:t>
      </w:r>
      <w:r>
        <w:rPr>
          <w:rFonts w:ascii="新宋体" w:hAnsi="新宋体" w:eastAsia="新宋体"/>
          <w:sz w:val="24"/>
          <w:szCs w:val="24"/>
        </w:rPr>
        <w:t>1700张，开放病区40个，其中东区760张，西区950张。医院门急诊量140万</w:t>
      </w:r>
      <w:r>
        <w:rPr>
          <w:rFonts w:hint="eastAsia" w:ascii="新宋体" w:hAnsi="新宋体" w:eastAsia="新宋体"/>
          <w:sz w:val="24"/>
          <w:szCs w:val="24"/>
        </w:rPr>
        <w:t>余</w:t>
      </w:r>
      <w:r>
        <w:rPr>
          <w:rFonts w:ascii="新宋体" w:hAnsi="新宋体" w:eastAsia="新宋体"/>
          <w:sz w:val="24"/>
          <w:szCs w:val="24"/>
        </w:rPr>
        <w:t>人次，出院患者7万</w:t>
      </w:r>
      <w:r>
        <w:rPr>
          <w:rFonts w:hint="eastAsia" w:ascii="新宋体" w:hAnsi="新宋体" w:eastAsia="新宋体"/>
          <w:sz w:val="24"/>
          <w:szCs w:val="24"/>
        </w:rPr>
        <w:t>余</w:t>
      </w:r>
      <w:r>
        <w:rPr>
          <w:rFonts w:ascii="新宋体" w:hAnsi="新宋体" w:eastAsia="新宋体"/>
          <w:sz w:val="24"/>
          <w:szCs w:val="24"/>
        </w:rPr>
        <w:t>人次。</w:t>
      </w:r>
    </w:p>
    <w:p>
      <w:pPr>
        <w:adjustRightInd w:val="0"/>
        <w:snapToGrid w:val="0"/>
        <w:spacing w:line="360" w:lineRule="auto"/>
        <w:ind w:firstLine="482" w:firstLineChars="200"/>
        <w:rPr>
          <w:rFonts w:hint="eastAsia" w:ascii="新宋体" w:hAnsi="新宋体" w:eastAsia="新宋体"/>
          <w:sz w:val="24"/>
          <w:szCs w:val="24"/>
        </w:rPr>
      </w:pPr>
      <w:r>
        <w:rPr>
          <w:rFonts w:hint="eastAsia" w:ascii="新宋体" w:hAnsi="新宋体" w:eastAsia="新宋体"/>
          <w:b/>
          <w:sz w:val="24"/>
          <w:szCs w:val="24"/>
        </w:rPr>
        <w:t>二、项目背景</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扬州大学附属医院东区职工食堂及病员食堂外客餐厅招标项目位于扬州市泰州路45号，其中一楼病员食堂及外客餐厅后厨加就餐</w:t>
      </w:r>
      <w:r>
        <w:rPr>
          <w:rFonts w:hint="eastAsia" w:ascii="新宋体" w:hAnsi="新宋体" w:eastAsia="新宋体"/>
          <w:b/>
          <w:sz w:val="24"/>
          <w:szCs w:val="24"/>
        </w:rPr>
        <w:t>区面积约为</w:t>
      </w:r>
      <w:r>
        <w:rPr>
          <w:rFonts w:hint="eastAsia" w:ascii="新宋体" w:hAnsi="新宋体" w:eastAsia="新宋体"/>
          <w:sz w:val="24"/>
          <w:szCs w:val="24"/>
        </w:rPr>
        <w:t>500</w:t>
      </w:r>
      <w:r>
        <w:rPr>
          <w:rFonts w:hint="eastAsia" w:ascii="新宋体" w:hAnsi="新宋体" w:eastAsia="新宋体"/>
          <w:b/>
          <w:sz w:val="24"/>
          <w:szCs w:val="24"/>
        </w:rPr>
        <w:t>㎡，</w:t>
      </w:r>
      <w:r>
        <w:rPr>
          <w:rFonts w:hint="eastAsia" w:ascii="宋体" w:hAnsi="宋体"/>
          <w:sz w:val="24"/>
          <w:szCs w:val="24"/>
        </w:rPr>
        <w:t>一楼项目</w:t>
      </w:r>
      <w:r>
        <w:rPr>
          <w:rFonts w:hint="eastAsia" w:ascii="新宋体" w:hAnsi="新宋体" w:eastAsia="新宋体"/>
          <w:sz w:val="24"/>
          <w:szCs w:val="24"/>
        </w:rPr>
        <w:t>营业额约</w:t>
      </w:r>
      <w:r>
        <w:rPr>
          <w:rFonts w:ascii="新宋体" w:hAnsi="新宋体" w:eastAsia="新宋体"/>
          <w:sz w:val="24"/>
          <w:szCs w:val="24"/>
        </w:rPr>
        <w:t>为</w:t>
      </w:r>
      <w:r>
        <w:rPr>
          <w:rFonts w:hint="eastAsia" w:ascii="新宋体" w:hAnsi="新宋体" w:eastAsia="新宋体"/>
          <w:sz w:val="24"/>
          <w:szCs w:val="24"/>
        </w:rPr>
        <w:t>495</w:t>
      </w:r>
      <w:r>
        <w:rPr>
          <w:rFonts w:ascii="新宋体" w:hAnsi="新宋体" w:eastAsia="新宋体"/>
          <w:sz w:val="24"/>
          <w:szCs w:val="24"/>
        </w:rPr>
        <w:t>万元，</w:t>
      </w:r>
      <w:r>
        <w:rPr>
          <w:rFonts w:hint="eastAsia" w:ascii="新宋体" w:hAnsi="新宋体" w:eastAsia="新宋体"/>
          <w:sz w:val="24"/>
          <w:szCs w:val="24"/>
        </w:rPr>
        <w:t>（含病区营养送餐，外客餐），</w:t>
      </w:r>
      <w:r>
        <w:rPr>
          <w:rFonts w:hint="eastAsia" w:ascii="宋体" w:hAnsi="宋体"/>
          <w:sz w:val="24"/>
          <w:szCs w:val="24"/>
        </w:rPr>
        <w:t>二楼食堂后厨加就餐区面积约为675 ㎡，</w:t>
      </w:r>
      <w:r>
        <w:rPr>
          <w:rFonts w:hint="eastAsia" w:ascii="新宋体" w:hAnsi="新宋体" w:eastAsia="新宋体"/>
          <w:sz w:val="24"/>
          <w:szCs w:val="24"/>
        </w:rPr>
        <w:t>二楼项目服务的职工总人数约为1500人，其中本院职工900余人，其余为进修、实习规培生、劳务派遣人员、物业人员、陪护人员等，营业额约为168万元。合计约为663万元。</w:t>
      </w:r>
    </w:p>
    <w:p>
      <w:pPr>
        <w:adjustRightInd w:val="0"/>
        <w:snapToGrid w:val="0"/>
        <w:spacing w:line="360" w:lineRule="auto"/>
        <w:ind w:firstLine="482" w:firstLineChars="200"/>
        <w:rPr>
          <w:rFonts w:hint="eastAsia" w:ascii="新宋体" w:hAnsi="新宋体" w:eastAsia="新宋体"/>
          <w:b/>
          <w:bCs/>
          <w:sz w:val="24"/>
          <w:szCs w:val="24"/>
        </w:rPr>
      </w:pPr>
      <w:r>
        <w:rPr>
          <w:rFonts w:hint="eastAsia" w:ascii="新宋体" w:hAnsi="新宋体" w:eastAsia="新宋体"/>
          <w:b/>
          <w:bCs/>
          <w:sz w:val="24"/>
          <w:szCs w:val="24"/>
        </w:rPr>
        <w:t>三、项目需求</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项目在东院区实施，一楼为营养食堂及病员餐厅，二楼为职工食堂，场地分为厨房加工区、餐食售卖区、大厅就餐区。一楼不提供职工刷卡服务，二楼不对病员和家属等外来人员提供服务，具体需求如下：</w:t>
      </w:r>
    </w:p>
    <w:p>
      <w:pPr>
        <w:adjustRightInd w:val="0"/>
        <w:snapToGrid w:val="0"/>
        <w:spacing w:line="360" w:lineRule="auto"/>
        <w:ind w:firstLine="482" w:firstLineChars="200"/>
        <w:rPr>
          <w:rFonts w:hint="eastAsia" w:ascii="新宋体" w:hAnsi="新宋体" w:eastAsia="新宋体"/>
          <w:b/>
          <w:sz w:val="24"/>
          <w:szCs w:val="24"/>
        </w:rPr>
      </w:pPr>
      <w:r>
        <w:rPr>
          <w:rFonts w:ascii="新宋体" w:hAnsi="新宋体" w:eastAsia="新宋体"/>
          <w:b/>
          <w:sz w:val="24"/>
          <w:szCs w:val="24"/>
        </w:rPr>
        <w:t>1.服务安全要求</w:t>
      </w:r>
    </w:p>
    <w:p>
      <w:pPr>
        <w:autoSpaceDE w:val="0"/>
        <w:autoSpaceDN w:val="0"/>
        <w:adjustRightIn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1.1 要求安全事故发生率为“零”（符合但不仅限于《中华人民共和国食品安全法》《中华人民共和国消防法》《餐饮服务食品安全监督管理办法》《生产安全事故应急条例》《团体膳食单位服务质量规范TCCA017-2020》等法律法规）；</w:t>
      </w:r>
      <w:r>
        <w:rPr>
          <w:rFonts w:hint="eastAsia" w:ascii="新宋体" w:hAnsi="新宋体" w:eastAsia="新宋体"/>
          <w:sz w:val="24"/>
          <w:szCs w:val="24"/>
        </w:rPr>
        <w:t>相关要求参见附件1国家卫健委《医疗和疾控机构后勤安全生产工作管理指南</w:t>
      </w:r>
      <w:r>
        <w:rPr>
          <w:rFonts w:ascii="新宋体" w:hAnsi="新宋体" w:eastAsia="新宋体"/>
          <w:sz w:val="24"/>
          <w:szCs w:val="24"/>
        </w:rPr>
        <w:t>》及</w:t>
      </w:r>
      <w:r>
        <w:rPr>
          <w:rFonts w:hint="eastAsia" w:ascii="新宋体" w:hAnsi="新宋体" w:eastAsia="新宋体"/>
          <w:sz w:val="24"/>
          <w:szCs w:val="24"/>
        </w:rPr>
        <w:t>（试行）（国卫密安发〔2019〕2号）第8部分“食堂安全管理指南”《</w:t>
      </w:r>
      <w:r>
        <w:rPr>
          <w:rFonts w:ascii="新宋体" w:hAnsi="新宋体" w:eastAsia="新宋体"/>
          <w:sz w:val="24"/>
          <w:szCs w:val="24"/>
        </w:rPr>
        <w:t>食堂安全管理督导检查表</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1.2各种安全检查要“达标”（包括但不限于国家</w:t>
      </w:r>
      <w:r>
        <w:rPr>
          <w:rFonts w:hint="eastAsia" w:ascii="新宋体" w:hAnsi="新宋体" w:eastAsia="新宋体"/>
          <w:sz w:val="24"/>
          <w:szCs w:val="24"/>
        </w:rPr>
        <w:t>、</w:t>
      </w:r>
      <w:r>
        <w:rPr>
          <w:rFonts w:ascii="新宋体" w:hAnsi="新宋体" w:eastAsia="新宋体"/>
          <w:sz w:val="24"/>
          <w:szCs w:val="24"/>
        </w:rPr>
        <w:t>江苏省及扬州市卫健、食药监、环保、消防等部门</w:t>
      </w:r>
      <w:r>
        <w:rPr>
          <w:rFonts w:hint="eastAsia" w:ascii="新宋体" w:hAnsi="新宋体" w:eastAsia="新宋体"/>
          <w:sz w:val="24"/>
          <w:szCs w:val="24"/>
        </w:rPr>
        <w:t>检查考核</w:t>
      </w:r>
      <w:r>
        <w:rPr>
          <w:rFonts w:ascii="新宋体" w:hAnsi="新宋体" w:eastAsia="新宋体"/>
          <w:sz w:val="24"/>
          <w:szCs w:val="24"/>
        </w:rPr>
        <w:t>标准）；</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1.3所有生产经营、用人均需合法合规（如质量管理</w:t>
      </w:r>
      <w:r>
        <w:rPr>
          <w:rFonts w:hint="eastAsia" w:ascii="新宋体" w:hAnsi="新宋体" w:eastAsia="新宋体"/>
          <w:sz w:val="24"/>
          <w:szCs w:val="24"/>
        </w:rPr>
        <w:t>、</w:t>
      </w:r>
      <w:r>
        <w:rPr>
          <w:rFonts w:ascii="新宋体" w:hAnsi="新宋体" w:eastAsia="新宋体"/>
          <w:sz w:val="24"/>
          <w:szCs w:val="24"/>
        </w:rPr>
        <w:t>安全管理、合同管理、劳动管理、食品经营许可、消防</w:t>
      </w:r>
      <w:r>
        <w:rPr>
          <w:rFonts w:hint="eastAsia" w:ascii="新宋体" w:hAnsi="新宋体" w:eastAsia="新宋体"/>
          <w:sz w:val="24"/>
          <w:szCs w:val="24"/>
        </w:rPr>
        <w:t>安全等</w:t>
      </w:r>
      <w:r>
        <w:rPr>
          <w:rFonts w:ascii="新宋体" w:hAnsi="新宋体" w:eastAsia="新宋体"/>
          <w:sz w:val="24"/>
          <w:szCs w:val="24"/>
        </w:rPr>
        <w:t>，必须符合《食品安全法》《劳动法》《团体膳食单位服务质量规范TCCA017-2020》等国家、江苏省和扬州市各类法律法规</w:t>
      </w:r>
      <w:r>
        <w:rPr>
          <w:rFonts w:hint="eastAsia" w:ascii="新宋体" w:hAnsi="新宋体" w:eastAsia="新宋体"/>
          <w:sz w:val="24"/>
          <w:szCs w:val="24"/>
        </w:rPr>
        <w:t>、</w:t>
      </w:r>
      <w:r>
        <w:rPr>
          <w:rFonts w:ascii="新宋体" w:hAnsi="新宋体" w:eastAsia="新宋体"/>
          <w:sz w:val="24"/>
          <w:szCs w:val="24"/>
        </w:rPr>
        <w:t>部门规章</w:t>
      </w:r>
      <w:r>
        <w:rPr>
          <w:rFonts w:hint="eastAsia" w:ascii="新宋体" w:hAnsi="新宋体" w:eastAsia="新宋体"/>
          <w:sz w:val="24"/>
          <w:szCs w:val="24"/>
        </w:rPr>
        <w:t>、</w:t>
      </w:r>
      <w:r>
        <w:rPr>
          <w:rFonts w:ascii="新宋体" w:hAnsi="新宋体" w:eastAsia="新宋体"/>
          <w:sz w:val="24"/>
          <w:szCs w:val="24"/>
        </w:rPr>
        <w:t>技术操作规范）；</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1.4上岗人员遵纪守法、上岗资质有效合法（如用工合同、健康证、上岗证等）；</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1.5 所有货源资质有效合法（符合但不限于《中华人民共和国食品安全法》《餐饮服务食品安全监督管理办法》《生产安全事故应急条例》《团体膳食单位服务质量规范》等法律法规）；</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1.6食品原材料采购供应能够索源并安全合格（同上）；</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1.7食品加工及配餐送发流程合规（同上）；</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1.8安全动线、设施、培训等合规（同上）。</w:t>
      </w:r>
    </w:p>
    <w:p>
      <w:pPr>
        <w:adjustRightInd w:val="0"/>
        <w:snapToGrid w:val="0"/>
        <w:spacing w:line="360" w:lineRule="auto"/>
        <w:rPr>
          <w:rFonts w:hint="eastAsia" w:ascii="新宋体" w:hAnsi="新宋体" w:eastAsia="新宋体"/>
          <w:b/>
          <w:sz w:val="24"/>
          <w:szCs w:val="24"/>
        </w:rPr>
      </w:pPr>
      <w:r>
        <w:rPr>
          <w:rFonts w:ascii="新宋体" w:hAnsi="新宋体" w:eastAsia="新宋体"/>
          <w:b/>
          <w:sz w:val="24"/>
          <w:szCs w:val="24"/>
        </w:rPr>
        <w:t>2.服务质量要求</w:t>
      </w:r>
    </w:p>
    <w:p>
      <w:pPr>
        <w:adjustRightInd w:val="0"/>
        <w:snapToGrid w:val="0"/>
        <w:spacing w:line="360" w:lineRule="auto"/>
        <w:rPr>
          <w:rFonts w:hint="eastAsia" w:ascii="新宋体" w:hAnsi="新宋体" w:eastAsia="新宋体"/>
          <w:sz w:val="24"/>
          <w:szCs w:val="24"/>
        </w:rPr>
      </w:pPr>
      <w:r>
        <w:rPr>
          <w:rFonts w:ascii="新宋体" w:hAnsi="新宋体" w:eastAsia="新宋体"/>
          <w:sz w:val="24"/>
          <w:szCs w:val="24"/>
        </w:rPr>
        <w:t>2.1人员要求</w:t>
      </w:r>
    </w:p>
    <w:p>
      <w:pPr>
        <w:pStyle w:val="11"/>
        <w:spacing w:before="68" w:line="408" w:lineRule="exact"/>
        <w:ind w:right="58" w:firstLine="480" w:firstLineChars="200"/>
        <w:jc w:val="left"/>
        <w:rPr>
          <w:rFonts w:hint="eastAsia" w:ascii="新宋体" w:hAnsi="新宋体" w:eastAsia="新宋体"/>
          <w:sz w:val="24"/>
          <w:szCs w:val="24"/>
        </w:rPr>
      </w:pPr>
      <w:r>
        <w:rPr>
          <w:rFonts w:ascii="新宋体" w:hAnsi="新宋体" w:eastAsia="新宋体"/>
          <w:sz w:val="24"/>
          <w:szCs w:val="24"/>
        </w:rPr>
        <w:t>2.1.</w:t>
      </w:r>
      <w:r>
        <w:rPr>
          <w:rFonts w:hint="eastAsia" w:ascii="新宋体" w:hAnsi="新宋体" w:eastAsia="新宋体"/>
          <w:sz w:val="24"/>
          <w:szCs w:val="24"/>
        </w:rPr>
        <w:t>1服务方派出管理经验丰富且符合餐饮行业相关要求的工作人员在医院场所内为医院职工提供高质量的餐饮服务。作为餐饮服务方派驻医院的现场代表（项目经理），应年轻化、知识化、专业化。男性不超过55周岁，女性不超过50周岁。项</w:t>
      </w:r>
      <w:r>
        <w:rPr>
          <w:rFonts w:ascii="新宋体" w:hAnsi="新宋体" w:eastAsia="新宋体"/>
          <w:sz w:val="24"/>
          <w:szCs w:val="24"/>
        </w:rPr>
        <w:t>目负责人必须具备 3 年以上餐饮行业管理经验， 全职驻点服务</w:t>
      </w:r>
      <w:r>
        <w:rPr>
          <w:rFonts w:hint="eastAsia" w:ascii="新宋体" w:hAnsi="新宋体" w:eastAsia="新宋体"/>
          <w:sz w:val="24"/>
          <w:szCs w:val="24"/>
        </w:rPr>
        <w:t>，</w:t>
      </w:r>
      <w:r>
        <w:rPr>
          <w:rFonts w:ascii="新宋体" w:hAnsi="新宋体" w:eastAsia="新宋体"/>
          <w:sz w:val="24"/>
          <w:szCs w:val="24"/>
        </w:rPr>
        <w:t>不得同时兼任其他项目的管理；</w:t>
      </w:r>
    </w:p>
    <w:p>
      <w:pPr>
        <w:pStyle w:val="11"/>
        <w:spacing w:before="68" w:line="408" w:lineRule="exact"/>
        <w:ind w:right="58" w:firstLine="480" w:firstLineChars="200"/>
        <w:jc w:val="left"/>
        <w:rPr>
          <w:rFonts w:hint="eastAsia" w:ascii="新宋体" w:hAnsi="新宋体" w:eastAsia="新宋体"/>
          <w:sz w:val="24"/>
          <w:szCs w:val="24"/>
        </w:rPr>
      </w:pPr>
      <w:r>
        <w:rPr>
          <w:rFonts w:ascii="新宋体" w:hAnsi="新宋体" w:eastAsia="新宋体"/>
          <w:sz w:val="24"/>
          <w:szCs w:val="24"/>
        </w:rPr>
        <w:t>2.1.</w:t>
      </w:r>
      <w:r>
        <w:rPr>
          <w:rFonts w:hint="eastAsia" w:ascii="新宋体" w:hAnsi="新宋体" w:eastAsia="新宋体"/>
          <w:sz w:val="24"/>
          <w:szCs w:val="24"/>
        </w:rPr>
        <w:t>2中标人对经理、主管、厨师长等主要管理人员的调整须经甲方审批同意后方可调动，未经甲方许可不得擅自调动。</w:t>
      </w:r>
    </w:p>
    <w:p>
      <w:pPr>
        <w:pStyle w:val="11"/>
        <w:spacing w:before="68" w:line="408" w:lineRule="exact"/>
        <w:ind w:right="58" w:firstLine="480" w:firstLineChars="200"/>
        <w:jc w:val="left"/>
        <w:rPr>
          <w:rFonts w:hint="eastAsia" w:ascii="新宋体" w:hAnsi="新宋体" w:eastAsia="新宋体"/>
          <w:sz w:val="24"/>
          <w:szCs w:val="24"/>
        </w:rPr>
      </w:pPr>
      <w:r>
        <w:rPr>
          <w:rFonts w:ascii="新宋体" w:hAnsi="新宋体" w:eastAsia="新宋体"/>
          <w:sz w:val="24"/>
          <w:szCs w:val="24"/>
        </w:rPr>
        <w:t>2.1.</w:t>
      </w:r>
      <w:r>
        <w:rPr>
          <w:rFonts w:hint="eastAsia" w:ascii="新宋体" w:hAnsi="新宋体" w:eastAsia="新宋体"/>
          <w:sz w:val="24"/>
          <w:szCs w:val="24"/>
        </w:rPr>
        <w:t>3</w:t>
      </w:r>
      <w:r>
        <w:rPr>
          <w:rFonts w:ascii="新宋体" w:hAnsi="新宋体" w:eastAsia="新宋体"/>
          <w:sz w:val="24"/>
          <w:szCs w:val="24"/>
        </w:rPr>
        <w:t xml:space="preserve"> 配备专职食品安全管理员；</w:t>
      </w:r>
    </w:p>
    <w:p>
      <w:pPr>
        <w:pStyle w:val="11"/>
        <w:spacing w:before="68" w:line="408" w:lineRule="exact"/>
        <w:ind w:right="58" w:firstLine="480" w:firstLineChars="200"/>
        <w:jc w:val="left"/>
        <w:rPr>
          <w:rFonts w:hint="eastAsia" w:ascii="新宋体" w:hAnsi="新宋体" w:eastAsia="新宋体"/>
          <w:sz w:val="24"/>
          <w:szCs w:val="24"/>
        </w:rPr>
      </w:pPr>
      <w:r>
        <w:rPr>
          <w:rFonts w:hint="eastAsia" w:ascii="新宋体" w:hAnsi="新宋体" w:eastAsia="新宋体"/>
          <w:sz w:val="24"/>
          <w:szCs w:val="24"/>
        </w:rPr>
        <w:t>2.1.4 职工食堂需配置一名具有高级职称的厨师负责医院包厢服务，及大型接待，各种会议餐保障。</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2.1.</w:t>
      </w:r>
      <w:r>
        <w:rPr>
          <w:rFonts w:hint="eastAsia" w:ascii="新宋体" w:hAnsi="新宋体" w:eastAsia="新宋体"/>
          <w:sz w:val="24"/>
          <w:szCs w:val="24"/>
        </w:rPr>
        <w:t>5</w:t>
      </w:r>
      <w:r>
        <w:rPr>
          <w:rFonts w:ascii="新宋体" w:hAnsi="新宋体" w:eastAsia="新宋体"/>
          <w:sz w:val="24"/>
          <w:szCs w:val="24"/>
        </w:rPr>
        <w:t>在岗厨师应具备</w:t>
      </w:r>
      <w:r>
        <w:rPr>
          <w:rFonts w:hint="eastAsia" w:ascii="新宋体" w:hAnsi="新宋体" w:eastAsia="新宋体"/>
          <w:b/>
          <w:sz w:val="24"/>
          <w:szCs w:val="24"/>
        </w:rPr>
        <w:t>中级及以上</w:t>
      </w:r>
      <w:r>
        <w:rPr>
          <w:rFonts w:ascii="新宋体" w:hAnsi="新宋体" w:eastAsia="新宋体"/>
          <w:b/>
          <w:sz w:val="24"/>
          <w:szCs w:val="24"/>
        </w:rPr>
        <w:t>厨师资格证</w:t>
      </w:r>
      <w:r>
        <w:rPr>
          <w:rFonts w:ascii="新宋体" w:hAnsi="新宋体" w:eastAsia="新宋体"/>
          <w:sz w:val="24"/>
          <w:szCs w:val="24"/>
        </w:rPr>
        <w:t>；</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2.1.6</w:t>
      </w:r>
      <w:r>
        <w:rPr>
          <w:rFonts w:ascii="宋体" w:hAnsi="宋体" w:cs="微软雅黑"/>
          <w:sz w:val="24"/>
          <w:szCs w:val="24"/>
        </w:rPr>
        <w:t>食堂的负责人和安全生产管理人员接受安全培训，每年培训学时</w:t>
      </w:r>
      <w:r>
        <w:rPr>
          <w:rFonts w:ascii="宋体" w:hAnsi="宋体" w:cs="微软雅黑"/>
          <w:w w:val="134"/>
          <w:sz w:val="24"/>
          <w:szCs w:val="24"/>
        </w:rPr>
        <w:t>≥</w:t>
      </w:r>
      <w:r>
        <w:rPr>
          <w:rFonts w:ascii="宋体" w:hAnsi="宋体" w:cs="微软雅黑"/>
          <w:spacing w:val="1"/>
          <w:w w:val="85"/>
          <w:sz w:val="24"/>
          <w:szCs w:val="24"/>
        </w:rPr>
        <w:t>1</w:t>
      </w:r>
      <w:r>
        <w:rPr>
          <w:rFonts w:ascii="宋体" w:hAnsi="宋体" w:cs="微软雅黑"/>
          <w:w w:val="85"/>
          <w:sz w:val="24"/>
          <w:szCs w:val="24"/>
        </w:rPr>
        <w:t>2</w:t>
      </w:r>
      <w:r>
        <w:rPr>
          <w:rFonts w:ascii="宋体" w:hAnsi="宋体" w:cs="微软雅黑"/>
          <w:sz w:val="24"/>
          <w:szCs w:val="24"/>
        </w:rPr>
        <w:t>学时</w:t>
      </w:r>
      <w:r>
        <w:rPr>
          <w:rFonts w:ascii="宋体" w:hAnsi="宋体"/>
          <w:sz w:val="24"/>
          <w:szCs w:val="24"/>
        </w:rPr>
        <w:t>；</w:t>
      </w:r>
    </w:p>
    <w:p>
      <w:pPr>
        <w:adjustRightInd w:val="0"/>
        <w:snapToGrid w:val="0"/>
        <w:spacing w:line="360" w:lineRule="auto"/>
        <w:ind w:firstLine="480" w:firstLineChars="200"/>
        <w:rPr>
          <w:rFonts w:hint="eastAsia" w:ascii="宋体" w:hAnsi="宋体"/>
          <w:sz w:val="24"/>
          <w:szCs w:val="24"/>
        </w:rPr>
      </w:pPr>
      <w:r>
        <w:rPr>
          <w:rFonts w:hint="eastAsia" w:ascii="宋体" w:hAnsi="宋体" w:cs="微软雅黑"/>
          <w:sz w:val="24"/>
          <w:szCs w:val="24"/>
        </w:rPr>
        <w:t>2.1.7</w:t>
      </w:r>
      <w:r>
        <w:rPr>
          <w:rFonts w:ascii="宋体" w:hAnsi="宋体" w:cs="微软雅黑"/>
          <w:sz w:val="24"/>
          <w:szCs w:val="24"/>
        </w:rPr>
        <w:t>食堂负责人和安全管理人员每年接受</w:t>
      </w:r>
      <w:r>
        <w:rPr>
          <w:rFonts w:ascii="宋体" w:hAnsi="宋体" w:cs="微软雅黑"/>
          <w:w w:val="134"/>
          <w:sz w:val="24"/>
          <w:szCs w:val="24"/>
        </w:rPr>
        <w:t>≥</w:t>
      </w:r>
      <w:r>
        <w:rPr>
          <w:rFonts w:ascii="宋体" w:hAnsi="宋体" w:cs="微软雅黑"/>
          <w:spacing w:val="1"/>
          <w:w w:val="85"/>
          <w:sz w:val="24"/>
          <w:szCs w:val="24"/>
        </w:rPr>
        <w:t>4</w:t>
      </w:r>
      <w:r>
        <w:rPr>
          <w:rFonts w:ascii="宋体" w:hAnsi="宋体" w:cs="微软雅黑"/>
          <w:w w:val="85"/>
          <w:sz w:val="24"/>
          <w:szCs w:val="24"/>
        </w:rPr>
        <w:t>0</w:t>
      </w:r>
      <w:r>
        <w:rPr>
          <w:rFonts w:ascii="宋体" w:hAnsi="宋体" w:cs="微软雅黑"/>
          <w:sz w:val="24"/>
          <w:szCs w:val="24"/>
        </w:rPr>
        <w:t>小时的餐饮服务食品安全集中培训</w:t>
      </w:r>
      <w:r>
        <w:rPr>
          <w:rFonts w:ascii="宋体" w:hAnsi="宋体"/>
          <w:sz w:val="24"/>
          <w:szCs w:val="24"/>
        </w:rPr>
        <w:t>；</w:t>
      </w:r>
    </w:p>
    <w:p>
      <w:pPr>
        <w:adjustRightInd w:val="0"/>
        <w:snapToGrid w:val="0"/>
        <w:spacing w:line="360" w:lineRule="auto"/>
        <w:ind w:firstLine="480" w:firstLineChars="200"/>
        <w:rPr>
          <w:rFonts w:hint="eastAsia" w:ascii="宋体" w:hAnsi="宋体"/>
          <w:sz w:val="24"/>
          <w:szCs w:val="24"/>
        </w:rPr>
      </w:pPr>
      <w:r>
        <w:rPr>
          <w:rFonts w:hint="eastAsia" w:ascii="宋体" w:hAnsi="宋体" w:cs="微软雅黑"/>
          <w:sz w:val="24"/>
          <w:szCs w:val="24"/>
        </w:rPr>
        <w:t>2.1.8</w:t>
      </w:r>
      <w:r>
        <w:rPr>
          <w:rFonts w:ascii="宋体" w:hAnsi="宋体" w:cs="微软雅黑"/>
          <w:sz w:val="24"/>
          <w:szCs w:val="24"/>
        </w:rPr>
        <w:t>新上岗的从业人员，岗前安全培训时间</w:t>
      </w:r>
      <w:r>
        <w:rPr>
          <w:rFonts w:ascii="宋体" w:hAnsi="宋体" w:cs="微软雅黑"/>
          <w:w w:val="134"/>
          <w:sz w:val="24"/>
          <w:szCs w:val="24"/>
        </w:rPr>
        <w:t>≥</w:t>
      </w:r>
      <w:r>
        <w:rPr>
          <w:rFonts w:ascii="宋体" w:hAnsi="宋体" w:cs="微软雅黑"/>
          <w:spacing w:val="1"/>
          <w:w w:val="85"/>
          <w:sz w:val="24"/>
          <w:szCs w:val="24"/>
        </w:rPr>
        <w:t>2</w:t>
      </w:r>
      <w:r>
        <w:rPr>
          <w:rFonts w:ascii="宋体" w:hAnsi="宋体" w:cs="微软雅黑"/>
          <w:w w:val="85"/>
          <w:sz w:val="24"/>
          <w:szCs w:val="24"/>
        </w:rPr>
        <w:t>4</w:t>
      </w:r>
      <w:r>
        <w:rPr>
          <w:rFonts w:ascii="宋体" w:hAnsi="宋体" w:cs="微软雅黑"/>
          <w:sz w:val="24"/>
          <w:szCs w:val="24"/>
        </w:rPr>
        <w:t>学时，每半年对从业人员进行一次食品安全培训考核，合格通过后方可继续上岗工作</w:t>
      </w:r>
      <w:r>
        <w:rPr>
          <w:rFonts w:ascii="宋体" w:hAnsi="宋体"/>
          <w:sz w:val="24"/>
          <w:szCs w:val="24"/>
        </w:rPr>
        <w:t>；</w:t>
      </w:r>
    </w:p>
    <w:p>
      <w:pPr>
        <w:adjustRightInd w:val="0"/>
        <w:snapToGrid w:val="0"/>
        <w:spacing w:line="360" w:lineRule="auto"/>
        <w:ind w:firstLine="480" w:firstLineChars="200"/>
        <w:rPr>
          <w:rFonts w:hint="eastAsia" w:ascii="宋体" w:hAnsi="宋体" w:cs="微软雅黑"/>
          <w:sz w:val="24"/>
          <w:szCs w:val="24"/>
        </w:rPr>
      </w:pPr>
      <w:r>
        <w:rPr>
          <w:rFonts w:hint="eastAsia" w:ascii="宋体" w:hAnsi="宋体"/>
          <w:sz w:val="24"/>
          <w:szCs w:val="24"/>
        </w:rPr>
        <w:t>2</w:t>
      </w:r>
      <w:r>
        <w:rPr>
          <w:rFonts w:hint="eastAsia" w:ascii="宋体" w:hAnsi="宋体" w:cs="微软雅黑"/>
          <w:sz w:val="24"/>
          <w:szCs w:val="24"/>
        </w:rPr>
        <w:t>.1.9餐饮服务方应负责其派驻到医院工作人员的健康体检，所有餐饮工作人员须持有效健康证上岗。</w:t>
      </w:r>
    </w:p>
    <w:p>
      <w:pPr>
        <w:adjustRightInd w:val="0"/>
        <w:snapToGrid w:val="0"/>
        <w:spacing w:line="360" w:lineRule="auto"/>
        <w:ind w:firstLine="480" w:firstLineChars="200"/>
        <w:rPr>
          <w:rFonts w:hint="eastAsia" w:ascii="宋体" w:hAnsi="宋体" w:cs="微软雅黑"/>
          <w:sz w:val="24"/>
          <w:szCs w:val="24"/>
        </w:rPr>
      </w:pPr>
      <w:r>
        <w:rPr>
          <w:rFonts w:hint="eastAsia" w:ascii="宋体" w:hAnsi="宋体" w:cs="微软雅黑"/>
          <w:sz w:val="24"/>
          <w:szCs w:val="24"/>
        </w:rPr>
        <w:t>2.1.10餐饮服务方有权依据《劳动法》和《国家食品从业人员管理规定》自主聘用工作人员，与劳动者签订劳动合同并按国家相关法律法规支付劳动者报酬，并缴纳相关社会保险。</w:t>
      </w:r>
    </w:p>
    <w:p>
      <w:pPr>
        <w:spacing w:line="360" w:lineRule="auto"/>
        <w:ind w:firstLine="480" w:firstLineChars="200"/>
        <w:rPr>
          <w:rFonts w:hint="eastAsia" w:ascii="宋体" w:hAnsi="宋体" w:cs="微软雅黑"/>
          <w:sz w:val="24"/>
          <w:szCs w:val="24"/>
        </w:rPr>
      </w:pPr>
      <w:r>
        <w:rPr>
          <w:rFonts w:hint="eastAsia" w:ascii="宋体" w:hAnsi="宋体"/>
          <w:sz w:val="24"/>
          <w:szCs w:val="24"/>
        </w:rPr>
        <w:t>2.</w:t>
      </w:r>
      <w:r>
        <w:rPr>
          <w:rFonts w:hint="eastAsia" w:ascii="宋体" w:hAnsi="宋体" w:cs="微软雅黑"/>
          <w:sz w:val="24"/>
          <w:szCs w:val="24"/>
        </w:rPr>
        <w:t>1.11服务方所提供人员岗位设置不得低于人员岗位设置表（总务科根据目前运营现状制定）。相关要求参见附件2《餐饮服务人员基本岗位设置表。如有特殊情况（疫情管控、离职、病假、节日供餐、突击加班供餐等）出现人员不足情况，乙方须立即就近招聘或内部调动人员补充。甲方随时查岗，如发现人员未满足岗位设置要求，三天之内未到岗，缺编人数，按照每人每天罚款500元标准执行。</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2.2场所及设备要求</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2.2.1</w:t>
      </w:r>
      <w:r>
        <w:rPr>
          <w:rFonts w:hint="eastAsia" w:ascii="新宋体" w:hAnsi="新宋体" w:eastAsia="新宋体"/>
          <w:sz w:val="24"/>
          <w:szCs w:val="24"/>
        </w:rPr>
        <w:t>职工</w:t>
      </w:r>
      <w:r>
        <w:rPr>
          <w:rFonts w:ascii="新宋体" w:hAnsi="新宋体" w:eastAsia="新宋体"/>
          <w:sz w:val="24"/>
          <w:szCs w:val="24"/>
        </w:rPr>
        <w:t>食堂应达到扬州市餐饮单位量化分级标准B级及B级以上；</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2.2.2 应具备独立的粗加工间、切配间、操作间、餐具洗涤消毒间、冷库、主、副食库房、更衣间、卫生间等。</w:t>
      </w:r>
      <w:r>
        <w:rPr>
          <w:rFonts w:ascii="新宋体" w:hAnsi="新宋体" w:eastAsia="新宋体"/>
          <w:color w:val="FF0000"/>
          <w:sz w:val="24"/>
          <w:szCs w:val="24"/>
        </w:rPr>
        <w:t>甲方提供现有的厨房设备设施。</w:t>
      </w:r>
    </w:p>
    <w:p>
      <w:pPr>
        <w:adjustRightInd w:val="0"/>
        <w:snapToGrid w:val="0"/>
        <w:spacing w:line="360" w:lineRule="auto"/>
        <w:ind w:firstLine="480" w:firstLineChars="200"/>
        <w:rPr>
          <w:rFonts w:hint="eastAsia" w:ascii="宋体" w:hAnsi="宋体"/>
          <w:sz w:val="24"/>
          <w:szCs w:val="24"/>
        </w:rPr>
      </w:pPr>
      <w:r>
        <w:rPr>
          <w:rFonts w:hint="eastAsia" w:ascii="新宋体" w:hAnsi="新宋体" w:eastAsia="新宋体"/>
          <w:sz w:val="24"/>
          <w:szCs w:val="24"/>
        </w:rPr>
        <w:t>2.2.3</w:t>
      </w:r>
      <w:r>
        <w:rPr>
          <w:rFonts w:hint="eastAsia" w:ascii="宋体" w:hAnsi="宋体"/>
          <w:sz w:val="24"/>
          <w:szCs w:val="24"/>
        </w:rPr>
        <w:t>采购人仅提供适宜的办公场所用于投标人的现场管理，不提供从业人员的住宿与休息用房。</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2.2.4 服务方应按照国家法律法规办理所经营主体的《食品经营许可证》及其他相关证件，并确保在有效期内，在以后相关部门执法查处中，出现任何问题与甲方无关，餐饮服务方承担一切后果。</w:t>
      </w:r>
    </w:p>
    <w:p>
      <w:pPr>
        <w:adjustRightInd w:val="0"/>
        <w:snapToGrid w:val="0"/>
        <w:spacing w:line="360" w:lineRule="auto"/>
        <w:rPr>
          <w:rFonts w:hint="eastAsia" w:ascii="新宋体" w:hAnsi="新宋体" w:eastAsia="新宋体"/>
          <w:sz w:val="24"/>
          <w:szCs w:val="24"/>
        </w:rPr>
      </w:pPr>
      <w:r>
        <w:rPr>
          <w:rFonts w:ascii="新宋体" w:hAnsi="新宋体" w:eastAsia="新宋体"/>
          <w:sz w:val="24"/>
          <w:szCs w:val="24"/>
        </w:rPr>
        <w:t>2.3满意度要求</w:t>
      </w:r>
    </w:p>
    <w:p>
      <w:pPr>
        <w:adjustRightInd w:val="0"/>
        <w:snapToGrid w:val="0"/>
        <w:spacing w:line="360" w:lineRule="auto"/>
        <w:ind w:firstLine="482" w:firstLineChars="200"/>
        <w:rPr>
          <w:rFonts w:hint="eastAsia" w:ascii="新宋体" w:hAnsi="新宋体" w:eastAsia="新宋体"/>
          <w:i/>
          <w:sz w:val="24"/>
          <w:szCs w:val="24"/>
          <w:u w:val="single"/>
        </w:rPr>
      </w:pPr>
      <w:r>
        <w:rPr>
          <w:rFonts w:hint="eastAsia" w:ascii="新宋体" w:hAnsi="新宋体" w:eastAsia="新宋体"/>
          <w:b/>
          <w:i/>
          <w:iCs/>
          <w:sz w:val="24"/>
          <w:szCs w:val="24"/>
          <w:u w:val="single"/>
        </w:rPr>
        <w:t>☆</w:t>
      </w:r>
      <w:r>
        <w:rPr>
          <w:rFonts w:ascii="新宋体" w:hAnsi="新宋体" w:eastAsia="新宋体"/>
          <w:i/>
          <w:sz w:val="24"/>
          <w:szCs w:val="24"/>
          <w:u w:val="single"/>
        </w:rPr>
        <w:t>2.3.1</w:t>
      </w:r>
      <w:r>
        <w:rPr>
          <w:rFonts w:hint="eastAsia" w:ascii="新宋体" w:hAnsi="新宋体" w:eastAsia="新宋体"/>
          <w:i/>
          <w:sz w:val="24"/>
          <w:szCs w:val="24"/>
          <w:u w:val="single"/>
        </w:rPr>
        <w:t>投标人</w:t>
      </w:r>
      <w:r>
        <w:rPr>
          <w:rFonts w:ascii="新宋体" w:hAnsi="新宋体" w:eastAsia="新宋体"/>
          <w:i/>
          <w:sz w:val="24"/>
          <w:szCs w:val="24"/>
          <w:u w:val="single"/>
        </w:rPr>
        <w:t>服务期限内，医院后勤保障处</w:t>
      </w:r>
      <w:r>
        <w:rPr>
          <w:rFonts w:hint="eastAsia" w:ascii="新宋体" w:hAnsi="新宋体" w:eastAsia="新宋体"/>
          <w:i/>
          <w:sz w:val="24"/>
          <w:szCs w:val="24"/>
          <w:u w:val="single"/>
        </w:rPr>
        <w:t>针对职工及病员营养食堂</w:t>
      </w:r>
      <w:r>
        <w:rPr>
          <w:rFonts w:ascii="新宋体" w:hAnsi="新宋体" w:eastAsia="新宋体"/>
          <w:i/>
          <w:sz w:val="24"/>
          <w:szCs w:val="24"/>
          <w:u w:val="single"/>
        </w:rPr>
        <w:t>就餐服务</w:t>
      </w:r>
      <w:r>
        <w:rPr>
          <w:rFonts w:hint="eastAsia" w:ascii="新宋体" w:hAnsi="新宋体" w:eastAsia="新宋体"/>
          <w:i/>
          <w:sz w:val="24"/>
          <w:szCs w:val="24"/>
          <w:u w:val="single"/>
        </w:rPr>
        <w:t>,每月进行满意度调查,</w:t>
      </w:r>
      <w:r>
        <w:rPr>
          <w:rFonts w:ascii="新宋体" w:hAnsi="新宋体" w:eastAsia="新宋体"/>
          <w:i/>
          <w:sz w:val="24"/>
          <w:szCs w:val="24"/>
          <w:u w:val="single"/>
        </w:rPr>
        <w:t>月平均满意度达到</w:t>
      </w:r>
      <w:r>
        <w:rPr>
          <w:rFonts w:hint="eastAsia" w:ascii="新宋体" w:hAnsi="新宋体" w:eastAsia="新宋体"/>
          <w:i/>
          <w:sz w:val="24"/>
          <w:szCs w:val="24"/>
          <w:u w:val="single"/>
        </w:rPr>
        <w:t>85</w:t>
      </w:r>
      <w:r>
        <w:rPr>
          <w:rFonts w:ascii="新宋体" w:hAnsi="新宋体" w:eastAsia="新宋体"/>
          <w:i/>
          <w:sz w:val="24"/>
          <w:szCs w:val="24"/>
          <w:u w:val="single"/>
        </w:rPr>
        <w:t>%以上（</w:t>
      </w:r>
      <w:r>
        <w:rPr>
          <w:rFonts w:hint="eastAsia" w:ascii="新宋体" w:hAnsi="新宋体" w:eastAsia="新宋体"/>
          <w:i/>
          <w:sz w:val="24"/>
          <w:szCs w:val="24"/>
          <w:u w:val="single"/>
        </w:rPr>
        <w:t>以8</w:t>
      </w:r>
      <w:r>
        <w:rPr>
          <w:rFonts w:ascii="新宋体" w:hAnsi="新宋体" w:eastAsia="新宋体"/>
          <w:i/>
          <w:sz w:val="24"/>
          <w:szCs w:val="24"/>
          <w:u w:val="single"/>
        </w:rPr>
        <w:t>5</w:t>
      </w:r>
      <w:r>
        <w:rPr>
          <w:rFonts w:hint="eastAsia" w:ascii="新宋体" w:hAnsi="新宋体" w:eastAsia="新宋体"/>
          <w:i/>
          <w:sz w:val="24"/>
          <w:szCs w:val="24"/>
          <w:u w:val="single"/>
        </w:rPr>
        <w:t>%为基数，</w:t>
      </w:r>
      <w:r>
        <w:rPr>
          <w:rFonts w:ascii="新宋体" w:hAnsi="新宋体" w:eastAsia="新宋体"/>
          <w:i/>
          <w:sz w:val="24"/>
          <w:szCs w:val="24"/>
          <w:u w:val="single"/>
        </w:rPr>
        <w:t>每降低</w:t>
      </w:r>
      <w:r>
        <w:rPr>
          <w:rFonts w:hint="eastAsia" w:ascii="新宋体" w:hAnsi="新宋体" w:eastAsia="新宋体"/>
          <w:i/>
          <w:sz w:val="24"/>
          <w:szCs w:val="24"/>
          <w:u w:val="single"/>
        </w:rPr>
        <w:t>1</w:t>
      </w:r>
      <w:r>
        <w:rPr>
          <w:rFonts w:ascii="新宋体" w:hAnsi="新宋体" w:eastAsia="新宋体"/>
          <w:i/>
          <w:sz w:val="24"/>
          <w:szCs w:val="24"/>
          <w:u w:val="single"/>
        </w:rPr>
        <w:t>个百分点，扣罚当</w:t>
      </w:r>
      <w:r>
        <w:rPr>
          <w:rFonts w:hint="eastAsia" w:ascii="新宋体" w:hAnsi="新宋体" w:eastAsia="新宋体"/>
          <w:i/>
          <w:sz w:val="24"/>
          <w:szCs w:val="24"/>
          <w:u w:val="single"/>
        </w:rPr>
        <w:t>月职工</w:t>
      </w:r>
      <w:r>
        <w:rPr>
          <w:rFonts w:ascii="新宋体" w:hAnsi="新宋体" w:eastAsia="新宋体"/>
          <w:i/>
          <w:sz w:val="24"/>
          <w:szCs w:val="24"/>
          <w:u w:val="single"/>
        </w:rPr>
        <w:t>餐流水的</w:t>
      </w:r>
      <w:r>
        <w:rPr>
          <w:rFonts w:hint="eastAsia" w:ascii="新宋体" w:hAnsi="新宋体" w:eastAsia="新宋体"/>
          <w:i/>
          <w:sz w:val="24"/>
          <w:szCs w:val="24"/>
          <w:u w:val="single"/>
        </w:rPr>
        <w:t>1</w:t>
      </w:r>
      <w:r>
        <w:rPr>
          <w:rFonts w:ascii="新宋体" w:hAnsi="新宋体" w:eastAsia="新宋体"/>
          <w:i/>
          <w:sz w:val="24"/>
          <w:szCs w:val="24"/>
          <w:u w:val="single"/>
        </w:rPr>
        <w:t>%，依次累加；</w:t>
      </w:r>
      <w:r>
        <w:rPr>
          <w:i/>
          <w:iCs/>
          <w:spacing w:val="3"/>
          <w:sz w:val="22"/>
          <w:u w:val="single"/>
        </w:rPr>
        <w:t>满意度达到</w:t>
      </w:r>
      <w:r>
        <w:rPr>
          <w:rFonts w:hint="eastAsia"/>
          <w:i/>
          <w:iCs/>
          <w:spacing w:val="3"/>
          <w:sz w:val="22"/>
          <w:u w:val="single"/>
        </w:rPr>
        <w:t>85</w:t>
      </w:r>
      <w:r>
        <w:rPr>
          <w:i/>
          <w:iCs/>
          <w:spacing w:val="3"/>
          <w:sz w:val="22"/>
          <w:u w:val="single"/>
        </w:rPr>
        <w:t>分以上，</w:t>
      </w:r>
      <w:r>
        <w:rPr>
          <w:rFonts w:ascii="新宋体" w:hAnsi="新宋体" w:eastAsia="新宋体"/>
          <w:i/>
          <w:sz w:val="24"/>
          <w:szCs w:val="24"/>
          <w:u w:val="single"/>
        </w:rPr>
        <w:t>每增加</w:t>
      </w:r>
      <w:r>
        <w:rPr>
          <w:rFonts w:hint="eastAsia" w:ascii="新宋体" w:hAnsi="新宋体" w:eastAsia="新宋体"/>
          <w:i/>
          <w:sz w:val="24"/>
          <w:szCs w:val="24"/>
          <w:u w:val="single"/>
        </w:rPr>
        <w:t>1</w:t>
      </w:r>
      <w:r>
        <w:rPr>
          <w:rFonts w:ascii="新宋体" w:hAnsi="新宋体" w:eastAsia="新宋体"/>
          <w:i/>
          <w:sz w:val="24"/>
          <w:szCs w:val="24"/>
          <w:u w:val="single"/>
        </w:rPr>
        <w:t>个百分点，奖励当月职工餐流水</w:t>
      </w:r>
      <w:r>
        <w:rPr>
          <w:rFonts w:hint="eastAsia" w:ascii="新宋体" w:hAnsi="新宋体" w:eastAsia="新宋体"/>
          <w:i/>
          <w:sz w:val="24"/>
          <w:szCs w:val="24"/>
          <w:u w:val="single"/>
        </w:rPr>
        <w:t>总额1</w:t>
      </w:r>
      <w:r>
        <w:rPr>
          <w:rFonts w:ascii="新宋体" w:hAnsi="新宋体" w:eastAsia="新宋体"/>
          <w:i/>
          <w:sz w:val="24"/>
          <w:szCs w:val="24"/>
          <w:u w:val="single"/>
        </w:rPr>
        <w:t>%，依次累加）</w:t>
      </w:r>
      <w:r>
        <w:rPr>
          <w:rFonts w:hint="eastAsia" w:ascii="新宋体" w:hAnsi="新宋体" w:eastAsia="新宋体"/>
          <w:i/>
          <w:sz w:val="24"/>
          <w:szCs w:val="24"/>
          <w:u w:val="single"/>
        </w:rPr>
        <w:t>，如连续2月低于70%，院方可免责终止合同.</w:t>
      </w:r>
      <w:r>
        <w:rPr>
          <w:rFonts w:hint="eastAsia" w:ascii="宋体" w:hAnsi="宋体"/>
          <w:i/>
          <w:iCs/>
          <w:sz w:val="24"/>
          <w:szCs w:val="24"/>
          <w:u w:val="single"/>
        </w:rPr>
        <w:t xml:space="preserve"> （提供承诺函加盖投标人公章）</w:t>
      </w:r>
    </w:p>
    <w:p>
      <w:pPr>
        <w:adjustRightInd w:val="0"/>
        <w:snapToGrid w:val="0"/>
        <w:spacing w:line="360" w:lineRule="auto"/>
        <w:ind w:firstLine="482" w:firstLineChars="200"/>
        <w:rPr>
          <w:rFonts w:hint="eastAsia" w:ascii="新宋体" w:hAnsi="新宋体" w:eastAsia="新宋体"/>
          <w:i/>
          <w:sz w:val="24"/>
          <w:szCs w:val="24"/>
          <w:u w:val="single"/>
        </w:rPr>
      </w:pPr>
      <w:bookmarkStart w:id="0" w:name="_Hlk186418198"/>
      <w:r>
        <w:rPr>
          <w:rFonts w:hint="eastAsia" w:ascii="新宋体" w:hAnsi="新宋体" w:eastAsia="新宋体"/>
          <w:b/>
          <w:i/>
          <w:iCs/>
          <w:sz w:val="24"/>
          <w:szCs w:val="24"/>
          <w:u w:val="single"/>
        </w:rPr>
        <w:t>☆</w:t>
      </w:r>
      <w:r>
        <w:rPr>
          <w:rFonts w:ascii="新宋体" w:hAnsi="新宋体" w:eastAsia="新宋体"/>
          <w:i/>
          <w:sz w:val="24"/>
          <w:szCs w:val="24"/>
          <w:u w:val="single"/>
        </w:rPr>
        <w:t>2.3.</w:t>
      </w:r>
      <w:r>
        <w:rPr>
          <w:rFonts w:hint="eastAsia" w:ascii="新宋体" w:hAnsi="新宋体" w:eastAsia="新宋体"/>
          <w:i/>
          <w:sz w:val="24"/>
          <w:szCs w:val="24"/>
          <w:u w:val="single"/>
        </w:rPr>
        <w:t>2中标人</w:t>
      </w:r>
      <w:r>
        <w:rPr>
          <w:rFonts w:ascii="新宋体" w:hAnsi="新宋体" w:eastAsia="新宋体"/>
          <w:i/>
          <w:sz w:val="24"/>
          <w:szCs w:val="24"/>
          <w:u w:val="single"/>
        </w:rPr>
        <w:t>服务期限内，</w:t>
      </w:r>
      <w:r>
        <w:rPr>
          <w:rFonts w:hint="eastAsia" w:ascii="新宋体" w:hAnsi="新宋体" w:eastAsia="新宋体"/>
          <w:i/>
          <w:sz w:val="24"/>
          <w:szCs w:val="24"/>
          <w:u w:val="single"/>
        </w:rPr>
        <w:t>中标人</w:t>
      </w:r>
      <w:r>
        <w:rPr>
          <w:rFonts w:ascii="新宋体" w:hAnsi="新宋体" w:eastAsia="新宋体"/>
          <w:i/>
          <w:sz w:val="24"/>
          <w:szCs w:val="24"/>
          <w:u w:val="single"/>
        </w:rPr>
        <w:t>应达到医院膳食委员会</w:t>
      </w:r>
      <w:r>
        <w:rPr>
          <w:rFonts w:hint="eastAsia" w:ascii="新宋体" w:hAnsi="新宋体" w:eastAsia="新宋体"/>
          <w:i/>
          <w:sz w:val="24"/>
          <w:szCs w:val="24"/>
          <w:u w:val="single"/>
        </w:rPr>
        <w:t>组织</w:t>
      </w:r>
      <w:r>
        <w:rPr>
          <w:rFonts w:ascii="新宋体" w:hAnsi="新宋体" w:eastAsia="新宋体"/>
          <w:i/>
          <w:sz w:val="24"/>
          <w:szCs w:val="24"/>
          <w:u w:val="single"/>
        </w:rPr>
        <w:t>的满意度考核标准（年</w:t>
      </w:r>
      <w:r>
        <w:rPr>
          <w:rFonts w:hint="eastAsia" w:ascii="新宋体" w:hAnsi="新宋体" w:eastAsia="新宋体"/>
          <w:i/>
          <w:sz w:val="24"/>
          <w:szCs w:val="24"/>
          <w:u w:val="single"/>
        </w:rPr>
        <w:t>度</w:t>
      </w:r>
      <w:r>
        <w:rPr>
          <w:rFonts w:ascii="新宋体" w:hAnsi="新宋体" w:eastAsia="新宋体"/>
          <w:i/>
          <w:sz w:val="24"/>
          <w:szCs w:val="24"/>
          <w:u w:val="single"/>
        </w:rPr>
        <w:t>评价会），（</w:t>
      </w:r>
      <w:r>
        <w:rPr>
          <w:rFonts w:hint="eastAsia" w:ascii="新宋体" w:hAnsi="新宋体" w:eastAsia="新宋体"/>
          <w:i/>
          <w:sz w:val="24"/>
          <w:szCs w:val="24"/>
          <w:u w:val="single"/>
        </w:rPr>
        <w:t>以8</w:t>
      </w:r>
      <w:r>
        <w:rPr>
          <w:rFonts w:ascii="新宋体" w:hAnsi="新宋体" w:eastAsia="新宋体"/>
          <w:i/>
          <w:sz w:val="24"/>
          <w:szCs w:val="24"/>
          <w:u w:val="single"/>
        </w:rPr>
        <w:t>5</w:t>
      </w:r>
      <w:r>
        <w:rPr>
          <w:rFonts w:hint="eastAsia" w:ascii="新宋体" w:hAnsi="新宋体" w:eastAsia="新宋体"/>
          <w:i/>
          <w:sz w:val="24"/>
          <w:szCs w:val="24"/>
          <w:u w:val="single"/>
        </w:rPr>
        <w:t>分为基数，</w:t>
      </w:r>
      <w:r>
        <w:rPr>
          <w:rFonts w:ascii="新宋体" w:hAnsi="新宋体" w:eastAsia="新宋体"/>
          <w:i/>
          <w:sz w:val="24"/>
          <w:szCs w:val="24"/>
          <w:u w:val="single"/>
        </w:rPr>
        <w:t>综合满意度达到85分以上，</w:t>
      </w:r>
      <w:r>
        <w:rPr>
          <w:rFonts w:hint="eastAsia" w:ascii="新宋体" w:hAnsi="新宋体" w:eastAsia="新宋体"/>
          <w:i/>
          <w:sz w:val="24"/>
          <w:szCs w:val="24"/>
          <w:u w:val="single"/>
        </w:rPr>
        <w:t>可以续签下一年合同，如低于85%，院方可免责终止合同</w:t>
      </w:r>
      <w:r>
        <w:rPr>
          <w:rFonts w:hint="eastAsia" w:ascii="宋体" w:hAnsi="宋体"/>
          <w:i/>
          <w:iCs/>
          <w:sz w:val="24"/>
          <w:szCs w:val="24"/>
          <w:u w:val="single"/>
        </w:rPr>
        <w:t>（提供承诺函加盖投标人公章）</w:t>
      </w:r>
      <w:r>
        <w:rPr>
          <w:rFonts w:hint="eastAsia" w:ascii="新宋体" w:hAnsi="新宋体" w:eastAsia="新宋体"/>
          <w:i/>
          <w:sz w:val="24"/>
          <w:szCs w:val="24"/>
          <w:u w:val="single"/>
        </w:rPr>
        <w:t>.</w:t>
      </w:r>
      <w:bookmarkEnd w:id="0"/>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2.4质控要求</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2.4.1制定标准化、规范化工作制度与流程，并按照《团体膳食单位服务质量规范》相关要求执行（达到但不限于扬州市卫健委、医院职能部门等相关要求）。</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2.4.2建立质量控制与食品安全管理小组，有专门的食品安全管理员（按时填写安全手册），有人员分工和各种会议及培训记录（食品安全、质控检查、安全隐患）等；</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w:t>
      </w:r>
      <w:r>
        <w:rPr>
          <w:rFonts w:hint="eastAsia" w:ascii="新宋体" w:hAnsi="新宋体" w:eastAsia="新宋体"/>
          <w:sz w:val="24"/>
          <w:szCs w:val="24"/>
          <w:lang w:val="en-US" w:eastAsia="zh-CN"/>
        </w:rPr>
        <w:t>4.3</w:t>
      </w:r>
      <w:r>
        <w:rPr>
          <w:rFonts w:ascii="新宋体" w:hAnsi="新宋体" w:eastAsia="新宋体"/>
          <w:sz w:val="24"/>
          <w:szCs w:val="24"/>
        </w:rPr>
        <w:t>在各级行政和行业主管部门检查考核工作中，</w:t>
      </w:r>
      <w:r>
        <w:rPr>
          <w:rFonts w:hint="eastAsia" w:ascii="新宋体" w:hAnsi="新宋体" w:eastAsia="新宋体"/>
          <w:sz w:val="24"/>
          <w:szCs w:val="24"/>
        </w:rPr>
        <w:t>各项</w:t>
      </w:r>
      <w:r>
        <w:rPr>
          <w:rFonts w:ascii="新宋体" w:hAnsi="新宋体" w:eastAsia="新宋体"/>
          <w:sz w:val="24"/>
          <w:szCs w:val="24"/>
        </w:rPr>
        <w:t>考核指标由服务方负责完成并达标。</w:t>
      </w:r>
    </w:p>
    <w:p>
      <w:pPr>
        <w:adjustRightInd w:val="0"/>
        <w:snapToGrid w:val="0"/>
        <w:spacing w:line="360" w:lineRule="auto"/>
        <w:ind w:firstLine="480" w:firstLineChars="200"/>
        <w:rPr>
          <w:rFonts w:hint="eastAsia" w:ascii="新宋体" w:hAnsi="新宋体" w:eastAsia="新宋体"/>
          <w:b/>
          <w:i/>
          <w:sz w:val="24"/>
          <w:szCs w:val="24"/>
          <w:u w:val="single"/>
        </w:rPr>
      </w:pPr>
      <w:r>
        <w:rPr>
          <w:rFonts w:hint="eastAsia" w:ascii="新宋体" w:hAnsi="新宋体" w:eastAsia="新宋体"/>
          <w:sz w:val="24"/>
          <w:szCs w:val="24"/>
        </w:rPr>
        <w:t>2.</w:t>
      </w:r>
      <w:r>
        <w:rPr>
          <w:rFonts w:hint="eastAsia" w:ascii="新宋体" w:hAnsi="新宋体" w:eastAsia="新宋体"/>
          <w:sz w:val="24"/>
          <w:szCs w:val="24"/>
          <w:lang w:val="en-US" w:eastAsia="zh-CN"/>
        </w:rPr>
        <w:t>4.4</w:t>
      </w:r>
      <w:r>
        <w:rPr>
          <w:rFonts w:hint="eastAsia" w:ascii="新宋体" w:hAnsi="新宋体" w:eastAsia="新宋体"/>
          <w:sz w:val="24"/>
          <w:szCs w:val="24"/>
        </w:rPr>
        <w:t xml:space="preserve"> </w:t>
      </w:r>
      <w:r>
        <w:rPr>
          <w:rFonts w:hint="eastAsia" w:ascii="新宋体" w:hAnsi="新宋体" w:eastAsia="新宋体"/>
          <w:b/>
          <w:i/>
          <w:iCs/>
          <w:sz w:val="24"/>
          <w:szCs w:val="24"/>
          <w:u w:val="single"/>
        </w:rPr>
        <w:t>☆</w:t>
      </w:r>
      <w:r>
        <w:rPr>
          <w:rFonts w:hint="eastAsia" w:ascii="新宋体" w:hAnsi="新宋体" w:eastAsia="新宋体"/>
          <w:b/>
          <w:i/>
          <w:sz w:val="24"/>
          <w:szCs w:val="24"/>
          <w:u w:val="single"/>
        </w:rPr>
        <w:t>服务方需根据</w:t>
      </w:r>
      <w:r>
        <w:rPr>
          <w:rFonts w:ascii="新宋体" w:hAnsi="新宋体" w:eastAsia="新宋体"/>
          <w:b/>
          <w:i/>
          <w:sz w:val="24"/>
          <w:szCs w:val="24"/>
          <w:u w:val="single"/>
        </w:rPr>
        <w:t>《中华人民共和国食品安全法》《中华人民共和国消防法》《餐饮服务食品安全监督管理办法》《生产安全事故应急条例》《团体膳食单位服务质量规范</w:t>
      </w:r>
      <w:r>
        <w:rPr>
          <w:rFonts w:ascii="新宋体" w:hAnsi="新宋体" w:eastAsia="新宋体"/>
          <w:b/>
          <w:bCs/>
          <w:i/>
          <w:iCs/>
          <w:sz w:val="24"/>
          <w:szCs w:val="24"/>
          <w:u w:val="single"/>
        </w:rPr>
        <w:t>TCCA017-2020</w:t>
      </w:r>
      <w:r>
        <w:rPr>
          <w:rFonts w:ascii="新宋体" w:hAnsi="新宋体" w:eastAsia="新宋体"/>
          <w:b/>
          <w:i/>
          <w:sz w:val="24"/>
          <w:szCs w:val="24"/>
          <w:u w:val="single"/>
        </w:rPr>
        <w:t>》</w:t>
      </w:r>
      <w:r>
        <w:rPr>
          <w:rFonts w:hint="eastAsia" w:ascii="新宋体" w:hAnsi="新宋体" w:eastAsia="新宋体"/>
          <w:b/>
          <w:i/>
          <w:sz w:val="24"/>
          <w:szCs w:val="24"/>
          <w:u w:val="single"/>
        </w:rPr>
        <w:t>《医疗和疾控机构后勤安全生产工作管理指南</w:t>
      </w:r>
      <w:r>
        <w:rPr>
          <w:rFonts w:ascii="新宋体" w:hAnsi="新宋体" w:eastAsia="新宋体"/>
          <w:b/>
          <w:i/>
          <w:sz w:val="24"/>
          <w:szCs w:val="24"/>
          <w:u w:val="single"/>
        </w:rPr>
        <w:t>》等法律法规，制定出针对本项目的《</w:t>
      </w:r>
      <w:r>
        <w:rPr>
          <w:rFonts w:hint="eastAsia" w:ascii="新宋体" w:hAnsi="新宋体" w:eastAsia="新宋体"/>
          <w:b/>
          <w:i/>
          <w:sz w:val="24"/>
          <w:szCs w:val="24"/>
          <w:u w:val="single"/>
        </w:rPr>
        <w:t>安全生产标准化管理实施方案</w:t>
      </w:r>
      <w:r>
        <w:rPr>
          <w:rFonts w:ascii="新宋体" w:hAnsi="新宋体" w:eastAsia="新宋体"/>
          <w:b/>
          <w:i/>
          <w:sz w:val="24"/>
          <w:szCs w:val="24"/>
          <w:u w:val="single"/>
        </w:rPr>
        <w:t>》</w:t>
      </w:r>
      <w:r>
        <w:rPr>
          <w:rFonts w:hint="eastAsia" w:ascii="新宋体" w:hAnsi="新宋体" w:eastAsia="新宋体"/>
          <w:b/>
          <w:i/>
          <w:sz w:val="24"/>
          <w:szCs w:val="24"/>
          <w:u w:val="single"/>
        </w:rPr>
        <w:t>，每半年由服务方稽查部门联同院方后勤保障处、院感处、安保部、总务科、质安科、进行联合督查，对于发现的问题，限时整改，并形成食堂安全生产标准化管理实施情况评定报告，存档备查。</w:t>
      </w:r>
    </w:p>
    <w:p>
      <w:pPr>
        <w:adjustRightInd w:val="0"/>
        <w:snapToGrid w:val="0"/>
        <w:spacing w:line="360" w:lineRule="auto"/>
        <w:ind w:firstLine="480" w:firstLineChars="200"/>
        <w:rPr>
          <w:rFonts w:hint="eastAsia" w:ascii="新宋体" w:hAnsi="新宋体" w:eastAsia="新宋体"/>
          <w:sz w:val="24"/>
          <w:szCs w:val="24"/>
        </w:rPr>
      </w:pPr>
      <w:bookmarkStart w:id="1" w:name="_Hlk186418373"/>
      <w:r>
        <w:rPr>
          <w:rFonts w:ascii="新宋体" w:hAnsi="新宋体" w:eastAsia="新宋体"/>
          <w:sz w:val="24"/>
          <w:szCs w:val="24"/>
        </w:rPr>
        <w:t>2.5 食材要求</w:t>
      </w:r>
    </w:p>
    <w:p>
      <w:pPr>
        <w:adjustRightInd w:val="0"/>
        <w:snapToGrid w:val="0"/>
        <w:spacing w:line="360" w:lineRule="auto"/>
        <w:ind w:firstLine="482" w:firstLineChars="200"/>
        <w:rPr>
          <w:rFonts w:hint="eastAsia" w:ascii="新宋体" w:hAnsi="新宋体" w:eastAsia="新宋体"/>
          <w:i/>
          <w:iCs/>
          <w:sz w:val="24"/>
          <w:szCs w:val="24"/>
          <w:u w:val="single"/>
        </w:rPr>
      </w:pPr>
      <w:r>
        <w:rPr>
          <w:rFonts w:hint="eastAsia" w:ascii="新宋体" w:hAnsi="新宋体" w:eastAsia="新宋体"/>
          <w:b/>
          <w:i/>
          <w:iCs/>
          <w:sz w:val="24"/>
          <w:szCs w:val="24"/>
          <w:u w:val="single"/>
        </w:rPr>
        <w:t>☆</w:t>
      </w:r>
      <w:r>
        <w:rPr>
          <w:rFonts w:ascii="新宋体" w:hAnsi="新宋体" w:eastAsia="新宋体"/>
          <w:i/>
          <w:iCs/>
          <w:sz w:val="24"/>
          <w:szCs w:val="24"/>
          <w:u w:val="single"/>
        </w:rPr>
        <w:t>不得采购虫蛀霉变、腐败变质、过期失效的食品。食堂日常所需全部主副食材料提供溯源证明材料（供应商提供合同复印件、供货协议及相关票据），接受采购人不定期现场检查， 如有与下述内容与投标所述内容不一致，不能满足采购人食堂要求， 采购人有权终止合同。</w:t>
      </w:r>
    </w:p>
    <w:p>
      <w:pPr>
        <w:adjustRightInd w:val="0"/>
        <w:snapToGrid w:val="0"/>
        <w:spacing w:line="360" w:lineRule="auto"/>
        <w:rPr>
          <w:rFonts w:hint="eastAsia" w:ascii="新宋体" w:hAnsi="新宋体" w:eastAsia="新宋体"/>
          <w:sz w:val="24"/>
          <w:szCs w:val="24"/>
        </w:rPr>
      </w:pPr>
    </w:p>
    <w:p>
      <w:pPr>
        <w:adjustRightInd w:val="0"/>
        <w:snapToGrid w:val="0"/>
        <w:spacing w:line="360" w:lineRule="auto"/>
        <w:rPr>
          <w:rFonts w:hint="eastAsia" w:ascii="新宋体" w:hAnsi="新宋体" w:eastAsia="新宋体"/>
          <w:sz w:val="24"/>
          <w:szCs w:val="24"/>
        </w:rPr>
      </w:pPr>
    </w:p>
    <w:p>
      <w:pPr>
        <w:adjustRightInd w:val="0"/>
        <w:snapToGrid w:val="0"/>
        <w:spacing w:line="360" w:lineRule="auto"/>
        <w:rPr>
          <w:rFonts w:hint="eastAsia" w:ascii="新宋体" w:hAnsi="新宋体" w:eastAsia="新宋体"/>
          <w:sz w:val="24"/>
          <w:szCs w:val="24"/>
        </w:rPr>
      </w:pPr>
    </w:p>
    <w:tbl>
      <w:tblPr>
        <w:tblStyle w:val="77"/>
        <w:tblW w:w="925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1"/>
        <w:gridCol w:w="5806"/>
        <w:gridCol w:w="1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91" w:type="dxa"/>
          </w:tcPr>
          <w:p>
            <w:pPr>
              <w:widowControl/>
              <w:kinsoku w:val="0"/>
              <w:autoSpaceDE w:val="0"/>
              <w:autoSpaceDN w:val="0"/>
              <w:adjustRightInd w:val="0"/>
              <w:snapToGrid w:val="0"/>
              <w:spacing w:before="132" w:line="221" w:lineRule="auto"/>
              <w:ind w:left="539"/>
              <w:jc w:val="left"/>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spacing w:val="-3"/>
                <w:kern w:val="0"/>
                <w:sz w:val="20"/>
                <w:szCs w:val="21"/>
                <w:lang w:eastAsia="en-US"/>
              </w:rPr>
              <w:t>项目</w:t>
            </w:r>
          </w:p>
        </w:tc>
        <w:tc>
          <w:tcPr>
            <w:tcW w:w="5806" w:type="dxa"/>
          </w:tcPr>
          <w:p>
            <w:pPr>
              <w:widowControl/>
              <w:kinsoku w:val="0"/>
              <w:autoSpaceDE w:val="0"/>
              <w:autoSpaceDN w:val="0"/>
              <w:adjustRightInd w:val="0"/>
              <w:snapToGrid w:val="0"/>
              <w:spacing w:before="132" w:line="221" w:lineRule="auto"/>
              <w:ind w:left="1324"/>
              <w:jc w:val="left"/>
              <w:textAlignment w:val="baseline"/>
              <w:rPr>
                <w:rFonts w:hint="eastAsia" w:ascii="宋体" w:hAnsi="宋体" w:eastAsia="宋体" w:cs="宋体"/>
                <w:snapToGrid w:val="0"/>
                <w:color w:val="000000"/>
                <w:kern w:val="0"/>
                <w:sz w:val="20"/>
                <w:szCs w:val="21"/>
              </w:rPr>
            </w:pPr>
            <w:r>
              <w:rPr>
                <w:rFonts w:ascii="宋体" w:hAnsi="宋体" w:eastAsia="宋体" w:cs="宋体"/>
                <w:snapToGrid w:val="0"/>
                <w:color w:val="000000"/>
                <w:kern w:val="0"/>
                <w:sz w:val="20"/>
                <w:szCs w:val="21"/>
              </w:rPr>
              <w:t>技术、规格、质量要求及包装标准</w:t>
            </w:r>
          </w:p>
        </w:tc>
        <w:tc>
          <w:tcPr>
            <w:tcW w:w="1957" w:type="dxa"/>
          </w:tcPr>
          <w:p>
            <w:pPr>
              <w:widowControl/>
              <w:kinsoku w:val="0"/>
              <w:autoSpaceDE w:val="0"/>
              <w:autoSpaceDN w:val="0"/>
              <w:adjustRightInd w:val="0"/>
              <w:snapToGrid w:val="0"/>
              <w:spacing w:before="132" w:line="222" w:lineRule="auto"/>
              <w:ind w:left="772"/>
              <w:jc w:val="left"/>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spacing w:val="-3"/>
                <w:kern w:val="0"/>
                <w:sz w:val="20"/>
                <w:szCs w:val="21"/>
                <w:lang w:eastAsia="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3" w:hRule="atLeast"/>
        </w:trPr>
        <w:tc>
          <w:tcPr>
            <w:tcW w:w="1491" w:type="dxa"/>
            <w:vMerge w:val="restart"/>
            <w:tcBorders>
              <w:bottom w:val="nil"/>
            </w:tcBorders>
          </w:tcPr>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before="68" w:line="221" w:lineRule="auto"/>
              <w:ind w:left="559"/>
              <w:jc w:val="left"/>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spacing w:val="-7"/>
                <w:kern w:val="0"/>
                <w:sz w:val="20"/>
                <w:szCs w:val="21"/>
                <w:lang w:eastAsia="en-US"/>
              </w:rPr>
              <w:t>肉类</w:t>
            </w:r>
          </w:p>
        </w:tc>
        <w:tc>
          <w:tcPr>
            <w:tcW w:w="5806" w:type="dxa"/>
          </w:tcPr>
          <w:p>
            <w:pPr>
              <w:widowControl/>
              <w:kinsoku w:val="0"/>
              <w:autoSpaceDE w:val="0"/>
              <w:autoSpaceDN w:val="0"/>
              <w:adjustRightInd w:val="0"/>
              <w:snapToGrid w:val="0"/>
              <w:spacing w:before="125" w:line="412" w:lineRule="auto"/>
              <w:ind w:left="105" w:right="44"/>
              <w:textAlignment w:val="baseline"/>
              <w:rPr>
                <w:rFonts w:hint="eastAsia" w:ascii="宋体" w:hAnsi="宋体" w:eastAsia="宋体" w:cs="宋体"/>
                <w:snapToGrid w:val="0"/>
                <w:color w:val="000000"/>
                <w:kern w:val="0"/>
                <w:sz w:val="20"/>
                <w:szCs w:val="21"/>
              </w:rPr>
            </w:pPr>
            <w:r>
              <w:rPr>
                <w:rFonts w:ascii="宋体" w:hAnsi="宋体" w:eastAsia="宋体" w:cs="宋体"/>
                <w:snapToGrid w:val="0"/>
                <w:color w:val="000000"/>
                <w:spacing w:val="-12"/>
                <w:kern w:val="0"/>
                <w:sz w:val="20"/>
                <w:szCs w:val="21"/>
              </w:rPr>
              <w:t>猪肉： 净廋肉、后腿肉、猪肝、排骨、猪油、筒子骨、猪血等；</w:t>
            </w:r>
            <w:r>
              <w:rPr>
                <w:rFonts w:ascii="宋体" w:hAnsi="宋体" w:eastAsia="宋体" w:cs="宋体"/>
                <w:snapToGrid w:val="0"/>
                <w:color w:val="000000"/>
                <w:spacing w:val="-3"/>
                <w:kern w:val="0"/>
                <w:sz w:val="20"/>
                <w:szCs w:val="21"/>
              </w:rPr>
              <w:t>采购时，必须保证供应为屠宰厂采购当日屠宰的生鲜猪肉，拒绝冷冻肉，肉身必须盖有卫生检疫章，须出具加盖国家或地方政府监督所检疫章的动物检疫证明。肉品须表皮洁净、膘厚适</w:t>
            </w:r>
            <w:r>
              <w:rPr>
                <w:rFonts w:ascii="宋体" w:hAnsi="宋体" w:eastAsia="宋体" w:cs="宋体"/>
                <w:snapToGrid w:val="0"/>
                <w:color w:val="000000"/>
                <w:spacing w:val="-1"/>
                <w:kern w:val="0"/>
                <w:sz w:val="20"/>
                <w:szCs w:val="21"/>
              </w:rPr>
              <w:t>中、色泽鲜亮、纹理清晰、肉质细腻、无异味、</w:t>
            </w:r>
            <w:r>
              <w:rPr>
                <w:rFonts w:ascii="宋体" w:hAnsi="宋体" w:eastAsia="宋体" w:cs="宋体"/>
                <w:snapToGrid w:val="0"/>
                <w:color w:val="000000"/>
                <w:spacing w:val="-2"/>
                <w:kern w:val="0"/>
                <w:sz w:val="20"/>
                <w:szCs w:val="21"/>
              </w:rPr>
              <w:t>去骨、无毛、按压无水迹。</w:t>
            </w:r>
          </w:p>
        </w:tc>
        <w:tc>
          <w:tcPr>
            <w:tcW w:w="1957" w:type="dxa"/>
            <w:vMerge w:val="restart"/>
            <w:tcBorders>
              <w:bottom w:val="nil"/>
            </w:tcBorders>
          </w:tcPr>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before="68" w:line="411" w:lineRule="auto"/>
              <w:ind w:left="134" w:right="104" w:hanging="20"/>
              <w:textAlignment w:val="baseline"/>
              <w:rPr>
                <w:rFonts w:hint="eastAsia" w:ascii="宋体" w:hAnsi="宋体" w:eastAsia="宋体" w:cs="宋体"/>
                <w:snapToGrid w:val="0"/>
                <w:color w:val="000000"/>
                <w:kern w:val="0"/>
                <w:sz w:val="20"/>
                <w:szCs w:val="21"/>
              </w:rPr>
            </w:pPr>
            <w:r>
              <w:rPr>
                <w:rFonts w:ascii="宋体" w:hAnsi="宋体" w:eastAsia="宋体" w:cs="宋体"/>
                <w:snapToGrid w:val="0"/>
                <w:color w:val="000000"/>
                <w:spacing w:val="5"/>
                <w:kern w:val="0"/>
                <w:sz w:val="20"/>
                <w:szCs w:val="21"/>
              </w:rPr>
              <w:t>所有商品必须满足</w:t>
            </w:r>
            <w:r>
              <w:rPr>
                <w:rFonts w:ascii="宋体" w:hAnsi="宋体" w:eastAsia="宋体" w:cs="宋体"/>
                <w:snapToGrid w:val="0"/>
                <w:color w:val="000000"/>
                <w:spacing w:val="3"/>
                <w:kern w:val="0"/>
                <w:sz w:val="20"/>
                <w:szCs w:val="21"/>
              </w:rPr>
              <w:t>国家和地方相关规</w:t>
            </w:r>
          </w:p>
          <w:p>
            <w:pPr>
              <w:widowControl/>
              <w:kinsoku w:val="0"/>
              <w:autoSpaceDE w:val="0"/>
              <w:autoSpaceDN w:val="0"/>
              <w:adjustRightInd w:val="0"/>
              <w:snapToGrid w:val="0"/>
              <w:spacing w:line="221" w:lineRule="auto"/>
              <w:ind w:left="119"/>
              <w:jc w:val="left"/>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kern w:val="0"/>
                <w:sz w:val="20"/>
                <w:szCs w:val="21"/>
                <w:lang w:eastAsia="en-US"/>
              </w:rPr>
              <w:t>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3" w:hRule="atLeast"/>
        </w:trPr>
        <w:tc>
          <w:tcPr>
            <w:tcW w:w="1491" w:type="dxa"/>
            <w:vMerge w:val="continue"/>
            <w:tcBorders>
              <w:top w:val="nil"/>
            </w:tcBorders>
          </w:tcPr>
          <w:p>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5806" w:type="dxa"/>
          </w:tcPr>
          <w:p>
            <w:pPr>
              <w:widowControl/>
              <w:kinsoku w:val="0"/>
              <w:autoSpaceDE w:val="0"/>
              <w:autoSpaceDN w:val="0"/>
              <w:adjustRightInd w:val="0"/>
              <w:snapToGrid w:val="0"/>
              <w:spacing w:before="129" w:line="411" w:lineRule="auto"/>
              <w:ind w:left="106" w:right="23" w:firstLine="4"/>
              <w:jc w:val="left"/>
              <w:textAlignment w:val="baseline"/>
              <w:rPr>
                <w:rFonts w:hint="eastAsia" w:ascii="宋体" w:hAnsi="宋体" w:eastAsia="宋体" w:cs="宋体"/>
                <w:snapToGrid w:val="0"/>
                <w:color w:val="000000"/>
                <w:kern w:val="0"/>
                <w:sz w:val="20"/>
                <w:szCs w:val="21"/>
              </w:rPr>
            </w:pPr>
            <w:r>
              <w:rPr>
                <w:rFonts w:ascii="宋体" w:hAnsi="宋体" w:eastAsia="宋体" w:cs="宋体"/>
                <w:snapToGrid w:val="0"/>
                <w:color w:val="000000"/>
                <w:spacing w:val="-4"/>
                <w:kern w:val="0"/>
                <w:sz w:val="20"/>
                <w:szCs w:val="21"/>
              </w:rPr>
              <w:t xml:space="preserve">牛肉：肉身必须盖有卫生检疫章，须出具加盖国家或地方政府 </w:t>
            </w:r>
            <w:r>
              <w:rPr>
                <w:rFonts w:ascii="宋体" w:hAnsi="宋体" w:eastAsia="宋体" w:cs="宋体"/>
                <w:snapToGrid w:val="0"/>
                <w:color w:val="000000"/>
                <w:spacing w:val="-8"/>
                <w:kern w:val="0"/>
                <w:sz w:val="20"/>
                <w:szCs w:val="21"/>
              </w:rPr>
              <w:t>监督所检疫章的动物检疫证明，肉品须色泽鲜亮、无任何异味、</w:t>
            </w:r>
          </w:p>
          <w:p>
            <w:pPr>
              <w:widowControl/>
              <w:kinsoku w:val="0"/>
              <w:autoSpaceDE w:val="0"/>
              <w:autoSpaceDN w:val="0"/>
              <w:adjustRightInd w:val="0"/>
              <w:snapToGrid w:val="0"/>
              <w:spacing w:line="220" w:lineRule="auto"/>
              <w:ind w:left="107"/>
              <w:jc w:val="left"/>
              <w:textAlignment w:val="baseline"/>
              <w:rPr>
                <w:rFonts w:hint="eastAsia" w:ascii="宋体" w:hAnsi="宋体" w:eastAsia="宋体" w:cs="宋体"/>
                <w:snapToGrid w:val="0"/>
                <w:color w:val="000000"/>
                <w:kern w:val="0"/>
                <w:sz w:val="20"/>
                <w:szCs w:val="21"/>
              </w:rPr>
            </w:pPr>
            <w:r>
              <w:rPr>
                <w:rFonts w:ascii="宋体" w:hAnsi="宋体" w:eastAsia="宋体" w:cs="宋体"/>
                <w:snapToGrid w:val="0"/>
                <w:color w:val="000000"/>
                <w:spacing w:val="-10"/>
                <w:kern w:val="0"/>
                <w:sz w:val="20"/>
                <w:szCs w:val="21"/>
              </w:rPr>
              <w:t>按压无水迹。纹理清晰， 肉质细腻， 品质好。</w:t>
            </w:r>
          </w:p>
          <w:p>
            <w:pPr>
              <w:widowControl/>
              <w:kinsoku w:val="0"/>
              <w:autoSpaceDE w:val="0"/>
              <w:autoSpaceDN w:val="0"/>
              <w:adjustRightInd w:val="0"/>
              <w:snapToGrid w:val="0"/>
              <w:spacing w:before="217" w:line="468" w:lineRule="exact"/>
              <w:ind w:left="106"/>
              <w:jc w:val="left"/>
              <w:textAlignment w:val="baseline"/>
              <w:rPr>
                <w:rFonts w:hint="eastAsia" w:ascii="宋体" w:hAnsi="宋体" w:eastAsia="宋体" w:cs="宋体"/>
                <w:snapToGrid w:val="0"/>
                <w:color w:val="000000"/>
                <w:kern w:val="0"/>
                <w:sz w:val="20"/>
                <w:szCs w:val="21"/>
              </w:rPr>
            </w:pPr>
            <w:r>
              <w:rPr>
                <w:rFonts w:ascii="宋体" w:hAnsi="宋体" w:eastAsia="宋体" w:cs="宋体"/>
                <w:snapToGrid w:val="0"/>
                <w:color w:val="000000"/>
                <w:spacing w:val="-6"/>
                <w:kern w:val="0"/>
                <w:position w:val="19"/>
                <w:sz w:val="20"/>
                <w:szCs w:val="21"/>
              </w:rPr>
              <w:t>其他肉品：必须符合食品安全国家最新标准，鲜（冻）畜、禽</w:t>
            </w:r>
          </w:p>
          <w:p>
            <w:pPr>
              <w:widowControl/>
              <w:kinsoku w:val="0"/>
              <w:autoSpaceDE w:val="0"/>
              <w:autoSpaceDN w:val="0"/>
              <w:adjustRightInd w:val="0"/>
              <w:snapToGrid w:val="0"/>
              <w:spacing w:line="220" w:lineRule="auto"/>
              <w:ind w:left="106"/>
              <w:jc w:val="left"/>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spacing w:val="-3"/>
                <w:kern w:val="0"/>
                <w:sz w:val="20"/>
                <w:szCs w:val="21"/>
                <w:lang w:eastAsia="en-US"/>
              </w:rPr>
              <w:t>产品质量要求。</w:t>
            </w:r>
          </w:p>
        </w:tc>
        <w:tc>
          <w:tcPr>
            <w:tcW w:w="1957" w:type="dxa"/>
            <w:vMerge w:val="continue"/>
            <w:tcBorders>
              <w:top w:val="nil"/>
              <w:bottom w:val="nil"/>
            </w:tcBorders>
          </w:tcPr>
          <w:p>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0" w:hRule="atLeast"/>
        </w:trPr>
        <w:tc>
          <w:tcPr>
            <w:tcW w:w="1491" w:type="dxa"/>
          </w:tcPr>
          <w:p>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before="68" w:line="221" w:lineRule="auto"/>
              <w:ind w:left="437"/>
              <w:jc w:val="left"/>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spacing w:val="-2"/>
                <w:kern w:val="0"/>
                <w:sz w:val="20"/>
                <w:szCs w:val="21"/>
                <w:lang w:eastAsia="en-US"/>
              </w:rPr>
              <w:t>蔬菜类</w:t>
            </w:r>
          </w:p>
        </w:tc>
        <w:tc>
          <w:tcPr>
            <w:tcW w:w="5806" w:type="dxa"/>
          </w:tcPr>
          <w:p>
            <w:pPr>
              <w:widowControl/>
              <w:kinsoku w:val="0"/>
              <w:autoSpaceDE w:val="0"/>
              <w:autoSpaceDN w:val="0"/>
              <w:adjustRightInd w:val="0"/>
              <w:snapToGrid w:val="0"/>
              <w:spacing w:before="132" w:line="411" w:lineRule="auto"/>
              <w:ind w:left="106" w:right="97" w:firstLine="12"/>
              <w:textAlignment w:val="baseline"/>
              <w:rPr>
                <w:rFonts w:hint="eastAsia" w:ascii="宋体" w:hAnsi="宋体" w:eastAsia="宋体" w:cs="宋体"/>
                <w:snapToGrid w:val="0"/>
                <w:color w:val="000000"/>
                <w:kern w:val="0"/>
                <w:sz w:val="20"/>
                <w:szCs w:val="21"/>
              </w:rPr>
            </w:pPr>
            <w:r>
              <w:rPr>
                <w:rFonts w:ascii="宋体" w:hAnsi="宋体" w:eastAsia="宋体" w:cs="宋体"/>
                <w:snapToGrid w:val="0"/>
                <w:color w:val="000000"/>
                <w:spacing w:val="4"/>
                <w:kern w:val="0"/>
                <w:sz w:val="20"/>
                <w:szCs w:val="21"/>
              </w:rPr>
              <w:t>当季各类新鲜蔬菜以及大棚种植蔬菜，蔬菜类必须保证无黄</w:t>
            </w:r>
            <w:r>
              <w:rPr>
                <w:rFonts w:ascii="宋体" w:hAnsi="宋体" w:eastAsia="宋体" w:cs="宋体"/>
                <w:snapToGrid w:val="0"/>
                <w:color w:val="000000"/>
                <w:spacing w:val="-6"/>
                <w:kern w:val="0"/>
                <w:sz w:val="20"/>
                <w:szCs w:val="21"/>
              </w:rPr>
              <w:t>叶、枯死叶、无虫、无杂质异物，须 48小时内采摘供应， 须</w:t>
            </w:r>
            <w:r>
              <w:rPr>
                <w:rFonts w:ascii="宋体" w:hAnsi="宋体" w:eastAsia="宋体" w:cs="宋体"/>
                <w:snapToGrid w:val="0"/>
                <w:color w:val="000000"/>
                <w:spacing w:val="-3"/>
                <w:kern w:val="0"/>
                <w:sz w:val="20"/>
                <w:szCs w:val="21"/>
              </w:rPr>
              <w:t>保证菜面干净、无泥土、码放整齐、无破损、大小统一、</w:t>
            </w:r>
            <w:r>
              <w:rPr>
                <w:rFonts w:ascii="宋体" w:hAnsi="宋体" w:eastAsia="宋体" w:cs="宋体"/>
                <w:snapToGrid w:val="0"/>
                <w:color w:val="000000"/>
                <w:spacing w:val="-4"/>
                <w:kern w:val="0"/>
                <w:sz w:val="20"/>
                <w:szCs w:val="21"/>
              </w:rPr>
              <w:t>不得</w:t>
            </w:r>
            <w:r>
              <w:rPr>
                <w:rFonts w:ascii="宋体" w:hAnsi="宋体" w:eastAsia="宋体" w:cs="宋体"/>
                <w:snapToGrid w:val="0"/>
                <w:color w:val="000000"/>
                <w:spacing w:val="-3"/>
                <w:kern w:val="0"/>
                <w:sz w:val="20"/>
                <w:szCs w:val="21"/>
              </w:rPr>
              <w:t>过熟或欠熟；净菜须保证菜面完全洁净（如使用洗涤剂须达标的食品级）、按统一标准加工、码放整齐、无须二次处理可以</w:t>
            </w:r>
            <w:r>
              <w:rPr>
                <w:rFonts w:ascii="宋体" w:hAnsi="宋体" w:eastAsia="宋体" w:cs="宋体"/>
                <w:snapToGrid w:val="0"/>
                <w:color w:val="000000"/>
                <w:spacing w:val="-1"/>
                <w:kern w:val="0"/>
                <w:sz w:val="20"/>
                <w:szCs w:val="21"/>
              </w:rPr>
              <w:t>直接进行熟加工。</w:t>
            </w:r>
          </w:p>
        </w:tc>
        <w:tc>
          <w:tcPr>
            <w:tcW w:w="1957" w:type="dxa"/>
            <w:vMerge w:val="continue"/>
            <w:tcBorders>
              <w:top w:val="nil"/>
              <w:bottom w:val="nil"/>
            </w:tcBorders>
          </w:tcPr>
          <w:p>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491" w:type="dxa"/>
          </w:tcPr>
          <w:p>
            <w:pPr>
              <w:widowControl/>
              <w:kinsoku w:val="0"/>
              <w:autoSpaceDE w:val="0"/>
              <w:autoSpaceDN w:val="0"/>
              <w:adjustRightInd w:val="0"/>
              <w:snapToGrid w:val="0"/>
              <w:spacing w:line="298"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before="68" w:line="221" w:lineRule="auto"/>
              <w:ind w:left="537"/>
              <w:jc w:val="left"/>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spacing w:val="-2"/>
                <w:kern w:val="0"/>
                <w:sz w:val="20"/>
                <w:szCs w:val="21"/>
                <w:lang w:eastAsia="en-US"/>
              </w:rPr>
              <w:t>鸡蛋</w:t>
            </w:r>
          </w:p>
        </w:tc>
        <w:tc>
          <w:tcPr>
            <w:tcW w:w="5806" w:type="dxa"/>
          </w:tcPr>
          <w:p>
            <w:pPr>
              <w:widowControl/>
              <w:kinsoku w:val="0"/>
              <w:autoSpaceDE w:val="0"/>
              <w:autoSpaceDN w:val="0"/>
              <w:adjustRightInd w:val="0"/>
              <w:snapToGrid w:val="0"/>
              <w:spacing w:before="133" w:line="468" w:lineRule="exact"/>
              <w:ind w:left="106"/>
              <w:jc w:val="left"/>
              <w:textAlignment w:val="baseline"/>
              <w:rPr>
                <w:rFonts w:hint="eastAsia" w:ascii="宋体" w:hAnsi="宋体" w:eastAsia="宋体" w:cs="宋体"/>
                <w:snapToGrid w:val="0"/>
                <w:color w:val="000000"/>
                <w:kern w:val="0"/>
                <w:sz w:val="20"/>
                <w:szCs w:val="21"/>
              </w:rPr>
            </w:pPr>
            <w:r>
              <w:rPr>
                <w:rFonts w:ascii="宋体" w:hAnsi="宋体" w:eastAsia="宋体" w:cs="宋体"/>
                <w:snapToGrid w:val="0"/>
                <w:color w:val="000000"/>
                <w:spacing w:val="-7"/>
                <w:kern w:val="0"/>
                <w:position w:val="19"/>
                <w:sz w:val="20"/>
                <w:szCs w:val="21"/>
              </w:rPr>
              <w:t>鲜新、大小均匀、无破损、色泽光滑， 须出具加盖地方政府监</w:t>
            </w:r>
          </w:p>
          <w:p>
            <w:pPr>
              <w:widowControl/>
              <w:kinsoku w:val="0"/>
              <w:autoSpaceDE w:val="0"/>
              <w:autoSpaceDN w:val="0"/>
              <w:adjustRightInd w:val="0"/>
              <w:snapToGrid w:val="0"/>
              <w:spacing w:line="219" w:lineRule="auto"/>
              <w:ind w:left="110"/>
              <w:jc w:val="left"/>
              <w:textAlignment w:val="baseline"/>
              <w:rPr>
                <w:rFonts w:hint="eastAsia" w:ascii="宋体" w:hAnsi="宋体" w:eastAsia="宋体" w:cs="宋体"/>
                <w:snapToGrid w:val="0"/>
                <w:color w:val="000000"/>
                <w:kern w:val="0"/>
                <w:sz w:val="20"/>
                <w:szCs w:val="21"/>
              </w:rPr>
            </w:pPr>
            <w:r>
              <w:rPr>
                <w:rFonts w:ascii="宋体" w:hAnsi="宋体" w:eastAsia="宋体" w:cs="宋体"/>
                <w:snapToGrid w:val="0"/>
                <w:color w:val="000000"/>
                <w:spacing w:val="-2"/>
                <w:kern w:val="0"/>
                <w:sz w:val="20"/>
                <w:szCs w:val="21"/>
              </w:rPr>
              <w:t>督所检疫章的动物检疫证明。</w:t>
            </w:r>
          </w:p>
        </w:tc>
        <w:tc>
          <w:tcPr>
            <w:tcW w:w="1957" w:type="dxa"/>
            <w:vMerge w:val="continue"/>
            <w:tcBorders>
              <w:top w:val="nil"/>
              <w:bottom w:val="nil"/>
            </w:tcBorders>
          </w:tcPr>
          <w:p>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7" w:hRule="atLeast"/>
        </w:trPr>
        <w:tc>
          <w:tcPr>
            <w:tcW w:w="1491" w:type="dxa"/>
          </w:tcPr>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before="68" w:line="221" w:lineRule="auto"/>
              <w:ind w:left="433"/>
              <w:jc w:val="left"/>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spacing w:val="-2"/>
                <w:kern w:val="0"/>
                <w:sz w:val="20"/>
                <w:szCs w:val="21"/>
                <w:lang w:eastAsia="en-US"/>
              </w:rPr>
              <w:t>豆制品</w:t>
            </w:r>
          </w:p>
        </w:tc>
        <w:tc>
          <w:tcPr>
            <w:tcW w:w="5806" w:type="dxa"/>
          </w:tcPr>
          <w:p>
            <w:pPr>
              <w:widowControl/>
              <w:kinsoku w:val="0"/>
              <w:autoSpaceDE w:val="0"/>
              <w:autoSpaceDN w:val="0"/>
              <w:adjustRightInd w:val="0"/>
              <w:snapToGrid w:val="0"/>
              <w:spacing w:before="137" w:line="411" w:lineRule="auto"/>
              <w:ind w:left="108" w:right="52" w:hanging="2"/>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spacing w:val="-1"/>
                <w:kern w:val="0"/>
                <w:sz w:val="20"/>
                <w:szCs w:val="21"/>
              </w:rPr>
              <w:t>豆腐、豆腐干、绿豆芽、黄豆芽、红豆等；</w:t>
            </w:r>
            <w:r>
              <w:rPr>
                <w:rFonts w:ascii="宋体" w:hAnsi="宋体" w:eastAsia="宋体" w:cs="宋体"/>
                <w:snapToGrid w:val="0"/>
                <w:color w:val="000000"/>
                <w:spacing w:val="-2"/>
                <w:kern w:val="0"/>
                <w:sz w:val="20"/>
                <w:szCs w:val="21"/>
              </w:rPr>
              <w:t>须保证食材干净、</w:t>
            </w:r>
            <w:r>
              <w:rPr>
                <w:rFonts w:ascii="宋体" w:hAnsi="宋体" w:eastAsia="宋体" w:cs="宋体"/>
                <w:snapToGrid w:val="0"/>
                <w:color w:val="000000"/>
                <w:spacing w:val="-3"/>
                <w:kern w:val="0"/>
                <w:sz w:val="20"/>
                <w:szCs w:val="21"/>
              </w:rPr>
              <w:t>不含非食品用化学物质、按统一标准加工、码放整齐</w:t>
            </w:r>
            <w:r>
              <w:rPr>
                <w:rFonts w:ascii="宋体" w:hAnsi="宋体" w:eastAsia="宋体" w:cs="宋体"/>
                <w:snapToGrid w:val="0"/>
                <w:color w:val="000000"/>
                <w:spacing w:val="-4"/>
                <w:kern w:val="0"/>
                <w:sz w:val="20"/>
                <w:szCs w:val="21"/>
              </w:rPr>
              <w:t>、无须二</w:t>
            </w:r>
            <w:r>
              <w:rPr>
                <w:rFonts w:ascii="宋体" w:hAnsi="宋体" w:eastAsia="宋体" w:cs="宋体"/>
                <w:snapToGrid w:val="0"/>
                <w:color w:val="000000"/>
                <w:spacing w:val="-6"/>
                <w:kern w:val="0"/>
                <w:sz w:val="20"/>
                <w:szCs w:val="21"/>
              </w:rPr>
              <w:t>次处理可以直接进行熟加工。</w:t>
            </w:r>
            <w:r>
              <w:rPr>
                <w:rFonts w:ascii="宋体" w:hAnsi="宋体" w:eastAsia="宋体" w:cs="宋体"/>
                <w:snapToGrid w:val="0"/>
                <w:color w:val="000000"/>
                <w:spacing w:val="-6"/>
                <w:kern w:val="0"/>
                <w:sz w:val="20"/>
                <w:szCs w:val="21"/>
                <w:lang w:eastAsia="en-US"/>
              </w:rPr>
              <w:t>（参考品牌：祖名、维扬等同品</w:t>
            </w:r>
          </w:p>
          <w:p>
            <w:pPr>
              <w:widowControl/>
              <w:kinsoku w:val="0"/>
              <w:autoSpaceDE w:val="0"/>
              <w:autoSpaceDN w:val="0"/>
              <w:adjustRightInd w:val="0"/>
              <w:snapToGrid w:val="0"/>
              <w:spacing w:line="220" w:lineRule="auto"/>
              <w:ind w:left="106"/>
              <w:jc w:val="left"/>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spacing w:val="-2"/>
                <w:kern w:val="0"/>
                <w:sz w:val="20"/>
                <w:szCs w:val="21"/>
                <w:lang w:eastAsia="en-US"/>
              </w:rPr>
              <w:t>质品牌）</w:t>
            </w:r>
          </w:p>
        </w:tc>
        <w:tc>
          <w:tcPr>
            <w:tcW w:w="1957" w:type="dxa"/>
            <w:vMerge w:val="continue"/>
            <w:tcBorders>
              <w:top w:val="nil"/>
              <w:bottom w:val="nil"/>
            </w:tcBorders>
          </w:tcPr>
          <w:p>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91" w:type="dxa"/>
          </w:tcPr>
          <w:p>
            <w:pPr>
              <w:widowControl/>
              <w:kinsoku w:val="0"/>
              <w:autoSpaceDE w:val="0"/>
              <w:autoSpaceDN w:val="0"/>
              <w:adjustRightInd w:val="0"/>
              <w:snapToGrid w:val="0"/>
              <w:spacing w:before="134" w:line="221" w:lineRule="auto"/>
              <w:ind w:left="541"/>
              <w:jc w:val="left"/>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spacing w:val="-3"/>
                <w:kern w:val="0"/>
                <w:sz w:val="20"/>
                <w:szCs w:val="21"/>
                <w:lang w:eastAsia="en-US"/>
              </w:rPr>
              <w:t>水果</w:t>
            </w:r>
          </w:p>
        </w:tc>
        <w:tc>
          <w:tcPr>
            <w:tcW w:w="5806" w:type="dxa"/>
          </w:tcPr>
          <w:p>
            <w:pPr>
              <w:widowControl/>
              <w:kinsoku w:val="0"/>
              <w:autoSpaceDE w:val="0"/>
              <w:autoSpaceDN w:val="0"/>
              <w:adjustRightInd w:val="0"/>
              <w:snapToGrid w:val="0"/>
              <w:spacing w:before="135" w:line="220" w:lineRule="auto"/>
              <w:ind w:left="119"/>
              <w:jc w:val="left"/>
              <w:textAlignment w:val="baseline"/>
              <w:rPr>
                <w:rFonts w:hint="eastAsia" w:ascii="宋体" w:hAnsi="宋体" w:eastAsia="宋体" w:cs="宋体"/>
                <w:snapToGrid w:val="0"/>
                <w:color w:val="000000"/>
                <w:kern w:val="0"/>
                <w:sz w:val="20"/>
                <w:szCs w:val="21"/>
              </w:rPr>
            </w:pPr>
            <w:r>
              <w:rPr>
                <w:rFonts w:ascii="宋体" w:hAnsi="宋体" w:eastAsia="宋体" w:cs="宋体"/>
                <w:snapToGrid w:val="0"/>
                <w:color w:val="000000"/>
                <w:spacing w:val="-9"/>
                <w:kern w:val="0"/>
                <w:sz w:val="20"/>
                <w:szCs w:val="21"/>
              </w:rPr>
              <w:t>当季各类水果， 无虫、无杂质， 须48小时内采摘供应，原水</w:t>
            </w:r>
          </w:p>
        </w:tc>
        <w:tc>
          <w:tcPr>
            <w:tcW w:w="1957" w:type="dxa"/>
            <w:vMerge w:val="continue"/>
            <w:tcBorders>
              <w:top w:val="nil"/>
            </w:tcBorders>
          </w:tcPr>
          <w:p>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491" w:type="dxa"/>
          </w:tcPr>
          <w:p>
            <w:pPr>
              <w:rPr>
                <w:rFonts w:ascii="Arial" w:hAnsi="Arial" w:cs="Arial"/>
                <w:kern w:val="0"/>
                <w:sz w:val="20"/>
                <w:szCs w:val="20"/>
              </w:rPr>
            </w:pPr>
          </w:p>
        </w:tc>
        <w:tc>
          <w:tcPr>
            <w:tcW w:w="5806" w:type="dxa"/>
          </w:tcPr>
          <w:p>
            <w:pPr>
              <w:pStyle w:val="78"/>
              <w:spacing w:before="132" w:line="468" w:lineRule="exact"/>
              <w:rPr>
                <w:rFonts w:hint="eastAsia"/>
                <w:sz w:val="20"/>
                <w:lang w:eastAsia="zh-CN"/>
              </w:rPr>
            </w:pPr>
            <w:r>
              <w:rPr>
                <w:spacing w:val="-3"/>
                <w:position w:val="19"/>
                <w:sz w:val="20"/>
                <w:lang w:eastAsia="zh-CN"/>
              </w:rPr>
              <w:t>果须保证果面干净、无明显泥土、码放整齐、无破损、</w:t>
            </w:r>
            <w:r>
              <w:rPr>
                <w:spacing w:val="-4"/>
                <w:position w:val="19"/>
                <w:sz w:val="20"/>
                <w:lang w:eastAsia="zh-CN"/>
              </w:rPr>
              <w:t>大小基</w:t>
            </w:r>
          </w:p>
          <w:p>
            <w:pPr>
              <w:pStyle w:val="78"/>
              <w:spacing w:line="219" w:lineRule="auto"/>
              <w:ind w:left="106"/>
              <w:rPr>
                <w:rFonts w:hint="eastAsia"/>
                <w:sz w:val="20"/>
                <w:lang w:eastAsia="zh-CN"/>
              </w:rPr>
            </w:pPr>
            <w:r>
              <w:rPr>
                <w:spacing w:val="-1"/>
                <w:sz w:val="20"/>
                <w:lang w:eastAsia="zh-CN"/>
              </w:rPr>
              <w:t>本统一、不得过熟或欠熟。</w:t>
            </w:r>
          </w:p>
        </w:tc>
        <w:tc>
          <w:tcPr>
            <w:tcW w:w="1957" w:type="dxa"/>
            <w:vMerge w:val="restart"/>
            <w:tcBorders>
              <w:bottom w:val="nil"/>
            </w:tcBorders>
          </w:tcPr>
          <w:p>
            <w:pPr>
              <w:rPr>
                <w:rFonts w:ascii="Arial" w:hAnsi="Arial" w:cs="Arial"/>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trPr>
        <w:tc>
          <w:tcPr>
            <w:tcW w:w="1491" w:type="dxa"/>
          </w:tcPr>
          <w:p>
            <w:pPr>
              <w:spacing w:line="261" w:lineRule="auto"/>
              <w:rPr>
                <w:rFonts w:ascii="Arial" w:hAnsi="Arial" w:cs="Arial"/>
                <w:kern w:val="0"/>
                <w:sz w:val="20"/>
                <w:szCs w:val="20"/>
              </w:rPr>
            </w:pPr>
          </w:p>
          <w:p>
            <w:pPr>
              <w:spacing w:line="261" w:lineRule="auto"/>
              <w:rPr>
                <w:rFonts w:ascii="Arial" w:hAnsi="Arial" w:cs="Arial"/>
                <w:kern w:val="0"/>
                <w:sz w:val="20"/>
                <w:szCs w:val="20"/>
              </w:rPr>
            </w:pPr>
          </w:p>
          <w:p>
            <w:pPr>
              <w:pStyle w:val="78"/>
              <w:spacing w:before="68" w:line="221" w:lineRule="auto"/>
              <w:ind w:left="327"/>
              <w:rPr>
                <w:rFonts w:hint="eastAsia"/>
                <w:sz w:val="20"/>
              </w:rPr>
            </w:pPr>
            <w:r>
              <w:rPr>
                <w:spacing w:val="-2"/>
                <w:sz w:val="20"/>
              </w:rPr>
              <w:t>米线面条</w:t>
            </w:r>
          </w:p>
        </w:tc>
        <w:tc>
          <w:tcPr>
            <w:tcW w:w="5806" w:type="dxa"/>
          </w:tcPr>
          <w:p>
            <w:pPr>
              <w:pStyle w:val="78"/>
              <w:spacing w:before="127" w:line="411" w:lineRule="auto"/>
              <w:ind w:left="106" w:right="69"/>
              <w:jc w:val="both"/>
              <w:rPr>
                <w:rFonts w:hint="eastAsia"/>
                <w:sz w:val="20"/>
                <w:lang w:eastAsia="zh-CN"/>
              </w:rPr>
            </w:pPr>
            <w:r>
              <w:rPr>
                <w:spacing w:val="-8"/>
                <w:sz w:val="20"/>
                <w:lang w:eastAsia="zh-CN"/>
              </w:rPr>
              <w:t>米线、鲜面条、干面条、饵丝；要求原材料不含</w:t>
            </w:r>
            <w:r>
              <w:rPr>
                <w:spacing w:val="-9"/>
                <w:sz w:val="20"/>
                <w:lang w:eastAsia="zh-CN"/>
              </w:rPr>
              <w:t>非食品用化学</w:t>
            </w:r>
            <w:r>
              <w:rPr>
                <w:spacing w:val="-2"/>
                <w:sz w:val="20"/>
                <w:lang w:eastAsia="zh-CN"/>
              </w:rPr>
              <w:t>物质、不掺假、不过期、不变质、不变味、无杂质、无毒害，</w:t>
            </w:r>
          </w:p>
          <w:p>
            <w:pPr>
              <w:pStyle w:val="78"/>
              <w:spacing w:line="220" w:lineRule="auto"/>
              <w:ind w:left="107"/>
              <w:rPr>
                <w:rFonts w:hint="eastAsia"/>
                <w:sz w:val="20"/>
                <w:lang w:eastAsia="zh-CN"/>
              </w:rPr>
            </w:pPr>
            <w:r>
              <w:rPr>
                <w:spacing w:val="-1"/>
                <w:sz w:val="20"/>
                <w:lang w:eastAsia="zh-CN"/>
              </w:rPr>
              <w:t>符合国家食品行业的标准。</w:t>
            </w:r>
          </w:p>
        </w:tc>
        <w:tc>
          <w:tcPr>
            <w:tcW w:w="1957" w:type="dxa"/>
            <w:vMerge w:val="continue"/>
            <w:tcBorders>
              <w:top w:val="nil"/>
              <w:bottom w:val="nil"/>
            </w:tcBorders>
          </w:tcPr>
          <w:p>
            <w:pPr>
              <w:rPr>
                <w:rFonts w:ascii="Arial" w:hAnsi="Arial" w:cs="Arial"/>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6" w:hRule="atLeast"/>
        </w:trPr>
        <w:tc>
          <w:tcPr>
            <w:tcW w:w="1491" w:type="dxa"/>
          </w:tcPr>
          <w:p>
            <w:pPr>
              <w:spacing w:line="247" w:lineRule="auto"/>
              <w:rPr>
                <w:rFonts w:ascii="Arial" w:hAnsi="Arial" w:cs="Arial"/>
                <w:kern w:val="0"/>
                <w:sz w:val="20"/>
                <w:szCs w:val="20"/>
              </w:rPr>
            </w:pPr>
          </w:p>
          <w:p>
            <w:pPr>
              <w:spacing w:line="248" w:lineRule="auto"/>
              <w:rPr>
                <w:rFonts w:ascii="Arial" w:hAnsi="Arial" w:cs="Arial"/>
                <w:kern w:val="0"/>
                <w:sz w:val="20"/>
                <w:szCs w:val="20"/>
              </w:rPr>
            </w:pPr>
          </w:p>
          <w:p>
            <w:pPr>
              <w:spacing w:line="248" w:lineRule="auto"/>
              <w:rPr>
                <w:rFonts w:ascii="Arial" w:hAnsi="Arial" w:cs="Arial"/>
                <w:kern w:val="0"/>
                <w:sz w:val="20"/>
                <w:szCs w:val="20"/>
              </w:rPr>
            </w:pPr>
          </w:p>
          <w:p>
            <w:pPr>
              <w:spacing w:line="248" w:lineRule="auto"/>
              <w:rPr>
                <w:rFonts w:ascii="Arial" w:hAnsi="Arial" w:cs="Arial"/>
                <w:kern w:val="0"/>
                <w:sz w:val="20"/>
                <w:szCs w:val="20"/>
              </w:rPr>
            </w:pPr>
          </w:p>
          <w:p>
            <w:pPr>
              <w:pStyle w:val="78"/>
              <w:spacing w:before="68" w:line="221" w:lineRule="auto"/>
              <w:ind w:left="541"/>
              <w:rPr>
                <w:rFonts w:hint="eastAsia"/>
                <w:sz w:val="20"/>
              </w:rPr>
            </w:pPr>
            <w:r>
              <w:rPr>
                <w:spacing w:val="-3"/>
                <w:sz w:val="20"/>
              </w:rPr>
              <w:t>大米</w:t>
            </w:r>
          </w:p>
        </w:tc>
        <w:tc>
          <w:tcPr>
            <w:tcW w:w="5806" w:type="dxa"/>
          </w:tcPr>
          <w:p>
            <w:pPr>
              <w:pStyle w:val="78"/>
              <w:spacing w:before="128" w:line="412" w:lineRule="auto"/>
              <w:ind w:left="106" w:right="97" w:firstLine="1"/>
              <w:rPr>
                <w:rFonts w:hint="eastAsia"/>
                <w:sz w:val="20"/>
                <w:lang w:eastAsia="zh-CN"/>
              </w:rPr>
            </w:pPr>
            <w:r>
              <w:rPr>
                <w:spacing w:val="-6"/>
                <w:sz w:val="20"/>
                <w:lang w:eastAsia="zh-CN"/>
              </w:rPr>
              <w:t>大米须达国家1354—86特二级标准， 水分含量在12°</w:t>
            </w:r>
            <w:r>
              <w:rPr>
                <w:spacing w:val="-7"/>
                <w:sz w:val="20"/>
                <w:lang w:eastAsia="zh-CN"/>
              </w:rPr>
              <w:t>以下，</w:t>
            </w:r>
            <w:r>
              <w:rPr>
                <w:spacing w:val="-10"/>
                <w:sz w:val="20"/>
                <w:lang w:eastAsia="zh-CN"/>
              </w:rPr>
              <w:t>无掺杂、无沙石， 碎米少，无黄粒米； 大米包装袋上印有大米</w:t>
            </w:r>
            <w:r>
              <w:rPr>
                <w:spacing w:val="-3"/>
                <w:sz w:val="20"/>
                <w:lang w:eastAsia="zh-CN"/>
              </w:rPr>
              <w:t>品名、等级、数量、出厂名、厂家地址及其电话，生产日期不</w:t>
            </w:r>
            <w:r>
              <w:rPr>
                <w:spacing w:val="-11"/>
                <w:sz w:val="20"/>
                <w:lang w:eastAsia="zh-CN"/>
              </w:rPr>
              <w:t>得大于三个月，同时出具出厂证明及检测报告。（参考品牌:</w:t>
            </w:r>
            <w:r>
              <w:rPr>
                <w:spacing w:val="-2"/>
                <w:sz w:val="20"/>
                <w:lang w:eastAsia="zh-CN"/>
              </w:rPr>
              <w:t>金龙鱼、</w:t>
            </w:r>
            <w:r>
              <w:rPr>
                <w:rFonts w:hint="eastAsia"/>
                <w:spacing w:val="-2"/>
                <w:sz w:val="20"/>
                <w:lang w:eastAsia="zh-CN"/>
              </w:rPr>
              <w:t>高邮</w:t>
            </w:r>
            <w:r>
              <w:rPr>
                <w:spacing w:val="-2"/>
                <w:sz w:val="20"/>
                <w:lang w:eastAsia="zh-CN"/>
              </w:rPr>
              <w:t>玉兔等同品质品牌）</w:t>
            </w:r>
          </w:p>
        </w:tc>
        <w:tc>
          <w:tcPr>
            <w:tcW w:w="1957" w:type="dxa"/>
            <w:vMerge w:val="continue"/>
            <w:tcBorders>
              <w:top w:val="nil"/>
              <w:bottom w:val="nil"/>
            </w:tcBorders>
          </w:tcPr>
          <w:p>
            <w:pPr>
              <w:rPr>
                <w:rFonts w:ascii="Arial" w:hAnsi="Arial" w:cs="Arial"/>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3" w:hRule="atLeast"/>
        </w:trPr>
        <w:tc>
          <w:tcPr>
            <w:tcW w:w="1491" w:type="dxa"/>
          </w:tcPr>
          <w:p>
            <w:pPr>
              <w:spacing w:line="252" w:lineRule="auto"/>
              <w:rPr>
                <w:rFonts w:ascii="Arial" w:hAnsi="Arial" w:cs="Arial"/>
                <w:kern w:val="0"/>
                <w:sz w:val="20"/>
                <w:szCs w:val="20"/>
              </w:rPr>
            </w:pPr>
          </w:p>
          <w:p>
            <w:pPr>
              <w:spacing w:line="252" w:lineRule="auto"/>
              <w:rPr>
                <w:rFonts w:ascii="Arial" w:hAnsi="Arial" w:cs="Arial"/>
                <w:kern w:val="0"/>
                <w:sz w:val="20"/>
                <w:szCs w:val="20"/>
              </w:rPr>
            </w:pPr>
          </w:p>
          <w:p>
            <w:pPr>
              <w:spacing w:line="253" w:lineRule="auto"/>
              <w:rPr>
                <w:rFonts w:ascii="Arial" w:hAnsi="Arial" w:cs="Arial"/>
                <w:kern w:val="0"/>
                <w:sz w:val="20"/>
                <w:szCs w:val="20"/>
              </w:rPr>
            </w:pPr>
          </w:p>
          <w:p>
            <w:pPr>
              <w:pStyle w:val="78"/>
              <w:spacing w:before="68" w:line="468" w:lineRule="exact"/>
              <w:ind w:left="119"/>
              <w:rPr>
                <w:rFonts w:hint="eastAsia"/>
                <w:sz w:val="20"/>
              </w:rPr>
            </w:pPr>
            <w:r>
              <w:rPr>
                <w:spacing w:val="-1"/>
                <w:position w:val="19"/>
                <w:sz w:val="20"/>
              </w:rPr>
              <w:t>面粉（含面粉</w:t>
            </w:r>
          </w:p>
          <w:p>
            <w:pPr>
              <w:pStyle w:val="78"/>
              <w:spacing w:line="221" w:lineRule="auto"/>
              <w:ind w:left="433"/>
              <w:rPr>
                <w:rFonts w:hint="eastAsia"/>
                <w:sz w:val="20"/>
              </w:rPr>
            </w:pPr>
            <w:r>
              <w:rPr>
                <w:spacing w:val="-5"/>
                <w:sz w:val="20"/>
              </w:rPr>
              <w:t>配料）</w:t>
            </w:r>
          </w:p>
        </w:tc>
        <w:tc>
          <w:tcPr>
            <w:tcW w:w="5806" w:type="dxa"/>
          </w:tcPr>
          <w:p>
            <w:pPr>
              <w:pStyle w:val="78"/>
              <w:spacing w:before="131" w:line="411" w:lineRule="auto"/>
              <w:ind w:left="104" w:right="98" w:firstLine="7"/>
              <w:rPr>
                <w:rFonts w:hint="eastAsia"/>
                <w:sz w:val="20"/>
                <w:lang w:eastAsia="zh-CN"/>
              </w:rPr>
            </w:pPr>
            <w:r>
              <w:rPr>
                <w:spacing w:val="3"/>
                <w:sz w:val="20"/>
                <w:lang w:eastAsia="zh-CN"/>
              </w:rPr>
              <w:t xml:space="preserve">高筋面粉达 </w:t>
            </w:r>
            <w:r>
              <w:rPr>
                <w:sz w:val="20"/>
                <w:lang w:eastAsia="zh-CN"/>
              </w:rPr>
              <w:t>GB</w:t>
            </w:r>
            <w:r>
              <w:rPr>
                <w:spacing w:val="3"/>
                <w:sz w:val="20"/>
                <w:lang w:eastAsia="zh-CN"/>
              </w:rPr>
              <w:t>8607国家标准，质量等级一级；低筋面粉达</w:t>
            </w:r>
            <w:r>
              <w:rPr>
                <w:spacing w:val="-5"/>
                <w:sz w:val="20"/>
                <w:lang w:eastAsia="zh-CN"/>
              </w:rPr>
              <w:t>Q/JHMF01标准，质量等级一级；低筋面粉达Q/JHMF01标准，质量等级一级；色泽正常，干爽无异味；按进货量抽查20%,</w:t>
            </w:r>
            <w:r>
              <w:rPr>
                <w:spacing w:val="-3"/>
                <w:sz w:val="20"/>
                <w:lang w:eastAsia="zh-CN"/>
              </w:rPr>
              <w:t>数量按抽查验收实数为准；包装袋上有注册商标及QS标注，</w:t>
            </w:r>
            <w:r>
              <w:rPr>
                <w:spacing w:val="-2"/>
                <w:sz w:val="20"/>
                <w:lang w:eastAsia="zh-CN"/>
              </w:rPr>
              <w:t>有检验合格证、生产日期和保质期。</w:t>
            </w:r>
          </w:p>
        </w:tc>
        <w:tc>
          <w:tcPr>
            <w:tcW w:w="1957" w:type="dxa"/>
            <w:vMerge w:val="continue"/>
            <w:tcBorders>
              <w:top w:val="nil"/>
              <w:bottom w:val="nil"/>
            </w:tcBorders>
          </w:tcPr>
          <w:p>
            <w:pPr>
              <w:rPr>
                <w:rFonts w:ascii="Arial" w:hAnsi="Arial" w:cs="Arial"/>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1491" w:type="dxa"/>
          </w:tcPr>
          <w:p>
            <w:pPr>
              <w:spacing w:line="296" w:lineRule="auto"/>
              <w:rPr>
                <w:rFonts w:ascii="Arial" w:hAnsi="Arial" w:cs="Arial"/>
                <w:kern w:val="0"/>
                <w:sz w:val="20"/>
                <w:szCs w:val="20"/>
              </w:rPr>
            </w:pPr>
          </w:p>
          <w:p>
            <w:pPr>
              <w:pStyle w:val="78"/>
              <w:spacing w:before="68" w:line="221" w:lineRule="auto"/>
              <w:ind w:left="433"/>
              <w:rPr>
                <w:rFonts w:hint="eastAsia"/>
                <w:sz w:val="20"/>
              </w:rPr>
            </w:pPr>
            <w:r>
              <w:rPr>
                <w:spacing w:val="-2"/>
                <w:sz w:val="20"/>
              </w:rPr>
              <w:t>食用油</w:t>
            </w:r>
          </w:p>
          <w:p>
            <w:pPr>
              <w:pStyle w:val="78"/>
              <w:spacing w:before="216" w:line="221" w:lineRule="auto"/>
              <w:ind w:left="125"/>
              <w:rPr>
                <w:rFonts w:hint="eastAsia"/>
                <w:sz w:val="20"/>
              </w:rPr>
            </w:pPr>
            <w:r>
              <w:rPr>
                <w:spacing w:val="-2"/>
                <w:sz w:val="20"/>
              </w:rPr>
              <w:t>（非转基因）</w:t>
            </w:r>
          </w:p>
        </w:tc>
        <w:tc>
          <w:tcPr>
            <w:tcW w:w="5806" w:type="dxa"/>
          </w:tcPr>
          <w:p>
            <w:pPr>
              <w:pStyle w:val="78"/>
              <w:spacing w:before="131" w:line="411" w:lineRule="auto"/>
              <w:ind w:left="106" w:right="98" w:firstLine="1"/>
              <w:jc w:val="both"/>
              <w:rPr>
                <w:rFonts w:hint="eastAsia"/>
                <w:sz w:val="20"/>
                <w:lang w:eastAsia="zh-CN"/>
              </w:rPr>
            </w:pPr>
            <w:r>
              <w:rPr>
                <w:spacing w:val="1"/>
                <w:sz w:val="20"/>
                <w:lang w:eastAsia="zh-CN"/>
              </w:rPr>
              <w:t xml:space="preserve">按国家食用调和油质量标准 </w:t>
            </w:r>
            <w:r>
              <w:rPr>
                <w:sz w:val="20"/>
                <w:lang w:eastAsia="zh-CN"/>
              </w:rPr>
              <w:t>GB</w:t>
            </w:r>
            <w:r>
              <w:rPr>
                <w:spacing w:val="1"/>
                <w:sz w:val="20"/>
                <w:lang w:eastAsia="zh-CN"/>
              </w:rPr>
              <w:t>1535，质量等级一</w:t>
            </w:r>
            <w:r>
              <w:rPr>
                <w:sz w:val="20"/>
                <w:lang w:eastAsia="zh-CN"/>
              </w:rPr>
              <w:t xml:space="preserve">级；有合格 </w:t>
            </w:r>
            <w:r>
              <w:rPr>
                <w:spacing w:val="-8"/>
                <w:sz w:val="20"/>
                <w:lang w:eastAsia="zh-CN"/>
              </w:rPr>
              <w:t>检疫报告，外观的色泽、透明度、气味滋味等无异常；</w:t>
            </w:r>
            <w:r>
              <w:rPr>
                <w:spacing w:val="-9"/>
                <w:sz w:val="20"/>
                <w:lang w:eastAsia="zh-CN"/>
              </w:rPr>
              <w:t>定型包</w:t>
            </w:r>
            <w:r>
              <w:rPr>
                <w:spacing w:val="-3"/>
                <w:sz w:val="20"/>
                <w:lang w:eastAsia="zh-CN"/>
              </w:rPr>
              <w:t>装。（参考品牌:金龙鱼、福临门及中粮等市场主流品</w:t>
            </w:r>
            <w:r>
              <w:rPr>
                <w:spacing w:val="-4"/>
                <w:sz w:val="20"/>
                <w:lang w:eastAsia="zh-CN"/>
              </w:rPr>
              <w:t>牌）</w:t>
            </w:r>
          </w:p>
        </w:tc>
        <w:tc>
          <w:tcPr>
            <w:tcW w:w="1957" w:type="dxa"/>
            <w:vMerge w:val="continue"/>
            <w:tcBorders>
              <w:top w:val="nil"/>
              <w:bottom w:val="nil"/>
            </w:tcBorders>
          </w:tcPr>
          <w:p>
            <w:pPr>
              <w:rPr>
                <w:rFonts w:ascii="Arial" w:hAnsi="Arial" w:cs="Arial"/>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1491" w:type="dxa"/>
          </w:tcPr>
          <w:p>
            <w:pPr>
              <w:spacing w:line="253" w:lineRule="auto"/>
              <w:rPr>
                <w:rFonts w:ascii="Arial" w:hAnsi="Arial" w:cs="Arial"/>
                <w:kern w:val="0"/>
                <w:sz w:val="20"/>
                <w:szCs w:val="20"/>
              </w:rPr>
            </w:pPr>
          </w:p>
          <w:p>
            <w:pPr>
              <w:spacing w:line="254" w:lineRule="auto"/>
              <w:rPr>
                <w:rFonts w:ascii="Arial" w:hAnsi="Arial" w:cs="Arial"/>
                <w:kern w:val="0"/>
                <w:sz w:val="20"/>
                <w:szCs w:val="20"/>
              </w:rPr>
            </w:pPr>
          </w:p>
          <w:p>
            <w:pPr>
              <w:spacing w:line="254" w:lineRule="auto"/>
              <w:rPr>
                <w:rFonts w:ascii="Arial" w:hAnsi="Arial" w:cs="Arial"/>
                <w:kern w:val="0"/>
                <w:sz w:val="20"/>
                <w:szCs w:val="20"/>
              </w:rPr>
            </w:pPr>
          </w:p>
          <w:p>
            <w:pPr>
              <w:pStyle w:val="78"/>
              <w:spacing w:before="68" w:line="221" w:lineRule="auto"/>
              <w:ind w:left="435"/>
              <w:rPr>
                <w:rFonts w:hint="eastAsia"/>
                <w:sz w:val="20"/>
              </w:rPr>
            </w:pPr>
            <w:r>
              <w:rPr>
                <w:spacing w:val="-2"/>
                <w:sz w:val="20"/>
              </w:rPr>
              <w:t>水产品</w:t>
            </w:r>
          </w:p>
        </w:tc>
        <w:tc>
          <w:tcPr>
            <w:tcW w:w="5806" w:type="dxa"/>
          </w:tcPr>
          <w:p>
            <w:pPr>
              <w:pStyle w:val="78"/>
              <w:spacing w:before="132" w:line="411" w:lineRule="auto"/>
              <w:ind w:left="105" w:right="98" w:firstLine="2"/>
              <w:jc w:val="both"/>
              <w:rPr>
                <w:rFonts w:hint="eastAsia"/>
                <w:sz w:val="20"/>
                <w:lang w:eastAsia="zh-CN"/>
              </w:rPr>
            </w:pPr>
            <w:r>
              <w:rPr>
                <w:spacing w:val="-3"/>
                <w:sz w:val="20"/>
                <w:lang w:eastAsia="zh-CN"/>
              </w:rPr>
              <w:t>桂鱼、鲈鱼等鱼类要求体表光滑无病灶，有鲜鱼鳞片完</w:t>
            </w:r>
            <w:r>
              <w:rPr>
                <w:spacing w:val="-4"/>
                <w:sz w:val="20"/>
                <w:lang w:eastAsia="zh-CN"/>
              </w:rPr>
              <w:t>整，无</w:t>
            </w:r>
            <w:r>
              <w:rPr>
                <w:spacing w:val="-5"/>
                <w:sz w:val="20"/>
                <w:lang w:eastAsia="zh-CN"/>
              </w:rPr>
              <w:t>鳞鱼无浑浊粘液，肉质干燥，紧密，呈白色</w:t>
            </w:r>
            <w:r>
              <w:rPr>
                <w:spacing w:val="-6"/>
                <w:sz w:val="20"/>
                <w:lang w:eastAsia="zh-CN"/>
              </w:rPr>
              <w:t>或淡黄色眼球外突</w:t>
            </w:r>
            <w:r>
              <w:rPr>
                <w:spacing w:val="-3"/>
                <w:sz w:val="20"/>
                <w:lang w:eastAsia="zh-CN"/>
              </w:rPr>
              <w:t>饱满透明，鳃丝清晰鲜红或暗红，保持活体状态固有本色，无</w:t>
            </w:r>
          </w:p>
          <w:p>
            <w:pPr>
              <w:pStyle w:val="78"/>
              <w:spacing w:line="219" w:lineRule="auto"/>
              <w:ind w:left="108"/>
              <w:rPr>
                <w:rFonts w:hint="eastAsia"/>
                <w:sz w:val="20"/>
                <w:lang w:eastAsia="zh-CN"/>
              </w:rPr>
            </w:pPr>
            <w:r>
              <w:rPr>
                <w:spacing w:val="-5"/>
                <w:sz w:val="20"/>
                <w:lang w:eastAsia="zh-CN"/>
              </w:rPr>
              <w:t>异味， 鱼类肌肉紧密有弹性，内脏清晰可辨无腐烂。</w:t>
            </w:r>
          </w:p>
        </w:tc>
        <w:tc>
          <w:tcPr>
            <w:tcW w:w="1957" w:type="dxa"/>
            <w:vMerge w:val="continue"/>
            <w:tcBorders>
              <w:top w:val="nil"/>
              <w:bottom w:val="nil"/>
            </w:tcBorders>
          </w:tcPr>
          <w:p>
            <w:pPr>
              <w:rPr>
                <w:rFonts w:ascii="Arial" w:hAnsi="Arial" w:cs="Arial"/>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1491" w:type="dxa"/>
          </w:tcPr>
          <w:p>
            <w:pPr>
              <w:spacing w:line="254" w:lineRule="auto"/>
              <w:rPr>
                <w:rFonts w:ascii="Arial" w:hAnsi="Arial" w:cs="Arial"/>
                <w:kern w:val="0"/>
                <w:sz w:val="20"/>
                <w:szCs w:val="20"/>
              </w:rPr>
            </w:pPr>
          </w:p>
          <w:p>
            <w:pPr>
              <w:spacing w:line="254" w:lineRule="auto"/>
              <w:rPr>
                <w:rFonts w:ascii="Arial" w:hAnsi="Arial" w:cs="Arial"/>
                <w:kern w:val="0"/>
                <w:sz w:val="20"/>
                <w:szCs w:val="20"/>
              </w:rPr>
            </w:pPr>
          </w:p>
          <w:p>
            <w:pPr>
              <w:spacing w:line="255" w:lineRule="auto"/>
              <w:rPr>
                <w:rFonts w:ascii="Arial" w:hAnsi="Arial" w:cs="Arial"/>
                <w:kern w:val="0"/>
                <w:sz w:val="20"/>
                <w:szCs w:val="20"/>
              </w:rPr>
            </w:pPr>
          </w:p>
          <w:p>
            <w:pPr>
              <w:pStyle w:val="78"/>
              <w:spacing w:before="69" w:line="221" w:lineRule="auto"/>
              <w:ind w:left="538"/>
              <w:rPr>
                <w:rFonts w:hint="eastAsia"/>
                <w:sz w:val="20"/>
              </w:rPr>
            </w:pPr>
            <w:r>
              <w:rPr>
                <w:spacing w:val="-2"/>
                <w:sz w:val="20"/>
              </w:rPr>
              <w:t>冻品</w:t>
            </w:r>
          </w:p>
        </w:tc>
        <w:tc>
          <w:tcPr>
            <w:tcW w:w="5806" w:type="dxa"/>
          </w:tcPr>
          <w:p>
            <w:pPr>
              <w:pStyle w:val="78"/>
              <w:spacing w:before="133" w:line="412" w:lineRule="auto"/>
              <w:ind w:left="107" w:right="23" w:hanging="1"/>
              <w:jc w:val="both"/>
              <w:rPr>
                <w:rFonts w:hint="eastAsia"/>
                <w:sz w:val="20"/>
                <w:lang w:eastAsia="zh-CN"/>
              </w:rPr>
            </w:pPr>
            <w:r>
              <w:rPr>
                <w:spacing w:val="-10"/>
                <w:sz w:val="20"/>
                <w:lang w:eastAsia="zh-CN"/>
              </w:rPr>
              <w:t>冻品外包装需完整，无破损，无不封口现象</w:t>
            </w:r>
            <w:r>
              <w:rPr>
                <w:spacing w:val="-11"/>
                <w:sz w:val="20"/>
                <w:lang w:eastAsia="zh-CN"/>
              </w:rPr>
              <w:t xml:space="preserve">，有生产日期。冻 </w:t>
            </w:r>
            <w:r>
              <w:rPr>
                <w:spacing w:val="-3"/>
                <w:sz w:val="20"/>
                <w:lang w:eastAsia="zh-CN"/>
              </w:rPr>
              <w:t>品在解冻后，发现质量问题需退货。符合国家</w:t>
            </w:r>
            <w:r>
              <w:rPr>
                <w:spacing w:val="-4"/>
                <w:sz w:val="20"/>
                <w:lang w:eastAsia="zh-CN"/>
              </w:rPr>
              <w:t xml:space="preserve">绿色批发市场标 </w:t>
            </w:r>
            <w:r>
              <w:rPr>
                <w:spacing w:val="-8"/>
                <w:sz w:val="20"/>
                <w:lang w:eastAsia="zh-CN"/>
              </w:rPr>
              <w:t>准，应具备满足交易需要的冷冻贮藏设施。（参考品牌：六合、</w:t>
            </w:r>
            <w:r>
              <w:rPr>
                <w:spacing w:val="-1"/>
                <w:sz w:val="20"/>
                <w:lang w:eastAsia="zh-CN"/>
              </w:rPr>
              <w:t>兴祥、兴牧等同品质品牌）</w:t>
            </w:r>
          </w:p>
        </w:tc>
        <w:tc>
          <w:tcPr>
            <w:tcW w:w="1957" w:type="dxa"/>
            <w:vMerge w:val="continue"/>
            <w:tcBorders>
              <w:top w:val="nil"/>
              <w:bottom w:val="nil"/>
            </w:tcBorders>
          </w:tcPr>
          <w:p>
            <w:pPr>
              <w:rPr>
                <w:rFonts w:ascii="Arial" w:hAnsi="Arial" w:cs="Arial"/>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atLeast"/>
        </w:trPr>
        <w:tc>
          <w:tcPr>
            <w:tcW w:w="1491" w:type="dxa"/>
          </w:tcPr>
          <w:p>
            <w:pPr>
              <w:spacing w:line="265" w:lineRule="auto"/>
              <w:rPr>
                <w:rFonts w:ascii="Arial" w:hAnsi="Arial" w:cs="Arial"/>
                <w:kern w:val="0"/>
                <w:sz w:val="20"/>
                <w:szCs w:val="20"/>
              </w:rPr>
            </w:pPr>
          </w:p>
          <w:p>
            <w:pPr>
              <w:spacing w:line="265" w:lineRule="auto"/>
              <w:rPr>
                <w:rFonts w:ascii="Arial" w:hAnsi="Arial" w:cs="Arial"/>
                <w:kern w:val="0"/>
                <w:sz w:val="20"/>
                <w:szCs w:val="20"/>
              </w:rPr>
            </w:pPr>
          </w:p>
          <w:p>
            <w:pPr>
              <w:pStyle w:val="78"/>
              <w:spacing w:before="69" w:line="221" w:lineRule="auto"/>
              <w:ind w:left="540"/>
              <w:rPr>
                <w:rFonts w:hint="eastAsia"/>
                <w:sz w:val="20"/>
              </w:rPr>
            </w:pPr>
            <w:r>
              <w:rPr>
                <w:spacing w:val="-2"/>
                <w:sz w:val="20"/>
              </w:rPr>
              <w:t>调料</w:t>
            </w:r>
          </w:p>
        </w:tc>
        <w:tc>
          <w:tcPr>
            <w:tcW w:w="5806" w:type="dxa"/>
          </w:tcPr>
          <w:p>
            <w:pPr>
              <w:pStyle w:val="78"/>
              <w:spacing w:before="135" w:line="411" w:lineRule="auto"/>
              <w:ind w:left="106" w:right="98" w:firstLine="4"/>
              <w:jc w:val="both"/>
              <w:rPr>
                <w:rFonts w:hint="eastAsia"/>
                <w:sz w:val="20"/>
                <w:lang w:eastAsia="zh-CN"/>
              </w:rPr>
            </w:pPr>
            <w:r>
              <w:rPr>
                <w:spacing w:val="-3"/>
                <w:sz w:val="20"/>
                <w:lang w:eastAsia="zh-CN"/>
              </w:rPr>
              <w:t>外包装无污物、无泄漏，无胀袋或胖听或鼓盖现象，无</w:t>
            </w:r>
            <w:r>
              <w:rPr>
                <w:spacing w:val="-4"/>
                <w:sz w:val="20"/>
                <w:lang w:eastAsia="zh-CN"/>
              </w:rPr>
              <w:t>变质发</w:t>
            </w:r>
            <w:r>
              <w:rPr>
                <w:spacing w:val="-8"/>
                <w:sz w:val="20"/>
                <w:lang w:eastAsia="zh-CN"/>
              </w:rPr>
              <w:t>霉现象。色泽正常，具有该品种固有的香味，滋味无异味，油酱均匀的酱体或无结块的粉状固体，封口平整，无破包，夹包，</w:t>
            </w:r>
          </w:p>
        </w:tc>
        <w:tc>
          <w:tcPr>
            <w:tcW w:w="1957" w:type="dxa"/>
            <w:vMerge w:val="continue"/>
            <w:tcBorders>
              <w:top w:val="nil"/>
            </w:tcBorders>
          </w:tcPr>
          <w:p>
            <w:pPr>
              <w:rPr>
                <w:rFonts w:ascii="Arial" w:hAnsi="Arial" w:cs="Arial"/>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1491" w:type="dxa"/>
          </w:tcPr>
          <w:p>
            <w:pPr>
              <w:rPr>
                <w:rFonts w:ascii="Arial" w:hAnsi="Arial" w:cs="Arial"/>
                <w:kern w:val="0"/>
                <w:sz w:val="20"/>
                <w:szCs w:val="20"/>
              </w:rPr>
            </w:pPr>
          </w:p>
        </w:tc>
        <w:tc>
          <w:tcPr>
            <w:tcW w:w="5806" w:type="dxa"/>
          </w:tcPr>
          <w:p>
            <w:pPr>
              <w:pStyle w:val="78"/>
              <w:spacing w:before="132" w:line="468" w:lineRule="exact"/>
              <w:ind w:left="106"/>
              <w:rPr>
                <w:rFonts w:hint="eastAsia"/>
                <w:sz w:val="20"/>
                <w:lang w:eastAsia="zh-CN"/>
              </w:rPr>
            </w:pPr>
            <w:r>
              <w:rPr>
                <w:spacing w:val="-14"/>
                <w:position w:val="19"/>
                <w:sz w:val="20"/>
                <w:lang w:eastAsia="zh-CN"/>
              </w:rPr>
              <w:t>漏包， 无污染。（参考品牌：海天、恒顺、太太乐、莲花、三</w:t>
            </w:r>
          </w:p>
          <w:p>
            <w:pPr>
              <w:pStyle w:val="78"/>
              <w:spacing w:line="220" w:lineRule="auto"/>
              <w:ind w:left="106"/>
              <w:rPr>
                <w:rFonts w:hint="eastAsia"/>
                <w:sz w:val="20"/>
                <w:lang w:eastAsia="zh-CN"/>
              </w:rPr>
            </w:pPr>
            <w:r>
              <w:rPr>
                <w:spacing w:val="-2"/>
                <w:sz w:val="20"/>
                <w:lang w:eastAsia="zh-CN"/>
              </w:rPr>
              <w:t>和四美等市场主流品牌）</w:t>
            </w:r>
          </w:p>
        </w:tc>
        <w:tc>
          <w:tcPr>
            <w:tcW w:w="1957" w:type="dxa"/>
            <w:vMerge w:val="restart"/>
            <w:tcBorders>
              <w:bottom w:val="nil"/>
            </w:tcBorders>
          </w:tcPr>
          <w:p>
            <w:pPr>
              <w:rPr>
                <w:rFonts w:ascii="Arial" w:hAnsi="Arial" w:cs="Arial"/>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491" w:type="dxa"/>
          </w:tcPr>
          <w:p>
            <w:pPr>
              <w:spacing w:line="295" w:lineRule="auto"/>
              <w:rPr>
                <w:rFonts w:ascii="Arial" w:hAnsi="Arial" w:cs="Arial"/>
                <w:kern w:val="0"/>
                <w:sz w:val="20"/>
                <w:szCs w:val="20"/>
              </w:rPr>
            </w:pPr>
          </w:p>
          <w:p>
            <w:pPr>
              <w:pStyle w:val="78"/>
              <w:spacing w:before="68" w:line="221" w:lineRule="auto"/>
              <w:ind w:left="226"/>
              <w:rPr>
                <w:rFonts w:hint="eastAsia"/>
                <w:sz w:val="20"/>
              </w:rPr>
            </w:pPr>
            <w:r>
              <w:rPr>
                <w:spacing w:val="-2"/>
                <w:sz w:val="20"/>
              </w:rPr>
              <w:t>副食及其他</w:t>
            </w:r>
          </w:p>
        </w:tc>
        <w:tc>
          <w:tcPr>
            <w:tcW w:w="5806" w:type="dxa"/>
          </w:tcPr>
          <w:p>
            <w:pPr>
              <w:pStyle w:val="78"/>
              <w:spacing w:before="130" w:line="468" w:lineRule="exact"/>
              <w:ind w:left="109"/>
              <w:rPr>
                <w:rFonts w:hint="eastAsia"/>
                <w:sz w:val="20"/>
                <w:lang w:eastAsia="zh-CN"/>
              </w:rPr>
            </w:pPr>
            <w:r>
              <w:rPr>
                <w:spacing w:val="-1"/>
                <w:position w:val="19"/>
                <w:sz w:val="20"/>
                <w:lang w:eastAsia="zh-CN"/>
              </w:rPr>
              <w:t>须保证食材干净、不含非食品用化学物质、按统一标准加工、</w:t>
            </w:r>
          </w:p>
          <w:p>
            <w:pPr>
              <w:pStyle w:val="78"/>
              <w:spacing w:line="220" w:lineRule="auto"/>
              <w:ind w:left="105"/>
              <w:rPr>
                <w:rFonts w:hint="eastAsia"/>
                <w:sz w:val="20"/>
                <w:lang w:eastAsia="zh-CN"/>
              </w:rPr>
            </w:pPr>
            <w:r>
              <w:rPr>
                <w:spacing w:val="-1"/>
                <w:sz w:val="20"/>
                <w:lang w:eastAsia="zh-CN"/>
              </w:rPr>
              <w:t>码放整齐、无须二次处理可以直接进行熟加工。餐巾纸（清风）</w:t>
            </w:r>
          </w:p>
        </w:tc>
        <w:tc>
          <w:tcPr>
            <w:tcW w:w="1957" w:type="dxa"/>
            <w:vMerge w:val="continue"/>
            <w:tcBorders>
              <w:top w:val="nil"/>
            </w:tcBorders>
          </w:tcPr>
          <w:p>
            <w:pPr>
              <w:rPr>
                <w:rFonts w:ascii="Arial" w:hAnsi="Arial" w:cs="Arial"/>
                <w:kern w:val="0"/>
                <w:sz w:val="20"/>
                <w:szCs w:val="20"/>
              </w:rPr>
            </w:pPr>
          </w:p>
        </w:tc>
      </w:tr>
    </w:tbl>
    <w:p>
      <w:pPr>
        <w:adjustRightInd w:val="0"/>
        <w:snapToGrid w:val="0"/>
        <w:spacing w:line="360" w:lineRule="auto"/>
        <w:rPr>
          <w:rFonts w:hint="eastAsia" w:ascii="新宋体" w:hAnsi="新宋体" w:eastAsia="新宋体"/>
          <w:b/>
          <w:i/>
          <w:sz w:val="24"/>
          <w:szCs w:val="24"/>
        </w:rPr>
      </w:pPr>
    </w:p>
    <w:bookmarkEnd w:id="1"/>
    <w:p>
      <w:pPr>
        <w:adjustRightInd w:val="0"/>
        <w:snapToGrid w:val="0"/>
        <w:spacing w:line="360" w:lineRule="auto"/>
        <w:rPr>
          <w:rFonts w:hint="eastAsia" w:ascii="新宋体" w:hAnsi="新宋体" w:eastAsia="新宋体"/>
          <w:sz w:val="24"/>
          <w:szCs w:val="24"/>
        </w:rPr>
      </w:pPr>
      <w:r>
        <w:rPr>
          <w:rFonts w:ascii="新宋体" w:hAnsi="新宋体" w:eastAsia="新宋体"/>
          <w:sz w:val="24"/>
          <w:szCs w:val="24"/>
        </w:rPr>
        <w:t xml:space="preserve"> 3.</w:t>
      </w:r>
      <w:bookmarkStart w:id="2" w:name="_Hlk186419656"/>
      <w:r>
        <w:rPr>
          <w:rFonts w:ascii="新宋体" w:hAnsi="新宋体" w:eastAsia="新宋体"/>
          <w:sz w:val="24"/>
          <w:szCs w:val="24"/>
        </w:rPr>
        <w:t>服务技术需求</w:t>
      </w:r>
    </w:p>
    <w:p>
      <w:pPr>
        <w:adjustRightInd w:val="0"/>
        <w:snapToGrid w:val="0"/>
        <w:spacing w:line="360" w:lineRule="auto"/>
        <w:ind w:firstLine="480" w:firstLineChars="200"/>
        <w:rPr>
          <w:rFonts w:hint="eastAsia" w:ascii="新宋体" w:hAnsi="新宋体" w:eastAsia="新宋体"/>
          <w:sz w:val="24"/>
          <w:szCs w:val="24"/>
        </w:rPr>
      </w:pPr>
      <w:bookmarkStart w:id="3" w:name="_Hlk109577767"/>
      <w:r>
        <w:rPr>
          <w:rFonts w:ascii="新宋体" w:hAnsi="新宋体" w:eastAsia="新宋体"/>
          <w:sz w:val="24"/>
          <w:szCs w:val="24"/>
        </w:rPr>
        <w:t xml:space="preserve">3.1 </w:t>
      </w:r>
      <w:r>
        <w:rPr>
          <w:rFonts w:hint="eastAsia" w:ascii="新宋体" w:hAnsi="新宋体" w:eastAsia="新宋体"/>
          <w:sz w:val="24"/>
          <w:szCs w:val="24"/>
        </w:rPr>
        <w:t>职工食堂</w:t>
      </w:r>
      <w:r>
        <w:rPr>
          <w:rFonts w:ascii="新宋体" w:hAnsi="新宋体" w:eastAsia="新宋体"/>
          <w:sz w:val="24"/>
          <w:szCs w:val="24"/>
        </w:rPr>
        <w:t>膳食需求</w:t>
      </w:r>
    </w:p>
    <w:p>
      <w:pPr>
        <w:pStyle w:val="11"/>
        <w:spacing w:before="159" w:line="342" w:lineRule="auto"/>
        <w:ind w:left="216" w:right="151" w:firstLine="240" w:firstLineChars="100"/>
        <w:rPr>
          <w:rFonts w:hint="eastAsia" w:ascii="新宋体" w:hAnsi="新宋体" w:eastAsia="新宋体"/>
          <w:i/>
          <w:iCs/>
          <w:sz w:val="24"/>
          <w:szCs w:val="24"/>
          <w:u w:val="single"/>
        </w:rPr>
      </w:pPr>
      <w:r>
        <w:rPr>
          <w:rFonts w:hint="eastAsia" w:ascii="新宋体" w:hAnsi="新宋体" w:eastAsia="新宋体"/>
          <w:i/>
          <w:iCs/>
          <w:sz w:val="24"/>
          <w:szCs w:val="24"/>
          <w:u w:val="single"/>
        </w:rPr>
        <w:t>☆3</w:t>
      </w:r>
      <w:r>
        <w:rPr>
          <w:rFonts w:ascii="新宋体" w:hAnsi="新宋体" w:eastAsia="新宋体"/>
          <w:i/>
          <w:iCs/>
          <w:sz w:val="24"/>
          <w:szCs w:val="24"/>
          <w:u w:val="single"/>
        </w:rPr>
        <w:t>.</w:t>
      </w:r>
      <w:r>
        <w:rPr>
          <w:rFonts w:hint="eastAsia" w:ascii="新宋体" w:hAnsi="新宋体" w:eastAsia="新宋体"/>
          <w:i/>
          <w:iCs/>
          <w:sz w:val="24"/>
          <w:szCs w:val="24"/>
          <w:u w:val="single"/>
        </w:rPr>
        <w:t>1.1.1营养食堂</w:t>
      </w:r>
      <w:r>
        <w:rPr>
          <w:rFonts w:ascii="新宋体" w:hAnsi="新宋体" w:eastAsia="新宋体"/>
          <w:i/>
          <w:iCs/>
          <w:sz w:val="24"/>
          <w:szCs w:val="24"/>
          <w:u w:val="single"/>
        </w:rPr>
        <w:t>常规供餐时间（以到达住院病房的时间为准）：早餐：7:</w:t>
      </w:r>
      <w:r>
        <w:rPr>
          <w:rFonts w:hint="eastAsia" w:ascii="新宋体" w:hAnsi="新宋体" w:eastAsia="新宋体"/>
          <w:i/>
          <w:iCs/>
          <w:sz w:val="24"/>
          <w:szCs w:val="24"/>
          <w:u w:val="single"/>
        </w:rPr>
        <w:t>0</w:t>
      </w:r>
      <w:r>
        <w:rPr>
          <w:rFonts w:ascii="新宋体" w:hAnsi="新宋体" w:eastAsia="新宋体"/>
          <w:i/>
          <w:iCs/>
          <w:sz w:val="24"/>
          <w:szCs w:val="24"/>
          <w:u w:val="single"/>
        </w:rPr>
        <w:t>0～7:30； 中餐：11:</w:t>
      </w:r>
      <w:r>
        <w:rPr>
          <w:rFonts w:hint="eastAsia" w:ascii="新宋体" w:hAnsi="新宋体" w:eastAsia="新宋体"/>
          <w:i/>
          <w:iCs/>
          <w:sz w:val="24"/>
          <w:szCs w:val="24"/>
          <w:u w:val="single"/>
        </w:rPr>
        <w:t>0</w:t>
      </w:r>
      <w:r>
        <w:rPr>
          <w:rFonts w:ascii="新宋体" w:hAnsi="新宋体" w:eastAsia="新宋体"/>
          <w:i/>
          <w:iCs/>
          <w:sz w:val="24"/>
          <w:szCs w:val="24"/>
          <w:u w:val="single"/>
        </w:rPr>
        <w:t>0～11:30； 晚餐：17:</w:t>
      </w:r>
      <w:r>
        <w:rPr>
          <w:rFonts w:hint="eastAsia" w:ascii="新宋体" w:hAnsi="新宋体" w:eastAsia="新宋体"/>
          <w:i/>
          <w:iCs/>
          <w:sz w:val="24"/>
          <w:szCs w:val="24"/>
          <w:u w:val="single"/>
        </w:rPr>
        <w:t>0</w:t>
      </w:r>
      <w:r>
        <w:rPr>
          <w:rFonts w:ascii="新宋体" w:hAnsi="新宋体" w:eastAsia="新宋体"/>
          <w:i/>
          <w:iCs/>
          <w:sz w:val="24"/>
          <w:szCs w:val="24"/>
          <w:u w:val="single"/>
        </w:rPr>
        <w:t>0～17:30；（提供承诺函加盖投标人公章）</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3.1.1.2</w:t>
      </w:r>
      <w:r>
        <w:rPr>
          <w:rFonts w:ascii="宋体" w:hAnsi="宋体"/>
          <w:sz w:val="24"/>
          <w:szCs w:val="24"/>
        </w:rPr>
        <w:t>基于特殊需求的加餐供餐时间</w:t>
      </w:r>
      <w:r>
        <w:rPr>
          <w:rFonts w:hint="eastAsia" w:ascii="宋体" w:hAnsi="宋体"/>
          <w:sz w:val="24"/>
          <w:szCs w:val="24"/>
        </w:rPr>
        <w:t>，</w:t>
      </w:r>
      <w:r>
        <w:rPr>
          <w:rFonts w:ascii="宋体" w:hAnsi="宋体"/>
          <w:sz w:val="24"/>
          <w:szCs w:val="24"/>
        </w:rPr>
        <w:t>（以到达住院病房的时间为准）：早加餐：9:20～9:40；中加餐：14:20～14:40；晚加餐：19:50～20:10；</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3.1.1.3</w:t>
      </w:r>
      <w:r>
        <w:rPr>
          <w:rFonts w:hint="eastAsia" w:ascii="宋体" w:hAnsi="宋体"/>
          <w:color w:val="000000" w:themeColor="text1"/>
          <w:sz w:val="24"/>
          <w:szCs w:val="24"/>
          <w14:textFill>
            <w14:solidFill>
              <w14:schemeClr w14:val="tx1"/>
            </w14:solidFill>
          </w14:textFill>
        </w:rPr>
        <w:t>中标人</w:t>
      </w:r>
      <w:r>
        <w:rPr>
          <w:rFonts w:ascii="宋体" w:hAnsi="宋体"/>
          <w:sz w:val="24"/>
          <w:szCs w:val="24"/>
        </w:rPr>
        <w:t>应保证每天按时供餐，周末及节假日需要正常供餐。如遇特殊情况需提前或延后供餐时间，</w:t>
      </w:r>
      <w:r>
        <w:rPr>
          <w:rFonts w:hint="eastAsia" w:ascii="宋体" w:hAnsi="宋体"/>
          <w:sz w:val="24"/>
          <w:szCs w:val="24"/>
        </w:rPr>
        <w:t>投标人</w:t>
      </w:r>
      <w:r>
        <w:rPr>
          <w:rFonts w:ascii="宋体" w:hAnsi="宋体"/>
          <w:sz w:val="24"/>
          <w:szCs w:val="24"/>
        </w:rPr>
        <w:t>需和患者及临床充分沟通协商并书面同意后方可提前或延后供餐，且应保证对患者的安全供餐</w:t>
      </w:r>
      <w:r>
        <w:rPr>
          <w:rFonts w:hint="eastAsia" w:ascii="宋体" w:hAnsi="宋体"/>
          <w:sz w:val="24"/>
          <w:szCs w:val="24"/>
        </w:rPr>
        <w:t>。</w:t>
      </w:r>
    </w:p>
    <w:p>
      <w:pPr>
        <w:pStyle w:val="11"/>
        <w:spacing w:before="159" w:line="342" w:lineRule="auto"/>
        <w:ind w:left="216" w:right="151" w:firstLine="240" w:firstLineChars="100"/>
        <w:rPr>
          <w:rFonts w:hint="eastAsia" w:ascii="新宋体" w:hAnsi="新宋体" w:eastAsia="新宋体"/>
          <w:sz w:val="24"/>
          <w:szCs w:val="24"/>
        </w:rPr>
      </w:pPr>
      <w:r>
        <w:rPr>
          <w:rFonts w:hint="eastAsia" w:ascii="新宋体" w:hAnsi="新宋体" w:eastAsia="新宋体"/>
          <w:i/>
          <w:iCs/>
          <w:sz w:val="24"/>
          <w:szCs w:val="24"/>
          <w:u w:val="single"/>
        </w:rPr>
        <w:t>☆</w:t>
      </w:r>
      <w:r>
        <w:rPr>
          <w:rFonts w:hint="eastAsia" w:ascii="宋体" w:hAnsi="宋体"/>
          <w:i/>
          <w:iCs/>
          <w:sz w:val="24"/>
          <w:szCs w:val="24"/>
          <w:u w:val="single"/>
        </w:rPr>
        <w:t>3.1.1.3</w:t>
      </w:r>
      <w:r>
        <w:rPr>
          <w:rFonts w:ascii="宋体" w:hAnsi="宋体" w:eastAsia="宋体"/>
          <w:i/>
          <w:iCs/>
          <w:color w:val="000000" w:themeColor="text1"/>
          <w:kern w:val="2"/>
          <w:sz w:val="24"/>
          <w:szCs w:val="24"/>
          <w:u w:val="single"/>
          <w14:textFill>
            <w14:solidFill>
              <w14:schemeClr w14:val="tx1"/>
            </w14:solidFill>
          </w14:textFill>
        </w:rPr>
        <w:t>病员食堂</w:t>
      </w:r>
      <w:r>
        <w:rPr>
          <w:rFonts w:ascii="宋体" w:hAnsi="宋体" w:eastAsia="宋体"/>
          <w:i/>
          <w:iCs/>
          <w:kern w:val="2"/>
          <w:sz w:val="24"/>
          <w:szCs w:val="24"/>
          <w:u w:val="single"/>
        </w:rPr>
        <w:t>常规供</w:t>
      </w:r>
      <w:r>
        <w:rPr>
          <w:rFonts w:ascii="宋体" w:hAnsi="宋体" w:eastAsia="宋体"/>
          <w:i/>
          <w:iCs/>
          <w:color w:val="000000" w:themeColor="text1"/>
          <w:kern w:val="2"/>
          <w:sz w:val="24"/>
          <w:szCs w:val="24"/>
          <w:u w:val="single"/>
          <w14:textFill>
            <w14:solidFill>
              <w14:schemeClr w14:val="tx1"/>
            </w14:solidFill>
          </w14:textFill>
        </w:rPr>
        <w:t>餐时间：早餐6:00 –9:30，午餐10:30–14:00，晚餐16：00-2</w:t>
      </w:r>
      <w:r>
        <w:rPr>
          <w:rFonts w:hint="eastAsia" w:ascii="宋体" w:hAnsi="宋体" w:eastAsia="宋体"/>
          <w:i/>
          <w:iCs/>
          <w:color w:val="000000" w:themeColor="text1"/>
          <w:kern w:val="2"/>
          <w:sz w:val="24"/>
          <w:szCs w:val="24"/>
          <w:u w:val="single"/>
          <w14:textFill>
            <w14:solidFill>
              <w14:schemeClr w14:val="tx1"/>
            </w14:solidFill>
          </w14:textFill>
        </w:rPr>
        <w:t>0</w:t>
      </w:r>
      <w:r>
        <w:rPr>
          <w:rFonts w:ascii="宋体" w:hAnsi="宋体" w:eastAsia="宋体"/>
          <w:i/>
          <w:iCs/>
          <w:color w:val="000000" w:themeColor="text1"/>
          <w:kern w:val="2"/>
          <w:sz w:val="24"/>
          <w:szCs w:val="24"/>
          <w:u w:val="single"/>
          <w14:textFill>
            <w14:solidFill>
              <w14:schemeClr w14:val="tx1"/>
            </w14:solidFill>
          </w14:textFill>
        </w:rPr>
        <w:t>：00。 可根据季节及采购人的工作要求和相关标准进行微调。每周营业7天，全年无休。投标人需承诺</w:t>
      </w:r>
      <w:r>
        <w:rPr>
          <w:rFonts w:hint="eastAsia" w:ascii="宋体" w:hAnsi="宋体" w:eastAsia="宋体"/>
          <w:i/>
          <w:iCs/>
          <w:color w:val="000000" w:themeColor="text1"/>
          <w:kern w:val="2"/>
          <w:sz w:val="24"/>
          <w:szCs w:val="24"/>
          <w:u w:val="single"/>
          <w14:textFill>
            <w14:solidFill>
              <w14:schemeClr w14:val="tx1"/>
            </w14:solidFill>
          </w14:textFill>
        </w:rPr>
        <w:t>.</w:t>
      </w:r>
      <w:r>
        <w:rPr>
          <w:rFonts w:ascii="宋体" w:hAnsi="宋体" w:eastAsia="宋体"/>
          <w:i/>
          <w:iCs/>
          <w:color w:val="000000" w:themeColor="text1"/>
          <w:kern w:val="2"/>
          <w:sz w:val="24"/>
          <w:szCs w:val="24"/>
          <w:u w:val="single"/>
          <w14:textFill>
            <w14:solidFill>
              <w14:schemeClr w14:val="tx1"/>
            </w14:solidFill>
          </w14:textFill>
        </w:rPr>
        <w:t>供餐起始时间和供餐时长不低于以上要求。（提供承诺函加盖投标人公章）</w:t>
      </w:r>
    </w:p>
    <w:bookmarkEnd w:id="3"/>
    <w:p>
      <w:pPr>
        <w:spacing w:line="360" w:lineRule="auto"/>
        <w:ind w:firstLine="482" w:firstLineChars="200"/>
        <w:rPr>
          <w:rFonts w:hint="eastAsia" w:ascii="新宋体" w:hAnsi="新宋体"/>
          <w:i/>
          <w:sz w:val="24"/>
          <w:szCs w:val="24"/>
          <w:u w:val="single"/>
        </w:rPr>
      </w:pPr>
      <w:r>
        <w:rPr>
          <w:rFonts w:hint="eastAsia" w:ascii="新宋体" w:hAnsi="新宋体" w:eastAsia="新宋体"/>
          <w:b/>
          <w:i/>
          <w:iCs/>
          <w:sz w:val="24"/>
          <w:szCs w:val="24"/>
          <w:u w:val="single"/>
        </w:rPr>
        <w:t>☆</w:t>
      </w:r>
      <w:r>
        <w:rPr>
          <w:rFonts w:ascii="新宋体" w:hAnsi="新宋体" w:eastAsia="新宋体"/>
          <w:i/>
          <w:sz w:val="24"/>
          <w:szCs w:val="24"/>
          <w:u w:val="single"/>
        </w:rPr>
        <w:t>3.1.</w:t>
      </w:r>
      <w:r>
        <w:rPr>
          <w:rFonts w:hint="eastAsia" w:ascii="新宋体" w:hAnsi="新宋体" w:eastAsia="新宋体"/>
          <w:i/>
          <w:sz w:val="24"/>
          <w:szCs w:val="24"/>
          <w:u w:val="single"/>
        </w:rPr>
        <w:t>1.4</w:t>
      </w:r>
      <w:r>
        <w:rPr>
          <w:rFonts w:hint="eastAsia" w:ascii="新宋体" w:hAnsi="新宋体" w:eastAsia="新宋体"/>
          <w:b/>
          <w:i/>
          <w:iCs/>
          <w:sz w:val="24"/>
          <w:szCs w:val="24"/>
          <w:u w:val="single"/>
        </w:rPr>
        <w:t>职工食堂</w:t>
      </w:r>
      <w:r>
        <w:rPr>
          <w:rFonts w:hint="eastAsia" w:ascii="新宋体" w:hAnsi="新宋体" w:eastAsia="新宋体"/>
          <w:i/>
          <w:sz w:val="24"/>
          <w:szCs w:val="24"/>
          <w:u w:val="single"/>
        </w:rPr>
        <w:t>供餐时间，早餐6:30–9:30，午餐10:30–13:30，晚餐（冬）16：00-19：30；（夏）</w:t>
      </w:r>
      <w:r>
        <w:rPr>
          <w:kern w:val="0"/>
          <w:sz w:val="24"/>
          <w:szCs w:val="24"/>
          <w:u w:val="single"/>
          <w:lang w:val="zh-CN"/>
        </w:rPr>
        <w:t>1</w:t>
      </w:r>
      <w:r>
        <w:rPr>
          <w:rFonts w:hint="eastAsia" w:ascii="新宋体" w:hAnsi="新宋体" w:eastAsia="新宋体"/>
          <w:i/>
          <w:sz w:val="24"/>
          <w:szCs w:val="24"/>
          <w:u w:val="single"/>
        </w:rPr>
        <w:t>6</w:t>
      </w:r>
      <w:r>
        <w:rPr>
          <w:rFonts w:ascii="新宋体" w:hAnsi="新宋体" w:eastAsia="新宋体"/>
          <w:i/>
          <w:sz w:val="24"/>
          <w:szCs w:val="24"/>
          <w:u w:val="single"/>
        </w:rPr>
        <w:t>:</w:t>
      </w:r>
      <w:r>
        <w:rPr>
          <w:rFonts w:hint="eastAsia" w:ascii="新宋体" w:hAnsi="新宋体" w:eastAsia="新宋体"/>
          <w:i/>
          <w:sz w:val="24"/>
          <w:szCs w:val="24"/>
          <w:u w:val="single"/>
        </w:rPr>
        <w:t>3</w:t>
      </w:r>
      <w:r>
        <w:rPr>
          <w:rFonts w:ascii="新宋体" w:hAnsi="新宋体" w:eastAsia="新宋体"/>
          <w:i/>
          <w:sz w:val="24"/>
          <w:szCs w:val="24"/>
          <w:u w:val="single"/>
        </w:rPr>
        <w:t>0–</w:t>
      </w:r>
      <w:r>
        <w:rPr>
          <w:rFonts w:hint="eastAsia" w:ascii="新宋体" w:hAnsi="新宋体" w:eastAsia="新宋体"/>
          <w:i/>
          <w:sz w:val="24"/>
          <w:szCs w:val="24"/>
          <w:u w:val="single"/>
        </w:rPr>
        <w:t>20</w:t>
      </w:r>
      <w:r>
        <w:rPr>
          <w:rFonts w:ascii="新宋体" w:hAnsi="新宋体" w:eastAsia="新宋体"/>
          <w:i/>
          <w:sz w:val="24"/>
          <w:szCs w:val="24"/>
          <w:u w:val="single"/>
        </w:rPr>
        <w:t>:00</w:t>
      </w:r>
      <w:r>
        <w:rPr>
          <w:rFonts w:hint="eastAsia" w:ascii="新宋体" w:hAnsi="新宋体" w:eastAsia="新宋体"/>
          <w:i/>
          <w:sz w:val="24"/>
          <w:szCs w:val="24"/>
          <w:u w:val="single"/>
        </w:rPr>
        <w:t>。</w:t>
      </w:r>
      <w:r>
        <w:rPr>
          <w:rFonts w:hint="eastAsia" w:ascii="新宋体" w:hAnsi="新宋体" w:eastAsia="新宋体"/>
          <w:i/>
          <w:color w:val="FF0000"/>
          <w:sz w:val="24"/>
          <w:szCs w:val="24"/>
          <w:u w:val="single"/>
        </w:rPr>
        <w:t>夜间需安排值班人员提供服务</w:t>
      </w:r>
      <w:r>
        <w:rPr>
          <w:rFonts w:hint="eastAsia" w:ascii="新宋体" w:hAnsi="新宋体" w:eastAsia="新宋体"/>
          <w:i/>
          <w:sz w:val="24"/>
          <w:szCs w:val="24"/>
          <w:u w:val="single"/>
        </w:rPr>
        <w:t>。可根据季节及医院的工作要求和相关标准进行微调。每周营业7天，全年不允许停业（含节假日）。投标人需承诺供餐起始时间和供餐时长不低于以上要求。</w:t>
      </w:r>
      <w:r>
        <w:rPr>
          <w:rFonts w:hint="eastAsia" w:ascii="宋体" w:hAnsi="宋体"/>
          <w:i/>
          <w:iCs/>
          <w:sz w:val="24"/>
          <w:szCs w:val="24"/>
          <w:u w:val="single"/>
        </w:rPr>
        <w:t>（提供承诺函加盖投标人公章）</w:t>
      </w:r>
      <w:r>
        <w:rPr>
          <w:rFonts w:hint="eastAsia" w:ascii="新宋体" w:hAnsi="新宋体" w:eastAsia="新宋体"/>
          <w:i/>
          <w:sz w:val="24"/>
          <w:szCs w:val="24"/>
          <w:u w:val="single"/>
        </w:rPr>
        <w:t>。</w:t>
      </w:r>
    </w:p>
    <w:p>
      <w:pPr>
        <w:pStyle w:val="11"/>
        <w:spacing w:before="157" w:line="343" w:lineRule="auto"/>
        <w:ind w:left="214" w:right="151" w:firstLine="240" w:firstLineChars="100"/>
        <w:rPr>
          <w:rFonts w:hint="eastAsia" w:ascii="新宋体" w:hAnsi="新宋体" w:eastAsia="新宋体" w:cstheme="minorBidi"/>
          <w:i/>
          <w:kern w:val="2"/>
          <w:sz w:val="24"/>
          <w:szCs w:val="24"/>
          <w:u w:val="single"/>
        </w:rPr>
      </w:pPr>
      <w:r>
        <w:rPr>
          <w:rFonts w:hint="eastAsia" w:ascii="新宋体" w:hAnsi="新宋体" w:eastAsia="新宋体" w:cstheme="minorBidi"/>
          <w:i/>
          <w:kern w:val="2"/>
          <w:sz w:val="24"/>
          <w:szCs w:val="24"/>
          <w:u w:val="single"/>
        </w:rPr>
        <w:t>☆</w:t>
      </w:r>
      <w:r>
        <w:rPr>
          <w:rFonts w:ascii="新宋体" w:hAnsi="新宋体" w:eastAsia="新宋体" w:cstheme="minorBidi"/>
          <w:i/>
          <w:kern w:val="2"/>
          <w:sz w:val="24"/>
          <w:szCs w:val="24"/>
          <w:u w:val="single"/>
        </w:rPr>
        <w:t>3.1.2职工食堂：提供选餐服务，至少提供五大荤、五小荤、五素菜、二汤、二粗粮、 二主食、水果、酸奶、风味餐：（包含不限于川湘风味、草原系列、潮州卤水、陕西面食、东北特色、维扬点心等。提供净菜、点心配送服务。投标人不得以任何理由限制供餐时间与供应数量。（提供承诺函加盖投标人公章）</w:t>
      </w:r>
    </w:p>
    <w:p>
      <w:pPr>
        <w:pStyle w:val="11"/>
        <w:spacing w:before="155" w:line="211" w:lineRule="auto"/>
        <w:ind w:firstLine="480" w:firstLineChars="200"/>
        <w:rPr>
          <w:rFonts w:hint="eastAsia" w:ascii="新宋体" w:hAnsi="新宋体" w:eastAsia="新宋体" w:cstheme="minorBidi"/>
          <w:i/>
          <w:kern w:val="2"/>
          <w:sz w:val="24"/>
          <w:szCs w:val="24"/>
          <w:u w:val="single"/>
        </w:rPr>
      </w:pPr>
      <w:r>
        <w:rPr>
          <w:rFonts w:hint="eastAsia" w:ascii="新宋体" w:hAnsi="新宋体" w:eastAsia="新宋体" w:cstheme="minorBidi"/>
          <w:i/>
          <w:kern w:val="2"/>
          <w:sz w:val="24"/>
          <w:szCs w:val="24"/>
          <w:u w:val="single"/>
        </w:rPr>
        <w:t>☆</w:t>
      </w:r>
      <w:r>
        <w:rPr>
          <w:rFonts w:ascii="新宋体" w:hAnsi="新宋体" w:eastAsia="新宋体" w:cstheme="minorBidi"/>
          <w:i/>
          <w:kern w:val="2"/>
          <w:sz w:val="24"/>
          <w:szCs w:val="24"/>
          <w:u w:val="single"/>
        </w:rPr>
        <w:t>3.1.</w:t>
      </w:r>
      <w:r>
        <w:rPr>
          <w:rFonts w:hint="eastAsia" w:ascii="新宋体" w:hAnsi="新宋体" w:eastAsia="新宋体" w:cstheme="minorBidi"/>
          <w:i/>
          <w:kern w:val="2"/>
          <w:sz w:val="24"/>
          <w:szCs w:val="24"/>
          <w:u w:val="single"/>
        </w:rPr>
        <w:t>3</w:t>
      </w:r>
      <w:r>
        <w:rPr>
          <w:rFonts w:ascii="新宋体" w:hAnsi="新宋体" w:eastAsia="新宋体" w:cstheme="minorBidi"/>
          <w:i/>
          <w:kern w:val="2"/>
          <w:sz w:val="24"/>
          <w:szCs w:val="24"/>
          <w:u w:val="single"/>
        </w:rPr>
        <w:t>按采购人需求每天提供不少于</w:t>
      </w:r>
      <w:r>
        <w:rPr>
          <w:rFonts w:hint="eastAsia" w:ascii="新宋体" w:hAnsi="新宋体" w:eastAsia="新宋体" w:cstheme="minorBidi"/>
          <w:i/>
          <w:kern w:val="2"/>
          <w:sz w:val="24"/>
          <w:szCs w:val="24"/>
          <w:u w:val="single"/>
        </w:rPr>
        <w:t>2</w:t>
      </w:r>
      <w:r>
        <w:rPr>
          <w:rFonts w:ascii="新宋体" w:hAnsi="新宋体" w:eastAsia="新宋体" w:cstheme="minorBidi"/>
          <w:i/>
          <w:kern w:val="2"/>
          <w:sz w:val="24"/>
          <w:szCs w:val="24"/>
          <w:u w:val="single"/>
        </w:rPr>
        <w:t>种1元特价菜、免费汤。（提供承诺函加盖投标人公章）</w:t>
      </w:r>
    </w:p>
    <w:p>
      <w:pPr>
        <w:adjustRightInd w:val="0"/>
        <w:snapToGrid w:val="0"/>
        <w:spacing w:line="360" w:lineRule="auto"/>
        <w:ind w:firstLine="482" w:firstLineChars="200"/>
        <w:rPr>
          <w:rFonts w:hint="eastAsia" w:ascii="新宋体" w:hAnsi="新宋体" w:eastAsia="新宋体"/>
          <w:i/>
          <w:iCs/>
          <w:sz w:val="24"/>
          <w:szCs w:val="24"/>
          <w:u w:val="single"/>
        </w:rPr>
      </w:pPr>
      <w:r>
        <w:rPr>
          <w:rFonts w:hint="eastAsia" w:ascii="新宋体" w:hAnsi="新宋体" w:eastAsia="新宋体"/>
          <w:b/>
          <w:i/>
          <w:iCs/>
          <w:sz w:val="24"/>
          <w:szCs w:val="24"/>
          <w:u w:val="single"/>
        </w:rPr>
        <w:t>☆</w:t>
      </w:r>
      <w:r>
        <w:rPr>
          <w:rFonts w:ascii="新宋体" w:hAnsi="新宋体" w:eastAsia="新宋体"/>
          <w:i/>
          <w:iCs/>
          <w:sz w:val="24"/>
          <w:szCs w:val="24"/>
          <w:u w:val="single"/>
        </w:rPr>
        <w:t>3.1.</w:t>
      </w:r>
      <w:r>
        <w:rPr>
          <w:rFonts w:hint="eastAsia" w:ascii="新宋体" w:hAnsi="新宋体" w:eastAsia="新宋体"/>
          <w:i/>
          <w:iCs/>
          <w:sz w:val="24"/>
          <w:szCs w:val="24"/>
          <w:u w:val="single"/>
        </w:rPr>
        <w:t>4送餐服务，餐饮服务方根据院方特殊岗位的需求，须对院方值班人员和特殊工作需要而无法离岗的员工在供餐时间内提供套餐送餐服务， 标准为10元套餐；1大荤，1小荤，1素菜，米饭。15元套餐2大荤，1小荤，1素菜，米饭。</w:t>
      </w:r>
    </w:p>
    <w:p>
      <w:pPr>
        <w:adjustRightInd w:val="0"/>
        <w:snapToGrid w:val="0"/>
        <w:spacing w:line="360" w:lineRule="auto"/>
        <w:ind w:firstLine="480" w:firstLineChars="200"/>
        <w:rPr>
          <w:rFonts w:hint="eastAsia" w:ascii="宋体" w:hAnsi="宋体"/>
          <w:i/>
          <w:iCs/>
          <w:sz w:val="24"/>
          <w:szCs w:val="24"/>
          <w:u w:val="single"/>
        </w:rPr>
      </w:pPr>
      <w:r>
        <w:rPr>
          <w:rFonts w:hint="eastAsia" w:ascii="新宋体" w:hAnsi="新宋体" w:eastAsia="新宋体"/>
          <w:i/>
          <w:sz w:val="24"/>
          <w:szCs w:val="24"/>
          <w:u w:val="single"/>
        </w:rPr>
        <w:t>接到送餐电话后，盛装30分钟内送至指定科室或病区。</w:t>
      </w:r>
      <w:r>
        <w:rPr>
          <w:rFonts w:hint="eastAsia" w:ascii="宋体" w:hAnsi="宋体"/>
          <w:i/>
          <w:iCs/>
          <w:sz w:val="24"/>
          <w:szCs w:val="24"/>
          <w:u w:val="single"/>
        </w:rPr>
        <w:t>（提供承诺函加盖投标人公章）</w:t>
      </w:r>
    </w:p>
    <w:p>
      <w:pPr>
        <w:adjustRightInd w:val="0"/>
        <w:snapToGrid w:val="0"/>
        <w:spacing w:line="360" w:lineRule="auto"/>
        <w:ind w:firstLine="480" w:firstLineChars="200"/>
        <w:rPr>
          <w:rFonts w:hint="eastAsia" w:ascii="新宋体" w:hAnsi="新宋体" w:eastAsia="新宋体"/>
          <w:i/>
          <w:iCs/>
          <w:sz w:val="24"/>
          <w:szCs w:val="24"/>
          <w:u w:val="single"/>
        </w:rPr>
      </w:pPr>
      <w:r>
        <w:rPr>
          <w:rFonts w:hint="eastAsia" w:ascii="新宋体" w:hAnsi="新宋体" w:eastAsia="新宋体"/>
          <w:i/>
          <w:iCs/>
          <w:sz w:val="24"/>
          <w:szCs w:val="24"/>
          <w:u w:val="single"/>
        </w:rPr>
        <w:t>☆3.1.5出餐服务，餐饮服务方负责人在就餐时间段，应及时关注售餐间的菜肴品种及窗口排队情况，发现缺菜现象，应及时通知后厨8分钟内补足规定菜肴品种，</w:t>
      </w:r>
      <w:r>
        <w:rPr>
          <w:rFonts w:hint="eastAsia" w:ascii="新宋体" w:hAnsi="新宋体" w:eastAsia="新宋体"/>
          <w:b/>
          <w:i/>
          <w:iCs/>
          <w:sz w:val="24"/>
          <w:szCs w:val="24"/>
          <w:u w:val="single"/>
        </w:rPr>
        <w:t>窗口排队不得超过8分钟</w:t>
      </w:r>
      <w:r>
        <w:rPr>
          <w:rFonts w:hint="eastAsia" w:ascii="新宋体" w:hAnsi="新宋体" w:eastAsia="新宋体"/>
          <w:i/>
          <w:iCs/>
          <w:sz w:val="24"/>
          <w:szCs w:val="24"/>
          <w:u w:val="single"/>
        </w:rPr>
        <w:t>。并做好突发性停电、停水、停汽（气）及食物中毒的应急预案。并能按照相关制度执行到位。（提供承诺函加盖投标人公章）</w:t>
      </w:r>
    </w:p>
    <w:p>
      <w:pPr>
        <w:adjustRightInd w:val="0"/>
        <w:snapToGrid w:val="0"/>
        <w:spacing w:line="360" w:lineRule="auto"/>
        <w:ind w:firstLine="480" w:firstLineChars="200"/>
        <w:rPr>
          <w:rFonts w:hint="eastAsia" w:ascii="新宋体" w:hAnsi="新宋体" w:eastAsia="新宋体"/>
          <w:i/>
          <w:iCs/>
          <w:sz w:val="24"/>
          <w:szCs w:val="24"/>
          <w:u w:val="single"/>
        </w:rPr>
      </w:pPr>
      <w:r>
        <w:rPr>
          <w:rFonts w:hint="eastAsia" w:ascii="新宋体" w:hAnsi="新宋体" w:eastAsia="新宋体"/>
          <w:i/>
          <w:iCs/>
          <w:sz w:val="24"/>
          <w:szCs w:val="24"/>
          <w:u w:val="single"/>
        </w:rPr>
        <w:t>☆3.1.6 餐饮服务方应有计划地做好供餐预算，尽量减少剩余饭菜，并做好保鲜冷藏管理，不能与生食、半成品混合存放。素菜限当餐使用，小荤限当日使用，大荤限24小时内使用。（提供承诺函加盖投标人公章）。</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3.1.</w:t>
      </w:r>
      <w:r>
        <w:rPr>
          <w:rFonts w:hint="eastAsia" w:ascii="新宋体" w:hAnsi="新宋体" w:eastAsia="新宋体"/>
          <w:sz w:val="24"/>
          <w:szCs w:val="24"/>
        </w:rPr>
        <w:t>7</w:t>
      </w:r>
      <w:r>
        <w:rPr>
          <w:rFonts w:ascii="新宋体" w:hAnsi="新宋体" w:eastAsia="新宋体"/>
          <w:sz w:val="24"/>
          <w:szCs w:val="24"/>
        </w:rPr>
        <w:t>能够</w:t>
      </w:r>
      <w:r>
        <w:rPr>
          <w:rFonts w:hint="eastAsia" w:ascii="新宋体" w:hAnsi="新宋体" w:eastAsia="新宋体"/>
          <w:sz w:val="24"/>
          <w:szCs w:val="24"/>
        </w:rPr>
        <w:t>按需</w:t>
      </w:r>
      <w:r>
        <w:rPr>
          <w:rFonts w:ascii="新宋体" w:hAnsi="新宋体" w:eastAsia="新宋体"/>
          <w:sz w:val="24"/>
          <w:szCs w:val="24"/>
        </w:rPr>
        <w:t>提供回民、素食、西餐等特殊供餐</w:t>
      </w:r>
      <w:r>
        <w:rPr>
          <w:rFonts w:hint="eastAsia" w:ascii="新宋体" w:hAnsi="新宋体" w:eastAsia="新宋体"/>
          <w:sz w:val="24"/>
          <w:szCs w:val="24"/>
        </w:rPr>
        <w:t>服务</w:t>
      </w:r>
      <w:r>
        <w:rPr>
          <w:rFonts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i/>
          <w:sz w:val="24"/>
          <w:szCs w:val="24"/>
          <w:u w:val="single"/>
        </w:rPr>
      </w:pPr>
      <w:r>
        <w:rPr>
          <w:rFonts w:hint="eastAsia" w:ascii="新宋体" w:hAnsi="新宋体" w:eastAsia="新宋体"/>
          <w:i/>
          <w:iCs/>
          <w:sz w:val="24"/>
          <w:szCs w:val="24"/>
          <w:u w:val="single"/>
        </w:rPr>
        <w:t>☆</w:t>
      </w:r>
      <w:r>
        <w:rPr>
          <w:rFonts w:ascii="新宋体" w:hAnsi="新宋体" w:eastAsia="新宋体"/>
          <w:i/>
          <w:sz w:val="24"/>
          <w:szCs w:val="24"/>
          <w:u w:val="single"/>
        </w:rPr>
        <w:t>3.1.</w:t>
      </w:r>
      <w:r>
        <w:rPr>
          <w:rFonts w:hint="eastAsia" w:ascii="新宋体" w:hAnsi="新宋体" w:eastAsia="新宋体"/>
          <w:i/>
          <w:sz w:val="24"/>
          <w:szCs w:val="24"/>
          <w:u w:val="single"/>
        </w:rPr>
        <w:t>8因手术室工作的特殊情况，中午必须在手术室专门的配餐区为手术室员工提供供餐服务。手术室供餐标准应符合甲方要求。</w:t>
      </w:r>
    </w:p>
    <w:p>
      <w:pPr>
        <w:adjustRightInd w:val="0"/>
        <w:snapToGrid w:val="0"/>
        <w:spacing w:line="360" w:lineRule="auto"/>
        <w:ind w:firstLine="480" w:firstLineChars="200"/>
        <w:rPr>
          <w:rFonts w:hint="eastAsia" w:ascii="新宋体" w:hAnsi="新宋体" w:eastAsia="新宋体"/>
          <w:i/>
          <w:sz w:val="24"/>
          <w:szCs w:val="24"/>
          <w:u w:val="single"/>
        </w:rPr>
      </w:pPr>
      <w:r>
        <w:rPr>
          <w:rFonts w:hint="eastAsia" w:ascii="新宋体" w:hAnsi="新宋体" w:eastAsia="新宋体"/>
          <w:i/>
          <w:iCs/>
          <w:sz w:val="24"/>
          <w:szCs w:val="24"/>
          <w:u w:val="single"/>
        </w:rPr>
        <w:t>☆</w:t>
      </w:r>
      <w:r>
        <w:rPr>
          <w:rFonts w:hint="eastAsia" w:ascii="新宋体" w:hAnsi="新宋体" w:eastAsia="新宋体"/>
          <w:i/>
          <w:sz w:val="24"/>
          <w:szCs w:val="24"/>
          <w:u w:val="single"/>
        </w:rPr>
        <w:t>3.1.9早晚餐必须供应面条、水饺、馄饨、肉包、菜包、烧麦、花卷、馒头、锅贴、烧饼、茶叶蛋、豆浆等</w:t>
      </w:r>
      <w:r>
        <w:rPr>
          <w:rFonts w:hint="eastAsia" w:ascii="新宋体" w:hAnsi="新宋体" w:eastAsia="新宋体"/>
          <w:b/>
          <w:i/>
          <w:sz w:val="24"/>
          <w:szCs w:val="24"/>
          <w:u w:val="single"/>
        </w:rPr>
        <w:t>10种以上点心小吃</w:t>
      </w:r>
      <w:r>
        <w:rPr>
          <w:rFonts w:hint="eastAsia" w:ascii="新宋体" w:hAnsi="新宋体" w:eastAsia="新宋体"/>
          <w:i/>
          <w:sz w:val="24"/>
          <w:szCs w:val="24"/>
          <w:u w:val="single"/>
        </w:rPr>
        <w:t>，以满足职工的就餐需求。售价需提前报后勤保障处总务科备案批准。</w:t>
      </w:r>
      <w:r>
        <w:rPr>
          <w:rFonts w:hint="eastAsia" w:ascii="新宋体" w:hAnsi="新宋体" w:eastAsia="新宋体"/>
          <w:i/>
          <w:iCs/>
          <w:sz w:val="24"/>
          <w:szCs w:val="24"/>
          <w:u w:val="single"/>
        </w:rPr>
        <w:t>（提供承诺函加盖投标人公章）。</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3.1.10</w:t>
      </w:r>
      <w:r>
        <w:rPr>
          <w:rFonts w:hint="eastAsia" w:ascii="新宋体" w:hAnsi="新宋体" w:eastAsia="新宋体"/>
          <w:sz w:val="24"/>
          <w:szCs w:val="24"/>
        </w:rPr>
        <w:t>除上述日常餐饮服务外的医院餐饮需求，如学术会议餐、茶歇、预定餐桌等，在不影响院方员工就餐的情况下由相关科室自行商定，费用另行结算。</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3.1.1</w:t>
      </w:r>
      <w:r>
        <w:rPr>
          <w:rFonts w:ascii="新宋体" w:hAnsi="新宋体" w:eastAsia="新宋体"/>
          <w:sz w:val="24"/>
          <w:szCs w:val="24"/>
        </w:rPr>
        <w:t>1</w:t>
      </w:r>
      <w:r>
        <w:rPr>
          <w:rFonts w:hint="eastAsia" w:ascii="新宋体" w:hAnsi="新宋体" w:eastAsia="新宋体"/>
          <w:sz w:val="24"/>
          <w:szCs w:val="24"/>
        </w:rPr>
        <w:t>餐饮服务方每周五需将下周职工餐菜单、菜价报备给总务科。特殊情况下，菜单可根据实际情况更改，但需得到总务科相关管理人员同意，其数量质量不得改变。</w:t>
      </w:r>
    </w:p>
    <w:p>
      <w:pPr>
        <w:adjustRightInd w:val="0"/>
        <w:snapToGrid w:val="0"/>
        <w:spacing w:line="360" w:lineRule="auto"/>
        <w:ind w:firstLine="480" w:firstLineChars="200"/>
        <w:rPr>
          <w:rFonts w:hint="eastAsia" w:ascii="新宋体" w:hAnsi="新宋体" w:eastAsia="新宋体"/>
          <w:i/>
          <w:sz w:val="24"/>
          <w:szCs w:val="24"/>
          <w:u w:val="single"/>
        </w:rPr>
      </w:pPr>
      <w:r>
        <w:rPr>
          <w:rFonts w:hint="eastAsia" w:ascii="新宋体" w:hAnsi="新宋体" w:eastAsia="新宋体"/>
          <w:i/>
          <w:iCs/>
          <w:sz w:val="24"/>
          <w:szCs w:val="24"/>
          <w:u w:val="single"/>
        </w:rPr>
        <w:t>☆</w:t>
      </w:r>
      <w:r>
        <w:rPr>
          <w:rFonts w:hint="eastAsia" w:ascii="新宋体" w:hAnsi="新宋体" w:eastAsia="新宋体"/>
          <w:i/>
          <w:sz w:val="24"/>
          <w:szCs w:val="24"/>
          <w:u w:val="single"/>
        </w:rPr>
        <w:t>3.1.12 每月需提供二次员工优惠日活动，当日午餐自选餐品5折优惠销售。</w:t>
      </w:r>
    </w:p>
    <w:p>
      <w:pPr>
        <w:adjustRightInd w:val="0"/>
        <w:snapToGrid w:val="0"/>
        <w:spacing w:line="360" w:lineRule="auto"/>
        <w:ind w:firstLine="480" w:firstLineChars="200"/>
        <w:rPr>
          <w:rFonts w:hint="eastAsia" w:ascii="新宋体" w:hAnsi="新宋体" w:eastAsia="新宋体"/>
          <w:i/>
          <w:color w:val="FF0000"/>
          <w:sz w:val="24"/>
          <w:szCs w:val="24"/>
          <w:u w:val="single"/>
        </w:rPr>
      </w:pPr>
      <w:r>
        <w:rPr>
          <w:rFonts w:hint="eastAsia" w:ascii="新宋体" w:hAnsi="新宋体" w:eastAsia="新宋体"/>
          <w:i/>
          <w:color w:val="FF0000"/>
          <w:sz w:val="24"/>
          <w:szCs w:val="24"/>
          <w:u w:val="single"/>
        </w:rPr>
        <w:t>3.1.13员工体检餐需根据院方的需求，提供自助就餐服务。</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w:t>
      </w:r>
      <w:r>
        <w:rPr>
          <w:rFonts w:hint="eastAsia" w:ascii="新宋体" w:hAnsi="新宋体" w:eastAsia="新宋体"/>
          <w:sz w:val="24"/>
          <w:szCs w:val="24"/>
          <w:lang w:val="en-US" w:eastAsia="zh-CN"/>
        </w:rPr>
        <w:t>2</w:t>
      </w:r>
      <w:r>
        <w:rPr>
          <w:rFonts w:ascii="新宋体" w:hAnsi="新宋体" w:eastAsia="新宋体"/>
          <w:sz w:val="24"/>
          <w:szCs w:val="24"/>
        </w:rPr>
        <w:t xml:space="preserve"> </w:t>
      </w:r>
      <w:r>
        <w:rPr>
          <w:rFonts w:hint="eastAsia" w:ascii="新宋体" w:hAnsi="新宋体" w:eastAsia="新宋体"/>
          <w:sz w:val="24"/>
          <w:szCs w:val="24"/>
        </w:rPr>
        <w:t>其他</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w:t>
      </w:r>
      <w:r>
        <w:rPr>
          <w:rFonts w:hint="eastAsia" w:ascii="新宋体" w:hAnsi="新宋体" w:eastAsia="新宋体"/>
          <w:sz w:val="24"/>
          <w:szCs w:val="24"/>
          <w:lang w:val="en-US" w:eastAsia="zh-CN"/>
        </w:rPr>
        <w:t>2</w:t>
      </w:r>
      <w:r>
        <w:rPr>
          <w:rFonts w:ascii="新宋体" w:hAnsi="新宋体" w:eastAsia="新宋体"/>
          <w:sz w:val="24"/>
          <w:szCs w:val="24"/>
        </w:rPr>
        <w:t>.</w:t>
      </w:r>
      <w:r>
        <w:rPr>
          <w:rFonts w:hint="eastAsia" w:ascii="新宋体" w:hAnsi="新宋体" w:eastAsia="新宋体"/>
          <w:sz w:val="24"/>
          <w:szCs w:val="24"/>
        </w:rPr>
        <w:t>1</w:t>
      </w:r>
      <w:r>
        <w:rPr>
          <w:rFonts w:ascii="新宋体" w:hAnsi="新宋体" w:eastAsia="新宋体"/>
          <w:sz w:val="24"/>
          <w:szCs w:val="24"/>
        </w:rPr>
        <w:t>开设手机或PAD等电子预约点餐服务，制定电子膳食食谱，</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w:t>
      </w:r>
      <w:r>
        <w:rPr>
          <w:rFonts w:hint="eastAsia" w:ascii="新宋体" w:hAnsi="新宋体" w:eastAsia="新宋体"/>
          <w:sz w:val="24"/>
          <w:szCs w:val="24"/>
          <w:lang w:val="en-US" w:eastAsia="zh-CN"/>
        </w:rPr>
        <w:t>2</w:t>
      </w:r>
      <w:r>
        <w:rPr>
          <w:rFonts w:ascii="新宋体" w:hAnsi="新宋体" w:eastAsia="新宋体"/>
          <w:sz w:val="24"/>
          <w:szCs w:val="24"/>
        </w:rPr>
        <w:t>.2开设特色服务，包括但不限于节日膳食特色服务、与</w:t>
      </w:r>
      <w:r>
        <w:rPr>
          <w:rFonts w:hint="eastAsia" w:ascii="新宋体" w:hAnsi="新宋体" w:eastAsia="新宋体"/>
          <w:sz w:val="24"/>
          <w:szCs w:val="24"/>
        </w:rPr>
        <w:t>职工</w:t>
      </w:r>
      <w:r>
        <w:rPr>
          <w:rFonts w:ascii="新宋体" w:hAnsi="新宋体" w:eastAsia="新宋体"/>
          <w:sz w:val="24"/>
          <w:szCs w:val="24"/>
        </w:rPr>
        <w:t>互动、膳食宣教等服务；</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w:t>
      </w:r>
      <w:r>
        <w:rPr>
          <w:rFonts w:hint="eastAsia" w:ascii="新宋体" w:hAnsi="新宋体" w:eastAsia="新宋体"/>
          <w:sz w:val="24"/>
          <w:szCs w:val="24"/>
          <w:lang w:val="en-US" w:eastAsia="zh-CN"/>
        </w:rPr>
        <w:t>2</w:t>
      </w:r>
      <w:r>
        <w:rPr>
          <w:rFonts w:ascii="新宋体" w:hAnsi="新宋体" w:eastAsia="新宋体"/>
          <w:sz w:val="24"/>
          <w:szCs w:val="24"/>
        </w:rPr>
        <w:t>.3能够开展与医院的合作创新服务项目，包括但不仅限于食品创新研发营销、膳食服务模式创新</w:t>
      </w:r>
      <w:r>
        <w:rPr>
          <w:rFonts w:hint="eastAsia" w:ascii="新宋体" w:hAnsi="新宋体" w:eastAsia="新宋体"/>
          <w:sz w:val="24"/>
          <w:szCs w:val="24"/>
        </w:rPr>
        <w:t>、餐饮文创产品</w:t>
      </w:r>
      <w:r>
        <w:rPr>
          <w:rFonts w:ascii="新宋体" w:hAnsi="新宋体" w:eastAsia="新宋体"/>
          <w:sz w:val="24"/>
          <w:szCs w:val="24"/>
        </w:rPr>
        <w:t>等。</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w:t>
      </w:r>
      <w:r>
        <w:rPr>
          <w:rFonts w:hint="eastAsia" w:ascii="新宋体" w:hAnsi="新宋体" w:eastAsia="新宋体"/>
          <w:sz w:val="24"/>
          <w:szCs w:val="24"/>
          <w:lang w:val="en-US" w:eastAsia="zh-CN"/>
        </w:rPr>
        <w:t>2</w:t>
      </w:r>
      <w:r>
        <w:rPr>
          <w:rFonts w:ascii="新宋体" w:hAnsi="新宋体" w:eastAsia="新宋体"/>
          <w:sz w:val="24"/>
          <w:szCs w:val="24"/>
        </w:rPr>
        <w:t>.4能够提供医院所需的应急膳食服务，并有相应的应急方案及落实程序。</w:t>
      </w:r>
    </w:p>
    <w:p>
      <w:pPr>
        <w:adjustRightInd w:val="0"/>
        <w:snapToGrid w:val="0"/>
        <w:spacing w:line="360" w:lineRule="auto"/>
        <w:ind w:firstLine="480" w:firstLineChars="200"/>
        <w:rPr>
          <w:rFonts w:hint="eastAsia" w:ascii="新宋体" w:hAnsi="新宋体" w:eastAsia="新宋体"/>
          <w:i/>
          <w:sz w:val="24"/>
          <w:szCs w:val="24"/>
          <w:u w:val="single"/>
        </w:rPr>
      </w:pPr>
      <w:r>
        <w:rPr>
          <w:rFonts w:hint="eastAsia" w:ascii="新宋体" w:hAnsi="新宋体" w:eastAsia="新宋体"/>
          <w:i/>
          <w:iCs/>
          <w:sz w:val="24"/>
          <w:szCs w:val="24"/>
          <w:u w:val="single"/>
        </w:rPr>
        <w:t>☆</w:t>
      </w:r>
      <w:r>
        <w:rPr>
          <w:rFonts w:hint="eastAsia" w:ascii="新宋体" w:hAnsi="新宋体" w:eastAsia="新宋体"/>
          <w:i/>
          <w:sz w:val="24"/>
          <w:szCs w:val="24"/>
          <w:u w:val="single"/>
        </w:rPr>
        <w:t>3.</w:t>
      </w:r>
      <w:r>
        <w:rPr>
          <w:rFonts w:hint="eastAsia" w:ascii="新宋体" w:hAnsi="新宋体" w:eastAsia="新宋体"/>
          <w:i/>
          <w:sz w:val="24"/>
          <w:szCs w:val="24"/>
          <w:u w:val="single"/>
          <w:lang w:val="en-US" w:eastAsia="zh-CN"/>
        </w:rPr>
        <w:t>2</w:t>
      </w:r>
      <w:r>
        <w:rPr>
          <w:rFonts w:hint="eastAsia" w:ascii="新宋体" w:hAnsi="新宋体" w:eastAsia="新宋体"/>
          <w:i/>
          <w:sz w:val="24"/>
          <w:szCs w:val="24"/>
          <w:u w:val="single"/>
        </w:rPr>
        <w:t>.</w:t>
      </w:r>
      <w:r>
        <w:rPr>
          <w:rFonts w:ascii="新宋体" w:hAnsi="新宋体" w:eastAsia="新宋体"/>
          <w:i/>
          <w:sz w:val="24"/>
          <w:szCs w:val="24"/>
          <w:u w:val="single"/>
        </w:rPr>
        <w:t>5</w:t>
      </w:r>
      <w:r>
        <w:rPr>
          <w:rFonts w:hint="eastAsia" w:ascii="新宋体" w:hAnsi="新宋体" w:eastAsia="新宋体"/>
          <w:i/>
          <w:sz w:val="24"/>
          <w:szCs w:val="24"/>
          <w:u w:val="single"/>
        </w:rPr>
        <w:t>遇到重大或有意义的节日（如，一年三节，护士节，医师节等）需提供增值服务。</w:t>
      </w:r>
      <w:r>
        <w:rPr>
          <w:rFonts w:hint="eastAsia" w:ascii="新宋体" w:hAnsi="新宋体" w:eastAsia="新宋体"/>
          <w:i/>
          <w:iCs/>
          <w:sz w:val="24"/>
          <w:szCs w:val="24"/>
          <w:u w:val="single"/>
        </w:rPr>
        <w:t>（提供承诺函加盖投标人公章）。</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营养食堂</w:t>
      </w:r>
      <w:r>
        <w:rPr>
          <w:rFonts w:ascii="宋体" w:hAnsi="宋体"/>
          <w:sz w:val="24"/>
          <w:szCs w:val="24"/>
        </w:rPr>
        <w:t>膳食需求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lang w:val="en-US" w:eastAsia="zh-CN"/>
        </w:rPr>
        <w:t>1</w:t>
      </w:r>
      <w:r>
        <w:rPr>
          <w:rFonts w:ascii="宋体" w:hAnsi="宋体"/>
          <w:sz w:val="24"/>
          <w:szCs w:val="24"/>
        </w:rPr>
        <w:t>有《住院患者各类膳食适应证和膳食应用原则》手册，能提供普食、软食、半流食、 流食点餐业务，每日每种膳食类型不低于6种，并能提供有能量供给梯度的标准化 套餐，</w:t>
      </w:r>
      <w:r>
        <w:rPr>
          <w:rFonts w:hint="eastAsia" w:ascii="宋体" w:hAnsi="宋体"/>
          <w:sz w:val="24"/>
          <w:szCs w:val="24"/>
        </w:rPr>
        <w:t>并且能提供上述四类饮食的食谱数据库和营养标签；有核对、尝膳、留样等</w:t>
      </w:r>
      <w:r>
        <w:rPr>
          <w:rFonts w:ascii="宋体" w:hAnsi="宋体"/>
          <w:sz w:val="24"/>
          <w:szCs w:val="24"/>
        </w:rPr>
        <w:t>记录；</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lang w:val="en-US" w:eastAsia="zh-CN"/>
        </w:rPr>
        <w:t>2</w:t>
      </w:r>
      <w:r>
        <w:rPr>
          <w:rFonts w:ascii="宋体" w:hAnsi="宋体"/>
          <w:sz w:val="24"/>
          <w:szCs w:val="24"/>
        </w:rPr>
        <w:t xml:space="preserve">能提供不同能量梯度的糖尿病、低脂、低盐、低蛋白、高蛋白、限铜、低嘌呤、少 渣、少渣半流食、流食、清流食、匀浆等常规治疗膳食标准化套餐业务（具体参考 </w:t>
      </w:r>
      <w:r>
        <w:rPr>
          <w:rFonts w:hint="eastAsia" w:ascii="宋体" w:hAnsi="宋体"/>
          <w:sz w:val="24"/>
          <w:szCs w:val="24"/>
        </w:rPr>
        <w:t>扬州市临床营养质控中心</w:t>
      </w:r>
      <w:r>
        <w:rPr>
          <w:rFonts w:ascii="宋体" w:hAnsi="宋体"/>
          <w:sz w:val="24"/>
          <w:szCs w:val="24"/>
        </w:rPr>
        <w:t>、</w:t>
      </w:r>
      <w:r>
        <w:rPr>
          <w:rFonts w:hint="eastAsia" w:ascii="宋体" w:hAnsi="宋体"/>
          <w:sz w:val="24"/>
          <w:szCs w:val="24"/>
        </w:rPr>
        <w:t>医院临床营养科</w:t>
      </w:r>
      <w:r>
        <w:rPr>
          <w:rFonts w:ascii="宋体" w:hAnsi="宋体"/>
          <w:sz w:val="24"/>
          <w:szCs w:val="24"/>
        </w:rPr>
        <w:t>等要求），每日每种套餐不低于2种（至少A、B 两种套餐，以供患者选择），并且能提供上述治疗膳食套餐的食谱数据库和营养标签，其设计、制作符合营养治疗膳食应用原则和行标地标等标准要求；治疗膳食月平均就餐率应符合扬州</w:t>
      </w:r>
      <w:r>
        <w:rPr>
          <w:rFonts w:hint="eastAsia" w:ascii="宋体" w:hAnsi="宋体"/>
          <w:sz w:val="24"/>
          <w:szCs w:val="24"/>
        </w:rPr>
        <w:t>市临床营养质控中心</w:t>
      </w:r>
      <w:r>
        <w:rPr>
          <w:rFonts w:ascii="宋体" w:hAnsi="宋体"/>
          <w:sz w:val="24"/>
          <w:szCs w:val="24"/>
        </w:rPr>
        <w:t>、临床营科等部门的考核标准；有核对、尝膳、留样等记录；</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lang w:val="en-US" w:eastAsia="zh-CN"/>
        </w:rPr>
        <w:t>3</w:t>
      </w:r>
      <w:r>
        <w:rPr>
          <w:rFonts w:ascii="宋体" w:hAnsi="宋体"/>
          <w:sz w:val="24"/>
          <w:szCs w:val="24"/>
        </w:rPr>
        <w:t>能规范化制定并执行临床工作所需的各种特殊营养膳食，并符合医院相关部门要求；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w:t>
      </w:r>
      <w:r>
        <w:rPr>
          <w:rFonts w:ascii="宋体" w:hAnsi="宋体"/>
          <w:sz w:val="24"/>
          <w:szCs w:val="24"/>
        </w:rPr>
        <w:t>.4能够开设回民、素食、西餐等特殊膳食；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w:t>
      </w:r>
      <w:r>
        <w:rPr>
          <w:rFonts w:ascii="宋体" w:hAnsi="宋体"/>
          <w:sz w:val="24"/>
          <w:szCs w:val="24"/>
        </w:rPr>
        <w:t>.5能够根据患者疾病营养及临床治疗需要开设个体化治疗膳食，治疗膳食应达到患者营养供给目标及疾病治疗需要；</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w:t>
      </w:r>
      <w:r>
        <w:rPr>
          <w:rFonts w:ascii="宋体" w:hAnsi="宋体"/>
          <w:sz w:val="24"/>
          <w:szCs w:val="24"/>
        </w:rPr>
        <w:t>.6能够提供口服营养膳食补充，包括但不限于：特殊营养配方膳、 特殊食品等。并根据患者营养需要和疾病治疗需要实施；</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w:t>
      </w:r>
      <w:r>
        <w:rPr>
          <w:rFonts w:ascii="宋体" w:hAnsi="宋体"/>
          <w:sz w:val="24"/>
          <w:szCs w:val="24"/>
        </w:rPr>
        <w:t>.7提供订餐、送餐服务，包括早餐、中餐、晚餐、早加餐、午加餐、晚加餐等；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w:t>
      </w:r>
      <w:r>
        <w:rPr>
          <w:rFonts w:ascii="宋体" w:hAnsi="宋体"/>
          <w:sz w:val="24"/>
          <w:szCs w:val="24"/>
        </w:rPr>
        <w:t>.8开设手机或PAD等电子预约点餐服务，制定电子膳食食谱，包括但不仅限于治疗膳食图片、营养成分介绍、饮食注意事项等；</w:t>
      </w:r>
      <w:r>
        <w:rPr>
          <w:rFonts w:hint="eastAsia" w:ascii="宋体" w:hAnsi="宋体"/>
          <w:sz w:val="24"/>
          <w:szCs w:val="24"/>
        </w:rPr>
        <w:t>支持线上点餐和支付的软硬件费用由乙方承担；</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w:t>
      </w:r>
      <w:r>
        <w:rPr>
          <w:rFonts w:ascii="宋体" w:hAnsi="宋体"/>
          <w:sz w:val="24"/>
          <w:szCs w:val="24"/>
        </w:rPr>
        <w:t>.9开设特色服务，包括但不限于节日膳食特色服务、与患者互动、营养膳食宣教等服务；</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w:t>
      </w:r>
      <w:r>
        <w:rPr>
          <w:rFonts w:ascii="宋体" w:hAnsi="宋体"/>
          <w:sz w:val="24"/>
          <w:szCs w:val="24"/>
        </w:rPr>
        <w:t>.10能够开展与医院的合作创新服务项目，包括但不仅限于食品创新研发营销、膳食 服务模式创新等；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w:t>
      </w:r>
      <w:r>
        <w:rPr>
          <w:rFonts w:ascii="宋体" w:hAnsi="宋体"/>
          <w:sz w:val="24"/>
          <w:szCs w:val="24"/>
        </w:rPr>
        <w:t>.11膳食服务要达到扬州市临床营养医疗质控中心、医院临床营养科等部门要求，订餐系统应与医院膳食医嘱对接，所提供的所有住院患者膳食必须严格执行膳食医嘱；</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w:t>
      </w:r>
      <w:r>
        <w:rPr>
          <w:rFonts w:ascii="宋体" w:hAnsi="宋体"/>
          <w:sz w:val="24"/>
          <w:szCs w:val="24"/>
        </w:rPr>
        <w:t>.12能够提供医院所需的患者应急膳食服务，并有相应的应急方案及落实程序；</w:t>
      </w:r>
    </w:p>
    <w:p>
      <w:pPr>
        <w:adjustRightInd w:val="0"/>
        <w:snapToGrid w:val="0"/>
        <w:spacing w:line="360" w:lineRule="auto"/>
        <w:ind w:firstLine="480" w:firstLineChars="200"/>
        <w:rPr>
          <w:rFonts w:hint="eastAsia" w:ascii="新宋体" w:hAnsi="新宋体" w:eastAsia="新宋体"/>
          <w:i/>
          <w:sz w:val="24"/>
          <w:szCs w:val="24"/>
          <w:u w:val="single"/>
        </w:rPr>
      </w:pPr>
      <w:r>
        <w:rPr>
          <w:rFonts w:hint="eastAsia" w:ascii="新宋体" w:hAnsi="新宋体" w:eastAsia="新宋体"/>
          <w:i/>
          <w:iCs/>
          <w:sz w:val="24"/>
          <w:szCs w:val="24"/>
          <w:u w:val="single"/>
        </w:rPr>
        <w:t>☆</w:t>
      </w:r>
      <w:r>
        <w:rPr>
          <w:rFonts w:hint="eastAsia" w:ascii="宋体" w:hAnsi="宋体"/>
          <w:i/>
          <w:iCs/>
          <w:sz w:val="24"/>
          <w:szCs w:val="24"/>
          <w:u w:val="single"/>
        </w:rPr>
        <w:t>4.13</w:t>
      </w:r>
      <w:r>
        <w:rPr>
          <w:rFonts w:hint="eastAsia" w:ascii="新宋体" w:hAnsi="新宋体" w:eastAsia="新宋体"/>
          <w:i/>
          <w:sz w:val="24"/>
          <w:szCs w:val="24"/>
          <w:u w:val="single"/>
        </w:rPr>
        <w:t>早晚餐必须供应面条、水饺、馄饨、肉包、菜包、烧麦、花卷、馒头、锅贴、烧饼、茶叶蛋、豆浆等</w:t>
      </w:r>
      <w:r>
        <w:rPr>
          <w:rFonts w:hint="eastAsia" w:ascii="新宋体" w:hAnsi="新宋体" w:eastAsia="新宋体"/>
          <w:b/>
          <w:i/>
          <w:sz w:val="24"/>
          <w:szCs w:val="24"/>
          <w:u w:val="single"/>
        </w:rPr>
        <w:t>10种以上点心小吃</w:t>
      </w:r>
      <w:r>
        <w:rPr>
          <w:rFonts w:hint="eastAsia" w:ascii="新宋体" w:hAnsi="新宋体" w:eastAsia="新宋体"/>
          <w:i/>
          <w:sz w:val="24"/>
          <w:szCs w:val="24"/>
          <w:u w:val="single"/>
        </w:rPr>
        <w:t>，以满足病员的就餐需求。售价需提前报后勤保障处总务科备案批准。</w:t>
      </w:r>
      <w:r>
        <w:rPr>
          <w:rFonts w:hint="eastAsia" w:ascii="新宋体" w:hAnsi="新宋体" w:eastAsia="新宋体"/>
          <w:i/>
          <w:iCs/>
          <w:sz w:val="24"/>
          <w:szCs w:val="24"/>
          <w:u w:val="single"/>
        </w:rPr>
        <w:t>（提供承诺函加盖投标人公章）。</w:t>
      </w:r>
    </w:p>
    <w:p>
      <w:pPr>
        <w:adjustRightInd w:val="0"/>
        <w:snapToGrid w:val="0"/>
        <w:spacing w:line="360" w:lineRule="auto"/>
        <w:ind w:firstLine="480" w:firstLineChars="200"/>
        <w:rPr>
          <w:rFonts w:hint="eastAsia" w:ascii="新宋体" w:hAnsi="新宋体" w:eastAsia="新宋体"/>
          <w:i/>
          <w:iCs/>
          <w:sz w:val="24"/>
          <w:szCs w:val="24"/>
          <w:u w:val="single"/>
        </w:rPr>
      </w:pPr>
      <w:r>
        <w:rPr>
          <w:rFonts w:hint="eastAsia" w:ascii="新宋体" w:hAnsi="新宋体" w:eastAsia="新宋体"/>
          <w:i/>
          <w:iCs/>
          <w:sz w:val="24"/>
          <w:szCs w:val="24"/>
          <w:u w:val="single"/>
        </w:rPr>
        <w:t>☆4.</w:t>
      </w:r>
      <w:r>
        <w:rPr>
          <w:rFonts w:hint="eastAsia" w:ascii="新宋体" w:hAnsi="新宋体" w:eastAsia="新宋体"/>
          <w:i/>
          <w:iCs/>
          <w:sz w:val="24"/>
          <w:szCs w:val="24"/>
          <w:u w:val="single"/>
          <w:lang w:val="en-US" w:eastAsia="zh-CN"/>
        </w:rPr>
        <w:t>1</w:t>
      </w:r>
      <w:r>
        <w:rPr>
          <w:rFonts w:hint="eastAsia" w:ascii="新宋体" w:hAnsi="新宋体" w:eastAsia="新宋体"/>
          <w:i/>
          <w:iCs/>
          <w:sz w:val="24"/>
          <w:szCs w:val="24"/>
          <w:u w:val="single"/>
        </w:rPr>
        <w:t>4出餐服务，餐饮服务方负责人在就餐时间段，应及时关注售餐间的菜肴品种及窗口排队情况，发现缺菜现象，应及时通知后厨8分钟内补足规定菜肴品种，</w:t>
      </w:r>
      <w:r>
        <w:rPr>
          <w:rFonts w:hint="eastAsia" w:ascii="新宋体" w:hAnsi="新宋体" w:eastAsia="新宋体"/>
          <w:b/>
          <w:i/>
          <w:iCs/>
          <w:sz w:val="24"/>
          <w:szCs w:val="24"/>
          <w:u w:val="single"/>
        </w:rPr>
        <w:t>窗口排队不得超过8分钟</w:t>
      </w:r>
      <w:r>
        <w:rPr>
          <w:rFonts w:hint="eastAsia" w:ascii="新宋体" w:hAnsi="新宋体" w:eastAsia="新宋体"/>
          <w:i/>
          <w:iCs/>
          <w:sz w:val="24"/>
          <w:szCs w:val="24"/>
          <w:u w:val="single"/>
        </w:rPr>
        <w:t>。并做好突发性停电、停水、停汽（气）及食物中毒的应急预案。并能按照相关制度执行到位。（提供承诺函加盖投标人公章）</w:t>
      </w:r>
    </w:p>
    <w:p>
      <w:pPr>
        <w:adjustRightInd w:val="0"/>
        <w:snapToGrid w:val="0"/>
        <w:spacing w:line="360" w:lineRule="auto"/>
        <w:ind w:firstLine="480" w:firstLineChars="200"/>
        <w:rPr>
          <w:rFonts w:hint="eastAsia" w:ascii="新宋体" w:hAnsi="新宋体" w:eastAsia="新宋体"/>
          <w:i/>
          <w:iCs/>
          <w:sz w:val="24"/>
          <w:szCs w:val="24"/>
          <w:u w:val="single"/>
        </w:rPr>
      </w:pPr>
      <w:r>
        <w:rPr>
          <w:rFonts w:hint="eastAsia" w:ascii="新宋体" w:hAnsi="新宋体" w:eastAsia="新宋体"/>
          <w:i/>
          <w:iCs/>
          <w:sz w:val="24"/>
          <w:szCs w:val="24"/>
          <w:u w:val="single"/>
        </w:rPr>
        <w:t>☆4.</w:t>
      </w:r>
      <w:r>
        <w:rPr>
          <w:rFonts w:hint="eastAsia" w:ascii="新宋体" w:hAnsi="新宋体" w:eastAsia="新宋体"/>
          <w:i/>
          <w:iCs/>
          <w:sz w:val="24"/>
          <w:szCs w:val="24"/>
          <w:u w:val="single"/>
          <w:lang w:val="en-US" w:eastAsia="zh-CN"/>
        </w:rPr>
        <w:t>1</w:t>
      </w:r>
      <w:r>
        <w:rPr>
          <w:rFonts w:hint="eastAsia" w:ascii="新宋体" w:hAnsi="新宋体" w:eastAsia="新宋体"/>
          <w:i/>
          <w:iCs/>
          <w:sz w:val="24"/>
          <w:szCs w:val="24"/>
          <w:u w:val="single"/>
        </w:rPr>
        <w:t>5 餐饮服务方应有计划地做好供餐预算，尽量减少剩余饭菜，并做好保鲜冷藏管理，不能与生食、半成品混合存放。素菜限当餐使用，小荤限当日使用，大荤限24小时内使用。（提供承诺函加盖投标人公章）。</w:t>
      </w:r>
    </w:p>
    <w:p>
      <w:pPr>
        <w:adjustRightInd w:val="0"/>
        <w:snapToGrid w:val="0"/>
        <w:spacing w:line="440" w:lineRule="exact"/>
        <w:ind w:firstLine="480" w:firstLineChars="200"/>
        <w:contextualSpacing/>
        <w:rPr>
          <w:rFonts w:hint="eastAsia" w:ascii="宋体" w:hAnsi="宋体"/>
          <w:i/>
          <w:iCs/>
          <w:sz w:val="24"/>
          <w:szCs w:val="24"/>
          <w:u w:val="single"/>
        </w:rPr>
      </w:pPr>
      <w:r>
        <w:rPr>
          <w:rFonts w:hint="eastAsia" w:ascii="新宋体" w:hAnsi="新宋体" w:eastAsia="新宋体"/>
          <w:i/>
          <w:iCs/>
          <w:sz w:val="24"/>
          <w:szCs w:val="24"/>
          <w:u w:val="single"/>
        </w:rPr>
        <w:t>☆</w:t>
      </w:r>
      <w:r>
        <w:rPr>
          <w:rFonts w:hint="eastAsia" w:ascii="宋体" w:hAnsi="宋体"/>
          <w:i/>
          <w:iCs/>
          <w:sz w:val="24"/>
          <w:szCs w:val="24"/>
          <w:u w:val="single"/>
        </w:rPr>
        <w:t>4.</w:t>
      </w:r>
      <w:r>
        <w:rPr>
          <w:rFonts w:hint="eastAsia" w:ascii="宋体" w:hAnsi="宋体"/>
          <w:i/>
          <w:iCs/>
          <w:sz w:val="24"/>
          <w:szCs w:val="24"/>
          <w:u w:val="single"/>
          <w:lang w:val="en-US" w:eastAsia="zh-CN"/>
        </w:rPr>
        <w:t>1</w:t>
      </w:r>
      <w:r>
        <w:rPr>
          <w:rFonts w:hint="eastAsia" w:ascii="宋体" w:hAnsi="宋体"/>
          <w:i/>
          <w:iCs/>
          <w:sz w:val="24"/>
          <w:szCs w:val="24"/>
          <w:u w:val="single"/>
        </w:rPr>
        <w:t>6营养食堂及</w:t>
      </w:r>
      <w:r>
        <w:rPr>
          <w:rFonts w:ascii="宋体" w:hAnsi="宋体"/>
          <w:i/>
          <w:iCs/>
          <w:sz w:val="24"/>
          <w:szCs w:val="24"/>
          <w:u w:val="single"/>
        </w:rPr>
        <w:t>病员</w:t>
      </w:r>
      <w:r>
        <w:rPr>
          <w:rFonts w:hint="eastAsia" w:ascii="宋体" w:hAnsi="宋体"/>
          <w:i/>
          <w:iCs/>
          <w:sz w:val="24"/>
          <w:szCs w:val="24"/>
          <w:u w:val="single"/>
        </w:rPr>
        <w:t>餐厅</w:t>
      </w:r>
      <w:r>
        <w:rPr>
          <w:rFonts w:ascii="宋体" w:hAnsi="宋体"/>
          <w:i/>
          <w:iCs/>
          <w:sz w:val="24"/>
          <w:szCs w:val="24"/>
          <w:u w:val="single"/>
        </w:rPr>
        <w:t>日常午餐与晚餐，至少提供2种基础定价套餐，分别为一大荤、一 小荤、</w:t>
      </w:r>
      <w:r>
        <w:rPr>
          <w:rFonts w:hint="eastAsia" w:ascii="宋体" w:hAnsi="宋体"/>
          <w:i/>
          <w:iCs/>
          <w:sz w:val="24"/>
          <w:szCs w:val="24"/>
          <w:u w:val="single"/>
        </w:rPr>
        <w:t>一</w:t>
      </w:r>
      <w:r>
        <w:rPr>
          <w:rFonts w:ascii="宋体" w:hAnsi="宋体"/>
          <w:i/>
          <w:iCs/>
          <w:sz w:val="24"/>
          <w:szCs w:val="24"/>
          <w:u w:val="single"/>
        </w:rPr>
        <w:t>素菜、汤、米饭；二大荤、一小荤、</w:t>
      </w:r>
      <w:r>
        <w:rPr>
          <w:rFonts w:hint="eastAsia" w:ascii="宋体" w:hAnsi="宋体"/>
          <w:i/>
          <w:iCs/>
          <w:sz w:val="24"/>
          <w:szCs w:val="24"/>
          <w:u w:val="single"/>
        </w:rPr>
        <w:t>一</w:t>
      </w:r>
      <w:r>
        <w:rPr>
          <w:rFonts w:ascii="宋体" w:hAnsi="宋体"/>
          <w:i/>
          <w:iCs/>
          <w:sz w:val="24"/>
          <w:szCs w:val="24"/>
          <w:u w:val="single"/>
        </w:rPr>
        <w:t>素菜、汤、米饭，套餐价格和菜品标准(见附件)。 每天中午必须保证大荤、小荤和素菜至少各4个品种。投标人不得以任何理由限制基础套餐供应时间与供应数量。（提供承诺函加盖投标人公章）</w:t>
      </w:r>
    </w:p>
    <w:p>
      <w:pPr>
        <w:adjustRightInd w:val="0"/>
        <w:snapToGrid w:val="0"/>
        <w:spacing w:line="440" w:lineRule="exact"/>
        <w:ind w:firstLine="480" w:firstLineChars="200"/>
        <w:contextualSpacing/>
        <w:rPr>
          <w:rFonts w:hint="eastAsia" w:ascii="新宋体" w:hAnsi="新宋体" w:eastAsia="新宋体"/>
          <w:sz w:val="24"/>
          <w:szCs w:val="24"/>
        </w:rPr>
      </w:pPr>
      <w:r>
        <w:rPr>
          <w:rFonts w:hint="eastAsia" w:ascii="新宋体" w:hAnsi="新宋体" w:eastAsia="新宋体"/>
          <w:sz w:val="24"/>
          <w:szCs w:val="24"/>
          <w:lang w:val="en-US" w:eastAsia="zh-CN"/>
        </w:rPr>
        <w:t>4</w:t>
      </w:r>
      <w:r>
        <w:rPr>
          <w:rFonts w:hint="eastAsia" w:ascii="新宋体" w:hAnsi="新宋体" w:eastAsia="新宋体"/>
          <w:sz w:val="24"/>
          <w:szCs w:val="24"/>
        </w:rPr>
        <w:t>.</w:t>
      </w:r>
      <w:r>
        <w:rPr>
          <w:rFonts w:hint="eastAsia" w:ascii="新宋体" w:hAnsi="新宋体" w:eastAsia="新宋体"/>
          <w:sz w:val="24"/>
          <w:szCs w:val="24"/>
          <w:lang w:val="en-US" w:eastAsia="zh-CN"/>
        </w:rPr>
        <w:t>1</w:t>
      </w:r>
      <w:r>
        <w:rPr>
          <w:rFonts w:hint="eastAsia" w:ascii="新宋体" w:hAnsi="新宋体" w:eastAsia="新宋体"/>
          <w:sz w:val="24"/>
          <w:szCs w:val="24"/>
        </w:rPr>
        <w:t>7 病员餐厅需明码标价，</w:t>
      </w:r>
      <w:r>
        <w:rPr>
          <w:rFonts w:ascii="新宋体" w:hAnsi="新宋体" w:eastAsia="新宋体"/>
          <w:sz w:val="24"/>
          <w:szCs w:val="24"/>
        </w:rPr>
        <w:t>用餐者可以根据自己的口味任意选择菜品自由搭配，需提供小炒、</w:t>
      </w:r>
      <w:r>
        <w:rPr>
          <w:rFonts w:hint="eastAsia" w:ascii="新宋体" w:hAnsi="新宋体" w:eastAsia="新宋体"/>
          <w:sz w:val="24"/>
          <w:szCs w:val="24"/>
        </w:rPr>
        <w:t>盖浇饭，特色餐饮</w:t>
      </w:r>
      <w:r>
        <w:rPr>
          <w:rFonts w:ascii="新宋体" w:hAnsi="新宋体" w:eastAsia="新宋体"/>
          <w:sz w:val="24"/>
          <w:szCs w:val="24"/>
        </w:rPr>
        <w:t>及提供各式饮料等服务；</w:t>
      </w:r>
      <w:r>
        <w:rPr>
          <w:rFonts w:hint="eastAsia" w:ascii="新宋体" w:hAnsi="新宋体" w:eastAsia="新宋体"/>
          <w:sz w:val="24"/>
          <w:szCs w:val="24"/>
        </w:rPr>
        <w:t>价格参照扬州东园小馆，必香居。</w:t>
      </w:r>
    </w:p>
    <w:p>
      <w:pPr>
        <w:adjustRightInd w:val="0"/>
        <w:snapToGrid w:val="0"/>
        <w:spacing w:line="440" w:lineRule="exact"/>
        <w:ind w:firstLine="482" w:firstLineChars="200"/>
        <w:contextualSpacing/>
        <w:rPr>
          <w:rFonts w:hint="eastAsia" w:ascii="宋体" w:hAnsi="宋体"/>
          <w:sz w:val="24"/>
          <w:szCs w:val="24"/>
        </w:rPr>
      </w:pPr>
      <w:r>
        <w:rPr>
          <w:rFonts w:hint="eastAsia" w:ascii="新宋体" w:hAnsi="新宋体" w:eastAsia="新宋体"/>
          <w:b/>
          <w:i/>
          <w:iCs/>
          <w:sz w:val="24"/>
          <w:szCs w:val="24"/>
          <w:u w:val="single"/>
        </w:rPr>
        <w:t>☆</w:t>
      </w:r>
      <w:r>
        <w:rPr>
          <w:rFonts w:hint="eastAsia" w:ascii="宋体" w:hAnsi="宋体"/>
          <w:i/>
          <w:iCs/>
          <w:sz w:val="24"/>
          <w:szCs w:val="24"/>
          <w:u w:val="single"/>
        </w:rPr>
        <w:t>4.</w:t>
      </w:r>
      <w:r>
        <w:rPr>
          <w:rFonts w:hint="eastAsia" w:ascii="宋体" w:hAnsi="宋体"/>
          <w:i/>
          <w:iCs/>
          <w:sz w:val="24"/>
          <w:szCs w:val="24"/>
          <w:u w:val="single"/>
          <w:lang w:val="en-US" w:eastAsia="zh-CN"/>
        </w:rPr>
        <w:t>1</w:t>
      </w:r>
      <w:r>
        <w:rPr>
          <w:rFonts w:hint="eastAsia" w:ascii="宋体" w:hAnsi="宋体"/>
          <w:i/>
          <w:iCs/>
          <w:sz w:val="24"/>
          <w:szCs w:val="24"/>
          <w:u w:val="single"/>
        </w:rPr>
        <w:t>8</w:t>
      </w:r>
      <w:r>
        <w:rPr>
          <w:rFonts w:hint="eastAsia" w:ascii="宋体" w:hAnsi="宋体"/>
          <w:i/>
          <w:iCs/>
          <w:spacing w:val="-4"/>
          <w:sz w:val="24"/>
          <w:szCs w:val="24"/>
          <w:u w:val="single"/>
        </w:rPr>
        <w:t>送餐服务（在盛装后45分钟内送至病房）</w:t>
      </w:r>
      <w:r>
        <w:rPr>
          <w:rFonts w:hint="eastAsia" w:ascii="宋体" w:hAnsi="宋体"/>
          <w:i/>
          <w:iCs/>
          <w:sz w:val="24"/>
          <w:szCs w:val="24"/>
          <w:u w:val="single"/>
        </w:rPr>
        <w:t>（提供承诺函加盖投标人公章）</w:t>
      </w:r>
      <w:r>
        <w:rPr>
          <w:rFonts w:hint="eastAsia" w:ascii="宋体" w:hAnsi="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4.</w:t>
      </w:r>
      <w:r>
        <w:rPr>
          <w:rFonts w:hint="eastAsia" w:ascii="新宋体" w:hAnsi="新宋体" w:eastAsia="新宋体"/>
          <w:sz w:val="24"/>
          <w:szCs w:val="24"/>
          <w:lang w:val="en-US" w:eastAsia="zh-CN"/>
        </w:rPr>
        <w:t>1</w:t>
      </w:r>
      <w:r>
        <w:rPr>
          <w:rFonts w:hint="eastAsia" w:ascii="新宋体" w:hAnsi="新宋体" w:eastAsia="新宋体"/>
          <w:sz w:val="24"/>
          <w:szCs w:val="24"/>
        </w:rPr>
        <w:t>9餐饮服务方每周五需将下周基础套餐菜单报备给总务科。特殊情况下，菜单可根据实际情况更改，但需得到总务科相关管理人员同意，其数量质量不得改变。</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4.</w:t>
      </w:r>
      <w:r>
        <w:rPr>
          <w:rFonts w:hint="eastAsia" w:ascii="新宋体" w:hAnsi="新宋体" w:eastAsia="新宋体"/>
          <w:sz w:val="24"/>
          <w:szCs w:val="24"/>
          <w:lang w:val="en-US" w:eastAsia="zh-CN"/>
        </w:rPr>
        <w:t>20</w:t>
      </w:r>
      <w:r>
        <w:rPr>
          <w:rFonts w:hint="eastAsia" w:ascii="新宋体" w:hAnsi="新宋体" w:eastAsia="新宋体"/>
          <w:sz w:val="24"/>
          <w:szCs w:val="24"/>
        </w:rPr>
        <w:t xml:space="preserve"> 需配备一名驻场高水平行政总厨一名提供包厢，会议接待等服务，包厢菜单价格不得超过周边饭店价格。（如食为天大酒店）</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5</w:t>
      </w:r>
      <w:r>
        <w:rPr>
          <w:rFonts w:hint="eastAsia" w:ascii="新宋体" w:hAnsi="新宋体" w:eastAsia="新宋体"/>
          <w:sz w:val="24"/>
          <w:szCs w:val="24"/>
          <w:lang w:val="en-US" w:eastAsia="zh-CN"/>
        </w:rPr>
        <w:t>.</w:t>
      </w:r>
      <w:r>
        <w:rPr>
          <w:rFonts w:ascii="新宋体" w:hAnsi="新宋体" w:eastAsia="新宋体"/>
          <w:sz w:val="24"/>
          <w:szCs w:val="24"/>
        </w:rPr>
        <w:t>出品质量：</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5.1</w:t>
      </w:r>
      <w:r>
        <w:rPr>
          <w:rFonts w:ascii="新宋体" w:hAnsi="新宋体" w:eastAsia="新宋体"/>
          <w:sz w:val="24"/>
          <w:szCs w:val="24"/>
        </w:rPr>
        <w:t>米饭： 米质良好、色泽纯正，不糊、不夹生， 软硬适当， 饭的温度不低于 30 摄氏度；</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5.2</w:t>
      </w:r>
      <w:r>
        <w:rPr>
          <w:rFonts w:ascii="新宋体" w:hAnsi="新宋体" w:eastAsia="新宋体"/>
          <w:sz w:val="24"/>
          <w:szCs w:val="24"/>
        </w:rPr>
        <w:t>菜肴： 色鲜味美，原料新鲜，口味咸淡适中， 无杂物，热菜中心温度不得低于 70 摄氏度；</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5.3</w:t>
      </w:r>
      <w:r>
        <w:rPr>
          <w:rFonts w:ascii="新宋体" w:hAnsi="新宋体" w:eastAsia="新宋体"/>
          <w:sz w:val="24"/>
          <w:szCs w:val="24"/>
        </w:rPr>
        <w:t>面制品：成品软硬适当， 不酸、不涩，色泽纯正， 均匀量足；</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5.4</w:t>
      </w:r>
      <w:r>
        <w:rPr>
          <w:rFonts w:ascii="新宋体" w:hAnsi="新宋体" w:eastAsia="新宋体"/>
          <w:sz w:val="24"/>
          <w:szCs w:val="24"/>
        </w:rPr>
        <w:t>副食品：口味纯正， 色泽正常；</w:t>
      </w:r>
    </w:p>
    <w:p>
      <w:pPr>
        <w:adjustRightInd w:val="0"/>
        <w:snapToGrid w:val="0"/>
        <w:spacing w:line="360" w:lineRule="auto"/>
        <w:ind w:firstLine="416" w:firstLineChars="200"/>
        <w:rPr>
          <w:rFonts w:hint="eastAsia" w:ascii="新宋体" w:hAnsi="新宋体" w:eastAsia="新宋体"/>
          <w:sz w:val="24"/>
          <w:szCs w:val="24"/>
        </w:rPr>
      </w:pPr>
      <w:r>
        <w:rPr>
          <w:rFonts w:hint="eastAsia"/>
          <w:spacing w:val="-1"/>
          <w:szCs w:val="21"/>
          <w:lang w:val="en-US" w:eastAsia="zh-CN"/>
        </w:rPr>
        <w:t>5.5</w:t>
      </w:r>
      <w:r>
        <w:rPr>
          <w:spacing w:val="-1"/>
          <w:szCs w:val="21"/>
        </w:rPr>
        <w:t>汤</w:t>
      </w:r>
      <w:r>
        <w:rPr>
          <w:rFonts w:ascii="新宋体" w:hAnsi="新宋体" w:eastAsia="新宋体"/>
          <w:sz w:val="24"/>
          <w:szCs w:val="24"/>
        </w:rPr>
        <w:t>：汤品味道浓郁均衡、不油腻、不浑浊、营养丰富，温度不低于 60 摄氏度。</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5.6</w:t>
      </w:r>
      <w:r>
        <w:rPr>
          <w:rFonts w:ascii="新宋体" w:hAnsi="新宋体" w:eastAsia="新宋体"/>
          <w:sz w:val="24"/>
          <w:szCs w:val="24"/>
        </w:rPr>
        <w:t>餐品每7天全面更换一次菜式。提前 1 周做好菜肴款式、试做、试尝、成本分析、定价等提交给采购人后勤保障部审核后执行。</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5.7</w:t>
      </w:r>
      <w:r>
        <w:rPr>
          <w:rFonts w:ascii="新宋体" w:hAnsi="新宋体" w:eastAsia="新宋体"/>
          <w:sz w:val="24"/>
          <w:szCs w:val="24"/>
        </w:rPr>
        <w:t>早餐：干稀搭配，提供白粥、杂粮粥、鸡蛋、包子、点心、油条、热牛奶、热豆浆、酱菜、馄饨、面条等每天至少 20 个品种；</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5.8</w:t>
      </w:r>
      <w:r>
        <w:rPr>
          <w:rFonts w:ascii="新宋体" w:hAnsi="新宋体" w:eastAsia="新宋体"/>
          <w:sz w:val="24"/>
          <w:szCs w:val="24"/>
        </w:rPr>
        <w:t xml:space="preserve">午餐： 品种不少于 </w:t>
      </w:r>
      <w:r>
        <w:rPr>
          <w:rFonts w:hint="eastAsia" w:ascii="新宋体" w:hAnsi="新宋体" w:eastAsia="新宋体"/>
          <w:sz w:val="24"/>
          <w:szCs w:val="24"/>
        </w:rPr>
        <w:t>4</w:t>
      </w:r>
      <w:r>
        <w:rPr>
          <w:rFonts w:ascii="新宋体" w:hAnsi="新宋体" w:eastAsia="新宋体"/>
          <w:sz w:val="24"/>
          <w:szCs w:val="24"/>
        </w:rPr>
        <w:t>0 种【包括大荤、小荤、素菜、小吃、地方特色食品（兰州拉面、云南米线、 广西米粉等）、汤、面食等】；</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5.9</w:t>
      </w:r>
      <w:r>
        <w:rPr>
          <w:rFonts w:ascii="新宋体" w:hAnsi="新宋体" w:eastAsia="新宋体"/>
          <w:sz w:val="24"/>
          <w:szCs w:val="24"/>
        </w:rPr>
        <w:t xml:space="preserve">晚餐： 品种不少于 </w:t>
      </w:r>
      <w:r>
        <w:rPr>
          <w:rFonts w:hint="eastAsia" w:ascii="新宋体" w:hAnsi="新宋体" w:eastAsia="新宋体"/>
          <w:sz w:val="24"/>
          <w:szCs w:val="24"/>
        </w:rPr>
        <w:t>3</w:t>
      </w:r>
      <w:r>
        <w:rPr>
          <w:rFonts w:ascii="新宋体" w:hAnsi="新宋体" w:eastAsia="新宋体"/>
          <w:sz w:val="24"/>
          <w:szCs w:val="24"/>
        </w:rPr>
        <w:t>0 种【包括大荤、小荤、素菜、小吃、地方特色食品（兰州拉面、云南米线、 广西米粉等）、汤、面食等】；</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5.10</w:t>
      </w:r>
      <w:r>
        <w:rPr>
          <w:rFonts w:ascii="新宋体" w:hAnsi="新宋体" w:eastAsia="新宋体"/>
          <w:sz w:val="24"/>
          <w:szCs w:val="24"/>
        </w:rPr>
        <w:t>食品要求小荤需含肉类或蛋类，汤要有质量、有一定数量的固体食物。一周内做到荤、素菜、 汤类无重复， 需要兼顾东西南北中风味。供应商可根据实际情况制定优惠方案，如每天提供特价菜品、二次调料等。</w:t>
      </w:r>
    </w:p>
    <w:bookmarkEnd w:id="2"/>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6.</w:t>
      </w:r>
      <w:r>
        <w:rPr>
          <w:rFonts w:ascii="新宋体" w:hAnsi="新宋体" w:eastAsia="新宋体"/>
          <w:sz w:val="24"/>
          <w:szCs w:val="24"/>
        </w:rPr>
        <w:t>监督</w:t>
      </w:r>
      <w:r>
        <w:rPr>
          <w:rFonts w:hint="eastAsia" w:ascii="新宋体" w:hAnsi="新宋体" w:eastAsia="新宋体"/>
          <w:sz w:val="24"/>
          <w:szCs w:val="24"/>
        </w:rPr>
        <w:t>管理</w:t>
      </w:r>
    </w:p>
    <w:p>
      <w:pPr>
        <w:adjustRightInd w:val="0"/>
        <w:snapToGrid w:val="0"/>
        <w:spacing w:line="360" w:lineRule="auto"/>
        <w:ind w:firstLine="480" w:firstLineChars="200"/>
        <w:rPr>
          <w:rFonts w:hint="eastAsia" w:ascii="宋体" w:hAnsi="宋体"/>
          <w:sz w:val="24"/>
          <w:szCs w:val="24"/>
        </w:rPr>
      </w:pPr>
      <w:r>
        <w:rPr>
          <w:rFonts w:hint="eastAsia" w:ascii="新宋体" w:hAnsi="新宋体" w:eastAsia="新宋体"/>
          <w:sz w:val="24"/>
          <w:szCs w:val="24"/>
          <w:lang w:val="en-US" w:eastAsia="zh-CN"/>
        </w:rPr>
        <w:t>6.1</w:t>
      </w:r>
      <w:r>
        <w:rPr>
          <w:rFonts w:ascii="新宋体" w:hAnsi="新宋体" w:eastAsia="新宋体"/>
          <w:sz w:val="24"/>
          <w:szCs w:val="24"/>
        </w:rPr>
        <w:t xml:space="preserve"> </w:t>
      </w:r>
      <w:r>
        <w:rPr>
          <w:rFonts w:hint="eastAsia" w:ascii="新宋体" w:hAnsi="新宋体" w:eastAsia="新宋体"/>
          <w:sz w:val="24"/>
          <w:szCs w:val="24"/>
        </w:rPr>
        <w:t>后勤保障处、</w:t>
      </w:r>
      <w:r>
        <w:rPr>
          <w:rFonts w:ascii="新宋体" w:hAnsi="新宋体" w:eastAsia="新宋体"/>
          <w:sz w:val="24"/>
          <w:szCs w:val="24"/>
        </w:rPr>
        <w:t>院感</w:t>
      </w:r>
      <w:r>
        <w:rPr>
          <w:rFonts w:hint="eastAsia" w:ascii="新宋体" w:hAnsi="新宋体" w:eastAsia="新宋体"/>
          <w:sz w:val="24"/>
          <w:szCs w:val="24"/>
        </w:rPr>
        <w:t>处</w:t>
      </w:r>
      <w:r>
        <w:rPr>
          <w:rFonts w:ascii="新宋体" w:hAnsi="新宋体" w:eastAsia="新宋体"/>
          <w:sz w:val="24"/>
          <w:szCs w:val="24"/>
        </w:rPr>
        <w:t>、保卫处等部门有权依照国家及江苏省</w:t>
      </w:r>
      <w:r>
        <w:rPr>
          <w:rFonts w:hint="eastAsia" w:ascii="新宋体" w:hAnsi="新宋体" w:eastAsia="新宋体"/>
          <w:sz w:val="24"/>
          <w:szCs w:val="24"/>
        </w:rPr>
        <w:t>、</w:t>
      </w:r>
      <w:r>
        <w:rPr>
          <w:rFonts w:ascii="新宋体" w:hAnsi="新宋体" w:eastAsia="新宋体"/>
          <w:sz w:val="24"/>
          <w:szCs w:val="24"/>
        </w:rPr>
        <w:t>扬州市有关《</w:t>
      </w:r>
      <w:r>
        <w:rPr>
          <w:rFonts w:hint="eastAsia" w:ascii="新宋体" w:hAnsi="新宋体" w:eastAsia="新宋体"/>
          <w:sz w:val="24"/>
          <w:szCs w:val="24"/>
        </w:rPr>
        <w:t>团体</w:t>
      </w:r>
      <w:r>
        <w:rPr>
          <w:rFonts w:ascii="新宋体" w:hAnsi="新宋体" w:eastAsia="新宋体"/>
          <w:sz w:val="24"/>
          <w:szCs w:val="24"/>
        </w:rPr>
        <w:t>膳食单位服务质量规范</w:t>
      </w:r>
      <w:r>
        <w:rPr>
          <w:rFonts w:hint="eastAsia" w:ascii="新宋体" w:hAnsi="新宋体" w:eastAsia="新宋体"/>
          <w:sz w:val="24"/>
          <w:szCs w:val="24"/>
        </w:rPr>
        <w:t>（T/CCA 017-2020）</w:t>
      </w:r>
      <w:r>
        <w:rPr>
          <w:rFonts w:hint="eastAsia" w:ascii="宋体" w:hAnsi="宋体" w:cs="微软雅黑"/>
          <w:sz w:val="24"/>
          <w:szCs w:val="24"/>
        </w:rPr>
        <w:t>》</w:t>
      </w:r>
      <w:r>
        <w:rPr>
          <w:rFonts w:ascii="新宋体" w:hAnsi="新宋体" w:eastAsia="新宋体"/>
          <w:sz w:val="24"/>
          <w:szCs w:val="24"/>
        </w:rPr>
        <w:t>、食品安全、卫生防疫、消防控制、安全生产等相关法律法规的</w:t>
      </w:r>
      <w:r>
        <w:rPr>
          <w:rFonts w:hint="eastAsia" w:ascii="新宋体" w:hAnsi="新宋体" w:eastAsia="新宋体"/>
          <w:sz w:val="24"/>
          <w:szCs w:val="24"/>
        </w:rPr>
        <w:t>要求</w:t>
      </w:r>
      <w:r>
        <w:rPr>
          <w:rFonts w:ascii="新宋体" w:hAnsi="新宋体" w:eastAsia="新宋体"/>
          <w:sz w:val="24"/>
          <w:szCs w:val="24"/>
        </w:rPr>
        <w:t>对外包公司进行监督检查，同时要求外包公司对违规行为进行整改。外包公司应无条件接受监管，发现问题及时整改。</w:t>
      </w:r>
      <w:r>
        <w:rPr>
          <w:rFonts w:ascii="宋体" w:hAnsi="宋体"/>
          <w:sz w:val="24"/>
          <w:szCs w:val="24"/>
        </w:rPr>
        <w:t>具体要求参见附件</w:t>
      </w:r>
      <w:r>
        <w:rPr>
          <w:rFonts w:hint="eastAsia" w:ascii="宋体" w:hAnsi="宋体"/>
          <w:sz w:val="24"/>
          <w:szCs w:val="24"/>
        </w:rPr>
        <w:t>4《</w:t>
      </w:r>
      <w:r>
        <w:rPr>
          <w:rFonts w:hint="eastAsia" w:ascii="宋体" w:hAnsi="宋体" w:cs="黑体"/>
          <w:b/>
          <w:bCs/>
          <w:sz w:val="24"/>
          <w:szCs w:val="24"/>
          <w:lang w:val="zh-CN"/>
        </w:rPr>
        <w:t>职工食堂日常运营管理监督考核表</w:t>
      </w:r>
      <w:r>
        <w:rPr>
          <w:rFonts w:hint="eastAsia" w:ascii="宋体" w:hAnsi="宋体"/>
          <w:sz w:val="24"/>
          <w:szCs w:val="24"/>
        </w:rPr>
        <w:t>》</w:t>
      </w:r>
      <w:r>
        <w:rPr>
          <w:rFonts w:ascii="宋体" w:hAnsi="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6.2</w:t>
      </w:r>
      <w:r>
        <w:rPr>
          <w:rFonts w:hint="eastAsia" w:ascii="新宋体" w:hAnsi="新宋体" w:eastAsia="新宋体"/>
          <w:sz w:val="24"/>
          <w:szCs w:val="24"/>
        </w:rPr>
        <w:t>后勤保障处</w:t>
      </w:r>
      <w:r>
        <w:rPr>
          <w:rFonts w:ascii="新宋体" w:hAnsi="新宋体" w:eastAsia="新宋体"/>
          <w:sz w:val="24"/>
          <w:szCs w:val="24"/>
        </w:rPr>
        <w:t>、院感、保卫处等部门有权对外包公司以下各项工作进行监督和检查：</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6.3</w:t>
      </w:r>
      <w:r>
        <w:rPr>
          <w:rFonts w:ascii="新宋体" w:hAnsi="新宋体" w:eastAsia="新宋体"/>
          <w:sz w:val="24"/>
          <w:szCs w:val="24"/>
        </w:rPr>
        <w:t>食物原材料及其他是否符合要求（如食药监局、医院等部门）；</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6.4</w:t>
      </w:r>
      <w:r>
        <w:rPr>
          <w:rFonts w:ascii="新宋体" w:hAnsi="新宋体" w:eastAsia="新宋体"/>
          <w:sz w:val="24"/>
          <w:szCs w:val="24"/>
        </w:rPr>
        <w:t>主副食品的加工、制作、销售</w:t>
      </w:r>
      <w:r>
        <w:rPr>
          <w:rFonts w:hint="eastAsia" w:ascii="新宋体" w:hAnsi="新宋体" w:eastAsia="新宋体"/>
          <w:sz w:val="24"/>
          <w:szCs w:val="24"/>
        </w:rPr>
        <w:t>、</w:t>
      </w:r>
      <w:r>
        <w:rPr>
          <w:rFonts w:ascii="新宋体" w:hAnsi="新宋体" w:eastAsia="新宋体"/>
          <w:sz w:val="24"/>
          <w:szCs w:val="24"/>
        </w:rPr>
        <w:t>储存等情况是否符合要求；</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6.5</w:t>
      </w:r>
      <w:r>
        <w:rPr>
          <w:rFonts w:ascii="新宋体" w:hAnsi="新宋体" w:eastAsia="新宋体"/>
          <w:sz w:val="24"/>
          <w:szCs w:val="24"/>
        </w:rPr>
        <w:t>餐厅、厨房、冷库、常温库</w:t>
      </w:r>
      <w:r>
        <w:rPr>
          <w:rFonts w:hint="eastAsia" w:ascii="新宋体" w:hAnsi="新宋体" w:eastAsia="新宋体"/>
          <w:sz w:val="24"/>
          <w:szCs w:val="24"/>
        </w:rPr>
        <w:t>、</w:t>
      </w:r>
      <w:r>
        <w:rPr>
          <w:rFonts w:ascii="新宋体" w:hAnsi="新宋体" w:eastAsia="新宋体"/>
          <w:sz w:val="24"/>
          <w:szCs w:val="24"/>
        </w:rPr>
        <w:t>灶具、厨具、餐具、食品和人员的卫生情况</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6.6</w:t>
      </w:r>
      <w:r>
        <w:rPr>
          <w:rFonts w:ascii="新宋体" w:hAnsi="新宋体" w:eastAsia="新宋体"/>
          <w:sz w:val="24"/>
          <w:szCs w:val="24"/>
        </w:rPr>
        <w:t>经营场所灭蝇、灭蟑</w:t>
      </w:r>
      <w:r>
        <w:rPr>
          <w:rFonts w:hint="eastAsia" w:ascii="新宋体" w:hAnsi="新宋体" w:eastAsia="新宋体"/>
          <w:sz w:val="24"/>
          <w:szCs w:val="24"/>
        </w:rPr>
        <w:t>、</w:t>
      </w:r>
      <w:r>
        <w:rPr>
          <w:rFonts w:ascii="新宋体" w:hAnsi="新宋体" w:eastAsia="新宋体"/>
          <w:sz w:val="24"/>
          <w:szCs w:val="24"/>
        </w:rPr>
        <w:t>灭虫</w:t>
      </w:r>
      <w:r>
        <w:rPr>
          <w:rFonts w:hint="eastAsia" w:ascii="新宋体" w:hAnsi="新宋体" w:eastAsia="新宋体"/>
          <w:sz w:val="24"/>
          <w:szCs w:val="24"/>
        </w:rPr>
        <w:t>、</w:t>
      </w:r>
      <w:r>
        <w:rPr>
          <w:rFonts w:ascii="新宋体" w:hAnsi="新宋体" w:eastAsia="新宋体"/>
          <w:sz w:val="24"/>
          <w:szCs w:val="24"/>
        </w:rPr>
        <w:t>灭鼠等病媒生物防制情况</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6.7</w:t>
      </w:r>
      <w:r>
        <w:rPr>
          <w:rFonts w:ascii="新宋体" w:hAnsi="新宋体" w:eastAsia="新宋体"/>
          <w:sz w:val="24"/>
          <w:szCs w:val="24"/>
        </w:rPr>
        <w:t>各岗位人员有与之相符的上岗证和操作水平情况</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6.8</w:t>
      </w:r>
      <w:r>
        <w:rPr>
          <w:rFonts w:ascii="新宋体" w:hAnsi="新宋体" w:eastAsia="新宋体"/>
          <w:sz w:val="24"/>
          <w:szCs w:val="24"/>
        </w:rPr>
        <w:t>食堂内设施设备的安全操作使用、定期保养、及时维修等情况</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6.9</w:t>
      </w:r>
      <w:r>
        <w:rPr>
          <w:rFonts w:ascii="新宋体" w:hAnsi="新宋体" w:eastAsia="新宋体"/>
          <w:sz w:val="24"/>
          <w:szCs w:val="24"/>
        </w:rPr>
        <w:t>水、电、气、蒸汽等高危操作是否符合要求</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6.10</w:t>
      </w:r>
      <w:r>
        <w:rPr>
          <w:rFonts w:ascii="新宋体" w:hAnsi="新宋体" w:eastAsia="新宋体"/>
          <w:sz w:val="24"/>
          <w:szCs w:val="24"/>
        </w:rPr>
        <w:t>厨房安全消防及安全生产执行情况</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6.11</w:t>
      </w:r>
      <w:r>
        <w:rPr>
          <w:rFonts w:ascii="新宋体" w:hAnsi="新宋体" w:eastAsia="新宋体"/>
          <w:sz w:val="24"/>
          <w:szCs w:val="24"/>
        </w:rPr>
        <w:t>食堂各种应急预案准备和执行情况</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i/>
          <w:iCs/>
          <w:sz w:val="24"/>
          <w:szCs w:val="24"/>
          <w:u w:val="single"/>
        </w:rPr>
      </w:pPr>
      <w:r>
        <w:rPr>
          <w:rFonts w:hint="eastAsia" w:ascii="新宋体" w:hAnsi="新宋体" w:eastAsia="新宋体"/>
          <w:i/>
          <w:iCs/>
          <w:sz w:val="24"/>
          <w:szCs w:val="24"/>
          <w:u w:val="single"/>
        </w:rPr>
        <w:t>☆</w:t>
      </w:r>
      <w:r>
        <w:rPr>
          <w:rFonts w:hint="eastAsia" w:ascii="新宋体" w:hAnsi="新宋体" w:eastAsia="新宋体"/>
          <w:i/>
          <w:sz w:val="24"/>
          <w:szCs w:val="24"/>
          <w:u w:val="single"/>
          <w:lang w:val="en-US" w:eastAsia="zh-CN"/>
        </w:rPr>
        <w:t>6.12</w:t>
      </w:r>
      <w:r>
        <w:rPr>
          <w:rFonts w:ascii="新宋体" w:hAnsi="新宋体" w:eastAsia="新宋体"/>
          <w:i/>
          <w:sz w:val="24"/>
          <w:szCs w:val="24"/>
          <w:u w:val="single"/>
        </w:rPr>
        <w:t>医院有权对中标公司进行全成本全过程的食品制备和安全监管，包括但不限于：人员资质、货品来源资质、进货台账、加工流程、尝膳、留样</w:t>
      </w:r>
      <w:r>
        <w:rPr>
          <w:rFonts w:hint="eastAsia" w:ascii="新宋体" w:hAnsi="新宋体" w:eastAsia="新宋体"/>
          <w:i/>
          <w:sz w:val="24"/>
          <w:szCs w:val="24"/>
          <w:u w:val="single"/>
        </w:rPr>
        <w:t>、</w:t>
      </w:r>
      <w:r>
        <w:rPr>
          <w:rFonts w:ascii="新宋体" w:hAnsi="新宋体" w:eastAsia="新宋体"/>
          <w:i/>
          <w:sz w:val="24"/>
          <w:szCs w:val="24"/>
          <w:u w:val="single"/>
        </w:rPr>
        <w:t>盈亏报表等，中标公司应无条件配合。</w:t>
      </w:r>
      <w:r>
        <w:rPr>
          <w:rFonts w:hint="eastAsia" w:ascii="新宋体" w:hAnsi="新宋体" w:eastAsia="新宋体"/>
          <w:i/>
          <w:iCs/>
          <w:sz w:val="24"/>
          <w:szCs w:val="24"/>
          <w:u w:val="single"/>
        </w:rPr>
        <w:t>（提供承诺函加盖投标人公章）。</w:t>
      </w:r>
    </w:p>
    <w:p>
      <w:pPr>
        <w:adjustRightInd w:val="0"/>
        <w:snapToGrid w:val="0"/>
        <w:spacing w:line="360" w:lineRule="auto"/>
        <w:ind w:firstLine="480" w:firstLineChars="200"/>
        <w:rPr>
          <w:rFonts w:hint="eastAsia" w:ascii="新宋体" w:hAnsi="新宋体" w:eastAsia="新宋体"/>
          <w:color w:val="FF0000"/>
          <w:sz w:val="24"/>
          <w:szCs w:val="24"/>
        </w:rPr>
      </w:pPr>
      <w:r>
        <w:rPr>
          <w:rFonts w:hint="eastAsia" w:ascii="新宋体" w:hAnsi="新宋体" w:eastAsia="新宋体"/>
          <w:iCs/>
          <w:color w:val="FF0000"/>
          <w:sz w:val="24"/>
          <w:szCs w:val="24"/>
          <w:lang w:val="en-US" w:eastAsia="zh-CN"/>
        </w:rPr>
        <w:t>6.13</w:t>
      </w:r>
      <w:r>
        <w:rPr>
          <w:rFonts w:hint="eastAsia" w:ascii="新宋体" w:hAnsi="新宋体" w:eastAsia="新宋体"/>
          <w:iCs/>
          <w:color w:val="FF0000"/>
          <w:sz w:val="24"/>
          <w:szCs w:val="24"/>
        </w:rPr>
        <w:t>每月农药残留需监测上传数据。</w:t>
      </w:r>
    </w:p>
    <w:p>
      <w:pPr>
        <w:adjustRightInd w:val="0"/>
        <w:snapToGrid w:val="0"/>
        <w:spacing w:line="360" w:lineRule="auto"/>
        <w:ind w:firstLine="482" w:firstLineChars="200"/>
        <w:rPr>
          <w:rFonts w:hint="eastAsia" w:ascii="新宋体" w:hAnsi="新宋体" w:eastAsia="新宋体"/>
          <w:b/>
          <w:sz w:val="24"/>
          <w:szCs w:val="24"/>
        </w:rPr>
      </w:pPr>
      <w:bookmarkStart w:id="4" w:name="_Hlk186420887"/>
      <w:r>
        <w:rPr>
          <w:rFonts w:hint="eastAsia" w:ascii="新宋体" w:hAnsi="新宋体" w:eastAsia="新宋体"/>
          <w:b/>
          <w:sz w:val="24"/>
          <w:szCs w:val="24"/>
          <w:lang w:val="en-US" w:eastAsia="zh-CN"/>
        </w:rPr>
        <w:t>7</w:t>
      </w:r>
      <w:r>
        <w:rPr>
          <w:rFonts w:ascii="新宋体" w:hAnsi="新宋体" w:eastAsia="新宋体"/>
          <w:b/>
          <w:sz w:val="24"/>
          <w:szCs w:val="24"/>
        </w:rPr>
        <w:t>.设备设施要求</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7</w:t>
      </w:r>
      <w:r>
        <w:rPr>
          <w:rFonts w:ascii="新宋体" w:hAnsi="新宋体" w:eastAsia="新宋体"/>
          <w:sz w:val="24"/>
          <w:szCs w:val="24"/>
        </w:rPr>
        <w:t>.1食品加工动线符合相关法规要求</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7</w:t>
      </w:r>
      <w:r>
        <w:rPr>
          <w:rFonts w:ascii="新宋体" w:hAnsi="新宋体" w:eastAsia="新宋体"/>
          <w:sz w:val="24"/>
          <w:szCs w:val="24"/>
        </w:rPr>
        <w:t>.2食品加工设施及使用要符合《食品安全法》等要求；严格执行江苏省卫健委颁发的苏事管</w:t>
      </w:r>
      <w:r>
        <w:rPr>
          <w:rFonts w:hint="eastAsia" w:ascii="仿宋_GB2312" w:hAnsi="新宋体" w:eastAsia="仿宋_GB2312"/>
          <w:sz w:val="24"/>
          <w:szCs w:val="24"/>
        </w:rPr>
        <w:t>〔</w:t>
      </w:r>
      <w:r>
        <w:rPr>
          <w:rFonts w:ascii="新宋体" w:hAnsi="新宋体" w:eastAsia="新宋体"/>
          <w:sz w:val="24"/>
          <w:szCs w:val="24"/>
        </w:rPr>
        <w:t>2021</w:t>
      </w:r>
      <w:r>
        <w:rPr>
          <w:rFonts w:hint="eastAsia" w:ascii="仿宋_GB2312" w:hAnsi="新宋体" w:eastAsia="仿宋_GB2312"/>
          <w:sz w:val="24"/>
          <w:szCs w:val="24"/>
        </w:rPr>
        <w:t>〕</w:t>
      </w:r>
      <w:r>
        <w:rPr>
          <w:rFonts w:ascii="新宋体" w:hAnsi="新宋体" w:eastAsia="新宋体"/>
          <w:sz w:val="24"/>
          <w:szCs w:val="24"/>
        </w:rPr>
        <w:t>93号，禁止使用一次性不可降解塑料制品。</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7</w:t>
      </w:r>
      <w:r>
        <w:rPr>
          <w:rFonts w:ascii="新宋体" w:hAnsi="新宋体" w:eastAsia="新宋体"/>
          <w:sz w:val="24"/>
          <w:szCs w:val="24"/>
        </w:rPr>
        <w:t xml:space="preserve">.3 </w:t>
      </w:r>
      <w:r>
        <w:rPr>
          <w:rFonts w:ascii="新宋体" w:hAnsi="新宋体" w:eastAsia="新宋体"/>
          <w:b/>
          <w:sz w:val="24"/>
          <w:szCs w:val="24"/>
        </w:rPr>
        <w:t>食堂排烟系统清洗要符合消防、环保等部门相关标准及要求，保证排烟系统的清洁、卫生和安全使用</w:t>
      </w:r>
      <w:r>
        <w:rPr>
          <w:rFonts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7</w:t>
      </w:r>
      <w:r>
        <w:rPr>
          <w:rFonts w:ascii="新宋体" w:hAnsi="新宋体" w:eastAsia="新宋体"/>
          <w:sz w:val="24"/>
          <w:szCs w:val="24"/>
        </w:rPr>
        <w:t>.4食堂燃气及设施的安全使用应达到相关要求（如食药监局、环保及医院相关部门等要求）；</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7</w:t>
      </w:r>
      <w:r>
        <w:rPr>
          <w:rFonts w:ascii="新宋体" w:hAnsi="新宋体" w:eastAsia="新宋体"/>
          <w:sz w:val="24"/>
          <w:szCs w:val="24"/>
        </w:rPr>
        <w:t>.5 要求安装燃气报警装置及烟感装置等必要设备，使用效果应达到相关规定要求（如市食 药监局、环保及医院相关部门等要求）；</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食堂内的天然气、油烟风罩、风管、油烟净化器、风口、风机、灶台、操作台、洗碗机、</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7</w:t>
      </w:r>
      <w:r>
        <w:rPr>
          <w:rFonts w:ascii="新宋体" w:hAnsi="新宋体" w:eastAsia="新宋体"/>
          <w:sz w:val="24"/>
          <w:szCs w:val="24"/>
        </w:rPr>
        <w:t>.6食堂排烟标准达到环保标准；</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7</w:t>
      </w:r>
      <w:r>
        <w:rPr>
          <w:rFonts w:ascii="新宋体" w:hAnsi="新宋体" w:eastAsia="新宋体"/>
          <w:sz w:val="24"/>
          <w:szCs w:val="24"/>
        </w:rPr>
        <w:t>.7要求安装食堂监控系统，并与医院相关</w:t>
      </w:r>
      <w:r>
        <w:rPr>
          <w:rFonts w:hint="eastAsia" w:ascii="新宋体" w:hAnsi="新宋体" w:eastAsia="新宋体"/>
          <w:sz w:val="24"/>
          <w:szCs w:val="24"/>
        </w:rPr>
        <w:t>系统</w:t>
      </w:r>
      <w:r>
        <w:rPr>
          <w:rFonts w:ascii="新宋体" w:hAnsi="新宋体" w:eastAsia="新宋体"/>
          <w:sz w:val="24"/>
          <w:szCs w:val="24"/>
        </w:rPr>
        <w:t>正常对接，使用效果应达到相关规定要求（如食药监局、环保及医院相关部门等要求）；</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lang w:val="en-US" w:eastAsia="zh-CN"/>
        </w:rPr>
        <w:t>7</w:t>
      </w:r>
      <w:r>
        <w:rPr>
          <w:rFonts w:ascii="新宋体" w:hAnsi="新宋体" w:eastAsia="新宋体"/>
          <w:sz w:val="24"/>
          <w:szCs w:val="24"/>
        </w:rPr>
        <w:t>.8以上内容中需要改造的费用由中标人负担</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hint="eastAsia" w:ascii="宋体" w:hAnsi="宋体" w:eastAsia="新宋体"/>
          <w:sz w:val="24"/>
          <w:szCs w:val="24"/>
          <w:lang w:val="en-US" w:eastAsia="zh-CN"/>
        </w:rPr>
        <w:t>7</w:t>
      </w:r>
      <w:r>
        <w:rPr>
          <w:rFonts w:hint="eastAsia" w:ascii="新宋体" w:hAnsi="新宋体" w:eastAsia="新宋体"/>
          <w:sz w:val="24"/>
          <w:szCs w:val="24"/>
        </w:rPr>
        <w:t>.9经营过程中产生的维修费用，</w:t>
      </w:r>
      <w:r>
        <w:rPr>
          <w:rFonts w:ascii="新宋体" w:hAnsi="新宋体" w:eastAsia="新宋体"/>
          <w:sz w:val="24"/>
          <w:szCs w:val="24"/>
        </w:rPr>
        <w:t>由中标人承担。采购人不提供其他投入， 不补贴运营和管理成本， 不承担低值低耗用品、生物防治（灭 蝇、灭蟑、灭虫、灭鼠等病媒生物消除）、设备设施（包含但不限于门窗、家具厨具、空调、照明等） 质保期满后的维修保养费等所有费用；</w:t>
      </w:r>
    </w:p>
    <w:p>
      <w:pPr>
        <w:adjustRightInd w:val="0"/>
        <w:snapToGrid w:val="0"/>
        <w:spacing w:line="360" w:lineRule="auto"/>
        <w:ind w:firstLine="480" w:firstLineChars="200"/>
        <w:rPr>
          <w:rFonts w:hint="eastAsia" w:ascii="新宋体" w:hAnsi="新宋体" w:eastAsia="新宋体"/>
          <w:sz w:val="24"/>
          <w:szCs w:val="24"/>
        </w:rPr>
      </w:pPr>
      <w:r>
        <w:rPr>
          <w:rFonts w:hint="eastAsia" w:ascii="宋体" w:hAnsi="宋体"/>
          <w:sz w:val="24"/>
          <w:szCs w:val="24"/>
          <w:lang w:val="en-US" w:eastAsia="zh-CN"/>
        </w:rPr>
        <w:t>7</w:t>
      </w:r>
      <w:r>
        <w:rPr>
          <w:rFonts w:hint="eastAsia" w:ascii="宋体" w:hAnsi="宋体"/>
          <w:sz w:val="24"/>
          <w:szCs w:val="24"/>
        </w:rPr>
        <w:t>.10</w:t>
      </w:r>
      <w:r>
        <w:rPr>
          <w:rFonts w:hint="eastAsia" w:ascii="宋体" w:hAnsi="宋体"/>
          <w:b/>
          <w:sz w:val="24"/>
          <w:szCs w:val="24"/>
        </w:rPr>
        <w:t>职工及病员食堂的</w:t>
      </w:r>
      <w:r>
        <w:rPr>
          <w:rFonts w:ascii="宋体" w:hAnsi="宋体"/>
          <w:sz w:val="24"/>
          <w:szCs w:val="24"/>
        </w:rPr>
        <w:t>固定资产添置：</w:t>
      </w:r>
      <w:r>
        <w:rPr>
          <w:rFonts w:hint="eastAsia" w:ascii="宋体" w:hAnsi="宋体"/>
          <w:sz w:val="24"/>
          <w:szCs w:val="24"/>
        </w:rPr>
        <w:t>1</w:t>
      </w:r>
      <w:r>
        <w:rPr>
          <w:rFonts w:ascii="宋体" w:hAnsi="宋体"/>
          <w:sz w:val="24"/>
          <w:szCs w:val="24"/>
        </w:rPr>
        <w:t>000元以下的由</w:t>
      </w:r>
      <w:r>
        <w:rPr>
          <w:rFonts w:hint="eastAsia" w:ascii="宋体" w:hAnsi="宋体"/>
          <w:sz w:val="24"/>
          <w:szCs w:val="24"/>
        </w:rPr>
        <w:t>中标人</w:t>
      </w:r>
      <w:r>
        <w:rPr>
          <w:rFonts w:ascii="宋体" w:hAnsi="宋体"/>
          <w:sz w:val="24"/>
          <w:szCs w:val="24"/>
        </w:rPr>
        <w:t>承担，</w:t>
      </w:r>
      <w:r>
        <w:rPr>
          <w:rFonts w:hint="eastAsia" w:ascii="宋体" w:hAnsi="宋体"/>
          <w:sz w:val="24"/>
          <w:szCs w:val="24"/>
        </w:rPr>
        <w:t>1</w:t>
      </w:r>
      <w:r>
        <w:rPr>
          <w:rFonts w:ascii="宋体" w:hAnsi="宋体"/>
          <w:sz w:val="24"/>
          <w:szCs w:val="24"/>
        </w:rPr>
        <w:t>000元以上的由</w:t>
      </w:r>
      <w:r>
        <w:rPr>
          <w:rFonts w:hint="eastAsia" w:ascii="宋体" w:hAnsi="宋体"/>
          <w:sz w:val="24"/>
          <w:szCs w:val="24"/>
        </w:rPr>
        <w:t>中标人</w:t>
      </w:r>
      <w:r>
        <w:rPr>
          <w:rFonts w:ascii="宋体" w:hAnsi="宋体"/>
          <w:sz w:val="24"/>
          <w:szCs w:val="24"/>
        </w:rPr>
        <w:t>提出申请</w:t>
      </w:r>
      <w:r>
        <w:rPr>
          <w:rFonts w:hint="eastAsia" w:ascii="宋体" w:hAnsi="宋体"/>
          <w:sz w:val="24"/>
          <w:szCs w:val="24"/>
        </w:rPr>
        <w:t>（含1000元）</w:t>
      </w:r>
      <w:r>
        <w:rPr>
          <w:rFonts w:ascii="宋体" w:hAnsi="宋体"/>
          <w:sz w:val="24"/>
          <w:szCs w:val="24"/>
        </w:rPr>
        <w:t>，报批甲方审核，同意购买后纳入医院固定资产管理。</w:t>
      </w:r>
    </w:p>
    <w:bookmarkEnd w:id="4"/>
    <w:p>
      <w:pPr>
        <w:adjustRightInd w:val="0"/>
        <w:snapToGrid w:val="0"/>
        <w:spacing w:line="360" w:lineRule="auto"/>
        <w:rPr>
          <w:rFonts w:hint="eastAsia" w:ascii="新宋体" w:hAnsi="新宋体" w:eastAsia="新宋体"/>
          <w:b/>
          <w:sz w:val="24"/>
          <w:szCs w:val="24"/>
        </w:rPr>
      </w:pPr>
      <w:bookmarkStart w:id="5" w:name="_Hlk186420949"/>
      <w:r>
        <w:rPr>
          <w:rFonts w:ascii="新宋体" w:hAnsi="新宋体" w:eastAsia="新宋体"/>
          <w:b/>
          <w:sz w:val="24"/>
          <w:szCs w:val="24"/>
        </w:rPr>
        <w:t>三、费用要求</w:t>
      </w:r>
    </w:p>
    <w:p>
      <w:pPr>
        <w:adjustRightInd w:val="0"/>
        <w:snapToGrid w:val="0"/>
        <w:spacing w:line="360" w:lineRule="auto"/>
        <w:rPr>
          <w:rFonts w:hint="eastAsia" w:ascii="新宋体" w:hAnsi="新宋体" w:eastAsia="新宋体"/>
          <w:b/>
          <w:sz w:val="24"/>
          <w:szCs w:val="24"/>
        </w:rPr>
      </w:pPr>
      <w:r>
        <w:rPr>
          <w:rFonts w:ascii="宋体" w:hAnsi="宋体"/>
          <w:sz w:val="24"/>
          <w:szCs w:val="24"/>
        </w:rPr>
        <w:t>1.餐饮管理服务费模式</w:t>
      </w:r>
    </w:p>
    <w:p>
      <w:pPr>
        <w:adjustRightInd w:val="0"/>
        <w:snapToGrid w:val="0"/>
        <w:spacing w:line="360" w:lineRule="auto"/>
        <w:ind w:firstLine="720" w:firstLineChars="300"/>
        <w:rPr>
          <w:rFonts w:hint="eastAsia" w:ascii="新宋体" w:hAnsi="新宋体" w:eastAsia="新宋体"/>
          <w:sz w:val="24"/>
          <w:szCs w:val="24"/>
        </w:rPr>
      </w:pPr>
      <w:r>
        <w:rPr>
          <w:rFonts w:ascii="新宋体" w:hAnsi="新宋体" w:eastAsia="新宋体"/>
          <w:sz w:val="24"/>
          <w:szCs w:val="24"/>
        </w:rPr>
        <w:t>1.1</w:t>
      </w:r>
      <w:r>
        <w:rPr>
          <w:rFonts w:hint="eastAsia" w:ascii="新宋体" w:hAnsi="新宋体" w:eastAsia="新宋体"/>
          <w:sz w:val="24"/>
          <w:szCs w:val="24"/>
        </w:rPr>
        <w:t>资源</w:t>
      </w:r>
      <w:r>
        <w:rPr>
          <w:rFonts w:ascii="新宋体" w:hAnsi="新宋体" w:eastAsia="新宋体"/>
          <w:sz w:val="24"/>
          <w:szCs w:val="24"/>
        </w:rPr>
        <w:t>占用管理费：</w:t>
      </w:r>
      <w:r>
        <w:rPr>
          <w:rFonts w:hint="eastAsia" w:ascii="新宋体" w:hAnsi="新宋体" w:eastAsia="新宋体"/>
          <w:sz w:val="24"/>
          <w:szCs w:val="24"/>
        </w:rPr>
        <w:t>食堂</w:t>
      </w:r>
      <w:r>
        <w:rPr>
          <w:rFonts w:ascii="新宋体" w:hAnsi="新宋体" w:eastAsia="新宋体"/>
          <w:sz w:val="24"/>
          <w:szCs w:val="24"/>
        </w:rPr>
        <w:t>膳食供应所需的所有成本费用由</w:t>
      </w:r>
      <w:r>
        <w:rPr>
          <w:rFonts w:hint="eastAsia" w:ascii="新宋体" w:hAnsi="新宋体" w:eastAsia="新宋体"/>
          <w:sz w:val="24"/>
          <w:szCs w:val="24"/>
        </w:rPr>
        <w:t>中标人</w:t>
      </w:r>
      <w:r>
        <w:rPr>
          <w:rFonts w:ascii="新宋体" w:hAnsi="新宋体" w:eastAsia="新宋体"/>
          <w:sz w:val="24"/>
          <w:szCs w:val="24"/>
        </w:rPr>
        <w:t>负担，医院收取</w:t>
      </w:r>
      <w:r>
        <w:rPr>
          <w:rFonts w:hint="eastAsia" w:ascii="新宋体" w:hAnsi="新宋体" w:eastAsia="新宋体"/>
          <w:sz w:val="24"/>
          <w:szCs w:val="24"/>
        </w:rPr>
        <w:t>资源占用管理费。中标人每年向院方上缴场地等资源占用管理费____元，合同签订起，按年缴纳。</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1.2</w:t>
      </w:r>
      <w:r>
        <w:rPr>
          <w:rFonts w:hint="eastAsia" w:ascii="新宋体" w:hAnsi="新宋体" w:eastAsia="新宋体"/>
          <w:sz w:val="24"/>
          <w:szCs w:val="24"/>
        </w:rPr>
        <w:t>后厨区域</w:t>
      </w:r>
      <w:r>
        <w:rPr>
          <w:rFonts w:ascii="新宋体" w:hAnsi="新宋体" w:eastAsia="新宋体"/>
          <w:sz w:val="24"/>
          <w:szCs w:val="24"/>
        </w:rPr>
        <w:t>水、电、天然气</w:t>
      </w:r>
      <w:r>
        <w:rPr>
          <w:rFonts w:hint="eastAsia" w:ascii="新宋体" w:hAnsi="新宋体" w:eastAsia="新宋体"/>
          <w:sz w:val="24"/>
          <w:szCs w:val="24"/>
        </w:rPr>
        <w:t>、</w:t>
      </w:r>
      <w:r>
        <w:rPr>
          <w:rFonts w:ascii="新宋体" w:hAnsi="新宋体" w:eastAsia="新宋体"/>
          <w:sz w:val="24"/>
          <w:szCs w:val="24"/>
        </w:rPr>
        <w:t>蒸汽等费用</w:t>
      </w:r>
      <w:r>
        <w:rPr>
          <w:rFonts w:hint="eastAsia" w:ascii="新宋体" w:hAnsi="新宋体" w:eastAsia="新宋体"/>
          <w:sz w:val="24"/>
          <w:szCs w:val="24"/>
        </w:rPr>
        <w:t>由中标人承担</w:t>
      </w:r>
      <w:r>
        <w:rPr>
          <w:rFonts w:ascii="新宋体" w:hAnsi="新宋体" w:eastAsia="新宋体"/>
          <w:sz w:val="24"/>
          <w:szCs w:val="24"/>
        </w:rPr>
        <w:t>：水、电、蒸汽费用于每月末最后一个工作日，甲乙双方共同查表取数，经甲方后保处能源动力和节能管理科审核并确认，按</w:t>
      </w:r>
      <w:r>
        <w:rPr>
          <w:rFonts w:hint="eastAsia" w:ascii="新宋体" w:hAnsi="新宋体" w:eastAsia="新宋体"/>
          <w:sz w:val="24"/>
          <w:szCs w:val="24"/>
        </w:rPr>
        <w:t>中标人</w:t>
      </w:r>
      <w:r>
        <w:rPr>
          <w:rFonts w:ascii="新宋体" w:hAnsi="新宋体" w:eastAsia="新宋体"/>
          <w:sz w:val="24"/>
          <w:szCs w:val="24"/>
        </w:rPr>
        <w:t>当月实际用量和医院实际缴费单价进行计价，</w:t>
      </w:r>
      <w:r>
        <w:rPr>
          <w:rFonts w:hint="eastAsia" w:ascii="新宋体" w:hAnsi="新宋体" w:eastAsia="新宋体"/>
          <w:sz w:val="24"/>
          <w:szCs w:val="24"/>
        </w:rPr>
        <w:t>在当月营业额结算中扣除。如营业额不足，请于3日内凭结算单及时向财务处缴纳。</w:t>
      </w:r>
      <w:r>
        <w:rPr>
          <w:rFonts w:ascii="新宋体" w:hAnsi="新宋体" w:eastAsia="新宋体"/>
          <w:sz w:val="24"/>
          <w:szCs w:val="24"/>
        </w:rPr>
        <w:t>天然气费用由</w:t>
      </w:r>
      <w:r>
        <w:rPr>
          <w:rFonts w:hint="eastAsia" w:ascii="新宋体" w:hAnsi="新宋体" w:eastAsia="新宋体"/>
          <w:sz w:val="24"/>
          <w:szCs w:val="24"/>
        </w:rPr>
        <w:t>中标人</w:t>
      </w:r>
      <w:r>
        <w:rPr>
          <w:rFonts w:ascii="新宋体" w:hAnsi="新宋体" w:eastAsia="新宋体"/>
          <w:sz w:val="24"/>
          <w:szCs w:val="24"/>
        </w:rPr>
        <w:t>与燃气公司直接结算</w:t>
      </w:r>
      <w:r>
        <w:rPr>
          <w:rFonts w:hint="eastAsia" w:ascii="新宋体" w:hAnsi="新宋体" w:eastAsia="新宋体"/>
          <w:sz w:val="24"/>
          <w:szCs w:val="24"/>
        </w:rPr>
        <w:t>。</w:t>
      </w:r>
    </w:p>
    <w:p>
      <w:pPr>
        <w:pStyle w:val="11"/>
        <w:rPr>
          <w:rFonts w:hint="eastAsia" w:ascii="新宋体" w:hAnsi="新宋体" w:eastAsia="新宋体"/>
          <w:kern w:val="2"/>
          <w:sz w:val="24"/>
          <w:szCs w:val="24"/>
        </w:rPr>
      </w:pPr>
      <w:r>
        <w:rPr>
          <w:rFonts w:hint="eastAsia" w:ascii="新宋体" w:hAnsi="新宋体" w:eastAsia="新宋体"/>
          <w:b/>
          <w:bCs/>
          <w:kern w:val="2"/>
          <w:sz w:val="24"/>
          <w:szCs w:val="24"/>
        </w:rPr>
        <w:t xml:space="preserve">   </w:t>
      </w:r>
      <w:r>
        <w:rPr>
          <w:rFonts w:hint="eastAsia" w:ascii="新宋体" w:hAnsi="新宋体" w:eastAsia="新宋体"/>
          <w:kern w:val="2"/>
          <w:sz w:val="24"/>
          <w:szCs w:val="24"/>
        </w:rPr>
        <w:t>1.3 每月需通过点餐系统及医院内网记账收入提供营养食堂营业数据。</w:t>
      </w:r>
    </w:p>
    <w:p>
      <w:pPr>
        <w:adjustRightInd w:val="0"/>
        <w:snapToGrid w:val="0"/>
        <w:spacing w:line="360" w:lineRule="auto"/>
        <w:ind w:firstLine="240" w:firstLineChars="100"/>
        <w:rPr>
          <w:rFonts w:hint="eastAsia" w:ascii="新宋体" w:hAnsi="新宋体" w:eastAsia="新宋体"/>
          <w:i/>
          <w:iCs/>
          <w:sz w:val="24"/>
          <w:szCs w:val="24"/>
          <w:u w:val="single"/>
        </w:rPr>
      </w:pPr>
      <w:r>
        <w:rPr>
          <w:rFonts w:hint="eastAsia" w:ascii="新宋体" w:hAnsi="新宋体" w:eastAsia="新宋体"/>
          <w:i/>
          <w:iCs/>
          <w:sz w:val="24"/>
          <w:szCs w:val="24"/>
          <w:u w:val="single"/>
        </w:rPr>
        <w:t>☆1.4</w:t>
      </w:r>
      <w:r>
        <w:rPr>
          <w:rFonts w:ascii="新宋体" w:hAnsi="新宋体" w:eastAsia="新宋体"/>
          <w:i/>
          <w:iCs/>
          <w:sz w:val="24"/>
          <w:szCs w:val="24"/>
          <w:u w:val="single"/>
        </w:rPr>
        <w:t>.</w:t>
      </w:r>
      <w:r>
        <w:rPr>
          <w:rFonts w:hint="eastAsia" w:ascii="新宋体" w:hAnsi="新宋体" w:eastAsia="新宋体"/>
          <w:i/>
          <w:iCs/>
          <w:sz w:val="24"/>
          <w:szCs w:val="24"/>
          <w:u w:val="single"/>
        </w:rPr>
        <w:t>中标人</w:t>
      </w:r>
      <w:r>
        <w:rPr>
          <w:rFonts w:ascii="新宋体" w:hAnsi="新宋体" w:eastAsia="新宋体"/>
          <w:i/>
          <w:iCs/>
          <w:sz w:val="24"/>
          <w:szCs w:val="24"/>
          <w:u w:val="single"/>
        </w:rPr>
        <w:t>膳食售价由食物原配料以外成本(毛利率)+食物原配料含粮油（入口率）价格两部分组成</w:t>
      </w:r>
      <w:r>
        <w:rPr>
          <w:rFonts w:hint="eastAsia" w:ascii="新宋体" w:hAnsi="新宋体" w:eastAsia="新宋体"/>
          <w:i/>
          <w:iCs/>
          <w:sz w:val="24"/>
          <w:szCs w:val="24"/>
          <w:u w:val="single"/>
        </w:rPr>
        <w:t>。营养食堂菜品入口率</w:t>
      </w:r>
      <w:r>
        <w:rPr>
          <w:rFonts w:ascii="新宋体" w:hAnsi="新宋体" w:eastAsia="新宋体"/>
          <w:i/>
          <w:iCs/>
          <w:sz w:val="24"/>
          <w:szCs w:val="24"/>
          <w:u w:val="single"/>
        </w:rPr>
        <w:t>不得低于6</w:t>
      </w:r>
      <w:r>
        <w:rPr>
          <w:rFonts w:hint="eastAsia" w:ascii="新宋体" w:hAnsi="新宋体" w:eastAsia="新宋体"/>
          <w:i/>
          <w:iCs/>
          <w:sz w:val="24"/>
          <w:szCs w:val="24"/>
          <w:u w:val="single"/>
        </w:rPr>
        <w:t>0</w:t>
      </w:r>
      <w:r>
        <w:rPr>
          <w:rFonts w:ascii="新宋体" w:hAnsi="新宋体" w:eastAsia="新宋体"/>
          <w:i/>
          <w:iCs/>
          <w:sz w:val="24"/>
          <w:szCs w:val="24"/>
          <w:u w:val="single"/>
        </w:rPr>
        <w:t>%，</w:t>
      </w:r>
      <w:r>
        <w:rPr>
          <w:rFonts w:hint="eastAsia" w:ascii="新宋体" w:hAnsi="新宋体" w:eastAsia="新宋体"/>
          <w:i/>
          <w:iCs/>
          <w:sz w:val="24"/>
          <w:szCs w:val="24"/>
          <w:u w:val="single"/>
        </w:rPr>
        <w:t>外客食堂菜品入口率</w:t>
      </w:r>
      <w:r>
        <w:rPr>
          <w:rFonts w:ascii="新宋体" w:hAnsi="新宋体" w:eastAsia="新宋体"/>
          <w:i/>
          <w:iCs/>
          <w:sz w:val="24"/>
          <w:szCs w:val="24"/>
          <w:u w:val="single"/>
        </w:rPr>
        <w:t>不得低于</w:t>
      </w:r>
      <w:r>
        <w:rPr>
          <w:rFonts w:hint="eastAsia" w:ascii="新宋体" w:hAnsi="新宋体" w:eastAsia="新宋体"/>
          <w:i/>
          <w:iCs/>
          <w:sz w:val="24"/>
          <w:szCs w:val="24"/>
          <w:u w:val="single"/>
        </w:rPr>
        <w:t>55</w:t>
      </w:r>
      <w:r>
        <w:rPr>
          <w:rFonts w:ascii="新宋体" w:hAnsi="新宋体" w:eastAsia="新宋体"/>
          <w:i/>
          <w:iCs/>
          <w:sz w:val="24"/>
          <w:szCs w:val="24"/>
          <w:u w:val="single"/>
        </w:rPr>
        <w:t>%</w:t>
      </w:r>
      <w:r>
        <w:rPr>
          <w:rFonts w:hint="eastAsia" w:ascii="新宋体" w:hAnsi="新宋体" w:eastAsia="新宋体"/>
          <w:i/>
          <w:iCs/>
          <w:sz w:val="24"/>
          <w:szCs w:val="24"/>
          <w:u w:val="single"/>
        </w:rPr>
        <w:t>.职工食堂菜品入口率</w:t>
      </w:r>
      <w:r>
        <w:rPr>
          <w:rFonts w:ascii="新宋体" w:hAnsi="新宋体" w:eastAsia="新宋体"/>
          <w:i/>
          <w:iCs/>
          <w:sz w:val="24"/>
          <w:szCs w:val="24"/>
          <w:u w:val="single"/>
        </w:rPr>
        <w:t>不得低于6</w:t>
      </w:r>
      <w:r>
        <w:rPr>
          <w:rFonts w:hint="eastAsia" w:ascii="新宋体" w:hAnsi="新宋体" w:eastAsia="新宋体"/>
          <w:i/>
          <w:iCs/>
          <w:sz w:val="24"/>
          <w:szCs w:val="24"/>
          <w:u w:val="single"/>
        </w:rPr>
        <w:t>0</w:t>
      </w:r>
      <w:r>
        <w:rPr>
          <w:rFonts w:ascii="新宋体" w:hAnsi="新宋体" w:eastAsia="新宋体"/>
          <w:i/>
          <w:iCs/>
          <w:sz w:val="24"/>
          <w:szCs w:val="24"/>
          <w:u w:val="single"/>
        </w:rPr>
        <w:t>%，食物原配料</w:t>
      </w:r>
      <w:r>
        <w:rPr>
          <w:rFonts w:hint="eastAsia" w:ascii="新宋体" w:hAnsi="新宋体" w:eastAsia="新宋体"/>
          <w:i/>
          <w:iCs/>
          <w:sz w:val="24"/>
          <w:szCs w:val="24"/>
          <w:u w:val="single"/>
        </w:rPr>
        <w:t>价格参照扬州市发改委网站（价</w:t>
      </w:r>
      <w:r>
        <w:rPr>
          <w:rFonts w:ascii="新宋体" w:hAnsi="新宋体" w:eastAsia="新宋体"/>
          <w:i/>
          <w:iCs/>
          <w:sz w:val="24"/>
          <w:szCs w:val="24"/>
          <w:u w:val="single"/>
        </w:rPr>
        <w:t>格 与 收 费 - 价 格 监 测）</w:t>
      </w:r>
      <w:r>
        <w:rPr>
          <w:rFonts w:hint="eastAsia" w:ascii="新宋体" w:hAnsi="新宋体" w:eastAsia="新宋体"/>
          <w:i/>
          <w:iCs/>
          <w:sz w:val="24"/>
          <w:szCs w:val="24"/>
          <w:u w:val="single"/>
        </w:rPr>
        <w:t>。网站没有的</w:t>
      </w:r>
      <w:r>
        <w:rPr>
          <w:rFonts w:ascii="新宋体" w:hAnsi="新宋体" w:eastAsia="新宋体"/>
          <w:b/>
          <w:i/>
          <w:iCs/>
          <w:sz w:val="24"/>
          <w:szCs w:val="24"/>
          <w:u w:val="single"/>
        </w:rPr>
        <w:t>比对大润发、苏果等大型超市价格；（提供承诺函加盖投标人公章）；</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2.1 餐饮服务方应积极响应江苏省财政厅江苏省乡村振兴局江苏省供销合作总社联合印发的《关于做好运用政府采购政策支持消费帮促行动的通知》（苏财购〔2021〕77号），做好省内消费采购帮促工作。</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w:t>
      </w:r>
      <w:r>
        <w:rPr>
          <w:rFonts w:hint="eastAsia" w:ascii="新宋体" w:hAnsi="新宋体" w:eastAsia="新宋体"/>
          <w:sz w:val="24"/>
          <w:szCs w:val="24"/>
        </w:rPr>
        <w:t>2</w:t>
      </w:r>
      <w:r>
        <w:rPr>
          <w:rFonts w:ascii="新宋体" w:hAnsi="新宋体" w:eastAsia="新宋体"/>
          <w:sz w:val="24"/>
          <w:szCs w:val="24"/>
        </w:rPr>
        <w:t>服务期间任何服务项目费用有变化时，应当由甲、乙双方协商并签署书面补充合同方可生效。其它方式的财务结算双方另行协商，并签订书面合同。</w:t>
      </w:r>
    </w:p>
    <w:p>
      <w:pPr>
        <w:adjustRightInd w:val="0"/>
        <w:snapToGrid w:val="0"/>
        <w:spacing w:line="440" w:lineRule="exact"/>
        <w:ind w:firstLine="480" w:firstLineChars="200"/>
        <w:contextualSpacing/>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w:t>
      </w:r>
      <w:r>
        <w:rPr>
          <w:rFonts w:ascii="宋体" w:hAnsi="宋体"/>
          <w:color w:val="000000" w:themeColor="text1"/>
          <w:sz w:val="24"/>
          <w:szCs w:val="24"/>
          <w14:textFill>
            <w14:solidFill>
              <w14:schemeClr w14:val="tx1"/>
            </w14:solidFill>
          </w14:textFill>
        </w:rPr>
        <w:t>医院有权对中标公司进行全程的食品安全监管，包括但不仅限于：人员资质、货品来源资质、进货台账、加工流程、尝膳、留样等，中标公司应无条件配合。</w:t>
      </w:r>
    </w:p>
    <w:p>
      <w:pPr>
        <w:adjustRightInd w:val="0"/>
        <w:snapToGrid w:val="0"/>
        <w:spacing w:line="360" w:lineRule="auto"/>
        <w:rPr>
          <w:rFonts w:hint="eastAsia" w:ascii="新宋体" w:hAnsi="新宋体" w:eastAsia="新宋体"/>
          <w:sz w:val="24"/>
          <w:szCs w:val="24"/>
        </w:rPr>
      </w:pPr>
    </w:p>
    <w:bookmarkEnd w:id="5"/>
    <w:p>
      <w:pPr>
        <w:adjustRightInd w:val="0"/>
        <w:snapToGrid w:val="0"/>
        <w:spacing w:line="360" w:lineRule="auto"/>
        <w:ind w:firstLine="480" w:firstLineChars="200"/>
        <w:rPr>
          <w:rFonts w:hint="eastAsia" w:ascii="新宋体" w:hAnsi="新宋体" w:eastAsia="新宋体"/>
          <w:sz w:val="24"/>
          <w:szCs w:val="24"/>
        </w:rPr>
      </w:pP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附件1 食堂安全管理督导检查表</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附件2食堂餐饮服务人员基本配置表</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附件3 职工食堂自选餐定价标准及带量食谱基本要求</w:t>
      </w:r>
    </w:p>
    <w:p>
      <w:pPr>
        <w:adjustRightInd w:val="0"/>
        <w:snapToGrid w:val="0"/>
        <w:spacing w:line="360" w:lineRule="auto"/>
        <w:ind w:firstLine="480" w:firstLineChars="200"/>
        <w:rPr>
          <w:rFonts w:ascii="新宋体" w:hAnsi="新宋体" w:eastAsia="新宋体"/>
          <w:sz w:val="24"/>
          <w:szCs w:val="24"/>
        </w:rPr>
      </w:pPr>
      <w:r>
        <w:rPr>
          <w:rFonts w:hint="eastAsia" w:ascii="新宋体" w:hAnsi="新宋体" w:eastAsia="新宋体"/>
          <w:sz w:val="24"/>
          <w:szCs w:val="24"/>
        </w:rPr>
        <w:t>附件4 职工食堂日常运营管理监督考核表</w:t>
      </w:r>
    </w:p>
    <w:p>
      <w:pPr>
        <w:adjustRightInd w:val="0"/>
        <w:snapToGrid w:val="0"/>
        <w:spacing w:line="360" w:lineRule="auto"/>
        <w:ind w:firstLine="480" w:firstLineChars="200"/>
        <w:rPr>
          <w:rFonts w:ascii="新宋体" w:hAnsi="新宋体" w:eastAsia="新宋体"/>
          <w:sz w:val="24"/>
          <w:szCs w:val="24"/>
        </w:rPr>
      </w:pPr>
      <w:r>
        <w:rPr>
          <w:rFonts w:hint="eastAsia" w:ascii="新宋体" w:hAnsi="新宋体" w:eastAsia="新宋体"/>
          <w:sz w:val="24"/>
          <w:szCs w:val="24"/>
        </w:rPr>
        <w:t>附件5 营养食堂基础套餐定价标准及带量食谱基本要求</w:t>
      </w:r>
    </w:p>
    <w:p>
      <w:pPr>
        <w:adjustRightInd w:val="0"/>
        <w:snapToGrid w:val="0"/>
        <w:spacing w:line="360" w:lineRule="auto"/>
        <w:ind w:firstLine="482" w:firstLineChars="200"/>
        <w:rPr>
          <w:rFonts w:hint="eastAsia" w:ascii="新宋体" w:hAnsi="新宋体" w:eastAsia="新宋体" w:cs="宋体"/>
          <w:b/>
          <w:sz w:val="24"/>
          <w:szCs w:val="24"/>
        </w:rPr>
      </w:pPr>
    </w:p>
    <w:p>
      <w:pPr>
        <w:adjustRightInd w:val="0"/>
        <w:snapToGrid w:val="0"/>
        <w:spacing w:line="360" w:lineRule="auto"/>
        <w:ind w:firstLine="480" w:firstLineChars="200"/>
        <w:rPr>
          <w:rFonts w:hint="eastAsia" w:ascii="新宋体" w:hAnsi="新宋体" w:eastAsia="新宋体"/>
          <w:sz w:val="24"/>
          <w:szCs w:val="24"/>
        </w:rPr>
      </w:pPr>
    </w:p>
    <w:p>
      <w:pPr>
        <w:adjustRightInd w:val="0"/>
        <w:snapToGrid w:val="0"/>
        <w:spacing w:line="360" w:lineRule="auto"/>
        <w:rPr>
          <w:rFonts w:hint="eastAsia" w:ascii="新宋体" w:hAnsi="新宋体" w:eastAsia="新宋体"/>
          <w:sz w:val="24"/>
          <w:szCs w:val="24"/>
        </w:rPr>
      </w:pPr>
    </w:p>
    <w:p>
      <w:pPr>
        <w:tabs>
          <w:tab w:val="left" w:pos="3975"/>
        </w:tabs>
        <w:adjustRightInd w:val="0"/>
        <w:snapToGrid w:val="0"/>
        <w:spacing w:line="360" w:lineRule="auto"/>
        <w:ind w:firstLine="120" w:firstLineChars="50"/>
        <w:rPr>
          <w:rFonts w:hint="eastAsia" w:ascii="新宋体" w:hAnsi="新宋体" w:eastAsia="新宋体"/>
          <w:b/>
          <w:sz w:val="24"/>
          <w:szCs w:val="24"/>
        </w:rPr>
      </w:pPr>
      <w:r>
        <w:rPr>
          <w:rFonts w:hint="eastAsia" w:ascii="新宋体" w:hAnsi="新宋体" w:eastAsia="新宋体"/>
          <w:b/>
          <w:sz w:val="24"/>
          <w:szCs w:val="24"/>
        </w:rPr>
        <w:br w:type="page"/>
      </w:r>
      <w:r>
        <w:rPr>
          <w:rFonts w:hint="eastAsia" w:ascii="新宋体" w:hAnsi="新宋体" w:eastAsia="新宋体"/>
          <w:b/>
          <w:sz w:val="24"/>
          <w:szCs w:val="24"/>
        </w:rPr>
        <w:t xml:space="preserve">附件1                       </w:t>
      </w:r>
      <w:r>
        <w:rPr>
          <w:rFonts w:ascii="新宋体" w:hAnsi="新宋体" w:eastAsia="新宋体"/>
          <w:b/>
          <w:sz w:val="24"/>
          <w:szCs w:val="24"/>
        </w:rPr>
        <w:t>食堂安全管理督导检查表</w:t>
      </w:r>
    </w:p>
    <w:p>
      <w:pPr>
        <w:adjustRightInd w:val="0"/>
        <w:snapToGrid w:val="0"/>
        <w:spacing w:line="360" w:lineRule="auto"/>
        <w:rPr>
          <w:rFonts w:hint="eastAsia" w:ascii="新宋体" w:hAnsi="新宋体" w:eastAsia="新宋体"/>
          <w:sz w:val="24"/>
          <w:szCs w:val="24"/>
        </w:rPr>
      </w:pPr>
    </w:p>
    <w:tbl>
      <w:tblPr>
        <w:tblStyle w:val="30"/>
        <w:tblW w:w="5114" w:type="pct"/>
        <w:jc w:val="center"/>
        <w:tblLayout w:type="fixed"/>
        <w:tblCellMar>
          <w:top w:w="0" w:type="dxa"/>
          <w:left w:w="0" w:type="dxa"/>
          <w:bottom w:w="0" w:type="dxa"/>
          <w:right w:w="0" w:type="dxa"/>
        </w:tblCellMar>
      </w:tblPr>
      <w:tblGrid>
        <w:gridCol w:w="712"/>
        <w:gridCol w:w="1272"/>
        <w:gridCol w:w="6522"/>
      </w:tblGrid>
      <w:tr>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b/>
                <w:szCs w:val="21"/>
              </w:rPr>
            </w:pPr>
            <w:r>
              <w:rPr>
                <w:rFonts w:hint="eastAsia" w:ascii="宋体" w:hAnsi="宋体" w:cs="宋体"/>
                <w:b/>
                <w:szCs w:val="21"/>
              </w:rPr>
              <w:t>序号</w:t>
            </w:r>
          </w:p>
        </w:tc>
        <w:tc>
          <w:tcPr>
            <w:tcW w:w="74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firstLine="482"/>
              <w:jc w:val="center"/>
              <w:rPr>
                <w:rFonts w:hint="eastAsia" w:ascii="宋体" w:hAnsi="宋体" w:cs="宋体"/>
                <w:b/>
                <w:szCs w:val="21"/>
              </w:rPr>
            </w:pPr>
            <w:r>
              <w:rPr>
                <w:rFonts w:hint="eastAsia" w:ascii="宋体" w:hAnsi="宋体" w:cs="宋体"/>
                <w:b/>
                <w:szCs w:val="21"/>
              </w:rPr>
              <w:t>项 目</w:t>
            </w: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firstLine="482"/>
              <w:jc w:val="center"/>
              <w:rPr>
                <w:rFonts w:hint="eastAsia" w:ascii="宋体" w:hAnsi="宋体" w:cs="宋体"/>
                <w:b/>
                <w:szCs w:val="21"/>
              </w:rPr>
            </w:pPr>
            <w:r>
              <w:rPr>
                <w:rFonts w:hint="eastAsia" w:ascii="宋体" w:hAnsi="宋体" w:cs="宋体"/>
                <w:b/>
                <w:szCs w:val="21"/>
              </w:rPr>
              <w:t>要  点</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w:t>
            </w:r>
          </w:p>
        </w:tc>
        <w:tc>
          <w:tcPr>
            <w:tcW w:w="748" w:type="pct"/>
            <w:vMerge w:val="restart"/>
            <w:tcBorders>
              <w:top w:val="single" w:color="000000" w:sz="4" w:space="0"/>
              <w:left w:val="single" w:color="000000" w:sz="4" w:space="0"/>
              <w:right w:val="single" w:color="000000" w:sz="4" w:space="0"/>
            </w:tcBorders>
            <w:noWrap/>
          </w:tcPr>
          <w:p>
            <w:pPr>
              <w:adjustRightInd w:val="0"/>
              <w:snapToGrid w:val="0"/>
              <w:spacing w:line="360" w:lineRule="auto"/>
              <w:ind w:right="-20"/>
              <w:jc w:val="center"/>
              <w:rPr>
                <w:rFonts w:hint="eastAsia" w:ascii="宋体" w:hAnsi="宋体" w:cs="宋体"/>
                <w:szCs w:val="21"/>
              </w:rPr>
            </w:pPr>
            <w:r>
              <w:rPr>
                <w:rFonts w:hint="eastAsia" w:ascii="宋体" w:hAnsi="宋体" w:cs="宋体"/>
                <w:szCs w:val="21"/>
              </w:rPr>
              <w:t>人员要求</w:t>
            </w: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食堂配备食品安全管理人员，设立食品安全管理机构</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食品安全管理人员具备餐饮服务食品安全培训合格证明</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为病患提供膳食的营养厨房配备营养专业技术人员提供营养膳食指导</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4</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各岗位人员均具备相关专业资格</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各岗位人员均具备有效的健康证明</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各岗位人员均经过岗前安全生产培训并考核合格</w:t>
            </w:r>
          </w:p>
        </w:tc>
      </w:tr>
      <w:tr>
        <w:tblPrEx>
          <w:tblCellMar>
            <w:top w:w="0" w:type="dxa"/>
            <w:left w:w="0" w:type="dxa"/>
            <w:bottom w:w="0" w:type="dxa"/>
            <w:right w:w="0" w:type="dxa"/>
          </w:tblCellMar>
        </w:tblPrEx>
        <w:trPr>
          <w:trHeight w:val="352"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7</w:t>
            </w:r>
          </w:p>
        </w:tc>
        <w:tc>
          <w:tcPr>
            <w:tcW w:w="748" w:type="pct"/>
            <w:vMerge w:val="restart"/>
            <w:tcBorders>
              <w:top w:val="single" w:color="000000" w:sz="4" w:space="0"/>
              <w:left w:val="single" w:color="000000" w:sz="4" w:space="0"/>
              <w:right w:val="single" w:color="000000" w:sz="4" w:space="0"/>
            </w:tcBorders>
            <w:noWrap/>
          </w:tcPr>
          <w:p>
            <w:pPr>
              <w:adjustRightInd w:val="0"/>
              <w:snapToGrid w:val="0"/>
              <w:spacing w:line="360" w:lineRule="auto"/>
              <w:ind w:right="-20"/>
              <w:jc w:val="center"/>
              <w:rPr>
                <w:rFonts w:hint="eastAsia" w:ascii="宋体" w:hAnsi="宋体" w:cs="宋体"/>
                <w:szCs w:val="21"/>
              </w:rPr>
            </w:pPr>
            <w:r>
              <w:rPr>
                <w:rFonts w:hint="eastAsia" w:ascii="宋体" w:hAnsi="宋体" w:cs="宋体"/>
                <w:szCs w:val="21"/>
              </w:rPr>
              <w:t>制度管理</w:t>
            </w: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明确餐饮业和食品安全有关的国家法律法规和标准规范、餐饮行业标准规范以及相关的国内规范化文件</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8</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食堂负责人及时向从业人员传达更新的政策信息及管理制度</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9</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食堂常规生产、治疗膳食、卫生、食品安全、防范应急等管理制度齐全</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10</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对高风险的食品加工环节制定加工操作规程</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11</w:t>
            </w:r>
          </w:p>
        </w:tc>
        <w:tc>
          <w:tcPr>
            <w:tcW w:w="748" w:type="pct"/>
            <w:vMerge w:val="restart"/>
            <w:tcBorders>
              <w:top w:val="single" w:color="000000" w:sz="4" w:space="0"/>
              <w:left w:val="single" w:color="000000" w:sz="4" w:space="0"/>
              <w:right w:val="single" w:color="000000" w:sz="4" w:space="0"/>
            </w:tcBorders>
            <w:noWrap/>
          </w:tcPr>
          <w:p>
            <w:pPr>
              <w:adjustRightInd w:val="0"/>
              <w:snapToGrid w:val="0"/>
              <w:spacing w:line="360" w:lineRule="auto"/>
              <w:ind w:right="-20"/>
              <w:jc w:val="center"/>
              <w:rPr>
                <w:rFonts w:hint="eastAsia" w:ascii="宋体" w:hAnsi="宋体" w:cs="宋体"/>
                <w:szCs w:val="21"/>
              </w:rPr>
            </w:pPr>
            <w:r>
              <w:rPr>
                <w:rFonts w:hint="eastAsia" w:ascii="宋体" w:hAnsi="宋体" w:cs="宋体"/>
                <w:szCs w:val="21"/>
              </w:rPr>
              <w:t>档案管理</w:t>
            </w: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建立和制定档案管理制度</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12</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档案有专项负责人管理，分类明确并妥善保存</w:t>
            </w:r>
          </w:p>
        </w:tc>
      </w:tr>
      <w:tr>
        <w:tblPrEx>
          <w:tblCellMar>
            <w:top w:w="0" w:type="dxa"/>
            <w:left w:w="0" w:type="dxa"/>
            <w:bottom w:w="0" w:type="dxa"/>
            <w:right w:w="0" w:type="dxa"/>
          </w:tblCellMar>
        </w:tblPrEx>
        <w:trPr>
          <w:trHeight w:val="349"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13</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记录表格齐全，设计合理，填写整齐</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14</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档案按规定时限进行保存，存在有效期的档案文件及时更换</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15</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出入库记录纳入电子信息系统</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16</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left="10" w:right="-20"/>
              <w:rPr>
                <w:rFonts w:hint="eastAsia" w:ascii="宋体" w:hAnsi="宋体" w:cs="宋体"/>
                <w:szCs w:val="21"/>
              </w:rPr>
            </w:pPr>
            <w:r>
              <w:rPr>
                <w:rFonts w:hint="eastAsia" w:ascii="宋体" w:hAnsi="宋体" w:cs="宋体"/>
                <w:szCs w:val="21"/>
              </w:rPr>
              <w:t>食堂根据规定将食品经营许可证、餐饮服务食品安全等级标识、日常监督检查结果记录表等信息公示在就餐区醒目位置</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17</w:t>
            </w:r>
          </w:p>
        </w:tc>
        <w:tc>
          <w:tcPr>
            <w:tcW w:w="748" w:type="pct"/>
            <w:vMerge w:val="restart"/>
            <w:tcBorders>
              <w:top w:val="single" w:color="000000" w:sz="4" w:space="0"/>
              <w:left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相关方管理</w:t>
            </w: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建立且执行相关方管理制度</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18</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相关方资质齐全</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auto"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19</w:t>
            </w:r>
          </w:p>
        </w:tc>
        <w:tc>
          <w:tcPr>
            <w:tcW w:w="748" w:type="pct"/>
            <w:vMerge w:val="continue"/>
            <w:tcBorders>
              <w:left w:val="single" w:color="000000" w:sz="4" w:space="0"/>
              <w:bottom w:val="single" w:color="auto"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各项目协议均明确规定双方的安全生产责任和义务</w:t>
            </w:r>
          </w:p>
        </w:tc>
      </w:tr>
      <w:tr>
        <w:tblPrEx>
          <w:tblCellMar>
            <w:top w:w="0" w:type="dxa"/>
            <w:left w:w="0" w:type="dxa"/>
            <w:bottom w:w="0" w:type="dxa"/>
            <w:right w:w="0" w:type="dxa"/>
          </w:tblCellMar>
        </w:tblPrEx>
        <w:trPr>
          <w:trHeight w:val="455"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20</w:t>
            </w:r>
          </w:p>
        </w:tc>
        <w:tc>
          <w:tcPr>
            <w:tcW w:w="748" w:type="pct"/>
            <w:vMerge w:val="restart"/>
            <w:tcBorders>
              <w:top w:val="single" w:color="000000" w:sz="4" w:space="0"/>
              <w:left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教育培训</w:t>
            </w: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食堂的负责人和安全生产管理人员接受安全培训，每年培训学时</w:t>
            </w:r>
            <w:r>
              <w:rPr>
                <w:rFonts w:hint="eastAsia" w:ascii="宋体" w:hAnsi="宋体" w:cs="宋体"/>
                <w:w w:val="134"/>
                <w:szCs w:val="21"/>
              </w:rPr>
              <w:t>≥1</w:t>
            </w:r>
            <w:r>
              <w:rPr>
                <w:rFonts w:hint="eastAsia" w:ascii="宋体" w:hAnsi="宋体" w:cs="宋体"/>
                <w:szCs w:val="21"/>
              </w:rPr>
              <w:t>2学时</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21</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食堂负责人和安全管理人员每年接受</w:t>
            </w:r>
            <w:r>
              <w:rPr>
                <w:rFonts w:hint="eastAsia" w:ascii="宋体" w:hAnsi="宋体" w:cs="宋体"/>
                <w:w w:val="134"/>
                <w:szCs w:val="21"/>
              </w:rPr>
              <w:t>≥</w:t>
            </w:r>
            <w:r>
              <w:rPr>
                <w:rFonts w:hint="eastAsia" w:ascii="宋体" w:hAnsi="宋体" w:cs="宋体"/>
                <w:szCs w:val="21"/>
              </w:rPr>
              <w:t>40小时的餐饮服务食品安全集中培训</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22</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新上岗的从业人员，岗前安全培训时间</w:t>
            </w:r>
            <w:r>
              <w:rPr>
                <w:rFonts w:hint="eastAsia" w:ascii="宋体" w:hAnsi="宋体" w:cs="宋体"/>
                <w:w w:val="134"/>
                <w:szCs w:val="21"/>
              </w:rPr>
              <w:t>≥</w:t>
            </w:r>
            <w:r>
              <w:rPr>
                <w:rFonts w:hint="eastAsia" w:ascii="宋体" w:hAnsi="宋体" w:cs="宋体"/>
                <w:szCs w:val="21"/>
              </w:rPr>
              <w:t>24学时</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23</w:t>
            </w:r>
          </w:p>
        </w:tc>
        <w:tc>
          <w:tcPr>
            <w:tcW w:w="748" w:type="pct"/>
            <w:vMerge w:val="continue"/>
            <w:tcBorders>
              <w:left w:val="single" w:color="000000" w:sz="4" w:space="0"/>
              <w:bottom w:val="single" w:color="auto"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每半年对从业人员进行一次食品安全培训考核，合格通过后方可允许其继续上岗工作</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24</w:t>
            </w:r>
          </w:p>
        </w:tc>
        <w:tc>
          <w:tcPr>
            <w:tcW w:w="748" w:type="pct"/>
            <w:vMerge w:val="restart"/>
            <w:tcBorders>
              <w:top w:val="single" w:color="auto" w:sz="4" w:space="0"/>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设备设施管理</w:t>
            </w: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食品处理区及就餐场所的照明设备加设防护罩</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25</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产生油烟的设备上方加设附有机械排风及油烟过滤的排气装置</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26</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产生大量蒸汽的设备上方设置机械排风排汽装置，并做好凝结水的引泄</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27</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敷设铝塑复合管应远离热源，灶前管与燃气灶具的水平净距</w:t>
            </w:r>
            <w:r>
              <w:rPr>
                <w:rFonts w:hint="eastAsia" w:ascii="宋体" w:hAnsi="宋体" w:cs="宋体"/>
                <w:w w:val="134"/>
                <w:szCs w:val="21"/>
              </w:rPr>
              <w:t>≥</w:t>
            </w:r>
            <w:r>
              <w:rPr>
                <w:rFonts w:hint="eastAsia" w:ascii="宋体" w:hAnsi="宋体" w:cs="宋体"/>
                <w:spacing w:val="1"/>
                <w:w w:val="85"/>
                <w:szCs w:val="21"/>
              </w:rPr>
              <w:t>0</w:t>
            </w:r>
            <w:r>
              <w:rPr>
                <w:rFonts w:hint="eastAsia" w:ascii="宋体" w:hAnsi="宋体" w:cs="宋体"/>
                <w:spacing w:val="-1"/>
                <w:w w:val="207"/>
                <w:szCs w:val="21"/>
              </w:rPr>
              <w:t>.</w:t>
            </w:r>
            <w:r>
              <w:rPr>
                <w:rFonts w:hint="eastAsia" w:ascii="宋体" w:hAnsi="宋体" w:cs="宋体"/>
                <w:spacing w:val="1"/>
                <w:w w:val="85"/>
                <w:szCs w:val="21"/>
              </w:rPr>
              <w:t>5</w:t>
            </w:r>
            <w:r>
              <w:rPr>
                <w:rFonts w:hint="eastAsia" w:ascii="宋体" w:hAnsi="宋体" w:cs="宋体"/>
                <w:w w:val="53"/>
                <w:szCs w:val="21"/>
              </w:rPr>
              <w:t>m</w:t>
            </w:r>
          </w:p>
        </w:tc>
      </w:tr>
      <w:tr>
        <w:tblPrEx>
          <w:tblCellMar>
            <w:top w:w="0" w:type="dxa"/>
            <w:left w:w="0" w:type="dxa"/>
            <w:bottom w:w="0" w:type="dxa"/>
            <w:right w:w="0" w:type="dxa"/>
          </w:tblCellMar>
        </w:tblPrEx>
        <w:trPr>
          <w:trHeight w:val="614"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28</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平行敷设燃气管道，燃气主立管与燃具水平净距</w:t>
            </w:r>
            <w:r>
              <w:rPr>
                <w:rFonts w:hint="eastAsia" w:ascii="宋体" w:hAnsi="宋体" w:cs="宋体"/>
                <w:w w:val="134"/>
                <w:szCs w:val="21"/>
              </w:rPr>
              <w:t>≥0。</w:t>
            </w:r>
            <w:r>
              <w:rPr>
                <w:rFonts w:hint="eastAsia" w:ascii="宋体" w:hAnsi="宋体" w:cs="宋体"/>
                <w:szCs w:val="21"/>
              </w:rPr>
              <w:t>3m，灶前管（不含铝塑复合管）与燃具水平净距</w:t>
            </w:r>
            <w:r>
              <w:rPr>
                <w:rFonts w:hint="eastAsia" w:ascii="宋体" w:hAnsi="宋体" w:cs="宋体"/>
                <w:w w:val="134"/>
                <w:szCs w:val="21"/>
              </w:rPr>
              <w:t>≥0.</w:t>
            </w:r>
            <w:r>
              <w:rPr>
                <w:rFonts w:hint="eastAsia" w:ascii="宋体" w:hAnsi="宋体" w:cs="宋体"/>
                <w:szCs w:val="21"/>
              </w:rPr>
              <w:t>2m，燃气管道在燃具上方通过时，应位于抽油烟机上方，且与燃具的垂直净距＞1m</w:t>
            </w:r>
          </w:p>
        </w:tc>
      </w:tr>
      <w:tr>
        <w:tblPrEx>
          <w:tblCellMar>
            <w:top w:w="0" w:type="dxa"/>
            <w:left w:w="0" w:type="dxa"/>
            <w:bottom w:w="0" w:type="dxa"/>
            <w:right w:w="0" w:type="dxa"/>
          </w:tblCellMar>
        </w:tblPrEx>
        <w:trPr>
          <w:trHeight w:val="430"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29</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燃气计量表与燃具的水平净距</w:t>
            </w:r>
            <w:r>
              <w:rPr>
                <w:rFonts w:hint="eastAsia" w:ascii="宋体" w:hAnsi="宋体" w:cs="宋体"/>
                <w:w w:val="134"/>
                <w:szCs w:val="21"/>
              </w:rPr>
              <w:t>≥0.</w:t>
            </w:r>
            <w:r>
              <w:rPr>
                <w:rFonts w:hint="eastAsia" w:ascii="宋体" w:hAnsi="宋体" w:cs="宋体"/>
                <w:szCs w:val="21"/>
              </w:rPr>
              <w:t>8m，无法满足添加隔热板</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30</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潮湿场所的电气设备按标准设置防护外壳</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31</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黑体"/>
                <w:bCs/>
                <w:kern w:val="0"/>
                <w:szCs w:val="21"/>
              </w:rPr>
            </w:pPr>
            <w:r>
              <w:rPr>
                <w:rFonts w:ascii="宋体" w:hAnsi="宋体" w:cs="黑体"/>
                <w:bCs/>
                <w:kern w:val="0"/>
                <w:szCs w:val="21"/>
              </w:rPr>
              <w:t>食品工用具的清洗水池与</w:t>
            </w:r>
            <w:r>
              <w:rPr>
                <w:rFonts w:ascii="宋体" w:hAnsi="宋体" w:cs="黑体"/>
                <w:bCs/>
                <w:spacing w:val="-1"/>
                <w:kern w:val="0"/>
                <w:szCs w:val="21"/>
              </w:rPr>
              <w:t>食</w:t>
            </w:r>
            <w:r>
              <w:rPr>
                <w:rFonts w:ascii="宋体" w:hAnsi="宋体" w:cs="黑体"/>
                <w:bCs/>
                <w:kern w:val="0"/>
                <w:szCs w:val="21"/>
              </w:rPr>
              <w:t>品原料.清洁用具的清</w:t>
            </w:r>
            <w:r>
              <w:rPr>
                <w:rFonts w:ascii="宋体" w:hAnsi="宋体" w:cs="黑体"/>
                <w:bCs/>
                <w:spacing w:val="-1"/>
                <w:kern w:val="0"/>
                <w:szCs w:val="21"/>
              </w:rPr>
              <w:t>洗</w:t>
            </w:r>
            <w:r>
              <w:rPr>
                <w:rFonts w:ascii="宋体" w:hAnsi="宋体" w:cs="黑体"/>
                <w:bCs/>
                <w:kern w:val="0"/>
                <w:szCs w:val="21"/>
              </w:rPr>
              <w:t>水池分开</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32</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黑体"/>
                <w:bCs/>
                <w:kern w:val="0"/>
                <w:szCs w:val="21"/>
              </w:rPr>
            </w:pPr>
            <w:r>
              <w:rPr>
                <w:rFonts w:ascii="宋体" w:hAnsi="宋体" w:cs="黑体"/>
                <w:bCs/>
                <w:kern w:val="0"/>
                <w:szCs w:val="21"/>
              </w:rPr>
              <w:t>食堂场所设有存放消毒后</w:t>
            </w:r>
            <w:r>
              <w:rPr>
                <w:rFonts w:ascii="宋体" w:hAnsi="宋体" w:cs="黑体"/>
                <w:bCs/>
                <w:spacing w:val="-1"/>
                <w:kern w:val="0"/>
                <w:szCs w:val="21"/>
              </w:rPr>
              <w:t>餐</w:t>
            </w:r>
            <w:r>
              <w:rPr>
                <w:rFonts w:ascii="宋体" w:hAnsi="宋体" w:cs="黑体"/>
                <w:bCs/>
                <w:kern w:val="0"/>
                <w:szCs w:val="21"/>
              </w:rPr>
              <w:t>用具的专用保洁设施，</w:t>
            </w:r>
            <w:r>
              <w:rPr>
                <w:rFonts w:ascii="宋体" w:hAnsi="宋体" w:cs="黑体"/>
                <w:bCs/>
                <w:spacing w:val="-1"/>
                <w:kern w:val="0"/>
                <w:szCs w:val="21"/>
              </w:rPr>
              <w:t>标</w:t>
            </w:r>
            <w:r>
              <w:rPr>
                <w:rFonts w:ascii="宋体" w:hAnsi="宋体" w:cs="黑体"/>
                <w:bCs/>
                <w:kern w:val="0"/>
                <w:szCs w:val="21"/>
              </w:rPr>
              <w:t>识明显</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33</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ascii="宋体" w:hAnsi="宋体" w:cs="黑体"/>
                <w:bCs/>
                <w:kern w:val="0"/>
                <w:szCs w:val="21"/>
              </w:rPr>
              <w:t>卫生间设置在食品处理</w:t>
            </w:r>
            <w:r>
              <w:rPr>
                <w:rFonts w:ascii="宋体" w:hAnsi="宋体" w:cs="黑体"/>
                <w:bCs/>
                <w:spacing w:val="-1"/>
                <w:kern w:val="0"/>
                <w:szCs w:val="21"/>
              </w:rPr>
              <w:t>区</w:t>
            </w:r>
            <w:r>
              <w:rPr>
                <w:rFonts w:ascii="宋体" w:hAnsi="宋体" w:cs="黑体"/>
                <w:bCs/>
                <w:kern w:val="0"/>
                <w:szCs w:val="21"/>
              </w:rPr>
              <w:t>内</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34</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ascii="宋体" w:hAnsi="宋体" w:cs="黑体"/>
                <w:bCs/>
                <w:kern w:val="0"/>
                <w:szCs w:val="21"/>
              </w:rPr>
              <w:t>专间入口处设置其专用的</w:t>
            </w:r>
            <w:r>
              <w:rPr>
                <w:rFonts w:ascii="宋体" w:hAnsi="宋体" w:cs="黑体"/>
                <w:bCs/>
                <w:spacing w:val="-1"/>
                <w:kern w:val="0"/>
                <w:szCs w:val="21"/>
              </w:rPr>
              <w:t>洗</w:t>
            </w:r>
            <w:r>
              <w:rPr>
                <w:rFonts w:ascii="宋体" w:hAnsi="宋体" w:cs="黑体"/>
                <w:bCs/>
                <w:kern w:val="0"/>
                <w:szCs w:val="21"/>
              </w:rPr>
              <w:t>手.消毒.更衣设施的</w:t>
            </w:r>
            <w:r>
              <w:rPr>
                <w:rFonts w:ascii="宋体" w:hAnsi="宋体" w:cs="黑体"/>
                <w:bCs/>
                <w:spacing w:val="-1"/>
                <w:kern w:val="0"/>
                <w:szCs w:val="21"/>
              </w:rPr>
              <w:t>通</w:t>
            </w:r>
            <w:r>
              <w:rPr>
                <w:rFonts w:ascii="宋体" w:hAnsi="宋体" w:cs="黑体"/>
                <w:bCs/>
                <w:kern w:val="0"/>
                <w:szCs w:val="21"/>
              </w:rPr>
              <w:t>过式预进间</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35</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按要求设置防尘及有害生物防治设备设施</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36</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消防灭火器具齐全，有专业人员定期检查和记录，设备设施根据时限定期更换</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37</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消防通道通畅，应急照明灯、安全出口指示灯等消防应急设备完好</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38</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针对各容易产生生产安全问题的环节，在醒目处设立警示标识</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39</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响应“餐饮服务明厨亮灶工作”，公示餐饮服务相关过程</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40</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在食品处理区内可能产生废弃物的区域，设置废弃物存放设备设施，废弃物存放设备应配有盖子</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p>
          <w:p>
            <w:pPr>
              <w:adjustRightInd w:val="0"/>
              <w:snapToGrid w:val="0"/>
              <w:spacing w:line="360" w:lineRule="auto"/>
              <w:jc w:val="center"/>
              <w:rPr>
                <w:rFonts w:hint="eastAsia" w:ascii="宋体" w:hAnsi="宋体" w:cs="宋体"/>
                <w:szCs w:val="21"/>
              </w:rPr>
            </w:pPr>
            <w:r>
              <w:rPr>
                <w:rFonts w:hint="eastAsia" w:ascii="宋体" w:hAnsi="宋体" w:cs="宋体"/>
                <w:szCs w:val="21"/>
              </w:rPr>
              <w:t>41</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与具有资质的餐厨废弃物收运单位或个人签订收运合同，明确各自的食品安全责任和义务，留存对方的资质证明复印件（需加盖收运单位公章或由收运者签字），并建立餐厨废弃物处置台账</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42</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食堂食品加工区的含油废水应经过隔油设施进行隔油处理后排放</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43</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油烟排放应符合有关标准</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44</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left="10" w:right="-20"/>
              <w:rPr>
                <w:rFonts w:hint="eastAsia" w:ascii="宋体" w:hAnsi="宋体" w:cs="宋体"/>
                <w:szCs w:val="21"/>
              </w:rPr>
            </w:pPr>
            <w:r>
              <w:rPr>
                <w:rFonts w:hint="eastAsia" w:ascii="宋体" w:hAnsi="宋体" w:cs="宋体"/>
                <w:szCs w:val="21"/>
              </w:rPr>
              <w:t>定期清理烟道、更换活性炭</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45</w:t>
            </w:r>
          </w:p>
        </w:tc>
        <w:tc>
          <w:tcPr>
            <w:tcW w:w="748" w:type="pct"/>
            <w:vMerge w:val="restart"/>
            <w:tcBorders>
              <w:top w:val="single" w:color="auto" w:sz="4" w:space="0"/>
              <w:left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应急管理</w:t>
            </w: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left="10" w:right="-20"/>
              <w:rPr>
                <w:rFonts w:hint="eastAsia" w:ascii="宋体" w:hAnsi="宋体" w:cs="宋体"/>
                <w:szCs w:val="21"/>
              </w:rPr>
            </w:pPr>
            <w:r>
              <w:rPr>
                <w:rFonts w:hint="eastAsia" w:ascii="宋体" w:hAnsi="宋体" w:cs="宋体"/>
                <w:szCs w:val="21"/>
              </w:rPr>
              <w:t>制定食品生产安全事故应急预案，并针对重点作业岗位制定应急处置方案或措施，形成安全生产应急预案体系</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46</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应急预案应定期评审、修订和完善</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47</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应定期组织工作人员进行生产安全事故的相关培训及应急演练</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48</w:t>
            </w:r>
          </w:p>
        </w:tc>
        <w:tc>
          <w:tcPr>
            <w:tcW w:w="748" w:type="pct"/>
            <w:vMerge w:val="continue"/>
            <w:tcBorders>
              <w:left w:val="single" w:color="000000" w:sz="4" w:space="0"/>
              <w:bottom w:val="single" w:color="auto"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制定了食物中毒处置措施，流程正确合理</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49</w:t>
            </w:r>
          </w:p>
        </w:tc>
        <w:tc>
          <w:tcPr>
            <w:tcW w:w="748" w:type="pct"/>
            <w:vMerge w:val="restart"/>
            <w:tcBorders>
              <w:top w:val="single" w:color="auto" w:sz="4" w:space="0"/>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采购物品资质齐全</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50</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明确各类货品查验时需要检验的资质证件</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51</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食堂有单独存放不符合验收的未入库货品的区域</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52</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食品贮存摆放能按要求将生品与熟品、成品与半成品、食品与非食品、食品与天然冰应做到隔离存放</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53</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库房有单独存放变质、过期食品的区域</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54</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清洗不同类型食品原料的器具分开标注，独立使用</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55</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使用禽蛋前清洗禽蛋的外壳，必要时消毒外壳</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56</w:t>
            </w:r>
          </w:p>
        </w:tc>
        <w:tc>
          <w:tcPr>
            <w:tcW w:w="748" w:type="pct"/>
            <w:vMerge w:val="restart"/>
            <w:tcBorders>
              <w:top w:val="single" w:color="auto" w:sz="4" w:space="0"/>
              <w:left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餐饮生产过程管控</w:t>
            </w: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切配不同类型食品原料的刀具分色区分标注并独立使用</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57</w:t>
            </w:r>
          </w:p>
        </w:tc>
        <w:tc>
          <w:tcPr>
            <w:tcW w:w="748" w:type="pct"/>
            <w:vMerge w:val="continue"/>
            <w:tcBorders>
              <w:left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专间、专用操作区有明显的标识以明确用途</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58</w:t>
            </w:r>
          </w:p>
        </w:tc>
        <w:tc>
          <w:tcPr>
            <w:tcW w:w="748" w:type="pct"/>
            <w:vMerge w:val="continue"/>
            <w:tcBorders>
              <w:left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专间内温度＜</w:t>
            </w:r>
            <w:r>
              <w:rPr>
                <w:rFonts w:hint="eastAsia" w:ascii="宋体" w:hAnsi="宋体" w:cs="宋体"/>
                <w:spacing w:val="1"/>
                <w:szCs w:val="21"/>
              </w:rPr>
              <w:t>2</w:t>
            </w:r>
            <w:r>
              <w:rPr>
                <w:rFonts w:hint="eastAsia" w:ascii="宋体" w:hAnsi="宋体" w:cs="宋体"/>
                <w:spacing w:val="-1"/>
                <w:szCs w:val="21"/>
              </w:rPr>
              <w:t>5</w:t>
            </w:r>
            <w:r>
              <w:rPr>
                <w:rFonts w:hint="eastAsia" w:ascii="宋体" w:hAnsi="宋体" w:cs="宋体"/>
                <w:szCs w:val="21"/>
              </w:rPr>
              <w:t>℃</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59</w:t>
            </w:r>
          </w:p>
        </w:tc>
        <w:tc>
          <w:tcPr>
            <w:tcW w:w="748" w:type="pct"/>
            <w:vMerge w:val="continue"/>
            <w:tcBorders>
              <w:left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专间为专人专用，进入专间时更换专用的工作衣帽并佩戴口罩，加工制作前严格清洗消毒手部</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60</w:t>
            </w:r>
          </w:p>
        </w:tc>
        <w:tc>
          <w:tcPr>
            <w:tcW w:w="748" w:type="pct"/>
            <w:vMerge w:val="continue"/>
            <w:tcBorders>
              <w:left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成品中心温度＞</w:t>
            </w:r>
            <w:r>
              <w:rPr>
                <w:rFonts w:hint="eastAsia" w:ascii="宋体" w:hAnsi="宋体" w:cs="宋体"/>
                <w:spacing w:val="1"/>
                <w:szCs w:val="21"/>
              </w:rPr>
              <w:t>7</w:t>
            </w:r>
            <w:r>
              <w:rPr>
                <w:rFonts w:hint="eastAsia" w:ascii="宋体" w:hAnsi="宋体" w:cs="宋体"/>
                <w:spacing w:val="-1"/>
                <w:szCs w:val="21"/>
              </w:rPr>
              <w:t>0</w:t>
            </w:r>
            <w:r>
              <w:rPr>
                <w:rFonts w:hint="eastAsia" w:ascii="宋体" w:hAnsi="宋体" w:cs="宋体"/>
                <w:szCs w:val="21"/>
              </w:rPr>
              <w:t>℃</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61</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食品开封后于外包装标注开封日期</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62</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规范存放、记录和使用食品添加剂</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63</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left="10" w:right="-20"/>
              <w:rPr>
                <w:rFonts w:hint="eastAsia" w:ascii="宋体" w:hAnsi="宋体" w:cs="宋体"/>
                <w:szCs w:val="21"/>
              </w:rPr>
            </w:pPr>
            <w:r>
              <w:rPr>
                <w:rFonts w:hint="eastAsia" w:ascii="宋体" w:hAnsi="宋体" w:cs="宋体"/>
                <w:szCs w:val="21"/>
              </w:rPr>
              <w:t>熟制成品在</w:t>
            </w:r>
            <w:r>
              <w:rPr>
                <w:rFonts w:ascii="宋体" w:hAnsi="宋体" w:cs="黑体"/>
                <w:bCs/>
                <w:spacing w:val="-1"/>
                <w:kern w:val="0"/>
                <w:szCs w:val="21"/>
              </w:rPr>
              <w:t>8</w:t>
            </w:r>
            <w:r>
              <w:rPr>
                <w:rFonts w:ascii="宋体" w:hAnsi="宋体" w:cs="黑体"/>
                <w:bCs/>
                <w:kern w:val="0"/>
                <w:szCs w:val="21"/>
              </w:rPr>
              <w:t>℃</w:t>
            </w:r>
            <w:r>
              <w:rPr>
                <w:rFonts w:hint="eastAsia" w:ascii="宋体" w:hAnsi="宋体" w:cs="黑体"/>
                <w:bCs/>
                <w:kern w:val="0"/>
                <w:szCs w:val="21"/>
              </w:rPr>
              <w:t>-</w:t>
            </w:r>
            <w:r>
              <w:rPr>
                <w:rFonts w:ascii="宋体" w:hAnsi="宋体" w:cs="黑体"/>
                <w:bCs/>
                <w:kern w:val="0"/>
                <w:szCs w:val="21"/>
              </w:rPr>
              <w:t>60℃条件下存放</w:t>
            </w:r>
            <w:r>
              <w:rPr>
                <w:rFonts w:hint="eastAsia" w:ascii="宋体" w:hAnsi="宋体" w:cs="黑体"/>
                <w:bCs/>
                <w:kern w:val="0"/>
                <w:szCs w:val="21"/>
              </w:rPr>
              <w:t>是否</w:t>
            </w:r>
            <w:r>
              <w:rPr>
                <w:rFonts w:ascii="宋体" w:hAnsi="宋体" w:cs="黑体"/>
                <w:bCs/>
                <w:spacing w:val="-1"/>
                <w:kern w:val="0"/>
                <w:szCs w:val="21"/>
              </w:rPr>
              <w:t>＞</w:t>
            </w:r>
            <w:r>
              <w:rPr>
                <w:rFonts w:ascii="宋体" w:hAnsi="宋体" w:cs="黑体"/>
                <w:bCs/>
                <w:kern w:val="0"/>
                <w:szCs w:val="21"/>
              </w:rPr>
              <w:t>2</w:t>
            </w:r>
            <w:r>
              <w:rPr>
                <w:rFonts w:ascii="宋体" w:hAnsi="宋体" w:cs="黑体"/>
                <w:bCs/>
                <w:spacing w:val="-2"/>
                <w:w w:val="102"/>
                <w:kern w:val="0"/>
                <w:szCs w:val="21"/>
              </w:rPr>
              <w:t>小</w:t>
            </w:r>
            <w:r>
              <w:rPr>
                <w:rFonts w:ascii="宋体" w:hAnsi="宋体" w:cs="黑体"/>
                <w:bCs/>
                <w:kern w:val="0"/>
                <w:szCs w:val="21"/>
              </w:rPr>
              <w:t>时</w:t>
            </w:r>
            <w:r>
              <w:rPr>
                <w:rFonts w:hint="eastAsia" w:ascii="宋体" w:hAnsi="宋体" w:cs="宋体"/>
                <w:szCs w:val="21"/>
              </w:rPr>
              <w:t>，食用前再加热使其中心温度＞</w:t>
            </w:r>
            <w:r>
              <w:rPr>
                <w:rFonts w:hint="eastAsia" w:ascii="宋体" w:hAnsi="宋体" w:cs="宋体"/>
                <w:spacing w:val="1"/>
                <w:szCs w:val="21"/>
              </w:rPr>
              <w:t>7</w:t>
            </w:r>
            <w:r>
              <w:rPr>
                <w:rFonts w:hint="eastAsia" w:ascii="宋体" w:hAnsi="宋体" w:cs="宋体"/>
                <w:spacing w:val="-1"/>
                <w:szCs w:val="21"/>
              </w:rPr>
              <w:t>0</w:t>
            </w:r>
            <w:r>
              <w:rPr>
                <w:rFonts w:hint="eastAsia" w:ascii="宋体" w:hAnsi="宋体" w:cs="宋体"/>
                <w:szCs w:val="21"/>
              </w:rPr>
              <w:t>℃</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64</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left="10" w:right="-20"/>
              <w:rPr>
                <w:rFonts w:hint="eastAsia" w:ascii="宋体" w:hAnsi="宋体" w:cs="宋体"/>
                <w:szCs w:val="21"/>
              </w:rPr>
            </w:pPr>
            <w:r>
              <w:rPr>
                <w:rFonts w:hint="eastAsia" w:ascii="宋体" w:hAnsi="宋体" w:cs="宋体"/>
                <w:szCs w:val="21"/>
              </w:rPr>
              <w:t>每餐次的食品成品均按要求进行留样</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65</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黑体"/>
                <w:bCs/>
                <w:kern w:val="0"/>
                <w:szCs w:val="21"/>
              </w:rPr>
            </w:pPr>
            <w:r>
              <w:rPr>
                <w:rFonts w:ascii="宋体" w:hAnsi="宋体" w:cs="黑体"/>
                <w:bCs/>
                <w:kern w:val="0"/>
                <w:szCs w:val="21"/>
              </w:rPr>
              <w:t>留样食品在专用冷藏设备</w:t>
            </w:r>
            <w:r>
              <w:rPr>
                <w:rFonts w:ascii="宋体" w:hAnsi="宋体" w:cs="黑体"/>
                <w:bCs/>
                <w:spacing w:val="-1"/>
                <w:kern w:val="0"/>
                <w:szCs w:val="21"/>
              </w:rPr>
              <w:t>中</w:t>
            </w:r>
            <w:r>
              <w:rPr>
                <w:rFonts w:ascii="宋体" w:hAnsi="宋体" w:cs="黑体"/>
                <w:bCs/>
                <w:kern w:val="0"/>
                <w:szCs w:val="21"/>
              </w:rPr>
              <w:t>冷藏</w:t>
            </w:r>
            <w:r>
              <w:rPr>
                <w:rFonts w:hint="eastAsia" w:ascii="宋体" w:hAnsi="宋体" w:cs="黑体"/>
                <w:bCs/>
                <w:kern w:val="0"/>
                <w:szCs w:val="21"/>
              </w:rPr>
              <w:t>是否</w:t>
            </w:r>
            <w:r>
              <w:rPr>
                <w:rFonts w:ascii="宋体" w:hAnsi="宋体" w:cs="黑体"/>
                <w:bCs/>
                <w:kern w:val="0"/>
                <w:szCs w:val="21"/>
              </w:rPr>
              <w:t>存放＞48小时</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66</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left="10" w:right="-20"/>
              <w:rPr>
                <w:rFonts w:hint="eastAsia" w:ascii="宋体" w:hAnsi="宋体" w:cs="宋体"/>
                <w:szCs w:val="21"/>
              </w:rPr>
            </w:pPr>
            <w:r>
              <w:rPr>
                <w:rFonts w:hint="eastAsia" w:ascii="宋体" w:hAnsi="宋体" w:cs="宋体"/>
                <w:szCs w:val="21"/>
              </w:rPr>
              <w:t>专人管理留样食品、记录留样情况，记录内容包括留样食品名称、留样时间（月、日、时）、留样人员</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67</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left="11"/>
              <w:rPr>
                <w:rFonts w:hint="eastAsia" w:ascii="宋体" w:hAnsi="宋体" w:cs="宋体"/>
                <w:szCs w:val="21"/>
              </w:rPr>
            </w:pPr>
            <w:r>
              <w:rPr>
                <w:rFonts w:hint="eastAsia" w:ascii="宋体" w:hAnsi="宋体" w:cs="宋体"/>
                <w:szCs w:val="21"/>
              </w:rPr>
              <w:t>售餐过程中对食品采取有效防护措施</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68</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left="11"/>
              <w:rPr>
                <w:rFonts w:hint="eastAsia" w:ascii="宋体" w:hAnsi="宋体" w:cs="宋体"/>
                <w:szCs w:val="21"/>
              </w:rPr>
            </w:pPr>
            <w:r>
              <w:rPr>
                <w:rFonts w:hint="eastAsia" w:ascii="宋体" w:hAnsi="宋体" w:cs="宋体"/>
                <w:szCs w:val="21"/>
              </w:rPr>
              <w:t>售餐人员帽子口罩佩戴齐全，手部清洗消毒，并未直接接触食品</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69</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left="11"/>
              <w:rPr>
                <w:rFonts w:hint="eastAsia" w:ascii="宋体" w:hAnsi="宋体" w:cs="宋体"/>
                <w:szCs w:val="21"/>
              </w:rPr>
            </w:pPr>
            <w:r>
              <w:rPr>
                <w:rFonts w:hint="eastAsia" w:ascii="宋体" w:hAnsi="宋体" w:cs="宋体"/>
                <w:szCs w:val="21"/>
              </w:rPr>
              <w:t>送餐工具定期进行清洗消毒</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70</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left="10" w:right="-20"/>
              <w:rPr>
                <w:rFonts w:hint="eastAsia" w:ascii="宋体" w:hAnsi="宋体" w:cs="宋体"/>
                <w:szCs w:val="21"/>
              </w:rPr>
            </w:pPr>
            <w:r>
              <w:rPr>
                <w:rFonts w:hint="eastAsia" w:ascii="宋体" w:hAnsi="宋体" w:cs="宋体"/>
                <w:szCs w:val="21"/>
              </w:rPr>
              <w:t>送餐过程中，分隔独立包装食品与非食品、不同存在形式的食品，盛放容器和包装严密</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71</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定期检查餐用具消毒设备或设施的运行状态</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72</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洗涤剂、消毒剂的操作规范准确</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auto"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73</w:t>
            </w:r>
          </w:p>
        </w:tc>
        <w:tc>
          <w:tcPr>
            <w:tcW w:w="748" w:type="pct"/>
            <w:vMerge w:val="continue"/>
            <w:tcBorders>
              <w:left w:val="single" w:color="000000" w:sz="4" w:space="0"/>
              <w:bottom w:val="single" w:color="auto"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auto"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定期清洁保洁设施</w:t>
            </w:r>
          </w:p>
        </w:tc>
      </w:tr>
    </w:tbl>
    <w:p>
      <w:pPr>
        <w:adjustRightInd w:val="0"/>
        <w:snapToGrid w:val="0"/>
        <w:spacing w:line="360" w:lineRule="auto"/>
        <w:rPr>
          <w:rFonts w:hint="eastAsia" w:ascii="新宋体" w:hAnsi="新宋体" w:eastAsia="新宋体"/>
          <w:sz w:val="24"/>
          <w:szCs w:val="24"/>
        </w:rPr>
      </w:pPr>
    </w:p>
    <w:p>
      <w:pPr>
        <w:adjustRightInd w:val="0"/>
        <w:snapToGrid w:val="0"/>
        <w:spacing w:line="360" w:lineRule="auto"/>
        <w:rPr>
          <w:rFonts w:hint="eastAsia" w:ascii="新宋体" w:hAnsi="新宋体" w:eastAsia="新宋体"/>
          <w:sz w:val="24"/>
          <w:szCs w:val="24"/>
        </w:rPr>
      </w:pPr>
    </w:p>
    <w:p>
      <w:pPr>
        <w:adjustRightInd w:val="0"/>
        <w:snapToGrid w:val="0"/>
        <w:spacing w:line="360" w:lineRule="auto"/>
        <w:rPr>
          <w:rFonts w:hint="eastAsia" w:ascii="新宋体" w:hAnsi="新宋体" w:eastAsia="新宋体"/>
          <w:sz w:val="24"/>
          <w:szCs w:val="24"/>
        </w:rPr>
      </w:pPr>
    </w:p>
    <w:p>
      <w:pPr>
        <w:adjustRightInd w:val="0"/>
        <w:snapToGrid w:val="0"/>
        <w:spacing w:line="360" w:lineRule="auto"/>
        <w:rPr>
          <w:rFonts w:hint="eastAsia" w:ascii="新宋体" w:hAnsi="新宋体" w:eastAsia="新宋体"/>
          <w:sz w:val="24"/>
          <w:szCs w:val="24"/>
        </w:rPr>
      </w:pPr>
    </w:p>
    <w:p>
      <w:pPr>
        <w:adjustRightInd w:val="0"/>
        <w:snapToGrid w:val="0"/>
        <w:spacing w:line="360" w:lineRule="auto"/>
        <w:rPr>
          <w:rFonts w:hint="eastAsia" w:ascii="新宋体" w:hAnsi="新宋体" w:eastAsia="新宋体"/>
          <w:sz w:val="24"/>
          <w:szCs w:val="24"/>
        </w:rPr>
      </w:pPr>
    </w:p>
    <w:p>
      <w:pPr>
        <w:adjustRightInd w:val="0"/>
        <w:snapToGrid w:val="0"/>
        <w:spacing w:line="360" w:lineRule="auto"/>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b/>
          <w:sz w:val="24"/>
          <w:szCs w:val="24"/>
        </w:rPr>
      </w:pPr>
      <w:r>
        <w:rPr>
          <w:rFonts w:hint="eastAsia" w:ascii="新宋体" w:hAnsi="新宋体" w:eastAsia="新宋体"/>
          <w:sz w:val="24"/>
          <w:szCs w:val="24"/>
        </w:rPr>
        <w:t xml:space="preserve">附件2              </w:t>
      </w:r>
    </w:p>
    <w:p>
      <w:pPr>
        <w:tabs>
          <w:tab w:val="left" w:pos="3975"/>
        </w:tabs>
        <w:spacing w:line="432" w:lineRule="auto"/>
        <w:ind w:firstLine="241" w:firstLineChars="100"/>
        <w:jc w:val="center"/>
        <w:rPr>
          <w:rFonts w:hint="eastAsia" w:ascii="宋体" w:hAnsi="宋体"/>
          <w:b/>
          <w:sz w:val="24"/>
          <w:szCs w:val="24"/>
        </w:rPr>
      </w:pPr>
      <w:r>
        <w:rPr>
          <w:rFonts w:hint="eastAsia" w:ascii="宋体" w:hAnsi="宋体" w:cs="宋体"/>
          <w:b/>
          <w:sz w:val="24"/>
          <w:szCs w:val="24"/>
          <w:lang w:val="zh-CN"/>
        </w:rPr>
        <w:t>东区食堂餐饮服务人员基本配置</w:t>
      </w:r>
    </w:p>
    <w:tbl>
      <w:tblPr>
        <w:tblStyle w:val="30"/>
        <w:tblpPr w:leftFromText="180" w:rightFromText="180" w:vertAnchor="text" w:horzAnchor="margin" w:tblpXSpec="center" w:tblpY="42"/>
        <w:tblW w:w="6655" w:type="dxa"/>
        <w:tblInd w:w="0" w:type="dxa"/>
        <w:tblLayout w:type="fixed"/>
        <w:tblCellMar>
          <w:top w:w="0" w:type="dxa"/>
          <w:left w:w="108" w:type="dxa"/>
          <w:bottom w:w="0" w:type="dxa"/>
          <w:right w:w="108" w:type="dxa"/>
        </w:tblCellMar>
      </w:tblPr>
      <w:tblGrid>
        <w:gridCol w:w="1131"/>
        <w:gridCol w:w="2262"/>
        <w:gridCol w:w="1418"/>
        <w:gridCol w:w="1844"/>
      </w:tblGrid>
      <w:tr>
        <w:tblPrEx>
          <w:tblCellMar>
            <w:top w:w="0" w:type="dxa"/>
            <w:left w:w="108" w:type="dxa"/>
            <w:bottom w:w="0" w:type="dxa"/>
            <w:right w:w="108" w:type="dxa"/>
          </w:tblCellMar>
        </w:tblPrEx>
        <w:trPr>
          <w:trHeight w:val="636"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pacing w:before="40" w:after="40" w:line="440" w:lineRule="atLeast"/>
              <w:jc w:val="center"/>
              <w:rPr>
                <w:rFonts w:cs="宋体"/>
                <w:b/>
                <w:sz w:val="24"/>
                <w:szCs w:val="24"/>
                <w:lang w:val="zh-CN"/>
              </w:rPr>
            </w:pPr>
            <w:r>
              <w:rPr>
                <w:rFonts w:hint="eastAsia" w:cs="宋体"/>
                <w:b/>
                <w:sz w:val="24"/>
                <w:szCs w:val="24"/>
                <w:lang w:val="zh-CN"/>
              </w:rPr>
              <w:t>序号</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pacing w:before="40" w:after="40" w:line="440" w:lineRule="atLeast"/>
              <w:jc w:val="center"/>
              <w:rPr>
                <w:rFonts w:cs="宋体"/>
                <w:b/>
                <w:sz w:val="24"/>
                <w:szCs w:val="24"/>
                <w:lang w:val="zh-CN"/>
              </w:rPr>
            </w:pPr>
            <w:r>
              <w:rPr>
                <w:rFonts w:hint="eastAsia" w:cs="宋体"/>
                <w:b/>
                <w:sz w:val="24"/>
                <w:szCs w:val="24"/>
                <w:lang w:val="zh-CN"/>
              </w:rPr>
              <w:t>职位</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before="40" w:after="40" w:line="440" w:lineRule="atLeast"/>
              <w:jc w:val="center"/>
              <w:rPr>
                <w:rFonts w:cs="宋体"/>
                <w:b/>
                <w:sz w:val="24"/>
                <w:szCs w:val="24"/>
                <w:lang w:val="zh-CN"/>
              </w:rPr>
            </w:pPr>
            <w:r>
              <w:rPr>
                <w:rFonts w:hint="eastAsia" w:cs="宋体"/>
                <w:b/>
                <w:sz w:val="24"/>
                <w:szCs w:val="24"/>
                <w:lang w:val="zh-CN"/>
              </w:rPr>
              <w:t>一楼外客</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before="40" w:after="40" w:line="440" w:lineRule="atLeast"/>
              <w:ind w:firstLine="472" w:firstLineChars="196"/>
              <w:rPr>
                <w:rFonts w:cs="宋体"/>
                <w:b/>
                <w:sz w:val="24"/>
                <w:szCs w:val="24"/>
                <w:lang w:val="zh-CN"/>
              </w:rPr>
            </w:pPr>
            <w:r>
              <w:rPr>
                <w:rFonts w:hint="eastAsia" w:cs="宋体"/>
                <w:b/>
                <w:sz w:val="24"/>
                <w:szCs w:val="24"/>
                <w:lang w:val="zh-CN"/>
              </w:rPr>
              <w:t>二楼职工</w:t>
            </w:r>
          </w:p>
        </w:tc>
      </w:tr>
      <w:tr>
        <w:tblPrEx>
          <w:tblCellMar>
            <w:top w:w="0" w:type="dxa"/>
            <w:left w:w="108" w:type="dxa"/>
            <w:bottom w:w="0" w:type="dxa"/>
            <w:right w:w="108" w:type="dxa"/>
          </w:tblCellMar>
        </w:tblPrEx>
        <w:trPr>
          <w:trHeight w:val="465"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36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360" w:lineRule="exact"/>
              <w:contextualSpacing/>
              <w:jc w:val="center"/>
              <w:rPr>
                <w:rFonts w:hint="eastAsia" w:ascii="宋体" w:hAnsi="宋体" w:cs="宋体"/>
                <w:sz w:val="24"/>
                <w:szCs w:val="24"/>
                <w:lang w:val="zh-CN"/>
              </w:rPr>
            </w:pPr>
            <w:r>
              <w:rPr>
                <w:rFonts w:hint="eastAsia" w:ascii="宋体" w:hAnsi="宋体" w:cs="宋体"/>
                <w:sz w:val="24"/>
                <w:szCs w:val="24"/>
                <w:lang w:val="zh-CN"/>
              </w:rPr>
              <w:t>经理</w:t>
            </w:r>
          </w:p>
        </w:tc>
        <w:tc>
          <w:tcPr>
            <w:tcW w:w="3262" w:type="dxa"/>
            <w:gridSpan w:val="2"/>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exact"/>
              <w:contextualSpacing/>
              <w:jc w:val="center"/>
              <w:rPr>
                <w:rFonts w:hint="eastAsia" w:ascii="宋体" w:hAnsi="宋体" w:cs="宋体"/>
                <w:sz w:val="24"/>
                <w:szCs w:val="24"/>
              </w:rPr>
            </w:pPr>
            <w:r>
              <w:rPr>
                <w:rFonts w:hint="eastAsia" w:ascii="宋体" w:hAnsi="宋体" w:cs="宋体"/>
                <w:sz w:val="24"/>
                <w:szCs w:val="24"/>
              </w:rPr>
              <w:t>1</w:t>
            </w:r>
          </w:p>
        </w:tc>
      </w:tr>
      <w:tr>
        <w:tblPrEx>
          <w:tblCellMar>
            <w:top w:w="0" w:type="dxa"/>
            <w:left w:w="108" w:type="dxa"/>
            <w:bottom w:w="0" w:type="dxa"/>
            <w:right w:w="108" w:type="dxa"/>
          </w:tblCellMar>
        </w:tblPrEx>
        <w:trPr>
          <w:trHeight w:val="403"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2</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主管</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rPr>
              <w:t>1</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r>
      <w:tr>
        <w:tblPrEx>
          <w:tblCellMar>
            <w:top w:w="0" w:type="dxa"/>
            <w:left w:w="108" w:type="dxa"/>
            <w:bottom w:w="0" w:type="dxa"/>
            <w:right w:w="108" w:type="dxa"/>
          </w:tblCellMar>
        </w:tblPrEx>
        <w:trPr>
          <w:trHeight w:val="454"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3</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厨师长</w:t>
            </w:r>
          </w:p>
        </w:tc>
        <w:tc>
          <w:tcPr>
            <w:tcW w:w="3262" w:type="dxa"/>
            <w:gridSpan w:val="2"/>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w:t>
            </w:r>
          </w:p>
        </w:tc>
      </w:tr>
      <w:tr>
        <w:tblPrEx>
          <w:tblCellMar>
            <w:top w:w="0" w:type="dxa"/>
            <w:left w:w="108" w:type="dxa"/>
            <w:bottom w:w="0" w:type="dxa"/>
            <w:right w:w="108" w:type="dxa"/>
          </w:tblCellMar>
        </w:tblPrEx>
        <w:trPr>
          <w:trHeight w:val="414"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食品安全管理员</w:t>
            </w:r>
          </w:p>
        </w:tc>
        <w:tc>
          <w:tcPr>
            <w:tcW w:w="3262" w:type="dxa"/>
            <w:gridSpan w:val="2"/>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r>
      <w:tr>
        <w:tblPrEx>
          <w:tblCellMar>
            <w:top w:w="0" w:type="dxa"/>
            <w:left w:w="108" w:type="dxa"/>
            <w:bottom w:w="0" w:type="dxa"/>
            <w:right w:w="108" w:type="dxa"/>
          </w:tblCellMar>
        </w:tblPrEx>
        <w:trPr>
          <w:trHeight w:val="406"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rPr>
              <w:t>5</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lang w:val="zh-CN"/>
              </w:rPr>
              <w:t>配餐员领班</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p>
        </w:tc>
      </w:tr>
      <w:tr>
        <w:tblPrEx>
          <w:tblCellMar>
            <w:top w:w="0" w:type="dxa"/>
            <w:left w:w="108" w:type="dxa"/>
            <w:bottom w:w="0" w:type="dxa"/>
            <w:right w:w="108" w:type="dxa"/>
          </w:tblCellMar>
        </w:tblPrEx>
        <w:trPr>
          <w:trHeight w:val="412"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rPr>
              <w:t>6</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配餐员</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6</w:t>
            </w:r>
          </w:p>
        </w:tc>
        <w:tc>
          <w:tcPr>
            <w:tcW w:w="1844"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p>
        </w:tc>
      </w:tr>
      <w:tr>
        <w:tblPrEx>
          <w:tblCellMar>
            <w:top w:w="0" w:type="dxa"/>
            <w:left w:w="108" w:type="dxa"/>
            <w:bottom w:w="0" w:type="dxa"/>
            <w:right w:w="108" w:type="dxa"/>
          </w:tblCellMar>
        </w:tblPrEx>
        <w:trPr>
          <w:trHeight w:val="404"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rPr>
              <w:t>7</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厨师</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rPr>
              <w:t>4</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4</w:t>
            </w:r>
          </w:p>
        </w:tc>
      </w:tr>
      <w:tr>
        <w:tblPrEx>
          <w:tblCellMar>
            <w:top w:w="0" w:type="dxa"/>
            <w:left w:w="108" w:type="dxa"/>
            <w:bottom w:w="0" w:type="dxa"/>
            <w:right w:w="108" w:type="dxa"/>
          </w:tblCellMar>
        </w:tblPrEx>
        <w:trPr>
          <w:trHeight w:val="423"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rPr>
              <w:t>8</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面点师</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r>
      <w:tr>
        <w:tblPrEx>
          <w:tblCellMar>
            <w:top w:w="0" w:type="dxa"/>
            <w:left w:w="108" w:type="dxa"/>
            <w:bottom w:w="0" w:type="dxa"/>
            <w:right w:w="108" w:type="dxa"/>
          </w:tblCellMar>
        </w:tblPrEx>
        <w:trPr>
          <w:trHeight w:val="543"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rPr>
              <w:t>9</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切配工</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rPr>
              <w:t>1</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r>
      <w:tr>
        <w:tblPrEx>
          <w:tblCellMar>
            <w:top w:w="0" w:type="dxa"/>
            <w:left w:w="108" w:type="dxa"/>
            <w:bottom w:w="0" w:type="dxa"/>
            <w:right w:w="108" w:type="dxa"/>
          </w:tblCellMar>
        </w:tblPrEx>
        <w:trPr>
          <w:trHeight w:val="409"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10</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蒸煮工</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rPr>
              <w:t>1</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r>
      <w:tr>
        <w:tblPrEx>
          <w:tblCellMar>
            <w:top w:w="0" w:type="dxa"/>
            <w:left w:w="108" w:type="dxa"/>
            <w:bottom w:w="0" w:type="dxa"/>
            <w:right w:w="108" w:type="dxa"/>
          </w:tblCellMar>
        </w:tblPrEx>
        <w:trPr>
          <w:trHeight w:val="416"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11</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下面条</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r>
      <w:tr>
        <w:tblPrEx>
          <w:tblCellMar>
            <w:top w:w="0" w:type="dxa"/>
            <w:left w:w="108" w:type="dxa"/>
            <w:bottom w:w="0" w:type="dxa"/>
            <w:right w:w="108" w:type="dxa"/>
          </w:tblCellMar>
        </w:tblPrEx>
        <w:trPr>
          <w:trHeight w:val="550"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12</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会计兼保管员</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c>
          <w:tcPr>
            <w:tcW w:w="1844"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r>
      <w:tr>
        <w:tblPrEx>
          <w:tblCellMar>
            <w:top w:w="0" w:type="dxa"/>
            <w:left w:w="108" w:type="dxa"/>
            <w:bottom w:w="0" w:type="dxa"/>
            <w:right w:w="108" w:type="dxa"/>
          </w:tblCellMar>
        </w:tblPrEx>
        <w:trPr>
          <w:trHeight w:val="402"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13</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粗加工</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2</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2</w:t>
            </w:r>
          </w:p>
        </w:tc>
      </w:tr>
      <w:tr>
        <w:tblPrEx>
          <w:tblCellMar>
            <w:top w:w="0" w:type="dxa"/>
            <w:left w:w="108" w:type="dxa"/>
            <w:bottom w:w="0" w:type="dxa"/>
            <w:right w:w="108" w:type="dxa"/>
          </w:tblCellMar>
        </w:tblPrEx>
        <w:trPr>
          <w:trHeight w:val="421"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14</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保洁员/洗碗工</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2</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2</w:t>
            </w:r>
          </w:p>
        </w:tc>
      </w:tr>
      <w:tr>
        <w:tblPrEx>
          <w:tblCellMar>
            <w:top w:w="0" w:type="dxa"/>
            <w:left w:w="108" w:type="dxa"/>
            <w:bottom w:w="0" w:type="dxa"/>
            <w:right w:w="108" w:type="dxa"/>
          </w:tblCellMar>
        </w:tblPrEx>
        <w:trPr>
          <w:trHeight w:val="414"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15</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窗口服务员含手术室</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3</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5</w:t>
            </w:r>
          </w:p>
        </w:tc>
      </w:tr>
      <w:tr>
        <w:tblPrEx>
          <w:tblCellMar>
            <w:top w:w="0" w:type="dxa"/>
            <w:left w:w="108" w:type="dxa"/>
            <w:bottom w:w="0" w:type="dxa"/>
            <w:right w:w="108" w:type="dxa"/>
          </w:tblCellMar>
        </w:tblPrEx>
        <w:trPr>
          <w:trHeight w:val="414"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16</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钟点工（病区配餐员）</w:t>
            </w:r>
          </w:p>
        </w:tc>
        <w:tc>
          <w:tcPr>
            <w:tcW w:w="1418"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p>
        </w:tc>
        <w:tc>
          <w:tcPr>
            <w:tcW w:w="1844"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3</w:t>
            </w:r>
          </w:p>
        </w:tc>
      </w:tr>
      <w:tr>
        <w:tblPrEx>
          <w:tblCellMar>
            <w:top w:w="0" w:type="dxa"/>
            <w:left w:w="108" w:type="dxa"/>
            <w:bottom w:w="0" w:type="dxa"/>
            <w:right w:w="108" w:type="dxa"/>
          </w:tblCellMar>
        </w:tblPrEx>
        <w:trPr>
          <w:trHeight w:val="823"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16</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合计</w:t>
            </w:r>
          </w:p>
        </w:tc>
        <w:tc>
          <w:tcPr>
            <w:tcW w:w="1418"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26</w:t>
            </w:r>
          </w:p>
        </w:tc>
        <w:tc>
          <w:tcPr>
            <w:tcW w:w="1844"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22</w:t>
            </w:r>
          </w:p>
        </w:tc>
      </w:tr>
      <w:tr>
        <w:tblPrEx>
          <w:tblCellMar>
            <w:top w:w="0" w:type="dxa"/>
            <w:left w:w="108" w:type="dxa"/>
            <w:bottom w:w="0" w:type="dxa"/>
            <w:right w:w="108" w:type="dxa"/>
          </w:tblCellMar>
        </w:tblPrEx>
        <w:trPr>
          <w:trHeight w:val="823" w:hRule="atLeast"/>
        </w:trPr>
        <w:tc>
          <w:tcPr>
            <w:tcW w:w="1131" w:type="dxa"/>
            <w:tcBorders>
              <w:top w:val="single" w:color="auto" w:sz="6" w:space="0"/>
              <w:left w:val="single" w:color="auto" w:sz="6" w:space="0"/>
              <w:bottom w:val="single" w:color="auto" w:sz="4"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17</w:t>
            </w:r>
          </w:p>
        </w:tc>
        <w:tc>
          <w:tcPr>
            <w:tcW w:w="2262" w:type="dxa"/>
            <w:tcBorders>
              <w:top w:val="single" w:color="auto" w:sz="6" w:space="0"/>
              <w:left w:val="single" w:color="auto" w:sz="4" w:space="0"/>
              <w:bottom w:val="single" w:color="auto" w:sz="4"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总合计</w:t>
            </w:r>
          </w:p>
        </w:tc>
        <w:tc>
          <w:tcPr>
            <w:tcW w:w="3262" w:type="dxa"/>
            <w:gridSpan w:val="2"/>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48</w:t>
            </w:r>
          </w:p>
        </w:tc>
      </w:tr>
    </w:tbl>
    <w:p>
      <w:pPr>
        <w:autoSpaceDE w:val="0"/>
        <w:autoSpaceDN w:val="0"/>
        <w:adjustRightInd w:val="0"/>
        <w:snapToGrid w:val="0"/>
        <w:spacing w:line="400" w:lineRule="exact"/>
        <w:ind w:firstLine="601"/>
        <w:contextualSpacing/>
        <w:rPr>
          <w:rFonts w:hint="eastAsia" w:ascii="宋体" w:hAnsi="宋体" w:cs="宋体"/>
          <w:b/>
          <w:bCs/>
          <w:sz w:val="24"/>
          <w:szCs w:val="24"/>
          <w:lang w:val="zh-CN"/>
        </w:rPr>
      </w:pPr>
    </w:p>
    <w:p>
      <w:pPr>
        <w:tabs>
          <w:tab w:val="left" w:pos="3975"/>
        </w:tabs>
        <w:spacing w:line="432" w:lineRule="auto"/>
        <w:rPr>
          <w:rFonts w:hint="eastAsia" w:ascii="宋体" w:hAnsi="宋体" w:cs="宋体"/>
          <w:b/>
          <w:bCs/>
          <w:sz w:val="24"/>
          <w:szCs w:val="24"/>
          <w:lang w:val="zh-CN"/>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rPr>
          <w:rFonts w:hint="eastAsia" w:ascii="新宋体" w:hAnsi="新宋体" w:eastAsia="新宋体"/>
          <w:sz w:val="24"/>
          <w:szCs w:val="24"/>
        </w:rPr>
      </w:pPr>
      <w:r>
        <w:rPr>
          <w:rFonts w:hint="eastAsia" w:ascii="新宋体" w:hAnsi="新宋体" w:eastAsia="新宋体"/>
          <w:sz w:val="24"/>
          <w:szCs w:val="24"/>
        </w:rPr>
        <w:t>附件3</w:t>
      </w:r>
    </w:p>
    <w:p>
      <w:pPr>
        <w:adjustRightInd w:val="0"/>
        <w:snapToGrid w:val="0"/>
        <w:spacing w:line="360" w:lineRule="auto"/>
        <w:jc w:val="center"/>
        <w:rPr>
          <w:rFonts w:hint="eastAsia" w:ascii="新宋体" w:hAnsi="新宋体" w:eastAsia="新宋体"/>
          <w:b/>
          <w:bCs/>
          <w:sz w:val="24"/>
          <w:szCs w:val="24"/>
        </w:rPr>
      </w:pPr>
      <w:r>
        <w:rPr>
          <w:rFonts w:hint="eastAsia" w:ascii="新宋体" w:hAnsi="新宋体" w:eastAsia="新宋体"/>
          <w:b/>
          <w:bCs/>
          <w:sz w:val="24"/>
          <w:szCs w:val="24"/>
        </w:rPr>
        <w:t xml:space="preserve">         </w:t>
      </w:r>
    </w:p>
    <w:p>
      <w:pPr>
        <w:adjustRightInd w:val="0"/>
        <w:snapToGrid w:val="0"/>
        <w:spacing w:line="360" w:lineRule="auto"/>
        <w:jc w:val="center"/>
        <w:rPr>
          <w:rFonts w:hint="eastAsia" w:ascii="新宋体" w:hAnsi="新宋体" w:eastAsia="新宋体"/>
          <w:b/>
          <w:bCs/>
          <w:sz w:val="24"/>
          <w:szCs w:val="24"/>
        </w:rPr>
      </w:pPr>
    </w:p>
    <w:p>
      <w:pPr>
        <w:adjustRightInd w:val="0"/>
        <w:snapToGrid w:val="0"/>
        <w:spacing w:line="360" w:lineRule="auto"/>
        <w:jc w:val="center"/>
        <w:rPr>
          <w:rFonts w:hint="eastAsia" w:ascii="新宋体" w:hAnsi="新宋体" w:eastAsia="新宋体"/>
          <w:b/>
          <w:bCs/>
          <w:sz w:val="24"/>
          <w:szCs w:val="24"/>
        </w:rPr>
      </w:pPr>
    </w:p>
    <w:p>
      <w:pPr>
        <w:adjustRightInd w:val="0"/>
        <w:snapToGrid w:val="0"/>
        <w:spacing w:line="360" w:lineRule="auto"/>
        <w:jc w:val="center"/>
        <w:rPr>
          <w:rFonts w:hint="eastAsia" w:ascii="新宋体" w:hAnsi="新宋体" w:eastAsia="新宋体"/>
          <w:b/>
          <w:bCs/>
          <w:sz w:val="24"/>
          <w:szCs w:val="24"/>
        </w:rPr>
      </w:pPr>
    </w:p>
    <w:p>
      <w:pPr>
        <w:adjustRightInd w:val="0"/>
        <w:snapToGrid w:val="0"/>
        <w:spacing w:line="360" w:lineRule="auto"/>
        <w:jc w:val="center"/>
        <w:rPr>
          <w:rFonts w:hint="eastAsia" w:ascii="新宋体" w:hAnsi="新宋体" w:eastAsia="新宋体"/>
          <w:b/>
          <w:bCs/>
          <w:sz w:val="24"/>
          <w:szCs w:val="24"/>
        </w:rPr>
      </w:pPr>
    </w:p>
    <w:p>
      <w:pPr>
        <w:adjustRightInd w:val="0"/>
        <w:snapToGrid w:val="0"/>
        <w:spacing w:line="360" w:lineRule="auto"/>
        <w:jc w:val="center"/>
        <w:rPr>
          <w:rFonts w:hint="eastAsia" w:ascii="新宋体" w:hAnsi="新宋体" w:eastAsia="新宋体"/>
          <w:b/>
          <w:bCs/>
          <w:sz w:val="24"/>
          <w:szCs w:val="24"/>
        </w:rPr>
      </w:pPr>
      <w:r>
        <w:rPr>
          <w:rFonts w:hint="eastAsia" w:ascii="新宋体" w:hAnsi="新宋体" w:eastAsia="新宋体"/>
          <w:b/>
          <w:bCs/>
          <w:sz w:val="24"/>
          <w:szCs w:val="24"/>
        </w:rPr>
        <w:t>职工食堂自选餐定价标准及带量食谱基本要求</w:t>
      </w:r>
    </w:p>
    <w:tbl>
      <w:tblPr>
        <w:tblStyle w:val="77"/>
        <w:tblW w:w="7544"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2"/>
        <w:gridCol w:w="1863"/>
        <w:gridCol w:w="42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442" w:type="dxa"/>
          </w:tcPr>
          <w:p>
            <w:pPr>
              <w:pStyle w:val="78"/>
              <w:spacing w:before="87" w:line="221" w:lineRule="auto"/>
              <w:ind w:left="529"/>
              <w:rPr>
                <w:rFonts w:hint="eastAsia"/>
                <w:sz w:val="20"/>
              </w:rPr>
            </w:pPr>
            <w:r>
              <w:rPr>
                <w:spacing w:val="-6"/>
                <w:sz w:val="20"/>
              </w:rPr>
              <w:t>品种</w:t>
            </w:r>
          </w:p>
        </w:tc>
        <w:tc>
          <w:tcPr>
            <w:tcW w:w="1863" w:type="dxa"/>
          </w:tcPr>
          <w:p>
            <w:pPr>
              <w:pStyle w:val="78"/>
              <w:spacing w:before="86" w:line="221" w:lineRule="auto"/>
              <w:ind w:left="906"/>
              <w:rPr>
                <w:rFonts w:hint="eastAsia"/>
                <w:sz w:val="20"/>
              </w:rPr>
            </w:pPr>
            <w:r>
              <w:rPr>
                <w:spacing w:val="-2"/>
                <w:sz w:val="20"/>
              </w:rPr>
              <w:t>菜单</w:t>
            </w:r>
          </w:p>
        </w:tc>
        <w:tc>
          <w:tcPr>
            <w:tcW w:w="4239" w:type="dxa"/>
          </w:tcPr>
          <w:p>
            <w:pPr>
              <w:pStyle w:val="78"/>
              <w:spacing w:before="73" w:line="221" w:lineRule="auto"/>
              <w:ind w:left="1704"/>
              <w:rPr>
                <w:rFonts w:hint="eastAsia"/>
                <w:sz w:val="20"/>
              </w:rPr>
            </w:pPr>
            <w:r>
              <w:rPr>
                <w:spacing w:val="-1"/>
                <w:sz w:val="20"/>
              </w:rPr>
              <w:t>成品净重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42" w:type="dxa"/>
            <w:vMerge w:val="restart"/>
            <w:tcBorders>
              <w:bottom w:val="nil"/>
            </w:tcBorders>
          </w:tcPr>
          <w:p>
            <w:pPr>
              <w:spacing w:line="302" w:lineRule="auto"/>
              <w:rPr>
                <w:rFonts w:ascii="Arial" w:hAnsi="Arial" w:cs="Arial"/>
                <w:kern w:val="0"/>
                <w:sz w:val="20"/>
                <w:szCs w:val="20"/>
              </w:rPr>
            </w:pPr>
          </w:p>
          <w:p>
            <w:pPr>
              <w:pStyle w:val="78"/>
              <w:spacing w:before="68" w:line="300" w:lineRule="exact"/>
              <w:ind w:left="516"/>
              <w:rPr>
                <w:rFonts w:hint="eastAsia"/>
                <w:sz w:val="20"/>
              </w:rPr>
            </w:pPr>
            <w:r>
              <w:rPr>
                <w:spacing w:val="-3"/>
                <w:position w:val="6"/>
                <w:sz w:val="20"/>
              </w:rPr>
              <w:t>大荤</w:t>
            </w:r>
          </w:p>
          <w:p>
            <w:pPr>
              <w:pStyle w:val="78"/>
              <w:spacing w:line="221" w:lineRule="auto"/>
              <w:ind w:left="335"/>
              <w:rPr>
                <w:rFonts w:hint="eastAsia"/>
                <w:sz w:val="20"/>
              </w:rPr>
            </w:pPr>
            <w:r>
              <w:rPr>
                <w:spacing w:val="-7"/>
                <w:sz w:val="20"/>
              </w:rPr>
              <w:t>（</w:t>
            </w:r>
            <w:r>
              <w:rPr>
                <w:rFonts w:hint="eastAsia"/>
                <w:spacing w:val="-7"/>
                <w:sz w:val="20"/>
                <w:lang w:eastAsia="zh-CN"/>
              </w:rPr>
              <w:t>5</w:t>
            </w:r>
            <w:r>
              <w:rPr>
                <w:spacing w:val="-7"/>
                <w:sz w:val="20"/>
              </w:rPr>
              <w:t>元）</w:t>
            </w:r>
          </w:p>
        </w:tc>
        <w:tc>
          <w:tcPr>
            <w:tcW w:w="1863" w:type="dxa"/>
          </w:tcPr>
          <w:p>
            <w:pPr>
              <w:pStyle w:val="78"/>
              <w:spacing w:before="58" w:line="207" w:lineRule="auto"/>
              <w:ind w:left="419"/>
              <w:rPr>
                <w:rFonts w:hint="eastAsia"/>
                <w:sz w:val="20"/>
              </w:rPr>
            </w:pPr>
            <w:r>
              <w:rPr>
                <w:rFonts w:hint="eastAsia"/>
                <w:spacing w:val="-3"/>
                <w:sz w:val="20"/>
                <w:lang w:eastAsia="zh-CN"/>
              </w:rPr>
              <w:t>红烧狮子头</w:t>
            </w:r>
          </w:p>
        </w:tc>
        <w:tc>
          <w:tcPr>
            <w:tcW w:w="4239" w:type="dxa"/>
          </w:tcPr>
          <w:p>
            <w:pPr>
              <w:pStyle w:val="78"/>
              <w:spacing w:before="58" w:line="207" w:lineRule="auto"/>
              <w:ind w:left="1074" w:firstLine="440" w:firstLineChars="200"/>
              <w:rPr>
                <w:rFonts w:hint="eastAsia"/>
                <w:sz w:val="20"/>
              </w:rPr>
            </w:pPr>
            <w:r>
              <w:rPr>
                <w:rFonts w:hint="eastAsia"/>
                <w:sz w:val="22"/>
                <w:lang w:eastAsia="zh-CN"/>
              </w:rPr>
              <w:t>五花</w:t>
            </w:r>
            <w:r>
              <w:rPr>
                <w:rFonts w:hint="eastAsia"/>
                <w:sz w:val="22"/>
              </w:rPr>
              <w:t>肉泥100克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42" w:type="dxa"/>
            <w:vMerge w:val="continue"/>
            <w:tcBorders>
              <w:top w:val="nil"/>
              <w:bottom w:val="nil"/>
            </w:tcBorders>
          </w:tcPr>
          <w:p>
            <w:pPr>
              <w:rPr>
                <w:rFonts w:ascii="Arial" w:hAnsi="Arial" w:cs="Arial"/>
                <w:kern w:val="0"/>
                <w:sz w:val="20"/>
                <w:szCs w:val="20"/>
              </w:rPr>
            </w:pPr>
          </w:p>
        </w:tc>
        <w:tc>
          <w:tcPr>
            <w:tcW w:w="1863" w:type="dxa"/>
          </w:tcPr>
          <w:p>
            <w:pPr>
              <w:pStyle w:val="78"/>
              <w:spacing w:before="58" w:line="207" w:lineRule="auto"/>
              <w:ind w:left="413"/>
              <w:rPr>
                <w:rFonts w:hint="eastAsia"/>
                <w:sz w:val="20"/>
                <w:lang w:eastAsia="zh-CN"/>
              </w:rPr>
            </w:pPr>
            <w:r>
              <w:rPr>
                <w:rFonts w:hint="eastAsia"/>
                <w:spacing w:val="-2"/>
                <w:sz w:val="20"/>
                <w:lang w:eastAsia="zh-CN"/>
              </w:rPr>
              <w:t>香酥鸡腿</w:t>
            </w:r>
          </w:p>
        </w:tc>
        <w:tc>
          <w:tcPr>
            <w:tcW w:w="4239" w:type="dxa"/>
          </w:tcPr>
          <w:p>
            <w:pPr>
              <w:pStyle w:val="78"/>
              <w:spacing w:before="58" w:line="207" w:lineRule="auto"/>
              <w:ind w:left="1702"/>
              <w:rPr>
                <w:rFonts w:hint="eastAsia"/>
                <w:sz w:val="20"/>
                <w:lang w:eastAsia="zh-CN"/>
              </w:rPr>
            </w:pPr>
            <w:r>
              <w:rPr>
                <w:rFonts w:hint="eastAsia"/>
                <w:sz w:val="20"/>
                <w:lang w:eastAsia="zh-CN"/>
              </w:rPr>
              <w:t>鸡腿150克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442" w:type="dxa"/>
            <w:vMerge w:val="continue"/>
            <w:tcBorders>
              <w:top w:val="nil"/>
              <w:bottom w:val="nil"/>
            </w:tcBorders>
          </w:tcPr>
          <w:p>
            <w:pPr>
              <w:rPr>
                <w:rFonts w:ascii="Arial" w:hAnsi="Arial" w:cs="Arial"/>
                <w:kern w:val="0"/>
                <w:sz w:val="20"/>
                <w:szCs w:val="20"/>
              </w:rPr>
            </w:pPr>
          </w:p>
        </w:tc>
        <w:tc>
          <w:tcPr>
            <w:tcW w:w="1863" w:type="dxa"/>
          </w:tcPr>
          <w:p>
            <w:pPr>
              <w:pStyle w:val="78"/>
              <w:spacing w:before="59" w:line="207" w:lineRule="auto"/>
              <w:ind w:left="417"/>
              <w:rPr>
                <w:rFonts w:hint="eastAsia"/>
                <w:sz w:val="20"/>
              </w:rPr>
            </w:pPr>
            <w:r>
              <w:rPr>
                <w:spacing w:val="-2"/>
                <w:sz w:val="20"/>
              </w:rPr>
              <w:t>红烧鱼块</w:t>
            </w:r>
          </w:p>
        </w:tc>
        <w:tc>
          <w:tcPr>
            <w:tcW w:w="4239" w:type="dxa"/>
          </w:tcPr>
          <w:p>
            <w:pPr>
              <w:pStyle w:val="78"/>
              <w:spacing w:before="59" w:line="207" w:lineRule="auto"/>
              <w:ind w:left="1599"/>
              <w:rPr>
                <w:rFonts w:hint="eastAsia"/>
                <w:sz w:val="20"/>
              </w:rPr>
            </w:pPr>
            <w:r>
              <w:rPr>
                <w:spacing w:val="-6"/>
                <w:sz w:val="20"/>
              </w:rPr>
              <w:t>草鱼110克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442" w:type="dxa"/>
            <w:vMerge w:val="continue"/>
            <w:tcBorders>
              <w:top w:val="nil"/>
            </w:tcBorders>
          </w:tcPr>
          <w:p>
            <w:pPr>
              <w:rPr>
                <w:rFonts w:ascii="Arial" w:hAnsi="Arial" w:cs="Arial"/>
                <w:kern w:val="0"/>
                <w:sz w:val="20"/>
                <w:szCs w:val="20"/>
              </w:rPr>
            </w:pPr>
          </w:p>
        </w:tc>
        <w:tc>
          <w:tcPr>
            <w:tcW w:w="1863" w:type="dxa"/>
          </w:tcPr>
          <w:p>
            <w:pPr>
              <w:pStyle w:val="78"/>
              <w:spacing w:before="61" w:line="207" w:lineRule="auto"/>
              <w:ind w:firstLine="396" w:firstLineChars="200"/>
              <w:rPr>
                <w:rFonts w:hint="eastAsia"/>
                <w:sz w:val="20"/>
              </w:rPr>
            </w:pPr>
            <w:r>
              <w:rPr>
                <w:rFonts w:hint="eastAsia"/>
                <w:spacing w:val="-1"/>
                <w:sz w:val="20"/>
                <w:lang w:eastAsia="zh-CN"/>
              </w:rPr>
              <w:t>百叶结烧肉</w:t>
            </w:r>
          </w:p>
        </w:tc>
        <w:tc>
          <w:tcPr>
            <w:tcW w:w="4239" w:type="dxa"/>
          </w:tcPr>
          <w:p>
            <w:pPr>
              <w:pStyle w:val="78"/>
              <w:spacing w:before="61" w:line="207" w:lineRule="auto"/>
              <w:ind w:left="1599"/>
              <w:rPr>
                <w:rFonts w:hint="eastAsia"/>
                <w:sz w:val="20"/>
              </w:rPr>
            </w:pPr>
            <w:r>
              <w:rPr>
                <w:spacing w:val="-4"/>
                <w:sz w:val="20"/>
              </w:rPr>
              <w:t>猪肉40克百叶结60克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42" w:type="dxa"/>
            <w:vMerge w:val="restart"/>
            <w:tcBorders>
              <w:bottom w:val="nil"/>
            </w:tcBorders>
          </w:tcPr>
          <w:p>
            <w:pPr>
              <w:spacing w:line="303" w:lineRule="auto"/>
              <w:rPr>
                <w:rFonts w:ascii="Arial" w:hAnsi="Arial" w:cs="Arial"/>
                <w:kern w:val="0"/>
                <w:sz w:val="20"/>
                <w:szCs w:val="20"/>
              </w:rPr>
            </w:pPr>
          </w:p>
          <w:p>
            <w:pPr>
              <w:pStyle w:val="78"/>
              <w:spacing w:before="69" w:line="300" w:lineRule="exact"/>
              <w:ind w:left="514"/>
              <w:rPr>
                <w:rFonts w:hint="eastAsia"/>
                <w:sz w:val="20"/>
                <w:lang w:eastAsia="zh-CN"/>
              </w:rPr>
            </w:pPr>
            <w:r>
              <w:rPr>
                <w:rFonts w:hint="eastAsia"/>
                <w:spacing w:val="-2"/>
                <w:position w:val="6"/>
                <w:sz w:val="20"/>
                <w:lang w:eastAsia="zh-CN"/>
              </w:rPr>
              <w:t>小荤</w:t>
            </w:r>
          </w:p>
          <w:p>
            <w:pPr>
              <w:pStyle w:val="78"/>
              <w:spacing w:line="221" w:lineRule="auto"/>
              <w:ind w:left="335"/>
              <w:rPr>
                <w:rFonts w:hint="eastAsia"/>
                <w:sz w:val="20"/>
              </w:rPr>
            </w:pPr>
            <w:r>
              <w:rPr>
                <w:spacing w:val="-7"/>
                <w:sz w:val="20"/>
              </w:rPr>
              <w:t>（</w:t>
            </w:r>
            <w:r>
              <w:rPr>
                <w:rFonts w:hint="eastAsia"/>
                <w:spacing w:val="-7"/>
                <w:sz w:val="20"/>
                <w:lang w:eastAsia="zh-CN"/>
              </w:rPr>
              <w:t>3</w:t>
            </w:r>
            <w:r>
              <w:rPr>
                <w:spacing w:val="-7"/>
                <w:sz w:val="20"/>
              </w:rPr>
              <w:t>元）</w:t>
            </w:r>
          </w:p>
        </w:tc>
        <w:tc>
          <w:tcPr>
            <w:tcW w:w="1863" w:type="dxa"/>
          </w:tcPr>
          <w:p>
            <w:pPr>
              <w:pStyle w:val="78"/>
              <w:spacing w:before="59" w:line="206" w:lineRule="auto"/>
              <w:ind w:left="413"/>
              <w:rPr>
                <w:rFonts w:hint="eastAsia"/>
                <w:sz w:val="20"/>
              </w:rPr>
            </w:pPr>
            <w:r>
              <w:rPr>
                <w:spacing w:val="-2"/>
                <w:sz w:val="20"/>
              </w:rPr>
              <w:t>芦蒿炒香干</w:t>
            </w:r>
          </w:p>
        </w:tc>
        <w:tc>
          <w:tcPr>
            <w:tcW w:w="4239" w:type="dxa"/>
          </w:tcPr>
          <w:p>
            <w:pPr>
              <w:pStyle w:val="78"/>
              <w:spacing w:before="59" w:line="206" w:lineRule="auto"/>
              <w:ind w:left="1179"/>
              <w:rPr>
                <w:rFonts w:hint="eastAsia"/>
                <w:sz w:val="20"/>
              </w:rPr>
            </w:pPr>
            <w:r>
              <w:rPr>
                <w:spacing w:val="-4"/>
                <w:sz w:val="20"/>
              </w:rPr>
              <w:t>芦蒿40克香干60克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42" w:type="dxa"/>
            <w:vMerge w:val="continue"/>
            <w:tcBorders>
              <w:top w:val="nil"/>
              <w:bottom w:val="nil"/>
            </w:tcBorders>
          </w:tcPr>
          <w:p>
            <w:pPr>
              <w:rPr>
                <w:rFonts w:ascii="Arial" w:hAnsi="Arial" w:cs="Arial"/>
                <w:kern w:val="0"/>
                <w:sz w:val="20"/>
                <w:szCs w:val="20"/>
              </w:rPr>
            </w:pPr>
          </w:p>
        </w:tc>
        <w:tc>
          <w:tcPr>
            <w:tcW w:w="1863" w:type="dxa"/>
          </w:tcPr>
          <w:p>
            <w:pPr>
              <w:pStyle w:val="78"/>
              <w:spacing w:before="59" w:line="206" w:lineRule="auto"/>
              <w:ind w:left="413"/>
              <w:rPr>
                <w:rFonts w:hint="eastAsia"/>
                <w:sz w:val="20"/>
              </w:rPr>
            </w:pPr>
            <w:r>
              <w:rPr>
                <w:spacing w:val="-2"/>
                <w:sz w:val="20"/>
              </w:rPr>
              <w:t>土豆炒鸡片</w:t>
            </w:r>
          </w:p>
        </w:tc>
        <w:tc>
          <w:tcPr>
            <w:tcW w:w="4239" w:type="dxa"/>
          </w:tcPr>
          <w:p>
            <w:pPr>
              <w:pStyle w:val="78"/>
              <w:spacing w:before="59" w:line="206" w:lineRule="auto"/>
              <w:ind w:left="1176"/>
              <w:rPr>
                <w:rFonts w:hint="eastAsia"/>
                <w:sz w:val="20"/>
              </w:rPr>
            </w:pPr>
            <w:r>
              <w:rPr>
                <w:spacing w:val="-5"/>
                <w:sz w:val="20"/>
              </w:rPr>
              <w:t>鸡片30克土豆70克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42" w:type="dxa"/>
            <w:vMerge w:val="continue"/>
            <w:tcBorders>
              <w:top w:val="nil"/>
              <w:bottom w:val="nil"/>
            </w:tcBorders>
          </w:tcPr>
          <w:p>
            <w:pPr>
              <w:rPr>
                <w:rFonts w:ascii="Arial" w:hAnsi="Arial" w:cs="Arial"/>
                <w:kern w:val="0"/>
                <w:sz w:val="20"/>
                <w:szCs w:val="20"/>
              </w:rPr>
            </w:pPr>
          </w:p>
        </w:tc>
        <w:tc>
          <w:tcPr>
            <w:tcW w:w="1863" w:type="dxa"/>
          </w:tcPr>
          <w:p>
            <w:pPr>
              <w:pStyle w:val="78"/>
              <w:spacing w:before="60" w:line="205" w:lineRule="auto"/>
              <w:ind w:left="432"/>
              <w:rPr>
                <w:rFonts w:hint="eastAsia"/>
                <w:sz w:val="20"/>
              </w:rPr>
            </w:pPr>
            <w:r>
              <w:rPr>
                <w:spacing w:val="-6"/>
                <w:sz w:val="20"/>
              </w:rPr>
              <w:t>肉沫炖水蛋</w:t>
            </w:r>
          </w:p>
        </w:tc>
        <w:tc>
          <w:tcPr>
            <w:tcW w:w="4239" w:type="dxa"/>
          </w:tcPr>
          <w:p>
            <w:pPr>
              <w:pStyle w:val="78"/>
              <w:spacing w:before="60" w:line="205" w:lineRule="auto"/>
              <w:ind w:left="1198"/>
              <w:rPr>
                <w:rFonts w:hint="eastAsia"/>
                <w:sz w:val="20"/>
              </w:rPr>
            </w:pPr>
            <w:r>
              <w:rPr>
                <w:spacing w:val="-8"/>
                <w:sz w:val="20"/>
              </w:rPr>
              <w:t>肉沫15克鸡蛋85克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42" w:type="dxa"/>
            <w:vMerge w:val="continue"/>
            <w:tcBorders>
              <w:top w:val="nil"/>
            </w:tcBorders>
          </w:tcPr>
          <w:p>
            <w:pPr>
              <w:rPr>
                <w:rFonts w:ascii="Arial" w:hAnsi="Arial" w:cs="Arial"/>
                <w:kern w:val="0"/>
                <w:sz w:val="20"/>
                <w:szCs w:val="20"/>
              </w:rPr>
            </w:pPr>
          </w:p>
        </w:tc>
        <w:tc>
          <w:tcPr>
            <w:tcW w:w="1863" w:type="dxa"/>
          </w:tcPr>
          <w:p>
            <w:pPr>
              <w:pStyle w:val="78"/>
              <w:spacing w:before="60" w:line="205" w:lineRule="auto"/>
              <w:ind w:left="414"/>
              <w:rPr>
                <w:rFonts w:hint="eastAsia"/>
                <w:sz w:val="20"/>
              </w:rPr>
            </w:pPr>
            <w:r>
              <w:rPr>
                <w:spacing w:val="-2"/>
                <w:sz w:val="20"/>
              </w:rPr>
              <w:t>大白菜肉丝</w:t>
            </w:r>
          </w:p>
        </w:tc>
        <w:tc>
          <w:tcPr>
            <w:tcW w:w="4239" w:type="dxa"/>
          </w:tcPr>
          <w:p>
            <w:pPr>
              <w:pStyle w:val="78"/>
              <w:spacing w:before="60" w:line="205" w:lineRule="auto"/>
              <w:ind w:left="1095"/>
              <w:rPr>
                <w:rFonts w:hint="eastAsia"/>
                <w:sz w:val="20"/>
              </w:rPr>
            </w:pPr>
            <w:r>
              <w:rPr>
                <w:spacing w:val="-6"/>
                <w:sz w:val="20"/>
              </w:rPr>
              <w:t>肉丝30克大白菜70克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442" w:type="dxa"/>
            <w:vMerge w:val="restart"/>
            <w:tcBorders>
              <w:bottom w:val="nil"/>
            </w:tcBorders>
          </w:tcPr>
          <w:p>
            <w:pPr>
              <w:spacing w:line="308" w:lineRule="auto"/>
              <w:rPr>
                <w:rFonts w:ascii="Arial" w:hAnsi="Arial" w:cs="Arial"/>
                <w:kern w:val="0"/>
                <w:sz w:val="20"/>
                <w:szCs w:val="20"/>
              </w:rPr>
            </w:pPr>
          </w:p>
          <w:p>
            <w:pPr>
              <w:pStyle w:val="78"/>
              <w:spacing w:before="68" w:line="300" w:lineRule="exact"/>
              <w:ind w:left="516"/>
              <w:rPr>
                <w:rFonts w:hint="eastAsia"/>
                <w:sz w:val="20"/>
              </w:rPr>
            </w:pPr>
            <w:r>
              <w:rPr>
                <w:spacing w:val="-3"/>
                <w:position w:val="6"/>
                <w:sz w:val="20"/>
              </w:rPr>
              <w:t>素菜</w:t>
            </w:r>
          </w:p>
          <w:p>
            <w:pPr>
              <w:pStyle w:val="78"/>
              <w:spacing w:line="221" w:lineRule="auto"/>
              <w:ind w:left="335"/>
              <w:rPr>
                <w:rFonts w:hint="eastAsia"/>
                <w:sz w:val="20"/>
              </w:rPr>
            </w:pPr>
            <w:r>
              <w:rPr>
                <w:spacing w:val="-7"/>
                <w:sz w:val="20"/>
              </w:rPr>
              <w:t>（2元）</w:t>
            </w:r>
          </w:p>
        </w:tc>
        <w:tc>
          <w:tcPr>
            <w:tcW w:w="1863" w:type="dxa"/>
          </w:tcPr>
          <w:p>
            <w:pPr>
              <w:pStyle w:val="78"/>
              <w:spacing w:before="61" w:line="205" w:lineRule="auto"/>
              <w:ind w:left="516"/>
              <w:rPr>
                <w:rFonts w:hint="eastAsia"/>
                <w:sz w:val="20"/>
              </w:rPr>
            </w:pPr>
            <w:r>
              <w:rPr>
                <w:spacing w:val="-1"/>
                <w:sz w:val="20"/>
              </w:rPr>
              <w:t>蒜泥苋菜</w:t>
            </w:r>
          </w:p>
        </w:tc>
        <w:tc>
          <w:tcPr>
            <w:tcW w:w="4239" w:type="dxa"/>
          </w:tcPr>
          <w:p>
            <w:pPr>
              <w:pStyle w:val="78"/>
              <w:spacing w:before="61" w:line="205" w:lineRule="auto"/>
              <w:ind w:left="1599"/>
              <w:rPr>
                <w:rFonts w:hint="eastAsia"/>
                <w:sz w:val="20"/>
              </w:rPr>
            </w:pPr>
            <w:r>
              <w:rPr>
                <w:spacing w:val="-6"/>
                <w:sz w:val="20"/>
              </w:rPr>
              <w:t>苋菜100克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442" w:type="dxa"/>
            <w:vMerge w:val="continue"/>
            <w:tcBorders>
              <w:top w:val="nil"/>
              <w:bottom w:val="nil"/>
            </w:tcBorders>
          </w:tcPr>
          <w:p>
            <w:pPr>
              <w:rPr>
                <w:rFonts w:ascii="Arial" w:hAnsi="Arial" w:cs="Arial"/>
                <w:kern w:val="0"/>
                <w:sz w:val="20"/>
                <w:szCs w:val="20"/>
              </w:rPr>
            </w:pPr>
          </w:p>
        </w:tc>
        <w:tc>
          <w:tcPr>
            <w:tcW w:w="1863" w:type="dxa"/>
          </w:tcPr>
          <w:p>
            <w:pPr>
              <w:pStyle w:val="78"/>
              <w:spacing w:before="63" w:line="205" w:lineRule="auto"/>
              <w:ind w:left="432"/>
              <w:rPr>
                <w:rFonts w:hint="eastAsia"/>
                <w:sz w:val="20"/>
              </w:rPr>
            </w:pPr>
            <w:r>
              <w:rPr>
                <w:spacing w:val="-6"/>
                <w:sz w:val="20"/>
              </w:rPr>
              <w:t>肉汁大萝卜</w:t>
            </w:r>
          </w:p>
        </w:tc>
        <w:tc>
          <w:tcPr>
            <w:tcW w:w="4239" w:type="dxa"/>
          </w:tcPr>
          <w:p>
            <w:pPr>
              <w:pStyle w:val="78"/>
              <w:spacing w:before="63" w:line="205" w:lineRule="auto"/>
              <w:ind w:left="1233"/>
              <w:rPr>
                <w:rFonts w:hint="eastAsia"/>
                <w:sz w:val="20"/>
              </w:rPr>
            </w:pPr>
            <w:r>
              <w:rPr>
                <w:spacing w:val="-5"/>
                <w:sz w:val="20"/>
              </w:rPr>
              <w:t>萝卜95克肉沫5克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42" w:type="dxa"/>
            <w:vMerge w:val="continue"/>
            <w:tcBorders>
              <w:top w:val="nil"/>
              <w:bottom w:val="nil"/>
            </w:tcBorders>
          </w:tcPr>
          <w:p>
            <w:pPr>
              <w:rPr>
                <w:rFonts w:ascii="Arial" w:hAnsi="Arial" w:cs="Arial"/>
                <w:kern w:val="0"/>
                <w:sz w:val="20"/>
                <w:szCs w:val="20"/>
              </w:rPr>
            </w:pPr>
          </w:p>
        </w:tc>
        <w:tc>
          <w:tcPr>
            <w:tcW w:w="1863" w:type="dxa"/>
          </w:tcPr>
          <w:p>
            <w:pPr>
              <w:pStyle w:val="78"/>
              <w:spacing w:before="61" w:line="204" w:lineRule="auto"/>
              <w:ind w:left="412"/>
              <w:rPr>
                <w:rFonts w:hint="eastAsia"/>
                <w:sz w:val="20"/>
              </w:rPr>
            </w:pPr>
            <w:r>
              <w:rPr>
                <w:spacing w:val="-1"/>
                <w:sz w:val="20"/>
              </w:rPr>
              <w:t>清炒大白菜</w:t>
            </w:r>
          </w:p>
        </w:tc>
        <w:tc>
          <w:tcPr>
            <w:tcW w:w="4239" w:type="dxa"/>
          </w:tcPr>
          <w:p>
            <w:pPr>
              <w:pStyle w:val="78"/>
              <w:spacing w:before="61" w:line="204" w:lineRule="auto"/>
              <w:ind w:left="1496"/>
              <w:rPr>
                <w:rFonts w:hint="eastAsia"/>
                <w:sz w:val="20"/>
              </w:rPr>
            </w:pPr>
            <w:r>
              <w:rPr>
                <w:spacing w:val="-5"/>
                <w:sz w:val="20"/>
              </w:rPr>
              <w:t>大白菜100克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442" w:type="dxa"/>
            <w:vMerge w:val="continue"/>
            <w:tcBorders>
              <w:top w:val="nil"/>
            </w:tcBorders>
          </w:tcPr>
          <w:p>
            <w:pPr>
              <w:rPr>
                <w:rFonts w:ascii="Arial" w:hAnsi="Arial" w:cs="Arial"/>
                <w:kern w:val="0"/>
                <w:sz w:val="20"/>
                <w:szCs w:val="20"/>
              </w:rPr>
            </w:pPr>
          </w:p>
        </w:tc>
        <w:tc>
          <w:tcPr>
            <w:tcW w:w="1863" w:type="dxa"/>
          </w:tcPr>
          <w:p>
            <w:pPr>
              <w:pStyle w:val="78"/>
              <w:spacing w:before="61" w:line="205" w:lineRule="auto"/>
              <w:ind w:left="517"/>
              <w:rPr>
                <w:rFonts w:hint="eastAsia"/>
                <w:sz w:val="20"/>
              </w:rPr>
            </w:pPr>
            <w:r>
              <w:rPr>
                <w:spacing w:val="-2"/>
                <w:sz w:val="20"/>
              </w:rPr>
              <w:t>清蒸玉米</w:t>
            </w:r>
          </w:p>
        </w:tc>
        <w:tc>
          <w:tcPr>
            <w:tcW w:w="4239" w:type="dxa"/>
          </w:tcPr>
          <w:p>
            <w:pPr>
              <w:pStyle w:val="78"/>
              <w:spacing w:before="61" w:line="205" w:lineRule="auto"/>
              <w:ind w:left="1651"/>
              <w:rPr>
                <w:rFonts w:hint="eastAsia"/>
                <w:sz w:val="20"/>
              </w:rPr>
            </w:pPr>
            <w:r>
              <w:rPr>
                <w:spacing w:val="-4"/>
                <w:sz w:val="20"/>
              </w:rPr>
              <w:t>玉米80克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42" w:type="dxa"/>
            <w:vMerge w:val="restart"/>
            <w:tcBorders>
              <w:bottom w:val="nil"/>
            </w:tcBorders>
          </w:tcPr>
          <w:p>
            <w:pPr>
              <w:pStyle w:val="78"/>
              <w:spacing w:before="222" w:line="301" w:lineRule="exact"/>
              <w:ind w:left="516"/>
              <w:rPr>
                <w:rFonts w:hint="eastAsia"/>
                <w:sz w:val="20"/>
              </w:rPr>
            </w:pPr>
            <w:r>
              <w:rPr>
                <w:spacing w:val="-2"/>
                <w:position w:val="6"/>
                <w:sz w:val="20"/>
              </w:rPr>
              <w:t>主食</w:t>
            </w:r>
          </w:p>
          <w:p>
            <w:pPr>
              <w:pStyle w:val="78"/>
              <w:spacing w:line="221" w:lineRule="auto"/>
              <w:ind w:left="335"/>
              <w:rPr>
                <w:rFonts w:hint="eastAsia"/>
                <w:sz w:val="20"/>
              </w:rPr>
            </w:pPr>
            <w:r>
              <w:rPr>
                <w:spacing w:val="-7"/>
                <w:sz w:val="20"/>
              </w:rPr>
              <w:t>（1元）</w:t>
            </w:r>
          </w:p>
        </w:tc>
        <w:tc>
          <w:tcPr>
            <w:tcW w:w="1863" w:type="dxa"/>
          </w:tcPr>
          <w:p>
            <w:pPr>
              <w:pStyle w:val="78"/>
              <w:spacing w:before="61" w:line="204" w:lineRule="auto"/>
              <w:ind w:left="651"/>
              <w:rPr>
                <w:rFonts w:hint="eastAsia"/>
                <w:sz w:val="20"/>
              </w:rPr>
            </w:pPr>
            <w:r>
              <w:rPr>
                <w:spacing w:val="-8"/>
                <w:sz w:val="20"/>
              </w:rPr>
              <w:t>白米饭</w:t>
            </w:r>
          </w:p>
        </w:tc>
        <w:tc>
          <w:tcPr>
            <w:tcW w:w="4239" w:type="dxa"/>
          </w:tcPr>
          <w:p>
            <w:pPr>
              <w:pStyle w:val="78"/>
              <w:spacing w:before="61" w:line="204" w:lineRule="auto"/>
              <w:ind w:left="1837"/>
              <w:rPr>
                <w:rFonts w:hint="eastAsia"/>
                <w:sz w:val="20"/>
              </w:rPr>
            </w:pPr>
            <w:r>
              <w:rPr>
                <w:spacing w:val="-3"/>
                <w:sz w:val="20"/>
              </w:rPr>
              <w:t>200克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42" w:type="dxa"/>
            <w:vMerge w:val="continue"/>
            <w:tcBorders>
              <w:top w:val="nil"/>
              <w:bottom w:val="nil"/>
            </w:tcBorders>
          </w:tcPr>
          <w:p>
            <w:pPr>
              <w:rPr>
                <w:rFonts w:ascii="Arial" w:hAnsi="Arial" w:cs="Arial"/>
                <w:kern w:val="0"/>
                <w:sz w:val="20"/>
                <w:szCs w:val="20"/>
              </w:rPr>
            </w:pPr>
          </w:p>
        </w:tc>
        <w:tc>
          <w:tcPr>
            <w:tcW w:w="1863" w:type="dxa"/>
          </w:tcPr>
          <w:p>
            <w:pPr>
              <w:pStyle w:val="78"/>
              <w:spacing w:before="61" w:line="204" w:lineRule="auto"/>
              <w:ind w:left="651"/>
              <w:rPr>
                <w:rFonts w:hint="eastAsia"/>
                <w:sz w:val="20"/>
              </w:rPr>
            </w:pPr>
            <w:r>
              <w:rPr>
                <w:spacing w:val="-8"/>
                <w:sz w:val="20"/>
              </w:rPr>
              <w:t>白馒头</w:t>
            </w:r>
          </w:p>
        </w:tc>
        <w:tc>
          <w:tcPr>
            <w:tcW w:w="4239" w:type="dxa"/>
          </w:tcPr>
          <w:p>
            <w:pPr>
              <w:pStyle w:val="78"/>
              <w:spacing w:before="61" w:line="204" w:lineRule="auto"/>
              <w:ind w:left="1850"/>
              <w:rPr>
                <w:rFonts w:hint="eastAsia"/>
                <w:sz w:val="20"/>
              </w:rPr>
            </w:pPr>
            <w:r>
              <w:rPr>
                <w:spacing w:val="-6"/>
                <w:sz w:val="20"/>
              </w:rPr>
              <w:t>100克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442" w:type="dxa"/>
            <w:vMerge w:val="continue"/>
            <w:tcBorders>
              <w:top w:val="nil"/>
            </w:tcBorders>
          </w:tcPr>
          <w:p>
            <w:pPr>
              <w:rPr>
                <w:rFonts w:ascii="Arial" w:hAnsi="Arial" w:cs="Arial"/>
                <w:kern w:val="0"/>
                <w:sz w:val="20"/>
                <w:szCs w:val="20"/>
              </w:rPr>
            </w:pPr>
          </w:p>
        </w:tc>
        <w:tc>
          <w:tcPr>
            <w:tcW w:w="1863" w:type="dxa"/>
          </w:tcPr>
          <w:p>
            <w:pPr>
              <w:pStyle w:val="78"/>
              <w:spacing w:before="64" w:line="203" w:lineRule="auto"/>
              <w:ind w:left="525"/>
              <w:rPr>
                <w:rFonts w:hint="eastAsia"/>
                <w:sz w:val="20"/>
              </w:rPr>
            </w:pPr>
            <w:r>
              <w:rPr>
                <w:spacing w:val="-4"/>
                <w:sz w:val="20"/>
              </w:rPr>
              <w:t>葱油花卷</w:t>
            </w:r>
          </w:p>
        </w:tc>
        <w:tc>
          <w:tcPr>
            <w:tcW w:w="4239" w:type="dxa"/>
          </w:tcPr>
          <w:p>
            <w:pPr>
              <w:pStyle w:val="78"/>
              <w:spacing w:before="64" w:line="203" w:lineRule="auto"/>
              <w:ind w:left="1850"/>
              <w:rPr>
                <w:rFonts w:hint="eastAsia"/>
                <w:sz w:val="20"/>
              </w:rPr>
            </w:pPr>
            <w:r>
              <w:rPr>
                <w:spacing w:val="-6"/>
                <w:sz w:val="20"/>
              </w:rPr>
              <w:t>110克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442" w:type="dxa"/>
          </w:tcPr>
          <w:p>
            <w:pPr>
              <w:pStyle w:val="78"/>
              <w:spacing w:before="65" w:line="300" w:lineRule="exact"/>
              <w:ind w:left="516"/>
              <w:rPr>
                <w:rFonts w:hint="eastAsia"/>
                <w:sz w:val="20"/>
              </w:rPr>
            </w:pPr>
            <w:r>
              <w:rPr>
                <w:spacing w:val="-3"/>
                <w:position w:val="6"/>
                <w:sz w:val="20"/>
              </w:rPr>
              <w:t>素汤</w:t>
            </w:r>
          </w:p>
          <w:p>
            <w:pPr>
              <w:pStyle w:val="78"/>
              <w:spacing w:line="203" w:lineRule="auto"/>
              <w:ind w:left="519"/>
              <w:rPr>
                <w:rFonts w:hint="eastAsia"/>
                <w:sz w:val="20"/>
              </w:rPr>
            </w:pPr>
            <w:r>
              <w:rPr>
                <w:spacing w:val="-3"/>
                <w:sz w:val="20"/>
              </w:rPr>
              <w:t>免费</w:t>
            </w:r>
          </w:p>
        </w:tc>
        <w:tc>
          <w:tcPr>
            <w:tcW w:w="1863" w:type="dxa"/>
          </w:tcPr>
          <w:p>
            <w:pPr>
              <w:pStyle w:val="78"/>
              <w:spacing w:before="213" w:line="221" w:lineRule="auto"/>
              <w:ind w:left="417"/>
              <w:rPr>
                <w:rFonts w:hint="eastAsia"/>
                <w:sz w:val="20"/>
              </w:rPr>
            </w:pPr>
            <w:r>
              <w:rPr>
                <w:spacing w:val="-2"/>
                <w:sz w:val="20"/>
              </w:rPr>
              <w:t>西红柿蛋汤</w:t>
            </w:r>
          </w:p>
        </w:tc>
        <w:tc>
          <w:tcPr>
            <w:tcW w:w="4239" w:type="dxa"/>
          </w:tcPr>
          <w:p>
            <w:pPr>
              <w:pStyle w:val="78"/>
              <w:spacing w:before="213" w:line="221" w:lineRule="auto"/>
              <w:ind w:left="1079"/>
              <w:rPr>
                <w:rFonts w:hint="eastAsia"/>
                <w:sz w:val="20"/>
              </w:rPr>
            </w:pPr>
            <w:r>
              <w:rPr>
                <w:spacing w:val="-5"/>
                <w:sz w:val="20"/>
              </w:rPr>
              <w:t>西红柿40克鸡蛋10克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442" w:type="dxa"/>
          </w:tcPr>
          <w:p>
            <w:pPr>
              <w:pStyle w:val="78"/>
              <w:spacing w:before="97" w:line="221" w:lineRule="auto"/>
              <w:ind w:left="410"/>
              <w:rPr>
                <w:rFonts w:hint="eastAsia"/>
                <w:sz w:val="20"/>
              </w:rPr>
            </w:pPr>
            <w:r>
              <w:rPr>
                <w:spacing w:val="-2"/>
                <w:sz w:val="20"/>
              </w:rPr>
              <w:t>奶制品</w:t>
            </w:r>
          </w:p>
        </w:tc>
        <w:tc>
          <w:tcPr>
            <w:tcW w:w="1863" w:type="dxa"/>
          </w:tcPr>
          <w:p>
            <w:pPr>
              <w:pStyle w:val="78"/>
              <w:spacing w:before="97" w:line="221" w:lineRule="auto"/>
              <w:ind w:left="516"/>
              <w:rPr>
                <w:rFonts w:hint="eastAsia"/>
                <w:sz w:val="20"/>
              </w:rPr>
            </w:pPr>
            <w:r>
              <w:rPr>
                <w:spacing w:val="-1"/>
                <w:sz w:val="20"/>
              </w:rPr>
              <w:t>扬大酸奶</w:t>
            </w:r>
          </w:p>
        </w:tc>
        <w:tc>
          <w:tcPr>
            <w:tcW w:w="4239" w:type="dxa"/>
          </w:tcPr>
          <w:p>
            <w:pPr>
              <w:pStyle w:val="78"/>
              <w:spacing w:before="96" w:line="219" w:lineRule="auto"/>
              <w:ind w:left="1394"/>
              <w:rPr>
                <w:rFonts w:hint="eastAsia"/>
                <w:sz w:val="20"/>
              </w:rPr>
            </w:pPr>
            <w:r>
              <w:rPr>
                <w:spacing w:val="-2"/>
                <w:sz w:val="20"/>
              </w:rPr>
              <w:t>市场售价的九折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442" w:type="dxa"/>
          </w:tcPr>
          <w:p>
            <w:pPr>
              <w:pStyle w:val="78"/>
              <w:spacing w:before="63" w:line="207" w:lineRule="auto"/>
              <w:ind w:left="516"/>
              <w:rPr>
                <w:rFonts w:hint="eastAsia"/>
                <w:sz w:val="20"/>
              </w:rPr>
            </w:pPr>
            <w:r>
              <w:rPr>
                <w:spacing w:val="-3"/>
                <w:sz w:val="20"/>
              </w:rPr>
              <w:t>水果</w:t>
            </w:r>
          </w:p>
        </w:tc>
        <w:tc>
          <w:tcPr>
            <w:tcW w:w="1863" w:type="dxa"/>
          </w:tcPr>
          <w:p>
            <w:pPr>
              <w:pStyle w:val="78"/>
              <w:spacing w:before="63" w:line="207" w:lineRule="auto"/>
              <w:ind w:left="210"/>
              <w:rPr>
                <w:rFonts w:hint="eastAsia"/>
                <w:sz w:val="20"/>
              </w:rPr>
            </w:pPr>
            <w:r>
              <w:rPr>
                <w:spacing w:val="-3"/>
                <w:sz w:val="20"/>
              </w:rPr>
              <w:t>时令水果、果切</w:t>
            </w:r>
          </w:p>
        </w:tc>
        <w:tc>
          <w:tcPr>
            <w:tcW w:w="4239" w:type="dxa"/>
          </w:tcPr>
          <w:p>
            <w:pPr>
              <w:pStyle w:val="78"/>
              <w:spacing w:before="63" w:line="207" w:lineRule="auto"/>
              <w:ind w:left="1177"/>
              <w:rPr>
                <w:rFonts w:hint="eastAsia"/>
                <w:sz w:val="20"/>
              </w:rPr>
            </w:pPr>
            <w:r>
              <w:rPr>
                <w:spacing w:val="-1"/>
                <w:sz w:val="20"/>
              </w:rPr>
              <w:t>售价不得高于市场价</w:t>
            </w:r>
          </w:p>
        </w:tc>
      </w:tr>
    </w:tbl>
    <w:p>
      <w:pPr>
        <w:pStyle w:val="12"/>
        <w:ind w:firstLine="964" w:firstLineChars="400"/>
        <w:rPr>
          <w:rFonts w:hint="eastAsia" w:ascii="新宋体" w:hAnsi="新宋体" w:eastAsia="新宋体"/>
          <w:b/>
          <w:bCs/>
          <w:sz w:val="24"/>
          <w:szCs w:val="24"/>
        </w:rPr>
      </w:pPr>
    </w:p>
    <w:p>
      <w:pPr>
        <w:pStyle w:val="12"/>
        <w:ind w:firstLine="964" w:firstLineChars="400"/>
        <w:rPr>
          <w:rFonts w:hint="eastAsia" w:ascii="新宋体" w:hAnsi="新宋体" w:eastAsia="新宋体"/>
          <w:b/>
          <w:bCs/>
          <w:sz w:val="24"/>
          <w:szCs w:val="24"/>
        </w:rPr>
      </w:pPr>
    </w:p>
    <w:p>
      <w:pPr>
        <w:pStyle w:val="12"/>
        <w:ind w:firstLine="964" w:firstLineChars="400"/>
        <w:rPr>
          <w:rFonts w:hint="eastAsia" w:ascii="新宋体" w:hAnsi="新宋体" w:eastAsia="新宋体"/>
          <w:b/>
          <w:bCs/>
          <w:sz w:val="24"/>
          <w:szCs w:val="24"/>
        </w:rPr>
      </w:pPr>
    </w:p>
    <w:p>
      <w:pPr>
        <w:pStyle w:val="12"/>
        <w:ind w:firstLine="964" w:firstLineChars="400"/>
        <w:rPr>
          <w:rFonts w:hint="eastAsia" w:ascii="新宋体" w:hAnsi="新宋体" w:eastAsia="新宋体"/>
          <w:b/>
          <w:bCs/>
          <w:sz w:val="24"/>
          <w:szCs w:val="24"/>
        </w:rPr>
      </w:pPr>
    </w:p>
    <w:p>
      <w:pPr>
        <w:pStyle w:val="12"/>
        <w:ind w:firstLine="964" w:firstLineChars="400"/>
        <w:rPr>
          <w:rFonts w:hint="eastAsia" w:ascii="新宋体" w:hAnsi="新宋体" w:eastAsia="新宋体"/>
          <w:b/>
          <w:bCs/>
          <w:sz w:val="24"/>
          <w:szCs w:val="24"/>
        </w:rPr>
      </w:pPr>
    </w:p>
    <w:p>
      <w:pPr>
        <w:pStyle w:val="12"/>
        <w:ind w:firstLine="964" w:firstLineChars="400"/>
        <w:rPr>
          <w:rFonts w:hint="eastAsia" w:ascii="新宋体" w:hAnsi="新宋体" w:eastAsia="新宋体"/>
          <w:b/>
          <w:bCs/>
          <w:sz w:val="24"/>
          <w:szCs w:val="24"/>
        </w:rPr>
      </w:pPr>
    </w:p>
    <w:p>
      <w:pPr>
        <w:pStyle w:val="12"/>
        <w:ind w:firstLine="964" w:firstLineChars="400"/>
        <w:rPr>
          <w:rFonts w:hint="eastAsia" w:ascii="新宋体" w:hAnsi="新宋体" w:eastAsia="新宋体"/>
          <w:b/>
          <w:bCs/>
          <w:sz w:val="24"/>
          <w:szCs w:val="24"/>
        </w:rPr>
      </w:pPr>
    </w:p>
    <w:p>
      <w:pPr>
        <w:pStyle w:val="12"/>
        <w:ind w:firstLine="964" w:firstLineChars="400"/>
        <w:rPr>
          <w:rFonts w:hint="eastAsia" w:ascii="新宋体" w:hAnsi="新宋体" w:eastAsia="新宋体"/>
          <w:b/>
          <w:bCs/>
          <w:sz w:val="24"/>
          <w:szCs w:val="24"/>
        </w:rPr>
      </w:pPr>
    </w:p>
    <w:p>
      <w:pPr>
        <w:pStyle w:val="12"/>
        <w:ind w:firstLine="964" w:firstLineChars="400"/>
        <w:rPr>
          <w:rFonts w:hint="eastAsia" w:ascii="新宋体" w:hAnsi="新宋体" w:eastAsia="新宋体"/>
          <w:b/>
          <w:bCs/>
          <w:sz w:val="24"/>
          <w:szCs w:val="24"/>
        </w:rPr>
      </w:pPr>
    </w:p>
    <w:p>
      <w:pPr>
        <w:pStyle w:val="12"/>
        <w:ind w:firstLine="964" w:firstLineChars="400"/>
        <w:rPr>
          <w:rFonts w:hint="eastAsia" w:ascii="新宋体" w:hAnsi="新宋体" w:eastAsia="新宋体"/>
          <w:b/>
          <w:bCs/>
          <w:sz w:val="24"/>
          <w:szCs w:val="24"/>
        </w:rPr>
      </w:pPr>
    </w:p>
    <w:p>
      <w:pPr>
        <w:pStyle w:val="12"/>
        <w:ind w:firstLine="964" w:firstLineChars="400"/>
      </w:pPr>
      <w:r>
        <w:rPr>
          <w:rFonts w:hint="eastAsia" w:ascii="新宋体" w:hAnsi="新宋体" w:eastAsia="新宋体"/>
          <w:b/>
          <w:bCs/>
          <w:sz w:val="24"/>
          <w:szCs w:val="24"/>
        </w:rPr>
        <w:t>营养及病员食堂基础套餐定价标准及带量食谱基本要求</w:t>
      </w:r>
    </w:p>
    <w:tbl>
      <w:tblPr>
        <w:tblStyle w:val="30"/>
        <w:tblW w:w="8613" w:type="dxa"/>
        <w:jc w:val="center"/>
        <w:tblLayout w:type="fixed"/>
        <w:tblCellMar>
          <w:top w:w="0" w:type="dxa"/>
          <w:left w:w="108" w:type="dxa"/>
          <w:bottom w:w="0" w:type="dxa"/>
          <w:right w:w="108" w:type="dxa"/>
        </w:tblCellMar>
      </w:tblPr>
      <w:tblGrid>
        <w:gridCol w:w="2347"/>
        <w:gridCol w:w="1475"/>
        <w:gridCol w:w="2949"/>
        <w:gridCol w:w="1842"/>
        <w:tblGridChange w:id="0">
          <w:tblGrid>
            <w:gridCol w:w="2347"/>
            <w:gridCol w:w="1475"/>
            <w:gridCol w:w="2949"/>
            <w:gridCol w:w="1842"/>
          </w:tblGrid>
        </w:tblGridChange>
      </w:tblGrid>
      <w:tr>
        <w:tblPrEx>
          <w:tblCellMar>
            <w:top w:w="0" w:type="dxa"/>
            <w:left w:w="108" w:type="dxa"/>
            <w:bottom w:w="0" w:type="dxa"/>
            <w:right w:w="108" w:type="dxa"/>
          </w:tblCellMar>
        </w:tblPrEx>
        <w:trPr>
          <w:trHeight w:val="416" w:hRule="atLeast"/>
          <w:jc w:val="center"/>
        </w:trPr>
        <w:tc>
          <w:tcPr>
            <w:tcW w:w="23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b/>
                <w:bCs/>
                <w:sz w:val="22"/>
              </w:rPr>
            </w:pPr>
            <w:r>
              <w:rPr>
                <w:rFonts w:hint="eastAsia" w:ascii="宋体" w:hAnsi="宋体" w:cs="宋体"/>
                <w:b/>
                <w:bCs/>
                <w:kern w:val="0"/>
                <w:sz w:val="22"/>
              </w:rPr>
              <w:t>基础套餐</w:t>
            </w:r>
          </w:p>
        </w:tc>
        <w:tc>
          <w:tcPr>
            <w:tcW w:w="147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b/>
                <w:bCs/>
                <w:sz w:val="22"/>
              </w:rPr>
            </w:pPr>
            <w:r>
              <w:rPr>
                <w:rFonts w:hint="eastAsia" w:ascii="宋体" w:hAnsi="宋体" w:cs="宋体"/>
                <w:b/>
                <w:bCs/>
                <w:kern w:val="0"/>
                <w:sz w:val="22"/>
              </w:rPr>
              <w:t>参考菜品</w:t>
            </w:r>
          </w:p>
        </w:tc>
        <w:tc>
          <w:tcPr>
            <w:tcW w:w="294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b/>
                <w:bCs/>
                <w:sz w:val="22"/>
              </w:rPr>
            </w:pPr>
            <w:r>
              <w:rPr>
                <w:rFonts w:hint="eastAsia" w:ascii="宋体" w:hAnsi="宋体" w:cs="宋体"/>
                <w:b/>
                <w:bCs/>
                <w:kern w:val="0"/>
                <w:sz w:val="22"/>
              </w:rPr>
              <w:t>主要食材克重</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b/>
                <w:bCs/>
                <w:sz w:val="22"/>
              </w:rPr>
            </w:pPr>
            <w:r>
              <w:rPr>
                <w:rFonts w:hint="eastAsia" w:ascii="宋体" w:hAnsi="宋体" w:cs="宋体"/>
                <w:b/>
                <w:bCs/>
                <w:kern w:val="0"/>
                <w:sz w:val="22"/>
              </w:rPr>
              <w:t>售价（元）</w:t>
            </w:r>
          </w:p>
        </w:tc>
      </w:tr>
      <w:tr>
        <w:tblPrEx>
          <w:tblCellMar>
            <w:top w:w="0" w:type="dxa"/>
            <w:left w:w="108" w:type="dxa"/>
            <w:bottom w:w="0" w:type="dxa"/>
            <w:right w:w="108" w:type="dxa"/>
          </w:tblCellMar>
        </w:tblPrEx>
        <w:trPr>
          <w:trHeight w:val="319" w:hRule="atLeast"/>
          <w:jc w:val="center"/>
        </w:trPr>
        <w:tc>
          <w:tcPr>
            <w:tcW w:w="2347" w:type="dxa"/>
            <w:vMerge w:val="restar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kern w:val="0"/>
                <w:sz w:val="22"/>
              </w:rPr>
            </w:pPr>
            <w:r>
              <w:rPr>
                <w:rFonts w:hint="eastAsia" w:ascii="宋体" w:hAnsi="宋体" w:cs="宋体"/>
                <w:b/>
                <w:bCs/>
                <w:kern w:val="0"/>
                <w:sz w:val="22"/>
              </w:rPr>
              <w:t xml:space="preserve">套餐1 </w:t>
            </w:r>
          </w:p>
          <w:p>
            <w:pPr>
              <w:widowControl/>
              <w:jc w:val="center"/>
              <w:textAlignment w:val="center"/>
              <w:rPr>
                <w:rFonts w:hint="eastAsia" w:ascii="宋体" w:hAnsi="宋体" w:cs="宋体"/>
                <w:b/>
                <w:bCs/>
                <w:sz w:val="22"/>
              </w:rPr>
            </w:pPr>
            <w:r>
              <w:rPr>
                <w:rFonts w:hint="eastAsia" w:ascii="宋体" w:hAnsi="宋体" w:cs="宋体"/>
                <w:b/>
                <w:bCs/>
                <w:kern w:val="0"/>
                <w:sz w:val="22"/>
              </w:rPr>
              <w:t>一大荤一小荤一素</w:t>
            </w:r>
          </w:p>
        </w:tc>
        <w:tc>
          <w:tcPr>
            <w:tcW w:w="1475"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红烧狮子头</w:t>
            </w:r>
          </w:p>
        </w:tc>
        <w:tc>
          <w:tcPr>
            <w:tcW w:w="2949"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肉泥100克</w:t>
            </w:r>
          </w:p>
        </w:tc>
        <w:tc>
          <w:tcPr>
            <w:tcW w:w="1842" w:type="dxa"/>
            <w:vMerge w:val="restart"/>
            <w:tcBorders>
              <w:top w:val="single" w:color="auto"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2"/>
              </w:rPr>
            </w:pPr>
            <w:r>
              <w:rPr>
                <w:rFonts w:hint="eastAsia" w:ascii="宋体" w:hAnsi="宋体" w:cs="宋体"/>
                <w:sz w:val="22"/>
              </w:rPr>
              <w:t>10</w:t>
            </w:r>
          </w:p>
        </w:tc>
      </w:tr>
      <w:tr>
        <w:tblPrEx>
          <w:tblCellMar>
            <w:top w:w="0" w:type="dxa"/>
            <w:left w:w="108" w:type="dxa"/>
            <w:bottom w:w="0" w:type="dxa"/>
            <w:right w:w="108" w:type="dxa"/>
          </w:tblCellMar>
        </w:tblPrEx>
        <w:trPr>
          <w:trHeight w:val="319" w:hRule="atLeast"/>
          <w:jc w:val="center"/>
        </w:trPr>
        <w:tc>
          <w:tcPr>
            <w:tcW w:w="23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sz w:val="22"/>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番茄炒蛋</w:t>
            </w:r>
          </w:p>
        </w:tc>
        <w:tc>
          <w:tcPr>
            <w:tcW w:w="29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鸡蛋50克、番茄80克</w:t>
            </w:r>
          </w:p>
        </w:tc>
        <w:tc>
          <w:tcPr>
            <w:tcW w:w="18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2"/>
              </w:rPr>
            </w:pPr>
          </w:p>
        </w:tc>
      </w:tr>
      <w:tr>
        <w:tblPrEx>
          <w:tblCellMar>
            <w:top w:w="0" w:type="dxa"/>
            <w:left w:w="108" w:type="dxa"/>
            <w:bottom w:w="0" w:type="dxa"/>
            <w:right w:w="108" w:type="dxa"/>
          </w:tblCellMar>
        </w:tblPrEx>
        <w:trPr>
          <w:trHeight w:val="648" w:hRule="atLeast"/>
          <w:jc w:val="center"/>
        </w:trPr>
        <w:tc>
          <w:tcPr>
            <w:tcW w:w="23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sz w:val="22"/>
              </w:rPr>
            </w:pPr>
          </w:p>
        </w:tc>
        <w:tc>
          <w:tcPr>
            <w:tcW w:w="1475" w:type="dxa"/>
            <w:tcBorders>
              <w:top w:val="single" w:color="000000" w:sz="4" w:space="0"/>
              <w:left w:val="single" w:color="000000" w:sz="4" w:space="0"/>
              <w:right w:val="single" w:color="000000" w:sz="4" w:space="0"/>
            </w:tcBorders>
            <w:noWrap/>
            <w:vAlign w:val="center"/>
          </w:tcPr>
          <w:p>
            <w:pPr>
              <w:jc w:val="center"/>
              <w:textAlignment w:val="center"/>
              <w:rPr>
                <w:rFonts w:hint="eastAsia" w:ascii="宋体" w:hAnsi="宋体" w:cs="宋体"/>
                <w:sz w:val="22"/>
              </w:rPr>
            </w:pPr>
            <w:r>
              <w:rPr>
                <w:rFonts w:hint="eastAsia" w:ascii="宋体" w:hAnsi="宋体" w:cs="宋体"/>
                <w:kern w:val="0"/>
                <w:sz w:val="22"/>
              </w:rPr>
              <w:t>香菇青菜</w:t>
            </w:r>
          </w:p>
        </w:tc>
        <w:tc>
          <w:tcPr>
            <w:tcW w:w="2949" w:type="dxa"/>
            <w:tcBorders>
              <w:top w:val="single" w:color="000000" w:sz="4" w:space="0"/>
              <w:left w:val="single" w:color="000000" w:sz="4" w:space="0"/>
              <w:right w:val="single" w:color="000000" w:sz="4" w:space="0"/>
            </w:tcBorders>
            <w:noWrap/>
            <w:vAlign w:val="center"/>
          </w:tcPr>
          <w:p>
            <w:pPr>
              <w:jc w:val="center"/>
              <w:textAlignment w:val="center"/>
              <w:rPr>
                <w:rFonts w:hint="eastAsia" w:ascii="宋体" w:hAnsi="宋体" w:cs="宋体"/>
                <w:sz w:val="22"/>
              </w:rPr>
            </w:pPr>
            <w:r>
              <w:rPr>
                <w:rFonts w:hint="eastAsia" w:ascii="宋体" w:hAnsi="宋体" w:cs="宋体"/>
                <w:kern w:val="0"/>
                <w:sz w:val="22"/>
              </w:rPr>
              <w:t>香菇15克，青菜80克</w:t>
            </w:r>
          </w:p>
        </w:tc>
        <w:tc>
          <w:tcPr>
            <w:tcW w:w="18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2"/>
              </w:rPr>
            </w:pPr>
          </w:p>
        </w:tc>
      </w:tr>
      <w:tr>
        <w:tblPrEx>
          <w:tblCellMar>
            <w:top w:w="0" w:type="dxa"/>
            <w:left w:w="108" w:type="dxa"/>
            <w:bottom w:w="0" w:type="dxa"/>
            <w:right w:w="108" w:type="dxa"/>
          </w:tblCellMar>
        </w:tblPrEx>
        <w:trPr>
          <w:trHeight w:val="319" w:hRule="atLeast"/>
          <w:jc w:val="center"/>
        </w:trPr>
        <w:tc>
          <w:tcPr>
            <w:tcW w:w="23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sz w:val="22"/>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冬瓜海带汤</w:t>
            </w:r>
          </w:p>
        </w:tc>
        <w:tc>
          <w:tcPr>
            <w:tcW w:w="29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冬瓜30克、海带10克</w:t>
            </w:r>
          </w:p>
        </w:tc>
        <w:tc>
          <w:tcPr>
            <w:tcW w:w="18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2"/>
              </w:rPr>
            </w:pPr>
          </w:p>
        </w:tc>
      </w:tr>
      <w:tr>
        <w:tblPrEx>
          <w:tblCellMar>
            <w:top w:w="0" w:type="dxa"/>
            <w:left w:w="108" w:type="dxa"/>
            <w:bottom w:w="0" w:type="dxa"/>
            <w:right w:w="108" w:type="dxa"/>
          </w:tblCellMar>
        </w:tblPrEx>
        <w:trPr>
          <w:trHeight w:val="319" w:hRule="atLeast"/>
          <w:jc w:val="center"/>
        </w:trPr>
        <w:tc>
          <w:tcPr>
            <w:tcW w:w="23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sz w:val="22"/>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米饭</w:t>
            </w:r>
          </w:p>
        </w:tc>
        <w:tc>
          <w:tcPr>
            <w:tcW w:w="29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100克</w:t>
            </w:r>
          </w:p>
        </w:tc>
        <w:tc>
          <w:tcPr>
            <w:tcW w:w="18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2"/>
              </w:rPr>
            </w:pPr>
          </w:p>
        </w:tc>
      </w:tr>
      <w:tr>
        <w:tblPrEx>
          <w:tblCellMar>
            <w:top w:w="0" w:type="dxa"/>
            <w:left w:w="108" w:type="dxa"/>
            <w:bottom w:w="0" w:type="dxa"/>
            <w:right w:w="108" w:type="dxa"/>
          </w:tblCellMar>
        </w:tblPrEx>
        <w:trPr>
          <w:trHeight w:val="319" w:hRule="atLeast"/>
          <w:jc w:val="center"/>
        </w:trPr>
        <w:tc>
          <w:tcPr>
            <w:tcW w:w="234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kern w:val="0"/>
                <w:sz w:val="22"/>
              </w:rPr>
            </w:pPr>
            <w:r>
              <w:rPr>
                <w:rFonts w:hint="eastAsia" w:ascii="宋体" w:hAnsi="宋体" w:cs="宋体"/>
                <w:b/>
                <w:bCs/>
                <w:kern w:val="0"/>
                <w:sz w:val="22"/>
              </w:rPr>
              <w:t xml:space="preserve">套餐2 </w:t>
            </w:r>
          </w:p>
          <w:p>
            <w:pPr>
              <w:widowControl/>
              <w:jc w:val="center"/>
              <w:textAlignment w:val="center"/>
              <w:rPr>
                <w:rFonts w:hint="eastAsia" w:ascii="宋体" w:hAnsi="宋体" w:cs="宋体"/>
                <w:b/>
                <w:bCs/>
                <w:sz w:val="22"/>
              </w:rPr>
            </w:pPr>
            <w:r>
              <w:rPr>
                <w:rFonts w:hint="eastAsia" w:ascii="宋体" w:hAnsi="宋体" w:cs="宋体"/>
                <w:b/>
                <w:bCs/>
                <w:kern w:val="0"/>
                <w:sz w:val="22"/>
              </w:rPr>
              <w:t>二大荤一小荤二素</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红烧鸡腿</w:t>
            </w:r>
          </w:p>
        </w:tc>
        <w:tc>
          <w:tcPr>
            <w:tcW w:w="29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125克</w:t>
            </w:r>
          </w:p>
        </w:tc>
        <w:tc>
          <w:tcPr>
            <w:tcW w:w="1842"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2"/>
              </w:rPr>
            </w:pPr>
            <w:r>
              <w:rPr>
                <w:rFonts w:hint="eastAsia" w:ascii="宋体" w:hAnsi="宋体" w:cs="宋体"/>
                <w:sz w:val="22"/>
              </w:rPr>
              <w:t>15</w:t>
            </w:r>
          </w:p>
        </w:tc>
      </w:tr>
      <w:tr>
        <w:tblPrEx>
          <w:tblCellMar>
            <w:top w:w="0" w:type="dxa"/>
            <w:left w:w="108" w:type="dxa"/>
            <w:bottom w:w="0" w:type="dxa"/>
            <w:right w:w="108" w:type="dxa"/>
          </w:tblCellMar>
        </w:tblPrEx>
        <w:trPr>
          <w:trHeight w:val="319" w:hRule="atLeast"/>
          <w:jc w:val="center"/>
        </w:trPr>
        <w:tc>
          <w:tcPr>
            <w:tcW w:w="23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sz w:val="22"/>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红烧鱼块</w:t>
            </w:r>
          </w:p>
        </w:tc>
        <w:tc>
          <w:tcPr>
            <w:tcW w:w="29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150克</w:t>
            </w:r>
          </w:p>
        </w:tc>
        <w:tc>
          <w:tcPr>
            <w:tcW w:w="18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2"/>
              </w:rPr>
            </w:pPr>
          </w:p>
        </w:tc>
      </w:tr>
      <w:tr>
        <w:tblPrEx>
          <w:tblCellMar>
            <w:top w:w="0" w:type="dxa"/>
            <w:left w:w="108" w:type="dxa"/>
            <w:bottom w:w="0" w:type="dxa"/>
            <w:right w:w="108" w:type="dxa"/>
          </w:tblCellMar>
        </w:tblPrEx>
        <w:trPr>
          <w:trHeight w:val="319" w:hRule="atLeast"/>
          <w:jc w:val="center"/>
        </w:trPr>
        <w:tc>
          <w:tcPr>
            <w:tcW w:w="23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sz w:val="22"/>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青椒肉丝</w:t>
            </w:r>
          </w:p>
        </w:tc>
        <w:tc>
          <w:tcPr>
            <w:tcW w:w="29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肉丝30克、青椒80克</w:t>
            </w:r>
          </w:p>
        </w:tc>
        <w:tc>
          <w:tcPr>
            <w:tcW w:w="18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2"/>
              </w:rPr>
            </w:pPr>
          </w:p>
        </w:tc>
      </w:tr>
      <w:tr>
        <w:tblPrEx>
          <w:tblCellMar>
            <w:top w:w="0" w:type="dxa"/>
            <w:left w:w="108" w:type="dxa"/>
            <w:bottom w:w="0" w:type="dxa"/>
            <w:right w:w="108" w:type="dxa"/>
          </w:tblCellMar>
        </w:tblPrEx>
        <w:trPr>
          <w:trHeight w:val="957" w:hRule="atLeast"/>
          <w:jc w:val="center"/>
        </w:trPr>
        <w:tc>
          <w:tcPr>
            <w:tcW w:w="23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sz w:val="22"/>
              </w:rPr>
            </w:pPr>
          </w:p>
        </w:tc>
        <w:tc>
          <w:tcPr>
            <w:tcW w:w="1475" w:type="dxa"/>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三鲜豆腐</w:t>
            </w:r>
          </w:p>
        </w:tc>
        <w:tc>
          <w:tcPr>
            <w:tcW w:w="2949" w:type="dxa"/>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豆腐50克、香菇15克、胡萝卜30克</w:t>
            </w:r>
          </w:p>
        </w:tc>
        <w:tc>
          <w:tcPr>
            <w:tcW w:w="18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2"/>
              </w:rPr>
            </w:pPr>
          </w:p>
        </w:tc>
      </w:tr>
      <w:tr>
        <w:tblPrEx>
          <w:tblCellMar>
            <w:top w:w="0" w:type="dxa"/>
            <w:left w:w="108" w:type="dxa"/>
            <w:bottom w:w="0" w:type="dxa"/>
            <w:right w:w="108" w:type="dxa"/>
          </w:tblCellMar>
        </w:tblPrEx>
        <w:trPr>
          <w:trHeight w:val="319" w:hRule="atLeast"/>
          <w:jc w:val="center"/>
        </w:trPr>
        <w:tc>
          <w:tcPr>
            <w:tcW w:w="23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sz w:val="22"/>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西红柿蛋汤</w:t>
            </w:r>
          </w:p>
        </w:tc>
        <w:tc>
          <w:tcPr>
            <w:tcW w:w="29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鸡蛋20克、西红柿30克</w:t>
            </w:r>
          </w:p>
        </w:tc>
        <w:tc>
          <w:tcPr>
            <w:tcW w:w="18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2"/>
              </w:rPr>
            </w:pPr>
          </w:p>
        </w:tc>
      </w:tr>
      <w:tr>
        <w:tblPrEx>
          <w:tblCellMar>
            <w:top w:w="0" w:type="dxa"/>
            <w:left w:w="108" w:type="dxa"/>
            <w:bottom w:w="0" w:type="dxa"/>
            <w:right w:w="108" w:type="dxa"/>
          </w:tblCellMar>
          <w:tblPrExChange w:id="1" w:author="微软用户" w:date="2007-01-01T02:13:00Z">
            <w:tblPrEx>
              <w:tblCellMar>
                <w:top w:w="0" w:type="dxa"/>
                <w:left w:w="108" w:type="dxa"/>
                <w:bottom w:w="0" w:type="dxa"/>
                <w:right w:w="108" w:type="dxa"/>
              </w:tblCellMar>
            </w:tblPrEx>
          </w:tblPrExChange>
        </w:tblPrEx>
        <w:trPr>
          <w:trHeight w:val="71" w:hRule="atLeast"/>
          <w:jc w:val="center"/>
          <w:trPrChange w:id="1" w:author="微软用户" w:date="2007-01-01T02:13:00Z">
            <w:trPr>
              <w:trHeight w:val="309" w:hRule="atLeast"/>
              <w:jc w:val="center"/>
            </w:trPr>
          </w:trPrChange>
        </w:trPr>
        <w:tc>
          <w:tcPr>
            <w:tcW w:w="2347" w:type="dxa"/>
            <w:vMerge w:val="continue"/>
            <w:tcBorders>
              <w:top w:val="single" w:color="000000" w:sz="4" w:space="0"/>
              <w:left w:val="single" w:color="000000" w:sz="4" w:space="0"/>
              <w:bottom w:val="single" w:color="000000" w:sz="4" w:space="0"/>
              <w:right w:val="single" w:color="000000" w:sz="4" w:space="0"/>
            </w:tcBorders>
            <w:noWrap/>
            <w:vAlign w:val="center"/>
            <w:tcPrChange w:id="2" w:author="微软用户" w:date="2007-01-01T02:13:00Z">
              <w:tcPr>
                <w:tcW w:w="2347" w:type="dxa"/>
                <w:vMerge w:val="continue"/>
                <w:tcBorders>
                  <w:top w:val="single" w:color="000000" w:sz="4" w:space="0"/>
                  <w:left w:val="single" w:color="000000" w:sz="4" w:space="0"/>
                  <w:bottom w:val="single" w:color="000000" w:sz="4" w:space="0"/>
                  <w:right w:val="single" w:color="000000" w:sz="4" w:space="0"/>
                </w:tcBorders>
                <w:noWrap/>
                <w:vAlign w:val="center"/>
              </w:tcPr>
            </w:tcPrChange>
          </w:tcPr>
          <w:p>
            <w:pPr>
              <w:jc w:val="center"/>
              <w:rPr>
                <w:rFonts w:hint="eastAsia" w:ascii="宋体" w:hAnsi="宋体" w:cs="宋体"/>
                <w:b/>
                <w:bCs/>
                <w:sz w:val="22"/>
              </w:rPr>
            </w:pPr>
          </w:p>
        </w:tc>
        <w:tc>
          <w:tcPr>
            <w:tcW w:w="1475" w:type="dxa"/>
            <w:tcBorders>
              <w:top w:val="single" w:color="000000" w:sz="4" w:space="0"/>
              <w:left w:val="single" w:color="000000" w:sz="4" w:space="0"/>
              <w:bottom w:val="single" w:color="000000" w:sz="4" w:space="0"/>
              <w:right w:val="single" w:color="000000" w:sz="4" w:space="0"/>
            </w:tcBorders>
            <w:noWrap/>
            <w:vAlign w:val="center"/>
            <w:tcPrChange w:id="3" w:author="微软用户" w:date="2007-01-01T02:13:00Z">
              <w:tcPr>
                <w:tcW w:w="1475" w:type="dxa"/>
                <w:tcBorders>
                  <w:top w:val="single" w:color="000000" w:sz="4" w:space="0"/>
                  <w:left w:val="single" w:color="000000" w:sz="4" w:space="0"/>
                  <w:bottom w:val="single" w:color="000000" w:sz="4" w:space="0"/>
                  <w:right w:val="single" w:color="000000" w:sz="4" w:space="0"/>
                </w:tcBorders>
                <w:noWrap/>
                <w:vAlign w:val="center"/>
              </w:tcPr>
            </w:tcPrChange>
          </w:tcPr>
          <w:p>
            <w:pPr>
              <w:widowControl/>
              <w:jc w:val="center"/>
              <w:textAlignment w:val="center"/>
              <w:rPr>
                <w:rFonts w:hint="eastAsia" w:ascii="宋体" w:hAnsi="宋体" w:cs="宋体"/>
                <w:sz w:val="22"/>
              </w:rPr>
            </w:pPr>
            <w:r>
              <w:rPr>
                <w:rFonts w:hint="eastAsia" w:ascii="宋体" w:hAnsi="宋体" w:cs="宋体"/>
                <w:kern w:val="0"/>
                <w:sz w:val="22"/>
              </w:rPr>
              <w:t>米饭</w:t>
            </w:r>
          </w:p>
        </w:tc>
        <w:tc>
          <w:tcPr>
            <w:tcW w:w="2949" w:type="dxa"/>
            <w:tcBorders>
              <w:top w:val="single" w:color="000000" w:sz="4" w:space="0"/>
              <w:left w:val="single" w:color="000000" w:sz="4" w:space="0"/>
              <w:bottom w:val="single" w:color="000000" w:sz="4" w:space="0"/>
              <w:right w:val="single" w:color="000000" w:sz="4" w:space="0"/>
            </w:tcBorders>
            <w:noWrap/>
            <w:vAlign w:val="center"/>
            <w:tcPrChange w:id="4" w:author="微软用户" w:date="2007-01-01T02:13:00Z">
              <w:tcPr>
                <w:tcW w:w="2949" w:type="dxa"/>
                <w:tcBorders>
                  <w:top w:val="single" w:color="000000" w:sz="4" w:space="0"/>
                  <w:left w:val="single" w:color="000000" w:sz="4" w:space="0"/>
                  <w:bottom w:val="single" w:color="000000" w:sz="4" w:space="0"/>
                  <w:right w:val="single" w:color="000000" w:sz="4" w:space="0"/>
                </w:tcBorders>
                <w:noWrap/>
                <w:vAlign w:val="center"/>
              </w:tcPr>
            </w:tcPrChange>
          </w:tcPr>
          <w:p>
            <w:pPr>
              <w:widowControl/>
              <w:jc w:val="center"/>
              <w:textAlignment w:val="center"/>
              <w:rPr>
                <w:rFonts w:hint="eastAsia" w:ascii="宋体" w:hAnsi="宋体" w:cs="宋体"/>
                <w:sz w:val="22"/>
              </w:rPr>
            </w:pPr>
            <w:r>
              <w:rPr>
                <w:rFonts w:hint="eastAsia" w:ascii="宋体" w:hAnsi="宋体" w:cs="宋体"/>
                <w:kern w:val="0"/>
                <w:sz w:val="22"/>
              </w:rPr>
              <w:t>100克</w:t>
            </w:r>
          </w:p>
        </w:tc>
        <w:tc>
          <w:tcPr>
            <w:tcW w:w="1842" w:type="dxa"/>
            <w:vMerge w:val="continue"/>
            <w:tcBorders>
              <w:top w:val="single" w:color="000000" w:sz="4" w:space="0"/>
              <w:left w:val="single" w:color="000000" w:sz="4" w:space="0"/>
              <w:bottom w:val="single" w:color="000000" w:sz="4" w:space="0"/>
              <w:right w:val="single" w:color="000000" w:sz="4" w:space="0"/>
            </w:tcBorders>
            <w:noWrap/>
            <w:vAlign w:val="center"/>
            <w:tcPrChange w:id="5" w:author="微软用户" w:date="2007-01-01T02:13:00Z">
              <w:tcPr>
                <w:tcW w:w="1842" w:type="dxa"/>
                <w:vMerge w:val="continue"/>
                <w:tcBorders>
                  <w:top w:val="single" w:color="000000" w:sz="4" w:space="0"/>
                  <w:left w:val="single" w:color="000000" w:sz="4" w:space="0"/>
                  <w:bottom w:val="single" w:color="000000" w:sz="4" w:space="0"/>
                  <w:right w:val="single" w:color="000000" w:sz="4" w:space="0"/>
                </w:tcBorders>
                <w:noWrap/>
                <w:vAlign w:val="center"/>
              </w:tcPr>
            </w:tcPrChange>
          </w:tcPr>
          <w:p>
            <w:pPr>
              <w:jc w:val="center"/>
              <w:rPr>
                <w:rFonts w:hint="eastAsia" w:ascii="宋体" w:hAnsi="宋体" w:cs="宋体"/>
                <w:sz w:val="22"/>
              </w:rPr>
            </w:pPr>
          </w:p>
        </w:tc>
      </w:tr>
    </w:tbl>
    <w:p>
      <w:pPr>
        <w:adjustRightInd w:val="0"/>
        <w:snapToGrid w:val="0"/>
        <w:spacing w:line="360" w:lineRule="auto"/>
        <w:rPr>
          <w:rFonts w:hint="eastAsia" w:ascii="新宋体" w:hAnsi="新宋体" w:eastAsia="新宋体"/>
          <w:sz w:val="24"/>
          <w:szCs w:val="24"/>
          <w:highlight w:val="yellow"/>
        </w:rPr>
      </w:pPr>
    </w:p>
    <w:p>
      <w:pPr>
        <w:adjustRightInd w:val="0"/>
        <w:snapToGrid w:val="0"/>
        <w:spacing w:line="360" w:lineRule="auto"/>
        <w:rPr>
          <w:rFonts w:hint="eastAsia" w:ascii="新宋体" w:hAnsi="新宋体" w:eastAsia="新宋体"/>
          <w:sz w:val="24"/>
          <w:szCs w:val="24"/>
          <w:highlight w:val="yellow"/>
        </w:rPr>
      </w:pPr>
    </w:p>
    <w:p>
      <w:pPr>
        <w:adjustRightInd w:val="0"/>
        <w:snapToGrid w:val="0"/>
        <w:spacing w:line="360" w:lineRule="auto"/>
        <w:rPr>
          <w:rFonts w:hint="eastAsia" w:ascii="新宋体" w:hAnsi="新宋体" w:eastAsia="新宋体"/>
          <w:b/>
          <w:sz w:val="24"/>
          <w:szCs w:val="24"/>
        </w:rPr>
      </w:pPr>
      <w:r>
        <w:rPr>
          <w:rFonts w:hint="eastAsia" w:ascii="新宋体" w:hAnsi="新宋体" w:eastAsia="新宋体"/>
          <w:sz w:val="24"/>
          <w:szCs w:val="24"/>
        </w:rPr>
        <w:t xml:space="preserve">附件4     </w:t>
      </w:r>
    </w:p>
    <w:p>
      <w:pPr>
        <w:adjustRightInd w:val="0"/>
        <w:snapToGrid w:val="0"/>
        <w:spacing w:line="360" w:lineRule="auto"/>
        <w:jc w:val="center"/>
        <w:rPr>
          <w:rFonts w:hint="eastAsia" w:ascii="新宋体" w:hAnsi="新宋体" w:eastAsia="新宋体"/>
          <w:sz w:val="24"/>
          <w:szCs w:val="24"/>
        </w:rPr>
      </w:pPr>
      <w:bookmarkStart w:id="6" w:name="_Hlk186424523"/>
      <w:r>
        <w:rPr>
          <w:rFonts w:hint="eastAsia" w:ascii="新宋体" w:hAnsi="新宋体" w:eastAsia="新宋体" w:cs="宋体"/>
          <w:b/>
          <w:sz w:val="24"/>
          <w:szCs w:val="24"/>
          <w:lang w:val="zh-CN"/>
        </w:rPr>
        <w:t>食堂日常运营管理监督考核表（月度）</w:t>
      </w:r>
    </w:p>
    <w:bookmarkEnd w:id="6"/>
    <w:tbl>
      <w:tblPr>
        <w:tblStyle w:val="30"/>
        <w:tblW w:w="8667" w:type="dxa"/>
        <w:jc w:val="center"/>
        <w:tblLayout w:type="fixed"/>
        <w:tblCellMar>
          <w:top w:w="0" w:type="dxa"/>
          <w:left w:w="108" w:type="dxa"/>
          <w:bottom w:w="0" w:type="dxa"/>
          <w:right w:w="108" w:type="dxa"/>
        </w:tblCellMar>
      </w:tblPr>
      <w:tblGrid>
        <w:gridCol w:w="728"/>
        <w:gridCol w:w="1171"/>
        <w:gridCol w:w="4497"/>
        <w:gridCol w:w="709"/>
        <w:gridCol w:w="1562"/>
      </w:tblGrid>
      <w:tr>
        <w:tblPrEx>
          <w:tblCellMar>
            <w:top w:w="0" w:type="dxa"/>
            <w:left w:w="108" w:type="dxa"/>
            <w:bottom w:w="0" w:type="dxa"/>
            <w:right w:w="108" w:type="dxa"/>
          </w:tblCellMar>
        </w:tblPrEx>
        <w:trPr>
          <w:trHeight w:val="844" w:hRule="atLeast"/>
          <w:jc w:val="center"/>
        </w:trPr>
        <w:tc>
          <w:tcPr>
            <w:tcW w:w="72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jc w:val="center"/>
              <w:rPr>
                <w:rFonts w:hint="eastAsia" w:ascii="宋体" w:hAnsi="宋体" w:cs="仿宋_GB2312"/>
                <w:b/>
                <w:bCs/>
                <w:sz w:val="24"/>
                <w:szCs w:val="24"/>
                <w:lang w:val="zh-CN"/>
              </w:rPr>
            </w:pPr>
            <w:r>
              <w:rPr>
                <w:rFonts w:hint="eastAsia" w:ascii="宋体" w:hAnsi="宋体" w:cs="仿宋_GB2312"/>
                <w:b/>
                <w:bCs/>
                <w:sz w:val="24"/>
                <w:szCs w:val="24"/>
                <w:lang w:val="zh-CN"/>
              </w:rPr>
              <w:t>序号</w:t>
            </w:r>
          </w:p>
        </w:tc>
        <w:tc>
          <w:tcPr>
            <w:tcW w:w="1171"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jc w:val="center"/>
              <w:rPr>
                <w:rFonts w:hint="eastAsia" w:ascii="宋体" w:hAnsi="宋体" w:cs="仿宋_GB2312"/>
                <w:b/>
                <w:bCs/>
                <w:sz w:val="24"/>
                <w:szCs w:val="24"/>
                <w:lang w:val="zh-CN"/>
              </w:rPr>
            </w:pPr>
            <w:r>
              <w:rPr>
                <w:rFonts w:hint="eastAsia" w:ascii="宋体" w:hAnsi="宋体" w:cs="仿宋_GB2312"/>
                <w:b/>
                <w:bCs/>
                <w:sz w:val="24"/>
                <w:szCs w:val="24"/>
                <w:lang w:val="zh-CN"/>
              </w:rPr>
              <w:t>类别</w:t>
            </w:r>
          </w:p>
        </w:tc>
        <w:tc>
          <w:tcPr>
            <w:tcW w:w="4497"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主要项目内容</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jc w:val="left"/>
              <w:rPr>
                <w:rFonts w:ascii="仿宋_GB2312" w:eastAsia="仿宋_GB2312" w:cs="仿宋_GB2312"/>
                <w:b/>
                <w:bCs/>
                <w:sz w:val="24"/>
                <w:szCs w:val="24"/>
                <w:lang w:val="zh-CN"/>
              </w:rPr>
            </w:pPr>
            <w:r>
              <w:rPr>
                <w:rFonts w:ascii="仿宋_GB2312" w:eastAsia="仿宋_GB2312" w:cs="仿宋_GB2312"/>
                <w:b/>
                <w:bCs/>
                <w:sz w:val="24"/>
                <w:szCs w:val="24"/>
                <w:lang w:val="zh-CN"/>
              </w:rPr>
              <w:t>项目对应</w:t>
            </w:r>
            <w:r>
              <w:rPr>
                <w:rFonts w:hint="eastAsia" w:ascii="仿宋_GB2312" w:eastAsia="仿宋_GB2312" w:cs="仿宋_GB2312"/>
                <w:b/>
                <w:bCs/>
                <w:sz w:val="24"/>
                <w:szCs w:val="24"/>
                <w:lang w:val="zh-CN"/>
              </w:rPr>
              <w:t>分值</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减扣标准</w:t>
            </w:r>
          </w:p>
          <w:p>
            <w:pPr>
              <w:autoSpaceDE w:val="0"/>
              <w:autoSpaceDN w:val="0"/>
              <w:adjustRightInd w:val="0"/>
              <w:snapToGri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（每分）</w:t>
            </w:r>
          </w:p>
        </w:tc>
      </w:tr>
      <w:tr>
        <w:tblPrEx>
          <w:tblCellMar>
            <w:top w:w="0" w:type="dxa"/>
            <w:left w:w="108" w:type="dxa"/>
            <w:bottom w:w="0" w:type="dxa"/>
            <w:right w:w="108" w:type="dxa"/>
          </w:tblCellMar>
        </w:tblPrEx>
        <w:trPr>
          <w:jc w:val="center"/>
        </w:trPr>
        <w:tc>
          <w:tcPr>
            <w:tcW w:w="728" w:type="dxa"/>
            <w:vMerge w:val="restart"/>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1</w:t>
            </w:r>
          </w:p>
        </w:tc>
        <w:tc>
          <w:tcPr>
            <w:tcW w:w="1171" w:type="dxa"/>
            <w:vMerge w:val="restart"/>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人员管理</w:t>
            </w: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firstLine="480" w:firstLineChars="200"/>
              <w:rPr>
                <w:rFonts w:hint="eastAsia" w:ascii="宋体" w:hAnsi="宋体" w:cs="微软雅黑"/>
                <w:sz w:val="24"/>
                <w:szCs w:val="24"/>
              </w:rPr>
            </w:pPr>
            <w:r>
              <w:rPr>
                <w:rFonts w:ascii="宋体" w:hAnsi="宋体" w:cs="微软雅黑"/>
                <w:sz w:val="24"/>
                <w:szCs w:val="24"/>
              </w:rPr>
              <w:t>配备专职食堂经理，有专职食品安全管理人员，人员调动和管理听取院方合理</w:t>
            </w:r>
            <w:r>
              <w:rPr>
                <w:rFonts w:hint="eastAsia" w:ascii="宋体" w:hAnsi="宋体" w:cs="微软雅黑"/>
                <w:sz w:val="24"/>
                <w:szCs w:val="24"/>
              </w:rPr>
              <w:t>化</w:t>
            </w:r>
            <w:r>
              <w:rPr>
                <w:rFonts w:ascii="宋体" w:hAnsi="宋体" w:cs="微软雅黑"/>
                <w:sz w:val="24"/>
                <w:szCs w:val="24"/>
              </w:rPr>
              <w:t>建议。</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1000元</w:t>
            </w:r>
          </w:p>
        </w:tc>
      </w:tr>
      <w:tr>
        <w:tblPrEx>
          <w:tblCellMar>
            <w:top w:w="0" w:type="dxa"/>
            <w:left w:w="108" w:type="dxa"/>
            <w:bottom w:w="0" w:type="dxa"/>
            <w:right w:w="108" w:type="dxa"/>
          </w:tblCellMar>
        </w:tblPrEx>
        <w:trPr>
          <w:jc w:val="center"/>
        </w:trPr>
        <w:tc>
          <w:tcPr>
            <w:tcW w:w="728"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各岗位人员均具备有效的健康证明</w:t>
            </w:r>
            <w:r>
              <w:rPr>
                <w:rFonts w:hint="eastAsia" w:ascii="宋体" w:hAnsi="宋体" w:cs="微软雅黑"/>
                <w:sz w:val="24"/>
                <w:szCs w:val="24"/>
              </w:rPr>
              <w:t>，</w:t>
            </w:r>
            <w:r>
              <w:rPr>
                <w:rFonts w:ascii="宋体" w:hAnsi="宋体" w:cs="微软雅黑"/>
                <w:sz w:val="24"/>
                <w:szCs w:val="24"/>
              </w:rPr>
              <w:t>人员配置符合要求</w:t>
            </w:r>
            <w:r>
              <w:rPr>
                <w:rFonts w:hint="eastAsia" w:ascii="宋体" w:hAnsi="宋体" w:cs="微软雅黑"/>
                <w:sz w:val="24"/>
                <w:szCs w:val="24"/>
              </w:rPr>
              <w:t>.</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500元</w:t>
            </w:r>
          </w:p>
        </w:tc>
      </w:tr>
      <w:tr>
        <w:tblPrEx>
          <w:tblCellMar>
            <w:top w:w="0" w:type="dxa"/>
            <w:left w:w="108" w:type="dxa"/>
            <w:bottom w:w="0" w:type="dxa"/>
            <w:right w:w="108" w:type="dxa"/>
          </w:tblCellMar>
        </w:tblPrEx>
        <w:trPr>
          <w:trHeight w:val="344" w:hRule="atLeast"/>
          <w:jc w:val="center"/>
        </w:trPr>
        <w:tc>
          <w:tcPr>
            <w:tcW w:w="728"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礼貌待客、文明用语，服务到窗前，以诚待人，不与就餐人员争吵，无投诉。</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ind w:firstLine="240" w:firstLineChars="100"/>
              <w:rPr>
                <w:rFonts w:hint="eastAsia" w:ascii="宋体" w:hAnsi="宋体" w:cs="仿宋_GB2312"/>
                <w:sz w:val="24"/>
                <w:szCs w:val="24"/>
                <w:lang w:val="zh-CN"/>
              </w:rPr>
            </w:pPr>
          </w:p>
          <w:p>
            <w:pPr>
              <w:autoSpaceDE w:val="0"/>
              <w:autoSpaceDN w:val="0"/>
              <w:adjustRightInd w:val="0"/>
              <w:snapToGrid w:val="0"/>
              <w:spacing w:line="360" w:lineRule="auto"/>
              <w:ind w:firstLine="240" w:firstLineChars="100"/>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200元</w:t>
            </w:r>
          </w:p>
        </w:tc>
      </w:tr>
      <w:tr>
        <w:tblPrEx>
          <w:tblCellMar>
            <w:top w:w="0" w:type="dxa"/>
            <w:left w:w="108" w:type="dxa"/>
            <w:bottom w:w="0" w:type="dxa"/>
            <w:right w:w="108" w:type="dxa"/>
          </w:tblCellMar>
        </w:tblPrEx>
        <w:trPr>
          <w:jc w:val="center"/>
        </w:trPr>
        <w:tc>
          <w:tcPr>
            <w:tcW w:w="728"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不留长指甲或涂指甲油、戴戒指，手卫生符合标准，手部破损立即采取有效防污染措施</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594" w:hRule="atLeast"/>
          <w:jc w:val="center"/>
        </w:trPr>
        <w:tc>
          <w:tcPr>
            <w:tcW w:w="728"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right="-20"/>
              <w:rPr>
                <w:rFonts w:hint="eastAsia" w:ascii="宋体" w:hAnsi="宋体" w:cs="微软雅黑"/>
                <w:sz w:val="24"/>
                <w:szCs w:val="24"/>
              </w:rPr>
            </w:pPr>
          </w:p>
          <w:p>
            <w:pPr>
              <w:adjustRightInd w:val="0"/>
              <w:snapToGrid w:val="0"/>
              <w:spacing w:line="360" w:lineRule="auto"/>
              <w:ind w:right="-20"/>
              <w:rPr>
                <w:rFonts w:hint="eastAsia" w:ascii="宋体" w:hAnsi="宋体" w:cs="微软雅黑"/>
                <w:sz w:val="24"/>
                <w:szCs w:val="24"/>
              </w:rPr>
            </w:pPr>
            <w:r>
              <w:rPr>
                <w:rFonts w:hint="eastAsia" w:ascii="宋体" w:hAnsi="宋体" w:cs="微软雅黑"/>
                <w:sz w:val="24"/>
                <w:szCs w:val="24"/>
              </w:rPr>
              <w:t>从业人员操作时穿戴工作衣帽整洁，操作间内禁止抽烟</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778" w:hRule="atLeast"/>
          <w:jc w:val="center"/>
        </w:trPr>
        <w:tc>
          <w:tcPr>
            <w:tcW w:w="728" w:type="dxa"/>
            <w:vMerge w:val="restart"/>
            <w:tcBorders>
              <w:top w:val="single" w:color="auto" w:sz="6"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2</w:t>
            </w:r>
          </w:p>
        </w:tc>
        <w:tc>
          <w:tcPr>
            <w:tcW w:w="1171" w:type="dxa"/>
            <w:vMerge w:val="restart"/>
            <w:tcBorders>
              <w:top w:val="single" w:color="auto" w:sz="6"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ascii="宋体" w:hAnsi="宋体" w:cs="仿宋_GB2312"/>
                <w:b/>
                <w:sz w:val="24"/>
                <w:szCs w:val="24"/>
                <w:lang w:val="zh-CN"/>
              </w:rPr>
              <w:t>制度管理</w:t>
            </w: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建立健全落实环境卫生、食品安全责任制度，明确各岗位、环节从业人员的责任制</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积极组织员工开展食品安全、卫生知识学习，</w:t>
            </w:r>
            <w:r>
              <w:rPr>
                <w:rFonts w:ascii="宋体" w:hAnsi="宋体" w:cs="微软雅黑"/>
                <w:sz w:val="24"/>
                <w:szCs w:val="24"/>
              </w:rPr>
              <w:t>安全生产培训</w:t>
            </w:r>
            <w:r>
              <w:rPr>
                <w:rFonts w:hint="eastAsia" w:ascii="宋体" w:hAnsi="宋体" w:cs="微软雅黑"/>
                <w:sz w:val="24"/>
                <w:szCs w:val="24"/>
              </w:rPr>
              <w:t>，培训时间符合规定。定期检查食品安全并有记录</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346" w:hRule="atLeast"/>
          <w:jc w:val="center"/>
        </w:trPr>
        <w:tc>
          <w:tcPr>
            <w:tcW w:w="728"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建立和制定档案管理制度，档案有专项负责人管理，分类明确并妥善保存，记录表格齐全，设计合理，填写整齐</w:t>
            </w:r>
          </w:p>
        </w:tc>
        <w:tc>
          <w:tcPr>
            <w:tcW w:w="709" w:type="dxa"/>
            <w:tcBorders>
              <w:top w:val="single" w:color="auto" w:sz="6" w:space="0"/>
              <w:left w:val="single" w:color="auto" w:sz="6" w:space="0"/>
              <w:bottom w:val="single" w:color="auto" w:sz="6" w:space="0"/>
              <w:right w:val="single" w:color="auto" w:sz="4"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1029" w:hRule="atLeast"/>
          <w:jc w:val="center"/>
        </w:trPr>
        <w:tc>
          <w:tcPr>
            <w:tcW w:w="728"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4"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食堂根据规定将食品经营许可证、餐饮服务食品安全等级标识、日常监督检查结果记录表等信息公示在就餐区醒目位置</w:t>
            </w:r>
          </w:p>
        </w:tc>
        <w:tc>
          <w:tcPr>
            <w:tcW w:w="709" w:type="dxa"/>
            <w:tcBorders>
              <w:top w:val="single" w:color="auto" w:sz="6" w:space="0"/>
              <w:left w:val="single" w:color="auto" w:sz="4" w:space="0"/>
              <w:bottom w:val="single" w:color="auto" w:sz="6" w:space="0"/>
              <w:right w:val="single" w:color="auto" w:sz="4" w:space="0"/>
            </w:tcBorders>
            <w:noWrap/>
          </w:tcPr>
          <w:p>
            <w:pPr>
              <w:adjustRightInd w:val="0"/>
              <w:snapToGrid w:val="0"/>
              <w:spacing w:line="360" w:lineRule="auto"/>
              <w:ind w:left="10" w:right="-20"/>
              <w:jc w:val="center"/>
              <w:rPr>
                <w:rFonts w:hint="eastAsia" w:ascii="宋体" w:hAnsi="宋体" w:cs="仿宋_GB2312"/>
                <w:sz w:val="24"/>
                <w:szCs w:val="24"/>
                <w:lang w:val="zh-CN"/>
              </w:rPr>
            </w:pPr>
          </w:p>
          <w:p>
            <w:pPr>
              <w:adjustRightInd w:val="0"/>
              <w:snapToGrid w:val="0"/>
              <w:spacing w:line="360" w:lineRule="auto"/>
              <w:ind w:left="10" w:right="-20"/>
              <w:jc w:val="center"/>
              <w:rPr>
                <w:rFonts w:hint="eastAsia" w:ascii="宋体" w:hAnsi="宋体" w:cs="微软雅黑"/>
                <w:sz w:val="24"/>
                <w:szCs w:val="24"/>
              </w:rPr>
            </w:pPr>
            <w:r>
              <w:rPr>
                <w:rFonts w:hint="eastAsia" w:ascii="宋体" w:hAnsi="宋体" w:cs="仿宋_GB2312"/>
                <w:sz w:val="24"/>
                <w:szCs w:val="24"/>
                <w:lang w:val="zh-CN"/>
              </w:rPr>
              <w:t>2</w:t>
            </w:r>
          </w:p>
        </w:tc>
        <w:tc>
          <w:tcPr>
            <w:tcW w:w="1562" w:type="dxa"/>
            <w:tcBorders>
              <w:top w:val="single" w:color="auto" w:sz="6" w:space="0"/>
              <w:left w:val="single" w:color="auto" w:sz="4" w:space="0"/>
              <w:bottom w:val="single" w:color="auto" w:sz="6" w:space="0"/>
              <w:right w:val="single" w:color="auto" w:sz="4" w:space="0"/>
            </w:tcBorders>
            <w:noWrap/>
          </w:tcPr>
          <w:p>
            <w:pPr>
              <w:adjustRightInd w:val="0"/>
              <w:snapToGrid w:val="0"/>
              <w:spacing w:line="360" w:lineRule="auto"/>
              <w:ind w:left="10" w:right="-20"/>
              <w:jc w:val="center"/>
              <w:rPr>
                <w:rFonts w:hint="eastAsia" w:ascii="宋体" w:hAnsi="宋体" w:cs="仿宋_GB2312"/>
                <w:sz w:val="24"/>
                <w:szCs w:val="24"/>
                <w:lang w:val="zh-CN"/>
              </w:rPr>
            </w:pPr>
          </w:p>
          <w:p>
            <w:pPr>
              <w:adjustRightInd w:val="0"/>
              <w:snapToGrid w:val="0"/>
              <w:spacing w:line="360" w:lineRule="auto"/>
              <w:ind w:left="10" w:right="-20"/>
              <w:jc w:val="center"/>
              <w:rPr>
                <w:rFonts w:hint="eastAsia" w:ascii="宋体" w:hAnsi="宋体" w:cs="微软雅黑"/>
                <w:sz w:val="24"/>
                <w:szCs w:val="24"/>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bottom w:val="single" w:color="auto" w:sz="4"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bottom w:val="single" w:color="auto" w:sz="4"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建立投诉接待、处理、回访制度并在现实中运用</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577" w:hRule="atLeast"/>
          <w:jc w:val="center"/>
        </w:trPr>
        <w:tc>
          <w:tcPr>
            <w:tcW w:w="728" w:type="dxa"/>
            <w:vMerge w:val="restart"/>
            <w:tcBorders>
              <w:top w:val="single" w:color="auto" w:sz="4"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3</w:t>
            </w:r>
          </w:p>
        </w:tc>
        <w:tc>
          <w:tcPr>
            <w:tcW w:w="1171" w:type="dxa"/>
            <w:vMerge w:val="restart"/>
            <w:tcBorders>
              <w:top w:val="single" w:color="auto" w:sz="4"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设备管理</w:t>
            </w: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食堂场所设有存放消毒后餐用具的专用保洁设施，标识明显</w:t>
            </w:r>
            <w:r>
              <w:rPr>
                <w:rFonts w:hint="eastAsia" w:ascii="宋体" w:hAnsi="宋体" w:cs="微软雅黑"/>
                <w:sz w:val="24"/>
                <w:szCs w:val="24"/>
              </w:rPr>
              <w:t>.</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4"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厨房、用具不能有积灰，污渍。地面、不能有积水、痰迹、口香糖、污物、纸、墙面、灶台、工作台不积尘、油污、蜘蛛网，杂物及时清理。</w:t>
            </w:r>
          </w:p>
        </w:tc>
        <w:tc>
          <w:tcPr>
            <w:tcW w:w="709" w:type="dxa"/>
            <w:tcBorders>
              <w:top w:val="single" w:color="auto" w:sz="6" w:space="0"/>
              <w:left w:val="single" w:color="auto" w:sz="4"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379"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ind w:left="241" w:hanging="241" w:hangingChars="100"/>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4"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电器设备、地面发现水冲洗</w:t>
            </w:r>
          </w:p>
        </w:tc>
        <w:tc>
          <w:tcPr>
            <w:tcW w:w="709" w:type="dxa"/>
            <w:tcBorders>
              <w:top w:val="single" w:color="auto" w:sz="6" w:space="0"/>
              <w:left w:val="single" w:color="auto" w:sz="4" w:space="0"/>
              <w:bottom w:val="single" w:color="auto" w:sz="6" w:space="0"/>
              <w:right w:val="single" w:color="auto" w:sz="4" w:space="0"/>
            </w:tcBorders>
            <w:noWrap/>
          </w:tcPr>
          <w:p>
            <w:pPr>
              <w:autoSpaceDE w:val="0"/>
              <w:autoSpaceDN w:val="0"/>
              <w:adjustRightInd w:val="0"/>
              <w:spacing w:before="40" w:after="40" w:line="240" w:lineRule="exact"/>
              <w:jc w:val="left"/>
              <w:rPr>
                <w:rFonts w:hint="eastAsia" w:ascii="宋体" w:hAnsi="宋体" w:cs="微软雅黑"/>
                <w:sz w:val="24"/>
                <w:szCs w:val="24"/>
              </w:rPr>
            </w:pPr>
            <w:r>
              <w:rPr>
                <w:rFonts w:hint="eastAsia" w:ascii="宋体" w:hAnsi="宋体" w:cs="微软雅黑"/>
                <w:sz w:val="24"/>
                <w:szCs w:val="24"/>
              </w:rPr>
              <w:t>※</w:t>
            </w:r>
          </w:p>
        </w:tc>
        <w:tc>
          <w:tcPr>
            <w:tcW w:w="1562" w:type="dxa"/>
            <w:tcBorders>
              <w:top w:val="single" w:color="auto" w:sz="6" w:space="0"/>
              <w:left w:val="single" w:color="auto" w:sz="4" w:space="0"/>
              <w:bottom w:val="single" w:color="auto" w:sz="6" w:space="0"/>
              <w:right w:val="single" w:color="auto" w:sz="4" w:space="0"/>
            </w:tcBorders>
            <w:noWrap/>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每次罚款500元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ind w:left="241" w:hanging="241" w:hangingChars="100"/>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餐厅物品摆放整齐，整洁、明亮有专人清理、打扫</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50元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ind w:left="241" w:hanging="241" w:hangingChars="100"/>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消防灭火器具齐全，有专业人员定期检查和记录，设备设施根据时限定期更换</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p>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100元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定期按操规范清洗油烟设备，并符合消防要求。</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500元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在食品处理区内可能产生废弃物的区域，设置废弃物存放设备设施，废弃物存放设备应配有盖子</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p>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w:t>
            </w:r>
          </w:p>
        </w:tc>
        <w:tc>
          <w:tcPr>
            <w:tcW w:w="1562"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100元</w:t>
            </w:r>
          </w:p>
        </w:tc>
      </w:tr>
      <w:tr>
        <w:tblPrEx>
          <w:tblCellMar>
            <w:top w:w="0" w:type="dxa"/>
            <w:left w:w="108" w:type="dxa"/>
            <w:bottom w:w="0" w:type="dxa"/>
            <w:right w:w="108" w:type="dxa"/>
          </w:tblCellMar>
        </w:tblPrEx>
        <w:trPr>
          <w:trHeight w:val="412" w:hRule="atLeast"/>
          <w:jc w:val="center"/>
        </w:trPr>
        <w:tc>
          <w:tcPr>
            <w:tcW w:w="728" w:type="dxa"/>
            <w:vMerge w:val="restart"/>
            <w:tcBorders>
              <w:top w:val="single" w:color="auto" w:sz="4"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4</w:t>
            </w:r>
          </w:p>
        </w:tc>
        <w:tc>
          <w:tcPr>
            <w:tcW w:w="1171" w:type="dxa"/>
            <w:vMerge w:val="restart"/>
            <w:tcBorders>
              <w:top w:val="single" w:color="auto" w:sz="4" w:space="0"/>
              <w:left w:val="single" w:color="auto" w:sz="6" w:space="0"/>
              <w:right w:val="single" w:color="auto" w:sz="6" w:space="0"/>
            </w:tcBorders>
            <w:noWrap/>
            <w:vAlign w:val="center"/>
          </w:tcPr>
          <w:p>
            <w:pPr>
              <w:autoSpaceDE w:val="0"/>
              <w:autoSpaceDN w:val="0"/>
              <w:adjustRightInd w:val="0"/>
              <w:snapToGrid w:val="0"/>
              <w:spacing w:line="360" w:lineRule="auto"/>
              <w:ind w:left="236" w:hanging="236" w:hangingChars="98"/>
              <w:rPr>
                <w:rFonts w:hint="eastAsia" w:ascii="宋体" w:hAnsi="宋体" w:cs="仿宋_GB2312"/>
                <w:b/>
                <w:sz w:val="24"/>
                <w:szCs w:val="24"/>
                <w:lang w:val="zh-CN"/>
              </w:rPr>
            </w:pPr>
            <w:r>
              <w:rPr>
                <w:rFonts w:hint="eastAsia" w:ascii="宋体" w:hAnsi="宋体" w:cs="仿宋_GB2312"/>
                <w:b/>
                <w:sz w:val="24"/>
                <w:szCs w:val="24"/>
                <w:lang w:val="zh-CN"/>
              </w:rPr>
              <w:t>质量管理</w:t>
            </w: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每周按照规定制定</w:t>
            </w:r>
            <w:r>
              <w:rPr>
                <w:rFonts w:ascii="宋体" w:hAnsi="宋体" w:cs="微软雅黑"/>
                <w:sz w:val="24"/>
                <w:szCs w:val="24"/>
              </w:rPr>
              <w:t>食谱并上</w:t>
            </w:r>
            <w:r>
              <w:rPr>
                <w:rFonts w:hint="eastAsia" w:ascii="宋体" w:hAnsi="宋体" w:cs="微软雅黑"/>
                <w:sz w:val="24"/>
                <w:szCs w:val="24"/>
              </w:rPr>
              <w:t>报总务科审核。</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200</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ind w:left="236" w:hanging="236" w:hangingChars="98"/>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菜的</w:t>
            </w:r>
            <w:r>
              <w:rPr>
                <w:rFonts w:ascii="宋体" w:hAnsi="宋体" w:cs="微软雅黑"/>
                <w:sz w:val="24"/>
                <w:szCs w:val="24"/>
              </w:rPr>
              <w:t>“</w:t>
            </w:r>
            <w:r>
              <w:rPr>
                <w:rFonts w:hint="eastAsia" w:ascii="宋体" w:hAnsi="宋体" w:cs="微软雅黑"/>
                <w:sz w:val="24"/>
                <w:szCs w:val="24"/>
              </w:rPr>
              <w:t>色</w:t>
            </w:r>
            <w:r>
              <w:rPr>
                <w:rFonts w:ascii="宋体" w:hAnsi="宋体" w:cs="微软雅黑"/>
                <w:sz w:val="24"/>
                <w:szCs w:val="24"/>
              </w:rPr>
              <w:t>”“</w:t>
            </w:r>
            <w:r>
              <w:rPr>
                <w:rFonts w:hint="eastAsia" w:ascii="宋体" w:hAnsi="宋体" w:cs="微软雅黑"/>
                <w:sz w:val="24"/>
                <w:szCs w:val="24"/>
              </w:rPr>
              <w:t>香</w:t>
            </w:r>
            <w:r>
              <w:rPr>
                <w:rFonts w:ascii="宋体" w:hAnsi="宋体" w:cs="微软雅黑"/>
                <w:sz w:val="24"/>
                <w:szCs w:val="24"/>
              </w:rPr>
              <w:t>”“</w:t>
            </w:r>
            <w:r>
              <w:rPr>
                <w:rFonts w:hint="eastAsia" w:ascii="宋体" w:hAnsi="宋体" w:cs="微软雅黑"/>
                <w:sz w:val="24"/>
                <w:szCs w:val="24"/>
              </w:rPr>
              <w:t>味</w:t>
            </w:r>
            <w:r>
              <w:rPr>
                <w:rFonts w:ascii="宋体" w:hAnsi="宋体" w:cs="微软雅黑"/>
                <w:sz w:val="24"/>
                <w:szCs w:val="24"/>
              </w:rPr>
              <w:t>”“</w:t>
            </w:r>
            <w:r>
              <w:rPr>
                <w:rFonts w:hint="eastAsia" w:ascii="宋体" w:hAnsi="宋体" w:cs="微软雅黑"/>
                <w:sz w:val="24"/>
                <w:szCs w:val="24"/>
              </w:rPr>
              <w:t>形</w:t>
            </w:r>
            <w:r>
              <w:rPr>
                <w:rFonts w:ascii="宋体" w:hAnsi="宋体" w:cs="微软雅黑"/>
                <w:sz w:val="24"/>
                <w:szCs w:val="24"/>
              </w:rPr>
              <w:t>”</w:t>
            </w:r>
            <w:r>
              <w:rPr>
                <w:rFonts w:hint="eastAsia" w:ascii="宋体" w:hAnsi="宋体" w:cs="微软雅黑"/>
                <w:sz w:val="24"/>
                <w:szCs w:val="24"/>
              </w:rPr>
              <w:t>符合相关要求。</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200</w:t>
            </w:r>
          </w:p>
        </w:tc>
      </w:tr>
      <w:tr>
        <w:tblPrEx>
          <w:tblCellMar>
            <w:top w:w="0" w:type="dxa"/>
            <w:left w:w="108" w:type="dxa"/>
            <w:bottom w:w="0" w:type="dxa"/>
            <w:right w:w="108" w:type="dxa"/>
          </w:tblCellMar>
        </w:tblPrEx>
        <w:trPr>
          <w:jc w:val="center"/>
        </w:trPr>
        <w:tc>
          <w:tcPr>
            <w:tcW w:w="728" w:type="dxa"/>
            <w:vMerge w:val="continue"/>
            <w:tcBorders>
              <w:left w:val="single" w:color="auto" w:sz="6" w:space="0"/>
              <w:bottom w:val="single" w:color="auto" w:sz="4"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ind w:left="236" w:hanging="236" w:hangingChars="98"/>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每天供应早、中，晚品种不低于合同规定标准。</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p>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200</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食材质量符合合同规定标准</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500</w:t>
            </w:r>
          </w:p>
        </w:tc>
      </w:tr>
      <w:tr>
        <w:tblPrEx>
          <w:tblCellMar>
            <w:top w:w="0" w:type="dxa"/>
            <w:left w:w="108" w:type="dxa"/>
            <w:bottom w:w="0" w:type="dxa"/>
            <w:right w:w="108" w:type="dxa"/>
          </w:tblCellMar>
        </w:tblPrEx>
        <w:trPr>
          <w:jc w:val="center"/>
        </w:trPr>
        <w:tc>
          <w:tcPr>
            <w:tcW w:w="728" w:type="dxa"/>
            <w:vMerge w:val="restart"/>
            <w:tcBorders>
              <w:top w:val="single" w:color="auto" w:sz="4"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5</w:t>
            </w:r>
          </w:p>
        </w:tc>
        <w:tc>
          <w:tcPr>
            <w:tcW w:w="1171" w:type="dxa"/>
            <w:vMerge w:val="restart"/>
            <w:tcBorders>
              <w:top w:val="single" w:color="auto" w:sz="4"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ascii="宋体" w:hAnsi="宋体" w:cs="仿宋_GB2312"/>
                <w:b/>
                <w:sz w:val="24"/>
                <w:szCs w:val="24"/>
                <w:lang w:val="zh-CN"/>
              </w:rPr>
              <w:t>生产管</w:t>
            </w:r>
            <w:r>
              <w:rPr>
                <w:rFonts w:hint="eastAsia" w:ascii="宋体" w:hAnsi="宋体" w:cs="仿宋_GB2312"/>
                <w:b/>
                <w:sz w:val="24"/>
                <w:szCs w:val="24"/>
                <w:lang w:val="zh-CN"/>
              </w:rPr>
              <w:t>理</w:t>
            </w:r>
          </w:p>
        </w:tc>
        <w:tc>
          <w:tcPr>
            <w:tcW w:w="4497" w:type="dxa"/>
            <w:tcBorders>
              <w:top w:val="single" w:color="auto" w:sz="4"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与具有资质的餐厨废弃物收运单位或个人签订收运合同，并建立餐厨废弃物处置台账。</w:t>
            </w:r>
          </w:p>
        </w:tc>
        <w:tc>
          <w:tcPr>
            <w:tcW w:w="709"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200</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加工用设施、设备工具清洁，摆放有序。</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蔬菜粗加工清洁卫生，无便皮、烂叶，老嫩适中，先洗后切</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210"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4"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制定食品生产安全事故应急预案，定期组织工作人员进行生产安全事故的相关培训及应急演练</w:t>
            </w:r>
            <w:r>
              <w:rPr>
                <w:rFonts w:hint="eastAsia" w:ascii="宋体" w:hAnsi="宋体" w:cs="微软雅黑"/>
                <w:sz w:val="24"/>
                <w:szCs w:val="24"/>
              </w:rPr>
              <w:t>。</w:t>
            </w:r>
          </w:p>
        </w:tc>
        <w:tc>
          <w:tcPr>
            <w:tcW w:w="709" w:type="dxa"/>
            <w:tcBorders>
              <w:top w:val="single" w:color="auto" w:sz="6" w:space="0"/>
              <w:left w:val="single" w:color="auto" w:sz="6"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4" w:space="0"/>
              <w:bottom w:val="single" w:color="auto" w:sz="4"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480"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4" w:space="0"/>
              <w:left w:val="single" w:color="auto" w:sz="6" w:space="0"/>
              <w:bottom w:val="single" w:color="auto" w:sz="4" w:space="0"/>
              <w:right w:val="single" w:color="auto" w:sz="6" w:space="0"/>
            </w:tcBorders>
            <w:noWrap/>
          </w:tcPr>
          <w:p>
            <w:pPr>
              <w:adjustRightInd w:val="0"/>
              <w:snapToGrid w:val="0"/>
              <w:spacing w:line="360" w:lineRule="auto"/>
              <w:ind w:left="10" w:right="-20"/>
              <w:rPr>
                <w:rFonts w:hint="eastAsia" w:ascii="宋体" w:hAnsi="宋体" w:cs="微软雅黑"/>
                <w:b/>
                <w:sz w:val="24"/>
                <w:szCs w:val="24"/>
              </w:rPr>
            </w:pPr>
            <w:r>
              <w:rPr>
                <w:rFonts w:hint="eastAsia" w:ascii="宋体" w:hAnsi="宋体" w:cs="微软雅黑"/>
                <w:sz w:val="24"/>
                <w:szCs w:val="24"/>
              </w:rPr>
              <w:t>计划地做好供餐预算，尽量减少剩余饭菜，并做好保鲜冷藏管理，素菜限当餐使用，小荤限当日使用，大荤限24小时内使用</w:t>
            </w:r>
          </w:p>
        </w:tc>
        <w:tc>
          <w:tcPr>
            <w:tcW w:w="709" w:type="dxa"/>
            <w:tcBorders>
              <w:top w:val="single" w:color="auto" w:sz="4" w:space="0"/>
              <w:left w:val="single" w:color="auto" w:sz="6" w:space="0"/>
              <w:bottom w:val="single" w:color="auto" w:sz="4" w:space="0"/>
              <w:right w:val="single" w:color="auto" w:sz="4" w:space="0"/>
            </w:tcBorders>
            <w:noWrap/>
          </w:tcPr>
          <w:p>
            <w:pPr>
              <w:autoSpaceDE w:val="0"/>
              <w:autoSpaceDN w:val="0"/>
              <w:adjustRightInd w:val="0"/>
              <w:snapToGrid w:val="0"/>
              <w:spacing w:line="360" w:lineRule="auto"/>
              <w:jc w:val="center"/>
              <w:rPr>
                <w:rFonts w:hint="eastAsia" w:ascii="宋体" w:hAnsi="宋体" w:cs="微软雅黑"/>
                <w:sz w:val="24"/>
                <w:szCs w:val="24"/>
              </w:rPr>
            </w:pPr>
          </w:p>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4" w:space="0"/>
              <w:left w:val="single" w:color="auto" w:sz="4" w:space="0"/>
              <w:bottom w:val="single" w:color="auto" w:sz="4"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200元</w:t>
            </w:r>
          </w:p>
        </w:tc>
      </w:tr>
      <w:tr>
        <w:tblPrEx>
          <w:tblCellMar>
            <w:top w:w="0" w:type="dxa"/>
            <w:left w:w="108" w:type="dxa"/>
            <w:bottom w:w="0" w:type="dxa"/>
            <w:right w:w="108" w:type="dxa"/>
          </w:tblCellMar>
        </w:tblPrEx>
        <w:trPr>
          <w:trHeight w:val="244"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4" w:space="0"/>
              <w:left w:val="single" w:color="auto" w:sz="6" w:space="0"/>
              <w:bottom w:val="single" w:color="auto" w:sz="4"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切配不同类型食品原料的刀具分色区分标注并独立使用</w:t>
            </w:r>
          </w:p>
        </w:tc>
        <w:tc>
          <w:tcPr>
            <w:tcW w:w="709" w:type="dxa"/>
            <w:tcBorders>
              <w:top w:val="single" w:color="auto" w:sz="4" w:space="0"/>
              <w:left w:val="single" w:color="auto" w:sz="6" w:space="0"/>
              <w:bottom w:val="single" w:color="auto" w:sz="4" w:space="0"/>
              <w:right w:val="single" w:color="auto" w:sz="4"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4" w:space="0"/>
              <w:left w:val="single" w:color="auto" w:sz="4" w:space="0"/>
              <w:bottom w:val="single" w:color="auto" w:sz="4"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4"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食品原料、半成品、成品存放不存在交叉污染，禁止混放</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277"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明确各类货品查验时需要检验的资质证件</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trHeight w:val="334"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食物烧熟煮透，</w:t>
            </w:r>
            <w:r>
              <w:rPr>
                <w:rFonts w:ascii="宋体" w:hAnsi="宋体" w:cs="微软雅黑"/>
                <w:sz w:val="24"/>
                <w:szCs w:val="24"/>
              </w:rPr>
              <w:t>成品中心温度＞70℃</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trHeight w:val="405"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每天定时空气消毒或紫外灯等消毒，并做好台账记录</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专人管理留样食品、记录留样情况，记录内容包括留样食品名称、留样时间（月、日、时）、留样人员</w:t>
            </w:r>
          </w:p>
        </w:tc>
        <w:tc>
          <w:tcPr>
            <w:tcW w:w="709"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p>
          <w:p>
            <w:pPr>
              <w:adjustRightInd w:val="0"/>
              <w:snapToGrid w:val="0"/>
              <w:spacing w:line="360" w:lineRule="auto"/>
              <w:ind w:left="10" w:leftChars="5" w:right="-20" w:firstLine="240" w:firstLineChars="100"/>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ind w:left="10" w:leftChars="5" w:right="-20" w:firstLine="360" w:firstLineChars="150"/>
              <w:rPr>
                <w:rFonts w:hint="eastAsia" w:ascii="宋体" w:hAnsi="宋体" w:cs="微软雅黑"/>
                <w:sz w:val="24"/>
                <w:szCs w:val="24"/>
              </w:rPr>
            </w:pPr>
            <w:r>
              <w:rPr>
                <w:rFonts w:hint="eastAsia" w:ascii="宋体" w:hAnsi="宋体" w:cs="微软雅黑"/>
                <w:sz w:val="24"/>
                <w:szCs w:val="24"/>
              </w:rPr>
              <w:t>100元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规范存放、记录和使用食品添加剂</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456"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4"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采购食品及原料有验收并具有进货台帐，食品添加剂需达到专店采购、专柜存放、专人负责、专用台账的要求</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386"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食用油脂、散装食品、一次性餐盒和筷子等进货渠道符合规定及质量标准，严格落实索证索票制度。</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451"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使用的食品、原料符合食品卫生标准，禁止使用或来源不明的食品及原料。</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jc w:val="center"/>
        </w:trPr>
        <w:tc>
          <w:tcPr>
            <w:tcW w:w="728" w:type="dxa"/>
            <w:tcBorders>
              <w:left w:val="single" w:color="auto" w:sz="6" w:space="0"/>
              <w:bottom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tcBorders>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存放食品按要求离地隔墙，物品摆放有序。食品库物资上架有标签</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jc w:val="center"/>
        </w:trPr>
        <w:tc>
          <w:tcPr>
            <w:tcW w:w="728" w:type="dxa"/>
            <w:vMerge w:val="restart"/>
            <w:tcBorders>
              <w:top w:val="single" w:color="auto" w:sz="4" w:space="0"/>
              <w:left w:val="single" w:color="auto" w:sz="6"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6</w:t>
            </w:r>
          </w:p>
        </w:tc>
        <w:tc>
          <w:tcPr>
            <w:tcW w:w="1171" w:type="dxa"/>
            <w:vMerge w:val="restart"/>
            <w:tcBorders>
              <w:top w:val="single" w:color="auto" w:sz="4" w:space="0"/>
              <w:left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经营管理</w:t>
            </w:r>
          </w:p>
        </w:tc>
        <w:tc>
          <w:tcPr>
            <w:tcW w:w="4497" w:type="dxa"/>
            <w:tcBorders>
              <w:top w:val="single" w:color="auto" w:sz="6" w:space="0"/>
              <w:left w:val="single" w:color="auto" w:sz="4" w:space="0"/>
              <w:bottom w:val="single" w:color="auto" w:sz="6" w:space="0"/>
              <w:right w:val="single" w:color="auto" w:sz="6" w:space="0"/>
            </w:tcBorders>
            <w:noWrap/>
            <w:vAlign w:val="center"/>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所售菜品品种及价格备案总务科，审批后方可出售</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p>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500元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vAlign w:val="center"/>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就餐、出餐服务时间符合规定，窗口排队不得超过8分钟</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p>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w:t>
            </w:r>
          </w:p>
        </w:tc>
        <w:tc>
          <w:tcPr>
            <w:tcW w:w="1562"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vAlign w:val="center"/>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重大节日按照合同约定提供增值服务</w:t>
            </w:r>
          </w:p>
        </w:tc>
        <w:tc>
          <w:tcPr>
            <w:tcW w:w="709"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4</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200元</w:t>
            </w:r>
          </w:p>
        </w:tc>
      </w:tr>
      <w:tr>
        <w:tblPrEx>
          <w:tblCellMar>
            <w:top w:w="0" w:type="dxa"/>
            <w:left w:w="108" w:type="dxa"/>
            <w:bottom w:w="0" w:type="dxa"/>
            <w:right w:w="108" w:type="dxa"/>
          </w:tblCellMar>
        </w:tblPrEx>
        <w:trPr>
          <w:trHeight w:val="802" w:hRule="atLeast"/>
          <w:jc w:val="center"/>
        </w:trPr>
        <w:tc>
          <w:tcPr>
            <w:tcW w:w="728" w:type="dxa"/>
            <w:vMerge w:val="continue"/>
            <w:tcBorders>
              <w:left w:val="single" w:color="auto" w:sz="6"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vAlign w:val="center"/>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成本核算数据真实有效，按规定的毛利率提取相关费用</w:t>
            </w:r>
          </w:p>
        </w:tc>
        <w:tc>
          <w:tcPr>
            <w:tcW w:w="709"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spacing w:before="40" w:after="40" w:line="240" w:lineRule="exact"/>
              <w:jc w:val="left"/>
              <w:rPr>
                <w:rFonts w:hint="eastAsia" w:ascii="宋体" w:hAnsi="宋体" w:cs="微软雅黑"/>
                <w:sz w:val="24"/>
                <w:szCs w:val="24"/>
              </w:rPr>
            </w:pPr>
          </w:p>
          <w:p>
            <w:pPr>
              <w:autoSpaceDE w:val="0"/>
              <w:autoSpaceDN w:val="0"/>
              <w:adjustRightInd w:val="0"/>
              <w:spacing w:before="40" w:after="40" w:line="240" w:lineRule="exact"/>
              <w:jc w:val="left"/>
              <w:rPr>
                <w:rFonts w:hint="eastAsia" w:ascii="宋体" w:hAnsi="宋体" w:cs="微软雅黑"/>
                <w:sz w:val="24"/>
                <w:szCs w:val="24"/>
              </w:rPr>
            </w:pPr>
          </w:p>
          <w:p>
            <w:pPr>
              <w:autoSpaceDE w:val="0"/>
              <w:autoSpaceDN w:val="0"/>
              <w:adjustRightInd w:val="0"/>
              <w:spacing w:before="40" w:after="40" w:line="240" w:lineRule="exact"/>
              <w:jc w:val="left"/>
              <w:rPr>
                <w:rFonts w:hint="eastAsia" w:ascii="宋体" w:hAnsi="宋体" w:cs="微软雅黑"/>
                <w:sz w:val="24"/>
                <w:szCs w:val="24"/>
              </w:rPr>
            </w:pPr>
            <w:r>
              <w:rPr>
                <w:rFonts w:hint="eastAsia" w:ascii="宋体" w:hAnsi="宋体" w:cs="微软雅黑"/>
                <w:sz w:val="24"/>
                <w:szCs w:val="24"/>
              </w:rPr>
              <w:t>※</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提取的毛利率超过合同约定，扣除5000元</w:t>
            </w:r>
          </w:p>
        </w:tc>
      </w:tr>
      <w:tr>
        <w:tblPrEx>
          <w:tblCellMar>
            <w:top w:w="0" w:type="dxa"/>
            <w:left w:w="108" w:type="dxa"/>
            <w:bottom w:w="0" w:type="dxa"/>
            <w:right w:w="108" w:type="dxa"/>
          </w:tblCellMar>
        </w:tblPrEx>
        <w:trPr>
          <w:trHeight w:val="2" w:hRule="atLeast"/>
          <w:jc w:val="center"/>
        </w:trPr>
        <w:tc>
          <w:tcPr>
            <w:tcW w:w="728" w:type="dxa"/>
            <w:vMerge w:val="continue"/>
            <w:tcBorders>
              <w:top w:val="single" w:color="auto" w:sz="4" w:space="0"/>
              <w:left w:val="single" w:color="auto" w:sz="6" w:space="0"/>
              <w:bottom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行风反馈及病员职工有效投诉</w:t>
            </w:r>
          </w:p>
        </w:tc>
        <w:tc>
          <w:tcPr>
            <w:tcW w:w="709" w:type="dxa"/>
            <w:tcBorders>
              <w:top w:val="single" w:color="auto" w:sz="6" w:space="0"/>
              <w:left w:val="single" w:color="auto" w:sz="4" w:space="0"/>
              <w:bottom w:val="single" w:color="auto" w:sz="4" w:space="0"/>
              <w:right w:val="single" w:color="auto" w:sz="6" w:space="0"/>
            </w:tcBorders>
            <w:noWrap/>
          </w:tcPr>
          <w:p>
            <w:pPr>
              <w:autoSpaceDE w:val="0"/>
              <w:autoSpaceDN w:val="0"/>
              <w:adjustRightInd w:val="0"/>
              <w:spacing w:before="40" w:after="40" w:line="240" w:lineRule="exact"/>
              <w:jc w:val="left"/>
              <w:rPr>
                <w:rFonts w:hint="eastAsia" w:ascii="宋体" w:hAnsi="宋体" w:cs="微软雅黑"/>
                <w:sz w:val="24"/>
                <w:szCs w:val="24"/>
              </w:rPr>
            </w:pPr>
          </w:p>
          <w:p>
            <w:pPr>
              <w:autoSpaceDE w:val="0"/>
              <w:autoSpaceDN w:val="0"/>
              <w:adjustRightInd w:val="0"/>
              <w:spacing w:before="40" w:after="40" w:line="240" w:lineRule="exact"/>
              <w:jc w:val="left"/>
              <w:rPr>
                <w:rFonts w:hint="eastAsia" w:ascii="宋体" w:hAnsi="宋体" w:cs="微软雅黑"/>
                <w:sz w:val="24"/>
                <w:szCs w:val="24"/>
              </w:rPr>
            </w:pPr>
            <w:r>
              <w:rPr>
                <w:rFonts w:hint="eastAsia" w:ascii="宋体" w:hAnsi="宋体" w:cs="微软雅黑"/>
                <w:sz w:val="24"/>
                <w:szCs w:val="24"/>
              </w:rPr>
              <w:t>※</w:t>
            </w:r>
          </w:p>
        </w:tc>
        <w:tc>
          <w:tcPr>
            <w:tcW w:w="1562"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每发生一起，视情节严重程度扣除500元-2000元。</w:t>
            </w:r>
          </w:p>
        </w:tc>
      </w:tr>
    </w:tbl>
    <w:p>
      <w:pPr>
        <w:shd w:val="clear"/>
        <w:spacing w:line="240" w:lineRule="auto"/>
        <w:jc w:val="center"/>
        <w:rPr>
          <w:rFonts w:hint="eastAsia" w:ascii="宋体" w:hAnsi="宋体" w:eastAsia="宋体" w:cs="宋体"/>
          <w:b/>
          <w:bCs/>
          <w:color w:val="auto"/>
          <w:sz w:val="36"/>
          <w:szCs w:val="36"/>
          <w:lang w:val="en-US" w:eastAsia="zh-CN"/>
        </w:rPr>
      </w:pPr>
    </w:p>
    <w:p>
      <w:pPr>
        <w:shd w:val="clear"/>
        <w:spacing w:line="240" w:lineRule="auto"/>
        <w:jc w:val="center"/>
        <w:rPr>
          <w:rFonts w:hint="eastAsia" w:ascii="新宋体" w:hAnsi="新宋体" w:eastAsia="新宋体"/>
          <w:sz w:val="24"/>
          <w:szCs w:val="24"/>
        </w:rPr>
      </w:pPr>
      <w:r>
        <w:rPr>
          <w:rFonts w:hint="eastAsia" w:ascii="宋体" w:hAnsi="宋体" w:eastAsia="宋体" w:cs="宋体"/>
          <w:b/>
          <w:bCs/>
          <w:color w:val="auto"/>
          <w:sz w:val="36"/>
          <w:szCs w:val="36"/>
          <w:lang w:val="en-US" w:eastAsia="zh-CN"/>
        </w:rPr>
        <w:t>第二部分 评分标准</w:t>
      </w:r>
      <w:bookmarkStart w:id="7" w:name="_GoBack"/>
      <w:bookmarkEnd w:id="7"/>
    </w:p>
    <w:tbl>
      <w:tblPr>
        <w:tblStyle w:val="30"/>
        <w:tblpPr w:leftFromText="180" w:rightFromText="180" w:vertAnchor="text" w:horzAnchor="margin" w:tblpXSpec="center" w:tblpY="268"/>
        <w:tblW w:w="514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81"/>
        <w:gridCol w:w="72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1" w:hRule="atLeast"/>
        </w:trPr>
        <w:tc>
          <w:tcPr>
            <w:tcW w:w="845" w:type="pct"/>
            <w:tcBorders>
              <w:top w:val="single" w:color="auto" w:sz="4" w:space="0"/>
            </w:tcBorders>
            <w:noWrap/>
            <w:vAlign w:val="center"/>
          </w:tcPr>
          <w:p>
            <w:pPr>
              <w:adjustRightInd w:val="0"/>
              <w:snapToGrid w:val="0"/>
              <w:spacing w:line="360" w:lineRule="auto"/>
              <w:rPr>
                <w:rFonts w:hint="eastAsia" w:ascii="宋体" w:hAnsi="宋体" w:cs="宋体"/>
                <w:b/>
                <w:szCs w:val="21"/>
              </w:rPr>
            </w:pPr>
            <w:r>
              <w:rPr>
                <w:rFonts w:hint="eastAsia" w:ascii="宋体" w:hAnsi="宋体" w:eastAsia="宋体" w:cs="宋体"/>
                <w:b/>
                <w:szCs w:val="21"/>
              </w:rPr>
              <w:t>评价因素</w:t>
            </w:r>
          </w:p>
        </w:tc>
        <w:tc>
          <w:tcPr>
            <w:tcW w:w="4154" w:type="pct"/>
            <w:noWrap/>
            <w:vAlign w:val="center"/>
          </w:tcPr>
          <w:p>
            <w:pPr>
              <w:adjustRightInd w:val="0"/>
              <w:snapToGrid w:val="0"/>
              <w:spacing w:line="360" w:lineRule="auto"/>
              <w:jc w:val="center"/>
              <w:rPr>
                <w:rFonts w:hint="eastAsia" w:ascii="宋体" w:hAnsi="宋体" w:cs="宋体"/>
                <w:b/>
                <w:szCs w:val="21"/>
              </w:rPr>
            </w:pPr>
            <w:r>
              <w:rPr>
                <w:rFonts w:hint="eastAsia" w:ascii="宋体" w:hAnsi="宋体" w:eastAsia="宋体" w:cs="宋体"/>
                <w:b/>
                <w:szCs w:val="21"/>
              </w:rPr>
              <w:t>分项评价指标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80" w:hRule="atLeast"/>
        </w:trPr>
        <w:tc>
          <w:tcPr>
            <w:tcW w:w="845" w:type="pct"/>
            <w:tcBorders>
              <w:bottom w:val="single" w:color="auto" w:sz="4" w:space="0"/>
            </w:tcBorders>
            <w:noWrap/>
            <w:vAlign w:val="center"/>
          </w:tcPr>
          <w:p>
            <w:pPr>
              <w:adjustRightInd w:val="0"/>
              <w:snapToGrid w:val="0"/>
              <w:spacing w:line="360" w:lineRule="auto"/>
              <w:jc w:val="center"/>
              <w:rPr>
                <w:rFonts w:hint="eastAsia" w:ascii="宋体" w:hAnsi="宋体" w:cs="宋体"/>
                <w:szCs w:val="21"/>
              </w:rPr>
            </w:pPr>
            <w:r>
              <w:rPr>
                <w:rFonts w:hint="eastAsia" w:ascii="宋体" w:hAnsi="宋体" w:eastAsia="宋体" w:cs="宋体"/>
                <w:szCs w:val="21"/>
              </w:rPr>
              <w:t>投标价</w:t>
            </w:r>
          </w:p>
          <w:p>
            <w:pPr>
              <w:adjustRightInd w:val="0"/>
              <w:snapToGrid w:val="0"/>
              <w:spacing w:line="360" w:lineRule="auto"/>
              <w:jc w:val="center"/>
              <w:rPr>
                <w:rFonts w:hint="eastAsia" w:ascii="宋体" w:hAnsi="宋体" w:cs="宋体"/>
                <w:szCs w:val="21"/>
              </w:rPr>
            </w:pPr>
            <w:r>
              <w:rPr>
                <w:rFonts w:hint="eastAsia" w:ascii="宋体" w:hAnsi="宋体" w:eastAsia="宋体" w:cs="宋体"/>
                <w:szCs w:val="21"/>
              </w:rPr>
              <w:t>（</w:t>
            </w:r>
            <w:r>
              <w:rPr>
                <w:rFonts w:hint="eastAsia" w:ascii="宋体" w:hAnsi="宋体" w:eastAsia="宋体" w:cs="宋体"/>
                <w:color w:val="FF0000"/>
                <w:szCs w:val="21"/>
                <w:lang w:val="en-US" w:eastAsia="zh-CN"/>
              </w:rPr>
              <w:t>15</w:t>
            </w:r>
            <w:r>
              <w:rPr>
                <w:rFonts w:hint="eastAsia" w:ascii="宋体" w:hAnsi="宋体" w:eastAsia="宋体" w:cs="宋体"/>
                <w:szCs w:val="21"/>
              </w:rPr>
              <w:t>分）</w:t>
            </w:r>
          </w:p>
        </w:tc>
        <w:tc>
          <w:tcPr>
            <w:tcW w:w="4154" w:type="pct"/>
            <w:tcBorders>
              <w:bottom w:val="single" w:color="auto" w:sz="4" w:space="0"/>
            </w:tcBorders>
            <w:noWrap/>
            <w:vAlign w:val="center"/>
          </w:tcPr>
          <w:p>
            <w:pPr>
              <w:adjustRightInd w:val="0"/>
              <w:snapToGrid w:val="0"/>
              <w:spacing w:line="320" w:lineRule="exact"/>
              <w:ind w:firstLine="420" w:firstLineChars="200"/>
              <w:contextualSpacing/>
              <w:rPr>
                <w:rFonts w:hint="eastAsia" w:ascii="宋体" w:hAnsi="宋体" w:cs="宋体"/>
                <w:szCs w:val="21"/>
              </w:rPr>
            </w:pPr>
            <w:r>
              <w:rPr>
                <w:rFonts w:hint="eastAsia" w:ascii="宋体" w:hAnsi="宋体" w:eastAsia="宋体" w:cs="宋体"/>
                <w:szCs w:val="21"/>
              </w:rPr>
              <w:t>最低限价：    /年。投标人所提供的服务必须与采购要求相符合，即以满足招标文件要求且投标报价最高的一年期投标报价为评标基准价，其价格分为</w:t>
            </w:r>
            <w:r>
              <w:rPr>
                <w:rFonts w:hint="eastAsia" w:ascii="宋体" w:hAnsi="宋体" w:eastAsia="宋体" w:cs="宋体"/>
                <w:szCs w:val="21"/>
                <w:lang w:val="en-US" w:eastAsia="zh-CN"/>
              </w:rPr>
              <w:t>5</w:t>
            </w:r>
            <w:r>
              <w:rPr>
                <w:rFonts w:hint="eastAsia" w:ascii="宋体" w:hAnsi="宋体" w:eastAsia="宋体" w:cs="宋体"/>
                <w:szCs w:val="21"/>
              </w:rPr>
              <w:t>分。</w:t>
            </w:r>
          </w:p>
          <w:p>
            <w:pPr>
              <w:adjustRightInd w:val="0"/>
              <w:snapToGrid w:val="0"/>
              <w:spacing w:line="320" w:lineRule="exact"/>
              <w:ind w:firstLine="420" w:firstLineChars="200"/>
              <w:contextualSpacing/>
              <w:rPr>
                <w:rFonts w:hint="eastAsia" w:ascii="宋体" w:hAnsi="宋体" w:cs="宋体"/>
                <w:szCs w:val="21"/>
              </w:rPr>
            </w:pPr>
            <w:r>
              <w:rPr>
                <w:rFonts w:hint="eastAsia" w:ascii="宋体" w:hAnsi="宋体" w:eastAsia="宋体" w:cs="宋体"/>
                <w:szCs w:val="21"/>
              </w:rPr>
              <w:t>其他投标人的价格分按下列公式计算：</w:t>
            </w:r>
          </w:p>
          <w:p>
            <w:pPr>
              <w:adjustRightInd w:val="0"/>
              <w:snapToGrid w:val="0"/>
              <w:spacing w:line="360" w:lineRule="auto"/>
              <w:ind w:firstLine="420" w:firstLineChars="200"/>
              <w:rPr>
                <w:rFonts w:hint="eastAsia" w:ascii="宋体" w:hAnsi="宋体" w:cs="宋体"/>
                <w:szCs w:val="21"/>
              </w:rPr>
            </w:pPr>
            <w:r>
              <w:rPr>
                <w:rFonts w:hint="eastAsia" w:ascii="宋体" w:hAnsi="宋体" w:eastAsia="宋体" w:cs="宋体"/>
                <w:szCs w:val="21"/>
              </w:rPr>
              <w:t>投标报价得分=（其他投标报价/评标基准价）×</w:t>
            </w:r>
            <w:r>
              <w:rPr>
                <w:rFonts w:hint="eastAsia" w:ascii="宋体" w:hAnsi="宋体" w:eastAsia="宋体" w:cs="宋体"/>
                <w:szCs w:val="21"/>
                <w:lang w:val="en-US" w:eastAsia="zh-CN"/>
              </w:rPr>
              <w:t>15</w:t>
            </w:r>
            <w:r>
              <w:rPr>
                <w:rFonts w:hint="eastAsia" w:ascii="宋体" w:hAnsi="宋体" w:eastAsia="宋体" w:cs="宋体"/>
                <w:szCs w:val="21"/>
              </w:rPr>
              <w:t>×100％(小数点保留两位)。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9" w:hRule="atLeast"/>
        </w:trPr>
        <w:tc>
          <w:tcPr>
            <w:tcW w:w="845" w:type="pct"/>
            <w:tcBorders>
              <w:top w:val="single" w:color="auto" w:sz="4" w:space="0"/>
              <w:bottom w:val="single" w:color="auto" w:sz="4" w:space="0"/>
              <w:right w:val="single" w:color="auto" w:sz="4" w:space="0"/>
            </w:tcBorders>
            <w:noWrap/>
            <w:vAlign w:val="center"/>
          </w:tcPr>
          <w:p>
            <w:pPr>
              <w:adjustRightInd w:val="0"/>
              <w:snapToGrid w:val="0"/>
              <w:spacing w:line="360" w:lineRule="auto"/>
              <w:jc w:val="left"/>
              <w:rPr>
                <w:rFonts w:hint="eastAsia" w:ascii="宋体" w:hAnsi="宋体" w:cs="宋体"/>
                <w:szCs w:val="21"/>
              </w:rPr>
            </w:pPr>
          </w:p>
          <w:p>
            <w:pPr>
              <w:adjustRightInd w:val="0"/>
              <w:snapToGrid w:val="0"/>
              <w:spacing w:line="360" w:lineRule="auto"/>
              <w:jc w:val="left"/>
              <w:rPr>
                <w:rFonts w:hint="eastAsia" w:ascii="宋体" w:hAnsi="宋体" w:cs="宋体"/>
                <w:szCs w:val="21"/>
              </w:rPr>
            </w:pPr>
          </w:p>
          <w:p>
            <w:pPr>
              <w:adjustRightInd w:val="0"/>
              <w:snapToGrid w:val="0"/>
              <w:spacing w:line="360" w:lineRule="auto"/>
              <w:jc w:val="center"/>
              <w:rPr>
                <w:rFonts w:hint="eastAsia" w:ascii="宋体" w:hAnsi="宋体" w:cs="宋体"/>
                <w:szCs w:val="21"/>
              </w:rPr>
            </w:pPr>
            <w:r>
              <w:rPr>
                <w:rFonts w:hint="eastAsia" w:ascii="宋体" w:hAnsi="宋体" w:eastAsia="宋体" w:cs="宋体"/>
                <w:szCs w:val="21"/>
              </w:rPr>
              <w:t>业绩及荣誉</w:t>
            </w:r>
          </w:p>
          <w:p>
            <w:pPr>
              <w:adjustRightInd w:val="0"/>
              <w:snapToGrid w:val="0"/>
              <w:spacing w:line="360" w:lineRule="auto"/>
              <w:jc w:val="center"/>
              <w:rPr>
                <w:rFonts w:hint="eastAsia" w:ascii="宋体" w:hAnsi="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6</w:t>
            </w:r>
            <w:r>
              <w:rPr>
                <w:rFonts w:hint="eastAsia" w:ascii="宋体" w:hAnsi="宋体" w:eastAsia="宋体" w:cs="宋体"/>
                <w:szCs w:val="21"/>
              </w:rPr>
              <w:t>分）</w:t>
            </w:r>
          </w:p>
          <w:p>
            <w:pPr>
              <w:adjustRightInd w:val="0"/>
              <w:snapToGrid w:val="0"/>
              <w:spacing w:line="360" w:lineRule="auto"/>
              <w:rPr>
                <w:rFonts w:hint="eastAsia" w:ascii="宋体" w:hAnsi="宋体" w:cs="宋体"/>
                <w:szCs w:val="21"/>
              </w:rPr>
            </w:pPr>
          </w:p>
          <w:p>
            <w:pPr>
              <w:adjustRightInd w:val="0"/>
              <w:snapToGrid w:val="0"/>
              <w:spacing w:line="360" w:lineRule="auto"/>
              <w:rPr>
                <w:rFonts w:hint="eastAsia" w:ascii="宋体" w:hAnsi="宋体" w:cs="宋体"/>
                <w:szCs w:val="21"/>
              </w:rPr>
            </w:pPr>
          </w:p>
        </w:tc>
        <w:tc>
          <w:tcPr>
            <w:tcW w:w="4154" w:type="pct"/>
            <w:tcBorders>
              <w:left w:val="single" w:color="auto" w:sz="4" w:space="0"/>
              <w:bottom w:val="single" w:color="auto" w:sz="4" w:space="0"/>
            </w:tcBorders>
            <w:noWrap/>
            <w:vAlign w:val="center"/>
          </w:tcPr>
          <w:p>
            <w:pPr>
              <w:adjustRightInd w:val="0"/>
              <w:snapToGrid w:val="0"/>
              <w:spacing w:line="360" w:lineRule="auto"/>
              <w:ind w:firstLine="525" w:firstLineChars="250"/>
              <w:rPr>
                <w:rFonts w:hint="eastAsia" w:ascii="宋体" w:hAnsi="宋体" w:cs="宋体"/>
                <w:szCs w:val="21"/>
              </w:rPr>
            </w:pPr>
            <w:r>
              <w:rPr>
                <w:rFonts w:hint="eastAsia" w:ascii="宋体" w:hAnsi="宋体" w:eastAsia="宋体" w:cs="宋体"/>
                <w:szCs w:val="21"/>
              </w:rPr>
              <w:t>1.获得市场监督部门评定的餐饮服务食品安全等级公示的,A级得</w:t>
            </w:r>
            <w:r>
              <w:rPr>
                <w:rFonts w:hint="eastAsia" w:ascii="宋体" w:hAnsi="宋体" w:cs="宋体"/>
                <w:szCs w:val="21"/>
              </w:rPr>
              <w:t>4</w:t>
            </w:r>
            <w:r>
              <w:rPr>
                <w:rFonts w:hint="eastAsia" w:ascii="宋体" w:hAnsi="宋体" w:eastAsia="宋体" w:cs="宋体"/>
                <w:szCs w:val="21"/>
              </w:rPr>
              <w:t>分；B级得2分，B级以下不得分。</w:t>
            </w:r>
          </w:p>
          <w:p>
            <w:pPr>
              <w:adjustRightInd w:val="0"/>
              <w:snapToGrid w:val="0"/>
              <w:spacing w:line="360" w:lineRule="auto"/>
              <w:ind w:left="420"/>
              <w:rPr>
                <w:rFonts w:hint="eastAsia" w:ascii="宋体" w:hAnsi="宋体" w:cs="宋体"/>
                <w:szCs w:val="21"/>
              </w:rPr>
            </w:pPr>
            <w:r>
              <w:rPr>
                <w:rFonts w:hint="eastAsia" w:ascii="宋体" w:hAnsi="宋体" w:eastAsia="宋体" w:cs="宋体"/>
                <w:szCs w:val="21"/>
              </w:rPr>
              <w:t xml:space="preserve"> 2</w:t>
            </w:r>
            <w:r>
              <w:rPr>
                <w:rFonts w:hint="eastAsia" w:ascii="宋体" w:hAnsi="宋体" w:cs="宋体"/>
                <w:szCs w:val="21"/>
              </w:rPr>
              <w:t>.</w:t>
            </w:r>
            <w:r>
              <w:rPr>
                <w:rFonts w:hint="eastAsia" w:ascii="宋体" w:hAnsi="宋体" w:eastAsia="宋体" w:cs="宋体"/>
                <w:szCs w:val="21"/>
              </w:rPr>
              <w:t>获得过</w:t>
            </w:r>
            <w:r>
              <w:rPr>
                <w:rFonts w:hint="eastAsia" w:ascii="宋体" w:hAnsi="宋体" w:cs="宋体"/>
                <w:szCs w:val="21"/>
              </w:rPr>
              <w:t>类似</w:t>
            </w:r>
            <w:r>
              <w:rPr>
                <w:rFonts w:hint="eastAsia" w:ascii="宋体" w:hAnsi="宋体" w:eastAsia="宋体" w:cs="宋体"/>
                <w:szCs w:val="21"/>
              </w:rPr>
              <w:t>餐饮质量安全示范单位（食堂）</w:t>
            </w:r>
            <w:r>
              <w:rPr>
                <w:rFonts w:hint="eastAsia" w:ascii="宋体" w:hAnsi="宋体" w:cs="宋体"/>
                <w:szCs w:val="21"/>
              </w:rPr>
              <w:t>或</w:t>
            </w:r>
            <w:r>
              <w:rPr>
                <w:rFonts w:hint="eastAsia" w:ascii="宋体" w:hAnsi="宋体" w:eastAsia="宋体" w:cs="宋体"/>
                <w:szCs w:val="21"/>
              </w:rPr>
              <w:t>诚信</w:t>
            </w:r>
            <w:r>
              <w:rPr>
                <w:rFonts w:hint="eastAsia" w:ascii="宋体" w:hAnsi="宋体" w:cs="宋体"/>
                <w:szCs w:val="21"/>
              </w:rPr>
              <w:t>经营</w:t>
            </w:r>
            <w:r>
              <w:rPr>
                <w:rFonts w:hint="eastAsia" w:ascii="宋体" w:hAnsi="宋体" w:eastAsia="宋体" w:cs="宋体"/>
                <w:szCs w:val="21"/>
              </w:rPr>
              <w:t>示范店</w:t>
            </w:r>
            <w:r>
              <w:rPr>
                <w:rFonts w:hint="eastAsia" w:ascii="宋体" w:hAnsi="宋体" w:cs="宋体"/>
                <w:szCs w:val="21"/>
              </w:rPr>
              <w:t>等政府</w:t>
            </w:r>
            <w:r>
              <w:rPr>
                <w:rFonts w:hint="eastAsia" w:ascii="宋体" w:hAnsi="宋体" w:eastAsia="宋体" w:cs="宋体"/>
                <w:szCs w:val="21"/>
              </w:rPr>
              <w:t>部门</w:t>
            </w:r>
            <w:r>
              <w:rPr>
                <w:rFonts w:hint="eastAsia" w:ascii="宋体" w:hAnsi="宋体" w:cs="宋体"/>
                <w:szCs w:val="21"/>
              </w:rPr>
              <w:t>颁发的荣誉称号或奖项</w:t>
            </w:r>
            <w:r>
              <w:rPr>
                <w:rFonts w:hint="eastAsia" w:ascii="宋体" w:hAnsi="宋体" w:eastAsia="宋体" w:cs="宋体"/>
                <w:szCs w:val="21"/>
              </w:rPr>
              <w:t>的</w:t>
            </w:r>
            <w:r>
              <w:rPr>
                <w:rFonts w:hint="eastAsia" w:ascii="宋体" w:hAnsi="宋体" w:cs="宋体"/>
                <w:szCs w:val="21"/>
              </w:rPr>
              <w:t>，每有一项</w:t>
            </w:r>
            <w:r>
              <w:rPr>
                <w:rFonts w:hint="eastAsia" w:ascii="宋体" w:hAnsi="宋体" w:eastAsia="宋体" w:cs="宋体"/>
                <w:szCs w:val="21"/>
              </w:rPr>
              <w:t>得</w:t>
            </w:r>
            <w:r>
              <w:rPr>
                <w:rFonts w:hint="eastAsia" w:ascii="宋体" w:hAnsi="宋体" w:cs="宋体"/>
                <w:szCs w:val="21"/>
              </w:rPr>
              <w:t>2</w:t>
            </w:r>
            <w:r>
              <w:rPr>
                <w:rFonts w:hint="eastAsia" w:ascii="宋体" w:hAnsi="宋体" w:eastAsia="宋体" w:cs="宋体"/>
                <w:szCs w:val="21"/>
              </w:rPr>
              <w:t>分</w:t>
            </w:r>
            <w:r>
              <w:rPr>
                <w:rFonts w:hint="eastAsia" w:ascii="宋体" w:hAnsi="宋体" w:cs="宋体"/>
                <w:szCs w:val="21"/>
              </w:rPr>
              <w:t>，本项满分6分</w:t>
            </w:r>
            <w:r>
              <w:rPr>
                <w:rFonts w:hint="eastAsia" w:ascii="宋体" w:hAnsi="宋体" w:eastAsia="宋体" w:cs="宋体"/>
                <w:szCs w:val="21"/>
              </w:rPr>
              <w:t>。</w:t>
            </w:r>
          </w:p>
          <w:p>
            <w:pPr>
              <w:adjustRightInd w:val="0"/>
              <w:snapToGrid w:val="0"/>
              <w:spacing w:line="360" w:lineRule="auto"/>
              <w:ind w:firstLine="525" w:firstLineChars="250"/>
              <w:rPr>
                <w:rFonts w:hint="eastAsia" w:ascii="宋体" w:hAnsi="宋体" w:cs="宋体"/>
                <w:szCs w:val="21"/>
              </w:rPr>
            </w:pPr>
            <w:r>
              <w:rPr>
                <w:rFonts w:hint="eastAsia" w:ascii="宋体" w:hAnsi="宋体" w:cs="宋体"/>
                <w:szCs w:val="21"/>
              </w:rPr>
              <w:t>3</w:t>
            </w:r>
            <w:r>
              <w:rPr>
                <w:rFonts w:hint="eastAsia" w:ascii="宋体" w:hAnsi="宋体" w:eastAsia="宋体" w:cs="宋体"/>
                <w:szCs w:val="21"/>
              </w:rPr>
              <w:t>.投标人自2022年1月1日以来（以合同签订时间为准）具有与本项目匹配度高的食堂业绩，每有一份得2分，本项满分</w:t>
            </w:r>
            <w:r>
              <w:rPr>
                <w:rFonts w:hint="eastAsia" w:ascii="宋体" w:hAnsi="宋体" w:eastAsia="宋体" w:cs="宋体"/>
                <w:szCs w:val="21"/>
                <w:lang w:val="en-US" w:eastAsia="zh-CN"/>
              </w:rPr>
              <w:t>6</w:t>
            </w:r>
            <w:r>
              <w:rPr>
                <w:rFonts w:hint="eastAsia" w:ascii="宋体" w:hAnsi="宋体" w:eastAsia="宋体" w:cs="宋体"/>
                <w:szCs w:val="21"/>
              </w:rPr>
              <w:t>分；（同一投标人单位不重复计分）</w:t>
            </w:r>
          </w:p>
          <w:p>
            <w:pPr>
              <w:adjustRightInd w:val="0"/>
              <w:snapToGrid w:val="0"/>
              <w:spacing w:line="360" w:lineRule="auto"/>
              <w:rPr>
                <w:rFonts w:hint="eastAsia" w:ascii="宋体" w:hAnsi="宋体" w:cs="宋体"/>
                <w:szCs w:val="21"/>
              </w:rPr>
            </w:pPr>
            <w:r>
              <w:rPr>
                <w:rFonts w:hint="eastAsia" w:ascii="宋体" w:hAnsi="宋体" w:eastAsia="宋体" w:cs="宋体"/>
                <w:szCs w:val="21"/>
              </w:rPr>
              <w:t>（上述材料均须提供相关证明材料复印件加盖投标人公章，原件中标后核查；第</w:t>
            </w:r>
            <w:r>
              <w:rPr>
                <w:rFonts w:hint="eastAsia" w:ascii="宋体" w:hAnsi="宋体" w:cs="宋体"/>
                <w:szCs w:val="21"/>
              </w:rPr>
              <w:t>3</w:t>
            </w:r>
            <w:r>
              <w:rPr>
                <w:rFonts w:hint="eastAsia" w:ascii="宋体" w:hAnsi="宋体" w:eastAsia="宋体" w:cs="宋体"/>
                <w:szCs w:val="21"/>
              </w:rPr>
              <w:t>项需提供相关证明材料复印件加盖投标人及被服务单位公章，原件中标后核查。）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4" w:hRule="atLeast"/>
        </w:trPr>
        <w:tc>
          <w:tcPr>
            <w:tcW w:w="845" w:type="pct"/>
            <w:tcBorders>
              <w:top w:val="single" w:color="auto" w:sz="4" w:space="0"/>
              <w:right w:val="single" w:color="auto" w:sz="4" w:space="0"/>
            </w:tcBorders>
            <w:noWrap/>
            <w:vAlign w:val="center"/>
          </w:tcPr>
          <w:p>
            <w:pPr>
              <w:adjustRightInd w:val="0"/>
              <w:snapToGrid w:val="0"/>
              <w:spacing w:line="360" w:lineRule="auto"/>
              <w:jc w:val="center"/>
              <w:rPr>
                <w:rFonts w:hint="eastAsia" w:ascii="宋体" w:hAnsi="宋体" w:cs="宋体"/>
                <w:szCs w:val="21"/>
              </w:rPr>
            </w:pPr>
            <w:r>
              <w:rPr>
                <w:rFonts w:hint="eastAsia" w:ascii="宋体" w:hAnsi="宋体" w:eastAsia="宋体" w:cs="宋体"/>
                <w:szCs w:val="21"/>
              </w:rPr>
              <w:t>认证体系</w:t>
            </w:r>
          </w:p>
          <w:p>
            <w:pPr>
              <w:adjustRightInd w:val="0"/>
              <w:snapToGrid w:val="0"/>
              <w:spacing w:line="360" w:lineRule="auto"/>
              <w:jc w:val="center"/>
              <w:rPr>
                <w:rFonts w:hint="eastAsia" w:ascii="宋体" w:hAnsi="宋体" w:cs="宋体"/>
                <w:szCs w:val="21"/>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分）</w:t>
            </w:r>
          </w:p>
        </w:tc>
        <w:tc>
          <w:tcPr>
            <w:tcW w:w="4154" w:type="pct"/>
            <w:tcBorders>
              <w:top w:val="single" w:color="auto" w:sz="4" w:space="0"/>
              <w:lef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1.具有有效的质量管理体系认证证书得</w:t>
            </w:r>
            <w:r>
              <w:rPr>
                <w:rFonts w:hint="eastAsia" w:asciiTheme="minorEastAsia" w:hAnsiTheme="minorEastAsia" w:cstheme="minorEastAsia"/>
                <w:szCs w:val="21"/>
                <w:lang w:val="en-US" w:eastAsia="zh-CN"/>
              </w:rPr>
              <w:t>1</w:t>
            </w:r>
            <w:r>
              <w:rPr>
                <w:rFonts w:hint="eastAsia" w:asciiTheme="minorEastAsia" w:hAnsiTheme="minorEastAsia" w:eastAsiaTheme="minorEastAsia" w:cstheme="minorEastAsia"/>
                <w:szCs w:val="21"/>
              </w:rPr>
              <w:t>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2.具有有效的环境管理体系认证证书得</w:t>
            </w:r>
            <w:r>
              <w:rPr>
                <w:rFonts w:hint="eastAsia" w:asciiTheme="minorEastAsia" w:hAnsiTheme="minorEastAsia" w:cstheme="minorEastAsia"/>
                <w:szCs w:val="21"/>
                <w:lang w:val="en-US" w:eastAsia="zh-CN"/>
              </w:rPr>
              <w:t>1</w:t>
            </w:r>
            <w:r>
              <w:rPr>
                <w:rFonts w:hint="eastAsia" w:asciiTheme="minorEastAsia" w:hAnsiTheme="minorEastAsia" w:eastAsiaTheme="minorEastAsia" w:cstheme="minorEastAsia"/>
                <w:szCs w:val="21"/>
              </w:rPr>
              <w:t>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3.具有有效的职业健康安全管理体系认证证书得</w:t>
            </w:r>
            <w:r>
              <w:rPr>
                <w:rFonts w:hint="eastAsia" w:asciiTheme="minorEastAsia" w:hAnsiTheme="minorEastAsia" w:cstheme="minorEastAsia"/>
                <w:szCs w:val="21"/>
                <w:lang w:val="en-US" w:eastAsia="zh-CN"/>
              </w:rPr>
              <w:t>1</w:t>
            </w:r>
            <w:r>
              <w:rPr>
                <w:rFonts w:hint="eastAsia" w:asciiTheme="minorEastAsia" w:hAnsiTheme="minorEastAsia" w:eastAsiaTheme="minorEastAsia" w:cstheme="minorEastAsia"/>
                <w:szCs w:val="21"/>
              </w:rPr>
              <w:t>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4.具有有效的食品安全管理体系得</w:t>
            </w:r>
            <w:r>
              <w:rPr>
                <w:rFonts w:hint="eastAsia" w:asciiTheme="minorEastAsia" w:hAnsiTheme="minorEastAsia" w:cstheme="minorEastAsia"/>
                <w:szCs w:val="21"/>
                <w:lang w:val="en-US" w:eastAsia="zh-CN"/>
              </w:rPr>
              <w:t>1</w:t>
            </w:r>
            <w:r>
              <w:rPr>
                <w:rFonts w:hint="eastAsia" w:asciiTheme="minorEastAsia" w:hAnsiTheme="minorEastAsia" w:eastAsiaTheme="minorEastAsia" w:cstheme="minorEastAsia"/>
                <w:szCs w:val="21"/>
              </w:rPr>
              <w:t>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5.具有危害分析与关键控制点HACCP体系得</w:t>
            </w:r>
            <w:r>
              <w:rPr>
                <w:rFonts w:hint="eastAsia" w:asciiTheme="minorEastAsia" w:hAnsiTheme="minorEastAsia" w:cstheme="minorEastAsia"/>
                <w:szCs w:val="21"/>
                <w:lang w:val="en-US" w:eastAsia="zh-CN"/>
              </w:rPr>
              <w:t>1</w:t>
            </w:r>
            <w:r>
              <w:rPr>
                <w:rFonts w:hint="eastAsia" w:asciiTheme="minorEastAsia" w:hAnsiTheme="minorEastAsia" w:eastAsiaTheme="minorEastAsia" w:cstheme="minorEastAsia"/>
                <w:szCs w:val="21"/>
              </w:rPr>
              <w:t>分。</w:t>
            </w:r>
          </w:p>
          <w:p>
            <w:pPr>
              <w:adjustRightInd w:val="0"/>
              <w:snapToGrid w:val="0"/>
              <w:spacing w:line="360" w:lineRule="auto"/>
              <w:rPr>
                <w:rFonts w:hint="eastAsia" w:ascii="宋体" w:hAnsi="宋体" w:cs="宋体"/>
                <w:szCs w:val="21"/>
              </w:rPr>
            </w:pPr>
            <w:r>
              <w:rPr>
                <w:rFonts w:hint="eastAsia" w:asciiTheme="minorEastAsia" w:hAnsiTheme="minorEastAsia" w:eastAsiaTheme="minorEastAsia" w:cstheme="minorEastAsia"/>
                <w:szCs w:val="21"/>
              </w:rPr>
              <w:t>（上述1-5项均须提供证书复印件加盖投标人公章，应在认证有效期内，提供证书原件备查）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823" w:hRule="atLeast"/>
        </w:trPr>
        <w:tc>
          <w:tcPr>
            <w:tcW w:w="845" w:type="pct"/>
            <w:tcBorders>
              <w:top w:val="single" w:color="auto" w:sz="4" w:space="0"/>
              <w:bottom w:val="single" w:color="auto" w:sz="4" w:space="0"/>
              <w:right w:val="single" w:color="auto" w:sz="4" w:space="0"/>
            </w:tcBorders>
            <w:shd w:val="clear" w:color="auto" w:fill="FFFFFF"/>
            <w:noWrap/>
            <w:vAlign w:val="center"/>
          </w:tcPr>
          <w:p>
            <w:pPr>
              <w:adjustRightInd w:val="0"/>
              <w:snapToGrid w:val="0"/>
              <w:spacing w:line="360" w:lineRule="auto"/>
              <w:jc w:val="center"/>
              <w:rPr>
                <w:rFonts w:hint="eastAsia" w:ascii="宋体" w:hAnsi="宋体" w:cs="宋体"/>
                <w:szCs w:val="21"/>
              </w:rPr>
            </w:pPr>
            <w:r>
              <w:rPr>
                <w:rFonts w:hint="eastAsia" w:ascii="宋体" w:hAnsi="宋体" w:eastAsia="宋体" w:cs="宋体"/>
                <w:szCs w:val="21"/>
              </w:rPr>
              <w:t>人员配置</w:t>
            </w:r>
          </w:p>
          <w:p>
            <w:pPr>
              <w:adjustRightInd w:val="0"/>
              <w:snapToGrid w:val="0"/>
              <w:spacing w:line="360" w:lineRule="auto"/>
              <w:jc w:val="center"/>
              <w:rPr>
                <w:rFonts w:hint="eastAsia" w:ascii="宋体" w:hAnsi="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8</w:t>
            </w:r>
            <w:r>
              <w:rPr>
                <w:rFonts w:hint="eastAsia" w:ascii="宋体" w:hAnsi="宋体" w:eastAsia="宋体" w:cs="宋体"/>
                <w:szCs w:val="21"/>
              </w:rPr>
              <w:t>分）</w:t>
            </w:r>
          </w:p>
        </w:tc>
        <w:tc>
          <w:tcPr>
            <w:tcW w:w="4154" w:type="pct"/>
            <w:tcBorders>
              <w:top w:val="single" w:color="auto" w:sz="4" w:space="0"/>
              <w:left w:val="single" w:color="auto" w:sz="4" w:space="0"/>
              <w:bottom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项目经理配备（满分5分）：一二楼派驻项目经理各1名，每配备一名具有本科及以上学历项目经理得0.5分；有餐饮经理人中级及以上证书得0.5分，有食品安全管理员证书得0.5分，有高级营养配餐师得0.5分，年龄不超过55周岁得0.5分。每配备一名全部满足招标文件要求项目经理得2.5分，本项满分5分。（须提供上述所有证书、身份证的复印件、2024年6月-2024年1月社保证明均需加盖投标人公章，原件备查）</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厨师长配备（满分4分）：一二楼派驻中式烹饪专业厨师长各1名，每配备一名具有高级营养配餐师的厨师长得1分，有厨师一级或高级技师证书得1分，每配备一名全部满足招标文件要求的厨师长得2分，本项满分4分。（须提供上述所有证书、身份证的复印件、2024年6月-2024年1月社保证明均需加盖投标人公章，原件备查）</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食品安全管理员配备（满分2分）：一二楼派驻食品安全管理员各1名，负责食堂电、气、消防，食品安全等管理工作，每配备一名具有食品安全管理员证书食品安全管理员得1分，本项满分2分。（须提供上述所有证书、身份证的复印件、2024年6月-2024年1月社保证明均需加盖投标人公章，原件备查）</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营养师配置（满分2分）：一二楼配备一名具有公共营养师证书营养师得1分，具有大专及以上学历得1分。本项目满分2分（须提供上述所有证书、身份证的复印件、2024年6月-2024年1月社保证明均需加盖投标人公章，原件备查）</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5.行政总厨配置（满分3分）：配备一名驻场高水平行政总厨一名。负责每周菜单审核，菜品指导等管理工作。需持有有高级工厨师证书得</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分，年龄不超过55周岁得1分。本项目满分3分（须提供证书、身份证的复印件、2024年6月-2024年12月社保证明均需加盖投标人公章，原件中标后核查。</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6.其他人员配备（满分2分）：根据投标人《人员基本配置表》基本情况配备本项目人员，人员配备齐全、合理，且厨师具有厨师证书，面点师具有面点师证书得2分，缺岗或未提供不得分。</w:t>
            </w:r>
          </w:p>
          <w:p>
            <w:pPr>
              <w:adjustRightInd w:val="0"/>
              <w:snapToGrid w:val="0"/>
              <w:spacing w:line="360" w:lineRule="auto"/>
              <w:rPr>
                <w:rFonts w:hint="eastAsia" w:ascii="宋体" w:hAnsi="宋体" w:cs="宋体"/>
                <w:b/>
                <w:szCs w:val="21"/>
              </w:rPr>
            </w:pPr>
            <w:r>
              <w:rPr>
                <w:rFonts w:hint="eastAsia" w:asciiTheme="minorEastAsia" w:hAnsiTheme="minorEastAsia" w:eastAsiaTheme="minorEastAsia" w:cstheme="minorEastAsia"/>
                <w:szCs w:val="21"/>
              </w:rPr>
              <w:t>（须提供证书的复印件，2024年6月-2024年12月社保证明证书、原件备查）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8563" w:hRule="atLeast"/>
        </w:trPr>
        <w:tc>
          <w:tcPr>
            <w:tcW w:w="845" w:type="pct"/>
            <w:tcBorders>
              <w:top w:val="single" w:color="auto" w:sz="4" w:space="0"/>
              <w:bottom w:val="single" w:color="auto" w:sz="4" w:space="0"/>
              <w:right w:val="single" w:color="auto" w:sz="4" w:space="0"/>
            </w:tcBorders>
            <w:shd w:val="clear" w:color="auto" w:fill="FFFFFF"/>
            <w:noWrap/>
            <w:vAlign w:val="center"/>
          </w:tcPr>
          <w:p>
            <w:pPr>
              <w:adjustRightInd w:val="0"/>
              <w:snapToGrid w:val="0"/>
              <w:spacing w:line="360" w:lineRule="auto"/>
              <w:jc w:val="center"/>
              <w:rPr>
                <w:rFonts w:hint="eastAsia" w:ascii="宋体" w:hAnsi="宋体" w:cs="宋体"/>
                <w:szCs w:val="21"/>
              </w:rPr>
            </w:pPr>
            <w:r>
              <w:rPr>
                <w:rFonts w:hint="eastAsia" w:ascii="宋体" w:hAnsi="宋体" w:eastAsia="宋体" w:cs="宋体"/>
                <w:szCs w:val="21"/>
              </w:rPr>
              <w:t>管理方案</w:t>
            </w:r>
          </w:p>
          <w:p>
            <w:pPr>
              <w:adjustRightInd w:val="0"/>
              <w:snapToGrid w:val="0"/>
              <w:spacing w:line="360" w:lineRule="auto"/>
              <w:jc w:val="center"/>
              <w:rPr>
                <w:rFonts w:hint="eastAsia" w:ascii="宋体" w:hAnsi="宋体" w:cs="宋体"/>
                <w:szCs w:val="21"/>
              </w:rPr>
            </w:pPr>
            <w:r>
              <w:rPr>
                <w:rFonts w:hint="eastAsia" w:ascii="宋体" w:hAnsi="宋体" w:eastAsia="宋体" w:cs="宋体"/>
                <w:szCs w:val="21"/>
              </w:rPr>
              <w:t>（</w:t>
            </w:r>
            <w:r>
              <w:rPr>
                <w:rFonts w:hint="eastAsia" w:ascii="宋体" w:hAnsi="宋体" w:eastAsia="宋体" w:cs="宋体"/>
                <w:szCs w:val="21"/>
                <w:lang w:val="en-US" w:eastAsia="zh-CN"/>
              </w:rPr>
              <w:t>20</w:t>
            </w:r>
            <w:r>
              <w:rPr>
                <w:rFonts w:hint="eastAsia" w:ascii="宋体" w:hAnsi="宋体" w:eastAsia="宋体" w:cs="宋体"/>
                <w:szCs w:val="21"/>
              </w:rPr>
              <w:t>分）</w:t>
            </w:r>
          </w:p>
        </w:tc>
        <w:tc>
          <w:tcPr>
            <w:tcW w:w="4154" w:type="pct"/>
            <w:tcBorders>
              <w:top w:val="single" w:color="auto" w:sz="4" w:space="0"/>
              <w:left w:val="single" w:color="auto" w:sz="4" w:space="0"/>
              <w:bottom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本方案需符合国家卫生健康委员会颁发的《医疗和疾控后勤安全生产工作管理指南》中关于食堂安全管理督导检查表的要求（参考附件1）。</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人员要求及教育培训方案（满分5分）；食堂从业人员的要求及教育培训方案需符合食堂安全管理督导检查表中（人员要求、教育培训）的管理要求，有完整的教育培训考核方案及详细的培训预算费用需提供材料佐证。进行综合评价。方案完整、细致，符合项目需求，操作性强得5分，方案较为完整、细致，基本符合项目需求，具备一定的可操作性得3分，方案不完整、不细致，与项目需求响应度不够，不具备可操作性得1分；没有方案不得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2.制度管理方案（满分5分）：制度管理方案需符合食堂安全管理督导检查表中(制度管理、档案管理、相关方管理)的要求,根据方案是否有针对性、控制措施、承诺等是否有力等进行综合评价。方案完整、细致，符合项目需求，操作性强得5分，方案较为完整、细致，基本符合项目需求，具备一定的可操作性得3分，方案不完整、不细致，与项目需求响应度不够，不具备可操作性得1分；没有方案不得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安全管理方案（满分5分）：应急管理方案需符合但不限于食堂安全管理督导检查表中(应急管理)的要求，有安全生产管理及投诉处理方案，应急预案方案，节能减排方案等工作方案。方案完整、细致，符合项目需求，操作性强得5分，方案较为完整、细致，基本符合项目需求，具备一定的可操作性得3分，方案不完整、不细致，与项目需求响应度不够，不具备可操作性得1分；没有方案不得分。</w:t>
            </w:r>
          </w:p>
          <w:p>
            <w:pPr>
              <w:adjustRightInd w:val="0"/>
              <w:snapToGrid w:val="0"/>
              <w:spacing w:line="360" w:lineRule="auto"/>
              <w:ind w:firstLine="420" w:firstLineChars="200"/>
              <w:rPr>
                <w:rFonts w:hint="eastAsia" w:ascii="宋体" w:hAnsi="宋体" w:cs="宋体"/>
                <w:b/>
                <w:szCs w:val="21"/>
              </w:rPr>
            </w:pPr>
            <w:r>
              <w:rPr>
                <w:rFonts w:hint="eastAsia" w:asciiTheme="minorEastAsia" w:hAnsiTheme="minorEastAsia" w:eastAsiaTheme="minorEastAsia" w:cstheme="minorEastAsia"/>
                <w:szCs w:val="21"/>
              </w:rPr>
              <w:t>4.服务质量控制方案（满分5分）：服务质量控制方案需符合食堂安全管理督导检查表中(餐饮生产过程管控)的要求，根据方案否有针对性、细化的内容、标准以及拟采取的措施和承诺等进行综合评价。方案完整、细致，符合项目需求，操作性强得5分，方案较为完整、细致，基本符合项目需求，具备一定的可操作性得3分，方案不完整、不细致，与项目需求响应度不够，不具备可操作性得1分；没有方案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823" w:hRule="atLeast"/>
        </w:trPr>
        <w:tc>
          <w:tcPr>
            <w:tcW w:w="845" w:type="pct"/>
            <w:tcBorders>
              <w:top w:val="single" w:color="auto" w:sz="4" w:space="0"/>
              <w:bottom w:val="single" w:color="auto" w:sz="4" w:space="0"/>
              <w:right w:val="single" w:color="auto" w:sz="4" w:space="0"/>
            </w:tcBorders>
            <w:shd w:val="clear" w:color="auto" w:fill="FFFFFF"/>
            <w:noWrap/>
            <w:vAlign w:val="center"/>
          </w:tcPr>
          <w:p>
            <w:pPr>
              <w:adjustRightInd w:val="0"/>
              <w:snapToGrid w:val="0"/>
              <w:spacing w:line="360" w:lineRule="auto"/>
              <w:jc w:val="center"/>
              <w:rPr>
                <w:rFonts w:hint="eastAsia" w:ascii="宋体" w:hAnsi="宋体" w:cs="宋体"/>
                <w:szCs w:val="21"/>
              </w:rPr>
            </w:pPr>
            <w:r>
              <w:rPr>
                <w:rFonts w:hint="eastAsia" w:ascii="宋体" w:hAnsi="宋体" w:eastAsia="宋体" w:cs="宋体"/>
                <w:szCs w:val="21"/>
              </w:rPr>
              <w:t>接管方案</w:t>
            </w:r>
          </w:p>
          <w:p>
            <w:pPr>
              <w:adjustRightInd w:val="0"/>
              <w:snapToGrid w:val="0"/>
              <w:spacing w:line="360" w:lineRule="auto"/>
              <w:ind w:firstLine="210" w:firstLineChars="100"/>
              <w:rPr>
                <w:rFonts w:hint="eastAsia" w:ascii="宋体" w:hAnsi="宋体" w:cs="宋体"/>
                <w:szCs w:val="21"/>
              </w:rPr>
            </w:pP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分）</w:t>
            </w:r>
          </w:p>
        </w:tc>
        <w:tc>
          <w:tcPr>
            <w:tcW w:w="4154" w:type="pct"/>
            <w:tcBorders>
              <w:top w:val="single" w:color="auto" w:sz="4" w:space="0"/>
              <w:left w:val="single" w:color="auto" w:sz="4" w:space="0"/>
              <w:bottom w:val="single" w:color="auto" w:sz="4" w:space="0"/>
            </w:tcBorders>
            <w:shd w:val="clear" w:color="auto" w:fill="FFFFFF"/>
            <w:noWrap/>
            <w:vAlign w:val="center"/>
          </w:tcPr>
          <w:p>
            <w:pPr>
              <w:widowControl/>
              <w:adjustRightInd w:val="0"/>
              <w:snapToGrid w:val="0"/>
              <w:spacing w:line="360" w:lineRule="auto"/>
              <w:ind w:firstLine="420" w:firstLineChars="200"/>
              <w:rPr>
                <w:rFonts w:hint="eastAsia" w:ascii="宋体" w:hAnsi="宋体" w:cs="宋体"/>
                <w:szCs w:val="21"/>
              </w:rPr>
            </w:pPr>
            <w:r>
              <w:rPr>
                <w:rFonts w:hint="eastAsia" w:ascii="宋体" w:hAnsi="宋体" w:eastAsia="宋体" w:cs="宋体"/>
                <w:szCs w:val="21"/>
              </w:rPr>
              <w:t>需提供详细的接管方案，评标委员会将根据接管方案进行综合评审</w:t>
            </w:r>
            <w:r>
              <w:rPr>
                <w:rFonts w:hint="eastAsia" w:ascii="宋体" w:hAnsi="宋体" w:eastAsia="宋体" w:cs="宋体"/>
                <w:b/>
                <w:szCs w:val="21"/>
              </w:rPr>
              <w:t>（满分</w:t>
            </w:r>
            <w:r>
              <w:rPr>
                <w:rFonts w:hint="eastAsia" w:ascii="宋体" w:hAnsi="宋体" w:eastAsia="宋体" w:cs="宋体"/>
                <w:b/>
                <w:szCs w:val="21"/>
                <w:lang w:val="en-US" w:eastAsia="zh-CN"/>
              </w:rPr>
              <w:t>4</w:t>
            </w:r>
            <w:r>
              <w:rPr>
                <w:rFonts w:hint="eastAsia" w:ascii="宋体" w:hAnsi="宋体" w:eastAsia="宋体" w:cs="宋体"/>
                <w:b/>
                <w:szCs w:val="21"/>
              </w:rPr>
              <w:t>分）：</w:t>
            </w:r>
            <w:r>
              <w:rPr>
                <w:rFonts w:hint="eastAsia" w:ascii="宋体" w:hAnsi="宋体" w:eastAsia="宋体" w:cs="宋体"/>
                <w:szCs w:val="21"/>
              </w:rPr>
              <w:t>在规定时间内</w:t>
            </w:r>
            <w:r>
              <w:rPr>
                <w:rFonts w:hint="eastAsia" w:ascii="宋体" w:hAnsi="宋体" w:eastAsia="宋体" w:cs="宋体"/>
                <w:bCs/>
                <w:szCs w:val="21"/>
              </w:rPr>
              <w:t>（10天内）</w:t>
            </w:r>
            <w:r>
              <w:rPr>
                <w:rFonts w:hint="eastAsia" w:ascii="宋体" w:hAnsi="宋体" w:eastAsia="宋体" w:cs="宋体"/>
                <w:szCs w:val="21"/>
              </w:rPr>
              <w:t>人员、设备到位、菜谱制定、定价合理的措施等，需提供书面详细方案。方案完整、细致，符合项目需求，操作性强得</w:t>
            </w:r>
            <w:r>
              <w:rPr>
                <w:rFonts w:hint="eastAsia" w:ascii="宋体" w:hAnsi="宋体" w:eastAsia="宋体" w:cs="宋体"/>
                <w:szCs w:val="21"/>
                <w:lang w:val="en-US" w:eastAsia="zh-CN"/>
              </w:rPr>
              <w:t>4</w:t>
            </w:r>
            <w:r>
              <w:rPr>
                <w:rFonts w:hint="eastAsia" w:ascii="宋体" w:hAnsi="宋体" w:eastAsia="宋体" w:cs="宋体"/>
                <w:szCs w:val="21"/>
              </w:rPr>
              <w:t>分，方案较为完整、细致，基本符合项目需求，具备一定的可操作性得2分，方案不完整、不细致，与项目需求响应度不够，不具备可操作性得1分；没有方案不得分。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823" w:hRule="atLeast"/>
        </w:trPr>
        <w:tc>
          <w:tcPr>
            <w:tcW w:w="845" w:type="pct"/>
            <w:tcBorders>
              <w:top w:val="single" w:color="auto" w:sz="4" w:space="0"/>
              <w:bottom w:val="single" w:color="auto" w:sz="4" w:space="0"/>
              <w:right w:val="single" w:color="auto" w:sz="4" w:space="0"/>
            </w:tcBorders>
            <w:shd w:val="clear" w:color="auto" w:fill="FFFFFF"/>
            <w:noWrap/>
            <w:vAlign w:val="center"/>
          </w:tcPr>
          <w:p>
            <w:pPr>
              <w:adjustRightInd w:val="0"/>
              <w:snapToGrid w:val="0"/>
              <w:spacing w:line="360" w:lineRule="auto"/>
              <w:jc w:val="center"/>
              <w:rPr>
                <w:rFonts w:hint="eastAsia" w:ascii="宋体" w:hAnsi="宋体" w:cs="宋体"/>
                <w:szCs w:val="21"/>
              </w:rPr>
            </w:pPr>
            <w:r>
              <w:rPr>
                <w:rFonts w:hint="eastAsia" w:ascii="宋体" w:hAnsi="宋体" w:eastAsia="宋体" w:cs="宋体"/>
                <w:szCs w:val="21"/>
              </w:rPr>
              <w:t>退场方案</w:t>
            </w:r>
          </w:p>
          <w:p>
            <w:pPr>
              <w:widowControl/>
              <w:adjustRightInd w:val="0"/>
              <w:snapToGrid w:val="0"/>
              <w:spacing w:line="360" w:lineRule="auto"/>
              <w:jc w:val="center"/>
              <w:rPr>
                <w:rFonts w:hint="eastAsia" w:ascii="宋体" w:hAnsi="宋体" w:cs="宋体"/>
                <w:szCs w:val="21"/>
              </w:rPr>
            </w:pP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分）</w:t>
            </w:r>
          </w:p>
        </w:tc>
        <w:tc>
          <w:tcPr>
            <w:tcW w:w="4154" w:type="pct"/>
            <w:tcBorders>
              <w:top w:val="single" w:color="auto" w:sz="4" w:space="0"/>
              <w:left w:val="single" w:color="auto" w:sz="4" w:space="0"/>
              <w:bottom w:val="single" w:color="auto" w:sz="4" w:space="0"/>
            </w:tcBorders>
            <w:shd w:val="clear" w:color="auto" w:fill="FFFFFF"/>
            <w:noWrap/>
            <w:vAlign w:val="center"/>
          </w:tcPr>
          <w:p>
            <w:pPr>
              <w:widowControl/>
              <w:adjustRightInd w:val="0"/>
              <w:snapToGrid w:val="0"/>
              <w:spacing w:line="360" w:lineRule="auto"/>
              <w:ind w:firstLine="420" w:firstLineChars="200"/>
              <w:rPr>
                <w:rFonts w:hint="eastAsia" w:ascii="宋体" w:hAnsi="宋体" w:cs="宋体"/>
                <w:szCs w:val="21"/>
              </w:rPr>
            </w:pPr>
            <w:r>
              <w:rPr>
                <w:rFonts w:hint="eastAsia" w:ascii="宋体" w:hAnsi="宋体" w:eastAsia="宋体" w:cs="宋体"/>
                <w:szCs w:val="21"/>
              </w:rPr>
              <w:t>需提供详细的退场方案，评标委员会将根据接管方案进行综合评审</w:t>
            </w:r>
            <w:r>
              <w:rPr>
                <w:rFonts w:hint="eastAsia" w:ascii="宋体" w:hAnsi="宋体" w:eastAsia="宋体" w:cs="宋体"/>
                <w:b/>
                <w:szCs w:val="21"/>
              </w:rPr>
              <w:t>（满分</w:t>
            </w:r>
            <w:r>
              <w:rPr>
                <w:rFonts w:hint="eastAsia" w:ascii="宋体" w:hAnsi="宋体" w:eastAsia="宋体" w:cs="宋体"/>
                <w:b/>
                <w:szCs w:val="21"/>
                <w:lang w:val="en-US" w:eastAsia="zh-CN"/>
              </w:rPr>
              <w:t>4</w:t>
            </w:r>
            <w:r>
              <w:rPr>
                <w:rFonts w:hint="eastAsia" w:ascii="宋体" w:hAnsi="宋体" w:eastAsia="宋体" w:cs="宋体"/>
                <w:b/>
                <w:szCs w:val="21"/>
              </w:rPr>
              <w:t>分）：</w:t>
            </w:r>
            <w:r>
              <w:rPr>
                <w:rFonts w:hint="eastAsia" w:ascii="宋体" w:hAnsi="宋体" w:eastAsia="宋体" w:cs="宋体"/>
                <w:bCs/>
                <w:szCs w:val="21"/>
              </w:rPr>
              <w:t>提供</w:t>
            </w:r>
            <w:r>
              <w:rPr>
                <w:rFonts w:hint="eastAsia" w:ascii="宋体" w:hAnsi="宋体" w:eastAsia="宋体" w:cs="宋体"/>
                <w:szCs w:val="21"/>
              </w:rPr>
              <w:t>有完善的、完整的、符合医院管理实际、不影响医院运行的完整退出机制方案书，在规定时间内</w:t>
            </w:r>
            <w:r>
              <w:rPr>
                <w:rFonts w:hint="eastAsia" w:ascii="宋体" w:hAnsi="宋体" w:eastAsia="宋体" w:cs="宋体"/>
                <w:bCs/>
                <w:szCs w:val="21"/>
              </w:rPr>
              <w:t>（10天内）进行</w:t>
            </w:r>
            <w:r>
              <w:rPr>
                <w:rFonts w:hint="eastAsia" w:ascii="宋体" w:hAnsi="宋体" w:eastAsia="宋体" w:cs="宋体"/>
                <w:szCs w:val="21"/>
              </w:rPr>
              <w:t>资料移交、人员安排等退场措施，方案科学、合理、符合要求并出具承诺函的得</w:t>
            </w:r>
            <w:r>
              <w:rPr>
                <w:rFonts w:hint="eastAsia" w:ascii="宋体" w:hAnsi="宋体" w:eastAsia="宋体" w:cs="宋体"/>
                <w:szCs w:val="21"/>
                <w:lang w:val="en-US" w:eastAsia="zh-CN"/>
              </w:rPr>
              <w:t>4</w:t>
            </w:r>
            <w:r>
              <w:rPr>
                <w:rFonts w:hint="eastAsia" w:ascii="宋体" w:hAnsi="宋体" w:eastAsia="宋体" w:cs="宋体"/>
                <w:szCs w:val="21"/>
              </w:rPr>
              <w:t>分；方案可行、有承诺书得2分；有方案无承诺的不得分，无方案有承诺不得分。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298" w:hRule="atLeast"/>
        </w:trPr>
        <w:tc>
          <w:tcPr>
            <w:tcW w:w="845" w:type="pct"/>
            <w:tcBorders>
              <w:top w:val="single" w:color="auto" w:sz="4" w:space="0"/>
              <w:bottom w:val="single" w:color="auto" w:sz="4" w:space="0"/>
              <w:right w:val="single" w:color="auto" w:sz="4" w:space="0"/>
            </w:tcBorders>
            <w:shd w:val="clear" w:color="auto" w:fill="FFFFFF"/>
            <w:noWrap/>
            <w:vAlign w:val="center"/>
          </w:tcPr>
          <w:p>
            <w:pPr>
              <w:widowControl/>
              <w:adjustRightInd w:val="0"/>
              <w:snapToGrid w:val="0"/>
              <w:spacing w:line="360" w:lineRule="auto"/>
              <w:jc w:val="center"/>
              <w:rPr>
                <w:rFonts w:hint="eastAsia" w:ascii="宋体" w:hAnsi="宋体" w:cs="宋体"/>
                <w:szCs w:val="21"/>
              </w:rPr>
            </w:pPr>
            <w:r>
              <w:rPr>
                <w:rFonts w:hint="eastAsia" w:ascii="宋体" w:hAnsi="宋体" w:eastAsia="宋体" w:cs="宋体"/>
                <w:szCs w:val="21"/>
              </w:rPr>
              <w:t>系统演示</w:t>
            </w:r>
          </w:p>
          <w:p>
            <w:pPr>
              <w:widowControl/>
              <w:adjustRightInd w:val="0"/>
              <w:snapToGrid w:val="0"/>
              <w:spacing w:line="360" w:lineRule="auto"/>
              <w:jc w:val="center"/>
              <w:rPr>
                <w:rFonts w:hint="eastAsia" w:ascii="宋体" w:hAnsi="宋体" w:cs="宋体"/>
                <w:szCs w:val="21"/>
              </w:rPr>
            </w:pP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分）</w:t>
            </w:r>
          </w:p>
        </w:tc>
        <w:tc>
          <w:tcPr>
            <w:tcW w:w="4154" w:type="pct"/>
            <w:tcBorders>
              <w:top w:val="single" w:color="auto" w:sz="4" w:space="0"/>
              <w:left w:val="single" w:color="auto" w:sz="4" w:space="0"/>
              <w:bottom w:val="single" w:color="auto" w:sz="4" w:space="0"/>
            </w:tcBorders>
            <w:shd w:val="clear" w:color="auto" w:fill="FFFFFF"/>
            <w:noWrap/>
            <w:vAlign w:val="center"/>
          </w:tcPr>
          <w:p>
            <w:pPr>
              <w:widowControl/>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eastAsia="宋体" w:cs="宋体"/>
                <w:szCs w:val="21"/>
              </w:rPr>
              <w:t>投标人需承诺，有针对职工、病员和家属的信息化订餐系统（满分</w:t>
            </w:r>
            <w:r>
              <w:rPr>
                <w:rFonts w:hint="eastAsia" w:ascii="宋体" w:hAnsi="宋体" w:eastAsia="宋体" w:cs="宋体"/>
                <w:szCs w:val="21"/>
                <w:lang w:val="en-US" w:eastAsia="zh-CN"/>
              </w:rPr>
              <w:t>2</w:t>
            </w:r>
            <w:r>
              <w:rPr>
                <w:rFonts w:hint="eastAsia" w:ascii="宋体" w:hAnsi="宋体" w:eastAsia="宋体" w:cs="宋体"/>
                <w:szCs w:val="21"/>
              </w:rPr>
              <w:t>分）：此系统要求能提供云存储和云维护功能，可远程使用手机、PAD、电脑终端进行管理、查询；可通过APP进行点餐、充值、支付 ，由拟派驻的项目负责人进行系统PPT讲解和设备演示，满足要求的得</w:t>
            </w:r>
            <w:r>
              <w:rPr>
                <w:rFonts w:hint="eastAsia" w:ascii="宋体" w:hAnsi="宋体" w:eastAsia="宋体" w:cs="宋体"/>
                <w:szCs w:val="21"/>
                <w:lang w:val="en-US" w:eastAsia="zh-CN"/>
              </w:rPr>
              <w:t>2</w:t>
            </w:r>
            <w:r>
              <w:rPr>
                <w:rFonts w:hint="eastAsia" w:ascii="宋体" w:hAnsi="宋体" w:eastAsia="宋体" w:cs="宋体"/>
                <w:szCs w:val="21"/>
              </w:rPr>
              <w:t>分，基本满足得</w:t>
            </w:r>
            <w:r>
              <w:rPr>
                <w:rFonts w:hint="eastAsia" w:ascii="宋体" w:hAnsi="宋体" w:eastAsia="宋体" w:cs="宋体"/>
                <w:szCs w:val="21"/>
                <w:lang w:val="en-US" w:eastAsia="zh-CN"/>
              </w:rPr>
              <w:t>1</w:t>
            </w:r>
            <w:r>
              <w:rPr>
                <w:rFonts w:hint="eastAsia" w:ascii="宋体" w:hAnsi="宋体" w:eastAsia="宋体" w:cs="宋体"/>
                <w:szCs w:val="21"/>
              </w:rPr>
              <w:t>分，不满足不得分；</w:t>
            </w:r>
          </w:p>
          <w:p>
            <w:pPr>
              <w:widowControl/>
              <w:adjustRightInd w:val="0"/>
              <w:snapToGrid w:val="0"/>
              <w:spacing w:line="360" w:lineRule="auto"/>
              <w:ind w:firstLine="420" w:firstLineChars="200"/>
              <w:rPr>
                <w:rFonts w:hint="eastAsia" w:ascii="宋体" w:hAnsi="宋体" w:cs="宋体"/>
                <w:szCs w:val="21"/>
              </w:rPr>
            </w:pPr>
            <w:r>
              <w:rPr>
                <w:rFonts w:hint="eastAsia" w:ascii="宋体" w:hAnsi="宋体" w:eastAsia="宋体" w:cs="宋体"/>
                <w:szCs w:val="21"/>
              </w:rPr>
              <w:t>2.具有供应链管理系统和成本核算管理系统。由拟派驻的其中一名项目经理进行设备及系统演示（需自行提供演示笔记本及HDMI转换接头），现场真实系统演示的可得分，满分2分，仅提供截图演示的得1分，未演示或演示不全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475" w:hRule="atLeast"/>
        </w:trPr>
        <w:tc>
          <w:tcPr>
            <w:tcW w:w="845" w:type="pct"/>
            <w:tcBorders>
              <w:top w:val="single" w:color="auto" w:sz="4" w:space="0"/>
              <w:bottom w:val="single" w:color="auto" w:sz="4" w:space="0"/>
              <w:right w:val="single" w:color="auto" w:sz="4" w:space="0"/>
            </w:tcBorders>
            <w:shd w:val="clear" w:color="auto" w:fill="FFFFFF"/>
            <w:noWrap/>
            <w:vAlign w:val="center"/>
          </w:tcPr>
          <w:p>
            <w:pPr>
              <w:widowControl/>
              <w:adjustRightInd w:val="0"/>
              <w:snapToGrid w:val="0"/>
              <w:spacing w:line="360" w:lineRule="auto"/>
              <w:jc w:val="center"/>
              <w:rPr>
                <w:rFonts w:hint="eastAsia" w:ascii="宋体" w:hAnsi="宋体" w:cs="宋体"/>
                <w:szCs w:val="21"/>
              </w:rPr>
            </w:pPr>
            <w:r>
              <w:rPr>
                <w:rFonts w:hint="eastAsia" w:ascii="宋体" w:hAnsi="宋体" w:eastAsia="宋体" w:cs="宋体"/>
                <w:szCs w:val="21"/>
              </w:rPr>
              <w:t>服务保障</w:t>
            </w:r>
          </w:p>
          <w:p>
            <w:pPr>
              <w:widowControl/>
              <w:adjustRightInd w:val="0"/>
              <w:snapToGrid w:val="0"/>
              <w:spacing w:line="360" w:lineRule="auto"/>
              <w:jc w:val="center"/>
              <w:rPr>
                <w:rFonts w:hint="eastAsia" w:ascii="宋体" w:hAnsi="宋体" w:cs="宋体"/>
                <w:szCs w:val="21"/>
              </w:rPr>
            </w:pPr>
            <w:r>
              <w:rPr>
                <w:rFonts w:hint="eastAsia" w:ascii="宋体" w:hAnsi="宋体" w:eastAsia="宋体" w:cs="宋体"/>
                <w:szCs w:val="21"/>
              </w:rPr>
              <w:t>及服务答辩</w:t>
            </w:r>
          </w:p>
          <w:p>
            <w:pPr>
              <w:widowControl/>
              <w:adjustRightInd w:val="0"/>
              <w:snapToGrid w:val="0"/>
              <w:spacing w:line="360" w:lineRule="auto"/>
              <w:jc w:val="center"/>
              <w:rPr>
                <w:rFonts w:hint="eastAsia" w:ascii="宋体" w:hAnsi="宋体" w:cs="宋体"/>
                <w:szCs w:val="21"/>
              </w:rPr>
            </w:pPr>
            <w:r>
              <w:rPr>
                <w:rFonts w:hint="eastAsia" w:ascii="宋体" w:hAnsi="宋体" w:eastAsia="宋体" w:cs="宋体"/>
                <w:szCs w:val="21"/>
              </w:rPr>
              <w:t>（</w:t>
            </w:r>
            <w:r>
              <w:rPr>
                <w:rFonts w:hint="eastAsia" w:ascii="宋体" w:hAnsi="宋体" w:eastAsia="宋体" w:cs="宋体"/>
                <w:szCs w:val="21"/>
                <w:lang w:val="en-US" w:eastAsia="zh-CN"/>
              </w:rPr>
              <w:t>10</w:t>
            </w:r>
            <w:r>
              <w:rPr>
                <w:rFonts w:hint="eastAsia" w:ascii="宋体" w:hAnsi="宋体" w:eastAsia="宋体" w:cs="宋体"/>
                <w:szCs w:val="21"/>
              </w:rPr>
              <w:t>分）</w:t>
            </w:r>
          </w:p>
        </w:tc>
        <w:tc>
          <w:tcPr>
            <w:tcW w:w="4154" w:type="pct"/>
            <w:tcBorders>
              <w:top w:val="single" w:color="auto" w:sz="4" w:space="0"/>
              <w:left w:val="single" w:color="auto" w:sz="4" w:space="0"/>
              <w:bottom w:val="single" w:color="auto" w:sz="4" w:space="0"/>
            </w:tcBorders>
            <w:shd w:val="clear" w:color="auto" w:fill="FFFFFF"/>
            <w:noWrap/>
            <w:vAlign w:val="center"/>
          </w:tcPr>
          <w:p>
            <w:pPr>
              <w:widowControl/>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1.投标人需承诺，合同签订后5天内与采购人所在地有厨余垃圾循环处理系统的企业签订合作协议得2分。（需提供承诺函，加盖公章）</w:t>
            </w:r>
          </w:p>
          <w:p>
            <w:pPr>
              <w:widowControl/>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2.投标人在采购人所在地应具备全程冷链物流快速响应配送设备设施等实质性保障能力，要求食品经营许可证中含有集体用餐配送内容，得4分。（提供证书复印件加盖投标人公章，原件中标后核查。）</w:t>
            </w:r>
          </w:p>
          <w:p>
            <w:pPr>
              <w:widowControl/>
              <w:adjustRightInd w:val="0"/>
              <w:snapToGrid w:val="0"/>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拟选派项目负责人的现场答辩（限时5分钟）：</w:t>
            </w:r>
          </w:p>
          <w:p>
            <w:pPr>
              <w:widowControl/>
              <w:adjustRightInd w:val="0"/>
              <w:snapToGrid w:val="0"/>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拟派项目负责人对评委提出的问题现场陈述。（包括但不限于增值服务、满意度提升措施等）</w:t>
            </w:r>
            <w:r>
              <w:rPr>
                <w:rFonts w:hint="eastAsia" w:ascii="宋体" w:hAnsi="宋体" w:eastAsia="宋体" w:cs="宋体"/>
                <w:szCs w:val="21"/>
                <w:lang w:eastAsia="zh-CN"/>
              </w:rPr>
              <w:t>现场陈述流畅、专业水平高、针对性及可行性强得</w:t>
            </w:r>
            <w:r>
              <w:rPr>
                <w:rFonts w:hint="eastAsia" w:ascii="宋体" w:hAnsi="宋体" w:eastAsia="宋体" w:cs="宋体"/>
                <w:szCs w:val="21"/>
                <w:lang w:val="en-US" w:eastAsia="zh-CN"/>
              </w:rPr>
              <w:t>4</w:t>
            </w:r>
            <w:r>
              <w:rPr>
                <w:rFonts w:hint="eastAsia" w:ascii="宋体" w:hAnsi="宋体" w:eastAsia="宋体" w:cs="宋体"/>
                <w:szCs w:val="21"/>
                <w:lang w:eastAsia="zh-CN"/>
              </w:rPr>
              <w:t>分；</w:t>
            </w:r>
          </w:p>
          <w:p>
            <w:pPr>
              <w:widowControl/>
              <w:adjustRightInd w:val="0"/>
              <w:snapToGrid w:val="0"/>
              <w:spacing w:line="360" w:lineRule="auto"/>
              <w:ind w:firstLine="420" w:firstLineChars="200"/>
              <w:rPr>
                <w:rFonts w:hint="eastAsia" w:ascii="宋体" w:hAnsi="宋体" w:cs="宋体"/>
                <w:szCs w:val="21"/>
              </w:rPr>
            </w:pPr>
            <w:r>
              <w:rPr>
                <w:rFonts w:hint="eastAsia" w:ascii="宋体" w:hAnsi="宋体" w:eastAsia="宋体" w:cs="宋体"/>
                <w:szCs w:val="21"/>
              </w:rPr>
              <w:t>现场陈述较流畅、专业水平中等、针对性及可行性不强得</w:t>
            </w:r>
            <w:r>
              <w:rPr>
                <w:rFonts w:hint="eastAsia" w:ascii="宋体" w:hAnsi="宋体" w:eastAsia="宋体" w:cs="宋体"/>
                <w:szCs w:val="21"/>
                <w:lang w:val="en-US" w:eastAsia="zh-CN"/>
              </w:rPr>
              <w:t>2</w:t>
            </w:r>
            <w:r>
              <w:rPr>
                <w:rFonts w:hint="eastAsia" w:ascii="宋体" w:hAnsi="宋体" w:eastAsia="宋体" w:cs="宋体"/>
                <w:szCs w:val="21"/>
              </w:rPr>
              <w:t>分；现场陈述不流畅、专业水平一般、针对性及可行性一般得1分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2476" w:hRule="atLeast"/>
        </w:trPr>
        <w:tc>
          <w:tcPr>
            <w:tcW w:w="845" w:type="pc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adjustRightInd w:val="0"/>
              <w:snapToGrid w:val="0"/>
              <w:spacing w:line="360" w:lineRule="auto"/>
              <w:jc w:val="center"/>
              <w:rPr>
                <w:rFonts w:hint="eastAsia" w:ascii="宋体" w:hAnsi="宋体" w:cs="宋体"/>
                <w:szCs w:val="21"/>
              </w:rPr>
            </w:pPr>
            <w:r>
              <w:rPr>
                <w:rFonts w:hint="eastAsia" w:ascii="宋体" w:hAnsi="宋体" w:eastAsia="宋体" w:cs="宋体"/>
                <w:szCs w:val="21"/>
              </w:rPr>
              <w:t>满意度</w:t>
            </w:r>
          </w:p>
          <w:p>
            <w:pPr>
              <w:widowControl/>
              <w:adjustRightInd w:val="0"/>
              <w:snapToGrid w:val="0"/>
              <w:spacing w:line="360" w:lineRule="auto"/>
              <w:jc w:val="center"/>
              <w:rPr>
                <w:rFonts w:hint="eastAsia" w:ascii="宋体" w:hAnsi="宋体" w:cs="宋体"/>
                <w:szCs w:val="21"/>
              </w:rPr>
            </w:pPr>
            <w:r>
              <w:rPr>
                <w:rFonts w:hint="eastAsia" w:ascii="宋体" w:hAnsi="宋体" w:eastAsia="宋体" w:cs="宋体"/>
                <w:szCs w:val="21"/>
              </w:rPr>
              <w:t>提升措施</w:t>
            </w:r>
          </w:p>
          <w:p>
            <w:pPr>
              <w:widowControl/>
              <w:adjustRightInd w:val="0"/>
              <w:snapToGrid w:val="0"/>
              <w:spacing w:line="360" w:lineRule="auto"/>
              <w:jc w:val="center"/>
              <w:rPr>
                <w:rFonts w:hint="eastAsia" w:ascii="宋体" w:hAnsi="宋体" w:cs="宋体"/>
                <w:szCs w:val="21"/>
              </w:rPr>
            </w:pPr>
            <w:r>
              <w:rPr>
                <w:rFonts w:hint="eastAsia" w:ascii="宋体" w:hAnsi="宋体" w:eastAsia="宋体" w:cs="宋体"/>
                <w:szCs w:val="21"/>
              </w:rPr>
              <w:t>（4分）</w:t>
            </w:r>
          </w:p>
        </w:tc>
        <w:tc>
          <w:tcPr>
            <w:tcW w:w="4154" w:type="pc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adjustRightInd w:val="0"/>
              <w:snapToGrid w:val="0"/>
              <w:spacing w:line="360" w:lineRule="auto"/>
              <w:ind w:firstLine="420" w:firstLineChars="200"/>
              <w:rPr>
                <w:rFonts w:hint="eastAsia" w:ascii="宋体" w:hAnsi="宋体" w:cs="宋体"/>
                <w:szCs w:val="21"/>
              </w:rPr>
            </w:pPr>
            <w:r>
              <w:rPr>
                <w:rFonts w:hint="eastAsia" w:ascii="宋体" w:hAnsi="宋体" w:eastAsia="宋体" w:cs="宋体"/>
                <w:szCs w:val="21"/>
              </w:rPr>
              <w:t>根据投标人提供的满意度提升措施，包括：用餐延时服务措施、遇到重大或有意义的节日（如，一年三节，护士节、医师节等）需提供增值服务、举办美食节活动措施、提供净菜半成品售卖服务措施等。上述各方面内容全面、科学合理、操作性强，全部满足要求得4分，有1项缺失或不满足要求扣1分，扣完为止。（提供承诺函加盖投标人公章）。</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ont-weight : 400">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39"/>
      <w:rPr>
        <w:rFonts w:ascii="Calibri" w:hAnsi="Calibri" w:eastAsia="Calibri" w:cs="Calibri"/>
        <w:sz w:val="18"/>
        <w:szCs w:val="18"/>
      </w:rPr>
    </w:pPr>
    <w:r>
      <w:rPr>
        <w:rFonts w:ascii="Calibri" w:hAnsi="Calibri" w:eastAsia="Calibri" w:cs="Calibri"/>
        <w:spacing w:val="-3"/>
        <w:sz w:val="18"/>
        <w:szCs w:val="18"/>
      </w:rPr>
      <w:t>36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sz w:val="2"/>
      </w:rPr>
    </w:pPr>
    <w:r>
      <w:rPr>
        <w:snapToGrid w:val="0"/>
      </w:rPr>
      <mc:AlternateContent>
        <mc:Choice Requires="wps">
          <w:drawing>
            <wp:anchor distT="0" distB="0" distL="114300" distR="114300" simplePos="0" relativeHeight="251659264" behindDoc="0" locked="0" layoutInCell="0" allowOverlap="1">
              <wp:simplePos x="0" y="0"/>
              <wp:positionH relativeFrom="page">
                <wp:posOffset>792480</wp:posOffset>
              </wp:positionH>
              <wp:positionV relativeFrom="page">
                <wp:posOffset>693420</wp:posOffset>
              </wp:positionV>
              <wp:extent cx="5645150" cy="9525"/>
              <wp:effectExtent l="0" t="0" r="0" b="0"/>
              <wp:wrapNone/>
              <wp:docPr id="1" name="Rectangle 2"/>
              <wp:cNvGraphicFramePr/>
              <a:graphic xmlns:a="http://schemas.openxmlformats.org/drawingml/2006/main">
                <a:graphicData uri="http://schemas.microsoft.com/office/word/2010/wordprocessingShape">
                  <wps:wsp>
                    <wps:cNvSpPr>
                      <a:spLocks noChangeArrowheads="1"/>
                    </wps:cNvSpPr>
                    <wps:spPr bwMode="auto">
                      <a:xfrm>
                        <a:off x="0" y="0"/>
                        <a:ext cx="5645150" cy="9525"/>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62.4pt;margin-top:54.6pt;height:0.75pt;width:444.5pt;mso-position-horizontal-relative:page;mso-position-vertical-relative:page;z-index:251659264;mso-width-relative:page;mso-height-relative:page;" fillcolor="#000000" filled="t" stroked="f" coordsize="21600,21600" o:allowincell="f" o:gfxdata="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bXnvM2QAAAAwBAAAPAAAAAAAA&#10;AAEAIAAAACIAAABkcnMvZG93bnJldi54bWxQSwECFAAUAAAACACHTuJA4Ygq1BECAAA1BAAADgAA&#10;AAAAAAABACAAAAAoAQAAZHJzL2Uyb0RvYy54bWxQSwUGAAAAAAYABgBZAQAAqwU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70"/>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1">
    <w:nsid w:val="57A9F3BE"/>
    <w:multiLevelType w:val="singleLevel"/>
    <w:tmpl w:val="57A9F3BE"/>
    <w:lvl w:ilvl="0" w:tentative="0">
      <w:start w:val="1"/>
      <w:numFmt w:val="bullet"/>
      <w:pStyle w:val="15"/>
      <w:lvlText w:val=""/>
      <w:lvlJc w:val="left"/>
      <w:pPr>
        <w:tabs>
          <w:tab w:val="left" w:pos="780"/>
        </w:tabs>
        <w:ind w:left="780" w:hanging="360"/>
      </w:pPr>
      <w:rPr>
        <w:rFonts w:hint="default" w:ascii="Wingdings" w:hAnsi="Wingdings"/>
      </w:rPr>
    </w:lvl>
  </w:abstractNum>
  <w:abstractNum w:abstractNumId="2">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vanish w:val="0"/>
        <w:spacing w:val="0"/>
        <w:kern w:val="0"/>
        <w:position w:val="0"/>
        <w:sz w:val="21"/>
        <w:szCs w:val="32"/>
        <w:u w:val="none"/>
        <w:vertAlign w:val="baseline"/>
      </w:rPr>
    </w:lvl>
    <w:lvl w:ilvl="1" w:tentative="0">
      <w:start w:val="1"/>
      <w:numFmt w:val="decimal"/>
      <w:pStyle w:val="3"/>
      <w:suff w:val="space"/>
      <w:lvlText w:val="%1.%2"/>
      <w:lvlJc w:val="left"/>
      <w:pPr>
        <w:ind w:left="851" w:hanging="567"/>
      </w:pPr>
      <w:rPr>
        <w:rFonts w:hint="default" w:ascii="Arial" w:hAnsi="Arial" w:eastAsia="黑体"/>
        <w:b/>
        <w:i w:val="0"/>
        <w:sz w:val="28"/>
        <w:szCs w:val="28"/>
      </w:rPr>
    </w:lvl>
    <w:lvl w:ilvl="2" w:tentative="0">
      <w:start w:val="1"/>
      <w:numFmt w:val="decimal"/>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8B2533"/>
    <w:rsid w:val="00015456"/>
    <w:rsid w:val="00064EEA"/>
    <w:rsid w:val="00082015"/>
    <w:rsid w:val="000C367E"/>
    <w:rsid w:val="00110708"/>
    <w:rsid w:val="00165091"/>
    <w:rsid w:val="001774EB"/>
    <w:rsid w:val="001F4751"/>
    <w:rsid w:val="002133CD"/>
    <w:rsid w:val="00214746"/>
    <w:rsid w:val="00265BC3"/>
    <w:rsid w:val="00271580"/>
    <w:rsid w:val="00276F02"/>
    <w:rsid w:val="00284871"/>
    <w:rsid w:val="002F068C"/>
    <w:rsid w:val="00321299"/>
    <w:rsid w:val="0039193E"/>
    <w:rsid w:val="00397EE1"/>
    <w:rsid w:val="003C6CE5"/>
    <w:rsid w:val="00413FF9"/>
    <w:rsid w:val="004E1B40"/>
    <w:rsid w:val="0052756C"/>
    <w:rsid w:val="00562395"/>
    <w:rsid w:val="005B27DA"/>
    <w:rsid w:val="005C6D76"/>
    <w:rsid w:val="005F00C8"/>
    <w:rsid w:val="00624723"/>
    <w:rsid w:val="00653757"/>
    <w:rsid w:val="00692D9C"/>
    <w:rsid w:val="00695D14"/>
    <w:rsid w:val="006E6911"/>
    <w:rsid w:val="0077450A"/>
    <w:rsid w:val="007F7374"/>
    <w:rsid w:val="00846CAD"/>
    <w:rsid w:val="00862198"/>
    <w:rsid w:val="008B2533"/>
    <w:rsid w:val="008F0001"/>
    <w:rsid w:val="00930E87"/>
    <w:rsid w:val="009350BC"/>
    <w:rsid w:val="00935957"/>
    <w:rsid w:val="0097764D"/>
    <w:rsid w:val="009A17DF"/>
    <w:rsid w:val="00B22B01"/>
    <w:rsid w:val="00B27207"/>
    <w:rsid w:val="00B8314A"/>
    <w:rsid w:val="00BB665C"/>
    <w:rsid w:val="00BF4583"/>
    <w:rsid w:val="00C503CF"/>
    <w:rsid w:val="00C541A3"/>
    <w:rsid w:val="00C57081"/>
    <w:rsid w:val="00C87894"/>
    <w:rsid w:val="00CA60E3"/>
    <w:rsid w:val="00D26102"/>
    <w:rsid w:val="00D70FD4"/>
    <w:rsid w:val="00D82260"/>
    <w:rsid w:val="00DA4B9C"/>
    <w:rsid w:val="00DD00B3"/>
    <w:rsid w:val="00E06E5E"/>
    <w:rsid w:val="00E84BB2"/>
    <w:rsid w:val="00EA3A6A"/>
    <w:rsid w:val="00F40A1E"/>
    <w:rsid w:val="00F472F5"/>
    <w:rsid w:val="00F540B0"/>
    <w:rsid w:val="00F645DB"/>
    <w:rsid w:val="00F758BF"/>
    <w:rsid w:val="00FB3C0C"/>
    <w:rsid w:val="00FC7324"/>
    <w:rsid w:val="3C797D6D"/>
    <w:rsid w:val="41327EE0"/>
    <w:rsid w:val="4D8F1E36"/>
    <w:rsid w:val="63B72DDF"/>
    <w:rsid w:val="746837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semiHidden="0" w:name="heading 3"/>
    <w:lsdException w:qFormat="1" w:unhideWhenUsed="0" w:uiPriority="9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autoRedefine/>
    <w:qFormat/>
    <w:uiPriority w:val="9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6"/>
    <w:autoRedefine/>
    <w:qFormat/>
    <w:uiPriority w:val="0"/>
    <w:pPr>
      <w:keepNext/>
      <w:keepLines/>
      <w:numPr>
        <w:ilvl w:val="1"/>
        <w:numId w:val="1"/>
      </w:numPr>
      <w:spacing w:beforeLines="100" w:afterLines="100"/>
      <w:jc w:val="left"/>
      <w:outlineLvl w:val="1"/>
    </w:pPr>
    <w:rPr>
      <w:rFonts w:ascii="Arial" w:hAnsi="Arial" w:eastAsia="宋体" w:cs="Times New Roman"/>
      <w:b/>
      <w:bCs/>
      <w:kern w:val="0"/>
      <w:sz w:val="28"/>
      <w:szCs w:val="36"/>
    </w:rPr>
  </w:style>
  <w:style w:type="paragraph" w:styleId="4">
    <w:name w:val="heading 3"/>
    <w:basedOn w:val="1"/>
    <w:next w:val="1"/>
    <w:link w:val="37"/>
    <w:autoRedefine/>
    <w:unhideWhenUsed/>
    <w:qFormat/>
    <w:uiPriority w:val="9"/>
    <w:pPr>
      <w:keepNext/>
      <w:keepLines/>
      <w:spacing w:line="413" w:lineRule="auto"/>
      <w:outlineLvl w:val="2"/>
    </w:pPr>
    <w:rPr>
      <w:rFonts w:ascii="Times New Roman" w:hAnsi="Times New Roman" w:eastAsia="宋体" w:cs="Times New Roman"/>
      <w:b/>
      <w:sz w:val="32"/>
    </w:rPr>
  </w:style>
  <w:style w:type="paragraph" w:styleId="5">
    <w:name w:val="heading 4"/>
    <w:basedOn w:val="1"/>
    <w:next w:val="6"/>
    <w:link w:val="39"/>
    <w:autoRedefine/>
    <w:qFormat/>
    <w:uiPriority w:val="99"/>
    <w:pPr>
      <w:spacing w:before="280" w:after="290" w:line="377" w:lineRule="auto"/>
      <w:outlineLvl w:val="3"/>
    </w:pPr>
    <w:rPr>
      <w:rFonts w:ascii="Arial" w:hAnsi="Arial" w:eastAsia="黑体" w:cs="Times New Roman"/>
      <w:b/>
      <w:bCs/>
      <w:kern w:val="0"/>
      <w:sz w:val="28"/>
      <w:szCs w:val="28"/>
    </w:rPr>
  </w:style>
  <w:style w:type="paragraph" w:styleId="7">
    <w:name w:val="heading 5"/>
    <w:basedOn w:val="1"/>
    <w:next w:val="1"/>
    <w:link w:val="40"/>
    <w:qFormat/>
    <w:uiPriority w:val="9"/>
    <w:pPr>
      <w:keepNext/>
      <w:keepLines/>
      <w:outlineLvl w:val="4"/>
    </w:pPr>
    <w:rPr>
      <w:rFonts w:ascii="Times New Roman" w:hAnsi="Times New Roman" w:eastAsia="宋体" w:cs="Times New Roman"/>
      <w:b/>
      <w:bCs/>
      <w:color w:val="000000"/>
      <w:sz w:val="24"/>
      <w:szCs w:val="28"/>
    </w:rPr>
  </w:style>
  <w:style w:type="character" w:default="1" w:styleId="31">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link w:val="38"/>
    <w:autoRedefine/>
    <w:qFormat/>
    <w:uiPriority w:val="0"/>
    <w:pPr>
      <w:ind w:firstLine="420" w:firstLineChars="200"/>
    </w:pPr>
    <w:rPr>
      <w:rFonts w:ascii="Times New Roman" w:hAnsi="Times New Roman" w:eastAsia="宋体" w:cs="Times New Roman"/>
    </w:rPr>
  </w:style>
  <w:style w:type="paragraph" w:styleId="8">
    <w:name w:val="caption"/>
    <w:basedOn w:val="1"/>
    <w:next w:val="1"/>
    <w:autoRedefine/>
    <w:qFormat/>
    <w:uiPriority w:val="0"/>
    <w:pPr>
      <w:spacing w:before="152" w:after="160"/>
    </w:pPr>
    <w:rPr>
      <w:rFonts w:ascii="Arial" w:hAnsi="Arial" w:eastAsia="黑体" w:cs="Times New Roman"/>
      <w:kern w:val="0"/>
      <w:sz w:val="20"/>
      <w:szCs w:val="20"/>
    </w:rPr>
  </w:style>
  <w:style w:type="paragraph" w:styleId="9">
    <w:name w:val="annotation text"/>
    <w:basedOn w:val="1"/>
    <w:link w:val="43"/>
    <w:autoRedefine/>
    <w:semiHidden/>
    <w:qFormat/>
    <w:uiPriority w:val="99"/>
    <w:pPr>
      <w:jc w:val="left"/>
    </w:pPr>
    <w:rPr>
      <w:rFonts w:ascii="Times New Roman" w:hAnsi="Times New Roman" w:eastAsia="宋体" w:cs="Times New Roman"/>
    </w:rPr>
  </w:style>
  <w:style w:type="paragraph" w:styleId="10">
    <w:name w:val="Body Text 3"/>
    <w:basedOn w:val="1"/>
    <w:next w:val="1"/>
    <w:link w:val="44"/>
    <w:qFormat/>
    <w:uiPriority w:val="0"/>
    <w:rPr>
      <w:rFonts w:ascii="Times New Roman" w:hAnsi="Times New Roman" w:eastAsia="宋体" w:cs="Times New Roman"/>
      <w:sz w:val="16"/>
      <w:szCs w:val="16"/>
    </w:rPr>
  </w:style>
  <w:style w:type="paragraph" w:styleId="11">
    <w:name w:val="Body Text"/>
    <w:basedOn w:val="1"/>
    <w:next w:val="12"/>
    <w:link w:val="46"/>
    <w:autoRedefine/>
    <w:qFormat/>
    <w:uiPriority w:val="99"/>
    <w:rPr>
      <w:rFonts w:ascii="楷体_GB2312" w:hAnsi="Arial" w:eastAsia="楷体_GB2312" w:cs="Times New Roman"/>
      <w:kern w:val="0"/>
      <w:sz w:val="28"/>
      <w:szCs w:val="28"/>
    </w:rPr>
  </w:style>
  <w:style w:type="paragraph" w:styleId="12">
    <w:name w:val="Body Text 2"/>
    <w:basedOn w:val="1"/>
    <w:link w:val="45"/>
    <w:qFormat/>
    <w:uiPriority w:val="0"/>
    <w:pPr>
      <w:spacing w:after="120" w:line="480" w:lineRule="auto"/>
    </w:pPr>
    <w:rPr>
      <w:rFonts w:ascii="Times New Roman" w:hAnsi="Times New Roman" w:eastAsia="宋体" w:cs="Times New Roman"/>
    </w:rPr>
  </w:style>
  <w:style w:type="paragraph" w:styleId="13">
    <w:name w:val="Body Text Indent"/>
    <w:basedOn w:val="1"/>
    <w:next w:val="14"/>
    <w:link w:val="47"/>
    <w:autoRedefine/>
    <w:qFormat/>
    <w:uiPriority w:val="99"/>
    <w:pPr>
      <w:spacing w:line="720" w:lineRule="exact"/>
      <w:ind w:firstLine="734" w:firstLineChars="262"/>
    </w:pPr>
    <w:rPr>
      <w:rFonts w:ascii="Times New Roman" w:hAnsi="Times New Roman" w:eastAsia="宋体" w:cs="Times New Roman"/>
      <w:sz w:val="28"/>
    </w:rPr>
  </w:style>
  <w:style w:type="paragraph" w:styleId="14">
    <w:name w:val="envelope return"/>
    <w:basedOn w:val="1"/>
    <w:autoRedefine/>
    <w:unhideWhenUsed/>
    <w:qFormat/>
    <w:uiPriority w:val="99"/>
    <w:pPr>
      <w:snapToGrid w:val="0"/>
    </w:pPr>
    <w:rPr>
      <w:rFonts w:ascii="Cambria" w:hAnsi="Cambria" w:eastAsia="宋体" w:cs="Times New Roman"/>
    </w:rPr>
  </w:style>
  <w:style w:type="paragraph" w:styleId="15">
    <w:name w:val="List Bullet 2"/>
    <w:basedOn w:val="1"/>
    <w:semiHidden/>
    <w:unhideWhenUsed/>
    <w:qFormat/>
    <w:uiPriority w:val="99"/>
    <w:pPr>
      <w:numPr>
        <w:ilvl w:val="0"/>
        <w:numId w:val="2"/>
      </w:numPr>
    </w:pPr>
    <w:rPr>
      <w:rFonts w:ascii="Times New Roman" w:hAnsi="Times New Roman" w:eastAsia="宋体" w:cs="Times New Roman"/>
    </w:rPr>
  </w:style>
  <w:style w:type="paragraph" w:styleId="16">
    <w:name w:val="index 4"/>
    <w:basedOn w:val="1"/>
    <w:next w:val="1"/>
    <w:autoRedefine/>
    <w:unhideWhenUsed/>
    <w:qFormat/>
    <w:uiPriority w:val="99"/>
    <w:pPr>
      <w:ind w:left="600" w:leftChars="600"/>
    </w:pPr>
    <w:rPr>
      <w:rFonts w:ascii="等线" w:hAnsi="等线" w:eastAsia="等线" w:cs="宋体"/>
      <w:szCs w:val="24"/>
    </w:rPr>
  </w:style>
  <w:style w:type="paragraph" w:styleId="17">
    <w:name w:val="Plain Text"/>
    <w:basedOn w:val="1"/>
    <w:link w:val="48"/>
    <w:qFormat/>
    <w:uiPriority w:val="0"/>
    <w:rPr>
      <w:rFonts w:ascii="宋体" w:hAnsi="Courier New" w:eastAsia="宋体" w:cs="Times New Roman"/>
      <w:kern w:val="0"/>
      <w:sz w:val="20"/>
      <w:szCs w:val="21"/>
    </w:rPr>
  </w:style>
  <w:style w:type="paragraph" w:styleId="18">
    <w:name w:val="Date"/>
    <w:basedOn w:val="1"/>
    <w:next w:val="1"/>
    <w:link w:val="49"/>
    <w:autoRedefine/>
    <w:semiHidden/>
    <w:unhideWhenUsed/>
    <w:qFormat/>
    <w:uiPriority w:val="99"/>
    <w:pPr>
      <w:ind w:left="100" w:leftChars="2500"/>
    </w:pPr>
    <w:rPr>
      <w:rFonts w:ascii="Times New Roman" w:hAnsi="Times New Roman" w:eastAsia="宋体" w:cs="Times New Roman"/>
    </w:rPr>
  </w:style>
  <w:style w:type="paragraph" w:styleId="19">
    <w:name w:val="Body Text Indent 2"/>
    <w:basedOn w:val="1"/>
    <w:link w:val="50"/>
    <w:autoRedefine/>
    <w:qFormat/>
    <w:uiPriority w:val="99"/>
    <w:pPr>
      <w:spacing w:after="120" w:line="480" w:lineRule="auto"/>
      <w:ind w:left="420" w:leftChars="200"/>
    </w:pPr>
    <w:rPr>
      <w:rFonts w:ascii="Times New Roman" w:hAnsi="Times New Roman" w:eastAsia="宋体" w:cs="Times New Roman"/>
    </w:rPr>
  </w:style>
  <w:style w:type="paragraph" w:styleId="20">
    <w:name w:val="Balloon Text"/>
    <w:basedOn w:val="1"/>
    <w:link w:val="51"/>
    <w:autoRedefine/>
    <w:semiHidden/>
    <w:qFormat/>
    <w:uiPriority w:val="99"/>
    <w:rPr>
      <w:rFonts w:ascii="Times New Roman" w:hAnsi="Times New Roman" w:eastAsia="宋体" w:cs="Times New Roman"/>
      <w:sz w:val="18"/>
      <w:szCs w:val="18"/>
    </w:rPr>
  </w:style>
  <w:style w:type="paragraph" w:styleId="21">
    <w:name w:val="footer"/>
    <w:basedOn w:val="1"/>
    <w:link w:val="42"/>
    <w:autoRedefine/>
    <w:unhideWhenUsed/>
    <w:qFormat/>
    <w:uiPriority w:val="99"/>
    <w:pPr>
      <w:tabs>
        <w:tab w:val="center" w:pos="4153"/>
        <w:tab w:val="right" w:pos="8306"/>
      </w:tabs>
      <w:snapToGrid w:val="0"/>
      <w:jc w:val="left"/>
    </w:pPr>
    <w:rPr>
      <w:sz w:val="18"/>
      <w:szCs w:val="18"/>
    </w:rPr>
  </w:style>
  <w:style w:type="paragraph" w:styleId="22">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rPr>
      <w:rFonts w:ascii="Times New Roman" w:hAnsi="Times New Roman" w:eastAsia="宋体" w:cs="Times New Roman"/>
    </w:rPr>
  </w:style>
  <w:style w:type="paragraph" w:styleId="24">
    <w:name w:val="List"/>
    <w:basedOn w:val="1"/>
    <w:autoRedefine/>
    <w:qFormat/>
    <w:uiPriority w:val="0"/>
    <w:pPr>
      <w:ind w:left="200" w:hanging="200" w:hangingChars="200"/>
    </w:pPr>
    <w:rPr>
      <w:rFonts w:ascii="Times New Roman" w:hAnsi="Times New Roman" w:eastAsia="宋体" w:cs="Times New Roman"/>
    </w:rPr>
  </w:style>
  <w:style w:type="paragraph" w:styleId="25">
    <w:name w:val="Normal (Web)"/>
    <w:basedOn w:val="1"/>
    <w:qFormat/>
    <w:uiPriority w:val="0"/>
    <w:pPr>
      <w:ind w:firstLine="420"/>
      <w:jc w:val="left"/>
    </w:pPr>
    <w:rPr>
      <w:rFonts w:ascii="Times New Roman" w:hAnsi="Times New Roman" w:eastAsia="宋体" w:cs="Times New Roman"/>
      <w:kern w:val="0"/>
      <w:sz w:val="24"/>
    </w:rPr>
  </w:style>
  <w:style w:type="paragraph" w:styleId="26">
    <w:name w:val="Title"/>
    <w:basedOn w:val="1"/>
    <w:link w:val="52"/>
    <w:autoRedefine/>
    <w:qFormat/>
    <w:uiPriority w:val="0"/>
    <w:pPr>
      <w:spacing w:before="240" w:after="60"/>
      <w:jc w:val="center"/>
      <w:outlineLvl w:val="0"/>
    </w:pPr>
    <w:rPr>
      <w:rFonts w:ascii="Arial" w:hAnsi="Arial" w:eastAsia="宋体" w:cs="Arial"/>
      <w:b/>
      <w:bCs/>
      <w:sz w:val="32"/>
      <w:szCs w:val="32"/>
    </w:rPr>
  </w:style>
  <w:style w:type="paragraph" w:styleId="27">
    <w:name w:val="annotation subject"/>
    <w:basedOn w:val="9"/>
    <w:next w:val="9"/>
    <w:link w:val="53"/>
    <w:semiHidden/>
    <w:qFormat/>
    <w:uiPriority w:val="99"/>
    <w:rPr>
      <w:b/>
      <w:bCs/>
    </w:rPr>
  </w:style>
  <w:style w:type="paragraph" w:styleId="28">
    <w:name w:val="Body Text First Indent"/>
    <w:basedOn w:val="1"/>
    <w:link w:val="54"/>
    <w:qFormat/>
    <w:uiPriority w:val="0"/>
    <w:pPr>
      <w:spacing w:before="100" w:after="100" w:line="360" w:lineRule="atLeast"/>
      <w:ind w:firstLine="425"/>
      <w:textAlignment w:val="baseline"/>
    </w:pPr>
    <w:rPr>
      <w:rFonts w:ascii="Times New Roman" w:hAnsi="Times New Roman" w:eastAsia="宋体" w:cs="Times New Roman"/>
    </w:rPr>
  </w:style>
  <w:style w:type="paragraph" w:styleId="29">
    <w:name w:val="Body Text First Indent 2"/>
    <w:basedOn w:val="13"/>
    <w:link w:val="55"/>
    <w:autoRedefine/>
    <w:qFormat/>
    <w:uiPriority w:val="0"/>
    <w:pPr>
      <w:spacing w:line="360" w:lineRule="auto"/>
      <w:ind w:firstLine="200" w:firstLineChars="200"/>
    </w:pPr>
    <w:rPr>
      <w:rFonts w:ascii="宋体"/>
      <w:szCs w:val="20"/>
    </w:rPr>
  </w:style>
  <w:style w:type="character" w:styleId="32">
    <w:name w:val="Strong"/>
    <w:basedOn w:val="31"/>
    <w:autoRedefine/>
    <w:qFormat/>
    <w:uiPriority w:val="22"/>
    <w:rPr>
      <w:b/>
      <w:bCs/>
    </w:rPr>
  </w:style>
  <w:style w:type="character" w:styleId="33">
    <w:name w:val="page number"/>
    <w:basedOn w:val="31"/>
    <w:autoRedefine/>
    <w:qFormat/>
    <w:uiPriority w:val="99"/>
  </w:style>
  <w:style w:type="character" w:styleId="34">
    <w:name w:val="Hyperlink"/>
    <w:basedOn w:val="31"/>
    <w:unhideWhenUsed/>
    <w:qFormat/>
    <w:uiPriority w:val="99"/>
    <w:rPr>
      <w:color w:val="0000FF" w:themeColor="hyperlink"/>
      <w:u w:val="single"/>
      <w14:textFill>
        <w14:solidFill>
          <w14:schemeClr w14:val="hlink"/>
        </w14:solidFill>
      </w14:textFill>
    </w:rPr>
  </w:style>
  <w:style w:type="character" w:customStyle="1" w:styleId="35">
    <w:name w:val="标题 1 字符"/>
    <w:basedOn w:val="31"/>
    <w:link w:val="2"/>
    <w:qFormat/>
    <w:uiPriority w:val="99"/>
    <w:rPr>
      <w:rFonts w:ascii="Times New Roman" w:hAnsi="Times New Roman" w:eastAsia="宋体" w:cs="Times New Roman"/>
      <w:b/>
      <w:bCs/>
      <w:kern w:val="44"/>
      <w:sz w:val="44"/>
      <w:szCs w:val="44"/>
    </w:rPr>
  </w:style>
  <w:style w:type="character" w:customStyle="1" w:styleId="36">
    <w:name w:val="标题 2 字符"/>
    <w:basedOn w:val="31"/>
    <w:link w:val="3"/>
    <w:qFormat/>
    <w:uiPriority w:val="0"/>
    <w:rPr>
      <w:rFonts w:ascii="Arial" w:hAnsi="Arial" w:eastAsia="宋体" w:cs="Times New Roman"/>
      <w:b/>
      <w:bCs/>
      <w:kern w:val="0"/>
      <w:sz w:val="28"/>
      <w:szCs w:val="36"/>
    </w:rPr>
  </w:style>
  <w:style w:type="character" w:customStyle="1" w:styleId="37">
    <w:name w:val="标题 3 字符"/>
    <w:basedOn w:val="31"/>
    <w:link w:val="4"/>
    <w:autoRedefine/>
    <w:qFormat/>
    <w:uiPriority w:val="9"/>
    <w:rPr>
      <w:rFonts w:ascii="Times New Roman" w:hAnsi="Times New Roman" w:eastAsia="宋体" w:cs="Times New Roman"/>
      <w:b/>
      <w:sz w:val="32"/>
    </w:rPr>
  </w:style>
  <w:style w:type="character" w:customStyle="1" w:styleId="38">
    <w:name w:val="正文缩进 字符"/>
    <w:link w:val="6"/>
    <w:autoRedefine/>
    <w:qFormat/>
    <w:uiPriority w:val="0"/>
    <w:rPr>
      <w:rFonts w:ascii="Times New Roman" w:hAnsi="Times New Roman" w:eastAsia="宋体" w:cs="Times New Roman"/>
    </w:rPr>
  </w:style>
  <w:style w:type="character" w:customStyle="1" w:styleId="39">
    <w:name w:val="标题 4 字符"/>
    <w:basedOn w:val="31"/>
    <w:link w:val="5"/>
    <w:qFormat/>
    <w:uiPriority w:val="99"/>
    <w:rPr>
      <w:rFonts w:ascii="Arial" w:hAnsi="Arial" w:eastAsia="黑体" w:cs="Times New Roman"/>
      <w:b/>
      <w:bCs/>
      <w:kern w:val="0"/>
      <w:sz w:val="28"/>
      <w:szCs w:val="28"/>
    </w:rPr>
  </w:style>
  <w:style w:type="character" w:customStyle="1" w:styleId="40">
    <w:name w:val="标题 5 字符"/>
    <w:basedOn w:val="31"/>
    <w:link w:val="7"/>
    <w:autoRedefine/>
    <w:qFormat/>
    <w:uiPriority w:val="9"/>
    <w:rPr>
      <w:rFonts w:ascii="Times New Roman" w:hAnsi="Times New Roman" w:eastAsia="宋体" w:cs="Times New Roman"/>
      <w:b/>
      <w:bCs/>
      <w:color w:val="000000"/>
      <w:sz w:val="24"/>
      <w:szCs w:val="28"/>
    </w:rPr>
  </w:style>
  <w:style w:type="character" w:customStyle="1" w:styleId="41">
    <w:name w:val="页眉 字符"/>
    <w:basedOn w:val="31"/>
    <w:link w:val="22"/>
    <w:autoRedefine/>
    <w:semiHidden/>
    <w:qFormat/>
    <w:uiPriority w:val="99"/>
    <w:rPr>
      <w:sz w:val="18"/>
      <w:szCs w:val="18"/>
    </w:rPr>
  </w:style>
  <w:style w:type="character" w:customStyle="1" w:styleId="42">
    <w:name w:val="页脚 字符"/>
    <w:basedOn w:val="31"/>
    <w:link w:val="21"/>
    <w:autoRedefine/>
    <w:semiHidden/>
    <w:qFormat/>
    <w:uiPriority w:val="99"/>
    <w:rPr>
      <w:sz w:val="18"/>
      <w:szCs w:val="18"/>
    </w:rPr>
  </w:style>
  <w:style w:type="character" w:customStyle="1" w:styleId="43">
    <w:name w:val="批注文字 字符"/>
    <w:basedOn w:val="31"/>
    <w:link w:val="9"/>
    <w:autoRedefine/>
    <w:semiHidden/>
    <w:qFormat/>
    <w:uiPriority w:val="99"/>
    <w:rPr>
      <w:rFonts w:ascii="Times New Roman" w:hAnsi="Times New Roman" w:eastAsia="宋体" w:cs="Times New Roman"/>
    </w:rPr>
  </w:style>
  <w:style w:type="character" w:customStyle="1" w:styleId="44">
    <w:name w:val="正文文本 3 字符"/>
    <w:basedOn w:val="31"/>
    <w:link w:val="10"/>
    <w:qFormat/>
    <w:uiPriority w:val="0"/>
    <w:rPr>
      <w:rFonts w:ascii="Times New Roman" w:hAnsi="Times New Roman" w:eastAsia="宋体" w:cs="Times New Roman"/>
      <w:sz w:val="16"/>
      <w:szCs w:val="16"/>
    </w:rPr>
  </w:style>
  <w:style w:type="character" w:customStyle="1" w:styleId="45">
    <w:name w:val="正文文本 2 字符"/>
    <w:basedOn w:val="31"/>
    <w:link w:val="12"/>
    <w:qFormat/>
    <w:uiPriority w:val="0"/>
    <w:rPr>
      <w:rFonts w:ascii="Times New Roman" w:hAnsi="Times New Roman" w:eastAsia="宋体" w:cs="Times New Roman"/>
    </w:rPr>
  </w:style>
  <w:style w:type="character" w:customStyle="1" w:styleId="46">
    <w:name w:val="正文文本 字符"/>
    <w:basedOn w:val="31"/>
    <w:link w:val="11"/>
    <w:qFormat/>
    <w:uiPriority w:val="99"/>
    <w:rPr>
      <w:rFonts w:ascii="楷体_GB2312" w:hAnsi="Arial" w:eastAsia="楷体_GB2312" w:cs="Times New Roman"/>
      <w:kern w:val="0"/>
      <w:sz w:val="28"/>
      <w:szCs w:val="28"/>
    </w:rPr>
  </w:style>
  <w:style w:type="character" w:customStyle="1" w:styleId="47">
    <w:name w:val="正文文本缩进 字符"/>
    <w:basedOn w:val="31"/>
    <w:link w:val="13"/>
    <w:autoRedefine/>
    <w:qFormat/>
    <w:uiPriority w:val="99"/>
    <w:rPr>
      <w:rFonts w:ascii="Times New Roman" w:hAnsi="Times New Roman" w:eastAsia="宋体" w:cs="Times New Roman"/>
      <w:sz w:val="28"/>
    </w:rPr>
  </w:style>
  <w:style w:type="character" w:customStyle="1" w:styleId="48">
    <w:name w:val="纯文本 字符"/>
    <w:basedOn w:val="31"/>
    <w:link w:val="17"/>
    <w:qFormat/>
    <w:uiPriority w:val="0"/>
    <w:rPr>
      <w:rFonts w:ascii="宋体" w:hAnsi="Courier New" w:eastAsia="宋体" w:cs="Times New Roman"/>
      <w:kern w:val="0"/>
      <w:sz w:val="20"/>
      <w:szCs w:val="21"/>
    </w:rPr>
  </w:style>
  <w:style w:type="character" w:customStyle="1" w:styleId="49">
    <w:name w:val="日期 字符"/>
    <w:basedOn w:val="31"/>
    <w:link w:val="18"/>
    <w:semiHidden/>
    <w:qFormat/>
    <w:uiPriority w:val="99"/>
    <w:rPr>
      <w:rFonts w:ascii="Times New Roman" w:hAnsi="Times New Roman" w:eastAsia="宋体" w:cs="Times New Roman"/>
    </w:rPr>
  </w:style>
  <w:style w:type="character" w:customStyle="1" w:styleId="50">
    <w:name w:val="正文文本缩进 2 字符"/>
    <w:basedOn w:val="31"/>
    <w:link w:val="19"/>
    <w:autoRedefine/>
    <w:qFormat/>
    <w:uiPriority w:val="99"/>
    <w:rPr>
      <w:rFonts w:ascii="Times New Roman" w:hAnsi="Times New Roman" w:eastAsia="宋体" w:cs="Times New Roman"/>
    </w:rPr>
  </w:style>
  <w:style w:type="character" w:customStyle="1" w:styleId="51">
    <w:name w:val="批注框文本 字符"/>
    <w:basedOn w:val="31"/>
    <w:link w:val="20"/>
    <w:semiHidden/>
    <w:qFormat/>
    <w:uiPriority w:val="99"/>
    <w:rPr>
      <w:rFonts w:ascii="Times New Roman" w:hAnsi="Times New Roman" w:eastAsia="宋体" w:cs="Times New Roman"/>
      <w:sz w:val="18"/>
      <w:szCs w:val="18"/>
    </w:rPr>
  </w:style>
  <w:style w:type="character" w:customStyle="1" w:styleId="52">
    <w:name w:val="标题 字符"/>
    <w:basedOn w:val="31"/>
    <w:link w:val="26"/>
    <w:qFormat/>
    <w:uiPriority w:val="0"/>
    <w:rPr>
      <w:rFonts w:ascii="Arial" w:hAnsi="Arial" w:eastAsia="宋体" w:cs="Arial"/>
      <w:b/>
      <w:bCs/>
      <w:sz w:val="32"/>
      <w:szCs w:val="32"/>
    </w:rPr>
  </w:style>
  <w:style w:type="character" w:customStyle="1" w:styleId="53">
    <w:name w:val="批注主题 字符"/>
    <w:basedOn w:val="43"/>
    <w:link w:val="27"/>
    <w:semiHidden/>
    <w:qFormat/>
    <w:uiPriority w:val="99"/>
    <w:rPr>
      <w:rFonts w:ascii="Times New Roman" w:hAnsi="Times New Roman" w:eastAsia="宋体" w:cs="Times New Roman"/>
      <w:b/>
      <w:bCs/>
    </w:rPr>
  </w:style>
  <w:style w:type="character" w:customStyle="1" w:styleId="54">
    <w:name w:val="正文文本首行缩进 字符"/>
    <w:basedOn w:val="46"/>
    <w:link w:val="28"/>
    <w:qFormat/>
    <w:uiPriority w:val="0"/>
    <w:rPr>
      <w:rFonts w:ascii="Times New Roman" w:hAnsi="Times New Roman" w:eastAsia="宋体" w:cs="Times New Roman"/>
      <w:kern w:val="0"/>
      <w:sz w:val="28"/>
      <w:szCs w:val="28"/>
    </w:rPr>
  </w:style>
  <w:style w:type="character" w:customStyle="1" w:styleId="55">
    <w:name w:val="正文文本首行缩进 2 字符"/>
    <w:basedOn w:val="47"/>
    <w:link w:val="29"/>
    <w:qFormat/>
    <w:uiPriority w:val="0"/>
    <w:rPr>
      <w:rFonts w:ascii="宋体" w:hAnsi="Times New Roman" w:eastAsia="宋体" w:cs="Times New Roman"/>
      <w:sz w:val="28"/>
      <w:szCs w:val="20"/>
    </w:rPr>
  </w:style>
  <w:style w:type="paragraph" w:customStyle="1" w:styleId="56">
    <w:name w:val="Char"/>
    <w:basedOn w:val="1"/>
    <w:qFormat/>
    <w:uiPriority w:val="99"/>
    <w:pPr>
      <w:tabs>
        <w:tab w:val="left" w:pos="360"/>
      </w:tabs>
      <w:ind w:firstLine="200" w:firstLineChars="200"/>
    </w:pPr>
    <w:rPr>
      <w:rFonts w:ascii="Times New Roman" w:hAnsi="Times New Roman" w:eastAsia="宋体" w:cs="Times New Roman"/>
      <w:sz w:val="28"/>
      <w:szCs w:val="30"/>
    </w:rPr>
  </w:style>
  <w:style w:type="paragraph" w:customStyle="1" w:styleId="57">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58">
    <w:name w:val="列出段落1"/>
    <w:basedOn w:val="1"/>
    <w:autoRedefine/>
    <w:qFormat/>
    <w:uiPriority w:val="99"/>
    <w:pPr>
      <w:ind w:firstLine="420" w:firstLineChars="200"/>
    </w:pPr>
    <w:rPr>
      <w:rFonts w:ascii="Times New Roman" w:hAnsi="Times New Roman" w:eastAsia="宋体" w:cs="Times New Roman"/>
      <w:kern w:val="0"/>
      <w:sz w:val="20"/>
      <w:szCs w:val="24"/>
    </w:rPr>
  </w:style>
  <w:style w:type="character" w:customStyle="1" w:styleId="59">
    <w:name w:val="font61"/>
    <w:basedOn w:val="31"/>
    <w:qFormat/>
    <w:uiPriority w:val="99"/>
    <w:rPr>
      <w:rFonts w:ascii="宋体" w:hAnsi="宋体" w:eastAsia="宋体" w:cs="宋体"/>
      <w:b/>
      <w:color w:val="000000"/>
      <w:sz w:val="22"/>
      <w:szCs w:val="22"/>
      <w:u w:val="none"/>
    </w:rPr>
  </w:style>
  <w:style w:type="character" w:customStyle="1" w:styleId="60">
    <w:name w:val="font11"/>
    <w:basedOn w:val="31"/>
    <w:autoRedefine/>
    <w:qFormat/>
    <w:uiPriority w:val="99"/>
    <w:rPr>
      <w:rFonts w:ascii="宋体" w:hAnsi="宋体" w:eastAsia="宋体" w:cs="宋体"/>
      <w:b/>
      <w:color w:val="000000"/>
      <w:sz w:val="22"/>
      <w:szCs w:val="22"/>
      <w:u w:val="none"/>
    </w:rPr>
  </w:style>
  <w:style w:type="character" w:customStyle="1" w:styleId="61">
    <w:name w:val="font51"/>
    <w:basedOn w:val="31"/>
    <w:autoRedefine/>
    <w:qFormat/>
    <w:uiPriority w:val="99"/>
    <w:rPr>
      <w:rFonts w:ascii="宋体" w:hAnsi="宋体" w:eastAsia="宋体" w:cs="宋体"/>
      <w:color w:val="000000"/>
      <w:sz w:val="22"/>
      <w:szCs w:val="22"/>
      <w:u w:val="none"/>
    </w:rPr>
  </w:style>
  <w:style w:type="character" w:customStyle="1" w:styleId="62">
    <w:name w:val="font41"/>
    <w:basedOn w:val="31"/>
    <w:qFormat/>
    <w:uiPriority w:val="99"/>
    <w:rPr>
      <w:rFonts w:ascii="font-weight : 400" w:hAnsi="font-weight : 400" w:cs="font-weight : 400"/>
      <w:color w:val="000000"/>
      <w:sz w:val="22"/>
      <w:szCs w:val="22"/>
      <w:u w:val="none"/>
    </w:rPr>
  </w:style>
  <w:style w:type="character" w:customStyle="1" w:styleId="63">
    <w:name w:val="font01"/>
    <w:basedOn w:val="31"/>
    <w:qFormat/>
    <w:uiPriority w:val="99"/>
    <w:rPr>
      <w:rFonts w:ascii="宋体" w:hAnsi="宋体" w:eastAsia="宋体" w:cs="宋体"/>
      <w:color w:val="000000"/>
      <w:sz w:val="22"/>
      <w:szCs w:val="22"/>
      <w:u w:val="none"/>
    </w:rPr>
  </w:style>
  <w:style w:type="paragraph" w:customStyle="1" w:styleId="64">
    <w:name w:val="纯文本_0"/>
    <w:basedOn w:val="65"/>
    <w:unhideWhenUsed/>
    <w:qFormat/>
    <w:uiPriority w:val="0"/>
    <w:rPr>
      <w:rFonts w:ascii="宋体" w:hAnsi="Calibri"/>
      <w:szCs w:val="21"/>
    </w:rPr>
  </w:style>
  <w:style w:type="paragraph" w:customStyle="1" w:styleId="6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文本_0"/>
    <w:basedOn w:val="65"/>
    <w:qFormat/>
    <w:uiPriority w:val="99"/>
    <w:pPr>
      <w:spacing w:line="60" w:lineRule="auto"/>
    </w:pPr>
    <w:rPr>
      <w:rFonts w:ascii="仿宋_GB2312" w:eastAsia="仿宋_GB2312"/>
      <w:sz w:val="32"/>
      <w:szCs w:val="22"/>
    </w:rPr>
  </w:style>
  <w:style w:type="paragraph" w:styleId="67">
    <w:name w:val="List Paragraph"/>
    <w:basedOn w:val="1"/>
    <w:qFormat/>
    <w:uiPriority w:val="34"/>
    <w:pPr>
      <w:ind w:left="720"/>
    </w:pPr>
    <w:rPr>
      <w:rFonts w:ascii="Times New Roman" w:hAnsi="Times New Roman" w:eastAsia="宋体" w:cs="Times New Roman"/>
      <w:szCs w:val="21"/>
    </w:rPr>
  </w:style>
  <w:style w:type="paragraph" w:customStyle="1" w:styleId="68">
    <w:name w:val="msolistparagraph"/>
    <w:basedOn w:val="1"/>
    <w:autoRedefine/>
    <w:qFormat/>
    <w:uiPriority w:val="0"/>
    <w:pPr>
      <w:ind w:left="720"/>
    </w:pPr>
    <w:rPr>
      <w:rFonts w:ascii="Times New Roman" w:hAnsi="Times New Roman" w:eastAsia="宋体" w:cs="Times New Roman"/>
      <w:szCs w:val="21"/>
    </w:rPr>
  </w:style>
  <w:style w:type="paragraph" w:customStyle="1" w:styleId="69">
    <w:name w:val="正文 1.1"/>
    <w:basedOn w:val="1"/>
    <w:next w:val="70"/>
    <w:qFormat/>
    <w:uiPriority w:val="0"/>
    <w:pPr>
      <w:tabs>
        <w:tab w:val="left" w:pos="851"/>
      </w:tabs>
      <w:ind w:firstLine="550"/>
      <w:outlineLvl w:val="1"/>
    </w:pPr>
    <w:rPr>
      <w:rFonts w:ascii="仿宋" w:hAnsi="仿宋" w:eastAsia="宋体" w:cs="Times New Roman"/>
      <w:b/>
    </w:rPr>
  </w:style>
  <w:style w:type="paragraph" w:customStyle="1" w:styleId="70">
    <w:name w:val="正文 1.1.1"/>
    <w:basedOn w:val="1"/>
    <w:next w:val="1"/>
    <w:qFormat/>
    <w:uiPriority w:val="0"/>
    <w:pPr>
      <w:numPr>
        <w:ilvl w:val="2"/>
        <w:numId w:val="3"/>
      </w:numPr>
      <w:outlineLvl w:val="2"/>
    </w:pPr>
    <w:rPr>
      <w:rFonts w:ascii="Times New Roman" w:hAnsi="宋体" w:eastAsia="宋体" w:cs="Times New Roman"/>
      <w:color w:val="FF0000"/>
    </w:rPr>
  </w:style>
  <w:style w:type="paragraph" w:customStyle="1" w:styleId="71">
    <w:name w:val="样式 标题 5 + 宋体 五号"/>
    <w:basedOn w:val="7"/>
    <w:autoRedefine/>
    <w:qFormat/>
    <w:uiPriority w:val="0"/>
    <w:pPr>
      <w:ind w:left="567" w:hanging="567"/>
      <w:jc w:val="left"/>
    </w:pPr>
    <w:rPr>
      <w:rFonts w:ascii="宋体" w:hAnsi="宋体"/>
      <w:color w:val="FF0000"/>
      <w:sz w:val="21"/>
    </w:rPr>
  </w:style>
  <w:style w:type="paragraph" w:customStyle="1" w:styleId="72">
    <w:name w:val="首行缩进"/>
    <w:basedOn w:val="1"/>
    <w:qFormat/>
    <w:uiPriority w:val="0"/>
    <w:pPr>
      <w:spacing w:line="360" w:lineRule="auto"/>
      <w:ind w:firstLine="480" w:firstLineChars="200"/>
      <w:jc w:val="left"/>
    </w:pPr>
    <w:rPr>
      <w:rFonts w:ascii="宋体" w:hAnsi="宋体" w:eastAsia="宋体" w:cs="Times New Roman"/>
      <w:sz w:val="24"/>
      <w:szCs w:val="24"/>
    </w:rPr>
  </w:style>
  <w:style w:type="character" w:customStyle="1" w:styleId="73">
    <w:name w:val="NormalCharacter"/>
    <w:qFormat/>
    <w:uiPriority w:val="0"/>
  </w:style>
  <w:style w:type="paragraph" w:customStyle="1" w:styleId="74">
    <w:name w:val="BodyText"/>
    <w:basedOn w:val="1"/>
    <w:link w:val="75"/>
    <w:autoRedefine/>
    <w:qFormat/>
    <w:uiPriority w:val="0"/>
    <w:pPr>
      <w:widowControl/>
      <w:textAlignment w:val="baseline"/>
    </w:pPr>
    <w:rPr>
      <w:rFonts w:ascii="楷体_GB2312" w:hAnsi="Arial" w:eastAsia="宋体" w:cs="Times New Roman"/>
      <w:kern w:val="0"/>
      <w:szCs w:val="28"/>
    </w:rPr>
  </w:style>
  <w:style w:type="character" w:customStyle="1" w:styleId="75">
    <w:name w:val="UserStyle_0"/>
    <w:link w:val="74"/>
    <w:qFormat/>
    <w:uiPriority w:val="0"/>
    <w:rPr>
      <w:rFonts w:ascii="楷体_GB2312" w:hAnsi="Arial" w:eastAsia="宋体" w:cs="Times New Roman"/>
      <w:kern w:val="0"/>
      <w:szCs w:val="28"/>
    </w:rPr>
  </w:style>
  <w:style w:type="paragraph" w:customStyle="1" w:styleId="76">
    <w:name w:val="正文（缩进）"/>
    <w:basedOn w:val="1"/>
    <w:qFormat/>
    <w:uiPriority w:val="0"/>
    <w:pPr>
      <w:ind w:firstLine="480" w:firstLineChars="200"/>
    </w:pPr>
    <w:rPr>
      <w:rFonts w:ascii="Times New Roman" w:hAnsi="Times New Roman" w:eastAsia="宋体" w:cs="Times New Roman"/>
    </w:rPr>
  </w:style>
  <w:style w:type="table" w:customStyle="1" w:styleId="77">
    <w:name w:val="Table Normal"/>
    <w:autoRedefine/>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78">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Cs w:val="21"/>
      <w:lang w:eastAsia="en-US"/>
    </w:rPr>
  </w:style>
  <w:style w:type="paragraph" w:customStyle="1" w:styleId="79">
    <w:name w:val="正文1"/>
    <w:basedOn w:val="1"/>
    <w:next w:val="80"/>
    <w:autoRedefine/>
    <w:qFormat/>
    <w:uiPriority w:val="0"/>
    <w:pPr>
      <w:spacing w:line="360" w:lineRule="atLeast"/>
      <w:jc w:val="left"/>
    </w:pPr>
    <w:rPr>
      <w:rFonts w:ascii="宋体" w:hAnsi="Calibri" w:eastAsia="宋体" w:cs="Times New Roman"/>
      <w:sz w:val="24"/>
      <w:szCs w:val="20"/>
    </w:rPr>
  </w:style>
  <w:style w:type="paragraph" w:customStyle="1" w:styleId="80">
    <w:name w:val="正文文本1"/>
    <w:basedOn w:val="79"/>
    <w:next w:val="81"/>
    <w:autoRedefine/>
    <w:qFormat/>
    <w:uiPriority w:val="0"/>
    <w:pPr>
      <w:spacing w:after="120"/>
    </w:pPr>
    <w:rPr>
      <w:lang w:val="en-US" w:eastAsia="en-US"/>
    </w:rPr>
  </w:style>
  <w:style w:type="paragraph" w:customStyle="1" w:styleId="81">
    <w:name w:val="一级条标题"/>
    <w:basedOn w:val="82"/>
    <w:next w:val="83"/>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82">
    <w:name w:val="章标题"/>
    <w:next w:val="1"/>
    <w:autoRedefine/>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83">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27</Pages>
  <Words>13611</Words>
  <Characters>14475</Characters>
  <Lines>138</Lines>
  <Paragraphs>39</Paragraphs>
  <TotalTime>0</TotalTime>
  <ScaleCrop>false</ScaleCrop>
  <LinksUpToDate>false</LinksUpToDate>
  <CharactersWithSpaces>14644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2024-12-27T08:10:00Z</dcterms:created>
  <dc:creator>ADMIN</dc:creator>
  <cp:lastModifiedBy>胡永田</cp:lastModifiedBy>
  <dcterms:modified xsi:type="dcterms:W3CDTF">2025-01-08T07:31:24Z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eyJoZGlkIjoiMjAzNWIxMjExZDFiZjdkNzkyY2YwZTU2YWJhYzY1MTYifQ==</vt:lpwstr>
  </property>
  <property fmtid="{D5CDD505-2E9C-101B-9397-08002B2CF9AE}" pid="3" name="KSOProductBuildVer">
    <vt:lpwstr>2052-12.1.0.16120</vt:lpwstr>
  </property>
  <property fmtid="{D5CDD505-2E9C-101B-9397-08002B2CF9AE}" pid="4" name="ICV">
    <vt:lpwstr>2ACF297D09CA44BBA808A0839F9556D1_13</vt:lpwstr>
  </property>
</Properties>
</file>