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240" w:lineRule="auto"/>
        <w:jc w:val="center"/>
        <w:rPr>
          <w:rFonts w:hint="default"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第一部分 项目需求</w:t>
      </w:r>
    </w:p>
    <w:p>
      <w:pPr>
        <w:spacing w:beforeLines="0" w:afterLines="0" w:line="360" w:lineRule="auto"/>
        <w:ind w:firstLine="480" w:firstLineChars="200"/>
        <w:rPr>
          <w:rFonts w:hint="eastAsia" w:ascii="黑体" w:hAnsi="黑体" w:eastAsia="黑体" w:cs="宋体"/>
          <w:color w:val="auto"/>
          <w:lang w:val="en-US" w:eastAsia="zh-CN"/>
        </w:rPr>
      </w:pPr>
      <w:r>
        <w:rPr>
          <w:rFonts w:hint="eastAsia" w:ascii="黑体" w:hAnsi="黑体" w:eastAsia="黑体" w:cs="宋体"/>
          <w:color w:val="auto"/>
          <w:lang w:val="en-US" w:eastAsia="zh-CN"/>
        </w:rPr>
        <w:t>一、服务范围、内容及服务要求</w:t>
      </w:r>
    </w:p>
    <w:p>
      <w:pPr>
        <w:spacing w:beforeLines="0" w:afterLines="0" w:line="360" w:lineRule="auto"/>
        <w:ind w:firstLine="480" w:firstLineChars="200"/>
        <w:rPr>
          <w:rFonts w:hint="eastAsia" w:ascii="黑体" w:hAnsi="黑体" w:eastAsia="黑体" w:cs="宋体"/>
          <w:color w:val="auto"/>
          <w:lang w:val="en-US" w:eastAsia="zh-CN"/>
        </w:rPr>
      </w:pPr>
      <w:r>
        <w:rPr>
          <w:rFonts w:hint="eastAsia" w:ascii="黑体" w:hAnsi="黑体" w:eastAsia="黑体" w:cs="宋体"/>
          <w:color w:val="auto"/>
          <w:lang w:val="en-US" w:eastAsia="zh-CN"/>
        </w:rPr>
        <w:t>1.本项目服务范围：</w:t>
      </w:r>
    </w:p>
    <w:p>
      <w:pPr>
        <w:adjustRightInd w:val="0"/>
        <w:spacing w:beforeLines="0" w:afterLines="0" w:line="360" w:lineRule="auto"/>
        <w:ind w:firstLine="480" w:firstLineChars="200"/>
        <w:contextualSpacing/>
        <w:rPr>
          <w:rFonts w:hint="eastAsia" w:ascii="仿宋" w:hAnsi="仿宋" w:eastAsia="仿宋" w:cs="宋体"/>
          <w:color w:val="auto"/>
          <w:lang w:eastAsia="zh-CN"/>
        </w:rPr>
      </w:pPr>
      <w:r>
        <w:rPr>
          <w:rFonts w:hint="eastAsia" w:ascii="仿宋" w:hAnsi="仿宋" w:eastAsia="仿宋" w:cs="宋体"/>
          <w:color w:val="auto"/>
          <w:lang w:eastAsia="zh-CN"/>
        </w:rPr>
        <w:t>项目涵盖东西区医院污水处理站的全面社会化托管运维，全面接管东西区（含西区科教综合楼）的污水处理设施，并配备人数</w:t>
      </w:r>
      <w:r>
        <w:rPr>
          <w:rFonts w:hint="eastAsia" w:ascii="仿宋" w:hAnsi="仿宋" w:eastAsia="仿宋" w:cs="宋体"/>
          <w:color w:val="FF0000"/>
          <w:lang w:eastAsia="zh-CN"/>
        </w:rPr>
        <w:t>满足24小时</w:t>
      </w:r>
      <w:r>
        <w:rPr>
          <w:rFonts w:hint="eastAsia" w:ascii="仿宋" w:hAnsi="仿宋" w:eastAsia="仿宋" w:cs="宋体"/>
          <w:color w:val="auto"/>
          <w:lang w:eastAsia="zh-CN"/>
        </w:rPr>
        <w:t>驻点运行操作人员</w:t>
      </w:r>
      <w:r>
        <w:rPr>
          <w:rFonts w:hint="eastAsia" w:ascii="仿宋" w:hAnsi="仿宋" w:eastAsia="仿宋" w:cs="宋体"/>
          <w:color w:val="FF0000"/>
          <w:lang w:eastAsia="zh-CN"/>
        </w:rPr>
        <w:t>6名</w:t>
      </w:r>
      <w:r>
        <w:rPr>
          <w:rFonts w:hint="eastAsia" w:ascii="仿宋" w:hAnsi="仿宋" w:eastAsia="仿宋" w:cs="宋体"/>
          <w:color w:val="auto"/>
          <w:lang w:eastAsia="zh-CN"/>
        </w:rPr>
        <w:t>，具有相应资质的项目管理和专业维修人员不低于3名。负责污水处理站的安全运行管理，包括药剂的购置、储存、使用和安全管理，同时负责格栅的定期清理、叠螺机的安装运维及污泥的处置清运工作。承担现有设备的维修、在线监测设备的运维与保养，以及污水处理设备设施的更新任务。</w:t>
      </w:r>
      <w:r>
        <w:rPr>
          <w:rFonts w:hint="eastAsia" w:ascii="仿宋" w:hAnsi="仿宋" w:eastAsia="仿宋" w:cs="宋体"/>
          <w:color w:val="FF0000"/>
          <w:lang w:eastAsia="zh-CN"/>
        </w:rPr>
        <w:t>托管运行期间，乙方更换的所有设备设施，服务期间结束后，资产归甲方所有。</w:t>
      </w:r>
      <w:r>
        <w:rPr>
          <w:rFonts w:hint="eastAsia" w:ascii="仿宋" w:hAnsi="仿宋" w:eastAsia="仿宋" w:cs="宋体"/>
          <w:color w:val="auto"/>
          <w:lang w:eastAsia="zh-CN"/>
        </w:rPr>
        <w:t>实行东西区污水处理7*24小时不间断运行，并保证污水达标排放。</w:t>
      </w:r>
    </w:p>
    <w:p>
      <w:pPr>
        <w:spacing w:beforeLines="0" w:afterLines="0" w:line="360" w:lineRule="auto"/>
        <w:ind w:firstLine="480" w:firstLineChars="200"/>
        <w:rPr>
          <w:rFonts w:hint="eastAsia" w:ascii="黑体" w:hAnsi="黑体" w:eastAsia="黑体" w:cs="宋体"/>
          <w:color w:val="auto"/>
          <w:lang w:val="en-US" w:eastAsia="zh-CN"/>
        </w:rPr>
      </w:pPr>
      <w:r>
        <w:rPr>
          <w:rFonts w:hint="eastAsia" w:ascii="黑体" w:hAnsi="黑体" w:eastAsia="黑体" w:cs="宋体"/>
          <w:color w:val="auto"/>
          <w:lang w:val="en-US" w:eastAsia="zh-CN"/>
        </w:rPr>
        <w:t>2.项目工作内容及服务要求：</w:t>
      </w:r>
    </w:p>
    <w:tbl>
      <w:tblPr>
        <w:tblStyle w:val="12"/>
        <w:tblpPr w:leftFromText="180" w:rightFromText="180" w:vertAnchor="text" w:horzAnchor="page" w:tblpX="1350" w:tblpY="747"/>
        <w:tblOverlap w:val="never"/>
        <w:tblW w:w="9458" w:type="dxa"/>
        <w:tblInd w:w="0" w:type="dxa"/>
        <w:tblLayout w:type="fixed"/>
        <w:tblCellMar>
          <w:top w:w="0" w:type="dxa"/>
          <w:left w:w="108" w:type="dxa"/>
          <w:bottom w:w="0" w:type="dxa"/>
          <w:right w:w="108" w:type="dxa"/>
        </w:tblCellMar>
      </w:tblPr>
      <w:tblGrid>
        <w:gridCol w:w="593"/>
        <w:gridCol w:w="1258"/>
        <w:gridCol w:w="2760"/>
        <w:gridCol w:w="3320"/>
        <w:gridCol w:w="1527"/>
      </w:tblGrid>
      <w:tr>
        <w:tblPrEx>
          <w:tblCellMar>
            <w:top w:w="0" w:type="dxa"/>
            <w:left w:w="108" w:type="dxa"/>
            <w:bottom w:w="0" w:type="dxa"/>
            <w:right w:w="108" w:type="dxa"/>
          </w:tblCellMar>
        </w:tblPrEx>
        <w:trPr>
          <w:trHeight w:val="779" w:hRule="atLeast"/>
        </w:trPr>
        <w:tc>
          <w:tcPr>
            <w:tcW w:w="593" w:type="dxa"/>
            <w:tcBorders>
              <w:top w:val="single" w:color="000000" w:sz="4" w:space="0"/>
              <w:left w:val="single" w:color="000000" w:sz="4" w:space="0"/>
              <w:bottom w:val="single" w:color="000000" w:sz="4" w:space="0"/>
              <w:right w:val="single" w:color="000000" w:sz="4" w:space="0"/>
            </w:tcBorders>
          </w:tcPr>
          <w:p>
            <w:pPr>
              <w:spacing w:before="120" w:beforeLines="50" w:after="120" w:afterLines="50" w:line="240" w:lineRule="auto"/>
              <w:jc w:val="both"/>
              <w:rPr>
                <w:rFonts w:hint="eastAsia" w:ascii="仿宋" w:hAnsi="仿宋" w:eastAsia="仿宋" w:cs="宋体"/>
                <w:color w:val="auto"/>
              </w:rPr>
            </w:pPr>
            <w:r>
              <w:rPr>
                <w:rFonts w:hint="eastAsia" w:ascii="仿宋" w:hAnsi="仿宋" w:eastAsia="仿宋" w:cs="宋体"/>
                <w:color w:val="auto"/>
              </w:rPr>
              <w:t>序号</w:t>
            </w:r>
          </w:p>
        </w:tc>
        <w:tc>
          <w:tcPr>
            <w:tcW w:w="1258" w:type="dxa"/>
            <w:tcBorders>
              <w:top w:val="single" w:color="000000" w:sz="4" w:space="0"/>
              <w:left w:val="single" w:color="000000" w:sz="4" w:space="0"/>
              <w:bottom w:val="single" w:color="000000" w:sz="4" w:space="0"/>
              <w:right w:val="single" w:color="000000" w:sz="4" w:space="0"/>
            </w:tcBorders>
          </w:tcPr>
          <w:p>
            <w:pPr>
              <w:spacing w:before="120" w:beforeLines="50" w:after="120" w:afterLines="50" w:line="240" w:lineRule="auto"/>
              <w:jc w:val="both"/>
              <w:rPr>
                <w:rFonts w:hint="eastAsia" w:ascii="仿宋" w:hAnsi="仿宋" w:eastAsia="仿宋" w:cs="宋体"/>
                <w:color w:val="auto"/>
              </w:rPr>
            </w:pPr>
            <w:r>
              <w:rPr>
                <w:rFonts w:hint="eastAsia" w:ascii="仿宋" w:hAnsi="仿宋" w:eastAsia="仿宋" w:cs="宋体"/>
                <w:color w:val="auto"/>
              </w:rPr>
              <w:t>项目名称</w:t>
            </w:r>
          </w:p>
        </w:tc>
        <w:tc>
          <w:tcPr>
            <w:tcW w:w="2760" w:type="dxa"/>
            <w:tcBorders>
              <w:top w:val="single" w:color="000000" w:sz="4" w:space="0"/>
              <w:left w:val="single" w:color="000000" w:sz="4" w:space="0"/>
              <w:bottom w:val="single" w:color="000000" w:sz="4" w:space="0"/>
              <w:right w:val="single" w:color="000000" w:sz="4" w:space="0"/>
            </w:tcBorders>
          </w:tcPr>
          <w:p>
            <w:pPr>
              <w:spacing w:before="120" w:beforeLines="50" w:after="120" w:afterLines="50" w:line="240" w:lineRule="auto"/>
              <w:jc w:val="both"/>
              <w:rPr>
                <w:rFonts w:hint="eastAsia" w:ascii="仿宋" w:hAnsi="仿宋" w:eastAsia="仿宋" w:cs="宋体"/>
                <w:color w:val="auto"/>
              </w:rPr>
            </w:pPr>
            <w:r>
              <w:rPr>
                <w:rFonts w:hint="eastAsia" w:ascii="仿宋" w:hAnsi="仿宋" w:eastAsia="仿宋" w:cs="宋体"/>
                <w:color w:val="auto"/>
              </w:rPr>
              <w:t>内容</w:t>
            </w:r>
          </w:p>
        </w:tc>
        <w:tc>
          <w:tcPr>
            <w:tcW w:w="3320" w:type="dxa"/>
            <w:tcBorders>
              <w:top w:val="single" w:color="000000" w:sz="4" w:space="0"/>
              <w:left w:val="single" w:color="000000" w:sz="4" w:space="0"/>
              <w:bottom w:val="single" w:color="000000" w:sz="4" w:space="0"/>
              <w:right w:val="single" w:color="000000" w:sz="4" w:space="0"/>
            </w:tcBorders>
          </w:tcPr>
          <w:p>
            <w:pPr>
              <w:spacing w:before="120" w:beforeLines="50" w:after="120" w:afterLines="50" w:line="240" w:lineRule="auto"/>
              <w:jc w:val="both"/>
              <w:rPr>
                <w:rFonts w:hint="eastAsia" w:ascii="仿宋" w:hAnsi="仿宋" w:eastAsia="仿宋" w:cs="宋体"/>
                <w:color w:val="auto"/>
              </w:rPr>
            </w:pPr>
            <w:r>
              <w:rPr>
                <w:rFonts w:hint="eastAsia" w:ascii="仿宋" w:hAnsi="仿宋" w:eastAsia="仿宋" w:cs="宋体"/>
                <w:color w:val="auto"/>
              </w:rPr>
              <w:t>备 注</w:t>
            </w:r>
          </w:p>
        </w:tc>
        <w:tc>
          <w:tcPr>
            <w:tcW w:w="1527" w:type="dxa"/>
            <w:tcBorders>
              <w:top w:val="single" w:color="000000" w:sz="4" w:space="0"/>
              <w:left w:val="single" w:color="000000" w:sz="4" w:space="0"/>
              <w:right w:val="single" w:color="000000" w:sz="4" w:space="0"/>
            </w:tcBorders>
          </w:tcPr>
          <w:p>
            <w:pPr>
              <w:spacing w:before="120" w:beforeLines="50" w:after="120" w:afterLines="50" w:line="240" w:lineRule="auto"/>
              <w:jc w:val="center"/>
              <w:rPr>
                <w:rFonts w:hint="eastAsia" w:ascii="仿宋" w:hAnsi="仿宋" w:eastAsia="仿宋" w:cs="宋体"/>
                <w:color w:val="auto"/>
                <w:lang w:eastAsia="zh-CN"/>
              </w:rPr>
            </w:pPr>
            <w:r>
              <w:rPr>
                <w:rFonts w:hint="eastAsia" w:ascii="仿宋" w:hAnsi="仿宋" w:eastAsia="仿宋" w:cs="宋体"/>
                <w:color w:val="auto"/>
              </w:rPr>
              <w:t>报价</w:t>
            </w:r>
          </w:p>
          <w:p>
            <w:pPr>
              <w:spacing w:before="120" w:beforeLines="50" w:after="120" w:afterLines="50" w:line="240" w:lineRule="auto"/>
              <w:jc w:val="center"/>
              <w:rPr>
                <w:rFonts w:hint="eastAsia" w:ascii="仿宋" w:hAnsi="仿宋" w:eastAsia="仿宋" w:cs="宋体"/>
                <w:color w:val="auto"/>
              </w:rPr>
            </w:pPr>
            <w:r>
              <w:rPr>
                <w:rFonts w:hint="eastAsia" w:ascii="仿宋" w:hAnsi="仿宋" w:eastAsia="仿宋" w:cs="宋体"/>
                <w:color w:val="auto"/>
              </w:rPr>
              <w:t>（元/年）</w:t>
            </w:r>
          </w:p>
        </w:tc>
      </w:tr>
      <w:tr>
        <w:tblPrEx>
          <w:tblCellMar>
            <w:top w:w="0" w:type="dxa"/>
            <w:left w:w="108" w:type="dxa"/>
            <w:bottom w:w="0" w:type="dxa"/>
            <w:right w:w="108" w:type="dxa"/>
          </w:tblCellMar>
        </w:tblPrEx>
        <w:trPr>
          <w:trHeight w:val="1607"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uto"/>
              <w:jc w:val="center"/>
              <w:rPr>
                <w:rFonts w:hint="eastAsia" w:ascii="仿宋" w:hAnsi="仿宋" w:eastAsia="仿宋" w:cs="宋体"/>
                <w:color w:val="auto"/>
                <w:lang w:val="en-US" w:eastAsia="zh-CN"/>
              </w:rPr>
            </w:pPr>
            <w:r>
              <w:rPr>
                <w:rFonts w:hint="eastAsia" w:ascii="仿宋" w:hAnsi="仿宋" w:eastAsia="仿宋" w:cs="宋体"/>
                <w:color w:val="auto"/>
                <w:lang w:val="en-US" w:eastAsia="zh-CN"/>
              </w:rPr>
              <w:t>1</w:t>
            </w:r>
          </w:p>
        </w:tc>
        <w:tc>
          <w:tcPr>
            <w:tcW w:w="1258"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uto"/>
              <w:rPr>
                <w:rFonts w:hint="eastAsia" w:ascii="仿宋" w:hAnsi="仿宋" w:eastAsia="仿宋" w:cs="宋体"/>
                <w:color w:val="auto"/>
                <w:lang w:eastAsia="zh-CN"/>
              </w:rPr>
            </w:pPr>
            <w:r>
              <w:rPr>
                <w:rFonts w:hint="eastAsia" w:ascii="仿宋" w:hAnsi="仿宋" w:eastAsia="仿宋" w:cs="宋体"/>
                <w:color w:val="auto"/>
                <w:lang w:eastAsia="zh-CN"/>
              </w:rPr>
              <w:t>人员管理费</w:t>
            </w:r>
          </w:p>
        </w:tc>
        <w:tc>
          <w:tcPr>
            <w:tcW w:w="2760" w:type="dxa"/>
            <w:tcBorders>
              <w:top w:val="nil"/>
              <w:left w:val="single" w:color="000000" w:sz="4" w:space="0"/>
              <w:bottom w:val="single" w:color="000000" w:sz="4" w:space="0"/>
              <w:right w:val="single" w:color="000000" w:sz="4" w:space="0"/>
            </w:tcBorders>
            <w:vAlign w:val="center"/>
          </w:tcPr>
          <w:p>
            <w:pPr>
              <w:spacing w:before="120" w:beforeLines="50" w:after="120" w:afterLines="50" w:line="240" w:lineRule="auto"/>
              <w:rPr>
                <w:rFonts w:hint="eastAsia" w:ascii="仿宋" w:hAnsi="仿宋" w:eastAsia="仿宋" w:cs="宋体"/>
                <w:color w:val="auto"/>
                <w:lang w:val="en-US" w:eastAsia="zh-CN"/>
              </w:rPr>
            </w:pPr>
            <w:r>
              <w:rPr>
                <w:rFonts w:hint="eastAsia" w:ascii="仿宋" w:hAnsi="仿宋" w:eastAsia="仿宋" w:cs="宋体"/>
                <w:color w:val="auto"/>
                <w:lang w:val="en-US" w:eastAsia="zh-CN"/>
              </w:rPr>
              <w:t>不低于9人，（驻点人员不低于6人，运维人员不低于3人）</w:t>
            </w:r>
          </w:p>
        </w:tc>
        <w:tc>
          <w:tcPr>
            <w:tcW w:w="3320"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uto"/>
              <w:rPr>
                <w:rFonts w:hint="eastAsia" w:ascii="仿宋" w:hAnsi="仿宋" w:eastAsia="仿宋" w:cs="宋体"/>
                <w:color w:val="auto"/>
                <w:lang w:val="en-US" w:eastAsia="zh-CN"/>
              </w:rPr>
            </w:pPr>
            <w:r>
              <w:rPr>
                <w:rFonts w:hint="eastAsia" w:ascii="仿宋" w:hAnsi="仿宋" w:eastAsia="仿宋" w:cs="宋体"/>
                <w:color w:val="auto"/>
                <w:lang w:val="en-US" w:eastAsia="zh-CN"/>
              </w:rPr>
              <w:t>1、人员持证上岗；</w:t>
            </w:r>
          </w:p>
          <w:p>
            <w:pPr>
              <w:spacing w:before="120" w:beforeLines="50" w:after="120" w:afterLines="50" w:line="240" w:lineRule="auto"/>
              <w:rPr>
                <w:rFonts w:hint="eastAsia" w:ascii="仿宋" w:hAnsi="仿宋" w:eastAsia="仿宋" w:cs="宋体"/>
                <w:color w:val="auto"/>
                <w:lang w:eastAsia="zh-CN"/>
              </w:rPr>
            </w:pPr>
            <w:r>
              <w:rPr>
                <w:rFonts w:hint="eastAsia" w:ascii="仿宋" w:hAnsi="仿宋" w:eastAsia="仿宋" w:cs="宋体"/>
                <w:color w:val="auto"/>
                <w:lang w:val="en-US" w:eastAsia="zh-CN"/>
              </w:rPr>
              <w:t>2、</w:t>
            </w:r>
            <w:r>
              <w:rPr>
                <w:rFonts w:hint="eastAsia" w:ascii="仿宋" w:hAnsi="仿宋" w:eastAsia="仿宋" w:cs="宋体"/>
                <w:color w:val="auto"/>
                <w:lang w:eastAsia="zh-CN"/>
              </w:rPr>
              <w:t>承担污水处理站日常管理与操作，包括：设备操作运行及运行记录；水质自检及记录；设备日常维护保养及记录、交接班记录；格栅池清理等工作，确保污水水质及废气达标排放</w:t>
            </w:r>
          </w:p>
          <w:p>
            <w:pPr>
              <w:spacing w:before="120" w:beforeLines="50" w:after="120" w:afterLines="50" w:line="240" w:lineRule="auto"/>
              <w:rPr>
                <w:rFonts w:hint="eastAsia" w:ascii="仿宋" w:hAnsi="仿宋" w:eastAsia="仿宋" w:cs="宋体"/>
                <w:color w:val="auto"/>
                <w:lang w:eastAsia="zh-CN"/>
              </w:rPr>
            </w:pPr>
            <w:r>
              <w:rPr>
                <w:rFonts w:hint="eastAsia" w:ascii="仿宋" w:hAnsi="仿宋" w:eastAsia="仿宋" w:cs="宋体"/>
                <w:color w:val="auto"/>
                <w:lang w:val="en-US" w:eastAsia="zh-CN"/>
              </w:rPr>
              <w:t>3</w:t>
            </w:r>
            <w:r>
              <w:rPr>
                <w:rFonts w:hint="eastAsia" w:ascii="仿宋" w:hAnsi="仿宋" w:eastAsia="仿宋" w:cs="宋体"/>
                <w:color w:val="auto"/>
                <w:lang w:eastAsia="zh-CN"/>
              </w:rPr>
              <w:t>、负责污水站环境卫生及安全保障等。</w:t>
            </w:r>
          </w:p>
          <w:p>
            <w:pPr>
              <w:spacing w:before="120" w:beforeLines="50" w:after="120" w:afterLines="50" w:line="240" w:lineRule="auto"/>
              <w:rPr>
                <w:rFonts w:hint="eastAsia" w:ascii="仿宋" w:hAnsi="仿宋" w:eastAsia="仿宋" w:cs="宋体"/>
                <w:color w:val="auto"/>
                <w:lang w:eastAsia="zh-CN"/>
              </w:rPr>
            </w:pPr>
            <w:r>
              <w:rPr>
                <w:rFonts w:hint="eastAsia" w:ascii="仿宋" w:hAnsi="仿宋" w:eastAsia="仿宋" w:cs="宋体"/>
                <w:color w:val="auto"/>
                <w:lang w:val="en-US" w:eastAsia="zh-CN"/>
              </w:rPr>
              <w:t>4、</w:t>
            </w:r>
            <w:r>
              <w:rPr>
                <w:rFonts w:hint="eastAsia" w:ascii="仿宋" w:hAnsi="仿宋" w:eastAsia="仿宋" w:cs="宋体"/>
                <w:color w:val="auto"/>
                <w:lang w:eastAsia="zh-CN"/>
              </w:rPr>
              <w:t>污水站实行全年365天24小时有人值守。</w:t>
            </w:r>
          </w:p>
        </w:tc>
        <w:tc>
          <w:tcPr>
            <w:tcW w:w="1527"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uto"/>
              <w:jc w:val="center"/>
              <w:rPr>
                <w:rFonts w:hint="eastAsia" w:ascii="仿宋" w:hAnsi="仿宋" w:eastAsia="仿宋" w:cs="宋体"/>
                <w:color w:val="auto"/>
                <w:lang w:val="en-US" w:eastAsia="zh-CN"/>
              </w:rPr>
            </w:pPr>
          </w:p>
        </w:tc>
      </w:tr>
      <w:tr>
        <w:tblPrEx>
          <w:tblCellMar>
            <w:top w:w="0" w:type="dxa"/>
            <w:left w:w="108" w:type="dxa"/>
            <w:bottom w:w="0" w:type="dxa"/>
            <w:right w:w="108" w:type="dxa"/>
          </w:tblCellMar>
        </w:tblPrEx>
        <w:trPr>
          <w:trHeight w:val="1038"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uto"/>
              <w:jc w:val="center"/>
              <w:rPr>
                <w:rFonts w:hint="eastAsia" w:ascii="仿宋" w:hAnsi="仿宋" w:eastAsia="仿宋" w:cs="宋体"/>
                <w:color w:val="auto"/>
                <w:lang w:val="en-US" w:eastAsia="zh-CN"/>
              </w:rPr>
            </w:pPr>
            <w:r>
              <w:rPr>
                <w:rFonts w:hint="eastAsia" w:ascii="仿宋" w:hAnsi="仿宋" w:eastAsia="仿宋" w:cs="宋体"/>
                <w:color w:val="auto"/>
                <w:lang w:val="en-US" w:eastAsia="zh-CN"/>
              </w:rPr>
              <w:t>2</w:t>
            </w:r>
          </w:p>
        </w:tc>
        <w:tc>
          <w:tcPr>
            <w:tcW w:w="1258"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uto"/>
              <w:jc w:val="center"/>
              <w:rPr>
                <w:rFonts w:hint="eastAsia" w:ascii="仿宋" w:hAnsi="仿宋" w:eastAsia="仿宋" w:cs="宋体"/>
                <w:color w:val="auto"/>
                <w:lang w:eastAsia="zh-CN"/>
              </w:rPr>
            </w:pPr>
            <w:r>
              <w:rPr>
                <w:rFonts w:hint="eastAsia" w:ascii="仿宋" w:hAnsi="仿宋" w:eastAsia="仿宋" w:cs="宋体"/>
                <w:color w:val="auto"/>
                <w:lang w:eastAsia="zh-CN"/>
              </w:rPr>
              <w:t>设备</w:t>
            </w:r>
            <w:r>
              <w:rPr>
                <w:rFonts w:hint="eastAsia" w:ascii="仿宋" w:hAnsi="仿宋" w:eastAsia="仿宋" w:cs="宋体"/>
                <w:color w:val="auto"/>
              </w:rPr>
              <w:t>设施</w:t>
            </w:r>
            <w:r>
              <w:rPr>
                <w:rFonts w:hint="eastAsia" w:ascii="仿宋" w:hAnsi="仿宋" w:eastAsia="仿宋" w:cs="宋体"/>
                <w:color w:val="auto"/>
                <w:lang w:eastAsia="zh-CN"/>
              </w:rPr>
              <w:t>维修保养</w:t>
            </w:r>
          </w:p>
        </w:tc>
        <w:tc>
          <w:tcPr>
            <w:tcW w:w="2760" w:type="dxa"/>
            <w:tcBorders>
              <w:top w:val="nil"/>
              <w:left w:val="single" w:color="000000" w:sz="4" w:space="0"/>
              <w:bottom w:val="single" w:color="000000" w:sz="4" w:space="0"/>
              <w:right w:val="single" w:color="000000" w:sz="4" w:space="0"/>
            </w:tcBorders>
            <w:vAlign w:val="center"/>
          </w:tcPr>
          <w:p>
            <w:pPr>
              <w:spacing w:before="120" w:beforeLines="50" w:after="120" w:afterLines="50" w:line="240" w:lineRule="auto"/>
              <w:rPr>
                <w:rFonts w:hint="eastAsia" w:ascii="仿宋" w:hAnsi="仿宋" w:eastAsia="仿宋" w:cs="宋体"/>
                <w:color w:val="auto"/>
                <w:lang w:eastAsia="zh-CN"/>
              </w:rPr>
            </w:pPr>
            <w:r>
              <w:rPr>
                <w:rFonts w:hint="eastAsia" w:ascii="仿宋" w:hAnsi="仿宋" w:eastAsia="仿宋" w:cs="宋体"/>
                <w:color w:val="auto"/>
                <w:lang w:eastAsia="zh-CN"/>
              </w:rPr>
              <w:t>1、主要设备但不限于如风机、水泵、加药计量泵、废气处理设施等</w:t>
            </w:r>
          </w:p>
          <w:p>
            <w:pPr>
              <w:spacing w:before="120" w:beforeLines="50" w:after="120" w:afterLines="50" w:line="240" w:lineRule="auto"/>
              <w:rPr>
                <w:rFonts w:hint="eastAsia" w:ascii="仿宋" w:hAnsi="仿宋" w:eastAsia="仿宋" w:cs="宋体"/>
                <w:color w:val="auto"/>
                <w:lang w:eastAsia="zh-CN"/>
              </w:rPr>
            </w:pPr>
            <w:r>
              <w:rPr>
                <w:rFonts w:hint="eastAsia" w:ascii="仿宋" w:hAnsi="仿宋" w:eastAsia="仿宋" w:cs="宋体"/>
                <w:color w:val="auto"/>
                <w:lang w:eastAsia="zh-CN"/>
              </w:rPr>
              <w:t>2、其余如电控设备、阀门管道、格栅、风机润滑油变频器等硬件均需考虑维护保养及易损件更换。</w:t>
            </w:r>
          </w:p>
          <w:p>
            <w:pPr>
              <w:pStyle w:val="9"/>
              <w:spacing w:before="120" w:beforeLines="50" w:after="120" w:afterLines="50" w:line="240" w:lineRule="auto"/>
              <w:rPr>
                <w:rFonts w:hint="eastAsia" w:ascii="仿宋" w:hAnsi="仿宋" w:eastAsia="仿宋" w:cs="宋体"/>
                <w:color w:val="auto"/>
                <w:lang w:eastAsia="zh-CN"/>
              </w:rPr>
            </w:pPr>
            <w:r>
              <w:rPr>
                <w:rFonts w:hint="eastAsia" w:ascii="仿宋" w:hAnsi="仿宋" w:eastAsia="仿宋" w:cs="宋体"/>
                <w:color w:val="auto"/>
                <w:lang w:val="en-US" w:eastAsia="zh-CN"/>
              </w:rPr>
              <w:t>3、废气处理设施活性炭的更换，每三个月更换一次，确保废气检测符合排污许可自行监测相关要求。</w:t>
            </w:r>
          </w:p>
        </w:tc>
        <w:tc>
          <w:tcPr>
            <w:tcW w:w="3320"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uto"/>
              <w:rPr>
                <w:rFonts w:hint="eastAsia" w:ascii="仿宋" w:hAnsi="仿宋" w:eastAsia="仿宋" w:cs="宋体"/>
                <w:color w:val="auto"/>
                <w:lang w:eastAsia="zh-CN"/>
              </w:rPr>
            </w:pPr>
            <w:r>
              <w:rPr>
                <w:rFonts w:hint="eastAsia" w:ascii="仿宋" w:hAnsi="仿宋" w:eastAsia="仿宋" w:cs="宋体"/>
                <w:color w:val="auto"/>
                <w:lang w:val="en-US" w:eastAsia="zh-CN"/>
              </w:rPr>
              <w:t>1、</w:t>
            </w:r>
            <w:r>
              <w:rPr>
                <w:rFonts w:hint="eastAsia" w:ascii="仿宋" w:hAnsi="仿宋" w:eastAsia="仿宋" w:cs="宋体"/>
                <w:color w:val="auto"/>
                <w:lang w:eastAsia="zh-CN"/>
              </w:rPr>
              <w:t>小故障</w:t>
            </w:r>
            <w:r>
              <w:rPr>
                <w:rFonts w:hint="eastAsia" w:ascii="仿宋" w:hAnsi="仿宋" w:eastAsia="仿宋" w:cs="宋体"/>
                <w:color w:val="auto"/>
                <w:lang w:val="en-US" w:eastAsia="zh-CN"/>
              </w:rPr>
              <w:t>4</w:t>
            </w:r>
            <w:r>
              <w:rPr>
                <w:rFonts w:hint="eastAsia" w:ascii="仿宋" w:hAnsi="仿宋" w:eastAsia="仿宋" w:cs="宋体"/>
                <w:color w:val="auto"/>
                <w:lang w:eastAsia="zh-CN"/>
              </w:rPr>
              <w:t>小时内修复，大故障2个工作日内修复。</w:t>
            </w:r>
          </w:p>
          <w:p>
            <w:pPr>
              <w:pStyle w:val="9"/>
              <w:spacing w:before="120" w:beforeLines="50" w:after="120" w:afterLines="50" w:line="240" w:lineRule="auto"/>
              <w:rPr>
                <w:rFonts w:hint="eastAsia" w:ascii="仿宋" w:hAnsi="仿宋" w:eastAsia="仿宋" w:cs="宋体"/>
                <w:color w:val="auto"/>
                <w:kern w:val="2"/>
                <w:lang w:val="en-US" w:eastAsia="zh-CN"/>
              </w:rPr>
            </w:pPr>
            <w:r>
              <w:rPr>
                <w:rFonts w:hint="eastAsia" w:ascii="仿宋" w:hAnsi="仿宋" w:eastAsia="仿宋" w:cs="宋体"/>
                <w:color w:val="auto"/>
                <w:kern w:val="2"/>
                <w:lang w:val="en-US" w:eastAsia="zh-CN"/>
              </w:rPr>
              <w:t>2、含污水站现有所有设备零配件保养，保证设施设备正常运行。</w:t>
            </w:r>
          </w:p>
          <w:p>
            <w:pPr>
              <w:spacing w:before="120" w:beforeLines="50" w:after="120" w:afterLines="50" w:line="240" w:lineRule="auto"/>
              <w:rPr>
                <w:rFonts w:hint="eastAsia" w:ascii="仿宋" w:hAnsi="仿宋" w:eastAsia="仿宋" w:cs="宋体"/>
                <w:color w:val="auto"/>
                <w:lang w:val="en-US" w:eastAsia="zh-CN"/>
              </w:rPr>
            </w:pPr>
            <w:r>
              <w:rPr>
                <w:rFonts w:hint="eastAsia" w:ascii="仿宋" w:hAnsi="仿宋" w:eastAsia="仿宋" w:cs="宋体"/>
                <w:color w:val="auto"/>
                <w:kern w:val="2"/>
                <w:lang w:val="en-US" w:eastAsia="zh-CN"/>
              </w:rPr>
              <w:t>3、提前准备常用维修备品。</w:t>
            </w:r>
          </w:p>
        </w:tc>
        <w:tc>
          <w:tcPr>
            <w:tcW w:w="1527"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uto"/>
              <w:jc w:val="center"/>
              <w:rPr>
                <w:rFonts w:hint="eastAsia" w:ascii="仿宋" w:hAnsi="仿宋" w:eastAsia="仿宋" w:cs="宋体"/>
                <w:color w:val="auto"/>
                <w:lang w:val="en-US" w:eastAsia="zh-CN"/>
              </w:rPr>
            </w:pPr>
          </w:p>
        </w:tc>
      </w:tr>
      <w:tr>
        <w:tblPrEx>
          <w:tblCellMar>
            <w:top w:w="0" w:type="dxa"/>
            <w:left w:w="108" w:type="dxa"/>
            <w:bottom w:w="0" w:type="dxa"/>
            <w:right w:w="108" w:type="dxa"/>
          </w:tblCellMar>
        </w:tblPrEx>
        <w:trPr>
          <w:trHeight w:val="9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uto"/>
              <w:jc w:val="center"/>
              <w:rPr>
                <w:rFonts w:hint="eastAsia" w:ascii="仿宋" w:hAnsi="仿宋" w:eastAsia="仿宋" w:cs="宋体"/>
                <w:color w:val="auto"/>
                <w:lang w:val="en-US" w:eastAsia="zh-CN"/>
              </w:rPr>
            </w:pPr>
            <w:r>
              <w:rPr>
                <w:rFonts w:hint="eastAsia" w:ascii="仿宋" w:hAnsi="仿宋" w:eastAsia="仿宋" w:cs="宋体"/>
                <w:color w:val="auto"/>
                <w:lang w:val="en-US" w:eastAsia="zh-CN"/>
              </w:rPr>
              <w:t>3</w:t>
            </w:r>
          </w:p>
        </w:tc>
        <w:tc>
          <w:tcPr>
            <w:tcW w:w="1258"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uto"/>
              <w:rPr>
                <w:rFonts w:hint="eastAsia" w:ascii="仿宋" w:hAnsi="仿宋" w:eastAsia="仿宋" w:cs="宋体"/>
                <w:color w:val="auto"/>
                <w:lang w:eastAsia="zh-CN"/>
              </w:rPr>
            </w:pPr>
            <w:r>
              <w:rPr>
                <w:rFonts w:hint="eastAsia" w:ascii="仿宋" w:hAnsi="仿宋" w:eastAsia="仿宋" w:cs="宋体"/>
                <w:color w:val="auto"/>
                <w:lang w:eastAsia="zh-CN"/>
              </w:rPr>
              <w:t>水质在线监测设备运维</w:t>
            </w:r>
          </w:p>
        </w:tc>
        <w:tc>
          <w:tcPr>
            <w:tcW w:w="2760"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uto"/>
              <w:rPr>
                <w:rFonts w:hint="eastAsia" w:ascii="仿宋" w:hAnsi="仿宋" w:eastAsia="仿宋" w:cs="宋体"/>
                <w:color w:val="auto"/>
                <w:lang w:eastAsia="zh-CN"/>
              </w:rPr>
            </w:pPr>
            <w:r>
              <w:rPr>
                <w:rFonts w:hint="eastAsia" w:ascii="仿宋" w:hAnsi="仿宋" w:eastAsia="仿宋" w:cs="宋体"/>
                <w:color w:val="auto"/>
                <w:lang w:eastAsia="zh-CN"/>
              </w:rPr>
              <w:t>现有在线监测仪器</w:t>
            </w:r>
          </w:p>
          <w:p>
            <w:pPr>
              <w:pStyle w:val="9"/>
              <w:spacing w:before="120" w:beforeLines="50" w:after="120" w:afterLines="50" w:line="240" w:lineRule="auto"/>
              <w:rPr>
                <w:rFonts w:hint="eastAsia" w:ascii="仿宋" w:hAnsi="仿宋" w:eastAsia="仿宋" w:cs="宋体"/>
                <w:color w:val="auto"/>
                <w:lang w:eastAsia="zh-CN"/>
              </w:rPr>
            </w:pPr>
            <w:r>
              <w:rPr>
                <w:rFonts w:hint="eastAsia" w:ascii="仿宋" w:hAnsi="仿宋" w:eastAsia="仿宋" w:cs="宋体"/>
                <w:color w:val="auto"/>
                <w:lang w:eastAsia="zh-CN"/>
              </w:rPr>
              <w:t>1、西区：流量计、PH计、余氯、COD、数采仪。</w:t>
            </w:r>
          </w:p>
          <w:p>
            <w:pPr>
              <w:pStyle w:val="9"/>
              <w:spacing w:before="120" w:beforeLines="50" w:after="120" w:afterLines="50" w:line="240" w:lineRule="auto"/>
              <w:rPr>
                <w:rFonts w:hint="eastAsia" w:ascii="仿宋" w:hAnsi="仿宋" w:eastAsia="仿宋" w:cs="宋体"/>
                <w:color w:val="auto"/>
                <w:lang w:val="en-US" w:eastAsia="zh-CN"/>
              </w:rPr>
            </w:pPr>
            <w:r>
              <w:rPr>
                <w:rFonts w:hint="eastAsia" w:ascii="仿宋" w:hAnsi="仿宋" w:eastAsia="仿宋" w:cs="宋体"/>
                <w:color w:val="auto"/>
                <w:lang w:eastAsia="zh-CN"/>
              </w:rPr>
              <w:t>2、东区：流量计、PH计、余氯、COD、数采仪</w:t>
            </w:r>
          </w:p>
        </w:tc>
        <w:tc>
          <w:tcPr>
            <w:tcW w:w="3320"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uto"/>
              <w:rPr>
                <w:rFonts w:hint="eastAsia" w:ascii="仿宋" w:hAnsi="仿宋" w:eastAsia="仿宋" w:cs="宋体"/>
                <w:color w:val="auto"/>
                <w:lang w:eastAsia="zh-CN"/>
              </w:rPr>
            </w:pPr>
            <w:r>
              <w:rPr>
                <w:rFonts w:hint="eastAsia" w:ascii="仿宋" w:hAnsi="仿宋" w:eastAsia="仿宋" w:cs="宋体"/>
                <w:color w:val="auto"/>
                <w:lang w:eastAsia="zh-CN"/>
              </w:rPr>
              <w:t>1、自动监测运维人员须持证上岗；</w:t>
            </w:r>
          </w:p>
          <w:p>
            <w:pPr>
              <w:spacing w:before="120" w:beforeLines="50" w:after="120" w:afterLines="50" w:line="240" w:lineRule="auto"/>
              <w:rPr>
                <w:rFonts w:hint="eastAsia" w:ascii="仿宋" w:hAnsi="仿宋" w:eastAsia="仿宋" w:cs="宋体"/>
                <w:color w:val="auto"/>
                <w:lang w:eastAsia="zh-CN"/>
              </w:rPr>
            </w:pPr>
            <w:r>
              <w:rPr>
                <w:rFonts w:hint="eastAsia" w:ascii="仿宋" w:hAnsi="仿宋" w:eastAsia="仿宋" w:cs="宋体"/>
                <w:color w:val="auto"/>
                <w:lang w:val="en-US" w:eastAsia="zh-CN"/>
              </w:rPr>
              <w:t>2、</w:t>
            </w:r>
            <w:r>
              <w:rPr>
                <w:rFonts w:hint="eastAsia" w:ascii="仿宋" w:hAnsi="仿宋" w:eastAsia="仿宋" w:cs="宋体"/>
                <w:color w:val="auto"/>
                <w:lang w:eastAsia="zh-CN"/>
              </w:rPr>
              <w:t>水质在线监测设备运维要求执行标准为《水污染源在线监测系统运行技术规范》HJ 355-2019；</w:t>
            </w:r>
          </w:p>
          <w:p>
            <w:pPr>
              <w:spacing w:before="120" w:beforeLines="50" w:after="120" w:afterLines="50" w:line="240" w:lineRule="auto"/>
              <w:rPr>
                <w:rFonts w:hint="eastAsia" w:ascii="仿宋" w:hAnsi="仿宋" w:eastAsia="仿宋" w:cs="宋体"/>
                <w:color w:val="auto"/>
                <w:lang w:eastAsia="zh-CN"/>
              </w:rPr>
            </w:pPr>
            <w:r>
              <w:rPr>
                <w:rFonts w:hint="eastAsia" w:ascii="仿宋" w:hAnsi="仿宋" w:eastAsia="仿宋" w:cs="宋体"/>
                <w:color w:val="auto"/>
                <w:lang w:eastAsia="zh-CN"/>
              </w:rPr>
              <w:t>3、因水质在线运维不规范或数据造假所导致的环保处罚由乙方承担。</w:t>
            </w:r>
          </w:p>
          <w:p>
            <w:pPr>
              <w:pStyle w:val="4"/>
              <w:spacing w:before="120" w:beforeLines="50" w:after="120" w:afterLines="50" w:line="240" w:lineRule="auto"/>
              <w:rPr>
                <w:rFonts w:hint="eastAsia" w:ascii="仿宋" w:hAnsi="仿宋" w:eastAsia="仿宋" w:cs="宋体"/>
                <w:color w:val="auto"/>
                <w:sz w:val="24"/>
                <w:szCs w:val="24"/>
                <w:lang w:eastAsia="zh-CN"/>
              </w:rPr>
            </w:pPr>
            <w:r>
              <w:rPr>
                <w:rFonts w:hint="eastAsia" w:ascii="仿宋" w:hAnsi="仿宋" w:eastAsia="仿宋" w:cs="宋体"/>
                <w:color w:val="auto"/>
                <w:sz w:val="24"/>
                <w:szCs w:val="24"/>
                <w:lang w:val="en-US" w:eastAsia="zh-CN"/>
              </w:rPr>
              <w:t>4、比对监测和校验：在线监测设备按照江苏省污染源自动监测管理办法》（2022年修订）第六章比对校验的要求进行人工比对监测和校验，</w:t>
            </w:r>
            <w:r>
              <w:rPr>
                <w:rFonts w:hint="eastAsia" w:ascii="仿宋" w:hAnsi="仿宋" w:eastAsia="仿宋" w:cs="宋体"/>
                <w:color w:val="auto"/>
                <w:sz w:val="24"/>
                <w:szCs w:val="24"/>
                <w:lang w:eastAsia="zh-CN"/>
              </w:rPr>
              <w:t>确保污水设备正常、稳定，准确检测和处理医疗废水。</w:t>
            </w:r>
          </w:p>
          <w:p>
            <w:pPr>
              <w:pStyle w:val="4"/>
              <w:spacing w:before="120" w:beforeLines="50" w:after="120" w:afterLines="50" w:line="240" w:lineRule="auto"/>
              <w:rPr>
                <w:rFonts w:eastAsiaTheme="minorEastAsia"/>
                <w:lang w:eastAsia="zh-CN"/>
              </w:rPr>
            </w:pPr>
            <w:r>
              <w:rPr>
                <w:rFonts w:hint="eastAsia" w:ascii="仿宋" w:hAnsi="仿宋" w:eastAsia="仿宋" w:cs="宋体"/>
                <w:color w:val="auto"/>
                <w:sz w:val="24"/>
                <w:szCs w:val="24"/>
                <w:lang w:val="en-US" w:eastAsia="zh-CN"/>
              </w:rPr>
              <w:t>5、东区污水在线监测设备监测站房（含监测设备）因我院建设需求预计2025年3月移至污水排水口附近指定区域，乙方应按照《HJ353-2019HJ354-2019水污染源在线监测系统（CODCr等）安装技术规范》及《HJ354-2019水污染源在线监测系统（CODCr等）验收技术规范》要求完成安装验收工作。</w:t>
            </w:r>
          </w:p>
        </w:tc>
        <w:tc>
          <w:tcPr>
            <w:tcW w:w="1527"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uto"/>
              <w:jc w:val="center"/>
              <w:rPr>
                <w:rFonts w:hint="eastAsia" w:ascii="仿宋" w:hAnsi="仿宋" w:eastAsia="仿宋" w:cs="宋体"/>
                <w:color w:val="auto"/>
                <w:lang w:val="en-US" w:eastAsia="zh-CN"/>
              </w:rPr>
            </w:pPr>
          </w:p>
        </w:tc>
      </w:tr>
      <w:tr>
        <w:tblPrEx>
          <w:tblCellMar>
            <w:top w:w="0" w:type="dxa"/>
            <w:left w:w="108" w:type="dxa"/>
            <w:bottom w:w="0" w:type="dxa"/>
            <w:right w:w="108" w:type="dxa"/>
          </w:tblCellMar>
        </w:tblPrEx>
        <w:trPr>
          <w:trHeight w:val="302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uto"/>
              <w:jc w:val="center"/>
              <w:rPr>
                <w:rFonts w:hint="eastAsia" w:ascii="仿宋" w:hAnsi="仿宋" w:eastAsia="仿宋" w:cs="宋体"/>
                <w:color w:val="auto"/>
                <w:lang w:val="en-US" w:eastAsia="zh-CN"/>
              </w:rPr>
            </w:pPr>
            <w:r>
              <w:rPr>
                <w:rFonts w:hint="eastAsia" w:ascii="仿宋" w:hAnsi="仿宋" w:eastAsia="仿宋" w:cs="宋体"/>
                <w:color w:val="auto"/>
                <w:lang w:val="en-US" w:eastAsia="zh-CN"/>
              </w:rPr>
              <w:t>4</w:t>
            </w:r>
          </w:p>
        </w:tc>
        <w:tc>
          <w:tcPr>
            <w:tcW w:w="1258"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uto"/>
              <w:rPr>
                <w:rFonts w:hint="eastAsia" w:ascii="仿宋" w:hAnsi="仿宋" w:eastAsia="仿宋" w:cs="宋体"/>
                <w:color w:val="auto"/>
              </w:rPr>
            </w:pPr>
            <w:r>
              <w:rPr>
                <w:rFonts w:hint="eastAsia" w:ascii="仿宋" w:hAnsi="仿宋" w:eastAsia="仿宋" w:cs="宋体"/>
                <w:color w:val="auto"/>
                <w:lang w:eastAsia="zh-CN"/>
              </w:rPr>
              <w:t>污泥</w:t>
            </w:r>
            <w:r>
              <w:rPr>
                <w:rFonts w:hint="eastAsia" w:ascii="仿宋" w:hAnsi="仿宋" w:eastAsia="仿宋" w:cs="宋体"/>
                <w:color w:val="auto"/>
              </w:rPr>
              <w:t>处置</w:t>
            </w:r>
          </w:p>
        </w:tc>
        <w:tc>
          <w:tcPr>
            <w:tcW w:w="2760" w:type="dxa"/>
            <w:tcBorders>
              <w:top w:val="single" w:color="000000" w:sz="4" w:space="0"/>
              <w:left w:val="single" w:color="000000" w:sz="4" w:space="0"/>
              <w:bottom w:val="single" w:color="000000" w:sz="4" w:space="0"/>
              <w:right w:val="single" w:color="000000" w:sz="4" w:space="0"/>
            </w:tcBorders>
            <w:vAlign w:val="center"/>
          </w:tcPr>
          <w:p>
            <w:pPr>
              <w:pStyle w:val="4"/>
              <w:spacing w:before="120" w:beforeLines="50" w:after="120" w:afterLines="50" w:line="240" w:lineRule="auto"/>
              <w:rPr>
                <w:rFonts w:hint="eastAsia" w:ascii="仿宋" w:hAnsi="仿宋" w:eastAsia="仿宋" w:cs="宋体"/>
                <w:color w:val="auto"/>
                <w:sz w:val="24"/>
                <w:szCs w:val="24"/>
                <w:lang w:eastAsia="zh-CN"/>
              </w:rPr>
            </w:pPr>
            <w:r>
              <w:rPr>
                <w:rFonts w:hint="eastAsia" w:ascii="仿宋" w:hAnsi="仿宋" w:eastAsia="仿宋" w:cs="宋体"/>
                <w:color w:val="auto"/>
                <w:sz w:val="24"/>
                <w:szCs w:val="24"/>
                <w:lang w:val="en-US" w:eastAsia="zh-CN"/>
              </w:rPr>
              <w:t>1、</w:t>
            </w:r>
            <w:r>
              <w:rPr>
                <w:rFonts w:hint="eastAsia" w:ascii="仿宋" w:hAnsi="仿宋" w:eastAsia="仿宋" w:cs="宋体"/>
                <w:color w:val="auto"/>
                <w:sz w:val="24"/>
                <w:szCs w:val="24"/>
                <w:lang w:eastAsia="zh-CN"/>
              </w:rPr>
              <w:t>负责叠螺机设备的安装和后续维护保养。</w:t>
            </w:r>
          </w:p>
          <w:p>
            <w:pPr>
              <w:pStyle w:val="4"/>
              <w:spacing w:before="120" w:beforeLines="50" w:after="120" w:afterLines="50" w:line="240" w:lineRule="auto"/>
              <w:rPr>
                <w:rFonts w:hint="eastAsia" w:ascii="仿宋" w:hAnsi="仿宋" w:eastAsia="仿宋" w:cs="宋体"/>
                <w:color w:val="auto"/>
                <w:sz w:val="24"/>
                <w:szCs w:val="24"/>
                <w:lang w:eastAsia="zh-CN"/>
              </w:rPr>
            </w:pPr>
            <w:r>
              <w:rPr>
                <w:rFonts w:hint="eastAsia" w:ascii="仿宋" w:hAnsi="仿宋" w:eastAsia="仿宋" w:cs="宋体"/>
                <w:color w:val="auto"/>
                <w:sz w:val="24"/>
                <w:szCs w:val="24"/>
                <w:lang w:val="en-US" w:eastAsia="zh-CN"/>
              </w:rPr>
              <w:t>2、</w:t>
            </w:r>
            <w:r>
              <w:rPr>
                <w:rFonts w:hint="eastAsia" w:ascii="仿宋" w:hAnsi="仿宋" w:eastAsia="仿宋" w:cs="宋体"/>
                <w:color w:val="auto"/>
                <w:sz w:val="24"/>
                <w:szCs w:val="24"/>
                <w:lang w:eastAsia="zh-CN"/>
              </w:rPr>
              <w:t>包括污泥处置前的压滤消毒等工作</w:t>
            </w:r>
          </w:p>
          <w:p>
            <w:pPr>
              <w:pStyle w:val="4"/>
              <w:spacing w:before="120" w:beforeLines="50" w:after="120" w:afterLines="50" w:line="240" w:lineRule="auto"/>
              <w:rPr>
                <w:rFonts w:hint="eastAsia" w:ascii="仿宋" w:hAnsi="仿宋" w:eastAsia="仿宋" w:cs="宋体"/>
                <w:color w:val="auto"/>
                <w:sz w:val="24"/>
                <w:szCs w:val="24"/>
                <w:lang w:eastAsia="zh-CN"/>
              </w:rPr>
            </w:pPr>
            <w:r>
              <w:rPr>
                <w:rFonts w:hint="eastAsia" w:ascii="仿宋" w:hAnsi="仿宋" w:eastAsia="仿宋" w:cs="宋体"/>
                <w:color w:val="auto"/>
                <w:sz w:val="24"/>
                <w:szCs w:val="24"/>
                <w:lang w:val="en-US" w:eastAsia="zh-CN"/>
              </w:rPr>
              <w:t>3、</w:t>
            </w:r>
            <w:r>
              <w:rPr>
                <w:rFonts w:hint="eastAsia" w:ascii="仿宋" w:hAnsi="仿宋" w:eastAsia="仿宋" w:cs="宋体"/>
                <w:color w:val="auto"/>
                <w:sz w:val="24"/>
                <w:szCs w:val="24"/>
                <w:lang w:eastAsia="zh-CN"/>
              </w:rPr>
              <w:t>污泥处置须委托有资质的危废处置第三方公司，且负责环保脸谱“一企一档”危废平台管理（</w:t>
            </w:r>
            <w:r>
              <w:rPr>
                <w:rFonts w:hint="eastAsia" w:ascii="仿宋" w:hAnsi="仿宋" w:eastAsia="仿宋" w:cs="宋体"/>
                <w:color w:val="auto"/>
                <w:sz w:val="24"/>
                <w:szCs w:val="24"/>
                <w:lang w:val="en-US" w:eastAsia="zh-CN"/>
              </w:rPr>
              <w:t>污泥处置费由甲方负责</w:t>
            </w:r>
            <w:r>
              <w:rPr>
                <w:rFonts w:hint="eastAsia" w:ascii="仿宋" w:hAnsi="仿宋" w:eastAsia="仿宋" w:cs="宋体"/>
                <w:color w:val="auto"/>
                <w:sz w:val="24"/>
                <w:szCs w:val="24"/>
                <w:lang w:eastAsia="zh-CN"/>
              </w:rPr>
              <w:t>）</w:t>
            </w:r>
          </w:p>
        </w:tc>
        <w:tc>
          <w:tcPr>
            <w:tcW w:w="3320"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before="120" w:beforeLines="50" w:after="120" w:afterLines="50" w:line="240" w:lineRule="auto"/>
              <w:rPr>
                <w:rFonts w:hint="eastAsia" w:ascii="仿宋" w:hAnsi="仿宋" w:eastAsia="仿宋" w:cs="宋体"/>
                <w:color w:val="auto"/>
                <w:lang w:val="en-US" w:eastAsia="zh-CN"/>
              </w:rPr>
            </w:pPr>
            <w:r>
              <w:rPr>
                <w:rFonts w:hint="eastAsia" w:ascii="仿宋" w:hAnsi="仿宋" w:eastAsia="仿宋" w:cs="宋体"/>
                <w:color w:val="auto"/>
                <w:lang w:val="en-US" w:eastAsia="zh-CN"/>
              </w:rPr>
              <w:t>叠螺机：东西区医院各一台（参考品牌：博一、安尼康、康泰或更高规格）；</w:t>
            </w:r>
          </w:p>
          <w:p>
            <w:pPr>
              <w:spacing w:before="120" w:beforeLines="50" w:after="120" w:afterLines="50" w:line="240" w:lineRule="auto"/>
              <w:rPr>
                <w:rFonts w:hint="eastAsia" w:ascii="仿宋" w:hAnsi="仿宋" w:eastAsia="仿宋" w:cs="宋体"/>
                <w:color w:val="auto"/>
                <w:lang w:val="en-US" w:eastAsia="zh-CN"/>
              </w:rPr>
            </w:pPr>
            <w:r>
              <w:rPr>
                <w:rFonts w:hint="eastAsia" w:ascii="仿宋" w:hAnsi="仿宋" w:eastAsia="仿宋" w:cs="宋体"/>
                <w:color w:val="auto"/>
                <w:lang w:val="en-US" w:eastAsia="zh-CN"/>
              </w:rPr>
              <w:t>处理量：5-10DSkg/h；</w:t>
            </w:r>
          </w:p>
          <w:p>
            <w:pPr>
              <w:spacing w:before="120" w:beforeLines="50" w:after="120" w:afterLines="50" w:line="240" w:lineRule="auto"/>
              <w:rPr>
                <w:rFonts w:hint="eastAsia" w:ascii="仿宋" w:hAnsi="仿宋" w:eastAsia="仿宋" w:cs="宋体"/>
                <w:color w:val="auto"/>
                <w:lang w:val="en-US" w:eastAsia="zh-CN"/>
              </w:rPr>
            </w:pPr>
            <w:r>
              <w:rPr>
                <w:rFonts w:hint="eastAsia" w:ascii="仿宋" w:hAnsi="仿宋" w:eastAsia="仿宋" w:cs="宋体"/>
                <w:color w:val="auto"/>
                <w:lang w:val="en-US" w:eastAsia="zh-CN"/>
              </w:rPr>
              <w:t>总功率：1.12kw；</w:t>
            </w:r>
          </w:p>
          <w:p>
            <w:pPr>
              <w:spacing w:before="120" w:beforeLines="50" w:after="120" w:afterLines="50" w:line="240" w:lineRule="auto"/>
              <w:rPr>
                <w:rFonts w:hint="eastAsia" w:ascii="仿宋" w:hAnsi="仿宋" w:eastAsia="仿宋" w:cs="宋体"/>
                <w:color w:val="auto"/>
                <w:lang w:val="en-US" w:eastAsia="zh-CN"/>
              </w:rPr>
            </w:pPr>
            <w:r>
              <w:rPr>
                <w:rFonts w:hint="eastAsia" w:ascii="仿宋" w:hAnsi="仿宋" w:eastAsia="仿宋" w:cs="宋体"/>
                <w:color w:val="auto"/>
                <w:lang w:val="en-US" w:eastAsia="zh-CN"/>
              </w:rPr>
              <w:t>材质：304不锈钢；</w:t>
            </w:r>
          </w:p>
          <w:p>
            <w:pPr>
              <w:spacing w:before="120" w:beforeLines="50" w:after="120" w:afterLines="50" w:line="240" w:lineRule="auto"/>
              <w:rPr>
                <w:rFonts w:hint="eastAsia" w:ascii="仿宋" w:hAnsi="仿宋" w:eastAsia="仿宋" w:cs="宋体"/>
                <w:color w:val="auto"/>
                <w:lang w:val="en-US" w:eastAsia="zh-CN"/>
              </w:rPr>
            </w:pPr>
            <w:r>
              <w:rPr>
                <w:rFonts w:hint="eastAsia" w:ascii="仿宋" w:hAnsi="仿宋" w:eastAsia="仿宋" w:cs="宋体"/>
                <w:color w:val="auto"/>
                <w:lang w:val="en-US" w:eastAsia="zh-CN"/>
              </w:rPr>
              <w:t>外形尺寸：</w:t>
            </w:r>
          </w:p>
          <w:p>
            <w:pPr>
              <w:spacing w:before="120" w:beforeLines="50" w:after="120" w:afterLines="50" w:line="240" w:lineRule="auto"/>
              <w:rPr>
                <w:rFonts w:hint="eastAsia" w:ascii="仿宋" w:hAnsi="仿宋" w:eastAsia="仿宋" w:cs="宋体"/>
                <w:color w:val="auto"/>
                <w:lang w:val="en-US" w:eastAsia="zh-CN"/>
              </w:rPr>
            </w:pPr>
            <w:r>
              <w:rPr>
                <w:rFonts w:hint="eastAsia" w:ascii="仿宋" w:hAnsi="仿宋" w:eastAsia="仿宋" w:cs="宋体"/>
                <w:color w:val="auto"/>
                <w:lang w:val="en-US" w:eastAsia="zh-CN"/>
              </w:rPr>
              <w:t>2200mm×500mm×1500mm。</w:t>
            </w:r>
          </w:p>
          <w:p>
            <w:pPr>
              <w:numPr>
                <w:ilvl w:val="0"/>
                <w:numId w:val="1"/>
              </w:numPr>
              <w:spacing w:before="120" w:beforeLines="50" w:after="120" w:afterLines="50" w:line="240" w:lineRule="auto"/>
              <w:rPr>
                <w:rFonts w:hint="eastAsia" w:ascii="仿宋" w:hAnsi="仿宋" w:eastAsia="仿宋" w:cs="宋体"/>
                <w:color w:val="auto"/>
                <w:lang w:val="en-US" w:eastAsia="zh-CN"/>
              </w:rPr>
            </w:pPr>
            <w:r>
              <w:rPr>
                <w:rFonts w:hint="eastAsia" w:ascii="仿宋" w:hAnsi="仿宋" w:eastAsia="仿宋" w:cs="宋体"/>
                <w:color w:val="auto"/>
                <w:lang w:val="en-US" w:eastAsia="zh-CN"/>
              </w:rPr>
              <w:t>PAM加药装置：东西区各一台；</w:t>
            </w:r>
          </w:p>
          <w:p>
            <w:pPr>
              <w:spacing w:before="120" w:beforeLines="50" w:after="120" w:afterLines="50" w:line="240" w:lineRule="auto"/>
              <w:rPr>
                <w:rFonts w:hint="eastAsia" w:ascii="仿宋" w:hAnsi="仿宋" w:eastAsia="仿宋" w:cs="宋体"/>
                <w:color w:val="auto"/>
                <w:lang w:val="en-US" w:eastAsia="zh-CN"/>
              </w:rPr>
            </w:pPr>
            <w:r>
              <w:rPr>
                <w:rFonts w:hint="eastAsia" w:ascii="仿宋" w:hAnsi="仿宋" w:eastAsia="仿宋" w:cs="宋体"/>
                <w:color w:val="auto"/>
                <w:lang w:val="en-US" w:eastAsia="zh-CN"/>
              </w:rPr>
              <w:t>容积：500L；</w:t>
            </w:r>
          </w:p>
          <w:p>
            <w:pPr>
              <w:spacing w:before="120" w:beforeLines="50" w:after="120" w:afterLines="50" w:line="240" w:lineRule="auto"/>
              <w:rPr>
                <w:rFonts w:hint="eastAsia" w:ascii="仿宋" w:hAnsi="仿宋" w:eastAsia="仿宋" w:cs="宋体"/>
                <w:color w:val="auto"/>
                <w:lang w:val="en-US" w:eastAsia="zh-CN"/>
              </w:rPr>
            </w:pPr>
            <w:r>
              <w:rPr>
                <w:rFonts w:hint="eastAsia" w:ascii="仿宋" w:hAnsi="仿宋" w:eastAsia="仿宋" w:cs="宋体"/>
                <w:color w:val="auto"/>
                <w:lang w:val="en-US" w:eastAsia="zh-CN"/>
              </w:rPr>
              <w:t>搅拌机：0.37kw；</w:t>
            </w:r>
          </w:p>
          <w:p>
            <w:pPr>
              <w:spacing w:before="120" w:beforeLines="50" w:after="120" w:afterLines="50" w:line="240" w:lineRule="auto"/>
              <w:ind w:left="1200" w:hanging="1200" w:hangingChars="500"/>
              <w:rPr>
                <w:rFonts w:hint="eastAsia" w:ascii="仿宋" w:hAnsi="仿宋" w:eastAsia="仿宋" w:cs="宋体"/>
                <w:color w:val="auto"/>
                <w:lang w:val="en-US" w:eastAsia="zh-CN"/>
              </w:rPr>
            </w:pPr>
            <w:r>
              <w:rPr>
                <w:rFonts w:hint="eastAsia" w:ascii="仿宋" w:hAnsi="仿宋" w:eastAsia="仿宋" w:cs="宋体"/>
                <w:color w:val="auto"/>
                <w:lang w:val="en-US" w:eastAsia="zh-CN"/>
              </w:rPr>
              <w:t>加药泵：Q=50L/h，H=10m，</w:t>
            </w:r>
          </w:p>
          <w:p>
            <w:pPr>
              <w:spacing w:before="120" w:beforeLines="50" w:after="120" w:afterLines="50" w:line="240" w:lineRule="auto"/>
              <w:rPr>
                <w:rFonts w:hint="eastAsia" w:ascii="仿宋" w:hAnsi="仿宋" w:eastAsia="仿宋" w:cs="宋体"/>
                <w:color w:val="auto"/>
                <w:lang w:val="en-US" w:eastAsia="zh-CN"/>
              </w:rPr>
            </w:pPr>
            <w:r>
              <w:rPr>
                <w:rFonts w:hint="eastAsia" w:ascii="仿宋" w:hAnsi="仿宋" w:eastAsia="仿宋" w:cs="宋体"/>
                <w:color w:val="auto"/>
                <w:lang w:val="en-US" w:eastAsia="zh-CN"/>
              </w:rPr>
              <w:t>N=0.37kw</w:t>
            </w:r>
          </w:p>
          <w:p>
            <w:pPr>
              <w:spacing w:before="120" w:beforeLines="50" w:after="120" w:afterLines="50" w:line="240" w:lineRule="auto"/>
              <w:rPr>
                <w:rFonts w:hint="eastAsia" w:ascii="仿宋" w:hAnsi="仿宋" w:eastAsia="仿宋" w:cs="宋体"/>
                <w:color w:val="auto"/>
                <w:lang w:val="en-US" w:eastAsia="zh-CN"/>
              </w:rPr>
            </w:pPr>
            <w:r>
              <w:rPr>
                <w:rFonts w:hint="eastAsia" w:ascii="仿宋" w:hAnsi="仿宋" w:eastAsia="仿宋" w:cs="宋体"/>
                <w:color w:val="auto"/>
                <w:lang w:val="en-US" w:eastAsia="zh-CN"/>
              </w:rPr>
              <w:t>3、污泥泵：东西区各一台；流量：6m</w:t>
            </w:r>
            <w:r>
              <w:rPr>
                <w:rFonts w:ascii="Calibri" w:hAnsi="Calibri" w:eastAsia="仿宋" w:cs="Calibri"/>
                <w:color w:val="auto"/>
                <w:lang w:val="en-US" w:eastAsia="zh-CN"/>
              </w:rPr>
              <w:t>³</w:t>
            </w:r>
            <w:r>
              <w:rPr>
                <w:rFonts w:hint="eastAsia" w:ascii="仿宋" w:hAnsi="仿宋" w:eastAsia="仿宋" w:cs="宋体"/>
                <w:color w:val="auto"/>
                <w:lang w:val="en-US" w:eastAsia="zh-CN"/>
              </w:rPr>
              <w:t>/h，扬程：15m，功率：0.75kw。</w:t>
            </w:r>
          </w:p>
          <w:p>
            <w:pPr>
              <w:spacing w:before="120" w:beforeLines="50" w:after="120" w:afterLines="50" w:line="240" w:lineRule="auto"/>
              <w:rPr>
                <w:rFonts w:hint="eastAsia" w:ascii="仿宋" w:hAnsi="仿宋" w:eastAsia="仿宋" w:cs="宋体"/>
                <w:color w:val="auto"/>
                <w:lang w:val="en-US" w:eastAsia="zh-CN"/>
              </w:rPr>
            </w:pPr>
            <w:r>
              <w:rPr>
                <w:rFonts w:hint="eastAsia" w:ascii="仿宋" w:hAnsi="仿宋" w:eastAsia="仿宋" w:cs="宋体"/>
                <w:color w:val="auto"/>
                <w:lang w:val="en-US" w:eastAsia="zh-CN"/>
              </w:rPr>
              <w:t>4、设备房：西区：现有污水站设备间调整。</w:t>
            </w:r>
          </w:p>
          <w:p>
            <w:pPr>
              <w:spacing w:before="120" w:beforeLines="50" w:after="120" w:afterLines="50" w:line="240" w:lineRule="auto"/>
              <w:rPr>
                <w:rFonts w:hint="eastAsia" w:ascii="仿宋" w:hAnsi="仿宋" w:eastAsia="仿宋" w:cs="宋体"/>
                <w:color w:val="auto"/>
                <w:lang w:val="en-US" w:eastAsia="zh-CN"/>
              </w:rPr>
            </w:pPr>
            <w:r>
              <w:rPr>
                <w:rFonts w:hint="eastAsia" w:ascii="仿宋" w:hAnsi="仿宋" w:eastAsia="仿宋" w:cs="宋体"/>
                <w:color w:val="auto"/>
                <w:lang w:val="en-US" w:eastAsia="zh-CN"/>
              </w:rPr>
              <w:t>东区：钢结构，尺寸：</w:t>
            </w:r>
          </w:p>
          <w:p>
            <w:pPr>
              <w:spacing w:before="120" w:beforeLines="50" w:after="120" w:afterLines="50" w:line="240" w:lineRule="auto"/>
              <w:rPr>
                <w:rFonts w:hint="eastAsia" w:ascii="仿宋" w:hAnsi="仿宋" w:eastAsia="仿宋" w:cs="宋体"/>
                <w:color w:val="auto"/>
                <w:lang w:val="en-US" w:eastAsia="zh-CN"/>
              </w:rPr>
            </w:pPr>
            <w:r>
              <w:rPr>
                <w:rFonts w:hint="eastAsia" w:ascii="仿宋" w:hAnsi="仿宋" w:eastAsia="仿宋" w:cs="宋体"/>
                <w:color w:val="auto"/>
                <w:lang w:val="en-US" w:eastAsia="zh-CN"/>
              </w:rPr>
              <w:t>4500mm×3000mm×2800mm；</w:t>
            </w:r>
          </w:p>
          <w:p>
            <w:pPr>
              <w:spacing w:before="120" w:beforeLines="50" w:after="120" w:afterLines="50" w:line="240" w:lineRule="auto"/>
              <w:rPr>
                <w:rFonts w:hint="eastAsia" w:ascii="仿宋" w:hAnsi="仿宋" w:eastAsia="仿宋" w:cs="宋体"/>
                <w:color w:val="auto"/>
                <w:lang w:val="en-US" w:eastAsia="zh-CN"/>
              </w:rPr>
            </w:pPr>
            <w:r>
              <w:rPr>
                <w:rFonts w:hint="eastAsia" w:ascii="仿宋" w:hAnsi="仿宋" w:eastAsia="仿宋" w:cs="宋体"/>
                <w:color w:val="auto"/>
                <w:lang w:val="en-US" w:eastAsia="zh-CN"/>
              </w:rPr>
              <w:t>需考虑管道等辅材。</w:t>
            </w:r>
          </w:p>
        </w:tc>
        <w:tc>
          <w:tcPr>
            <w:tcW w:w="1527"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uto"/>
              <w:jc w:val="center"/>
              <w:rPr>
                <w:rFonts w:hint="eastAsia" w:ascii="仿宋" w:hAnsi="仿宋" w:eastAsia="仿宋" w:cs="宋体"/>
                <w:color w:val="auto"/>
                <w:lang w:val="en-US" w:eastAsia="zh-CN"/>
              </w:rPr>
            </w:pPr>
          </w:p>
        </w:tc>
      </w:tr>
      <w:tr>
        <w:tblPrEx>
          <w:tblCellMar>
            <w:top w:w="0" w:type="dxa"/>
            <w:left w:w="108" w:type="dxa"/>
            <w:bottom w:w="0" w:type="dxa"/>
            <w:right w:w="108" w:type="dxa"/>
          </w:tblCellMar>
        </w:tblPrEx>
        <w:trPr>
          <w:trHeight w:val="301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uto"/>
              <w:jc w:val="center"/>
              <w:rPr>
                <w:rFonts w:hint="eastAsia" w:ascii="仿宋" w:hAnsi="仿宋" w:eastAsia="仿宋" w:cs="宋体"/>
                <w:color w:val="auto"/>
                <w:lang w:eastAsia="zh-CN"/>
              </w:rPr>
            </w:pPr>
            <w:r>
              <w:rPr>
                <w:rFonts w:hint="eastAsia" w:ascii="仿宋" w:hAnsi="仿宋" w:eastAsia="仿宋" w:cs="宋体"/>
                <w:color w:val="auto"/>
                <w:lang w:val="en-US" w:eastAsia="zh-CN"/>
              </w:rPr>
              <w:t>5</w:t>
            </w:r>
          </w:p>
        </w:tc>
        <w:tc>
          <w:tcPr>
            <w:tcW w:w="1258"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uto"/>
              <w:rPr>
                <w:rFonts w:hint="eastAsia" w:ascii="仿宋" w:hAnsi="仿宋" w:eastAsia="仿宋" w:cs="宋体"/>
                <w:color w:val="auto"/>
                <w:lang w:eastAsia="zh-CN"/>
              </w:rPr>
            </w:pPr>
            <w:r>
              <w:rPr>
                <w:rFonts w:hint="eastAsia" w:ascii="仿宋" w:hAnsi="仿宋" w:eastAsia="仿宋" w:cs="宋体"/>
                <w:color w:val="auto"/>
                <w:lang w:eastAsia="zh-CN"/>
              </w:rPr>
              <w:t>第三方排污许可自行监测</w:t>
            </w:r>
          </w:p>
        </w:tc>
        <w:tc>
          <w:tcPr>
            <w:tcW w:w="2760" w:type="dxa"/>
            <w:tcBorders>
              <w:top w:val="single" w:color="000000" w:sz="4" w:space="0"/>
              <w:left w:val="single" w:color="000000" w:sz="4" w:space="0"/>
              <w:bottom w:val="single" w:color="000000" w:sz="4" w:space="0"/>
              <w:right w:val="single" w:color="000000" w:sz="4" w:space="0"/>
            </w:tcBorders>
            <w:vAlign w:val="center"/>
          </w:tcPr>
          <w:p>
            <w:pPr>
              <w:pStyle w:val="4"/>
              <w:spacing w:before="120" w:beforeLines="50" w:after="120" w:afterLines="50" w:line="240" w:lineRule="auto"/>
              <w:rPr>
                <w:rFonts w:hint="eastAsia" w:ascii="仿宋" w:hAnsi="仿宋" w:eastAsia="仿宋" w:cs="宋体"/>
                <w:color w:val="auto"/>
                <w:sz w:val="24"/>
                <w:szCs w:val="24"/>
                <w:lang w:eastAsia="zh-CN"/>
              </w:rPr>
            </w:pPr>
            <w:r>
              <w:rPr>
                <w:rFonts w:hint="eastAsia" w:ascii="仿宋" w:hAnsi="仿宋" w:eastAsia="仿宋" w:cs="宋体"/>
                <w:color w:val="auto"/>
                <w:sz w:val="24"/>
                <w:szCs w:val="24"/>
                <w:lang w:eastAsia="zh-CN"/>
              </w:rPr>
              <w:t>严格按照排污许可证自行监测要求进行检测，包括频次、样品数、检测周期、分析方法均必须与排污许可证一致。提供具有CMA认证的第三方检测机构</w:t>
            </w:r>
            <w:r>
              <w:rPr>
                <w:rFonts w:hint="eastAsia" w:ascii="仿宋" w:hAnsi="仿宋" w:eastAsia="仿宋" w:cs="宋体"/>
                <w:color w:val="auto"/>
                <w:sz w:val="24"/>
                <w:szCs w:val="24"/>
                <w:lang w:val="en-US" w:eastAsia="zh-CN"/>
              </w:rPr>
              <w:t>环境</w:t>
            </w:r>
            <w:r>
              <w:rPr>
                <w:rFonts w:hint="eastAsia" w:ascii="仿宋" w:hAnsi="仿宋" w:eastAsia="仿宋" w:cs="宋体"/>
                <w:color w:val="auto"/>
                <w:sz w:val="24"/>
                <w:szCs w:val="24"/>
                <w:lang w:eastAsia="zh-CN"/>
              </w:rPr>
              <w:t>检测报告。</w:t>
            </w:r>
          </w:p>
        </w:tc>
        <w:tc>
          <w:tcPr>
            <w:tcW w:w="3320" w:type="dxa"/>
            <w:tcBorders>
              <w:top w:val="single" w:color="000000" w:sz="4" w:space="0"/>
              <w:left w:val="single" w:color="000000" w:sz="4" w:space="0"/>
              <w:bottom w:val="single" w:color="000000" w:sz="4" w:space="0"/>
              <w:right w:val="single" w:color="000000" w:sz="4" w:space="0"/>
            </w:tcBorders>
            <w:vAlign w:val="center"/>
          </w:tcPr>
          <w:p>
            <w:pPr>
              <w:pStyle w:val="9"/>
              <w:spacing w:before="120" w:beforeLines="50" w:after="120" w:afterLines="50" w:line="240" w:lineRule="auto"/>
              <w:rPr>
                <w:rFonts w:hint="eastAsia" w:ascii="仿宋" w:hAnsi="仿宋" w:eastAsia="仿宋" w:cs="宋体"/>
                <w:color w:val="auto"/>
                <w:lang w:eastAsia="zh-CN"/>
              </w:rPr>
            </w:pPr>
            <w:r>
              <w:rPr>
                <w:rFonts w:hint="eastAsia" w:ascii="仿宋" w:hAnsi="仿宋" w:eastAsia="仿宋" w:cs="宋体"/>
                <w:color w:val="auto"/>
                <w:lang w:val="en-US" w:eastAsia="zh-CN"/>
              </w:rPr>
              <w:t>1、</w:t>
            </w:r>
            <w:r>
              <w:rPr>
                <w:rFonts w:hint="eastAsia" w:ascii="仿宋" w:hAnsi="仿宋" w:eastAsia="仿宋" w:cs="宋体"/>
                <w:color w:val="auto"/>
                <w:lang w:eastAsia="zh-CN"/>
              </w:rPr>
              <w:t>负责“一企一档”手工检测数据填报；</w:t>
            </w:r>
          </w:p>
          <w:p>
            <w:pPr>
              <w:pStyle w:val="9"/>
              <w:spacing w:before="120" w:beforeLines="50" w:after="120" w:afterLines="50" w:line="240" w:lineRule="auto"/>
              <w:rPr>
                <w:rFonts w:hint="eastAsia" w:ascii="仿宋" w:hAnsi="仿宋" w:eastAsia="仿宋" w:cs="宋体"/>
                <w:color w:val="auto"/>
                <w:lang w:eastAsia="zh-CN"/>
              </w:rPr>
            </w:pPr>
            <w:r>
              <w:rPr>
                <w:rFonts w:hint="eastAsia" w:ascii="仿宋" w:hAnsi="仿宋" w:eastAsia="仿宋" w:cs="宋体"/>
                <w:color w:val="auto"/>
                <w:lang w:val="en-US" w:eastAsia="zh-CN"/>
              </w:rPr>
              <w:t>2、</w:t>
            </w:r>
            <w:r>
              <w:rPr>
                <w:rFonts w:hint="eastAsia" w:ascii="仿宋" w:hAnsi="仿宋" w:eastAsia="仿宋" w:cs="宋体"/>
                <w:color w:val="auto"/>
                <w:lang w:eastAsia="zh-CN"/>
              </w:rPr>
              <w:t>完成季报</w:t>
            </w:r>
            <w:r>
              <w:rPr>
                <w:rFonts w:hint="eastAsia" w:ascii="仿宋" w:hAnsi="仿宋" w:eastAsia="仿宋" w:cs="宋体"/>
                <w:color w:val="auto"/>
                <w:lang w:val="en-US" w:eastAsia="zh-CN"/>
              </w:rPr>
              <w:t>及</w:t>
            </w:r>
            <w:r>
              <w:rPr>
                <w:rFonts w:hint="eastAsia" w:ascii="仿宋" w:hAnsi="仿宋" w:eastAsia="仿宋" w:cs="宋体"/>
                <w:color w:val="auto"/>
                <w:lang w:eastAsia="zh-CN"/>
              </w:rPr>
              <w:t>年度执行报告；</w:t>
            </w:r>
          </w:p>
          <w:p>
            <w:pPr>
              <w:pStyle w:val="9"/>
              <w:spacing w:before="120" w:beforeLines="50" w:after="120" w:afterLines="50" w:line="240" w:lineRule="auto"/>
              <w:rPr>
                <w:rFonts w:hint="eastAsia" w:ascii="仿宋" w:hAnsi="仿宋" w:eastAsia="仿宋" w:cs="宋体"/>
                <w:color w:val="auto"/>
                <w:lang w:eastAsia="zh-CN"/>
              </w:rPr>
            </w:pPr>
            <w:r>
              <w:rPr>
                <w:rFonts w:hint="eastAsia" w:ascii="仿宋" w:hAnsi="仿宋" w:eastAsia="仿宋" w:cs="宋体"/>
                <w:color w:val="auto"/>
                <w:lang w:val="en-US" w:eastAsia="zh-CN"/>
              </w:rPr>
              <w:t>3、</w:t>
            </w:r>
            <w:r>
              <w:rPr>
                <w:rFonts w:hint="eastAsia" w:ascii="仿宋" w:hAnsi="仿宋" w:eastAsia="仿宋" w:cs="宋体"/>
                <w:color w:val="auto"/>
                <w:lang w:eastAsia="zh-CN"/>
              </w:rPr>
              <w:t>平台其他相关工作；</w:t>
            </w:r>
          </w:p>
          <w:p>
            <w:pPr>
              <w:spacing w:before="120" w:beforeLines="50" w:after="120" w:afterLines="50" w:line="240" w:lineRule="auto"/>
              <w:rPr>
                <w:rFonts w:hint="eastAsia" w:ascii="仿宋" w:hAnsi="仿宋" w:eastAsia="仿宋" w:cs="宋体"/>
                <w:color w:val="auto"/>
                <w:lang w:val="en-US" w:eastAsia="zh-CN"/>
              </w:rPr>
            </w:pPr>
            <w:r>
              <w:rPr>
                <w:rFonts w:hint="eastAsia" w:ascii="仿宋" w:hAnsi="仿宋" w:eastAsia="仿宋" w:cs="宋体"/>
                <w:color w:val="auto"/>
                <w:lang w:val="en-US" w:eastAsia="zh-CN"/>
              </w:rPr>
              <w:t>4、负责污水数据上传等信息填报。</w:t>
            </w:r>
          </w:p>
        </w:tc>
        <w:tc>
          <w:tcPr>
            <w:tcW w:w="1527" w:type="dxa"/>
            <w:tcBorders>
              <w:top w:val="single" w:color="000000" w:sz="4" w:space="0"/>
              <w:left w:val="single" w:color="000000" w:sz="4" w:space="0"/>
              <w:bottom w:val="single" w:color="000000" w:sz="4" w:space="0"/>
              <w:right w:val="single" w:color="000000" w:sz="4" w:space="0"/>
            </w:tcBorders>
            <w:vAlign w:val="center"/>
          </w:tcPr>
          <w:p>
            <w:pPr>
              <w:pStyle w:val="9"/>
              <w:spacing w:before="120" w:beforeLines="50" w:after="120" w:afterLines="50" w:line="240" w:lineRule="auto"/>
              <w:jc w:val="center"/>
              <w:rPr>
                <w:rFonts w:hint="eastAsia" w:ascii="仿宋" w:hAnsi="仿宋" w:eastAsia="仿宋" w:cs="宋体"/>
                <w:color w:val="auto"/>
                <w:lang w:val="en-US" w:eastAsia="zh-CN"/>
              </w:rPr>
            </w:pPr>
          </w:p>
        </w:tc>
      </w:tr>
      <w:tr>
        <w:tblPrEx>
          <w:tblCellMar>
            <w:top w:w="0" w:type="dxa"/>
            <w:left w:w="108" w:type="dxa"/>
            <w:bottom w:w="0" w:type="dxa"/>
            <w:right w:w="108" w:type="dxa"/>
          </w:tblCellMar>
        </w:tblPrEx>
        <w:trPr>
          <w:trHeight w:val="122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uto"/>
              <w:jc w:val="center"/>
              <w:rPr>
                <w:rFonts w:hint="eastAsia" w:ascii="仿宋" w:hAnsi="仿宋" w:eastAsia="仿宋" w:cs="宋体"/>
                <w:color w:val="auto"/>
                <w:lang w:val="en-US" w:eastAsia="zh-CN"/>
              </w:rPr>
            </w:pPr>
            <w:r>
              <w:rPr>
                <w:rFonts w:hint="eastAsia" w:ascii="仿宋" w:hAnsi="仿宋" w:eastAsia="仿宋" w:cs="宋体"/>
                <w:color w:val="auto"/>
                <w:lang w:val="en-US" w:eastAsia="zh-CN"/>
              </w:rPr>
              <w:t>6</w:t>
            </w:r>
          </w:p>
        </w:tc>
        <w:tc>
          <w:tcPr>
            <w:tcW w:w="1258"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uto"/>
              <w:rPr>
                <w:rFonts w:hint="eastAsia" w:ascii="仿宋" w:hAnsi="仿宋" w:eastAsia="仿宋" w:cs="宋体"/>
                <w:color w:val="auto"/>
                <w:lang w:val="en-US" w:eastAsia="zh-CN"/>
              </w:rPr>
            </w:pPr>
            <w:r>
              <w:rPr>
                <w:rFonts w:hint="eastAsia" w:ascii="仿宋" w:hAnsi="仿宋" w:eastAsia="仿宋" w:cs="宋体"/>
                <w:color w:val="auto"/>
                <w:lang w:val="en-US" w:eastAsia="zh-CN"/>
              </w:rPr>
              <w:t>污水消毒剂</w:t>
            </w:r>
          </w:p>
        </w:tc>
        <w:tc>
          <w:tcPr>
            <w:tcW w:w="2760" w:type="dxa"/>
            <w:tcBorders>
              <w:top w:val="single" w:color="000000" w:sz="4" w:space="0"/>
              <w:left w:val="single" w:color="000000" w:sz="4" w:space="0"/>
              <w:bottom w:val="single" w:color="000000" w:sz="4" w:space="0"/>
              <w:right w:val="single" w:color="000000" w:sz="4" w:space="0"/>
            </w:tcBorders>
            <w:vAlign w:val="center"/>
          </w:tcPr>
          <w:p>
            <w:pPr>
              <w:pStyle w:val="4"/>
              <w:spacing w:before="120" w:beforeLines="50" w:after="120" w:afterLines="50" w:line="240" w:lineRule="auto"/>
              <w:rPr>
                <w:rFonts w:hint="eastAsia" w:ascii="仿宋" w:hAnsi="仿宋" w:eastAsia="仿宋" w:cs="宋体"/>
                <w:color w:val="auto"/>
                <w:sz w:val="24"/>
                <w:szCs w:val="24"/>
                <w:lang w:val="en-US" w:eastAsia="zh-CN"/>
              </w:rPr>
            </w:pPr>
            <w:r>
              <w:rPr>
                <w:rFonts w:hint="eastAsia" w:ascii="仿宋" w:hAnsi="仿宋" w:eastAsia="仿宋" w:cs="宋体"/>
                <w:color w:val="auto"/>
                <w:sz w:val="24"/>
                <w:szCs w:val="24"/>
                <w:lang w:val="en-US" w:eastAsia="zh-CN"/>
              </w:rPr>
              <w:t xml:space="preserve">1、全年供应污水消毒剂，消毒剂采用次氯酸钠溶液（由乙方提供） </w:t>
            </w:r>
          </w:p>
          <w:p>
            <w:pPr>
              <w:pStyle w:val="4"/>
              <w:spacing w:before="120" w:beforeLines="50" w:after="120" w:afterLines="50" w:line="240" w:lineRule="auto"/>
              <w:rPr>
                <w:rFonts w:hint="eastAsia" w:ascii="仿宋" w:hAnsi="仿宋" w:eastAsia="仿宋" w:cs="宋体"/>
                <w:color w:val="auto"/>
                <w:sz w:val="24"/>
                <w:szCs w:val="24"/>
                <w:lang w:val="en-US" w:eastAsia="zh-CN"/>
              </w:rPr>
            </w:pPr>
            <w:r>
              <w:rPr>
                <w:rFonts w:hint="eastAsia" w:ascii="仿宋" w:hAnsi="仿宋" w:eastAsia="仿宋" w:cs="宋体"/>
                <w:color w:val="auto"/>
                <w:sz w:val="24"/>
                <w:szCs w:val="24"/>
                <w:lang w:val="en-US" w:eastAsia="zh-CN"/>
              </w:rPr>
              <w:t>2、若污水检测其他指标超标而采取其他药剂处理，应包含此种情况</w:t>
            </w:r>
          </w:p>
          <w:p>
            <w:pPr>
              <w:pStyle w:val="4"/>
              <w:spacing w:before="120" w:beforeLines="50" w:after="120" w:afterLines="50" w:line="240" w:lineRule="auto"/>
              <w:rPr>
                <w:rFonts w:hint="eastAsia" w:ascii="仿宋" w:hAnsi="仿宋" w:eastAsia="仿宋" w:cs="宋体"/>
                <w:color w:val="auto"/>
                <w:sz w:val="24"/>
                <w:szCs w:val="24"/>
                <w:lang w:val="en-US" w:eastAsia="zh-CN"/>
              </w:rPr>
            </w:pPr>
            <w:r>
              <w:rPr>
                <w:rFonts w:hint="eastAsia" w:ascii="仿宋" w:hAnsi="仿宋" w:eastAsia="仿宋" w:cs="宋体"/>
                <w:color w:val="auto"/>
                <w:sz w:val="24"/>
                <w:szCs w:val="24"/>
                <w:lang w:val="en-US" w:eastAsia="zh-CN"/>
              </w:rPr>
              <w:t>3、包含污水处理营养剂或菌种费用</w:t>
            </w:r>
          </w:p>
        </w:tc>
        <w:tc>
          <w:tcPr>
            <w:tcW w:w="3320"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uto"/>
              <w:rPr>
                <w:rFonts w:hint="eastAsia" w:ascii="仿宋" w:hAnsi="仿宋" w:eastAsia="仿宋" w:cs="宋体"/>
                <w:color w:val="auto"/>
                <w:lang w:val="en-US" w:eastAsia="zh-CN"/>
              </w:rPr>
            </w:pPr>
            <w:r>
              <w:rPr>
                <w:rFonts w:hint="eastAsia" w:ascii="仿宋" w:hAnsi="仿宋" w:eastAsia="仿宋" w:cs="宋体"/>
                <w:color w:val="auto"/>
                <w:lang w:val="en-US" w:eastAsia="zh-CN"/>
              </w:rPr>
              <w:t>1、次氯酸钠溶液浓度约为10%，</w:t>
            </w:r>
          </w:p>
          <w:p>
            <w:pPr>
              <w:spacing w:before="120" w:beforeLines="50" w:after="120" w:afterLines="50" w:line="240" w:lineRule="auto"/>
              <w:rPr>
                <w:rFonts w:hint="eastAsia" w:ascii="仿宋" w:hAnsi="仿宋" w:eastAsia="仿宋" w:cs="宋体"/>
                <w:color w:val="auto"/>
                <w:lang w:val="en-US" w:eastAsia="zh-CN"/>
              </w:rPr>
            </w:pPr>
            <w:r>
              <w:rPr>
                <w:rFonts w:hint="eastAsia" w:ascii="仿宋" w:hAnsi="仿宋" w:eastAsia="仿宋" w:cs="宋体"/>
                <w:color w:val="auto"/>
                <w:lang w:val="en-US" w:eastAsia="zh-CN"/>
              </w:rPr>
              <w:t>2、排口总余氯须达到2~8mg/L</w:t>
            </w:r>
          </w:p>
        </w:tc>
        <w:tc>
          <w:tcPr>
            <w:tcW w:w="1527" w:type="dxa"/>
            <w:tcBorders>
              <w:top w:val="single" w:color="000000" w:sz="4" w:space="0"/>
              <w:left w:val="single" w:color="000000" w:sz="4" w:space="0"/>
              <w:bottom w:val="single" w:color="000000" w:sz="4" w:space="0"/>
              <w:right w:val="single" w:color="000000" w:sz="4" w:space="0"/>
            </w:tcBorders>
            <w:vAlign w:val="center"/>
          </w:tcPr>
          <w:p>
            <w:pPr>
              <w:pStyle w:val="9"/>
              <w:spacing w:before="120" w:beforeLines="50" w:after="120" w:afterLines="50" w:line="240" w:lineRule="auto"/>
              <w:jc w:val="center"/>
              <w:rPr>
                <w:rFonts w:hint="eastAsia" w:ascii="仿宋" w:hAnsi="仿宋" w:eastAsia="仿宋" w:cs="宋体"/>
                <w:color w:val="auto"/>
                <w:lang w:val="en-US" w:eastAsia="zh-CN"/>
              </w:rPr>
            </w:pPr>
          </w:p>
        </w:tc>
      </w:tr>
      <w:tr>
        <w:tblPrEx>
          <w:tblCellMar>
            <w:top w:w="0" w:type="dxa"/>
            <w:left w:w="108" w:type="dxa"/>
            <w:bottom w:w="0" w:type="dxa"/>
            <w:right w:w="108" w:type="dxa"/>
          </w:tblCellMar>
        </w:tblPrEx>
        <w:trPr>
          <w:trHeight w:val="122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uto"/>
              <w:jc w:val="center"/>
              <w:rPr>
                <w:rFonts w:hint="eastAsia" w:ascii="仿宋" w:hAnsi="仿宋" w:eastAsia="仿宋" w:cs="宋体"/>
                <w:color w:val="auto"/>
                <w:lang w:val="en-US" w:eastAsia="zh-CN"/>
              </w:rPr>
            </w:pPr>
            <w:r>
              <w:rPr>
                <w:rFonts w:hint="eastAsia" w:ascii="仿宋" w:hAnsi="仿宋" w:eastAsia="仿宋" w:cs="宋体"/>
                <w:color w:val="auto"/>
                <w:lang w:val="en-US" w:eastAsia="zh-CN"/>
              </w:rPr>
              <w:t>7</w:t>
            </w:r>
          </w:p>
        </w:tc>
        <w:tc>
          <w:tcPr>
            <w:tcW w:w="1258"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uto"/>
              <w:rPr>
                <w:rFonts w:hint="eastAsia" w:ascii="仿宋" w:hAnsi="仿宋" w:eastAsia="仿宋" w:cs="宋体"/>
                <w:color w:val="auto"/>
                <w:lang w:val="en-US" w:eastAsia="zh-CN"/>
              </w:rPr>
            </w:pPr>
            <w:r>
              <w:rPr>
                <w:rFonts w:hint="eastAsia" w:ascii="仿宋" w:hAnsi="仿宋" w:eastAsia="仿宋" w:cs="宋体"/>
                <w:color w:val="auto"/>
                <w:lang w:val="en-US" w:eastAsia="zh-CN"/>
              </w:rPr>
              <w:t>尾气处置</w:t>
            </w:r>
          </w:p>
        </w:tc>
        <w:tc>
          <w:tcPr>
            <w:tcW w:w="2760" w:type="dxa"/>
            <w:tcBorders>
              <w:top w:val="single" w:color="000000" w:sz="4" w:space="0"/>
              <w:left w:val="single" w:color="000000" w:sz="4" w:space="0"/>
              <w:bottom w:val="single" w:color="000000" w:sz="4" w:space="0"/>
              <w:right w:val="single" w:color="000000" w:sz="4" w:space="0"/>
            </w:tcBorders>
            <w:vAlign w:val="center"/>
          </w:tcPr>
          <w:p>
            <w:pPr>
              <w:pStyle w:val="4"/>
              <w:spacing w:before="120" w:beforeLines="50" w:after="120" w:afterLines="50" w:line="240" w:lineRule="auto"/>
              <w:rPr>
                <w:rFonts w:hint="eastAsia" w:ascii="仿宋" w:hAnsi="仿宋" w:eastAsia="仿宋" w:cs="宋体"/>
                <w:color w:val="auto"/>
                <w:sz w:val="24"/>
                <w:szCs w:val="24"/>
                <w:lang w:eastAsia="zh-CN"/>
              </w:rPr>
            </w:pPr>
            <w:r>
              <w:rPr>
                <w:rFonts w:hint="eastAsia" w:ascii="仿宋" w:hAnsi="仿宋" w:eastAsia="仿宋" w:cs="宋体"/>
                <w:color w:val="auto"/>
                <w:sz w:val="24"/>
                <w:szCs w:val="24"/>
                <w:lang w:val="en-US" w:eastAsia="zh-CN"/>
              </w:rPr>
              <w:t>1、</w:t>
            </w:r>
            <w:r>
              <w:rPr>
                <w:rFonts w:hint="eastAsia" w:ascii="仿宋" w:hAnsi="仿宋" w:eastAsia="仿宋" w:cs="宋体"/>
                <w:color w:val="auto"/>
                <w:sz w:val="24"/>
                <w:szCs w:val="24"/>
                <w:lang w:eastAsia="zh-CN"/>
              </w:rPr>
              <w:t>负责</w:t>
            </w:r>
            <w:r>
              <w:rPr>
                <w:rFonts w:hint="eastAsia" w:ascii="仿宋" w:hAnsi="仿宋" w:eastAsia="仿宋" w:cs="宋体"/>
                <w:color w:val="auto"/>
                <w:sz w:val="24"/>
                <w:szCs w:val="24"/>
                <w:lang w:val="en-US" w:eastAsia="zh-CN"/>
              </w:rPr>
              <w:t>尾气处理装置的</w:t>
            </w:r>
            <w:r>
              <w:rPr>
                <w:rFonts w:hint="eastAsia" w:ascii="仿宋" w:hAnsi="仿宋" w:eastAsia="仿宋" w:cs="宋体"/>
                <w:color w:val="auto"/>
                <w:sz w:val="24"/>
                <w:szCs w:val="24"/>
                <w:lang w:eastAsia="zh-CN"/>
              </w:rPr>
              <w:t>设备的</w:t>
            </w:r>
            <w:r>
              <w:rPr>
                <w:rFonts w:hint="eastAsia" w:ascii="仿宋" w:hAnsi="仿宋" w:eastAsia="仿宋" w:cs="宋体"/>
                <w:color w:val="auto"/>
                <w:sz w:val="24"/>
                <w:szCs w:val="24"/>
                <w:lang w:val="en-US" w:eastAsia="zh-CN"/>
              </w:rPr>
              <w:t>运</w:t>
            </w:r>
            <w:r>
              <w:rPr>
                <w:rFonts w:hint="eastAsia" w:ascii="仿宋" w:hAnsi="仿宋" w:eastAsia="仿宋" w:cs="宋体"/>
                <w:color w:val="auto"/>
                <w:sz w:val="24"/>
                <w:szCs w:val="24"/>
                <w:lang w:eastAsia="zh-CN"/>
              </w:rPr>
              <w:t>维</w:t>
            </w:r>
            <w:r>
              <w:rPr>
                <w:rFonts w:hint="eastAsia" w:ascii="仿宋" w:hAnsi="仿宋" w:eastAsia="仿宋" w:cs="宋体"/>
                <w:color w:val="auto"/>
                <w:sz w:val="24"/>
                <w:szCs w:val="24"/>
                <w:lang w:val="en-US" w:eastAsia="zh-CN"/>
              </w:rPr>
              <w:t>与</w:t>
            </w:r>
            <w:r>
              <w:rPr>
                <w:rFonts w:hint="eastAsia" w:ascii="仿宋" w:hAnsi="仿宋" w:eastAsia="仿宋" w:cs="宋体"/>
                <w:color w:val="auto"/>
                <w:sz w:val="24"/>
                <w:szCs w:val="24"/>
                <w:lang w:eastAsia="zh-CN"/>
              </w:rPr>
              <w:t>保养。</w:t>
            </w:r>
          </w:p>
          <w:p>
            <w:pPr>
              <w:pStyle w:val="4"/>
              <w:spacing w:before="120" w:beforeLines="50" w:after="120" w:afterLines="50" w:line="240" w:lineRule="auto"/>
              <w:rPr>
                <w:rFonts w:hint="eastAsia" w:ascii="仿宋" w:hAnsi="仿宋" w:eastAsia="仿宋" w:cs="宋体"/>
                <w:color w:val="auto"/>
                <w:sz w:val="24"/>
                <w:szCs w:val="24"/>
                <w:lang w:eastAsia="zh-CN"/>
              </w:rPr>
            </w:pPr>
            <w:r>
              <w:rPr>
                <w:rFonts w:hint="eastAsia" w:ascii="仿宋" w:hAnsi="仿宋" w:eastAsia="仿宋" w:cs="宋体"/>
                <w:color w:val="auto"/>
                <w:sz w:val="24"/>
                <w:szCs w:val="24"/>
                <w:lang w:val="en-US" w:eastAsia="zh-CN"/>
              </w:rPr>
              <w:t>2、</w:t>
            </w:r>
            <w:r>
              <w:rPr>
                <w:rFonts w:hint="eastAsia" w:ascii="仿宋" w:hAnsi="仿宋" w:eastAsia="仿宋" w:cs="宋体"/>
                <w:color w:val="auto"/>
                <w:sz w:val="24"/>
                <w:szCs w:val="24"/>
                <w:lang w:eastAsia="zh-CN"/>
              </w:rPr>
              <w:t>排放的恶臭污染物浓度执行标准</w:t>
            </w:r>
            <w:r>
              <w:rPr>
                <w:rFonts w:hint="eastAsia" w:ascii="仿宋" w:hAnsi="仿宋" w:eastAsia="仿宋" w:cs="宋体"/>
                <w:color w:val="auto"/>
                <w:sz w:val="24"/>
                <w:szCs w:val="24"/>
                <w:lang w:val="en-US" w:eastAsia="zh-CN"/>
              </w:rPr>
              <w:t>见第三项</w:t>
            </w:r>
            <w:r>
              <w:rPr>
                <w:rFonts w:hint="eastAsia" w:ascii="仿宋" w:hAnsi="仿宋" w:eastAsia="仿宋" w:cs="宋体"/>
                <w:color w:val="auto"/>
                <w:sz w:val="24"/>
                <w:szCs w:val="24"/>
                <w:lang w:eastAsia="zh-CN"/>
              </w:rPr>
              <w:t>检测服务项目内容及要求</w:t>
            </w:r>
            <w:r>
              <w:rPr>
                <w:rFonts w:hint="eastAsia" w:ascii="仿宋" w:hAnsi="仿宋" w:eastAsia="仿宋" w:cs="宋体"/>
                <w:color w:val="auto"/>
                <w:sz w:val="24"/>
                <w:szCs w:val="24"/>
                <w:lang w:val="en-US" w:eastAsia="zh-CN"/>
              </w:rPr>
              <w:t xml:space="preserve">  </w:t>
            </w:r>
          </w:p>
          <w:p>
            <w:pPr>
              <w:pStyle w:val="4"/>
              <w:spacing w:before="120" w:beforeLines="50" w:after="120" w:afterLines="50" w:line="240" w:lineRule="auto"/>
              <w:rPr>
                <w:rFonts w:hint="eastAsia" w:ascii="仿宋" w:hAnsi="仿宋" w:eastAsia="仿宋" w:cs="宋体"/>
                <w:color w:val="auto"/>
                <w:sz w:val="24"/>
                <w:szCs w:val="24"/>
                <w:lang w:val="en-US" w:eastAsia="zh-CN"/>
              </w:rPr>
            </w:pPr>
            <w:r>
              <w:rPr>
                <w:rFonts w:hint="eastAsia" w:ascii="仿宋" w:hAnsi="仿宋" w:eastAsia="仿宋" w:cs="宋体"/>
                <w:color w:val="auto"/>
                <w:sz w:val="24"/>
                <w:szCs w:val="24"/>
                <w:lang w:val="en-US" w:eastAsia="zh-CN"/>
              </w:rPr>
              <w:t>3、活性炭的更换：尾气处理装置使用的活性炭由乙方负责。</w:t>
            </w:r>
          </w:p>
        </w:tc>
        <w:tc>
          <w:tcPr>
            <w:tcW w:w="3320"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uto"/>
              <w:rPr>
                <w:rFonts w:hint="eastAsia" w:ascii="仿宋" w:hAnsi="仿宋" w:eastAsia="仿宋" w:cs="宋体"/>
                <w:color w:val="auto"/>
                <w:lang w:val="en-US" w:eastAsia="zh-CN"/>
              </w:rPr>
            </w:pPr>
            <w:r>
              <w:rPr>
                <w:rFonts w:hint="eastAsia" w:ascii="仿宋" w:hAnsi="仿宋" w:eastAsia="仿宋" w:cs="宋体"/>
                <w:color w:val="auto"/>
                <w:lang w:val="en-US" w:eastAsia="zh-CN"/>
              </w:rPr>
              <w:t>1、根据江苏省生态环境厅文件 苏环办【2021】218号《省生态环境厅关于将排污单位活性炭使用更换纳入排污许可管理的通知》活性炭更换周期为3个月</w:t>
            </w:r>
            <w:r>
              <w:rPr>
                <w:rFonts w:hint="eastAsia" w:ascii="仿宋" w:hAnsi="仿宋" w:eastAsia="仿宋" w:cs="宋体"/>
                <w:color w:val="auto"/>
                <w:lang w:eastAsia="zh-CN"/>
              </w:rPr>
              <w:t>，且负责环保脸谱“一企一档”危废平台管理（</w:t>
            </w:r>
            <w:r>
              <w:rPr>
                <w:rFonts w:hint="eastAsia" w:ascii="仿宋" w:hAnsi="仿宋" w:eastAsia="仿宋" w:cs="宋体"/>
                <w:color w:val="auto"/>
                <w:lang w:val="en-US" w:eastAsia="zh-CN"/>
              </w:rPr>
              <w:t>活性炭处置费由甲方负责</w:t>
            </w:r>
            <w:r>
              <w:rPr>
                <w:rFonts w:hint="eastAsia" w:ascii="仿宋" w:hAnsi="仿宋" w:eastAsia="仿宋" w:cs="宋体"/>
                <w:color w:val="auto"/>
                <w:lang w:eastAsia="zh-CN"/>
              </w:rPr>
              <w:t>）</w:t>
            </w:r>
          </w:p>
          <w:p>
            <w:pPr>
              <w:spacing w:before="120" w:beforeLines="50" w:after="120" w:afterLines="50" w:line="240" w:lineRule="auto"/>
              <w:rPr>
                <w:rFonts w:hint="eastAsia" w:ascii="仿宋" w:hAnsi="仿宋" w:eastAsia="仿宋" w:cs="宋体"/>
                <w:color w:val="auto"/>
                <w:lang w:val="en-US" w:eastAsia="zh-CN"/>
              </w:rPr>
            </w:pPr>
            <w:r>
              <w:rPr>
                <w:rFonts w:hint="eastAsia" w:ascii="仿宋" w:hAnsi="仿宋" w:eastAsia="仿宋" w:cs="宋体"/>
                <w:color w:val="auto"/>
                <w:lang w:val="en-US" w:eastAsia="zh-CN"/>
              </w:rPr>
              <w:t>2、排放标准见 第三项</w:t>
            </w:r>
            <w:r>
              <w:rPr>
                <w:rFonts w:hint="eastAsia" w:ascii="仿宋" w:hAnsi="仿宋" w:eastAsia="仿宋" w:cs="宋体"/>
                <w:color w:val="auto"/>
                <w:lang w:eastAsia="zh-CN"/>
              </w:rPr>
              <w:t>检测服务项目内容及要求</w:t>
            </w:r>
          </w:p>
        </w:tc>
        <w:tc>
          <w:tcPr>
            <w:tcW w:w="1527" w:type="dxa"/>
            <w:tcBorders>
              <w:top w:val="single" w:color="000000" w:sz="4" w:space="0"/>
              <w:left w:val="single" w:color="000000" w:sz="4" w:space="0"/>
              <w:bottom w:val="single" w:color="000000" w:sz="4" w:space="0"/>
              <w:right w:val="single" w:color="000000" w:sz="4" w:space="0"/>
            </w:tcBorders>
            <w:vAlign w:val="center"/>
          </w:tcPr>
          <w:p>
            <w:pPr>
              <w:pStyle w:val="9"/>
              <w:spacing w:before="120" w:beforeLines="50" w:after="120" w:afterLines="50" w:line="240" w:lineRule="auto"/>
              <w:jc w:val="center"/>
              <w:rPr>
                <w:rFonts w:hint="eastAsia" w:ascii="仿宋" w:hAnsi="仿宋" w:eastAsia="仿宋" w:cs="宋体"/>
                <w:color w:val="auto"/>
                <w:lang w:val="en-US" w:eastAsia="zh-CN"/>
              </w:rPr>
            </w:pPr>
          </w:p>
        </w:tc>
      </w:tr>
      <w:tr>
        <w:tblPrEx>
          <w:tblCellMar>
            <w:top w:w="0" w:type="dxa"/>
            <w:left w:w="108" w:type="dxa"/>
            <w:bottom w:w="0" w:type="dxa"/>
            <w:right w:w="108" w:type="dxa"/>
          </w:tblCellMar>
        </w:tblPrEx>
        <w:trPr>
          <w:trHeight w:val="14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uto"/>
              <w:jc w:val="center"/>
              <w:rPr>
                <w:rFonts w:hint="eastAsia" w:ascii="仿宋" w:hAnsi="仿宋" w:eastAsia="仿宋" w:cs="宋体"/>
                <w:color w:val="auto"/>
                <w:lang w:val="en-US" w:eastAsia="zh-CN"/>
              </w:rPr>
            </w:pPr>
            <w:r>
              <w:rPr>
                <w:rFonts w:hint="eastAsia" w:ascii="仿宋" w:hAnsi="仿宋" w:eastAsia="仿宋" w:cs="宋体"/>
                <w:color w:val="auto"/>
                <w:lang w:val="en-US" w:eastAsia="zh-CN"/>
              </w:rPr>
              <w:t>8</w:t>
            </w:r>
          </w:p>
        </w:tc>
        <w:tc>
          <w:tcPr>
            <w:tcW w:w="1258"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uto"/>
              <w:rPr>
                <w:rFonts w:hint="eastAsia" w:ascii="仿宋" w:hAnsi="仿宋" w:eastAsia="仿宋" w:cs="宋体"/>
                <w:color w:val="auto"/>
                <w:lang w:val="en-US" w:eastAsia="zh-CN"/>
              </w:rPr>
            </w:pPr>
            <w:r>
              <w:rPr>
                <w:rFonts w:hint="eastAsia" w:ascii="仿宋" w:hAnsi="仿宋" w:eastAsia="仿宋" w:cs="宋体"/>
                <w:color w:val="auto"/>
                <w:lang w:val="en-US" w:eastAsia="zh-CN"/>
              </w:rPr>
              <w:t>公司管理费、风险费、利润及税金等</w:t>
            </w:r>
          </w:p>
        </w:tc>
        <w:tc>
          <w:tcPr>
            <w:tcW w:w="2760" w:type="dxa"/>
            <w:tcBorders>
              <w:top w:val="single" w:color="000000" w:sz="4" w:space="0"/>
              <w:left w:val="single" w:color="000000" w:sz="4" w:space="0"/>
              <w:bottom w:val="single" w:color="000000" w:sz="4" w:space="0"/>
              <w:right w:val="single" w:color="000000" w:sz="4" w:space="0"/>
            </w:tcBorders>
            <w:vAlign w:val="center"/>
          </w:tcPr>
          <w:p>
            <w:pPr>
              <w:pStyle w:val="4"/>
              <w:spacing w:before="120" w:beforeLines="50" w:after="120" w:afterLines="50" w:line="240" w:lineRule="auto"/>
              <w:jc w:val="center"/>
              <w:rPr>
                <w:rFonts w:hint="eastAsia" w:ascii="仿宋" w:hAnsi="仿宋" w:eastAsia="仿宋" w:cs="宋体"/>
                <w:color w:val="auto"/>
                <w:sz w:val="24"/>
                <w:szCs w:val="24"/>
                <w:lang w:val="en-US" w:eastAsia="zh-CN"/>
              </w:rPr>
            </w:pPr>
            <w:r>
              <w:rPr>
                <w:rFonts w:hint="eastAsia" w:ascii="仿宋" w:hAnsi="仿宋" w:eastAsia="仿宋" w:cs="宋体"/>
                <w:color w:val="auto"/>
                <w:sz w:val="24"/>
                <w:szCs w:val="24"/>
                <w:lang w:val="en-US" w:eastAsia="zh-CN"/>
              </w:rPr>
              <w:t>根据项目具体要求判定</w:t>
            </w:r>
          </w:p>
        </w:tc>
        <w:tc>
          <w:tcPr>
            <w:tcW w:w="3320"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uto"/>
              <w:rPr>
                <w:rFonts w:hint="eastAsia" w:ascii="仿宋" w:hAnsi="仿宋" w:eastAsia="仿宋" w:cs="宋体"/>
                <w:color w:val="auto"/>
                <w:lang w:eastAsia="zh-CN"/>
              </w:rPr>
            </w:pPr>
          </w:p>
        </w:tc>
        <w:tc>
          <w:tcPr>
            <w:tcW w:w="1527" w:type="dxa"/>
            <w:tcBorders>
              <w:top w:val="single" w:color="000000" w:sz="4" w:space="0"/>
              <w:left w:val="single" w:color="000000" w:sz="4" w:space="0"/>
              <w:bottom w:val="single" w:color="000000" w:sz="4" w:space="0"/>
              <w:right w:val="single" w:color="000000" w:sz="4" w:space="0"/>
            </w:tcBorders>
            <w:vAlign w:val="center"/>
          </w:tcPr>
          <w:p>
            <w:pPr>
              <w:pStyle w:val="9"/>
              <w:spacing w:before="120" w:beforeLines="50" w:after="120" w:afterLines="50" w:line="240" w:lineRule="auto"/>
              <w:jc w:val="center"/>
              <w:rPr>
                <w:rFonts w:hint="eastAsia" w:ascii="仿宋" w:hAnsi="仿宋" w:eastAsia="仿宋" w:cs="宋体"/>
                <w:color w:val="auto"/>
                <w:lang w:val="en-US" w:eastAsia="zh-CN"/>
              </w:rPr>
            </w:pPr>
          </w:p>
        </w:tc>
      </w:tr>
      <w:tr>
        <w:tblPrEx>
          <w:tblCellMar>
            <w:top w:w="0" w:type="dxa"/>
            <w:left w:w="108" w:type="dxa"/>
            <w:bottom w:w="0" w:type="dxa"/>
            <w:right w:w="108" w:type="dxa"/>
          </w:tblCellMar>
        </w:tblPrEx>
        <w:trPr>
          <w:trHeight w:val="632" w:hRule="atLeast"/>
        </w:trPr>
        <w:tc>
          <w:tcPr>
            <w:tcW w:w="7931" w:type="dxa"/>
            <w:gridSpan w:val="4"/>
            <w:tcBorders>
              <w:top w:val="single" w:color="000000" w:sz="4" w:space="0"/>
              <w:left w:val="single" w:color="000000" w:sz="4" w:space="0"/>
              <w:bottom w:val="single" w:color="000000" w:sz="4" w:space="0"/>
              <w:right w:val="single" w:color="000000" w:sz="4" w:space="0"/>
            </w:tcBorders>
            <w:vAlign w:val="center"/>
          </w:tcPr>
          <w:p>
            <w:pPr>
              <w:pStyle w:val="9"/>
              <w:spacing w:before="120" w:beforeLines="50" w:after="120" w:afterLines="50" w:line="240" w:lineRule="auto"/>
              <w:jc w:val="center"/>
              <w:rPr>
                <w:rFonts w:hint="eastAsia" w:ascii="仿宋" w:hAnsi="仿宋" w:eastAsia="仿宋" w:cs="宋体"/>
                <w:color w:val="auto"/>
                <w:lang w:eastAsia="zh-CN"/>
              </w:rPr>
            </w:pPr>
            <w:r>
              <w:rPr>
                <w:rFonts w:hint="eastAsia" w:ascii="仿宋" w:hAnsi="仿宋" w:eastAsia="仿宋" w:cs="宋体"/>
                <w:color w:val="auto"/>
              </w:rPr>
              <w:t>合计</w:t>
            </w:r>
          </w:p>
        </w:tc>
        <w:tc>
          <w:tcPr>
            <w:tcW w:w="1527" w:type="dxa"/>
            <w:tcBorders>
              <w:top w:val="single" w:color="000000" w:sz="4" w:space="0"/>
              <w:left w:val="single" w:color="000000" w:sz="4" w:space="0"/>
              <w:bottom w:val="single" w:color="000000" w:sz="4" w:space="0"/>
              <w:right w:val="single" w:color="000000" w:sz="4" w:space="0"/>
            </w:tcBorders>
            <w:vAlign w:val="center"/>
          </w:tcPr>
          <w:p>
            <w:pPr>
              <w:pStyle w:val="9"/>
              <w:spacing w:before="120" w:beforeLines="50" w:after="120" w:afterLines="50" w:line="240" w:lineRule="auto"/>
              <w:jc w:val="both"/>
              <w:rPr>
                <w:rFonts w:hint="eastAsia" w:ascii="仿宋" w:hAnsi="仿宋" w:eastAsia="仿宋" w:cs="宋体"/>
                <w:color w:val="auto"/>
                <w:lang w:val="en-US" w:eastAsia="zh-CN"/>
              </w:rPr>
            </w:pPr>
          </w:p>
        </w:tc>
      </w:tr>
    </w:tbl>
    <w:p>
      <w:pPr>
        <w:pStyle w:val="11"/>
        <w:spacing w:before="240" w:beforeAutospacing="0" w:after="240" w:afterAutospacing="0" w:line="240" w:lineRule="auto"/>
        <w:rPr>
          <w:rFonts w:hint="eastAsia" w:ascii="仿宋" w:hAnsi="仿宋" w:eastAsia="仿宋" w:cs="宋体"/>
          <w:color w:val="auto"/>
          <w:shd w:val="clear" w:color="FFFFFF" w:fill="auto"/>
          <w:lang w:val="en-US" w:eastAsia="zh-CN"/>
        </w:rPr>
      </w:pPr>
    </w:p>
    <w:p>
      <w:pPr>
        <w:spacing w:beforeLines="0" w:afterLines="0" w:line="360" w:lineRule="auto"/>
        <w:ind w:firstLine="480" w:firstLineChars="200"/>
        <w:rPr>
          <w:rFonts w:hint="eastAsia" w:ascii="黑体" w:hAnsi="黑体" w:eastAsia="黑体" w:cs="宋体"/>
          <w:color w:val="auto"/>
          <w:lang w:val="en-US" w:eastAsia="zh-CN"/>
        </w:rPr>
      </w:pPr>
      <w:r>
        <w:rPr>
          <w:rFonts w:hint="eastAsia" w:ascii="黑体" w:hAnsi="黑体" w:eastAsia="黑体" w:cs="宋体"/>
          <w:color w:val="auto"/>
          <w:lang w:val="en-US" w:eastAsia="zh-CN"/>
        </w:rPr>
        <w:t>二、项目具体要求</w:t>
      </w:r>
    </w:p>
    <w:p>
      <w:pPr>
        <w:spacing w:before="240" w:after="240" w:line="240" w:lineRule="auto"/>
        <w:ind w:firstLine="480" w:firstLineChars="200"/>
        <w:rPr>
          <w:rFonts w:hint="eastAsia" w:ascii="仿宋" w:hAnsi="仿宋" w:eastAsia="仿宋" w:cs="宋体"/>
          <w:color w:val="auto"/>
          <w:lang w:val="en-US" w:eastAsia="zh-CN"/>
        </w:rPr>
      </w:pPr>
      <w:r>
        <w:rPr>
          <w:rFonts w:hint="eastAsia" w:ascii="仿宋" w:hAnsi="仿宋" w:eastAsia="仿宋" w:cs="宋体"/>
          <w:color w:val="auto"/>
          <w:lang w:val="en-US" w:eastAsia="zh-CN"/>
        </w:rPr>
        <w:t>1．</w:t>
      </w:r>
      <w:r>
        <w:rPr>
          <w:rFonts w:hint="eastAsia" w:ascii="仿宋" w:hAnsi="仿宋" w:eastAsia="仿宋" w:cs="宋体"/>
          <w:color w:val="auto"/>
          <w:lang w:eastAsia="zh-CN"/>
        </w:rPr>
        <w:t>负责污水处理系统的日常运行、管理、维修、维护、水质检测和出具水质检测报告等所有工作，确保污水处理规范管理，污水达标排放,污水处理产生的尾气达标排放，</w:t>
      </w:r>
      <w:r>
        <w:rPr>
          <w:rFonts w:hint="eastAsia" w:ascii="仿宋" w:hAnsi="仿宋" w:eastAsia="仿宋" w:cs="宋体"/>
          <w:color w:val="auto"/>
          <w:lang w:val="en-US" w:eastAsia="zh-CN"/>
        </w:rPr>
        <w:t>负责更换废弃处理装置材料，废弃物由甲方处理</w:t>
      </w:r>
      <w:r>
        <w:rPr>
          <w:rFonts w:hint="eastAsia" w:ascii="仿宋" w:hAnsi="仿宋" w:eastAsia="仿宋" w:cs="宋体"/>
          <w:color w:val="auto"/>
          <w:lang w:eastAsia="zh-CN"/>
        </w:rPr>
        <w:t>。</w:t>
      </w:r>
      <w:r>
        <w:rPr>
          <w:rFonts w:hint="eastAsia" w:ascii="仿宋" w:hAnsi="仿宋" w:eastAsia="仿宋" w:cs="宋体"/>
          <w:color w:val="auto"/>
          <w:lang w:val="en-US" w:eastAsia="zh-CN"/>
        </w:rPr>
        <w:t>排放标准见第三项</w:t>
      </w:r>
      <w:r>
        <w:rPr>
          <w:rFonts w:hint="eastAsia" w:ascii="仿宋" w:hAnsi="仿宋" w:eastAsia="仿宋" w:cs="宋体"/>
          <w:color w:val="auto"/>
          <w:lang w:eastAsia="zh-CN"/>
        </w:rPr>
        <w:t>检测服务项目内容及要求</w:t>
      </w:r>
      <w:r>
        <w:rPr>
          <w:rFonts w:hint="eastAsia" w:ascii="仿宋" w:hAnsi="仿宋" w:eastAsia="仿宋" w:cs="宋体"/>
          <w:color w:val="auto"/>
          <w:lang w:val="en-US" w:eastAsia="zh-CN"/>
        </w:rPr>
        <w:t>。</w:t>
      </w:r>
    </w:p>
    <w:p>
      <w:pPr>
        <w:spacing w:before="240" w:after="240" w:line="240" w:lineRule="auto"/>
        <w:ind w:firstLine="480" w:firstLineChars="200"/>
        <w:rPr>
          <w:rFonts w:hint="eastAsia" w:ascii="仿宋" w:hAnsi="仿宋" w:eastAsia="仿宋" w:cs="宋体"/>
          <w:color w:val="auto"/>
          <w:lang w:val="en-US" w:eastAsia="zh-CN"/>
        </w:rPr>
      </w:pPr>
      <w:r>
        <w:rPr>
          <w:rFonts w:hint="eastAsia" w:ascii="仿宋" w:hAnsi="仿宋" w:eastAsia="仿宋" w:cs="宋体"/>
          <w:color w:val="auto"/>
          <w:lang w:val="en-US" w:eastAsia="zh-CN"/>
        </w:rPr>
        <w:t>2．</w:t>
      </w:r>
      <w:r>
        <w:rPr>
          <w:rFonts w:hint="eastAsia" w:ascii="仿宋" w:hAnsi="仿宋" w:eastAsia="仿宋" w:cs="宋体"/>
          <w:color w:val="auto"/>
          <w:lang w:eastAsia="zh-CN"/>
        </w:rPr>
        <w:t>东西区污水处理日常运行、维修、维护需配备</w:t>
      </w:r>
      <w:r>
        <w:rPr>
          <w:rFonts w:hint="eastAsia" w:ascii="仿宋" w:hAnsi="仿宋" w:eastAsia="仿宋" w:cs="宋体"/>
          <w:color w:val="auto"/>
          <w:lang w:val="en-US" w:eastAsia="zh-CN"/>
        </w:rPr>
        <w:t>经过系统培训，有污水处理运维经验</w:t>
      </w:r>
      <w:r>
        <w:rPr>
          <w:rFonts w:hint="eastAsia" w:ascii="仿宋" w:hAnsi="仿宋" w:eastAsia="仿宋" w:cs="宋体"/>
          <w:color w:val="auto"/>
          <w:lang w:eastAsia="zh-CN"/>
        </w:rPr>
        <w:t>的运行、操作管理人员</w:t>
      </w:r>
      <w:r>
        <w:rPr>
          <w:rFonts w:hint="eastAsia" w:ascii="仿宋" w:hAnsi="仿宋" w:eastAsia="仿宋" w:cs="宋体"/>
          <w:color w:val="auto"/>
          <w:lang w:val="en-US" w:eastAsia="zh-CN"/>
        </w:rPr>
        <w:t>。</w:t>
      </w:r>
    </w:p>
    <w:p>
      <w:pPr>
        <w:spacing w:before="240" w:after="240" w:line="240" w:lineRule="auto"/>
        <w:ind w:firstLine="480" w:firstLineChars="200"/>
        <w:rPr>
          <w:rFonts w:hint="eastAsia" w:ascii="仿宋" w:hAnsi="仿宋" w:eastAsia="仿宋" w:cs="宋体"/>
          <w:color w:val="auto"/>
          <w:lang w:eastAsia="zh-CN"/>
        </w:rPr>
      </w:pPr>
      <w:r>
        <w:rPr>
          <w:rFonts w:hint="eastAsia" w:ascii="仿宋" w:hAnsi="仿宋" w:eastAsia="仿宋" w:cs="宋体"/>
          <w:color w:val="auto"/>
          <w:lang w:val="en-US" w:eastAsia="zh-CN"/>
        </w:rPr>
        <w:t>3．</w:t>
      </w:r>
      <w:r>
        <w:rPr>
          <w:rFonts w:hint="eastAsia" w:ascii="仿宋" w:hAnsi="仿宋" w:eastAsia="仿宋" w:cs="宋体"/>
          <w:color w:val="auto"/>
          <w:lang w:eastAsia="zh-CN"/>
        </w:rPr>
        <w:t>负责东西区污水处理消毒药剂的采购、搬运、储存、使用及其安全管理。</w:t>
      </w:r>
    </w:p>
    <w:p>
      <w:pPr>
        <w:spacing w:before="240" w:after="240" w:line="240" w:lineRule="auto"/>
        <w:ind w:firstLine="480" w:firstLineChars="200"/>
        <w:rPr>
          <w:rFonts w:hint="eastAsia" w:ascii="仿宋" w:hAnsi="仿宋" w:eastAsia="仿宋" w:cs="宋体"/>
          <w:color w:val="auto"/>
          <w:lang w:eastAsia="zh-CN"/>
        </w:rPr>
      </w:pPr>
      <w:r>
        <w:rPr>
          <w:rFonts w:hint="eastAsia" w:ascii="仿宋" w:hAnsi="仿宋" w:eastAsia="仿宋" w:cs="宋体"/>
          <w:color w:val="auto"/>
          <w:lang w:val="en-US" w:eastAsia="zh-CN"/>
        </w:rPr>
        <w:t>4．</w:t>
      </w:r>
      <w:r>
        <w:rPr>
          <w:rFonts w:hint="eastAsia" w:ascii="仿宋" w:hAnsi="仿宋" w:eastAsia="仿宋" w:cs="宋体"/>
          <w:color w:val="auto"/>
          <w:lang w:eastAsia="zh-CN"/>
        </w:rPr>
        <w:t>负责污水处理系统日常运行台账资料、污水检测报告和文件的记录、归档、保存、管理并交甲方存档。</w:t>
      </w:r>
    </w:p>
    <w:p>
      <w:pPr>
        <w:spacing w:before="240" w:after="240" w:line="240" w:lineRule="auto"/>
        <w:ind w:firstLine="480" w:firstLineChars="200"/>
        <w:rPr>
          <w:rFonts w:hint="eastAsia" w:ascii="仿宋" w:hAnsi="仿宋" w:eastAsia="仿宋" w:cs="宋体"/>
          <w:color w:val="auto"/>
          <w:lang w:eastAsia="zh-CN"/>
        </w:rPr>
      </w:pPr>
      <w:r>
        <w:rPr>
          <w:rFonts w:hint="eastAsia" w:ascii="仿宋" w:hAnsi="仿宋" w:eastAsia="仿宋" w:cs="宋体"/>
          <w:color w:val="auto"/>
          <w:lang w:val="en-US" w:eastAsia="zh-CN"/>
        </w:rPr>
        <w:t>5．</w:t>
      </w:r>
      <w:r>
        <w:rPr>
          <w:rFonts w:hint="eastAsia" w:ascii="仿宋" w:hAnsi="仿宋" w:eastAsia="仿宋" w:cs="宋体"/>
          <w:color w:val="auto"/>
          <w:lang w:eastAsia="zh-CN"/>
        </w:rPr>
        <w:t>制定合理的污水处理设备设施的维修、保养、巡视、记录、检测</w:t>
      </w:r>
      <w:r>
        <w:rPr>
          <w:rFonts w:hint="eastAsia" w:ascii="仿宋" w:hAnsi="仿宋" w:eastAsia="仿宋" w:cs="宋体"/>
          <w:color w:val="auto"/>
          <w:lang w:val="en-US" w:eastAsia="zh-CN"/>
        </w:rPr>
        <w:t>方案并实施，针对设施运行存在必要的大修</w:t>
      </w:r>
      <w:r>
        <w:rPr>
          <w:rFonts w:hint="eastAsia" w:ascii="仿宋" w:hAnsi="仿宋" w:eastAsia="仿宋" w:cs="宋体"/>
          <w:color w:val="auto"/>
          <w:lang w:eastAsia="zh-CN"/>
        </w:rPr>
        <w:t>、改造、更新</w:t>
      </w:r>
      <w:r>
        <w:rPr>
          <w:rFonts w:hint="eastAsia" w:ascii="仿宋" w:hAnsi="仿宋" w:eastAsia="仿宋" w:cs="宋体"/>
          <w:color w:val="auto"/>
          <w:lang w:val="en-US" w:eastAsia="zh-CN"/>
        </w:rPr>
        <w:t>等情况需及时以书面的形式汇报甲方</w:t>
      </w:r>
      <w:r>
        <w:rPr>
          <w:rFonts w:hint="eastAsia" w:ascii="仿宋" w:hAnsi="仿宋" w:eastAsia="仿宋" w:cs="宋体"/>
          <w:color w:val="auto"/>
          <w:lang w:eastAsia="zh-CN"/>
        </w:rPr>
        <w:t>（含降低运行噪声和气味的措施。</w:t>
      </w:r>
      <w:r>
        <w:rPr>
          <w:rFonts w:hint="eastAsia" w:ascii="仿宋" w:hAnsi="仿宋" w:eastAsia="仿宋" w:cs="宋体"/>
          <w:color w:val="auto"/>
          <w:lang w:val="en-US" w:eastAsia="zh-CN"/>
        </w:rPr>
        <w:t>单次维修费用2000元以下由乙方负责</w:t>
      </w:r>
      <w:r>
        <w:rPr>
          <w:rFonts w:hint="eastAsia" w:ascii="仿宋" w:hAnsi="仿宋" w:eastAsia="仿宋" w:cs="宋体"/>
          <w:color w:val="auto"/>
          <w:lang w:eastAsia="zh-CN"/>
        </w:rPr>
        <w:t>），保证污水处理系统所有设备设施正常运行。</w:t>
      </w:r>
    </w:p>
    <w:p>
      <w:pPr>
        <w:spacing w:before="240" w:after="240" w:line="240" w:lineRule="auto"/>
        <w:ind w:firstLine="480" w:firstLineChars="200"/>
        <w:rPr>
          <w:rFonts w:hint="eastAsia" w:ascii="仿宋" w:hAnsi="仿宋" w:eastAsia="仿宋" w:cs="宋体"/>
          <w:color w:val="auto"/>
          <w:lang w:val="en-US" w:eastAsia="zh-CN"/>
        </w:rPr>
      </w:pPr>
      <w:r>
        <w:rPr>
          <w:rFonts w:hint="eastAsia" w:ascii="仿宋" w:hAnsi="仿宋" w:eastAsia="仿宋" w:cs="宋体"/>
          <w:color w:val="auto"/>
          <w:lang w:val="en-US" w:eastAsia="zh-CN"/>
        </w:rPr>
        <w:t>6．</w:t>
      </w:r>
      <w:r>
        <w:rPr>
          <w:rFonts w:hint="eastAsia" w:ascii="仿宋" w:hAnsi="仿宋" w:eastAsia="仿宋" w:cs="宋体"/>
          <w:color w:val="auto"/>
          <w:lang w:eastAsia="zh-CN"/>
        </w:rPr>
        <w:t>水质检测：按照排污许可证的自行监测方案要求和国家卫生健康委员会标准要求</w:t>
      </w:r>
      <w:r>
        <w:rPr>
          <w:rFonts w:hint="eastAsia" w:ascii="仿宋" w:hAnsi="仿宋" w:eastAsia="仿宋" w:cs="宋体"/>
          <w:color w:val="auto"/>
          <w:lang w:val="en-US" w:eastAsia="zh-CN"/>
        </w:rPr>
        <w:t>委托具有CMA资质的第三方检测单位</w:t>
      </w:r>
      <w:r>
        <w:rPr>
          <w:rFonts w:hint="eastAsia" w:ascii="仿宋" w:hAnsi="仿宋" w:eastAsia="仿宋" w:cs="宋体"/>
          <w:color w:val="auto"/>
          <w:lang w:eastAsia="zh-CN"/>
        </w:rPr>
        <w:t>执行。</w:t>
      </w:r>
      <w:r>
        <w:rPr>
          <w:rFonts w:hint="eastAsia" w:ascii="仿宋" w:hAnsi="仿宋" w:eastAsia="仿宋" w:cs="宋体"/>
          <w:color w:val="auto"/>
          <w:lang w:val="en-US" w:eastAsia="zh-CN"/>
        </w:rPr>
        <w:t>排污许可证监测方案见第三项</w:t>
      </w:r>
      <w:r>
        <w:rPr>
          <w:rFonts w:hint="eastAsia" w:ascii="仿宋" w:hAnsi="仿宋" w:eastAsia="仿宋" w:cs="宋体"/>
          <w:color w:val="auto"/>
          <w:lang w:eastAsia="zh-CN"/>
        </w:rPr>
        <w:t>检测服务项目内容及要求</w:t>
      </w:r>
      <w:r>
        <w:rPr>
          <w:rFonts w:hint="eastAsia" w:ascii="仿宋" w:hAnsi="仿宋" w:eastAsia="仿宋" w:cs="宋体"/>
          <w:color w:val="auto"/>
          <w:lang w:val="en-US" w:eastAsia="zh-CN"/>
        </w:rPr>
        <w:t>。水质检测需及时准确（按第三项</w:t>
      </w:r>
      <w:r>
        <w:rPr>
          <w:rFonts w:hint="eastAsia" w:ascii="仿宋" w:hAnsi="仿宋" w:eastAsia="仿宋" w:cs="宋体"/>
          <w:color w:val="auto"/>
          <w:lang w:eastAsia="zh-CN"/>
        </w:rPr>
        <w:t>检测服务项目内容及要求</w:t>
      </w:r>
      <w:r>
        <w:rPr>
          <w:rFonts w:hint="eastAsia" w:ascii="仿宋" w:hAnsi="仿宋" w:eastAsia="仿宋" w:cs="宋体"/>
          <w:color w:val="auto"/>
          <w:lang w:val="en-US" w:eastAsia="zh-CN"/>
        </w:rPr>
        <w:t>方法时间执行），未按要求提供第三方检测单位出具检测报告的，当月考核扣5分，扣当月运维费5%，需补交检测报告。</w:t>
      </w:r>
    </w:p>
    <w:p>
      <w:pPr>
        <w:spacing w:before="240" w:after="240" w:line="240" w:lineRule="auto"/>
        <w:ind w:firstLine="480" w:firstLineChars="200"/>
        <w:rPr>
          <w:rFonts w:hint="eastAsia" w:ascii="仿宋" w:hAnsi="仿宋" w:eastAsia="仿宋" w:cs="宋体"/>
          <w:color w:val="auto"/>
          <w:lang w:eastAsia="zh-CN"/>
        </w:rPr>
      </w:pPr>
      <w:r>
        <w:rPr>
          <w:rFonts w:hint="eastAsia" w:ascii="仿宋" w:hAnsi="仿宋" w:eastAsia="仿宋" w:cs="宋体"/>
          <w:color w:val="auto"/>
          <w:lang w:val="en-US" w:eastAsia="zh-CN"/>
        </w:rPr>
        <w:t>7．</w:t>
      </w:r>
      <w:r>
        <w:rPr>
          <w:rFonts w:hint="eastAsia" w:ascii="仿宋" w:hAnsi="仿宋" w:eastAsia="仿宋" w:cs="宋体"/>
          <w:color w:val="auto"/>
          <w:lang w:eastAsia="zh-CN"/>
        </w:rPr>
        <w:t>水质检测每天上、下午各一次对污水站出水</w:t>
      </w:r>
      <w:r>
        <w:rPr>
          <w:rFonts w:hint="eastAsia" w:ascii="仿宋" w:hAnsi="仿宋" w:eastAsia="仿宋" w:cs="宋体"/>
          <w:color w:val="auto"/>
          <w:lang w:val="en-US" w:eastAsia="zh-CN"/>
        </w:rPr>
        <w:t>余氯、pH值</w:t>
      </w:r>
      <w:r>
        <w:rPr>
          <w:rFonts w:hint="eastAsia" w:ascii="仿宋" w:hAnsi="仿宋" w:eastAsia="仿宋" w:cs="宋体"/>
          <w:color w:val="auto"/>
          <w:lang w:eastAsia="zh-CN"/>
        </w:rPr>
        <w:t>进行</w:t>
      </w:r>
      <w:r>
        <w:rPr>
          <w:rFonts w:hint="eastAsia" w:ascii="仿宋" w:hAnsi="仿宋" w:eastAsia="仿宋" w:cs="宋体"/>
          <w:color w:val="auto"/>
          <w:lang w:val="en-US" w:eastAsia="zh-CN"/>
        </w:rPr>
        <w:t>自行</w:t>
      </w:r>
      <w:r>
        <w:rPr>
          <w:rFonts w:hint="eastAsia" w:ascii="仿宋" w:hAnsi="仿宋" w:eastAsia="仿宋" w:cs="宋体"/>
          <w:color w:val="auto"/>
          <w:lang w:eastAsia="zh-CN"/>
        </w:rPr>
        <w:t>检测，每年需进行不少</w:t>
      </w:r>
      <w:r>
        <w:rPr>
          <w:rFonts w:hint="eastAsia" w:ascii="仿宋" w:hAnsi="仿宋" w:eastAsia="仿宋" w:cs="宋体"/>
          <w:color w:val="auto"/>
          <w:lang w:val="en-US" w:eastAsia="zh-CN"/>
        </w:rPr>
        <w:t>于</w:t>
      </w:r>
      <w:r>
        <w:rPr>
          <w:rFonts w:hint="eastAsia" w:ascii="仿宋" w:hAnsi="仿宋" w:eastAsia="仿宋" w:cs="宋体"/>
          <w:color w:val="auto"/>
          <w:lang w:eastAsia="zh-CN"/>
        </w:rPr>
        <w:t>环保要求</w:t>
      </w:r>
      <w:r>
        <w:rPr>
          <w:rFonts w:hint="eastAsia" w:ascii="仿宋" w:hAnsi="仿宋" w:eastAsia="仿宋" w:cs="宋体"/>
          <w:color w:val="auto"/>
          <w:lang w:val="en-US" w:eastAsia="zh-CN"/>
        </w:rPr>
        <w:t>的</w:t>
      </w:r>
      <w:r>
        <w:rPr>
          <w:rFonts w:hint="eastAsia" w:ascii="仿宋" w:hAnsi="仿宋" w:eastAsia="仿宋" w:cs="宋体"/>
          <w:color w:val="auto"/>
          <w:lang w:eastAsia="zh-CN"/>
        </w:rPr>
        <w:t>检测，确保污水处理系统出水排放所有指标符合</w:t>
      </w:r>
      <w:r>
        <w:rPr>
          <w:rFonts w:hint="eastAsia" w:ascii="仿宋" w:hAnsi="仿宋" w:eastAsia="仿宋" w:cs="宋体"/>
          <w:color w:val="auto"/>
          <w:lang w:val="en-US" w:eastAsia="zh-CN"/>
        </w:rPr>
        <w:t>医疗机构水污染物排放标准GB18466-2005表2综合医疗机构和其他医疗机构水污染物排放限值</w:t>
      </w:r>
      <w:r>
        <w:rPr>
          <w:rFonts w:hint="eastAsia" w:ascii="仿宋" w:hAnsi="仿宋" w:eastAsia="仿宋" w:cs="宋体"/>
          <w:color w:val="auto"/>
          <w:lang w:eastAsia="zh-CN"/>
        </w:rPr>
        <w:t>（指标和检测要求须随国家标准调整而调整，地方如有更严格标准则按地方执行）。</w:t>
      </w:r>
    </w:p>
    <w:p>
      <w:pPr>
        <w:spacing w:before="240" w:after="240" w:line="240" w:lineRule="auto"/>
        <w:ind w:firstLine="480" w:firstLineChars="200"/>
        <w:rPr>
          <w:rFonts w:hint="eastAsia" w:ascii="仿宋" w:hAnsi="仿宋" w:eastAsia="仿宋" w:cs="宋体"/>
          <w:color w:val="auto"/>
          <w:lang w:val="en-US" w:eastAsia="zh-CN"/>
        </w:rPr>
      </w:pPr>
      <w:r>
        <w:rPr>
          <w:rFonts w:hint="eastAsia" w:ascii="仿宋" w:hAnsi="仿宋" w:eastAsia="仿宋" w:cs="宋体"/>
          <w:color w:val="auto"/>
          <w:lang w:val="en-US" w:eastAsia="zh-CN"/>
        </w:rPr>
        <w:t>8．</w:t>
      </w:r>
      <w:r>
        <w:rPr>
          <w:rFonts w:hint="eastAsia" w:ascii="仿宋" w:hAnsi="仿宋" w:eastAsia="仿宋" w:cs="宋体"/>
          <w:color w:val="auto"/>
          <w:lang w:eastAsia="zh-CN"/>
        </w:rPr>
        <w:t>污水处理日常运行的设施、设备须配置备用设施、设备、消耗品及易损件，如出现设备损坏，小故障</w:t>
      </w:r>
      <w:r>
        <w:rPr>
          <w:rFonts w:hint="eastAsia" w:ascii="仿宋" w:hAnsi="仿宋" w:eastAsia="仿宋" w:cs="宋体"/>
          <w:color w:val="auto"/>
          <w:lang w:val="en-US" w:eastAsia="zh-CN"/>
        </w:rPr>
        <w:t>4</w:t>
      </w:r>
      <w:r>
        <w:rPr>
          <w:rFonts w:hint="eastAsia" w:ascii="仿宋" w:hAnsi="仿宋" w:eastAsia="仿宋" w:cs="宋体"/>
          <w:color w:val="auto"/>
          <w:lang w:eastAsia="zh-CN"/>
        </w:rPr>
        <w:t>小时内修复，大故障2个工作日内修复，并确保不影响甲方污水处理站的正常运行。</w:t>
      </w:r>
      <w:r>
        <w:rPr>
          <w:rFonts w:hint="eastAsia" w:ascii="仿宋" w:hAnsi="仿宋" w:eastAsia="仿宋" w:cs="宋体"/>
          <w:color w:val="auto"/>
          <w:lang w:val="en-US" w:eastAsia="zh-CN"/>
        </w:rPr>
        <w:t>大故障乙方需出具书面情況说明书及整改方案，加盖单位公章送甲方备案。如因乙方对故障未按要求及时处理导致水质超标（扣除当月10%运维费用），当月考核等级为不合格，因污水排放不达标造成的损失，由乙方负责。</w:t>
      </w:r>
    </w:p>
    <w:p>
      <w:pPr>
        <w:spacing w:before="240" w:after="240" w:line="240" w:lineRule="auto"/>
        <w:ind w:firstLine="480" w:firstLineChars="200"/>
        <w:rPr>
          <w:rFonts w:hint="eastAsia" w:ascii="仿宋" w:hAnsi="仿宋" w:eastAsia="仿宋" w:cs="宋体"/>
          <w:color w:val="auto"/>
          <w:lang w:eastAsia="zh-CN"/>
        </w:rPr>
      </w:pPr>
      <w:r>
        <w:rPr>
          <w:rFonts w:hint="eastAsia" w:ascii="仿宋" w:hAnsi="仿宋" w:eastAsia="仿宋" w:cs="宋体"/>
          <w:color w:val="auto"/>
          <w:lang w:val="en-US" w:eastAsia="zh-CN"/>
        </w:rPr>
        <w:t>9．</w:t>
      </w:r>
      <w:r>
        <w:rPr>
          <w:rFonts w:hint="eastAsia" w:ascii="仿宋" w:hAnsi="仿宋" w:eastAsia="仿宋" w:cs="宋体"/>
          <w:color w:val="auto"/>
          <w:lang w:eastAsia="zh-CN"/>
        </w:rPr>
        <w:t>须有东西区污水处理的运行、故障和事故的应急预案。确保东西区污水处理安全、正常运行。应急预案需符合国家应急部门和行业主管部门的相关要求。</w:t>
      </w:r>
    </w:p>
    <w:p>
      <w:pPr>
        <w:spacing w:before="240" w:after="240" w:line="240" w:lineRule="auto"/>
        <w:ind w:firstLine="480" w:firstLineChars="200"/>
        <w:rPr>
          <w:rFonts w:hint="eastAsia" w:ascii="仿宋" w:hAnsi="仿宋" w:eastAsia="仿宋" w:cs="宋体"/>
          <w:color w:val="auto"/>
          <w:lang w:val="en-US" w:eastAsia="zh-CN"/>
        </w:rPr>
      </w:pPr>
      <w:r>
        <w:rPr>
          <w:rFonts w:hint="eastAsia" w:ascii="仿宋" w:hAnsi="仿宋" w:eastAsia="仿宋" w:cs="宋体"/>
          <w:color w:val="auto"/>
          <w:lang w:val="en-US" w:eastAsia="zh-CN"/>
        </w:rPr>
        <w:t>10．</w:t>
      </w:r>
      <w:r>
        <w:rPr>
          <w:rFonts w:hint="eastAsia" w:ascii="仿宋" w:hAnsi="仿宋" w:eastAsia="仿宋" w:cs="宋体"/>
          <w:color w:val="auto"/>
          <w:lang w:eastAsia="zh-CN"/>
        </w:rPr>
        <w:t>负责东西区污水处理全过程工艺和质量管理，应对使用的化验仪器仪表、工艺压力表、流量计、</w:t>
      </w:r>
      <w:r>
        <w:rPr>
          <w:rFonts w:hint="eastAsia" w:ascii="仿宋" w:hAnsi="仿宋" w:eastAsia="仿宋" w:cs="宋体"/>
          <w:color w:val="auto"/>
          <w:lang w:val="en-US" w:eastAsia="zh-CN"/>
        </w:rPr>
        <w:t>pH在线、COD在线、余氯在线</w:t>
      </w:r>
      <w:r>
        <w:rPr>
          <w:rFonts w:hint="eastAsia" w:ascii="仿宋" w:hAnsi="仿宋" w:eastAsia="仿宋" w:cs="宋体"/>
          <w:color w:val="auto"/>
          <w:lang w:eastAsia="zh-CN"/>
        </w:rPr>
        <w:t>等污水</w:t>
      </w:r>
      <w:r>
        <w:rPr>
          <w:rFonts w:hint="eastAsia" w:ascii="仿宋" w:hAnsi="仿宋" w:eastAsia="仿宋" w:cs="宋体"/>
          <w:color w:val="auto"/>
          <w:lang w:val="en-US" w:eastAsia="zh-CN"/>
        </w:rPr>
        <w:t>在线监测设备按照《江苏省污染源自动监测管理办法》（2022年修订）第六章比对校验的要求进行人工比对监测和校验，比对应做好书面记录，</w:t>
      </w:r>
      <w:r>
        <w:rPr>
          <w:rFonts w:hint="eastAsia" w:ascii="仿宋" w:hAnsi="仿宋" w:eastAsia="仿宋" w:cs="宋体"/>
          <w:color w:val="auto"/>
          <w:lang w:eastAsia="zh-CN"/>
        </w:rPr>
        <w:t>确保污水设备正常、稳定，准确检测和处理医疗废水，</w:t>
      </w:r>
      <w:r>
        <w:rPr>
          <w:rFonts w:hint="eastAsia" w:ascii="仿宋" w:hAnsi="仿宋" w:eastAsia="仿宋" w:cs="宋体"/>
          <w:color w:val="auto"/>
          <w:lang w:val="en-US" w:eastAsia="zh-CN"/>
        </w:rPr>
        <w:t>进行比对时应提前通知甲方进行现场监督，在线监测设备产生的废液需及时记录备查并通知甲方负责人员。如因乙方问题当月未按要求对甲方自动在线监测设备进行比对校验，当月运维费用扣5%，对应当月考核扣除5分。</w:t>
      </w:r>
    </w:p>
    <w:p>
      <w:pPr>
        <w:spacing w:before="240" w:after="240" w:line="240" w:lineRule="auto"/>
        <w:ind w:firstLine="480" w:firstLineChars="200"/>
        <w:rPr>
          <w:rFonts w:hint="eastAsia" w:ascii="仿宋" w:hAnsi="仿宋" w:eastAsia="仿宋" w:cs="宋体"/>
          <w:color w:val="auto"/>
          <w:lang w:val="en-US" w:eastAsia="zh-CN"/>
        </w:rPr>
      </w:pPr>
      <w:r>
        <w:rPr>
          <w:rFonts w:hint="eastAsia" w:ascii="仿宋" w:hAnsi="仿宋" w:eastAsia="仿宋" w:cs="宋体"/>
          <w:color w:val="auto"/>
          <w:lang w:val="en-US" w:eastAsia="zh-CN"/>
        </w:rPr>
        <w:t>11．</w:t>
      </w:r>
      <w:r>
        <w:rPr>
          <w:rFonts w:hint="eastAsia" w:ascii="仿宋" w:hAnsi="仿宋" w:eastAsia="仿宋" w:cs="宋体"/>
          <w:color w:val="auto"/>
          <w:lang w:eastAsia="zh-CN"/>
        </w:rPr>
        <w:t>有规范的安全管理制度、安全防护措施和安全操作规范，负责污水处理运行、操作、维修、改造过程中所有设备及人身安全并自行负责并承担一切安全事故责任，每年应进行不少于两次污水处理故障的应急演练，并有记录。</w:t>
      </w:r>
      <w:r>
        <w:rPr>
          <w:rFonts w:hint="eastAsia" w:ascii="仿宋" w:hAnsi="仿宋" w:eastAsia="仿宋" w:cs="宋体"/>
          <w:color w:val="auto"/>
          <w:lang w:val="en-US" w:eastAsia="zh-CN"/>
        </w:rPr>
        <w:t>如出现由于乙方造成的安全事故当月考核不合格，当月运维费用扣除10%。</w:t>
      </w:r>
    </w:p>
    <w:p>
      <w:pPr>
        <w:spacing w:before="240" w:after="240" w:line="240" w:lineRule="auto"/>
        <w:ind w:firstLine="480" w:firstLineChars="200"/>
        <w:rPr>
          <w:rFonts w:hint="eastAsia" w:ascii="仿宋" w:hAnsi="仿宋" w:eastAsia="仿宋" w:cs="宋体"/>
          <w:color w:val="auto"/>
          <w:lang w:val="en-US" w:eastAsia="zh-CN"/>
        </w:rPr>
      </w:pPr>
      <w:r>
        <w:rPr>
          <w:rFonts w:hint="eastAsia" w:ascii="仿宋" w:hAnsi="仿宋" w:eastAsia="仿宋" w:cs="宋体"/>
          <w:color w:val="auto"/>
          <w:lang w:val="en-US" w:eastAsia="zh-CN"/>
        </w:rPr>
        <w:t>12．</w:t>
      </w:r>
      <w:r>
        <w:rPr>
          <w:rFonts w:hint="eastAsia" w:ascii="仿宋" w:hAnsi="仿宋" w:eastAsia="仿宋" w:cs="宋体"/>
          <w:color w:val="auto"/>
          <w:lang w:eastAsia="zh-CN"/>
        </w:rPr>
        <w:t>负责做好东西区污水处理站的整体环境清洁卫生工作，保证周边环境卫生符合甲方管理要求。</w:t>
      </w:r>
      <w:r>
        <w:rPr>
          <w:rFonts w:hint="eastAsia" w:ascii="仿宋" w:hAnsi="仿宋" w:eastAsia="仿宋" w:cs="宋体"/>
          <w:color w:val="auto"/>
          <w:lang w:val="en-US" w:eastAsia="zh-CN"/>
        </w:rPr>
        <w:t>如卫生工作不到位（设备表面有明显灰尘、设备间有蜘蛛网、异味明显等），发现一处月度考核扣1分。</w:t>
      </w:r>
    </w:p>
    <w:p>
      <w:pPr>
        <w:widowControl w:val="0"/>
        <w:spacing w:before="240" w:after="240" w:line="240" w:lineRule="auto"/>
        <w:ind w:firstLine="480" w:firstLineChars="200"/>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13．</w:t>
      </w:r>
      <w:r>
        <w:rPr>
          <w:rFonts w:hint="eastAsia" w:ascii="仿宋" w:hAnsi="仿宋" w:eastAsia="仿宋" w:cs="宋体"/>
          <w:color w:val="auto"/>
          <w:lang w:eastAsia="zh-CN"/>
        </w:rPr>
        <w:t>协助东西区污水处理站运行所需资质材料的办理，环保系统上所需要填报的季度报告、年度报告由乙方负责填报（</w:t>
      </w:r>
      <w:r>
        <w:rPr>
          <w:rFonts w:hint="eastAsia" w:ascii="仿宋" w:hAnsi="仿宋" w:eastAsia="仿宋" w:cs="宋体"/>
          <w:color w:val="auto"/>
          <w:lang w:val="en-US" w:eastAsia="zh-CN"/>
        </w:rPr>
        <w:t>含排污许可证执行报告的填报工作-全国排污许可证管理信息平台，江苏省“一企一档”管理工作，</w:t>
      </w:r>
      <w:r>
        <w:rPr>
          <w:rFonts w:hint="eastAsia" w:ascii="仿宋" w:hAnsi="仿宋" w:eastAsia="仿宋" w:cs="宋体"/>
          <w:color w:val="auto"/>
          <w:lang w:eastAsia="zh-CN"/>
        </w:rPr>
        <w:t>包含在线联网</w:t>
      </w:r>
      <w:r>
        <w:rPr>
          <w:rFonts w:hint="eastAsia" w:ascii="仿宋" w:hAnsi="仿宋" w:eastAsia="仿宋" w:cs="宋体"/>
          <w:color w:val="auto"/>
          <w:lang w:val="en-US" w:eastAsia="zh-CN"/>
        </w:rPr>
        <w:t>设备</w:t>
      </w:r>
      <w:r>
        <w:rPr>
          <w:rFonts w:hint="eastAsia" w:ascii="仿宋" w:hAnsi="仿宋" w:eastAsia="仿宋" w:cs="宋体"/>
          <w:color w:val="auto"/>
          <w:lang w:eastAsia="zh-CN"/>
        </w:rPr>
        <w:t>相关监管平台的数据标记工作）。运维期间排污许可证如有变更由乙方完成，甲方协助提供相关资料，第三方公司的对接、环保相关事件的处理均由乙方负责对接解决，</w:t>
      </w:r>
      <w:r>
        <w:rPr>
          <w:rFonts w:hint="eastAsia" w:ascii="仿宋" w:hAnsi="仿宋" w:eastAsia="仿宋" w:cs="宋体"/>
          <w:color w:val="auto"/>
          <w:lang w:val="en-US" w:eastAsia="zh-CN"/>
        </w:rPr>
        <w:t>由于乙方原因未及时填报被上级主管部门通报的，扣当月运维费2%，月度考核扣5分。</w:t>
      </w:r>
    </w:p>
    <w:p>
      <w:pPr>
        <w:pStyle w:val="11"/>
        <w:spacing w:before="240" w:beforeAutospacing="0" w:after="240" w:afterAutospacing="0" w:line="240" w:lineRule="auto"/>
        <w:ind w:firstLine="480" w:firstLineChars="200"/>
        <w:rPr>
          <w:rFonts w:hint="eastAsia" w:ascii="仿宋" w:hAnsi="仿宋" w:eastAsia="仿宋" w:cs="宋体"/>
          <w:color w:val="auto"/>
          <w:lang w:val="en-US" w:eastAsia="zh-CN"/>
        </w:rPr>
      </w:pPr>
      <w:r>
        <w:rPr>
          <w:rFonts w:hint="eastAsia" w:ascii="仿宋" w:hAnsi="仿宋" w:eastAsia="仿宋" w:cs="宋体"/>
          <w:color w:val="auto"/>
          <w:lang w:eastAsia="zh-CN"/>
        </w:rPr>
        <w:t>14．乙方运行管理人员须遵守医院的各项规章制度，服从甲方的监督和管理；按规定穿着统一的工作</w:t>
      </w:r>
      <w:r>
        <w:rPr>
          <w:rFonts w:hint="eastAsia" w:ascii="仿宋" w:hAnsi="仿宋" w:eastAsia="仿宋" w:cs="宋体"/>
          <w:color w:val="auto"/>
          <w:lang w:val="en-US" w:eastAsia="zh-CN"/>
        </w:rPr>
        <w:t>服（带运维单位标识），</w:t>
      </w:r>
      <w:r>
        <w:rPr>
          <w:rFonts w:hint="eastAsia" w:ascii="仿宋" w:hAnsi="仿宋" w:eastAsia="仿宋" w:cs="宋体"/>
          <w:color w:val="auto"/>
          <w:lang w:eastAsia="zh-CN"/>
        </w:rPr>
        <w:t>着装整洁，佩戴工号牌（</w:t>
      </w:r>
      <w:r>
        <w:rPr>
          <w:rFonts w:hint="eastAsia" w:ascii="仿宋" w:hAnsi="仿宋" w:eastAsia="仿宋" w:cs="宋体"/>
          <w:color w:val="auto"/>
          <w:lang w:val="en-US" w:eastAsia="zh-CN"/>
        </w:rPr>
        <w:t>带照片</w:t>
      </w:r>
      <w:r>
        <w:rPr>
          <w:rFonts w:hint="eastAsia" w:ascii="仿宋" w:hAnsi="仿宋" w:eastAsia="仿宋" w:cs="宋体"/>
          <w:color w:val="auto"/>
          <w:lang w:eastAsia="zh-CN"/>
        </w:rPr>
        <w:t>），配备劳动保护用具，出现</w:t>
      </w:r>
      <w:r>
        <w:rPr>
          <w:rFonts w:hint="eastAsia" w:ascii="仿宋" w:hAnsi="仿宋" w:eastAsia="仿宋" w:cs="宋体"/>
          <w:color w:val="auto"/>
          <w:lang w:val="en-US" w:eastAsia="zh-CN"/>
        </w:rPr>
        <w:t>的</w:t>
      </w:r>
      <w:r>
        <w:rPr>
          <w:rFonts w:hint="eastAsia" w:ascii="仿宋" w:hAnsi="仿宋" w:eastAsia="仿宋" w:cs="宋体"/>
          <w:color w:val="auto"/>
          <w:lang w:eastAsia="zh-CN"/>
        </w:rPr>
        <w:t>任何意外事故由乙方负责，并承担一切费用。</w:t>
      </w:r>
      <w:r>
        <w:rPr>
          <w:rFonts w:hint="eastAsia" w:ascii="仿宋" w:hAnsi="仿宋" w:eastAsia="仿宋" w:cs="宋体"/>
          <w:color w:val="auto"/>
          <w:lang w:val="en-US" w:eastAsia="zh-CN"/>
        </w:rPr>
        <w:t>乙方应如实提供运行管理人员信息（姓名、照片、年龄、手机号），现场运维人员应与乙方提供信息相符合，每违反一项月度考核扣1分，扣当月运维费1%。</w:t>
      </w:r>
      <w:r>
        <w:rPr>
          <w:rFonts w:hint="eastAsia" w:ascii="仿宋" w:hAnsi="仿宋" w:eastAsia="仿宋" w:cs="宋体"/>
          <w:color w:val="auto"/>
          <w:lang w:eastAsia="zh-CN"/>
        </w:rPr>
        <w:t>调换人员须得到甲方认可。如甲方对常驻人员的工作不满意，乙方需立即更换相应人员，更换的人员应满足本文件对项目人员的要求，否则扣除每月运维费用10%。</w:t>
      </w:r>
    </w:p>
    <w:p>
      <w:pPr>
        <w:tabs>
          <w:tab w:val="left" w:pos="6960"/>
          <w:tab w:val="left" w:pos="7200"/>
        </w:tabs>
        <w:spacing w:before="240" w:after="240" w:line="240" w:lineRule="auto"/>
        <w:ind w:firstLine="480" w:firstLineChars="200"/>
        <w:rPr>
          <w:rFonts w:hint="eastAsia" w:ascii="仿宋" w:hAnsi="仿宋" w:eastAsia="仿宋" w:cs="宋体"/>
          <w:color w:val="auto"/>
          <w:lang w:eastAsia="zh-CN"/>
        </w:rPr>
      </w:pPr>
      <w:r>
        <w:rPr>
          <w:rFonts w:hint="eastAsia" w:ascii="仿宋" w:hAnsi="仿宋" w:eastAsia="仿宋" w:cs="宋体"/>
          <w:color w:val="auto"/>
          <w:lang w:eastAsia="zh-CN"/>
        </w:rPr>
        <w:t>1</w:t>
      </w:r>
      <w:r>
        <w:rPr>
          <w:rFonts w:hint="eastAsia" w:ascii="仿宋" w:hAnsi="仿宋" w:eastAsia="仿宋" w:cs="宋体"/>
          <w:color w:val="auto"/>
          <w:lang w:val="en-US" w:eastAsia="zh-CN"/>
        </w:rPr>
        <w:t>5．</w:t>
      </w:r>
      <w:r>
        <w:rPr>
          <w:rFonts w:hint="eastAsia" w:ascii="仿宋" w:hAnsi="仿宋" w:eastAsia="仿宋" w:cs="宋体"/>
          <w:color w:val="auto"/>
          <w:lang w:eastAsia="zh-CN"/>
        </w:rPr>
        <w:t>甲方为乙方的运行人员提供必要的办公场所和出入许可，并指派一名工作人员与乙方进行联络对接，负责监督、管理和考核，乙方应无条件遵守甲方相关管理规定，配合甲方积极做好各种检查、验收和突发事件应对工作。</w:t>
      </w:r>
    </w:p>
    <w:p>
      <w:pPr>
        <w:spacing w:before="240" w:after="240" w:line="240" w:lineRule="auto"/>
        <w:ind w:firstLine="480" w:firstLineChars="200"/>
        <w:rPr>
          <w:rFonts w:hint="eastAsia" w:ascii="仿宋" w:hAnsi="仿宋" w:eastAsia="仿宋" w:cs="宋体"/>
          <w:color w:val="auto"/>
          <w:lang w:val="en-US" w:eastAsia="zh-CN"/>
        </w:rPr>
      </w:pPr>
      <w:r>
        <w:rPr>
          <w:rFonts w:hint="eastAsia" w:ascii="仿宋" w:hAnsi="仿宋" w:eastAsia="仿宋" w:cs="宋体"/>
          <w:color w:val="auto"/>
          <w:lang w:eastAsia="zh-CN"/>
        </w:rPr>
        <w:t>1</w:t>
      </w:r>
      <w:r>
        <w:rPr>
          <w:rFonts w:hint="eastAsia" w:ascii="仿宋" w:hAnsi="仿宋" w:eastAsia="仿宋" w:cs="宋体"/>
          <w:color w:val="auto"/>
          <w:lang w:val="en-US" w:eastAsia="zh-CN"/>
        </w:rPr>
        <w:t>6．乙方提供的驻点人员应有相应的国家或行业认可的岗位证书，如</w:t>
      </w:r>
      <w:r>
        <w:rPr>
          <w:rFonts w:hint="eastAsia" w:ascii="仿宋" w:hAnsi="仿宋" w:eastAsia="仿宋" w:cs="宋体"/>
          <w:lang w:eastAsia="zh-CN"/>
        </w:rPr>
        <w:t>水质检测工或化学分析工、污</w:t>
      </w:r>
      <w:r>
        <w:rPr>
          <w:rFonts w:hint="eastAsia" w:ascii="仿宋" w:hAnsi="仿宋" w:eastAsia="仿宋" w:cs="宋体"/>
          <w:lang w:val="en-US" w:eastAsia="zh-CN"/>
        </w:rPr>
        <w:t>水或污</w:t>
      </w:r>
      <w:r>
        <w:rPr>
          <w:rFonts w:hint="eastAsia" w:ascii="仿宋" w:hAnsi="仿宋" w:eastAsia="仿宋" w:cs="宋体"/>
          <w:lang w:eastAsia="zh-CN"/>
        </w:rPr>
        <w:t>废水处理工、电工、焊工、安全员，</w:t>
      </w:r>
      <w:r>
        <w:rPr>
          <w:rFonts w:hint="eastAsia" w:ascii="仿宋" w:hAnsi="仿宋" w:eastAsia="仿宋" w:cs="宋体"/>
          <w:lang w:val="en-US" w:eastAsia="zh-CN"/>
        </w:rPr>
        <w:t>岗位证书上墙，</w:t>
      </w:r>
      <w:r>
        <w:rPr>
          <w:rFonts w:hint="eastAsia" w:ascii="仿宋" w:hAnsi="仿宋" w:eastAsia="仿宋" w:cs="宋体"/>
          <w:color w:val="auto"/>
          <w:lang w:eastAsia="zh-CN"/>
        </w:rPr>
        <w:t>乙方</w:t>
      </w:r>
      <w:r>
        <w:rPr>
          <w:rFonts w:hint="eastAsia" w:ascii="仿宋" w:hAnsi="仿宋" w:eastAsia="仿宋" w:cs="宋体"/>
          <w:color w:val="auto"/>
          <w:lang w:val="en-US" w:eastAsia="zh-CN"/>
        </w:rPr>
        <w:t>应对驻点</w:t>
      </w:r>
      <w:r>
        <w:rPr>
          <w:rFonts w:hint="eastAsia" w:ascii="仿宋" w:hAnsi="仿宋" w:eastAsia="仿宋" w:cs="宋体"/>
          <w:color w:val="auto"/>
          <w:lang w:eastAsia="zh-CN"/>
        </w:rPr>
        <w:t>运行</w:t>
      </w:r>
      <w:r>
        <w:rPr>
          <w:rFonts w:hint="eastAsia" w:ascii="仿宋" w:hAnsi="仿宋" w:eastAsia="仿宋" w:cs="宋体"/>
          <w:color w:val="auto"/>
          <w:lang w:val="en-US" w:eastAsia="zh-CN"/>
        </w:rPr>
        <w:t>人员进行岗前培训(余氯、pH值人工检测方法、污水处理出现应急事件的处理、穿脱防护服、污水处理设备的维护及保养等)，培训照片，培训合格证书。乙方入场后甲方每季度对照乙方培训记录对驻点人员进行考核，每考核不合格一人月度考核扣5分，当月运维费扣1%。</w:t>
      </w:r>
    </w:p>
    <w:p>
      <w:pPr>
        <w:spacing w:before="240" w:after="240" w:line="240" w:lineRule="auto"/>
        <w:ind w:firstLine="480" w:firstLineChars="200"/>
        <w:rPr>
          <w:rFonts w:hint="eastAsia" w:ascii="仿宋" w:hAnsi="仿宋" w:eastAsia="仿宋" w:cs="宋体"/>
          <w:color w:val="auto"/>
          <w:lang w:eastAsia="zh-CN"/>
        </w:rPr>
      </w:pPr>
      <w:r>
        <w:rPr>
          <w:rFonts w:hint="eastAsia" w:ascii="仿宋" w:hAnsi="仿宋" w:eastAsia="仿宋" w:cs="宋体"/>
          <w:color w:val="auto"/>
          <w:lang w:val="en-US" w:eastAsia="zh-CN"/>
        </w:rPr>
        <w:t>17．</w:t>
      </w:r>
      <w:r>
        <w:rPr>
          <w:rFonts w:hint="eastAsia" w:ascii="仿宋" w:hAnsi="仿宋" w:eastAsia="仿宋" w:cs="宋体"/>
          <w:color w:val="auto"/>
          <w:lang w:eastAsia="zh-CN"/>
        </w:rPr>
        <w:t>执行标准：《医疗机构水污染物排放标准》GB18466-2005预处理标准和《污水排入城镇下水道水质标准》GB/T31962-2015B级标准，地方如有更高标准按地方标准执行。</w:t>
      </w:r>
    </w:p>
    <w:p>
      <w:pPr>
        <w:spacing w:before="240" w:after="240" w:line="240" w:lineRule="auto"/>
        <w:ind w:firstLine="480" w:firstLineChars="200"/>
        <w:rPr>
          <w:rFonts w:hint="eastAsia" w:ascii="仿宋" w:hAnsi="仿宋" w:eastAsia="仿宋" w:cs="宋体"/>
          <w:color w:val="auto"/>
          <w:lang w:eastAsia="zh-CN"/>
        </w:rPr>
      </w:pPr>
      <w:r>
        <w:rPr>
          <w:rFonts w:hint="eastAsia" w:ascii="仿宋" w:hAnsi="仿宋" w:eastAsia="仿宋" w:cs="宋体"/>
          <w:color w:val="auto"/>
          <w:lang w:val="en-US" w:eastAsia="zh-CN"/>
        </w:rPr>
        <w:t>18．</w:t>
      </w:r>
      <w:r>
        <w:rPr>
          <w:rFonts w:hint="eastAsia" w:ascii="仿宋" w:hAnsi="仿宋" w:eastAsia="仿宋" w:cs="宋体"/>
          <w:color w:val="auto"/>
          <w:lang w:eastAsia="zh-CN"/>
        </w:rPr>
        <w:t>发热门诊污水预处理设施</w:t>
      </w:r>
      <w:r>
        <w:rPr>
          <w:rFonts w:hint="eastAsia" w:ascii="仿宋" w:hAnsi="仿宋" w:eastAsia="仿宋" w:cs="宋体"/>
          <w:color w:val="auto"/>
          <w:lang w:val="en-US" w:eastAsia="zh-CN"/>
        </w:rPr>
        <w:t>现已停用，乙方需定期（每月）对发热门诊污水处理设施进行维护并有保养记录备查，保障设备能正常使用，如出现紧急情况需重启发热门诊污水处理保障能立刻启用。</w:t>
      </w:r>
    </w:p>
    <w:p>
      <w:pPr>
        <w:spacing w:beforeLines="0" w:afterLines="0" w:line="360" w:lineRule="auto"/>
        <w:ind w:firstLine="480" w:firstLineChars="200"/>
        <w:rPr>
          <w:rFonts w:hint="eastAsia" w:ascii="黑体" w:hAnsi="黑体" w:eastAsia="黑体" w:cs="宋体"/>
          <w:color w:val="auto"/>
          <w:lang w:val="en-US" w:eastAsia="zh-CN"/>
        </w:rPr>
      </w:pPr>
      <w:r>
        <w:rPr>
          <w:rFonts w:hint="eastAsia" w:ascii="黑体" w:hAnsi="黑体" w:eastAsia="黑体" w:cs="宋体"/>
          <w:color w:val="auto"/>
          <w:lang w:val="en-US" w:eastAsia="zh-CN"/>
        </w:rPr>
        <w:t>三、检测服务项目内容及要求:</w:t>
      </w:r>
    </w:p>
    <w:tbl>
      <w:tblPr>
        <w:tblStyle w:val="13"/>
        <w:tblW w:w="0" w:type="auto"/>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1300"/>
        <w:gridCol w:w="3225"/>
        <w:gridCol w:w="862"/>
        <w:gridCol w:w="875"/>
        <w:gridCol w:w="1025"/>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063"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检测类别</w:t>
            </w:r>
          </w:p>
        </w:tc>
        <w:tc>
          <w:tcPr>
            <w:tcW w:w="1300"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测试项目</w:t>
            </w:r>
          </w:p>
        </w:tc>
        <w:tc>
          <w:tcPr>
            <w:tcW w:w="3225"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分析方法</w:t>
            </w:r>
          </w:p>
        </w:tc>
        <w:tc>
          <w:tcPr>
            <w:tcW w:w="862"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检出限</w:t>
            </w:r>
          </w:p>
        </w:tc>
        <w:tc>
          <w:tcPr>
            <w:tcW w:w="875"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点位</w:t>
            </w:r>
          </w:p>
        </w:tc>
        <w:tc>
          <w:tcPr>
            <w:tcW w:w="1025"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频次</w:t>
            </w:r>
          </w:p>
        </w:tc>
        <w:tc>
          <w:tcPr>
            <w:tcW w:w="1179"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restart"/>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废水</w:t>
            </w:r>
          </w:p>
        </w:tc>
        <w:tc>
          <w:tcPr>
            <w:tcW w:w="1300"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PH</w:t>
            </w:r>
          </w:p>
        </w:tc>
        <w:tc>
          <w:tcPr>
            <w:tcW w:w="3225"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水质PH值的测定 玻璃电极GB6920-1986</w:t>
            </w:r>
          </w:p>
        </w:tc>
        <w:tc>
          <w:tcPr>
            <w:tcW w:w="862"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6-9</w:t>
            </w:r>
          </w:p>
        </w:tc>
        <w:tc>
          <w:tcPr>
            <w:tcW w:w="875"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2点</w:t>
            </w:r>
          </w:p>
        </w:tc>
        <w:tc>
          <w:tcPr>
            <w:tcW w:w="1025"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1次/天</w:t>
            </w:r>
          </w:p>
        </w:tc>
        <w:tc>
          <w:tcPr>
            <w:tcW w:w="1179"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widowControl w:val="0"/>
              <w:spacing w:before="240" w:after="240" w:line="240" w:lineRule="auto"/>
              <w:jc w:val="both"/>
              <w:rPr>
                <w:rFonts w:hint="eastAsia" w:ascii="仿宋" w:hAnsi="仿宋" w:eastAsia="仿宋" w:cs="宋体"/>
                <w:color w:val="auto"/>
              </w:rPr>
            </w:pPr>
          </w:p>
        </w:tc>
        <w:tc>
          <w:tcPr>
            <w:tcW w:w="1300"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色度</w:t>
            </w:r>
          </w:p>
        </w:tc>
        <w:tc>
          <w:tcPr>
            <w:tcW w:w="3225"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水质色度的测定GB11903-89</w:t>
            </w:r>
          </w:p>
        </w:tc>
        <w:tc>
          <w:tcPr>
            <w:tcW w:w="862"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64</w:t>
            </w:r>
          </w:p>
        </w:tc>
        <w:tc>
          <w:tcPr>
            <w:tcW w:w="875"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2点</w:t>
            </w:r>
          </w:p>
        </w:tc>
        <w:tc>
          <w:tcPr>
            <w:tcW w:w="1025"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1次/天</w:t>
            </w:r>
          </w:p>
        </w:tc>
        <w:tc>
          <w:tcPr>
            <w:tcW w:w="1179"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widowControl w:val="0"/>
              <w:spacing w:before="240" w:after="240" w:line="240" w:lineRule="auto"/>
              <w:jc w:val="both"/>
              <w:rPr>
                <w:rFonts w:hint="eastAsia" w:ascii="仿宋" w:hAnsi="仿宋" w:eastAsia="仿宋" w:cs="宋体"/>
                <w:color w:val="auto"/>
              </w:rPr>
            </w:pPr>
          </w:p>
        </w:tc>
        <w:tc>
          <w:tcPr>
            <w:tcW w:w="1300"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悬浮物</w:t>
            </w:r>
          </w:p>
        </w:tc>
        <w:tc>
          <w:tcPr>
            <w:tcW w:w="3225"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水质悬浮物的测定 重量法GB11901-1989</w:t>
            </w:r>
          </w:p>
        </w:tc>
        <w:tc>
          <w:tcPr>
            <w:tcW w:w="862"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60</w:t>
            </w:r>
          </w:p>
        </w:tc>
        <w:tc>
          <w:tcPr>
            <w:tcW w:w="875"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2点</w:t>
            </w:r>
          </w:p>
        </w:tc>
        <w:tc>
          <w:tcPr>
            <w:tcW w:w="1025"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1次/天</w:t>
            </w:r>
          </w:p>
        </w:tc>
        <w:tc>
          <w:tcPr>
            <w:tcW w:w="1179" w:type="dxa"/>
          </w:tcPr>
          <w:p>
            <w:pPr>
              <w:widowControl w:val="0"/>
              <w:spacing w:before="240" w:after="240" w:line="240" w:lineRule="auto"/>
              <w:jc w:val="both"/>
              <w:rPr>
                <w:rFonts w:hint="eastAsia" w:ascii="仿宋" w:hAnsi="仿宋" w:eastAsia="仿宋" w:cs="宋体"/>
                <w:color w:val="auto"/>
                <w:lang w:val="en-US"/>
              </w:rPr>
            </w:pPr>
            <w:r>
              <w:rPr>
                <w:rFonts w:hint="eastAsia" w:ascii="仿宋" w:hAnsi="仿宋" w:eastAsia="仿宋" w:cs="宋体"/>
                <w:color w:val="auto"/>
                <w:lang w:val="en-US" w:eastAsia="zh-CN"/>
              </w:rPr>
              <w:t>1次/周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widowControl w:val="0"/>
              <w:spacing w:before="240" w:after="240" w:line="240" w:lineRule="auto"/>
              <w:jc w:val="both"/>
              <w:rPr>
                <w:rFonts w:hint="eastAsia" w:ascii="仿宋" w:hAnsi="仿宋" w:eastAsia="仿宋" w:cs="宋体"/>
                <w:color w:val="auto"/>
              </w:rPr>
            </w:pPr>
          </w:p>
        </w:tc>
        <w:tc>
          <w:tcPr>
            <w:tcW w:w="1300"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五日生化需氧量</w:t>
            </w:r>
          </w:p>
        </w:tc>
        <w:tc>
          <w:tcPr>
            <w:tcW w:w="3225" w:type="dxa"/>
          </w:tcPr>
          <w:p>
            <w:pPr>
              <w:widowControl/>
              <w:spacing w:before="240" w:after="240" w:line="240" w:lineRule="auto"/>
              <w:jc w:val="both"/>
              <w:rPr>
                <w:rFonts w:hint="eastAsia" w:ascii="仿宋" w:hAnsi="仿宋" w:eastAsia="仿宋" w:cs="宋体"/>
                <w:color w:val="auto"/>
                <w:lang w:eastAsia="zh-CN"/>
              </w:rPr>
            </w:pPr>
            <w:r>
              <w:rPr>
                <w:rFonts w:hint="eastAsia" w:ascii="仿宋" w:hAnsi="仿宋" w:eastAsia="仿宋" w:cs="宋体"/>
                <w:color w:val="auto"/>
                <w:lang w:val="en-US" w:eastAsia="zh-CN" w:bidi="ar"/>
              </w:rPr>
              <w:t>水质 五日生化需氧量 （BOD5）的测定 稀释与接种法HJ505-2009</w:t>
            </w:r>
          </w:p>
        </w:tc>
        <w:tc>
          <w:tcPr>
            <w:tcW w:w="862"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100</w:t>
            </w:r>
          </w:p>
        </w:tc>
        <w:tc>
          <w:tcPr>
            <w:tcW w:w="875"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2点</w:t>
            </w:r>
          </w:p>
        </w:tc>
        <w:tc>
          <w:tcPr>
            <w:tcW w:w="1025"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1次/天</w:t>
            </w:r>
          </w:p>
        </w:tc>
        <w:tc>
          <w:tcPr>
            <w:tcW w:w="1179"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063" w:type="dxa"/>
            <w:vMerge w:val="continue"/>
          </w:tcPr>
          <w:p>
            <w:pPr>
              <w:widowControl w:val="0"/>
              <w:spacing w:before="240" w:after="240" w:line="240" w:lineRule="auto"/>
              <w:jc w:val="both"/>
              <w:rPr>
                <w:rFonts w:hint="eastAsia" w:ascii="仿宋" w:hAnsi="仿宋" w:eastAsia="仿宋" w:cs="宋体"/>
                <w:color w:val="auto"/>
              </w:rPr>
            </w:pPr>
          </w:p>
        </w:tc>
        <w:tc>
          <w:tcPr>
            <w:tcW w:w="1300"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化学需氧量</w:t>
            </w:r>
          </w:p>
        </w:tc>
        <w:tc>
          <w:tcPr>
            <w:tcW w:w="3225" w:type="dxa"/>
          </w:tcPr>
          <w:p>
            <w:pPr>
              <w:widowControl/>
              <w:spacing w:before="240" w:after="240" w:line="240" w:lineRule="auto"/>
              <w:jc w:val="both"/>
              <w:rPr>
                <w:rFonts w:hint="eastAsia" w:ascii="仿宋" w:hAnsi="仿宋" w:eastAsia="仿宋" w:cs="宋体"/>
                <w:color w:val="auto"/>
                <w:lang w:eastAsia="zh-CN"/>
              </w:rPr>
            </w:pPr>
            <w:r>
              <w:rPr>
                <w:rFonts w:hint="eastAsia" w:ascii="仿宋" w:hAnsi="仿宋" w:eastAsia="仿宋" w:cs="宋体"/>
                <w:color w:val="auto"/>
                <w:lang w:val="en-US" w:eastAsia="zh-CN" w:bidi="ar"/>
              </w:rPr>
              <w:t>水质 化学需氧量的测定重铬酸盐法 HJ 828-2017</w:t>
            </w:r>
          </w:p>
        </w:tc>
        <w:tc>
          <w:tcPr>
            <w:tcW w:w="862"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250</w:t>
            </w:r>
          </w:p>
        </w:tc>
        <w:tc>
          <w:tcPr>
            <w:tcW w:w="875"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2点</w:t>
            </w:r>
          </w:p>
        </w:tc>
        <w:tc>
          <w:tcPr>
            <w:tcW w:w="1025"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1次/天</w:t>
            </w:r>
          </w:p>
        </w:tc>
        <w:tc>
          <w:tcPr>
            <w:tcW w:w="1179"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1次/周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widowControl w:val="0"/>
              <w:spacing w:before="240" w:after="240" w:line="240" w:lineRule="auto"/>
              <w:jc w:val="both"/>
              <w:rPr>
                <w:rFonts w:hint="eastAsia" w:ascii="仿宋" w:hAnsi="仿宋" w:eastAsia="仿宋" w:cs="宋体"/>
                <w:color w:val="auto"/>
              </w:rPr>
            </w:pPr>
          </w:p>
        </w:tc>
        <w:tc>
          <w:tcPr>
            <w:tcW w:w="1300"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氨氮</w:t>
            </w:r>
          </w:p>
        </w:tc>
        <w:tc>
          <w:tcPr>
            <w:tcW w:w="3225" w:type="dxa"/>
          </w:tcPr>
          <w:p>
            <w:pPr>
              <w:widowControl/>
              <w:spacing w:before="240" w:after="240" w:line="240" w:lineRule="auto"/>
              <w:jc w:val="both"/>
              <w:rPr>
                <w:rFonts w:hint="eastAsia" w:ascii="仿宋" w:hAnsi="仿宋" w:eastAsia="仿宋" w:cs="宋体"/>
                <w:color w:val="auto"/>
                <w:lang w:eastAsia="zh-CN"/>
              </w:rPr>
            </w:pPr>
            <w:r>
              <w:rPr>
                <w:rFonts w:hint="eastAsia" w:ascii="仿宋" w:hAnsi="仿宋" w:eastAsia="仿宋" w:cs="宋体"/>
                <w:color w:val="auto"/>
                <w:lang w:val="en-US" w:eastAsia="zh-CN" w:bidi="ar"/>
              </w:rPr>
              <w:t>水质 氨氮的测定纳氏试剂分光光度法 HJ 535- 2009</w:t>
            </w:r>
          </w:p>
        </w:tc>
        <w:tc>
          <w:tcPr>
            <w:tcW w:w="862"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45</w:t>
            </w:r>
          </w:p>
        </w:tc>
        <w:tc>
          <w:tcPr>
            <w:tcW w:w="875"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2点</w:t>
            </w:r>
          </w:p>
        </w:tc>
        <w:tc>
          <w:tcPr>
            <w:tcW w:w="1025"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1次/天</w:t>
            </w:r>
          </w:p>
        </w:tc>
        <w:tc>
          <w:tcPr>
            <w:tcW w:w="1179"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widowControl w:val="0"/>
              <w:spacing w:before="240" w:after="240" w:line="240" w:lineRule="auto"/>
              <w:jc w:val="both"/>
              <w:rPr>
                <w:rFonts w:hint="eastAsia" w:ascii="仿宋" w:hAnsi="仿宋" w:eastAsia="仿宋" w:cs="宋体"/>
                <w:color w:val="auto"/>
              </w:rPr>
            </w:pPr>
          </w:p>
        </w:tc>
        <w:tc>
          <w:tcPr>
            <w:tcW w:w="1300"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总磷</w:t>
            </w:r>
          </w:p>
        </w:tc>
        <w:tc>
          <w:tcPr>
            <w:tcW w:w="3225" w:type="dxa"/>
          </w:tcPr>
          <w:p>
            <w:pPr>
              <w:widowControl/>
              <w:spacing w:before="240" w:after="240" w:line="240" w:lineRule="auto"/>
              <w:jc w:val="both"/>
              <w:rPr>
                <w:rFonts w:hint="eastAsia" w:ascii="仿宋" w:hAnsi="仿宋" w:eastAsia="仿宋" w:cs="宋体"/>
                <w:color w:val="auto"/>
                <w:lang w:eastAsia="zh-CN"/>
              </w:rPr>
            </w:pPr>
            <w:r>
              <w:rPr>
                <w:rFonts w:hint="eastAsia" w:ascii="仿宋" w:hAnsi="仿宋" w:eastAsia="仿宋" w:cs="宋体"/>
                <w:color w:val="auto"/>
                <w:lang w:val="en-US" w:eastAsia="zh-CN" w:bidi="ar"/>
              </w:rPr>
              <w:t>水质 总磷的测定 钼酸铵分光光度 法 GB 11893- 1989</w:t>
            </w:r>
          </w:p>
        </w:tc>
        <w:tc>
          <w:tcPr>
            <w:tcW w:w="862"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8</w:t>
            </w:r>
          </w:p>
        </w:tc>
        <w:tc>
          <w:tcPr>
            <w:tcW w:w="875"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2点</w:t>
            </w:r>
          </w:p>
        </w:tc>
        <w:tc>
          <w:tcPr>
            <w:tcW w:w="1025"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1次/天</w:t>
            </w:r>
          </w:p>
        </w:tc>
        <w:tc>
          <w:tcPr>
            <w:tcW w:w="1179"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widowControl w:val="0"/>
              <w:spacing w:before="240" w:after="240" w:line="240" w:lineRule="auto"/>
              <w:jc w:val="both"/>
              <w:rPr>
                <w:rFonts w:hint="eastAsia" w:ascii="仿宋" w:hAnsi="仿宋" w:eastAsia="仿宋" w:cs="宋体"/>
                <w:color w:val="auto"/>
              </w:rPr>
            </w:pPr>
          </w:p>
        </w:tc>
        <w:tc>
          <w:tcPr>
            <w:tcW w:w="1300"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粪大肠菌群</w:t>
            </w:r>
          </w:p>
        </w:tc>
        <w:tc>
          <w:tcPr>
            <w:tcW w:w="3225"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eastAsia="zh-CN"/>
              </w:rPr>
              <w:t>《</w:t>
            </w:r>
            <w:r>
              <w:rPr>
                <w:rFonts w:hint="eastAsia" w:ascii="仿宋" w:hAnsi="仿宋" w:eastAsia="仿宋" w:cs="宋体"/>
                <w:color w:val="auto"/>
                <w:lang w:val="en-US" w:eastAsia="zh-CN"/>
              </w:rPr>
              <w:t>水和废水监测分析方法</w:t>
            </w:r>
            <w:r>
              <w:rPr>
                <w:rFonts w:hint="eastAsia" w:ascii="仿宋" w:hAnsi="仿宋" w:eastAsia="仿宋" w:cs="宋体"/>
                <w:color w:val="auto"/>
                <w:lang w:eastAsia="zh-CN"/>
              </w:rPr>
              <w:t>》（</w:t>
            </w:r>
            <w:r>
              <w:rPr>
                <w:rFonts w:hint="eastAsia" w:ascii="仿宋" w:hAnsi="仿宋" w:eastAsia="仿宋" w:cs="宋体"/>
                <w:color w:val="auto"/>
                <w:lang w:val="en-US" w:eastAsia="zh-CN"/>
              </w:rPr>
              <w:t>第四版增补版</w:t>
            </w:r>
            <w:r>
              <w:rPr>
                <w:rFonts w:hint="eastAsia" w:ascii="仿宋" w:hAnsi="仿宋" w:eastAsia="仿宋" w:cs="宋体"/>
                <w:color w:val="auto"/>
                <w:lang w:eastAsia="zh-CN"/>
              </w:rPr>
              <w:t>）</w:t>
            </w:r>
            <w:r>
              <w:rPr>
                <w:rFonts w:hint="eastAsia" w:ascii="仿宋" w:hAnsi="仿宋" w:eastAsia="仿宋" w:cs="宋体"/>
                <w:color w:val="auto"/>
                <w:lang w:val="en-US" w:eastAsia="zh-CN"/>
              </w:rPr>
              <w:t>国家环保总局（2002）管发酵法5.2.5（1）</w:t>
            </w:r>
          </w:p>
        </w:tc>
        <w:tc>
          <w:tcPr>
            <w:tcW w:w="862"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rPr>
              <w:t>≤</w:t>
            </w:r>
            <w:r>
              <w:rPr>
                <w:rFonts w:hint="eastAsia" w:ascii="仿宋" w:hAnsi="仿宋" w:eastAsia="仿宋" w:cs="宋体"/>
                <w:color w:val="auto"/>
                <w:lang w:val="en-US" w:eastAsia="zh-CN"/>
              </w:rPr>
              <w:t>5000</w:t>
            </w:r>
          </w:p>
        </w:tc>
        <w:tc>
          <w:tcPr>
            <w:tcW w:w="875"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2点</w:t>
            </w:r>
          </w:p>
        </w:tc>
        <w:tc>
          <w:tcPr>
            <w:tcW w:w="1025"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1次/天</w:t>
            </w:r>
          </w:p>
        </w:tc>
        <w:tc>
          <w:tcPr>
            <w:tcW w:w="1179"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widowControl w:val="0"/>
              <w:spacing w:before="240" w:after="240" w:line="240" w:lineRule="auto"/>
              <w:jc w:val="both"/>
              <w:rPr>
                <w:rFonts w:hint="eastAsia" w:ascii="仿宋" w:hAnsi="仿宋" w:eastAsia="仿宋" w:cs="宋体"/>
                <w:color w:val="auto"/>
              </w:rPr>
            </w:pPr>
          </w:p>
        </w:tc>
        <w:tc>
          <w:tcPr>
            <w:tcW w:w="1300"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沙门氏菌</w:t>
            </w:r>
          </w:p>
        </w:tc>
        <w:tc>
          <w:tcPr>
            <w:tcW w:w="3225"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医疗机构水污染物排放标准GB18466-2005 附录B检测方法</w:t>
            </w:r>
          </w:p>
        </w:tc>
        <w:tc>
          <w:tcPr>
            <w:tcW w:w="862"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不得 检出</w:t>
            </w:r>
          </w:p>
        </w:tc>
        <w:tc>
          <w:tcPr>
            <w:tcW w:w="875"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2点</w:t>
            </w:r>
          </w:p>
        </w:tc>
        <w:tc>
          <w:tcPr>
            <w:tcW w:w="1025"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1次/天</w:t>
            </w:r>
          </w:p>
        </w:tc>
        <w:tc>
          <w:tcPr>
            <w:tcW w:w="1179"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widowControl w:val="0"/>
              <w:spacing w:before="240" w:after="240" w:line="240" w:lineRule="auto"/>
              <w:jc w:val="both"/>
              <w:rPr>
                <w:rFonts w:hint="eastAsia" w:ascii="仿宋" w:hAnsi="仿宋" w:eastAsia="仿宋" w:cs="宋体"/>
                <w:color w:val="auto"/>
              </w:rPr>
            </w:pPr>
          </w:p>
        </w:tc>
        <w:tc>
          <w:tcPr>
            <w:tcW w:w="1300"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志贺氏菌</w:t>
            </w:r>
          </w:p>
        </w:tc>
        <w:tc>
          <w:tcPr>
            <w:tcW w:w="3225" w:type="dxa"/>
          </w:tcPr>
          <w:p>
            <w:pPr>
              <w:widowControl w:val="0"/>
              <w:spacing w:before="240" w:after="240" w:line="240" w:lineRule="auto"/>
              <w:jc w:val="both"/>
              <w:rPr>
                <w:rFonts w:hint="eastAsia" w:ascii="仿宋" w:hAnsi="仿宋" w:eastAsia="仿宋" w:cs="宋体"/>
                <w:color w:val="auto"/>
                <w:lang w:eastAsia="zh-CN"/>
              </w:rPr>
            </w:pPr>
            <w:r>
              <w:rPr>
                <w:rFonts w:hint="eastAsia" w:ascii="仿宋" w:hAnsi="仿宋" w:eastAsia="仿宋" w:cs="宋体"/>
                <w:color w:val="auto"/>
                <w:lang w:val="en-US" w:eastAsia="zh-CN"/>
              </w:rPr>
              <w:t>医疗机构水污染物排放标准GB18466-2005 附录C检测方法</w:t>
            </w:r>
          </w:p>
        </w:tc>
        <w:tc>
          <w:tcPr>
            <w:tcW w:w="862"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不得 检出</w:t>
            </w:r>
          </w:p>
        </w:tc>
        <w:tc>
          <w:tcPr>
            <w:tcW w:w="875"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2点</w:t>
            </w:r>
          </w:p>
        </w:tc>
        <w:tc>
          <w:tcPr>
            <w:tcW w:w="1025"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1次/天</w:t>
            </w:r>
          </w:p>
        </w:tc>
        <w:tc>
          <w:tcPr>
            <w:tcW w:w="1179"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2次/年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widowControl w:val="0"/>
              <w:spacing w:before="240" w:after="240" w:line="240" w:lineRule="auto"/>
              <w:jc w:val="both"/>
              <w:rPr>
                <w:rFonts w:hint="eastAsia" w:ascii="仿宋" w:hAnsi="仿宋" w:eastAsia="仿宋" w:cs="宋体"/>
                <w:color w:val="auto"/>
              </w:rPr>
            </w:pPr>
          </w:p>
        </w:tc>
        <w:tc>
          <w:tcPr>
            <w:tcW w:w="1300"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阴离子表面活性剂</w:t>
            </w:r>
          </w:p>
        </w:tc>
        <w:tc>
          <w:tcPr>
            <w:tcW w:w="3225"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水质阴离子表面活性剂的测定流动注射-亚甲基蓝分光度法 HJ826-2017</w:t>
            </w:r>
          </w:p>
        </w:tc>
        <w:tc>
          <w:tcPr>
            <w:tcW w:w="862"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10</w:t>
            </w:r>
          </w:p>
        </w:tc>
        <w:tc>
          <w:tcPr>
            <w:tcW w:w="875"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2点</w:t>
            </w:r>
          </w:p>
        </w:tc>
        <w:tc>
          <w:tcPr>
            <w:tcW w:w="1025"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1次/天</w:t>
            </w:r>
          </w:p>
        </w:tc>
        <w:tc>
          <w:tcPr>
            <w:tcW w:w="1179"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widowControl w:val="0"/>
              <w:spacing w:before="240" w:after="240" w:line="240" w:lineRule="auto"/>
              <w:jc w:val="both"/>
              <w:rPr>
                <w:rFonts w:hint="eastAsia" w:ascii="仿宋" w:hAnsi="仿宋" w:eastAsia="仿宋" w:cs="宋体"/>
                <w:color w:val="auto"/>
              </w:rPr>
            </w:pPr>
          </w:p>
        </w:tc>
        <w:tc>
          <w:tcPr>
            <w:tcW w:w="1300" w:type="dxa"/>
          </w:tcPr>
          <w:p>
            <w:pPr>
              <w:widowControl w:val="0"/>
              <w:spacing w:before="240" w:after="240" w:line="240" w:lineRule="auto"/>
              <w:ind w:left="240" w:hanging="240" w:hangingChars="100"/>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总氮 （以N计）</w:t>
            </w:r>
          </w:p>
        </w:tc>
        <w:tc>
          <w:tcPr>
            <w:tcW w:w="3225"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水质总氮的测定碱性过硫酸钾消解紫外分光光度法HJ636-2012</w:t>
            </w:r>
          </w:p>
        </w:tc>
        <w:tc>
          <w:tcPr>
            <w:tcW w:w="862" w:type="dxa"/>
          </w:tcPr>
          <w:p>
            <w:pPr>
              <w:widowControl w:val="0"/>
              <w:spacing w:before="240" w:after="240" w:line="240" w:lineRule="auto"/>
              <w:jc w:val="both"/>
              <w:rPr>
                <w:rFonts w:hint="eastAsia" w:ascii="仿宋" w:hAnsi="仿宋" w:eastAsia="仿宋" w:cs="宋体"/>
                <w:color w:val="auto"/>
                <w:lang w:eastAsia="zh-CN"/>
              </w:rPr>
            </w:pPr>
          </w:p>
        </w:tc>
        <w:tc>
          <w:tcPr>
            <w:tcW w:w="875" w:type="dxa"/>
          </w:tcPr>
          <w:p>
            <w:pPr>
              <w:widowControl w:val="0"/>
              <w:spacing w:before="240" w:after="240" w:line="240" w:lineRule="auto"/>
              <w:jc w:val="both"/>
              <w:rPr>
                <w:rFonts w:hint="eastAsia" w:ascii="仿宋" w:hAnsi="仿宋" w:eastAsia="仿宋" w:cs="宋体"/>
                <w:color w:val="auto"/>
                <w:lang w:val="en-US"/>
              </w:rPr>
            </w:pPr>
            <w:r>
              <w:rPr>
                <w:rFonts w:hint="eastAsia" w:ascii="仿宋" w:hAnsi="仿宋" w:eastAsia="仿宋" w:cs="宋体"/>
                <w:color w:val="auto"/>
                <w:lang w:val="en-US" w:eastAsia="zh-CN"/>
              </w:rPr>
              <w:t>2点</w:t>
            </w:r>
          </w:p>
        </w:tc>
        <w:tc>
          <w:tcPr>
            <w:tcW w:w="1025" w:type="dxa"/>
          </w:tcPr>
          <w:p>
            <w:pPr>
              <w:widowControl w:val="0"/>
              <w:spacing w:before="240" w:after="240" w:line="240" w:lineRule="auto"/>
              <w:jc w:val="both"/>
              <w:rPr>
                <w:rFonts w:hint="eastAsia" w:ascii="仿宋" w:hAnsi="仿宋" w:eastAsia="仿宋" w:cs="宋体"/>
                <w:color w:val="auto"/>
                <w:lang w:val="en-US"/>
              </w:rPr>
            </w:pPr>
            <w:r>
              <w:rPr>
                <w:rFonts w:hint="eastAsia" w:ascii="仿宋" w:hAnsi="仿宋" w:eastAsia="仿宋" w:cs="宋体"/>
                <w:color w:val="auto"/>
                <w:lang w:val="en-US" w:eastAsia="zh-CN"/>
              </w:rPr>
              <w:t>1次/天</w:t>
            </w:r>
          </w:p>
        </w:tc>
        <w:tc>
          <w:tcPr>
            <w:tcW w:w="1179" w:type="dxa"/>
          </w:tcPr>
          <w:p>
            <w:pPr>
              <w:widowControl w:val="0"/>
              <w:spacing w:before="240" w:after="240" w:line="240" w:lineRule="auto"/>
              <w:jc w:val="both"/>
              <w:rPr>
                <w:rFonts w:hint="eastAsia" w:ascii="仿宋" w:hAnsi="仿宋" w:eastAsia="仿宋" w:cs="宋体"/>
                <w:color w:val="auto"/>
                <w:lang w:val="en-US"/>
              </w:rPr>
            </w:pPr>
            <w:r>
              <w:rPr>
                <w:rFonts w:hint="eastAsia" w:ascii="仿宋" w:hAnsi="仿宋" w:eastAsia="仿宋" w:cs="宋体"/>
                <w:color w:val="auto"/>
                <w:lang w:val="en-US" w:eastAsia="zh-CN"/>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widowControl w:val="0"/>
              <w:spacing w:before="240" w:after="240" w:line="240" w:lineRule="auto"/>
              <w:jc w:val="both"/>
              <w:rPr>
                <w:rFonts w:hint="eastAsia" w:ascii="仿宋" w:hAnsi="仿宋" w:eastAsia="仿宋" w:cs="宋体"/>
                <w:color w:val="auto"/>
              </w:rPr>
            </w:pPr>
          </w:p>
        </w:tc>
        <w:tc>
          <w:tcPr>
            <w:tcW w:w="1300"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石油类</w:t>
            </w:r>
          </w:p>
        </w:tc>
        <w:tc>
          <w:tcPr>
            <w:tcW w:w="3225"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水质石油类和动物植物油类的测定红外分光光度法GB/T16488-1996</w:t>
            </w:r>
          </w:p>
        </w:tc>
        <w:tc>
          <w:tcPr>
            <w:tcW w:w="862"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20</w:t>
            </w:r>
          </w:p>
        </w:tc>
        <w:tc>
          <w:tcPr>
            <w:tcW w:w="875"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2点</w:t>
            </w:r>
          </w:p>
        </w:tc>
        <w:tc>
          <w:tcPr>
            <w:tcW w:w="1025"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1次/天</w:t>
            </w:r>
          </w:p>
        </w:tc>
        <w:tc>
          <w:tcPr>
            <w:tcW w:w="1179"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widowControl w:val="0"/>
              <w:spacing w:before="240" w:after="240" w:line="240" w:lineRule="auto"/>
              <w:jc w:val="both"/>
              <w:rPr>
                <w:rFonts w:hint="eastAsia" w:ascii="仿宋" w:hAnsi="仿宋" w:eastAsia="仿宋" w:cs="宋体"/>
                <w:color w:val="auto"/>
              </w:rPr>
            </w:pPr>
          </w:p>
        </w:tc>
        <w:tc>
          <w:tcPr>
            <w:tcW w:w="1300"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动植物油</w:t>
            </w:r>
          </w:p>
        </w:tc>
        <w:tc>
          <w:tcPr>
            <w:tcW w:w="3225" w:type="dxa"/>
          </w:tcPr>
          <w:p>
            <w:pPr>
              <w:widowControl w:val="0"/>
              <w:spacing w:before="240" w:after="240" w:line="240" w:lineRule="auto"/>
              <w:jc w:val="both"/>
              <w:rPr>
                <w:rFonts w:hint="eastAsia" w:ascii="仿宋" w:hAnsi="仿宋" w:eastAsia="仿宋" w:cs="宋体"/>
                <w:color w:val="auto"/>
                <w:lang w:eastAsia="zh-CN"/>
              </w:rPr>
            </w:pPr>
            <w:r>
              <w:rPr>
                <w:rFonts w:hint="eastAsia" w:ascii="仿宋" w:hAnsi="仿宋" w:eastAsia="仿宋" w:cs="宋体"/>
                <w:color w:val="auto"/>
                <w:lang w:val="en-US" w:eastAsia="zh-CN"/>
              </w:rPr>
              <w:t>水质石油类和动物植物油类的测定红外分光光度法GB/T16488-1996</w:t>
            </w:r>
          </w:p>
        </w:tc>
        <w:tc>
          <w:tcPr>
            <w:tcW w:w="862"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20</w:t>
            </w:r>
          </w:p>
        </w:tc>
        <w:tc>
          <w:tcPr>
            <w:tcW w:w="875"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2点</w:t>
            </w:r>
          </w:p>
        </w:tc>
        <w:tc>
          <w:tcPr>
            <w:tcW w:w="1025"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1次/天</w:t>
            </w:r>
          </w:p>
        </w:tc>
        <w:tc>
          <w:tcPr>
            <w:tcW w:w="1179"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widowControl w:val="0"/>
              <w:spacing w:before="240" w:after="240" w:line="240" w:lineRule="auto"/>
              <w:jc w:val="both"/>
              <w:rPr>
                <w:rFonts w:hint="eastAsia" w:ascii="仿宋" w:hAnsi="仿宋" w:eastAsia="仿宋" w:cs="宋体"/>
                <w:color w:val="auto"/>
              </w:rPr>
            </w:pPr>
          </w:p>
        </w:tc>
        <w:tc>
          <w:tcPr>
            <w:tcW w:w="1300"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挥发酚</w:t>
            </w:r>
          </w:p>
        </w:tc>
        <w:tc>
          <w:tcPr>
            <w:tcW w:w="3225"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水质挥发酚的测定4-氨基安替比林分光光度法HJ503-2009</w:t>
            </w:r>
          </w:p>
        </w:tc>
        <w:tc>
          <w:tcPr>
            <w:tcW w:w="862"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1.0</w:t>
            </w:r>
          </w:p>
        </w:tc>
        <w:tc>
          <w:tcPr>
            <w:tcW w:w="875"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2点</w:t>
            </w:r>
          </w:p>
        </w:tc>
        <w:tc>
          <w:tcPr>
            <w:tcW w:w="1025"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1次/天</w:t>
            </w:r>
          </w:p>
        </w:tc>
        <w:tc>
          <w:tcPr>
            <w:tcW w:w="1179"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widowControl w:val="0"/>
              <w:spacing w:before="240" w:after="240" w:line="240" w:lineRule="auto"/>
              <w:jc w:val="both"/>
              <w:rPr>
                <w:rFonts w:hint="eastAsia" w:ascii="仿宋" w:hAnsi="仿宋" w:eastAsia="仿宋" w:cs="宋体"/>
                <w:color w:val="auto"/>
              </w:rPr>
            </w:pPr>
          </w:p>
        </w:tc>
        <w:tc>
          <w:tcPr>
            <w:tcW w:w="1300"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总氰化物</w:t>
            </w:r>
          </w:p>
        </w:tc>
        <w:tc>
          <w:tcPr>
            <w:tcW w:w="3225"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水质氰化物的测定 容量法和分光光度法HJ484-2009</w:t>
            </w:r>
          </w:p>
        </w:tc>
        <w:tc>
          <w:tcPr>
            <w:tcW w:w="862"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0.5</w:t>
            </w:r>
          </w:p>
        </w:tc>
        <w:tc>
          <w:tcPr>
            <w:tcW w:w="875"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2点</w:t>
            </w:r>
          </w:p>
        </w:tc>
        <w:tc>
          <w:tcPr>
            <w:tcW w:w="1025"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1次/天</w:t>
            </w:r>
          </w:p>
        </w:tc>
        <w:tc>
          <w:tcPr>
            <w:tcW w:w="1179"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widowControl w:val="0"/>
              <w:spacing w:before="240" w:after="240" w:line="240" w:lineRule="auto"/>
              <w:jc w:val="both"/>
              <w:rPr>
                <w:rFonts w:hint="eastAsia" w:ascii="仿宋" w:hAnsi="仿宋" w:eastAsia="仿宋" w:cs="宋体"/>
                <w:color w:val="auto"/>
              </w:rPr>
            </w:pPr>
          </w:p>
        </w:tc>
        <w:tc>
          <w:tcPr>
            <w:tcW w:w="1300"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总余氯（以Cl计）</w:t>
            </w:r>
          </w:p>
        </w:tc>
        <w:tc>
          <w:tcPr>
            <w:tcW w:w="3225"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水质游离氯和总氯的测定N,N-二乙基-1，4-苯二胺滴定法GB7468-87</w:t>
            </w:r>
          </w:p>
        </w:tc>
        <w:tc>
          <w:tcPr>
            <w:tcW w:w="862"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2-8</w:t>
            </w:r>
          </w:p>
        </w:tc>
        <w:tc>
          <w:tcPr>
            <w:tcW w:w="875"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2点</w:t>
            </w:r>
          </w:p>
        </w:tc>
        <w:tc>
          <w:tcPr>
            <w:tcW w:w="1025"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1次/天</w:t>
            </w:r>
          </w:p>
        </w:tc>
        <w:tc>
          <w:tcPr>
            <w:tcW w:w="1179"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widowControl w:val="0"/>
              <w:spacing w:before="240" w:after="240" w:line="240" w:lineRule="auto"/>
              <w:jc w:val="both"/>
              <w:rPr>
                <w:rFonts w:hint="eastAsia" w:ascii="仿宋" w:hAnsi="仿宋" w:eastAsia="仿宋" w:cs="宋体"/>
                <w:color w:val="auto"/>
              </w:rPr>
            </w:pPr>
          </w:p>
        </w:tc>
        <w:tc>
          <w:tcPr>
            <w:tcW w:w="1300"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总汞</w:t>
            </w:r>
          </w:p>
        </w:tc>
        <w:tc>
          <w:tcPr>
            <w:tcW w:w="3225"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水质总汞的测定冷原子吸收分光光度法HJ597-2011代替GB7468-87</w:t>
            </w:r>
          </w:p>
        </w:tc>
        <w:tc>
          <w:tcPr>
            <w:tcW w:w="862"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0.05</w:t>
            </w:r>
          </w:p>
        </w:tc>
        <w:tc>
          <w:tcPr>
            <w:tcW w:w="875"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2点</w:t>
            </w:r>
          </w:p>
        </w:tc>
        <w:tc>
          <w:tcPr>
            <w:tcW w:w="1025"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1次/天</w:t>
            </w:r>
          </w:p>
        </w:tc>
        <w:tc>
          <w:tcPr>
            <w:tcW w:w="1179"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widowControl w:val="0"/>
              <w:spacing w:before="240" w:after="240" w:line="240" w:lineRule="auto"/>
              <w:jc w:val="both"/>
              <w:rPr>
                <w:rFonts w:hint="eastAsia" w:ascii="仿宋" w:hAnsi="仿宋" w:eastAsia="仿宋" w:cs="宋体"/>
                <w:color w:val="auto"/>
              </w:rPr>
            </w:pPr>
          </w:p>
        </w:tc>
        <w:tc>
          <w:tcPr>
            <w:tcW w:w="1300"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总α放射性</w:t>
            </w:r>
          </w:p>
        </w:tc>
        <w:tc>
          <w:tcPr>
            <w:tcW w:w="3225"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水中总α放射性浓度的测定厚源EJ/T900-1994</w:t>
            </w:r>
          </w:p>
        </w:tc>
        <w:tc>
          <w:tcPr>
            <w:tcW w:w="862"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1</w:t>
            </w:r>
          </w:p>
        </w:tc>
        <w:tc>
          <w:tcPr>
            <w:tcW w:w="875" w:type="dxa"/>
          </w:tcPr>
          <w:p>
            <w:pPr>
              <w:widowControl w:val="0"/>
              <w:spacing w:before="240" w:after="240" w:line="240" w:lineRule="auto"/>
              <w:jc w:val="both"/>
              <w:rPr>
                <w:rFonts w:hint="eastAsia" w:ascii="仿宋" w:hAnsi="仿宋" w:eastAsia="仿宋" w:cs="宋体"/>
                <w:color w:val="auto"/>
                <w:lang w:val="en-US"/>
              </w:rPr>
            </w:pPr>
            <w:r>
              <w:rPr>
                <w:rFonts w:hint="eastAsia" w:ascii="仿宋" w:hAnsi="仿宋" w:eastAsia="仿宋" w:cs="宋体"/>
                <w:color w:val="auto"/>
                <w:lang w:val="en-US" w:eastAsia="zh-CN"/>
              </w:rPr>
              <w:t>1点</w:t>
            </w:r>
          </w:p>
        </w:tc>
        <w:tc>
          <w:tcPr>
            <w:tcW w:w="1025"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1次/天</w:t>
            </w:r>
          </w:p>
        </w:tc>
        <w:tc>
          <w:tcPr>
            <w:tcW w:w="1179"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063" w:type="dxa"/>
            <w:vMerge w:val="continue"/>
          </w:tcPr>
          <w:p>
            <w:pPr>
              <w:widowControl w:val="0"/>
              <w:spacing w:before="240" w:after="240" w:line="240" w:lineRule="auto"/>
              <w:jc w:val="both"/>
              <w:rPr>
                <w:rFonts w:hint="eastAsia" w:ascii="仿宋" w:hAnsi="仿宋" w:eastAsia="仿宋" w:cs="宋体"/>
                <w:color w:val="auto"/>
              </w:rPr>
            </w:pPr>
          </w:p>
        </w:tc>
        <w:tc>
          <w:tcPr>
            <w:tcW w:w="1300"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总β放射性</w:t>
            </w:r>
          </w:p>
        </w:tc>
        <w:tc>
          <w:tcPr>
            <w:tcW w:w="3225"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水中总β放射性浓度的测定厚源EJ/T900-1994</w:t>
            </w:r>
          </w:p>
        </w:tc>
        <w:tc>
          <w:tcPr>
            <w:tcW w:w="862"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10</w:t>
            </w:r>
          </w:p>
        </w:tc>
        <w:tc>
          <w:tcPr>
            <w:tcW w:w="875" w:type="dxa"/>
          </w:tcPr>
          <w:p>
            <w:pPr>
              <w:widowControl w:val="0"/>
              <w:spacing w:before="240" w:after="240" w:line="240" w:lineRule="auto"/>
              <w:jc w:val="both"/>
              <w:rPr>
                <w:rFonts w:hint="eastAsia" w:ascii="仿宋" w:hAnsi="仿宋" w:eastAsia="仿宋" w:cs="宋体"/>
                <w:color w:val="auto"/>
                <w:lang w:val="en-US"/>
              </w:rPr>
            </w:pPr>
            <w:r>
              <w:rPr>
                <w:rFonts w:hint="eastAsia" w:ascii="仿宋" w:hAnsi="仿宋" w:eastAsia="仿宋" w:cs="宋体"/>
                <w:color w:val="auto"/>
                <w:lang w:val="en-US" w:eastAsia="zh-CN"/>
              </w:rPr>
              <w:t>1点</w:t>
            </w:r>
          </w:p>
        </w:tc>
        <w:tc>
          <w:tcPr>
            <w:tcW w:w="1025" w:type="dxa"/>
          </w:tcPr>
          <w:p>
            <w:pPr>
              <w:widowControl w:val="0"/>
              <w:spacing w:before="240" w:after="240" w:line="240" w:lineRule="auto"/>
              <w:jc w:val="both"/>
              <w:rPr>
                <w:rFonts w:hint="eastAsia" w:ascii="仿宋" w:hAnsi="仿宋" w:eastAsia="仿宋" w:cs="宋体"/>
                <w:color w:val="auto"/>
                <w:lang w:val="en-US"/>
              </w:rPr>
            </w:pPr>
            <w:r>
              <w:rPr>
                <w:rFonts w:hint="eastAsia" w:ascii="仿宋" w:hAnsi="仿宋" w:eastAsia="仿宋" w:cs="宋体"/>
                <w:color w:val="auto"/>
                <w:lang w:val="en-US" w:eastAsia="zh-CN"/>
              </w:rPr>
              <w:t>1次/天</w:t>
            </w:r>
          </w:p>
        </w:tc>
        <w:tc>
          <w:tcPr>
            <w:tcW w:w="1179" w:type="dxa"/>
          </w:tcPr>
          <w:p>
            <w:pPr>
              <w:widowControl w:val="0"/>
              <w:spacing w:before="240" w:after="240" w:line="240" w:lineRule="auto"/>
              <w:jc w:val="both"/>
              <w:rPr>
                <w:rFonts w:hint="eastAsia" w:ascii="仿宋" w:hAnsi="仿宋" w:eastAsia="仿宋" w:cs="宋体"/>
                <w:color w:val="auto"/>
                <w:lang w:val="en-US"/>
              </w:rPr>
            </w:pPr>
            <w:r>
              <w:rPr>
                <w:rFonts w:hint="eastAsia" w:ascii="仿宋" w:hAnsi="仿宋" w:eastAsia="仿宋" w:cs="宋体"/>
                <w:color w:val="auto"/>
                <w:lang w:val="en-US" w:eastAsia="zh-CN"/>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restart"/>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废气</w:t>
            </w:r>
          </w:p>
        </w:tc>
        <w:tc>
          <w:tcPr>
            <w:tcW w:w="1300"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甲烷（指处理站内最高体积百分数/%）</w:t>
            </w:r>
          </w:p>
        </w:tc>
        <w:tc>
          <w:tcPr>
            <w:tcW w:w="3225"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环境空气总烃、甲烷和非甲烷总烃的测定直接进样-气相色谱法HJ604-2017</w:t>
            </w:r>
          </w:p>
        </w:tc>
        <w:tc>
          <w:tcPr>
            <w:tcW w:w="862"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1</w:t>
            </w:r>
          </w:p>
        </w:tc>
        <w:tc>
          <w:tcPr>
            <w:tcW w:w="875"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2点</w:t>
            </w:r>
          </w:p>
        </w:tc>
        <w:tc>
          <w:tcPr>
            <w:tcW w:w="1025"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1次/天</w:t>
            </w:r>
          </w:p>
        </w:tc>
        <w:tc>
          <w:tcPr>
            <w:tcW w:w="1179"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widowControl w:val="0"/>
              <w:spacing w:before="240" w:after="240" w:line="240" w:lineRule="auto"/>
              <w:jc w:val="both"/>
              <w:rPr>
                <w:rFonts w:hint="eastAsia" w:ascii="仿宋" w:hAnsi="仿宋" w:eastAsia="仿宋" w:cs="宋体"/>
                <w:color w:val="auto"/>
              </w:rPr>
            </w:pPr>
          </w:p>
        </w:tc>
        <w:tc>
          <w:tcPr>
            <w:tcW w:w="1300"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臭气浓度（无量纲）</w:t>
            </w:r>
          </w:p>
        </w:tc>
        <w:tc>
          <w:tcPr>
            <w:tcW w:w="3225"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空气质量恶臭的测定三点比较式臭袋法GB T14675-1993</w:t>
            </w:r>
          </w:p>
        </w:tc>
        <w:tc>
          <w:tcPr>
            <w:tcW w:w="862"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10</w:t>
            </w:r>
          </w:p>
        </w:tc>
        <w:tc>
          <w:tcPr>
            <w:tcW w:w="875"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2点</w:t>
            </w:r>
          </w:p>
        </w:tc>
        <w:tc>
          <w:tcPr>
            <w:tcW w:w="1025"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1次/天</w:t>
            </w:r>
          </w:p>
        </w:tc>
        <w:tc>
          <w:tcPr>
            <w:tcW w:w="1179"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widowControl w:val="0"/>
              <w:spacing w:before="240" w:after="240" w:line="240" w:lineRule="auto"/>
              <w:jc w:val="both"/>
              <w:rPr>
                <w:rFonts w:hint="eastAsia" w:ascii="仿宋" w:hAnsi="仿宋" w:eastAsia="仿宋" w:cs="宋体"/>
                <w:color w:val="auto"/>
              </w:rPr>
            </w:pPr>
          </w:p>
        </w:tc>
        <w:tc>
          <w:tcPr>
            <w:tcW w:w="1300"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氨（氨气）</w:t>
            </w:r>
          </w:p>
        </w:tc>
        <w:tc>
          <w:tcPr>
            <w:tcW w:w="3225"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环境空气氨的测定 次氯酸钠-水杨酸分光光度法HJ534-2009</w:t>
            </w:r>
          </w:p>
        </w:tc>
        <w:tc>
          <w:tcPr>
            <w:tcW w:w="862"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1.0</w:t>
            </w:r>
          </w:p>
        </w:tc>
        <w:tc>
          <w:tcPr>
            <w:tcW w:w="875"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2点</w:t>
            </w:r>
          </w:p>
        </w:tc>
        <w:tc>
          <w:tcPr>
            <w:tcW w:w="1025"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1次/天</w:t>
            </w:r>
          </w:p>
        </w:tc>
        <w:tc>
          <w:tcPr>
            <w:tcW w:w="1179"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widowControl w:val="0"/>
              <w:spacing w:before="240" w:after="240" w:line="240" w:lineRule="auto"/>
              <w:jc w:val="both"/>
              <w:rPr>
                <w:rFonts w:hint="eastAsia" w:ascii="仿宋" w:hAnsi="仿宋" w:eastAsia="仿宋" w:cs="宋体"/>
                <w:color w:val="auto"/>
              </w:rPr>
            </w:pPr>
          </w:p>
        </w:tc>
        <w:tc>
          <w:tcPr>
            <w:tcW w:w="1300"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氯气</w:t>
            </w:r>
          </w:p>
        </w:tc>
        <w:tc>
          <w:tcPr>
            <w:tcW w:w="3225"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环境空气氯气等有毒有害气体的应急监测 电化学传感器法HJ872-2017</w:t>
            </w:r>
          </w:p>
        </w:tc>
        <w:tc>
          <w:tcPr>
            <w:tcW w:w="862"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0.1</w:t>
            </w:r>
          </w:p>
        </w:tc>
        <w:tc>
          <w:tcPr>
            <w:tcW w:w="875"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2点</w:t>
            </w:r>
          </w:p>
        </w:tc>
        <w:tc>
          <w:tcPr>
            <w:tcW w:w="1025"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1次/天</w:t>
            </w:r>
          </w:p>
        </w:tc>
        <w:tc>
          <w:tcPr>
            <w:tcW w:w="1179"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widowControl w:val="0"/>
              <w:spacing w:before="240" w:after="240" w:line="240" w:lineRule="auto"/>
              <w:jc w:val="both"/>
              <w:rPr>
                <w:rFonts w:hint="eastAsia" w:ascii="仿宋" w:hAnsi="仿宋" w:eastAsia="仿宋" w:cs="宋体"/>
                <w:color w:val="auto"/>
              </w:rPr>
            </w:pPr>
          </w:p>
        </w:tc>
        <w:tc>
          <w:tcPr>
            <w:tcW w:w="1300"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硫化氢</w:t>
            </w:r>
          </w:p>
        </w:tc>
        <w:tc>
          <w:tcPr>
            <w:tcW w:w="3225"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空气之类硫化氢甲硫醇甲硫醚二甲二硫的测定气象色谱法GB/T14678-1993</w:t>
            </w:r>
          </w:p>
        </w:tc>
        <w:tc>
          <w:tcPr>
            <w:tcW w:w="862"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0.03</w:t>
            </w:r>
          </w:p>
        </w:tc>
        <w:tc>
          <w:tcPr>
            <w:tcW w:w="875"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2点</w:t>
            </w:r>
          </w:p>
        </w:tc>
        <w:tc>
          <w:tcPr>
            <w:tcW w:w="1025"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1次/天</w:t>
            </w:r>
          </w:p>
        </w:tc>
        <w:tc>
          <w:tcPr>
            <w:tcW w:w="1179" w:type="dxa"/>
          </w:tcPr>
          <w:p>
            <w:pPr>
              <w:widowControl w:val="0"/>
              <w:spacing w:before="240" w:after="240" w:line="240" w:lineRule="auto"/>
              <w:jc w:val="both"/>
              <w:rPr>
                <w:rFonts w:hint="eastAsia" w:ascii="仿宋" w:hAnsi="仿宋" w:eastAsia="仿宋" w:cs="宋体"/>
                <w:color w:val="auto"/>
              </w:rPr>
            </w:pPr>
            <w:r>
              <w:rPr>
                <w:rFonts w:hint="eastAsia" w:ascii="仿宋" w:hAnsi="仿宋" w:eastAsia="仿宋" w:cs="宋体"/>
                <w:color w:val="auto"/>
                <w:lang w:val="en-US" w:eastAsia="zh-CN"/>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restart"/>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污泥</w:t>
            </w:r>
          </w:p>
        </w:tc>
        <w:tc>
          <w:tcPr>
            <w:tcW w:w="1300"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粪大肠菌群数(MPN/g)</w:t>
            </w:r>
          </w:p>
        </w:tc>
        <w:tc>
          <w:tcPr>
            <w:tcW w:w="3225"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医疗机构水污染物排放标准GB18466-2005附录A（规范性附录）医疗机构污水和污泥中粪大肠菌群的检验方法</w:t>
            </w:r>
          </w:p>
        </w:tc>
        <w:tc>
          <w:tcPr>
            <w:tcW w:w="862"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≤100</w:t>
            </w:r>
          </w:p>
        </w:tc>
        <w:tc>
          <w:tcPr>
            <w:tcW w:w="875"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2点</w:t>
            </w:r>
          </w:p>
        </w:tc>
        <w:tc>
          <w:tcPr>
            <w:tcW w:w="1025"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1次/天</w:t>
            </w:r>
          </w:p>
        </w:tc>
        <w:tc>
          <w:tcPr>
            <w:tcW w:w="1179"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2次/年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widowControl w:val="0"/>
              <w:spacing w:before="240" w:after="240" w:line="240" w:lineRule="auto"/>
              <w:jc w:val="both"/>
              <w:rPr>
                <w:rFonts w:hint="eastAsia" w:ascii="仿宋" w:hAnsi="仿宋" w:eastAsia="仿宋" w:cs="宋体"/>
                <w:color w:val="auto"/>
                <w:lang w:val="en-US" w:eastAsia="zh-CN"/>
              </w:rPr>
            </w:pPr>
          </w:p>
        </w:tc>
        <w:tc>
          <w:tcPr>
            <w:tcW w:w="1300"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蛔虫卵死亡率/%</w:t>
            </w:r>
          </w:p>
        </w:tc>
        <w:tc>
          <w:tcPr>
            <w:tcW w:w="3225"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医疗机构水污染物排放标准GB18466-2005附录D（规范性附录）医疗机构污泥中蛔虫卵的检验方法</w:t>
            </w:r>
          </w:p>
        </w:tc>
        <w:tc>
          <w:tcPr>
            <w:tcW w:w="862"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 xml:space="preserve"> &gt;95</w:t>
            </w:r>
          </w:p>
        </w:tc>
        <w:tc>
          <w:tcPr>
            <w:tcW w:w="875"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2点</w:t>
            </w:r>
          </w:p>
        </w:tc>
        <w:tc>
          <w:tcPr>
            <w:tcW w:w="1025"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1次/天</w:t>
            </w:r>
          </w:p>
        </w:tc>
        <w:tc>
          <w:tcPr>
            <w:tcW w:w="1179" w:type="dxa"/>
          </w:tcPr>
          <w:p>
            <w:pPr>
              <w:widowControl w:val="0"/>
              <w:spacing w:before="240" w:after="240" w:line="240" w:lineRule="auto"/>
              <w:jc w:val="both"/>
              <w:rPr>
                <w:rFonts w:hint="eastAsia" w:ascii="仿宋" w:hAnsi="仿宋" w:eastAsia="仿宋" w:cs="宋体"/>
                <w:color w:val="auto"/>
                <w:lang w:val="en-US" w:eastAsia="zh-CN"/>
              </w:rPr>
            </w:pPr>
            <w:r>
              <w:rPr>
                <w:rFonts w:hint="eastAsia" w:ascii="仿宋" w:hAnsi="仿宋" w:eastAsia="仿宋" w:cs="宋体"/>
                <w:color w:val="auto"/>
                <w:lang w:val="en-US" w:eastAsia="zh-CN"/>
              </w:rPr>
              <w:t>2次/年</w:t>
            </w:r>
          </w:p>
        </w:tc>
      </w:tr>
    </w:tbl>
    <w:p>
      <w:pPr>
        <w:pStyle w:val="22"/>
        <w:spacing w:before="240" w:after="240" w:line="240" w:lineRule="auto"/>
        <w:rPr>
          <w:rFonts w:hint="eastAsia" w:ascii="仿宋" w:hAnsi="仿宋" w:eastAsia="仿宋" w:cs="宋体"/>
          <w:sz w:val="24"/>
          <w:szCs w:val="24"/>
        </w:rPr>
      </w:pPr>
    </w:p>
    <w:p>
      <w:pPr>
        <w:spacing w:before="100" w:beforeLines="0" w:beforeAutospacing="1" w:after="100" w:afterLines="0" w:afterAutospacing="1" w:line="240" w:lineRule="auto"/>
        <w:ind w:firstLine="480" w:firstLineChars="200"/>
        <w:rPr>
          <w:rFonts w:hint="eastAsia" w:ascii="黑体" w:hAnsi="黑体" w:eastAsia="黑体" w:cs="宋体"/>
          <w:color w:val="auto"/>
          <w:lang w:val="en-US" w:eastAsia="zh-CN"/>
        </w:rPr>
      </w:pPr>
      <w:r>
        <w:rPr>
          <w:rFonts w:hint="eastAsia" w:ascii="黑体" w:hAnsi="黑体" w:eastAsia="黑体" w:cs="宋体"/>
          <w:color w:val="auto"/>
          <w:lang w:val="en-US" w:eastAsia="zh-CN"/>
        </w:rPr>
        <w:t>四、主要运行工艺参数</w:t>
      </w:r>
    </w:p>
    <w:p>
      <w:pPr>
        <w:spacing w:before="100" w:beforeLines="0" w:beforeAutospacing="1" w:after="100" w:afterLines="0" w:afterAutospacing="1" w:line="240" w:lineRule="auto"/>
        <w:ind w:firstLine="200"/>
        <w:rPr>
          <w:rFonts w:hint="eastAsia" w:ascii="仿宋" w:hAnsi="仿宋" w:eastAsia="仿宋" w:cs="宋体"/>
          <w:color w:val="auto"/>
          <w:lang w:eastAsia="zh-CN"/>
        </w:rPr>
      </w:pPr>
      <w:r>
        <w:rPr>
          <w:rFonts w:hint="eastAsia" w:ascii="仿宋" w:hAnsi="仿宋" w:eastAsia="仿宋" w:cs="宋体"/>
          <w:color w:val="auto"/>
          <w:lang w:eastAsia="zh-CN"/>
        </w:rPr>
        <w:t>1．设计流量：东区25T/h，西区50T/h</w:t>
      </w:r>
    </w:p>
    <w:p>
      <w:pPr>
        <w:spacing w:before="100" w:beforeLines="0" w:beforeAutospacing="1" w:after="100" w:afterLines="0" w:afterAutospacing="1" w:line="240" w:lineRule="auto"/>
        <w:ind w:firstLine="200"/>
        <w:rPr>
          <w:rFonts w:hint="eastAsia" w:ascii="仿宋" w:hAnsi="仿宋" w:eastAsia="仿宋" w:cs="宋体"/>
          <w:color w:val="auto"/>
        </w:rPr>
      </w:pPr>
      <w:r>
        <w:rPr>
          <w:rFonts w:hint="eastAsia" w:ascii="仿宋" w:hAnsi="仿宋" w:eastAsia="仿宋" w:cs="宋体"/>
          <w:color w:val="auto"/>
        </w:rPr>
        <w:t>2</w:t>
      </w:r>
      <w:r>
        <w:rPr>
          <w:rFonts w:hint="eastAsia" w:ascii="仿宋" w:hAnsi="仿宋" w:eastAsia="仿宋" w:cs="宋体"/>
          <w:color w:val="auto"/>
          <w:lang w:eastAsia="zh-CN"/>
        </w:rPr>
        <w:t>．</w:t>
      </w:r>
      <w:r>
        <w:rPr>
          <w:rFonts w:hint="eastAsia" w:ascii="仿宋" w:hAnsi="仿宋" w:eastAsia="仿宋" w:cs="宋体"/>
          <w:color w:val="auto"/>
        </w:rPr>
        <w:t>曝气池溶解氧（DO）：2-4mg/L</w:t>
      </w:r>
    </w:p>
    <w:p>
      <w:pPr>
        <w:spacing w:before="100" w:beforeLines="0" w:beforeAutospacing="1" w:after="100" w:afterLines="0" w:afterAutospacing="1" w:line="240" w:lineRule="auto"/>
        <w:ind w:firstLine="200"/>
        <w:rPr>
          <w:rFonts w:hint="eastAsia" w:ascii="仿宋" w:hAnsi="仿宋" w:eastAsia="仿宋" w:cs="宋体"/>
          <w:color w:val="auto"/>
          <w:lang w:eastAsia="zh-CN"/>
        </w:rPr>
      </w:pPr>
      <w:r>
        <w:rPr>
          <w:rFonts w:hint="eastAsia" w:ascii="仿宋" w:hAnsi="仿宋" w:eastAsia="仿宋" w:cs="宋体"/>
          <w:color w:val="auto"/>
        </w:rPr>
        <w:t>3</w:t>
      </w:r>
      <w:r>
        <w:rPr>
          <w:rFonts w:hint="eastAsia" w:ascii="仿宋" w:hAnsi="仿宋" w:eastAsia="仿宋" w:cs="宋体"/>
          <w:color w:val="auto"/>
          <w:lang w:eastAsia="zh-CN"/>
        </w:rPr>
        <w:t>．</w:t>
      </w:r>
      <w:r>
        <w:rPr>
          <w:rFonts w:hint="eastAsia" w:ascii="仿宋" w:hAnsi="仿宋" w:eastAsia="仿宋" w:cs="宋体"/>
          <w:color w:val="auto"/>
        </w:rPr>
        <w:t>污泥沉降比（SV30%）：10-20%</w:t>
      </w:r>
    </w:p>
    <w:p>
      <w:pPr>
        <w:spacing w:before="100" w:beforeLines="0" w:beforeAutospacing="1" w:after="100" w:afterLines="0" w:afterAutospacing="1" w:line="240" w:lineRule="auto"/>
        <w:ind w:firstLine="200"/>
        <w:rPr>
          <w:rFonts w:hint="eastAsia" w:ascii="仿宋" w:hAnsi="仿宋" w:eastAsia="仿宋" w:cs="宋体"/>
          <w:color w:val="auto"/>
          <w:lang w:eastAsia="zh-CN"/>
        </w:rPr>
      </w:pPr>
      <w:r>
        <w:rPr>
          <w:rFonts w:hint="eastAsia" w:ascii="黑体" w:hAnsi="黑体" w:eastAsia="黑体" w:cs="宋体"/>
          <w:color w:val="auto"/>
          <w:lang w:val="en-US" w:eastAsia="zh-CN"/>
        </w:rPr>
        <w:t>五、日常巡检维护内容</w:t>
      </w:r>
    </w:p>
    <w:p>
      <w:pPr>
        <w:spacing w:before="100" w:beforeLines="0" w:beforeAutospacing="1" w:after="100" w:afterLines="0" w:afterAutospacing="1" w:line="240" w:lineRule="auto"/>
        <w:ind w:firstLine="200"/>
        <w:rPr>
          <w:rFonts w:hint="eastAsia" w:ascii="仿宋" w:hAnsi="仿宋" w:eastAsia="仿宋" w:cs="宋体"/>
          <w:color w:val="auto"/>
          <w:lang w:eastAsia="zh-CN"/>
        </w:rPr>
      </w:pPr>
      <w:r>
        <w:rPr>
          <w:rFonts w:hint="eastAsia" w:ascii="仿宋" w:hAnsi="仿宋" w:eastAsia="仿宋" w:cs="宋体"/>
          <w:color w:val="auto"/>
          <w:lang w:eastAsia="zh-CN"/>
        </w:rPr>
        <w:t>1.格栅的清理</w:t>
      </w:r>
    </w:p>
    <w:p>
      <w:pPr>
        <w:spacing w:before="100" w:beforeLines="0" w:beforeAutospacing="1" w:after="100" w:afterLines="0" w:afterAutospacing="1" w:line="240" w:lineRule="auto"/>
        <w:ind w:firstLine="200"/>
        <w:rPr>
          <w:rFonts w:hint="eastAsia" w:ascii="仿宋" w:hAnsi="仿宋" w:eastAsia="仿宋" w:cs="宋体"/>
          <w:color w:val="auto"/>
          <w:lang w:eastAsia="zh-CN"/>
        </w:rPr>
      </w:pPr>
      <w:r>
        <w:rPr>
          <w:rFonts w:hint="eastAsia" w:ascii="仿宋" w:hAnsi="仿宋" w:eastAsia="仿宋" w:cs="宋体"/>
          <w:color w:val="auto"/>
          <w:lang w:eastAsia="zh-CN"/>
        </w:rPr>
        <w:t>1.1</w:t>
      </w:r>
      <w:r>
        <w:rPr>
          <w:rFonts w:hint="eastAsia" w:ascii="仿宋" w:hAnsi="仿宋" w:eastAsia="仿宋" w:cs="宋体"/>
          <w:color w:val="auto"/>
          <w:lang w:val="en-US" w:eastAsia="zh-CN"/>
        </w:rPr>
        <w:t>定期（每周或需要时）</w:t>
      </w:r>
      <w:r>
        <w:rPr>
          <w:rFonts w:hint="eastAsia" w:ascii="仿宋" w:hAnsi="仿宋" w:eastAsia="仿宋" w:cs="宋体"/>
          <w:color w:val="auto"/>
          <w:lang w:eastAsia="zh-CN"/>
        </w:rPr>
        <w:t>清理固定格栅上的栅渣，杜绝由于格栅堵塞引起的污水收集管道和化粪池中污水水位过高甚至外溢情况的发生，保证污水顺畅进入调节池,清理的栅渣需做相应记录，栅渣</w:t>
      </w:r>
      <w:r>
        <w:rPr>
          <w:rFonts w:hint="eastAsia" w:ascii="仿宋" w:hAnsi="仿宋" w:eastAsia="仿宋" w:cs="宋体"/>
          <w:color w:val="auto"/>
          <w:lang w:val="en-US" w:eastAsia="zh-CN"/>
        </w:rPr>
        <w:t>应进行消毒预处理后作为生活垃圾处置，处置需有记录</w:t>
      </w:r>
      <w:r>
        <w:rPr>
          <w:rFonts w:hint="eastAsia" w:ascii="仿宋" w:hAnsi="仿宋" w:eastAsia="仿宋" w:cs="宋体"/>
          <w:color w:val="auto"/>
          <w:lang w:eastAsia="zh-CN"/>
        </w:rPr>
        <w:t>。</w:t>
      </w:r>
    </w:p>
    <w:p>
      <w:pPr>
        <w:spacing w:before="100" w:beforeLines="0" w:beforeAutospacing="1" w:after="100" w:afterLines="0" w:afterAutospacing="1" w:line="240" w:lineRule="auto"/>
        <w:ind w:firstLine="200"/>
        <w:rPr>
          <w:rFonts w:hint="eastAsia" w:ascii="仿宋" w:hAnsi="仿宋" w:eastAsia="仿宋" w:cs="宋体"/>
          <w:color w:val="auto"/>
          <w:lang w:val="en-US" w:eastAsia="zh-CN"/>
        </w:rPr>
      </w:pPr>
      <w:r>
        <w:rPr>
          <w:rFonts w:hint="eastAsia" w:ascii="仿宋" w:hAnsi="仿宋" w:eastAsia="仿宋" w:cs="宋体"/>
          <w:color w:val="auto"/>
          <w:lang w:val="en-US" w:eastAsia="zh-CN"/>
        </w:rPr>
        <w:t>1.2东区污水处理站非机械格栅，每周清理两次栅渣，防止因栅渣堵塞造成的事故发生。</w:t>
      </w:r>
    </w:p>
    <w:p>
      <w:pPr>
        <w:spacing w:before="100" w:beforeLines="0" w:beforeAutospacing="1" w:after="100" w:afterLines="0" w:afterAutospacing="1" w:line="240" w:lineRule="auto"/>
        <w:ind w:firstLine="200"/>
        <w:rPr>
          <w:rFonts w:hint="eastAsia" w:ascii="仿宋" w:hAnsi="仿宋" w:eastAsia="仿宋" w:cs="宋体"/>
          <w:color w:val="auto"/>
          <w:lang w:eastAsia="zh-CN"/>
        </w:rPr>
      </w:pPr>
      <w:r>
        <w:rPr>
          <w:rFonts w:hint="eastAsia" w:ascii="仿宋" w:hAnsi="仿宋" w:eastAsia="仿宋" w:cs="宋体"/>
          <w:color w:val="auto"/>
          <w:lang w:val="en-US" w:eastAsia="zh-CN"/>
        </w:rPr>
        <w:t>2.</w:t>
      </w:r>
      <w:r>
        <w:rPr>
          <w:rFonts w:hint="eastAsia" w:ascii="仿宋" w:hAnsi="仿宋" w:eastAsia="仿宋" w:cs="宋体"/>
          <w:color w:val="auto"/>
          <w:lang w:eastAsia="zh-CN"/>
        </w:rPr>
        <w:t>调节池的水位观察：保证保持污水收集管道和化粪池中污水水位不会过高的前提下，尽量保持调节池的高水位（可提高水质的均匀度），降低提升泵的提升扬程。</w:t>
      </w:r>
    </w:p>
    <w:p>
      <w:pPr>
        <w:spacing w:before="100" w:beforeLines="0" w:beforeAutospacing="1" w:after="100" w:afterLines="0" w:afterAutospacing="1" w:line="240" w:lineRule="auto"/>
        <w:ind w:firstLine="200"/>
        <w:rPr>
          <w:rFonts w:hint="eastAsia" w:ascii="仿宋" w:hAnsi="仿宋" w:eastAsia="仿宋" w:cs="宋体"/>
          <w:color w:val="auto"/>
          <w:lang w:eastAsia="zh-CN"/>
        </w:rPr>
      </w:pPr>
      <w:r>
        <w:rPr>
          <w:rFonts w:hint="eastAsia" w:ascii="仿宋" w:hAnsi="仿宋" w:eastAsia="仿宋" w:cs="宋体"/>
          <w:color w:val="auto"/>
          <w:lang w:val="en-US" w:eastAsia="zh-CN"/>
        </w:rPr>
        <w:t>3.</w:t>
      </w:r>
      <w:r>
        <w:rPr>
          <w:rFonts w:hint="eastAsia" w:ascii="仿宋" w:hAnsi="仿宋" w:eastAsia="仿宋" w:cs="宋体"/>
          <w:color w:val="auto"/>
          <w:lang w:eastAsia="zh-CN"/>
        </w:rPr>
        <w:t>厌氧池运行情况观察</w:t>
      </w:r>
      <w:r>
        <w:rPr>
          <w:rFonts w:hint="eastAsia" w:ascii="仿宋" w:hAnsi="仿宋" w:eastAsia="仿宋" w:cs="宋体"/>
          <w:color w:val="auto"/>
          <w:lang w:val="en-US" w:eastAsia="zh-CN"/>
        </w:rPr>
        <w:t xml:space="preserve"> </w:t>
      </w:r>
      <w:r>
        <w:rPr>
          <w:rFonts w:hint="eastAsia" w:ascii="仿宋" w:hAnsi="仿宋" w:eastAsia="仿宋" w:cs="宋体"/>
          <w:color w:val="auto"/>
          <w:lang w:eastAsia="zh-CN"/>
        </w:rPr>
        <w:t>定时巡查水下搅拌泵运行情况，确保正常运行。</w:t>
      </w:r>
    </w:p>
    <w:p>
      <w:pPr>
        <w:spacing w:before="100" w:beforeLines="0" w:beforeAutospacing="1" w:after="100" w:afterLines="0" w:afterAutospacing="1" w:line="240" w:lineRule="auto"/>
        <w:ind w:firstLine="200"/>
        <w:rPr>
          <w:rFonts w:hint="eastAsia" w:ascii="仿宋" w:hAnsi="仿宋" w:eastAsia="仿宋" w:cs="宋体"/>
          <w:color w:val="auto"/>
          <w:lang w:eastAsia="zh-CN"/>
        </w:rPr>
      </w:pPr>
      <w:r>
        <w:rPr>
          <w:rFonts w:hint="eastAsia" w:ascii="仿宋" w:hAnsi="仿宋" w:eastAsia="仿宋" w:cs="宋体"/>
          <w:color w:val="auto"/>
          <w:lang w:val="en-US" w:eastAsia="zh-CN"/>
        </w:rPr>
        <w:t>4.</w:t>
      </w:r>
      <w:r>
        <w:rPr>
          <w:rFonts w:hint="eastAsia" w:ascii="仿宋" w:hAnsi="仿宋" w:eastAsia="仿宋" w:cs="宋体"/>
          <w:color w:val="auto"/>
          <w:lang w:eastAsia="zh-CN"/>
        </w:rPr>
        <w:t>曝气池的观察</w:t>
      </w:r>
    </w:p>
    <w:p>
      <w:pPr>
        <w:spacing w:before="100" w:beforeLines="0" w:beforeAutospacing="1" w:after="100" w:afterLines="0" w:afterAutospacing="1" w:line="240" w:lineRule="auto"/>
        <w:ind w:firstLine="200"/>
        <w:rPr>
          <w:rFonts w:hint="eastAsia" w:ascii="仿宋" w:hAnsi="仿宋" w:eastAsia="仿宋" w:cs="宋体"/>
          <w:color w:val="auto"/>
          <w:lang w:eastAsia="zh-CN"/>
        </w:rPr>
      </w:pPr>
      <w:r>
        <w:rPr>
          <w:rFonts w:hint="eastAsia" w:ascii="仿宋" w:hAnsi="仿宋" w:eastAsia="仿宋" w:cs="宋体"/>
          <w:color w:val="auto"/>
          <w:lang w:val="en-US" w:eastAsia="zh-CN"/>
        </w:rPr>
        <w:t>4</w:t>
      </w:r>
      <w:r>
        <w:rPr>
          <w:rFonts w:hint="eastAsia" w:ascii="仿宋" w:hAnsi="仿宋" w:eastAsia="仿宋" w:cs="宋体"/>
          <w:color w:val="auto"/>
          <w:lang w:eastAsia="zh-CN"/>
        </w:rPr>
        <w:t>.1观测曝气池的泡沫发生状况，判断泡沫异常增多原因，并及时采取处理措施。</w:t>
      </w:r>
    </w:p>
    <w:p>
      <w:pPr>
        <w:spacing w:before="100" w:beforeLines="0" w:beforeAutospacing="1" w:after="100" w:afterLines="0" w:afterAutospacing="1" w:line="240" w:lineRule="auto"/>
        <w:ind w:firstLine="200"/>
        <w:rPr>
          <w:rFonts w:hint="eastAsia" w:ascii="仿宋" w:hAnsi="仿宋" w:eastAsia="仿宋" w:cs="宋体"/>
          <w:color w:val="auto"/>
          <w:lang w:eastAsia="zh-CN"/>
        </w:rPr>
      </w:pPr>
      <w:r>
        <w:rPr>
          <w:rFonts w:hint="eastAsia" w:ascii="仿宋" w:hAnsi="仿宋" w:eastAsia="仿宋" w:cs="宋体"/>
          <w:color w:val="auto"/>
          <w:lang w:val="en-US" w:eastAsia="zh-CN"/>
        </w:rPr>
        <w:t>4</w:t>
      </w:r>
      <w:r>
        <w:rPr>
          <w:rFonts w:hint="eastAsia" w:ascii="仿宋" w:hAnsi="仿宋" w:eastAsia="仿宋" w:cs="宋体"/>
          <w:color w:val="auto"/>
          <w:lang w:eastAsia="zh-CN"/>
        </w:rPr>
        <w:t>.2及时清除曝气池边角外飘浮的部分浮渣。（注意观察曝气池液面翻腾状况，判断是否有曝气头堵塞或脱落，并及时更换）。</w:t>
      </w:r>
    </w:p>
    <w:p>
      <w:pPr>
        <w:spacing w:before="100" w:beforeLines="0" w:beforeAutospacing="1" w:after="100" w:afterLines="0" w:afterAutospacing="1" w:line="240" w:lineRule="auto"/>
        <w:ind w:firstLine="200"/>
        <w:rPr>
          <w:rFonts w:hint="eastAsia" w:ascii="仿宋" w:hAnsi="仿宋" w:eastAsia="仿宋" w:cs="宋体"/>
          <w:color w:val="auto"/>
          <w:lang w:eastAsia="zh-CN"/>
        </w:rPr>
      </w:pPr>
      <w:r>
        <w:rPr>
          <w:rFonts w:hint="eastAsia" w:ascii="仿宋" w:hAnsi="仿宋" w:eastAsia="仿宋" w:cs="宋体"/>
          <w:color w:val="auto"/>
          <w:lang w:val="en-US" w:eastAsia="zh-CN"/>
        </w:rPr>
        <w:t>4</w:t>
      </w:r>
      <w:r>
        <w:rPr>
          <w:rFonts w:hint="eastAsia" w:ascii="仿宋" w:hAnsi="仿宋" w:eastAsia="仿宋" w:cs="宋体"/>
          <w:color w:val="auto"/>
          <w:lang w:eastAsia="zh-CN"/>
        </w:rPr>
        <w:t>.3测定曝气池混合液的溶解氧（DO），并及时调节曝气系统的充氧量。</w:t>
      </w:r>
    </w:p>
    <w:p>
      <w:pPr>
        <w:spacing w:before="100" w:beforeLines="0" w:beforeAutospacing="1" w:after="100" w:afterLines="0" w:afterAutospacing="1" w:line="240" w:lineRule="auto"/>
        <w:ind w:firstLine="200"/>
        <w:rPr>
          <w:rFonts w:hint="eastAsia" w:ascii="仿宋" w:hAnsi="仿宋" w:eastAsia="仿宋" w:cs="宋体"/>
          <w:color w:val="auto"/>
          <w:lang w:eastAsia="zh-CN"/>
        </w:rPr>
      </w:pPr>
      <w:r>
        <w:rPr>
          <w:rFonts w:hint="eastAsia" w:ascii="仿宋" w:hAnsi="仿宋" w:eastAsia="仿宋" w:cs="宋体"/>
          <w:color w:val="auto"/>
          <w:lang w:val="en-US" w:eastAsia="zh-CN"/>
        </w:rPr>
        <w:t>5.</w:t>
      </w:r>
      <w:r>
        <w:rPr>
          <w:rFonts w:hint="eastAsia" w:ascii="仿宋" w:hAnsi="仿宋" w:eastAsia="仿宋" w:cs="宋体"/>
          <w:color w:val="auto"/>
          <w:lang w:eastAsia="zh-CN"/>
        </w:rPr>
        <w:t>沉淀池的观察</w:t>
      </w:r>
    </w:p>
    <w:p>
      <w:pPr>
        <w:spacing w:before="100" w:beforeLines="0" w:beforeAutospacing="1" w:after="100" w:afterLines="0" w:afterAutospacing="1" w:line="240" w:lineRule="auto"/>
        <w:ind w:firstLine="200"/>
        <w:rPr>
          <w:rFonts w:hint="eastAsia" w:ascii="仿宋" w:hAnsi="仿宋" w:eastAsia="仿宋" w:cs="宋体"/>
          <w:color w:val="auto"/>
          <w:lang w:eastAsia="zh-CN"/>
        </w:rPr>
      </w:pPr>
      <w:r>
        <w:rPr>
          <w:rFonts w:hint="eastAsia" w:ascii="仿宋" w:hAnsi="仿宋" w:eastAsia="仿宋" w:cs="宋体"/>
          <w:color w:val="auto"/>
          <w:lang w:val="en-US" w:eastAsia="zh-CN"/>
        </w:rPr>
        <w:t>5</w:t>
      </w:r>
      <w:r>
        <w:rPr>
          <w:rFonts w:hint="eastAsia" w:ascii="仿宋" w:hAnsi="仿宋" w:eastAsia="仿宋" w:cs="宋体"/>
          <w:color w:val="auto"/>
          <w:lang w:eastAsia="zh-CN"/>
        </w:rPr>
        <w:t>.1检测出水是否带走微小污泥絮粒，造成污泥异常流失。判断污泥异常流失是否有以下原因：污泥负荷偏低且曝气过度，入流污水中有毒物浓度突然升高细菌中毒，污泥活性降低而解絮，并采取针对措施及时解决。</w:t>
      </w:r>
    </w:p>
    <w:p>
      <w:pPr>
        <w:spacing w:before="100" w:beforeLines="0" w:beforeAutospacing="1" w:after="100" w:afterLines="0" w:afterAutospacing="1" w:line="240" w:lineRule="auto"/>
        <w:ind w:firstLine="200"/>
        <w:rPr>
          <w:rFonts w:hint="eastAsia" w:ascii="仿宋" w:hAnsi="仿宋" w:eastAsia="仿宋" w:cs="宋体"/>
          <w:color w:val="auto"/>
          <w:lang w:eastAsia="zh-CN"/>
        </w:rPr>
      </w:pPr>
      <w:r>
        <w:rPr>
          <w:rFonts w:hint="eastAsia" w:ascii="仿宋" w:hAnsi="仿宋" w:eastAsia="仿宋" w:cs="宋体"/>
          <w:color w:val="auto"/>
          <w:lang w:val="en-US" w:eastAsia="zh-CN"/>
        </w:rPr>
        <w:t>5</w:t>
      </w:r>
      <w:r>
        <w:rPr>
          <w:rFonts w:hint="eastAsia" w:ascii="仿宋" w:hAnsi="仿宋" w:eastAsia="仿宋" w:cs="宋体"/>
          <w:color w:val="auto"/>
          <w:lang w:eastAsia="zh-CN"/>
        </w:rPr>
        <w:t>.2观察沉定池液面，查看是否有污泥上浮现象。若局部污泥大块上浮且污泥发黑带臭味，则二沉池存在死区;若许多污泥块状上浮又不同上述情况，则为曝气池混合液DO偏低，二沉池中污泥反硝化。应及时采取针对措施避免影响出水水质。</w:t>
      </w:r>
    </w:p>
    <w:p>
      <w:pPr>
        <w:spacing w:before="100" w:beforeLines="0" w:beforeAutospacing="1" w:after="100" w:afterLines="0" w:afterAutospacing="1" w:line="240" w:lineRule="auto"/>
        <w:ind w:firstLine="200"/>
        <w:rPr>
          <w:rFonts w:hint="eastAsia" w:ascii="仿宋" w:hAnsi="仿宋" w:eastAsia="仿宋" w:cs="宋体"/>
          <w:color w:val="auto"/>
          <w:lang w:eastAsia="zh-CN"/>
        </w:rPr>
      </w:pPr>
      <w:r>
        <w:rPr>
          <w:rFonts w:hint="eastAsia" w:ascii="仿宋" w:hAnsi="仿宋" w:eastAsia="仿宋" w:cs="宋体"/>
          <w:color w:val="auto"/>
          <w:lang w:val="en-US" w:eastAsia="zh-CN"/>
        </w:rPr>
        <w:t>六、</w:t>
      </w:r>
      <w:r>
        <w:rPr>
          <w:rFonts w:hint="eastAsia" w:ascii="仿宋" w:hAnsi="仿宋" w:eastAsia="仿宋" w:cs="宋体"/>
          <w:color w:val="auto"/>
          <w:lang w:eastAsia="zh-CN"/>
        </w:rPr>
        <w:t>污水处理站污泥处理</w:t>
      </w:r>
    </w:p>
    <w:p>
      <w:pPr>
        <w:spacing w:before="100" w:beforeLines="0" w:beforeAutospacing="1" w:after="100" w:afterLines="0" w:afterAutospacing="1" w:line="240" w:lineRule="auto"/>
        <w:ind w:firstLine="200"/>
        <w:rPr>
          <w:rFonts w:hint="eastAsia" w:ascii="仿宋" w:hAnsi="仿宋" w:eastAsia="仿宋" w:cs="宋体"/>
          <w:color w:val="auto"/>
          <w:lang w:eastAsia="zh-CN"/>
        </w:rPr>
      </w:pPr>
      <w:r>
        <w:rPr>
          <w:rFonts w:hint="eastAsia" w:ascii="仿宋" w:hAnsi="仿宋" w:eastAsia="仿宋" w:cs="宋体"/>
          <w:color w:val="auto"/>
          <w:lang w:eastAsia="zh-CN"/>
        </w:rPr>
        <w:t>1．污泥量应根据实际情况及时清理，计划每半年清理1次，处理过程中</w:t>
      </w:r>
      <w:r>
        <w:rPr>
          <w:rFonts w:hint="eastAsia" w:ascii="仿宋" w:hAnsi="仿宋" w:eastAsia="仿宋" w:cs="宋体"/>
          <w:color w:val="auto"/>
          <w:lang w:val="en-US" w:eastAsia="zh-CN"/>
        </w:rPr>
        <w:t>产生费用（如使用药剂絮凝剂等）</w:t>
      </w:r>
      <w:r>
        <w:rPr>
          <w:rFonts w:hint="eastAsia" w:ascii="仿宋" w:hAnsi="仿宋" w:eastAsia="仿宋" w:cs="宋体"/>
          <w:color w:val="auto"/>
          <w:lang w:eastAsia="zh-CN"/>
        </w:rPr>
        <w:t>由乙方承担，甲方负责联系第三方危废处置单位进行转运处理，（如期间由转运系统需要数据填报由乙方负责数据填报，甲方只负责提供数据资料）。</w:t>
      </w:r>
    </w:p>
    <w:p>
      <w:pPr>
        <w:spacing w:before="100" w:beforeLines="0" w:beforeAutospacing="1" w:after="100" w:afterLines="0" w:afterAutospacing="1" w:line="240" w:lineRule="auto"/>
        <w:ind w:firstLine="200"/>
        <w:rPr>
          <w:rFonts w:hint="eastAsia" w:ascii="仿宋" w:hAnsi="仿宋" w:eastAsia="仿宋" w:cs="宋体"/>
          <w:color w:val="auto"/>
          <w:lang w:val="en-US" w:eastAsia="zh-CN"/>
        </w:rPr>
      </w:pPr>
      <w:r>
        <w:rPr>
          <w:rFonts w:hint="eastAsia" w:ascii="仿宋" w:hAnsi="仿宋" w:eastAsia="仿宋" w:cs="宋体"/>
          <w:color w:val="auto"/>
          <w:lang w:val="en-US" w:eastAsia="zh-CN"/>
        </w:rPr>
        <w:t>2．乙方应做好我院污泥处置设施的运维保养工作。</w:t>
      </w:r>
    </w:p>
    <w:p>
      <w:pPr>
        <w:spacing w:before="100" w:beforeLines="0" w:beforeAutospacing="1" w:after="100" w:afterLines="0" w:afterAutospacing="1" w:line="240" w:lineRule="auto"/>
        <w:ind w:firstLine="200"/>
        <w:rPr>
          <w:rFonts w:hint="eastAsia" w:ascii="仿宋" w:hAnsi="仿宋" w:eastAsia="仿宋" w:cs="宋体"/>
          <w:color w:val="auto"/>
          <w:lang w:val="en-US" w:eastAsia="zh-CN"/>
        </w:rPr>
      </w:pPr>
      <w:r>
        <w:rPr>
          <w:rFonts w:hint="eastAsia" w:ascii="仿宋" w:hAnsi="仿宋" w:eastAsia="仿宋" w:cs="宋体"/>
          <w:color w:val="auto"/>
          <w:lang w:val="en-US" w:eastAsia="zh-CN"/>
        </w:rPr>
        <w:t>3．污泥消毒：参照《医院污水处理技术指南》 标准号：环发【2003】197第六章 医院污水处理系统污泥、废气处理技术 6.1.3污泥消毒进行处理消毒。</w:t>
      </w:r>
    </w:p>
    <w:p>
      <w:pPr>
        <w:spacing w:before="100" w:beforeLines="0" w:beforeAutospacing="1" w:after="100" w:afterLines="0" w:afterAutospacing="1" w:line="240" w:lineRule="auto"/>
        <w:ind w:firstLine="200"/>
        <w:rPr>
          <w:rFonts w:hint="eastAsia" w:ascii="仿宋" w:hAnsi="仿宋" w:eastAsia="仿宋" w:cs="宋体"/>
          <w:color w:val="auto"/>
          <w:lang w:val="en-US" w:eastAsia="zh-CN"/>
        </w:rPr>
      </w:pPr>
      <w:r>
        <w:rPr>
          <w:rFonts w:hint="eastAsia" w:ascii="仿宋" w:hAnsi="仿宋" w:eastAsia="仿宋" w:cs="宋体"/>
          <w:color w:val="auto"/>
          <w:lang w:val="en-US" w:eastAsia="zh-CN"/>
        </w:rPr>
        <w:t xml:space="preserve">4．污泥处置前应进行监测，监测标准见 第三项 </w:t>
      </w:r>
      <w:r>
        <w:rPr>
          <w:rFonts w:hint="eastAsia" w:ascii="仿宋" w:hAnsi="仿宋" w:eastAsia="仿宋" w:cs="宋体"/>
          <w:color w:val="auto"/>
          <w:lang w:eastAsia="zh-CN"/>
        </w:rPr>
        <w:t>检测服务项目内容及要求</w:t>
      </w:r>
      <w:r>
        <w:rPr>
          <w:rFonts w:hint="eastAsia" w:ascii="仿宋" w:hAnsi="仿宋" w:eastAsia="仿宋" w:cs="宋体"/>
          <w:color w:val="auto"/>
          <w:lang w:val="en-US" w:eastAsia="zh-CN"/>
        </w:rPr>
        <w:t>。</w:t>
      </w:r>
      <w:r>
        <w:rPr>
          <w:rFonts w:hint="eastAsia" w:ascii="仿宋" w:hAnsi="仿宋" w:eastAsia="仿宋" w:cs="宋体"/>
          <w:color w:val="auto"/>
          <w:lang w:eastAsia="zh-CN"/>
        </w:rPr>
        <w:t>根据环境保护的相关规定污泥处理应具有专业资质的公司承揽，</w:t>
      </w:r>
      <w:r>
        <w:rPr>
          <w:rFonts w:hint="eastAsia" w:ascii="仿宋" w:hAnsi="仿宋" w:eastAsia="仿宋" w:cs="宋体"/>
          <w:color w:val="auto"/>
          <w:lang w:val="en-US" w:eastAsia="zh-CN"/>
        </w:rPr>
        <w:t>处置费用由甲方承担</w:t>
      </w:r>
      <w:r>
        <w:rPr>
          <w:rFonts w:hint="eastAsia" w:ascii="仿宋" w:hAnsi="仿宋" w:eastAsia="仿宋" w:cs="宋体"/>
          <w:color w:val="auto"/>
          <w:lang w:eastAsia="zh-CN"/>
        </w:rPr>
        <w:t>。</w:t>
      </w:r>
    </w:p>
    <w:p>
      <w:pPr>
        <w:spacing w:before="100" w:beforeLines="0" w:beforeAutospacing="1" w:after="100" w:afterLines="0" w:afterAutospacing="1" w:line="240" w:lineRule="auto"/>
        <w:ind w:firstLine="200"/>
        <w:rPr>
          <w:rFonts w:hint="eastAsia" w:ascii="仿宋" w:hAnsi="仿宋" w:eastAsia="仿宋" w:cs="宋体"/>
          <w:color w:val="auto"/>
          <w:lang w:eastAsia="zh-CN"/>
        </w:rPr>
      </w:pPr>
      <w:r>
        <w:rPr>
          <w:rFonts w:hint="eastAsia" w:ascii="仿宋" w:hAnsi="仿宋" w:eastAsia="仿宋" w:cs="宋体"/>
          <w:color w:val="auto"/>
          <w:lang w:val="en-US" w:eastAsia="zh-CN"/>
        </w:rPr>
        <w:t>七、</w:t>
      </w:r>
      <w:r>
        <w:rPr>
          <w:rFonts w:hint="eastAsia" w:ascii="仿宋" w:hAnsi="仿宋" w:eastAsia="仿宋" w:cs="宋体"/>
          <w:color w:val="auto"/>
          <w:lang w:eastAsia="zh-CN"/>
        </w:rPr>
        <w:t>污水处理站的设备维护工作</w:t>
      </w:r>
    </w:p>
    <w:p>
      <w:pPr>
        <w:spacing w:before="100" w:beforeLines="0" w:beforeAutospacing="1" w:after="100" w:afterLines="0" w:afterAutospacing="1" w:line="240" w:lineRule="auto"/>
        <w:ind w:firstLine="200"/>
        <w:rPr>
          <w:rFonts w:hint="eastAsia" w:ascii="仿宋" w:hAnsi="仿宋" w:eastAsia="仿宋" w:cs="宋体"/>
          <w:color w:val="auto"/>
          <w:lang w:eastAsia="zh-CN"/>
        </w:rPr>
      </w:pPr>
      <w:r>
        <w:rPr>
          <w:rFonts w:hint="eastAsia" w:ascii="仿宋" w:hAnsi="仿宋" w:eastAsia="仿宋" w:cs="宋体"/>
          <w:color w:val="auto"/>
          <w:lang w:eastAsia="zh-CN"/>
        </w:rPr>
        <w:t>1．</w:t>
      </w:r>
      <w:r>
        <w:rPr>
          <w:rFonts w:hint="eastAsia" w:ascii="仿宋" w:hAnsi="仿宋" w:eastAsia="仿宋" w:cs="宋体"/>
          <w:color w:val="auto"/>
          <w:lang w:val="en-US" w:eastAsia="zh-CN"/>
        </w:rPr>
        <w:t>运维人员</w:t>
      </w:r>
      <w:r>
        <w:rPr>
          <w:rFonts w:hint="eastAsia" w:ascii="仿宋" w:hAnsi="仿宋" w:eastAsia="仿宋" w:cs="宋体"/>
          <w:color w:val="auto"/>
          <w:lang w:eastAsia="zh-CN"/>
        </w:rPr>
        <w:t>每班巡检2次，现场操作人员应能及时发现设备运转中的异常情况，并根据规范做好处理，现场无法处理的应立即汇报公司，公司委派专业人员处理。</w:t>
      </w:r>
    </w:p>
    <w:p>
      <w:pPr>
        <w:spacing w:before="100" w:beforeLines="0" w:beforeAutospacing="1" w:after="100" w:afterLines="0" w:afterAutospacing="1" w:line="240" w:lineRule="auto"/>
        <w:ind w:firstLine="200"/>
        <w:rPr>
          <w:rFonts w:hint="eastAsia" w:ascii="仿宋" w:hAnsi="仿宋" w:eastAsia="仿宋" w:cs="宋体"/>
          <w:color w:val="auto"/>
          <w:lang w:eastAsia="zh-CN"/>
        </w:rPr>
      </w:pPr>
      <w:r>
        <w:rPr>
          <w:rFonts w:hint="eastAsia" w:ascii="仿宋" w:hAnsi="仿宋" w:eastAsia="仿宋" w:cs="宋体"/>
          <w:color w:val="auto"/>
          <w:lang w:eastAsia="zh-CN"/>
        </w:rPr>
        <w:t>2．保持设备内外整洁，润滑良好，无泄露。</w:t>
      </w:r>
    </w:p>
    <w:p>
      <w:pPr>
        <w:spacing w:before="100" w:beforeLines="0" w:beforeAutospacing="1" w:after="100" w:afterLines="0" w:afterAutospacing="1" w:line="240" w:lineRule="auto"/>
        <w:ind w:firstLine="200"/>
        <w:rPr>
          <w:rFonts w:hint="eastAsia" w:ascii="仿宋" w:hAnsi="仿宋" w:eastAsia="仿宋" w:cs="宋体"/>
          <w:color w:val="auto"/>
          <w:lang w:eastAsia="zh-CN"/>
        </w:rPr>
      </w:pPr>
      <w:r>
        <w:rPr>
          <w:rFonts w:hint="eastAsia" w:ascii="仿宋" w:hAnsi="仿宋" w:eastAsia="仿宋" w:cs="宋体"/>
          <w:color w:val="auto"/>
          <w:lang w:eastAsia="zh-CN"/>
        </w:rPr>
        <w:t>3．及时解决跑、冒、滴、漏等工作。</w:t>
      </w:r>
    </w:p>
    <w:p>
      <w:pPr>
        <w:spacing w:before="100" w:beforeLines="0" w:beforeAutospacing="1" w:after="100" w:afterLines="0" w:afterAutospacing="1" w:line="240" w:lineRule="auto"/>
        <w:ind w:firstLine="200"/>
        <w:rPr>
          <w:rFonts w:hint="eastAsia" w:ascii="仿宋" w:hAnsi="仿宋" w:eastAsia="仿宋" w:cs="宋体"/>
          <w:color w:val="auto"/>
          <w:lang w:eastAsia="zh-CN"/>
        </w:rPr>
      </w:pPr>
      <w:r>
        <w:rPr>
          <w:rFonts w:hint="eastAsia" w:ascii="仿宋" w:hAnsi="仿宋" w:eastAsia="仿宋" w:cs="宋体"/>
          <w:color w:val="auto"/>
          <w:lang w:eastAsia="zh-CN"/>
        </w:rPr>
        <w:t>4．按照设备周期管理要求，实施设备周期检修维护。</w:t>
      </w:r>
    </w:p>
    <w:p>
      <w:pPr>
        <w:spacing w:before="100" w:beforeLines="0" w:beforeAutospacing="1" w:after="100" w:afterLines="0" w:afterAutospacing="1" w:line="240" w:lineRule="auto"/>
        <w:ind w:firstLine="200"/>
        <w:rPr>
          <w:rFonts w:hint="eastAsia" w:ascii="仿宋" w:hAnsi="仿宋" w:eastAsia="仿宋" w:cs="宋体"/>
          <w:color w:val="auto"/>
          <w:lang w:val="en-US" w:eastAsia="zh-CN"/>
        </w:rPr>
      </w:pPr>
      <w:r>
        <w:rPr>
          <w:rFonts w:hint="eastAsia" w:ascii="仿宋" w:hAnsi="仿宋" w:eastAsia="仿宋" w:cs="宋体"/>
          <w:color w:val="auto"/>
          <w:lang w:eastAsia="zh-CN"/>
        </w:rPr>
        <w:t>5．及时抢修突发设备故障，保证不影响正常污水处理站的正常运行，如果发生影响及时与排污单位沟通，特别是与</w:t>
      </w:r>
      <w:r>
        <w:rPr>
          <w:rFonts w:hint="eastAsia" w:ascii="仿宋" w:hAnsi="仿宋" w:eastAsia="仿宋" w:cs="宋体"/>
          <w:color w:val="auto"/>
          <w:lang w:val="en-US" w:eastAsia="zh-CN"/>
        </w:rPr>
        <w:t>上级主管部门（生态环境局）</w:t>
      </w:r>
      <w:r>
        <w:rPr>
          <w:rFonts w:hint="eastAsia" w:ascii="仿宋" w:hAnsi="仿宋" w:eastAsia="仿宋" w:cs="宋体"/>
          <w:color w:val="auto"/>
          <w:lang w:eastAsia="zh-CN"/>
        </w:rPr>
        <w:t>的通报备案。</w:t>
      </w:r>
    </w:p>
    <w:p>
      <w:pPr>
        <w:spacing w:before="100" w:beforeLines="0" w:beforeAutospacing="1" w:after="100" w:afterLines="0" w:afterAutospacing="1" w:line="240" w:lineRule="auto"/>
        <w:ind w:firstLine="200"/>
        <w:rPr>
          <w:rFonts w:hint="eastAsia" w:ascii="仿宋" w:hAnsi="仿宋" w:eastAsia="仿宋" w:cs="宋体"/>
          <w:color w:val="auto"/>
          <w:lang w:eastAsia="zh-CN"/>
        </w:rPr>
      </w:pPr>
      <w:r>
        <w:rPr>
          <w:rFonts w:hint="eastAsia" w:ascii="仿宋" w:hAnsi="仿宋" w:eastAsia="仿宋" w:cs="宋体"/>
          <w:color w:val="auto"/>
          <w:lang w:val="en-US" w:eastAsia="zh-CN"/>
        </w:rPr>
        <w:t>6．</w:t>
      </w:r>
      <w:r>
        <w:rPr>
          <w:rFonts w:hint="eastAsia" w:ascii="仿宋" w:hAnsi="仿宋" w:eastAsia="仿宋" w:cs="宋体"/>
          <w:color w:val="auto"/>
          <w:lang w:eastAsia="zh-CN"/>
        </w:rPr>
        <w:t>运行管理人员须认真做好污水处理站的值班记录、巡查记录、设备运行情况记录、运转数据、分析化验数据记录及报表工作，污水处理站的设备需有相应的运维记录本。技术人员依靠这些数据对工艺进行计算与调整，对设施设备状况进行分析、判断，对运行参数进行调整，以便对可能出现的运行问题进行有针对性的准备与工艺参数调整，同时可据此而提出设施设备维修计划。</w:t>
      </w:r>
    </w:p>
    <w:p>
      <w:pPr>
        <w:pStyle w:val="15"/>
        <w:spacing w:before="100" w:beforeLines="0" w:beforeAutospacing="1" w:after="100" w:afterLines="0" w:afterAutospacing="1" w:line="240" w:lineRule="auto"/>
        <w:ind w:firstLine="200"/>
        <w:rPr>
          <w:rFonts w:hint="eastAsia" w:ascii="仿宋" w:hAnsi="仿宋" w:eastAsia="仿宋"/>
          <w:szCs w:val="24"/>
          <w:lang w:val="en-US" w:eastAsia="zh-CN"/>
        </w:rPr>
      </w:pPr>
      <w:r>
        <w:rPr>
          <w:rFonts w:hint="eastAsia" w:ascii="仿宋" w:hAnsi="仿宋" w:eastAsia="仿宋" w:cs="宋体"/>
          <w:color w:val="auto"/>
          <w:szCs w:val="24"/>
          <w:lang w:val="en-US" w:eastAsia="zh-CN"/>
        </w:rPr>
        <w:t>7．运行管理人员应定时（每2小时）对在线监测设备进行巡查，发现在线监测设备异常及时与运维人员联系，进行故障排除，做到小故障4小时内解决，大故障2个工作日内解决，如因乙方未按约定时间内排查故障导致在线监测数据超标的，发现一次月度考核扣1分，当月运维费扣1%。</w:t>
      </w:r>
    </w:p>
    <w:p>
      <w:pPr>
        <w:spacing w:before="100" w:beforeLines="0" w:beforeAutospacing="1" w:after="100" w:afterLines="0" w:afterAutospacing="1" w:line="240" w:lineRule="auto"/>
        <w:ind w:firstLine="480" w:firstLineChars="200"/>
        <w:rPr>
          <w:rFonts w:hint="eastAsia" w:ascii="黑体" w:hAnsi="黑体" w:eastAsia="黑体" w:cs="宋体"/>
          <w:color w:val="auto"/>
          <w:lang w:val="en-US" w:eastAsia="zh-CN"/>
        </w:rPr>
      </w:pPr>
      <w:r>
        <w:rPr>
          <w:rFonts w:hint="eastAsia" w:ascii="黑体" w:hAnsi="黑体" w:eastAsia="黑体" w:cs="宋体"/>
          <w:color w:val="auto"/>
          <w:lang w:val="en-US" w:eastAsia="zh-CN"/>
        </w:rPr>
        <w:t>八、其他要求</w:t>
      </w:r>
    </w:p>
    <w:p>
      <w:pPr>
        <w:spacing w:before="100" w:beforeLines="0" w:beforeAutospacing="1" w:after="100" w:afterLines="0" w:afterAutospacing="1" w:line="240" w:lineRule="auto"/>
        <w:ind w:firstLine="200"/>
        <w:rPr>
          <w:rFonts w:hint="eastAsia" w:ascii="仿宋" w:hAnsi="仿宋" w:eastAsia="仿宋" w:cs="宋体"/>
          <w:color w:val="auto"/>
          <w:lang w:eastAsia="zh-CN"/>
        </w:rPr>
      </w:pPr>
      <w:r>
        <w:rPr>
          <w:rFonts w:hint="eastAsia" w:ascii="仿宋" w:hAnsi="仿宋" w:eastAsia="仿宋" w:cs="宋体"/>
          <w:color w:val="auto"/>
          <w:lang w:eastAsia="zh-CN"/>
        </w:rPr>
        <w:t>1．运行记录与报表须定时、系统、简练地反映污水处理过程运行管理状况，运行操作人员工作中，一定要按管理技术人员要求及时、清晰、完整、准确做好记录，须交院方存档。</w:t>
      </w:r>
    </w:p>
    <w:p>
      <w:pPr>
        <w:spacing w:before="100" w:beforeLines="0" w:beforeAutospacing="1" w:after="100" w:afterLines="0" w:afterAutospacing="1" w:line="240" w:lineRule="auto"/>
        <w:ind w:firstLine="200"/>
        <w:rPr>
          <w:rFonts w:hint="eastAsia" w:ascii="宋体" w:hAnsi="宋体" w:eastAsia="宋体" w:cs="宋体"/>
          <w:b w:val="0"/>
          <w:bCs w:val="0"/>
          <w:color w:val="auto"/>
          <w:sz w:val="24"/>
          <w:szCs w:val="24"/>
          <w:highlight w:val="none"/>
        </w:rPr>
      </w:pPr>
      <w:r>
        <w:rPr>
          <w:rFonts w:hint="eastAsia" w:ascii="仿宋" w:hAnsi="仿宋" w:eastAsia="仿宋" w:cs="宋体"/>
          <w:color w:val="auto"/>
          <w:lang w:val="en-US" w:eastAsia="zh-CN"/>
        </w:rPr>
        <w:t>2．乙方在运维过程中，如出现在线监测设备数据造假问题，甲方有权向乙方追责，当月考核等级为不合格并予以处罚（扣除当月10%运维费用），禁止再次参与甲方污水处理的招投标活动。</w:t>
      </w:r>
    </w:p>
    <w:p>
      <w:pPr>
        <w:spacing w:before="100" w:beforeLines="0" w:beforeAutospacing="1" w:after="100" w:afterLines="0" w:afterAutospacing="1" w:line="240" w:lineRule="auto"/>
        <w:ind w:firstLine="200"/>
        <w:rPr>
          <w:rFonts w:hint="default" w:ascii="仿宋" w:hAnsi="仿宋" w:eastAsia="仿宋" w:cs="宋体"/>
          <w:color w:val="auto"/>
          <w:lang w:val="en-US" w:eastAsia="zh-CN"/>
        </w:rPr>
      </w:pPr>
      <w:r>
        <w:rPr>
          <w:rFonts w:hint="eastAsia" w:ascii="仿宋" w:hAnsi="仿宋" w:eastAsia="仿宋" w:cs="宋体"/>
          <w:color w:val="auto"/>
          <w:lang w:val="en-US" w:eastAsia="zh-CN"/>
        </w:rPr>
        <w:t>3 医院若发生因环境污染而被行政主管部门处罚的情形，乙方须承担全部损失。乙方须缴纳项目总费用的10%履约保证金，并提供第三方担保机制。</w:t>
      </w:r>
    </w:p>
    <w:p>
      <w:pPr>
        <w:spacing w:before="100" w:beforeLines="0" w:beforeAutospacing="1" w:after="100" w:afterLines="0" w:afterAutospacing="1" w:line="240" w:lineRule="auto"/>
        <w:ind w:firstLine="200"/>
        <w:rPr>
          <w:rFonts w:hint="eastAsia" w:ascii="仿宋" w:hAnsi="仿宋" w:eastAsia="仿宋" w:cs="宋体"/>
          <w:color w:val="auto"/>
          <w:lang w:val="en-US" w:eastAsia="zh-CN"/>
        </w:rPr>
      </w:pPr>
      <w:r>
        <w:rPr>
          <w:rFonts w:hint="eastAsia" w:ascii="仿宋" w:hAnsi="仿宋" w:eastAsia="仿宋" w:cs="宋体"/>
          <w:color w:val="auto"/>
          <w:lang w:val="en-US" w:eastAsia="zh-CN"/>
        </w:rPr>
        <w:t>4在维保合同结束前，乙方需为甲方设备免费进行一次综合性的检查和试验，排除一切存在或可能存在的故障，并向甲方提供详细的工作报告，同时移交与本项目有关的所有资料。甲方将邀请第三方进行检验检测，乙方需检验合格后取得甲方书面交付合格通知书，方能结算剩余价款及履约保证金。合同期满成交乙方应对运维设施及运维资料进行完整交接，否则将扣除相应维保费用。</w:t>
      </w:r>
    </w:p>
    <w:p>
      <w:pPr>
        <w:pStyle w:val="15"/>
        <w:rPr>
          <w:rFonts w:hint="eastAsia" w:ascii="宋体" w:hAnsi="宋体" w:eastAsia="宋体" w:cs="宋体"/>
          <w:b/>
          <w:bCs/>
          <w:kern w:val="0"/>
          <w:sz w:val="21"/>
          <w:szCs w:val="21"/>
        </w:rPr>
      </w:pPr>
    </w:p>
    <w:p>
      <w:pPr>
        <w:pStyle w:val="15"/>
        <w:rPr>
          <w:rFonts w:hint="eastAsia" w:ascii="宋体" w:hAnsi="宋体" w:eastAsia="宋体" w:cs="宋体"/>
          <w:b/>
          <w:bCs/>
          <w:kern w:val="0"/>
          <w:sz w:val="21"/>
          <w:szCs w:val="21"/>
        </w:rPr>
      </w:pPr>
    </w:p>
    <w:p>
      <w:pPr>
        <w:pStyle w:val="15"/>
        <w:rPr>
          <w:rFonts w:hint="eastAsia" w:ascii="宋体" w:hAnsi="宋体" w:eastAsia="宋体" w:cs="宋体"/>
          <w:b/>
          <w:bCs/>
          <w:kern w:val="0"/>
          <w:sz w:val="21"/>
          <w:szCs w:val="21"/>
        </w:rPr>
      </w:pPr>
    </w:p>
    <w:p>
      <w:pPr>
        <w:shd w:val="clear"/>
        <w:spacing w:line="240" w:lineRule="auto"/>
        <w:jc w:val="center"/>
        <w:rPr>
          <w:rFonts w:hint="eastAsia" w:ascii="宋体" w:hAnsi="宋体" w:eastAsia="宋体" w:cs="宋体"/>
          <w:b/>
          <w:bCs/>
          <w:kern w:val="0"/>
          <w:sz w:val="21"/>
          <w:szCs w:val="21"/>
        </w:rPr>
      </w:pPr>
      <w:r>
        <w:rPr>
          <w:rFonts w:hint="eastAsia" w:ascii="宋体" w:hAnsi="宋体" w:eastAsia="宋体" w:cs="宋体"/>
          <w:b/>
          <w:bCs/>
          <w:color w:val="auto"/>
          <w:sz w:val="36"/>
          <w:szCs w:val="36"/>
          <w:lang w:val="en-US" w:eastAsia="zh-CN"/>
        </w:rPr>
        <w:t>第二部分 评分标准</w:t>
      </w:r>
    </w:p>
    <w:tbl>
      <w:tblPr>
        <w:tblStyle w:val="12"/>
        <w:tblW w:w="4833"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1105"/>
        <w:gridCol w:w="5835"/>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1303"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240" w:after="240" w:line="300" w:lineRule="auto"/>
              <w:jc w:val="center"/>
              <w:rPr>
                <w:rFonts w:hint="eastAsia" w:ascii="仿宋" w:hAnsi="仿宋" w:eastAsia="仿宋" w:cs="宋体"/>
                <w:b/>
                <w:bCs/>
              </w:rPr>
            </w:pPr>
            <w:r>
              <w:rPr>
                <w:rFonts w:hint="eastAsia" w:ascii="仿宋" w:hAnsi="仿宋" w:eastAsia="仿宋" w:cs="宋体"/>
                <w:b/>
                <w:bCs/>
              </w:rPr>
              <w:t>评分项目</w:t>
            </w:r>
          </w:p>
        </w:tc>
        <w:tc>
          <w:tcPr>
            <w:tcW w:w="3233" w:type="pct"/>
            <w:tcBorders>
              <w:top w:val="single" w:color="auto" w:sz="4" w:space="0"/>
              <w:left w:val="nil"/>
              <w:bottom w:val="single" w:color="auto" w:sz="4" w:space="0"/>
              <w:right w:val="single" w:color="auto" w:sz="4" w:space="0"/>
            </w:tcBorders>
            <w:vAlign w:val="center"/>
          </w:tcPr>
          <w:p>
            <w:pPr>
              <w:adjustRightInd w:val="0"/>
              <w:snapToGrid w:val="0"/>
              <w:spacing w:before="240" w:after="240" w:line="300" w:lineRule="auto"/>
              <w:jc w:val="center"/>
              <w:rPr>
                <w:rFonts w:hint="eastAsia" w:ascii="仿宋" w:hAnsi="仿宋" w:eastAsia="仿宋" w:cs="宋体"/>
                <w:b/>
                <w:bCs/>
              </w:rPr>
            </w:pPr>
            <w:r>
              <w:rPr>
                <w:rFonts w:hint="eastAsia" w:ascii="仿宋" w:hAnsi="仿宋" w:eastAsia="仿宋" w:cs="宋体"/>
                <w:b/>
                <w:bCs/>
              </w:rPr>
              <w:t>评分标准</w:t>
            </w:r>
          </w:p>
        </w:tc>
        <w:tc>
          <w:tcPr>
            <w:tcW w:w="464" w:type="pct"/>
            <w:tcBorders>
              <w:top w:val="single" w:color="auto" w:sz="4" w:space="0"/>
              <w:left w:val="nil"/>
              <w:bottom w:val="single" w:color="auto" w:sz="4" w:space="0"/>
              <w:right w:val="single" w:color="auto" w:sz="4" w:space="0"/>
            </w:tcBorders>
            <w:vAlign w:val="center"/>
          </w:tcPr>
          <w:p>
            <w:pPr>
              <w:adjustRightInd w:val="0"/>
              <w:snapToGrid w:val="0"/>
              <w:spacing w:before="240" w:after="240" w:line="300" w:lineRule="auto"/>
              <w:jc w:val="center"/>
              <w:rPr>
                <w:rFonts w:hint="eastAsia" w:ascii="仿宋" w:hAnsi="仿宋" w:eastAsia="仿宋" w:cs="宋体"/>
                <w:b/>
                <w:bCs/>
              </w:rPr>
            </w:pPr>
            <w:r>
              <w:rPr>
                <w:rFonts w:hint="eastAsia" w:ascii="仿宋" w:hAnsi="仿宋" w:eastAsia="仿宋" w:cs="宋体"/>
                <w:b/>
                <w:bCs/>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240" w:after="240" w:line="300" w:lineRule="auto"/>
              <w:jc w:val="center"/>
              <w:rPr>
                <w:rFonts w:hint="eastAsia" w:ascii="仿宋" w:hAnsi="仿宋" w:eastAsia="仿宋" w:cs="宋体"/>
                <w:color w:val="FF0000"/>
              </w:rPr>
            </w:pPr>
            <w:r>
              <w:rPr>
                <w:rFonts w:hint="eastAsia" w:ascii="仿宋" w:hAnsi="仿宋" w:eastAsia="仿宋" w:cs="宋体"/>
                <w:color w:val="FF0000"/>
              </w:rPr>
              <w:t>价格</w:t>
            </w:r>
          </w:p>
          <w:p>
            <w:pPr>
              <w:adjustRightInd w:val="0"/>
              <w:snapToGrid w:val="0"/>
              <w:spacing w:before="240" w:after="240" w:line="300" w:lineRule="auto"/>
              <w:jc w:val="center"/>
              <w:rPr>
                <w:rFonts w:hint="eastAsia" w:ascii="仿宋" w:hAnsi="仿宋" w:eastAsia="仿宋" w:cs="宋体"/>
                <w:color w:val="FF0000"/>
              </w:rPr>
            </w:pPr>
            <w:r>
              <w:rPr>
                <w:rFonts w:hint="eastAsia" w:ascii="仿宋" w:hAnsi="仿宋" w:eastAsia="仿宋" w:cs="宋体"/>
                <w:color w:val="FF0000"/>
              </w:rPr>
              <w:t>（</w:t>
            </w:r>
            <w:r>
              <w:rPr>
                <w:rFonts w:hint="eastAsia" w:ascii="仿宋" w:hAnsi="仿宋" w:eastAsia="仿宋" w:cs="宋体"/>
                <w:color w:val="FF0000"/>
                <w:lang w:val="en-US" w:eastAsia="zh-CN"/>
              </w:rPr>
              <w:t>30</w:t>
            </w:r>
            <w:r>
              <w:rPr>
                <w:rFonts w:hint="eastAsia" w:ascii="仿宋" w:hAnsi="仿宋" w:eastAsia="仿宋" w:cs="宋体"/>
                <w:color w:val="FF0000"/>
              </w:rPr>
              <w:t>）</w:t>
            </w:r>
          </w:p>
        </w:tc>
        <w:tc>
          <w:tcPr>
            <w:tcW w:w="612" w:type="pct"/>
            <w:tcBorders>
              <w:top w:val="single" w:color="auto" w:sz="4" w:space="0"/>
              <w:left w:val="nil"/>
              <w:bottom w:val="single" w:color="auto" w:sz="4" w:space="0"/>
              <w:right w:val="single" w:color="auto" w:sz="4" w:space="0"/>
            </w:tcBorders>
            <w:vAlign w:val="center"/>
          </w:tcPr>
          <w:p>
            <w:pPr>
              <w:adjustRightInd w:val="0"/>
              <w:snapToGrid w:val="0"/>
              <w:spacing w:before="240" w:after="240" w:line="300" w:lineRule="auto"/>
              <w:jc w:val="center"/>
              <w:rPr>
                <w:rFonts w:hint="eastAsia" w:ascii="仿宋" w:hAnsi="仿宋" w:eastAsia="仿宋" w:cs="宋体"/>
              </w:rPr>
            </w:pPr>
            <w:r>
              <w:rPr>
                <w:rFonts w:hint="eastAsia" w:ascii="仿宋" w:hAnsi="仿宋" w:eastAsia="仿宋" w:cs="宋体"/>
              </w:rPr>
              <w:t>价格</w:t>
            </w:r>
          </w:p>
        </w:tc>
        <w:tc>
          <w:tcPr>
            <w:tcW w:w="3233" w:type="pct"/>
            <w:tcBorders>
              <w:top w:val="single" w:color="auto" w:sz="4" w:space="0"/>
              <w:left w:val="nil"/>
              <w:bottom w:val="single" w:color="auto" w:sz="4" w:space="0"/>
              <w:right w:val="single" w:color="auto" w:sz="4" w:space="0"/>
            </w:tcBorders>
            <w:vAlign w:val="center"/>
          </w:tcPr>
          <w:p>
            <w:pPr>
              <w:adjustRightInd w:val="0"/>
              <w:snapToGrid w:val="0"/>
              <w:spacing w:before="240" w:after="240" w:line="300" w:lineRule="auto"/>
              <w:rPr>
                <w:rFonts w:hint="eastAsia" w:ascii="仿宋" w:hAnsi="仿宋" w:eastAsia="仿宋" w:cs="宋体"/>
                <w:lang w:eastAsia="zh-CN"/>
              </w:rPr>
            </w:pPr>
            <w:r>
              <w:rPr>
                <w:rFonts w:hint="eastAsia" w:ascii="仿宋" w:hAnsi="仿宋" w:eastAsia="仿宋" w:cs="宋体"/>
                <w:lang w:eastAsia="zh-CN"/>
              </w:rPr>
              <w:t>满足招标文件要求且投标价格最低的投标报价为基准价，其价格分为满分。报价得分＝（评标基准价/投标报价）×30。</w:t>
            </w:r>
          </w:p>
        </w:tc>
        <w:tc>
          <w:tcPr>
            <w:tcW w:w="464" w:type="pct"/>
            <w:tcBorders>
              <w:top w:val="single" w:color="auto" w:sz="4" w:space="0"/>
              <w:left w:val="nil"/>
              <w:bottom w:val="single" w:color="auto" w:sz="4" w:space="0"/>
              <w:right w:val="single" w:color="auto" w:sz="4" w:space="0"/>
            </w:tcBorders>
            <w:vAlign w:val="center"/>
          </w:tcPr>
          <w:p>
            <w:pPr>
              <w:adjustRightInd w:val="0"/>
              <w:snapToGrid w:val="0"/>
              <w:spacing w:before="240" w:after="240" w:line="300" w:lineRule="auto"/>
              <w:jc w:val="center"/>
              <w:rPr>
                <w:rFonts w:hint="eastAsia" w:ascii="仿宋" w:hAnsi="仿宋" w:eastAsia="仿宋" w:cs="宋体"/>
              </w:rPr>
            </w:pPr>
            <w:r>
              <w:rPr>
                <w:rFonts w:hint="eastAsia" w:ascii="仿宋" w:hAnsi="仿宋" w:eastAsia="仿宋" w:cs="宋体"/>
                <w:color w:val="FF0000"/>
                <w:lang w:val="en-US" w:eastAsia="zh-CN"/>
              </w:rPr>
              <w:t>30</w:t>
            </w:r>
            <w:r>
              <w:rPr>
                <w:rFonts w:hint="eastAsia" w:ascii="仿宋" w:hAnsi="仿宋" w:eastAsia="仿宋" w:cs="宋体"/>
                <w:color w:val="FF000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pct"/>
            <w:vMerge w:val="restart"/>
            <w:tcBorders>
              <w:top w:val="nil"/>
              <w:left w:val="single" w:color="auto" w:sz="4" w:space="0"/>
              <w:bottom w:val="single" w:color="auto" w:sz="4" w:space="0"/>
              <w:right w:val="single" w:color="auto" w:sz="4" w:space="0"/>
            </w:tcBorders>
            <w:vAlign w:val="center"/>
          </w:tcPr>
          <w:p>
            <w:pPr>
              <w:adjustRightInd w:val="0"/>
              <w:snapToGrid w:val="0"/>
              <w:spacing w:before="240" w:after="240" w:line="300" w:lineRule="auto"/>
              <w:jc w:val="center"/>
              <w:rPr>
                <w:rFonts w:hint="eastAsia" w:ascii="仿宋" w:hAnsi="仿宋" w:eastAsia="仿宋" w:cs="宋体"/>
              </w:rPr>
            </w:pPr>
            <w:r>
              <w:rPr>
                <w:rFonts w:hint="eastAsia" w:ascii="仿宋" w:hAnsi="仿宋" w:eastAsia="仿宋" w:cs="宋体"/>
              </w:rPr>
              <w:t>技术方案</w:t>
            </w:r>
          </w:p>
          <w:p>
            <w:pPr>
              <w:adjustRightInd w:val="0"/>
              <w:snapToGrid w:val="0"/>
              <w:spacing w:before="240" w:after="240" w:line="300" w:lineRule="auto"/>
              <w:jc w:val="center"/>
              <w:rPr>
                <w:rFonts w:hint="eastAsia" w:ascii="仿宋" w:hAnsi="仿宋" w:eastAsia="仿宋" w:cs="宋体"/>
              </w:rPr>
            </w:pPr>
            <w:r>
              <w:rPr>
                <w:rFonts w:hint="eastAsia" w:ascii="仿宋" w:hAnsi="仿宋" w:eastAsia="仿宋" w:cs="宋体"/>
              </w:rPr>
              <w:t>（</w:t>
            </w:r>
            <w:r>
              <w:rPr>
                <w:rFonts w:hint="eastAsia" w:ascii="仿宋" w:hAnsi="仿宋" w:eastAsia="仿宋" w:cs="宋体"/>
                <w:lang w:val="en-US" w:eastAsia="zh-CN"/>
              </w:rPr>
              <w:t>36</w:t>
            </w:r>
            <w:r>
              <w:rPr>
                <w:rFonts w:hint="eastAsia" w:ascii="仿宋" w:hAnsi="仿宋" w:eastAsia="仿宋" w:cs="宋体"/>
              </w:rPr>
              <w:t>）</w:t>
            </w:r>
          </w:p>
        </w:tc>
        <w:tc>
          <w:tcPr>
            <w:tcW w:w="612" w:type="pct"/>
            <w:tcBorders>
              <w:top w:val="single" w:color="auto" w:sz="4" w:space="0"/>
              <w:left w:val="nil"/>
              <w:bottom w:val="single" w:color="auto" w:sz="4" w:space="0"/>
              <w:right w:val="single" w:color="auto" w:sz="4" w:space="0"/>
            </w:tcBorders>
            <w:vAlign w:val="center"/>
          </w:tcPr>
          <w:p>
            <w:pPr>
              <w:adjustRightInd w:val="0"/>
              <w:snapToGrid w:val="0"/>
              <w:spacing w:before="240" w:after="240" w:line="300" w:lineRule="auto"/>
              <w:jc w:val="center"/>
              <w:rPr>
                <w:rFonts w:hint="eastAsia" w:ascii="仿宋" w:hAnsi="仿宋" w:eastAsia="仿宋" w:cs="宋体"/>
              </w:rPr>
            </w:pPr>
            <w:r>
              <w:rPr>
                <w:rFonts w:hint="eastAsia" w:ascii="仿宋" w:hAnsi="仿宋" w:eastAsia="仿宋" w:cs="宋体"/>
              </w:rPr>
              <w:t>运维实施方案</w:t>
            </w:r>
          </w:p>
        </w:tc>
        <w:tc>
          <w:tcPr>
            <w:tcW w:w="3233" w:type="pct"/>
            <w:tcBorders>
              <w:top w:val="single" w:color="auto" w:sz="4" w:space="0"/>
              <w:left w:val="nil"/>
              <w:bottom w:val="single" w:color="auto" w:sz="4" w:space="0"/>
              <w:right w:val="single" w:color="auto" w:sz="4" w:space="0"/>
            </w:tcBorders>
            <w:vAlign w:val="center"/>
          </w:tcPr>
          <w:p>
            <w:pPr>
              <w:adjustRightInd w:val="0"/>
              <w:snapToGrid w:val="0"/>
              <w:spacing w:before="240" w:after="240" w:line="300" w:lineRule="auto"/>
              <w:rPr>
                <w:rFonts w:hint="eastAsia" w:ascii="仿宋" w:hAnsi="仿宋" w:eastAsia="仿宋" w:cs="宋体"/>
                <w:lang w:eastAsia="zh-CN"/>
              </w:rPr>
            </w:pPr>
            <w:r>
              <w:rPr>
                <w:rFonts w:hint="eastAsia" w:ascii="仿宋" w:hAnsi="仿宋" w:eastAsia="仿宋" w:cs="宋体"/>
                <w:lang w:val="en-US" w:eastAsia="zh-CN"/>
              </w:rPr>
              <w:t>1.</w:t>
            </w:r>
            <w:r>
              <w:rPr>
                <w:rFonts w:hint="eastAsia" w:ascii="仿宋" w:hAnsi="仿宋" w:eastAsia="仿宋" w:cs="宋体"/>
                <w:lang w:eastAsia="zh-CN"/>
              </w:rPr>
              <w:t>供应商提出的运维技术方案应包含：污水处理设施日常运营管理服务内容、投入运营服务人员数量及分工、运维服务的设备设施保障（维修工具、备品备件、采样化验仪器等）、运维管理制度、质控管理等。运维技术方案内容全面、合理，得</w:t>
            </w:r>
            <w:r>
              <w:rPr>
                <w:rFonts w:hint="eastAsia" w:ascii="仿宋" w:hAnsi="仿宋" w:eastAsia="仿宋" w:cs="宋体"/>
                <w:lang w:val="en-US" w:eastAsia="zh-CN"/>
              </w:rPr>
              <w:t>6</w:t>
            </w:r>
            <w:r>
              <w:rPr>
                <w:rFonts w:hint="eastAsia" w:ascii="仿宋" w:hAnsi="仿宋" w:eastAsia="仿宋" w:cs="宋体"/>
                <w:lang w:eastAsia="zh-CN"/>
              </w:rPr>
              <w:t>分；技术方案内容较全面，得</w:t>
            </w:r>
            <w:r>
              <w:rPr>
                <w:rFonts w:hint="eastAsia" w:ascii="仿宋" w:hAnsi="仿宋" w:eastAsia="仿宋" w:cs="宋体"/>
                <w:lang w:val="en-US" w:eastAsia="zh-CN"/>
              </w:rPr>
              <w:t>3</w:t>
            </w:r>
            <w:r>
              <w:rPr>
                <w:rFonts w:hint="eastAsia" w:ascii="仿宋" w:hAnsi="仿宋" w:eastAsia="仿宋" w:cs="宋体"/>
                <w:lang w:eastAsia="zh-CN"/>
              </w:rPr>
              <w:t>分；技术方案内容欠全面，得</w:t>
            </w:r>
            <w:r>
              <w:rPr>
                <w:rFonts w:hint="eastAsia" w:ascii="仿宋" w:hAnsi="仿宋" w:eastAsia="仿宋" w:cs="宋体"/>
                <w:lang w:val="en-US" w:eastAsia="zh-CN"/>
              </w:rPr>
              <w:t>1</w:t>
            </w:r>
            <w:r>
              <w:rPr>
                <w:rFonts w:hint="eastAsia" w:ascii="仿宋" w:hAnsi="仿宋" w:eastAsia="仿宋" w:cs="宋体"/>
                <w:lang w:eastAsia="zh-CN"/>
              </w:rPr>
              <w:t>分；无相关内容或以与本项目不相干的内容充数的得0分。</w:t>
            </w:r>
          </w:p>
          <w:p>
            <w:pPr>
              <w:adjustRightInd w:val="0"/>
              <w:snapToGrid w:val="0"/>
              <w:spacing w:before="240" w:after="240" w:line="300" w:lineRule="auto"/>
              <w:rPr>
                <w:rFonts w:hint="eastAsia" w:ascii="仿宋" w:hAnsi="仿宋" w:eastAsia="仿宋" w:cs="宋体"/>
                <w:lang w:eastAsia="zh-CN"/>
              </w:rPr>
            </w:pPr>
            <w:r>
              <w:rPr>
                <w:rFonts w:hint="eastAsia" w:ascii="仿宋" w:hAnsi="仿宋" w:eastAsia="仿宋" w:cs="宋体"/>
                <w:lang w:val="en-US" w:eastAsia="zh-CN"/>
              </w:rPr>
              <w:t>2</w:t>
            </w:r>
            <w:r>
              <w:rPr>
                <w:rFonts w:hint="eastAsia" w:ascii="仿宋" w:hAnsi="仿宋" w:eastAsia="仿宋" w:cs="宋体"/>
                <w:lang w:eastAsia="zh-CN"/>
              </w:rPr>
              <w:t>、供应商提出的运维工作安全专篇应包括不限于：受限空间安全作业管理、维修维护安全管理、用电安全管理、处理设施生态安全等。安全专篇工作思路清晰，技术路线正确，得</w:t>
            </w:r>
            <w:r>
              <w:rPr>
                <w:rFonts w:hint="eastAsia" w:ascii="仿宋" w:hAnsi="仿宋" w:eastAsia="仿宋" w:cs="宋体"/>
                <w:lang w:val="en-US" w:eastAsia="zh-CN"/>
              </w:rPr>
              <w:t>6</w:t>
            </w:r>
            <w:r>
              <w:rPr>
                <w:rFonts w:hint="eastAsia" w:ascii="仿宋" w:hAnsi="仿宋" w:eastAsia="仿宋" w:cs="宋体"/>
                <w:lang w:eastAsia="zh-CN"/>
              </w:rPr>
              <w:t>分；工作思路较清晰，技术路线较正确，得</w:t>
            </w:r>
            <w:r>
              <w:rPr>
                <w:rFonts w:hint="eastAsia" w:ascii="仿宋" w:hAnsi="仿宋" w:eastAsia="仿宋" w:cs="宋体"/>
                <w:lang w:val="en-US" w:eastAsia="zh-CN"/>
              </w:rPr>
              <w:t>3</w:t>
            </w:r>
            <w:r>
              <w:rPr>
                <w:rFonts w:hint="eastAsia" w:ascii="仿宋" w:hAnsi="仿宋" w:eastAsia="仿宋" w:cs="宋体"/>
                <w:lang w:eastAsia="zh-CN"/>
              </w:rPr>
              <w:t>分；工作思路欠清晰，技术路线欠合理，得</w:t>
            </w:r>
            <w:r>
              <w:rPr>
                <w:rFonts w:hint="eastAsia" w:ascii="仿宋" w:hAnsi="仿宋" w:eastAsia="仿宋" w:cs="宋体"/>
                <w:lang w:val="en-US" w:eastAsia="zh-CN"/>
              </w:rPr>
              <w:t>1</w:t>
            </w:r>
            <w:r>
              <w:rPr>
                <w:rFonts w:hint="eastAsia" w:ascii="仿宋" w:hAnsi="仿宋" w:eastAsia="仿宋" w:cs="宋体"/>
                <w:lang w:eastAsia="zh-CN"/>
              </w:rPr>
              <w:t>分；无相关内容或以与本项目不相干的内容充数的得0分。</w:t>
            </w:r>
          </w:p>
          <w:p>
            <w:pPr>
              <w:adjustRightInd w:val="0"/>
              <w:snapToGrid w:val="0"/>
              <w:spacing w:before="240" w:after="240" w:line="300" w:lineRule="auto"/>
              <w:rPr>
                <w:rFonts w:hint="eastAsia" w:ascii="仿宋" w:hAnsi="仿宋" w:eastAsia="仿宋" w:cs="宋体"/>
                <w:lang w:eastAsia="zh-CN"/>
              </w:rPr>
            </w:pPr>
            <w:r>
              <w:rPr>
                <w:rFonts w:hint="eastAsia" w:ascii="仿宋" w:hAnsi="仿宋" w:eastAsia="仿宋" w:cs="宋体"/>
                <w:lang w:val="en-US" w:eastAsia="zh-CN"/>
              </w:rPr>
              <w:t>3</w:t>
            </w:r>
            <w:r>
              <w:rPr>
                <w:rFonts w:hint="eastAsia" w:ascii="仿宋" w:hAnsi="仿宋" w:eastAsia="仿宋" w:cs="宋体"/>
                <w:lang w:eastAsia="zh-CN"/>
              </w:rPr>
              <w:t>、供应商提出的突发环境事件应急预案符合本项目实际情况和工作开展要求的，得</w:t>
            </w:r>
            <w:r>
              <w:rPr>
                <w:rFonts w:hint="eastAsia" w:ascii="仿宋" w:hAnsi="仿宋" w:eastAsia="仿宋" w:cs="宋体"/>
                <w:lang w:val="en-US" w:eastAsia="zh-CN"/>
              </w:rPr>
              <w:t>6</w:t>
            </w:r>
            <w:r>
              <w:rPr>
                <w:rFonts w:hint="eastAsia" w:ascii="仿宋" w:hAnsi="仿宋" w:eastAsia="仿宋" w:cs="宋体"/>
                <w:lang w:eastAsia="zh-CN"/>
              </w:rPr>
              <w:t>分；工作重点把握较准确，得</w:t>
            </w:r>
            <w:r>
              <w:rPr>
                <w:rFonts w:hint="eastAsia" w:ascii="仿宋" w:hAnsi="仿宋" w:eastAsia="仿宋" w:cs="宋体"/>
                <w:lang w:val="en-US" w:eastAsia="zh-CN"/>
              </w:rPr>
              <w:t>3</w:t>
            </w:r>
            <w:r>
              <w:rPr>
                <w:rFonts w:hint="eastAsia" w:ascii="仿宋" w:hAnsi="仿宋" w:eastAsia="仿宋" w:cs="宋体"/>
                <w:lang w:eastAsia="zh-CN"/>
              </w:rPr>
              <w:t>分；工作重点把握不准确，得</w:t>
            </w:r>
            <w:r>
              <w:rPr>
                <w:rFonts w:hint="eastAsia" w:ascii="仿宋" w:hAnsi="仿宋" w:eastAsia="仿宋" w:cs="宋体"/>
                <w:lang w:val="en-US" w:eastAsia="zh-CN"/>
              </w:rPr>
              <w:t>1</w:t>
            </w:r>
            <w:r>
              <w:rPr>
                <w:rFonts w:hint="eastAsia" w:ascii="仿宋" w:hAnsi="仿宋" w:eastAsia="仿宋" w:cs="宋体"/>
                <w:lang w:eastAsia="zh-CN"/>
              </w:rPr>
              <w:t>分；其它</w:t>
            </w:r>
            <w:r>
              <w:rPr>
                <w:rFonts w:hint="eastAsia" w:ascii="仿宋" w:hAnsi="仿宋" w:eastAsia="仿宋" w:cs="宋体"/>
                <w:lang w:val="en-US" w:eastAsia="zh-CN"/>
              </w:rPr>
              <w:t>不得分</w:t>
            </w:r>
            <w:r>
              <w:rPr>
                <w:rFonts w:hint="eastAsia" w:ascii="仿宋" w:hAnsi="仿宋" w:eastAsia="仿宋" w:cs="宋体"/>
                <w:lang w:eastAsia="zh-CN"/>
              </w:rPr>
              <w:t>。</w:t>
            </w:r>
          </w:p>
          <w:p>
            <w:pPr>
              <w:adjustRightInd w:val="0"/>
              <w:snapToGrid w:val="0"/>
              <w:spacing w:before="240" w:after="240" w:line="300" w:lineRule="auto"/>
              <w:rPr>
                <w:rFonts w:hint="eastAsia" w:ascii="仿宋" w:hAnsi="仿宋" w:eastAsia="仿宋" w:cs="宋体"/>
                <w:lang w:eastAsia="zh-CN"/>
              </w:rPr>
            </w:pPr>
            <w:r>
              <w:rPr>
                <w:rFonts w:hint="eastAsia" w:ascii="仿宋" w:hAnsi="仿宋" w:eastAsia="仿宋" w:cs="宋体"/>
                <w:lang w:val="en-US" w:eastAsia="zh-CN"/>
              </w:rPr>
              <w:t>4</w:t>
            </w:r>
            <w:r>
              <w:rPr>
                <w:rFonts w:hint="eastAsia" w:ascii="仿宋" w:hAnsi="仿宋" w:eastAsia="仿宋" w:cs="宋体"/>
                <w:lang w:eastAsia="zh-CN"/>
              </w:rPr>
              <w:t>、分析本项目污水设施特点及难点，存在的问题，并提供解决方案。解决方案合理、切实的得</w:t>
            </w:r>
            <w:r>
              <w:rPr>
                <w:rFonts w:hint="eastAsia" w:ascii="仿宋" w:hAnsi="仿宋" w:eastAsia="仿宋" w:cs="宋体"/>
                <w:lang w:val="en-US" w:eastAsia="zh-CN"/>
              </w:rPr>
              <w:t>6</w:t>
            </w:r>
            <w:r>
              <w:rPr>
                <w:rFonts w:hint="eastAsia" w:ascii="仿宋" w:hAnsi="仿宋" w:eastAsia="仿宋" w:cs="宋体"/>
                <w:lang w:eastAsia="zh-CN"/>
              </w:rPr>
              <w:t>分；较合理的得</w:t>
            </w:r>
            <w:r>
              <w:rPr>
                <w:rFonts w:hint="eastAsia" w:ascii="仿宋" w:hAnsi="仿宋" w:eastAsia="仿宋" w:cs="宋体"/>
                <w:lang w:val="en-US" w:eastAsia="zh-CN"/>
              </w:rPr>
              <w:t>3</w:t>
            </w:r>
            <w:r>
              <w:rPr>
                <w:rFonts w:hint="eastAsia" w:ascii="仿宋" w:hAnsi="仿宋" w:eastAsia="仿宋" w:cs="宋体"/>
                <w:lang w:eastAsia="zh-CN"/>
              </w:rPr>
              <w:t>分；欠缺或不完善得</w:t>
            </w:r>
            <w:r>
              <w:rPr>
                <w:rFonts w:hint="eastAsia" w:ascii="仿宋" w:hAnsi="仿宋" w:eastAsia="仿宋" w:cs="宋体"/>
                <w:lang w:val="en-US" w:eastAsia="zh-CN"/>
              </w:rPr>
              <w:t>1</w:t>
            </w:r>
            <w:r>
              <w:rPr>
                <w:rFonts w:hint="eastAsia" w:ascii="仿宋" w:hAnsi="仿宋" w:eastAsia="仿宋" w:cs="宋体"/>
                <w:lang w:eastAsia="zh-CN"/>
              </w:rPr>
              <w:t>分；其它</w:t>
            </w:r>
            <w:r>
              <w:rPr>
                <w:rFonts w:hint="eastAsia" w:ascii="仿宋" w:hAnsi="仿宋" w:eastAsia="仿宋" w:cs="宋体"/>
                <w:lang w:val="en-US" w:eastAsia="zh-CN"/>
              </w:rPr>
              <w:t>不得分</w:t>
            </w:r>
            <w:r>
              <w:rPr>
                <w:rFonts w:hint="eastAsia" w:ascii="仿宋" w:hAnsi="仿宋" w:eastAsia="仿宋" w:cs="宋体"/>
                <w:lang w:eastAsia="zh-CN"/>
              </w:rPr>
              <w:t>。</w:t>
            </w:r>
          </w:p>
          <w:p>
            <w:pPr>
              <w:adjustRightInd w:val="0"/>
              <w:snapToGrid w:val="0"/>
              <w:spacing w:before="240" w:after="240" w:line="300" w:lineRule="auto"/>
              <w:rPr>
                <w:rFonts w:hint="eastAsia" w:ascii="仿宋" w:hAnsi="仿宋" w:eastAsia="仿宋" w:cs="宋体"/>
                <w:lang w:val="en-US" w:eastAsia="zh-CN"/>
              </w:rPr>
            </w:pPr>
            <w:r>
              <w:rPr>
                <w:rFonts w:hint="eastAsia" w:ascii="仿宋" w:hAnsi="仿宋" w:eastAsia="仿宋" w:cs="宋体"/>
                <w:lang w:val="en-US" w:eastAsia="zh-CN"/>
              </w:rPr>
              <w:t>5</w:t>
            </w:r>
            <w:r>
              <w:rPr>
                <w:rFonts w:hint="eastAsia" w:ascii="仿宋" w:hAnsi="仿宋" w:eastAsia="仿宋" w:cs="宋体"/>
                <w:lang w:eastAsia="zh-CN"/>
              </w:rPr>
              <w:t>、根据供应商针对本项目进度安排与采购需求切合性，节点之间细化合理性综合打分，进度控制措施科学合理的得</w:t>
            </w:r>
            <w:r>
              <w:rPr>
                <w:rFonts w:hint="eastAsia" w:ascii="仿宋" w:hAnsi="仿宋" w:eastAsia="仿宋" w:cs="宋体"/>
                <w:lang w:val="en-US" w:eastAsia="zh-CN"/>
              </w:rPr>
              <w:t>6</w:t>
            </w:r>
            <w:r>
              <w:rPr>
                <w:rFonts w:hint="eastAsia" w:ascii="仿宋" w:hAnsi="仿宋" w:eastAsia="仿宋" w:cs="宋体"/>
                <w:lang w:eastAsia="zh-CN"/>
              </w:rPr>
              <w:t>分；较合理的得</w:t>
            </w:r>
            <w:r>
              <w:rPr>
                <w:rFonts w:hint="eastAsia" w:ascii="仿宋" w:hAnsi="仿宋" w:eastAsia="仿宋" w:cs="宋体"/>
                <w:lang w:val="en-US" w:eastAsia="zh-CN"/>
              </w:rPr>
              <w:t>3</w:t>
            </w:r>
            <w:r>
              <w:rPr>
                <w:rFonts w:hint="eastAsia" w:ascii="仿宋" w:hAnsi="仿宋" w:eastAsia="仿宋" w:cs="宋体"/>
                <w:lang w:eastAsia="zh-CN"/>
              </w:rPr>
              <w:t>分；进度方案欠佳或进度方案存在明显缺陷得</w:t>
            </w:r>
            <w:r>
              <w:rPr>
                <w:rFonts w:hint="eastAsia" w:ascii="仿宋" w:hAnsi="仿宋" w:eastAsia="仿宋" w:cs="宋体"/>
                <w:lang w:val="en-US" w:eastAsia="zh-CN"/>
              </w:rPr>
              <w:t>1</w:t>
            </w:r>
            <w:r>
              <w:rPr>
                <w:rFonts w:hint="eastAsia" w:ascii="仿宋" w:hAnsi="仿宋" w:eastAsia="仿宋" w:cs="宋体"/>
                <w:lang w:eastAsia="zh-CN"/>
              </w:rPr>
              <w:t>分；无相关内容或以与本项目不相干的内容充数的得0分。</w:t>
            </w:r>
          </w:p>
        </w:tc>
        <w:tc>
          <w:tcPr>
            <w:tcW w:w="464" w:type="pct"/>
            <w:tcBorders>
              <w:top w:val="single" w:color="auto" w:sz="4" w:space="0"/>
              <w:left w:val="nil"/>
              <w:bottom w:val="single" w:color="auto" w:sz="4" w:space="0"/>
              <w:right w:val="single" w:color="auto" w:sz="4" w:space="0"/>
            </w:tcBorders>
            <w:vAlign w:val="center"/>
          </w:tcPr>
          <w:p>
            <w:pPr>
              <w:adjustRightInd w:val="0"/>
              <w:snapToGrid w:val="0"/>
              <w:spacing w:before="240" w:after="240" w:line="300" w:lineRule="auto"/>
              <w:jc w:val="center"/>
              <w:rPr>
                <w:rFonts w:hint="eastAsia" w:ascii="仿宋" w:hAnsi="仿宋" w:eastAsia="仿宋" w:cs="宋体"/>
              </w:rPr>
            </w:pPr>
            <w:r>
              <w:rPr>
                <w:rFonts w:hint="eastAsia" w:ascii="仿宋" w:hAnsi="仿宋" w:eastAsia="仿宋" w:cs="宋体"/>
                <w:lang w:val="en-US" w:eastAsia="zh-CN"/>
              </w:rPr>
              <w:t>30</w:t>
            </w:r>
            <w:r>
              <w:rPr>
                <w:rFonts w:hint="eastAsia" w:ascii="仿宋" w:hAnsi="仿宋" w:eastAsia="仿宋"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adjustRightInd w:val="0"/>
              <w:snapToGrid w:val="0"/>
              <w:spacing w:before="240" w:after="240" w:line="300" w:lineRule="auto"/>
              <w:rPr>
                <w:rFonts w:hint="eastAsia" w:ascii="仿宋" w:hAnsi="仿宋" w:eastAsia="仿宋" w:cs="宋体"/>
              </w:rPr>
            </w:pPr>
          </w:p>
        </w:tc>
        <w:tc>
          <w:tcPr>
            <w:tcW w:w="612" w:type="pct"/>
            <w:tcBorders>
              <w:top w:val="single" w:color="auto" w:sz="4" w:space="0"/>
              <w:left w:val="nil"/>
              <w:bottom w:val="single" w:color="auto" w:sz="4" w:space="0"/>
              <w:right w:val="single" w:color="auto" w:sz="4" w:space="0"/>
            </w:tcBorders>
            <w:vAlign w:val="center"/>
          </w:tcPr>
          <w:p>
            <w:pPr>
              <w:adjustRightInd w:val="0"/>
              <w:snapToGrid w:val="0"/>
              <w:spacing w:before="240" w:after="240" w:line="300" w:lineRule="auto"/>
              <w:jc w:val="center"/>
              <w:rPr>
                <w:rFonts w:hint="eastAsia" w:ascii="仿宋" w:hAnsi="仿宋" w:eastAsia="仿宋" w:cs="宋体"/>
              </w:rPr>
            </w:pPr>
            <w:r>
              <w:rPr>
                <w:rFonts w:hint="eastAsia" w:ascii="仿宋" w:hAnsi="仿宋" w:eastAsia="仿宋" w:cs="宋体"/>
              </w:rPr>
              <w:t>质量保证方案及措施</w:t>
            </w:r>
          </w:p>
        </w:tc>
        <w:tc>
          <w:tcPr>
            <w:tcW w:w="3233" w:type="pct"/>
            <w:tcBorders>
              <w:top w:val="single" w:color="auto" w:sz="4" w:space="0"/>
              <w:left w:val="nil"/>
              <w:bottom w:val="single" w:color="auto" w:sz="4" w:space="0"/>
              <w:right w:val="single" w:color="auto" w:sz="4" w:space="0"/>
            </w:tcBorders>
            <w:vAlign w:val="center"/>
          </w:tcPr>
          <w:p>
            <w:pPr>
              <w:adjustRightInd w:val="0"/>
              <w:snapToGrid w:val="0"/>
              <w:spacing w:before="240" w:after="240" w:line="300" w:lineRule="auto"/>
              <w:rPr>
                <w:rFonts w:hint="eastAsia" w:ascii="仿宋" w:hAnsi="仿宋" w:eastAsia="仿宋" w:cs="宋体"/>
                <w:lang w:eastAsia="zh-CN"/>
              </w:rPr>
            </w:pPr>
            <w:r>
              <w:rPr>
                <w:rFonts w:hint="eastAsia" w:ascii="仿宋" w:hAnsi="仿宋" w:eastAsia="仿宋" w:cs="宋体"/>
                <w:lang w:eastAsia="zh-CN"/>
              </w:rPr>
              <w:t>项目实施具有明确的管理组织构架、监督体系，并具有详细可行的实施内容，能实现本项目的全程管理和质量保证的措施的合理、有效的得</w:t>
            </w:r>
            <w:r>
              <w:rPr>
                <w:rFonts w:hint="eastAsia" w:ascii="仿宋" w:hAnsi="仿宋" w:eastAsia="仿宋" w:cs="宋体"/>
                <w:lang w:val="en-US" w:eastAsia="zh-CN"/>
              </w:rPr>
              <w:t>6</w:t>
            </w:r>
            <w:r>
              <w:rPr>
                <w:rFonts w:hint="eastAsia" w:ascii="仿宋" w:hAnsi="仿宋" w:eastAsia="仿宋" w:cs="宋体"/>
                <w:lang w:eastAsia="zh-CN"/>
              </w:rPr>
              <w:t>分；较合理的得</w:t>
            </w:r>
            <w:r>
              <w:rPr>
                <w:rFonts w:hint="eastAsia" w:ascii="仿宋" w:hAnsi="仿宋" w:eastAsia="仿宋" w:cs="宋体"/>
                <w:lang w:val="en-US" w:eastAsia="zh-CN"/>
              </w:rPr>
              <w:t>3</w:t>
            </w:r>
            <w:r>
              <w:rPr>
                <w:rFonts w:hint="eastAsia" w:ascii="仿宋" w:hAnsi="仿宋" w:eastAsia="仿宋" w:cs="宋体"/>
                <w:lang w:eastAsia="zh-CN"/>
              </w:rPr>
              <w:t>分；欠缺或不完善得</w:t>
            </w:r>
            <w:r>
              <w:rPr>
                <w:rFonts w:hint="eastAsia" w:ascii="仿宋" w:hAnsi="仿宋" w:eastAsia="仿宋" w:cs="宋体"/>
                <w:lang w:val="en-US" w:eastAsia="zh-CN"/>
              </w:rPr>
              <w:t>1</w:t>
            </w:r>
            <w:r>
              <w:rPr>
                <w:rFonts w:hint="eastAsia" w:ascii="仿宋" w:hAnsi="仿宋" w:eastAsia="仿宋" w:cs="宋体"/>
                <w:lang w:eastAsia="zh-CN"/>
              </w:rPr>
              <w:t>分；无相关内容或以与本项目不相干的内容充数的得0分。</w:t>
            </w:r>
          </w:p>
        </w:tc>
        <w:tc>
          <w:tcPr>
            <w:tcW w:w="464" w:type="pct"/>
            <w:tcBorders>
              <w:top w:val="single" w:color="auto" w:sz="4" w:space="0"/>
              <w:left w:val="nil"/>
              <w:bottom w:val="single" w:color="auto" w:sz="4" w:space="0"/>
              <w:right w:val="single" w:color="auto" w:sz="4" w:space="0"/>
            </w:tcBorders>
            <w:vAlign w:val="center"/>
          </w:tcPr>
          <w:p>
            <w:pPr>
              <w:adjustRightInd w:val="0"/>
              <w:snapToGrid w:val="0"/>
              <w:spacing w:before="240" w:after="240" w:line="300" w:lineRule="auto"/>
              <w:jc w:val="center"/>
              <w:rPr>
                <w:rFonts w:hint="eastAsia" w:ascii="仿宋" w:hAnsi="仿宋" w:eastAsia="仿宋" w:cs="宋体"/>
              </w:rPr>
            </w:pPr>
            <w:r>
              <w:rPr>
                <w:rFonts w:hint="eastAsia" w:ascii="仿宋" w:hAnsi="仿宋" w:eastAsia="仿宋" w:cs="宋体"/>
                <w:lang w:val="en-US" w:eastAsia="zh-CN"/>
              </w:rPr>
              <w:t>6</w:t>
            </w:r>
            <w:r>
              <w:rPr>
                <w:rFonts w:hint="eastAsia" w:ascii="仿宋" w:hAnsi="仿宋" w:eastAsia="仿宋"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9" w:hRule="atLeast"/>
        </w:trPr>
        <w:tc>
          <w:tcPr>
            <w:tcW w:w="691" w:type="pct"/>
            <w:tcBorders>
              <w:top w:val="single" w:color="auto" w:sz="4" w:space="0"/>
              <w:left w:val="single" w:color="auto" w:sz="4" w:space="0"/>
              <w:right w:val="single" w:color="auto" w:sz="4" w:space="0"/>
            </w:tcBorders>
            <w:vAlign w:val="center"/>
          </w:tcPr>
          <w:p>
            <w:pPr>
              <w:adjustRightInd w:val="0"/>
              <w:snapToGrid w:val="0"/>
              <w:spacing w:before="240" w:after="240" w:line="300" w:lineRule="auto"/>
              <w:jc w:val="center"/>
              <w:rPr>
                <w:rFonts w:hint="eastAsia" w:ascii="仿宋" w:hAnsi="仿宋" w:eastAsia="仿宋" w:cs="宋体"/>
                <w:lang w:val="en-US" w:eastAsia="zh-CN"/>
              </w:rPr>
            </w:pPr>
            <w:r>
              <w:rPr>
                <w:rFonts w:hint="eastAsia" w:ascii="仿宋" w:hAnsi="仿宋" w:eastAsia="仿宋" w:cs="宋体"/>
              </w:rPr>
              <w:t>人员配备（</w:t>
            </w:r>
            <w:r>
              <w:rPr>
                <w:rFonts w:hint="eastAsia" w:ascii="仿宋" w:hAnsi="仿宋" w:eastAsia="仿宋" w:cs="宋体"/>
                <w:lang w:val="en-US" w:eastAsia="zh-CN"/>
              </w:rPr>
              <w:t>12</w:t>
            </w:r>
            <w:r>
              <w:rPr>
                <w:rFonts w:hint="eastAsia" w:ascii="仿宋" w:hAnsi="仿宋" w:eastAsia="仿宋" w:cs="宋体"/>
              </w:rPr>
              <w:t>）</w:t>
            </w:r>
          </w:p>
        </w:tc>
        <w:tc>
          <w:tcPr>
            <w:tcW w:w="612" w:type="pct"/>
            <w:tcBorders>
              <w:top w:val="single" w:color="auto" w:sz="4" w:space="0"/>
              <w:left w:val="nil"/>
              <w:right w:val="single" w:color="auto" w:sz="4" w:space="0"/>
            </w:tcBorders>
            <w:vAlign w:val="center"/>
          </w:tcPr>
          <w:p>
            <w:pPr>
              <w:adjustRightInd w:val="0"/>
              <w:snapToGrid w:val="0"/>
              <w:spacing w:before="240" w:after="240" w:line="300" w:lineRule="auto"/>
              <w:jc w:val="center"/>
              <w:rPr>
                <w:rFonts w:hint="eastAsia" w:ascii="仿宋" w:hAnsi="仿宋" w:eastAsia="仿宋" w:cs="宋体"/>
              </w:rPr>
            </w:pPr>
            <w:r>
              <w:rPr>
                <w:rFonts w:hint="eastAsia" w:ascii="仿宋" w:hAnsi="仿宋" w:eastAsia="仿宋" w:cs="宋体"/>
              </w:rPr>
              <w:t>项目组成员实力</w:t>
            </w:r>
          </w:p>
        </w:tc>
        <w:tc>
          <w:tcPr>
            <w:tcW w:w="3233" w:type="pct"/>
            <w:tcBorders>
              <w:top w:val="single" w:color="auto" w:sz="4" w:space="0"/>
              <w:left w:val="nil"/>
              <w:right w:val="single" w:color="auto" w:sz="4" w:space="0"/>
            </w:tcBorders>
            <w:vAlign w:val="center"/>
          </w:tcPr>
          <w:p>
            <w:pPr>
              <w:adjustRightInd w:val="0"/>
              <w:snapToGrid w:val="0"/>
              <w:spacing w:before="240" w:after="240" w:line="300" w:lineRule="auto"/>
              <w:rPr>
                <w:rFonts w:hint="eastAsia" w:ascii="仿宋" w:hAnsi="仿宋" w:eastAsia="仿宋" w:cs="宋体"/>
                <w:lang w:eastAsia="zh-CN"/>
              </w:rPr>
            </w:pPr>
            <w:r>
              <w:rPr>
                <w:rFonts w:hint="eastAsia" w:ascii="仿宋" w:hAnsi="仿宋" w:eastAsia="仿宋" w:cs="宋体"/>
                <w:lang w:eastAsia="zh-CN"/>
              </w:rPr>
              <w:t>1.项目负责人需不低于本科学历（否则不得分），项目负责人具有政府部门认定的环保类</w:t>
            </w:r>
            <w:r>
              <w:rPr>
                <w:rFonts w:hint="eastAsia" w:ascii="仿宋" w:hAnsi="仿宋" w:eastAsia="仿宋" w:cs="宋体"/>
                <w:lang w:val="en-US" w:eastAsia="zh-CN"/>
              </w:rPr>
              <w:t>高</w:t>
            </w:r>
            <w:r>
              <w:rPr>
                <w:rFonts w:hint="eastAsia" w:ascii="仿宋" w:hAnsi="仿宋" w:eastAsia="仿宋" w:cs="宋体"/>
                <w:lang w:eastAsia="zh-CN"/>
              </w:rPr>
              <w:t>级职称证书的得</w:t>
            </w:r>
            <w:r>
              <w:rPr>
                <w:rFonts w:hint="eastAsia" w:ascii="仿宋" w:hAnsi="仿宋" w:eastAsia="仿宋" w:cs="宋体"/>
                <w:lang w:val="en-US" w:eastAsia="zh-CN"/>
              </w:rPr>
              <w:t>3</w:t>
            </w:r>
            <w:r>
              <w:rPr>
                <w:rFonts w:hint="eastAsia" w:ascii="仿宋" w:hAnsi="仿宋" w:eastAsia="仿宋" w:cs="宋体"/>
                <w:lang w:eastAsia="zh-CN"/>
              </w:rPr>
              <w:t>分，</w:t>
            </w:r>
            <w:r>
              <w:rPr>
                <w:rFonts w:hint="eastAsia" w:ascii="仿宋" w:hAnsi="仿宋" w:eastAsia="仿宋" w:cs="宋体"/>
                <w:lang w:val="en-US" w:eastAsia="zh-CN"/>
              </w:rPr>
              <w:t>中级职称证书得2分，初级职称证书的得1分，</w:t>
            </w:r>
            <w:r>
              <w:rPr>
                <w:rFonts w:hint="eastAsia" w:ascii="仿宋" w:hAnsi="仿宋" w:eastAsia="仿宋" w:cs="宋体"/>
                <w:lang w:eastAsia="zh-CN"/>
              </w:rPr>
              <w:t>其他不得分。</w:t>
            </w:r>
          </w:p>
          <w:p>
            <w:pPr>
              <w:adjustRightInd w:val="0"/>
              <w:snapToGrid w:val="0"/>
              <w:spacing w:before="240" w:after="240" w:line="300" w:lineRule="auto"/>
              <w:rPr>
                <w:rFonts w:hint="eastAsia" w:ascii="仿宋" w:hAnsi="仿宋" w:eastAsia="仿宋" w:cs="宋体"/>
                <w:lang w:eastAsia="zh-CN"/>
              </w:rPr>
            </w:pPr>
            <w:r>
              <w:rPr>
                <w:rFonts w:hint="eastAsia" w:ascii="仿宋" w:hAnsi="仿宋" w:eastAsia="仿宋" w:cs="宋体"/>
                <w:lang w:eastAsia="zh-CN"/>
              </w:rPr>
              <w:t>2.根据本项目特点配备一定数量的运维人员，运维人员应具备相应专业资格，一人一岗，至少应包含以下人员：水质检测工或化学分析工证</w:t>
            </w:r>
            <w:r>
              <w:rPr>
                <w:rFonts w:hint="eastAsia" w:ascii="仿宋" w:hAnsi="仿宋" w:eastAsia="仿宋" w:cs="宋体"/>
                <w:lang w:val="en-US" w:eastAsia="zh-CN"/>
              </w:rPr>
              <w:t>1</w:t>
            </w:r>
            <w:r>
              <w:rPr>
                <w:rFonts w:hint="eastAsia" w:ascii="仿宋" w:hAnsi="仿宋" w:eastAsia="仿宋" w:cs="宋体"/>
                <w:lang w:eastAsia="zh-CN"/>
              </w:rPr>
              <w:t>人、污</w:t>
            </w:r>
            <w:r>
              <w:rPr>
                <w:rFonts w:hint="eastAsia" w:ascii="仿宋" w:hAnsi="仿宋" w:eastAsia="仿宋" w:cs="宋体"/>
                <w:lang w:val="en-US" w:eastAsia="zh-CN"/>
              </w:rPr>
              <w:t>水或污</w:t>
            </w:r>
            <w:r>
              <w:rPr>
                <w:rFonts w:hint="eastAsia" w:ascii="仿宋" w:hAnsi="仿宋" w:eastAsia="仿宋" w:cs="宋体"/>
                <w:lang w:eastAsia="zh-CN"/>
              </w:rPr>
              <w:t>废水处理工证6人、电工证1人、安全管理员证</w:t>
            </w:r>
            <w:r>
              <w:rPr>
                <w:rFonts w:hint="eastAsia" w:ascii="仿宋" w:hAnsi="仿宋" w:eastAsia="仿宋" w:cs="宋体"/>
                <w:lang w:val="en-US" w:eastAsia="zh-CN"/>
              </w:rPr>
              <w:t>1</w:t>
            </w:r>
            <w:r>
              <w:rPr>
                <w:rFonts w:hint="eastAsia" w:ascii="仿宋" w:hAnsi="仿宋" w:eastAsia="仿宋" w:cs="宋体"/>
                <w:lang w:eastAsia="zh-CN"/>
              </w:rPr>
              <w:t>人；</w:t>
            </w:r>
            <w:r>
              <w:rPr>
                <w:rFonts w:hint="eastAsia" w:ascii="仿宋" w:hAnsi="仿宋" w:eastAsia="仿宋" w:cs="宋体"/>
                <w:lang w:val="en-US" w:eastAsia="zh-CN"/>
              </w:rPr>
              <w:t>对应人员，提供相关证书，1人得1分，最多得9分</w:t>
            </w:r>
            <w:r>
              <w:rPr>
                <w:rFonts w:hint="eastAsia" w:ascii="仿宋" w:hAnsi="仿宋" w:eastAsia="仿宋" w:cs="宋体"/>
                <w:lang w:eastAsia="zh-CN"/>
              </w:rPr>
              <w:t>。</w:t>
            </w:r>
          </w:p>
          <w:p>
            <w:pPr>
              <w:adjustRightInd w:val="0"/>
              <w:snapToGrid w:val="0"/>
              <w:spacing w:before="240" w:after="240" w:line="300" w:lineRule="auto"/>
              <w:rPr>
                <w:rFonts w:hint="eastAsia" w:ascii="仿宋" w:hAnsi="仿宋" w:eastAsia="仿宋" w:cs="宋体"/>
                <w:lang w:eastAsia="zh-CN"/>
              </w:rPr>
            </w:pPr>
            <w:r>
              <w:rPr>
                <w:rFonts w:hint="eastAsia" w:ascii="仿宋" w:hAnsi="仿宋" w:eastAsia="仿宋" w:cs="宋体"/>
                <w:lang w:eastAsia="zh-CN"/>
              </w:rPr>
              <w:t>3.投标文件中须同时提供项目组有效的人员证书及投标人为其近期缴纳的养老保险原件复印件，否则不得分。</w:t>
            </w:r>
          </w:p>
        </w:tc>
        <w:tc>
          <w:tcPr>
            <w:tcW w:w="464" w:type="pct"/>
            <w:tcBorders>
              <w:top w:val="single" w:color="auto" w:sz="4" w:space="0"/>
              <w:left w:val="nil"/>
              <w:right w:val="single" w:color="auto" w:sz="4" w:space="0"/>
            </w:tcBorders>
            <w:vAlign w:val="center"/>
          </w:tcPr>
          <w:p>
            <w:pPr>
              <w:adjustRightInd w:val="0"/>
              <w:snapToGrid w:val="0"/>
              <w:spacing w:before="240" w:after="240" w:line="300" w:lineRule="auto"/>
              <w:jc w:val="center"/>
              <w:rPr>
                <w:rFonts w:hint="eastAsia" w:ascii="仿宋" w:hAnsi="仿宋" w:eastAsia="仿宋" w:cs="宋体"/>
              </w:rPr>
            </w:pPr>
            <w:r>
              <w:rPr>
                <w:rFonts w:hint="eastAsia" w:ascii="仿宋" w:hAnsi="仿宋" w:eastAsia="仿宋" w:cs="宋体"/>
                <w:color w:val="auto"/>
                <w:lang w:val="en-US" w:eastAsia="zh-CN"/>
              </w:rPr>
              <w:t>12</w:t>
            </w:r>
            <w:r>
              <w:rPr>
                <w:rFonts w:hint="eastAsia" w:ascii="仿宋" w:hAnsi="仿宋" w:eastAsia="仿宋" w:cs="宋体"/>
                <w:color w:va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pct"/>
            <w:vMerge w:val="restart"/>
            <w:tcBorders>
              <w:top w:val="nil"/>
              <w:left w:val="single" w:color="auto" w:sz="4" w:space="0"/>
              <w:bottom w:val="single" w:color="auto" w:sz="4" w:space="0"/>
              <w:right w:val="single" w:color="auto" w:sz="4" w:space="0"/>
            </w:tcBorders>
            <w:vAlign w:val="center"/>
          </w:tcPr>
          <w:p>
            <w:pPr>
              <w:adjustRightInd w:val="0"/>
              <w:snapToGrid w:val="0"/>
              <w:spacing w:before="240" w:after="240" w:line="300" w:lineRule="auto"/>
              <w:rPr>
                <w:rFonts w:hint="eastAsia" w:ascii="仿宋" w:hAnsi="仿宋" w:eastAsia="仿宋" w:cs="宋体"/>
              </w:rPr>
            </w:pPr>
            <w:r>
              <w:rPr>
                <w:rFonts w:hint="eastAsia" w:ascii="仿宋" w:hAnsi="仿宋" w:eastAsia="仿宋" w:cs="宋体"/>
              </w:rPr>
              <w:t>综合实力</w:t>
            </w:r>
          </w:p>
          <w:p>
            <w:pPr>
              <w:adjustRightInd w:val="0"/>
              <w:snapToGrid w:val="0"/>
              <w:spacing w:before="240" w:after="240" w:line="300" w:lineRule="auto"/>
              <w:rPr>
                <w:rFonts w:hint="eastAsia" w:ascii="仿宋" w:hAnsi="仿宋" w:eastAsia="仿宋" w:cs="宋体"/>
              </w:rPr>
            </w:pPr>
            <w:r>
              <w:rPr>
                <w:rFonts w:hint="eastAsia" w:ascii="仿宋" w:hAnsi="仿宋" w:eastAsia="仿宋" w:cs="宋体"/>
              </w:rPr>
              <w:t>（</w:t>
            </w:r>
            <w:r>
              <w:rPr>
                <w:rFonts w:hint="eastAsia" w:ascii="仿宋" w:hAnsi="仿宋" w:eastAsia="仿宋" w:cs="宋体"/>
                <w:lang w:val="en-US" w:eastAsia="zh-CN"/>
              </w:rPr>
              <w:t>22</w:t>
            </w:r>
            <w:r>
              <w:rPr>
                <w:rFonts w:hint="eastAsia" w:ascii="仿宋" w:hAnsi="仿宋" w:eastAsia="仿宋" w:cs="宋体"/>
              </w:rPr>
              <w:t>）</w:t>
            </w:r>
          </w:p>
        </w:tc>
        <w:tc>
          <w:tcPr>
            <w:tcW w:w="612" w:type="pct"/>
            <w:tcBorders>
              <w:top w:val="single" w:color="auto" w:sz="4" w:space="0"/>
              <w:left w:val="nil"/>
              <w:bottom w:val="single" w:color="auto" w:sz="4" w:space="0"/>
              <w:right w:val="single" w:color="auto" w:sz="4" w:space="0"/>
            </w:tcBorders>
            <w:vAlign w:val="center"/>
          </w:tcPr>
          <w:p>
            <w:pPr>
              <w:adjustRightInd w:val="0"/>
              <w:snapToGrid w:val="0"/>
              <w:spacing w:before="240" w:after="240" w:line="300" w:lineRule="auto"/>
              <w:jc w:val="center"/>
              <w:rPr>
                <w:rFonts w:hint="eastAsia" w:ascii="仿宋" w:hAnsi="仿宋" w:eastAsia="仿宋" w:cs="宋体"/>
              </w:rPr>
            </w:pPr>
            <w:r>
              <w:rPr>
                <w:rFonts w:hint="eastAsia" w:ascii="仿宋" w:hAnsi="仿宋" w:eastAsia="仿宋" w:cs="宋体"/>
              </w:rPr>
              <w:t>供应商业绩</w:t>
            </w:r>
          </w:p>
        </w:tc>
        <w:tc>
          <w:tcPr>
            <w:tcW w:w="3233" w:type="pct"/>
            <w:tcBorders>
              <w:top w:val="single" w:color="auto" w:sz="4" w:space="0"/>
              <w:left w:val="nil"/>
              <w:bottom w:val="single" w:color="auto" w:sz="4" w:space="0"/>
              <w:right w:val="single" w:color="auto" w:sz="4" w:space="0"/>
            </w:tcBorders>
            <w:vAlign w:val="center"/>
          </w:tcPr>
          <w:p>
            <w:pPr>
              <w:pStyle w:val="23"/>
              <w:adjustRightInd w:val="0"/>
              <w:snapToGrid w:val="0"/>
              <w:spacing w:before="240" w:beforeAutospacing="0" w:after="240" w:line="300" w:lineRule="auto"/>
              <w:ind w:firstLine="0" w:firstLineChars="0"/>
              <w:jc w:val="both"/>
              <w:rPr>
                <w:rFonts w:hint="eastAsia" w:ascii="仿宋" w:hAnsi="仿宋" w:eastAsia="仿宋" w:cs="宋体"/>
                <w:bCs/>
                <w:szCs w:val="24"/>
                <w:lang w:val="en-US" w:eastAsia="zh-CN"/>
              </w:rPr>
            </w:pPr>
            <w:r>
              <w:rPr>
                <w:rFonts w:hint="eastAsia" w:ascii="仿宋" w:hAnsi="仿宋" w:eastAsia="仿宋" w:cs="宋体"/>
                <w:bCs/>
                <w:szCs w:val="24"/>
                <w:lang w:val="en-US" w:eastAsia="zh-CN"/>
              </w:rPr>
              <w:t>1、供应商自20</w:t>
            </w:r>
            <w:r>
              <w:rPr>
                <w:rFonts w:ascii="仿宋" w:hAnsi="仿宋" w:eastAsia="仿宋" w:cs="宋体"/>
                <w:bCs/>
                <w:szCs w:val="24"/>
                <w:lang w:val="en-US" w:eastAsia="zh-CN"/>
              </w:rPr>
              <w:t>2</w:t>
            </w:r>
            <w:r>
              <w:rPr>
                <w:rFonts w:hint="eastAsia" w:ascii="仿宋" w:hAnsi="仿宋" w:eastAsia="仿宋" w:cs="宋体"/>
                <w:bCs/>
                <w:szCs w:val="24"/>
                <w:lang w:val="en-US" w:eastAsia="zh-CN"/>
              </w:rPr>
              <w:t>1年1月1日（以合同签订时间为准）至今，承担医院类似项目，每提供1个业绩合同得</w:t>
            </w:r>
            <w:r>
              <w:rPr>
                <w:rFonts w:hint="eastAsia" w:ascii="仿宋" w:hAnsi="仿宋" w:eastAsia="仿宋" w:cs="宋体"/>
                <w:bCs/>
                <w:color w:val="FF0000"/>
                <w:szCs w:val="24"/>
                <w:lang w:val="en-US" w:eastAsia="zh-CN"/>
              </w:rPr>
              <w:t>1分</w:t>
            </w:r>
            <w:r>
              <w:rPr>
                <w:rFonts w:hint="eastAsia" w:ascii="仿宋" w:hAnsi="仿宋" w:eastAsia="仿宋" w:cs="宋体"/>
                <w:bCs/>
                <w:szCs w:val="24"/>
                <w:lang w:val="en-US" w:eastAsia="zh-CN"/>
              </w:rPr>
              <w:t>，最多得6分。（需提供合同首页、合同金额所在页、签字盖章页等复印件及合同金额30%以上供货发票或者收款证明加盖投标人公章）</w:t>
            </w:r>
          </w:p>
          <w:p>
            <w:pPr>
              <w:pStyle w:val="23"/>
              <w:adjustRightInd w:val="0"/>
              <w:snapToGrid w:val="0"/>
              <w:spacing w:before="240" w:beforeAutospacing="0" w:after="240" w:line="300" w:lineRule="auto"/>
              <w:ind w:firstLine="0" w:firstLineChars="0"/>
              <w:jc w:val="both"/>
              <w:rPr>
                <w:rFonts w:hint="eastAsia" w:ascii="仿宋" w:hAnsi="仿宋" w:eastAsia="仿宋" w:cs="宋体"/>
                <w:b/>
                <w:bCs/>
                <w:szCs w:val="24"/>
              </w:rPr>
            </w:pPr>
            <w:r>
              <w:rPr>
                <w:rFonts w:hint="eastAsia" w:ascii="仿宋" w:hAnsi="仿宋" w:eastAsia="仿宋" w:cs="宋体"/>
                <w:bCs/>
                <w:szCs w:val="24"/>
                <w:lang w:val="en-US" w:eastAsia="zh-CN"/>
              </w:rPr>
              <w:t>2、投标人2021年1月1日以来承担的</w:t>
            </w:r>
            <w:r>
              <w:rPr>
                <w:rFonts w:hint="eastAsia" w:ascii="仿宋" w:hAnsi="仿宋" w:eastAsia="仿宋" w:cs="宋体"/>
                <w:bCs/>
                <w:color w:val="FF0000"/>
                <w:szCs w:val="24"/>
                <w:lang w:val="en-US" w:eastAsia="zh-CN"/>
              </w:rPr>
              <w:t>类似</w:t>
            </w:r>
            <w:r>
              <w:rPr>
                <w:rFonts w:hint="eastAsia" w:ascii="仿宋" w:hAnsi="仿宋" w:eastAsia="仿宋" w:cs="宋体"/>
                <w:bCs/>
                <w:szCs w:val="24"/>
                <w:lang w:val="en-US" w:eastAsia="zh-CN"/>
              </w:rPr>
              <w:t>污水处理运营项目获得考核成绩优秀证明的（经单位或者主管部门盖章），有一项得2分，最高得6分（需提供相关合同复印件，否则不得分。）</w:t>
            </w:r>
          </w:p>
        </w:tc>
        <w:tc>
          <w:tcPr>
            <w:tcW w:w="464" w:type="pct"/>
            <w:tcBorders>
              <w:top w:val="single" w:color="auto" w:sz="4" w:space="0"/>
              <w:left w:val="nil"/>
              <w:bottom w:val="single" w:color="auto" w:sz="4" w:space="0"/>
              <w:right w:val="single" w:color="auto" w:sz="4" w:space="0"/>
            </w:tcBorders>
            <w:vAlign w:val="center"/>
          </w:tcPr>
          <w:p>
            <w:pPr>
              <w:adjustRightInd w:val="0"/>
              <w:snapToGrid w:val="0"/>
              <w:spacing w:before="240" w:after="240" w:line="300" w:lineRule="auto"/>
              <w:jc w:val="center"/>
              <w:rPr>
                <w:rFonts w:hint="eastAsia" w:ascii="仿宋" w:hAnsi="仿宋" w:eastAsia="仿宋" w:cs="宋体"/>
              </w:rPr>
            </w:pPr>
            <w:r>
              <w:rPr>
                <w:rFonts w:hint="eastAsia" w:ascii="仿宋" w:hAnsi="仿宋" w:eastAsia="仿宋" w:cs="宋体"/>
                <w:lang w:val="en-US" w:eastAsia="zh-CN"/>
              </w:rPr>
              <w:t>12</w:t>
            </w:r>
            <w:r>
              <w:rPr>
                <w:rFonts w:hint="eastAsia" w:ascii="仿宋" w:hAnsi="仿宋" w:eastAsia="仿宋"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0" w:type="auto"/>
            <w:vMerge w:val="continue"/>
            <w:tcBorders>
              <w:top w:val="nil"/>
              <w:left w:val="single" w:color="auto" w:sz="4" w:space="0"/>
              <w:bottom w:val="single" w:color="auto" w:sz="4" w:space="0"/>
              <w:right w:val="single" w:color="auto" w:sz="4" w:space="0"/>
            </w:tcBorders>
            <w:vAlign w:val="center"/>
          </w:tcPr>
          <w:p>
            <w:pPr>
              <w:adjustRightInd w:val="0"/>
              <w:snapToGrid w:val="0"/>
              <w:spacing w:before="240" w:after="240" w:line="300" w:lineRule="auto"/>
              <w:rPr>
                <w:rFonts w:hint="eastAsia" w:ascii="仿宋" w:hAnsi="仿宋" w:eastAsia="仿宋" w:cs="宋体"/>
              </w:rPr>
            </w:pPr>
          </w:p>
        </w:tc>
        <w:tc>
          <w:tcPr>
            <w:tcW w:w="612" w:type="pct"/>
            <w:tcBorders>
              <w:top w:val="single" w:color="auto" w:sz="4" w:space="0"/>
              <w:left w:val="nil"/>
              <w:right w:val="single" w:color="auto" w:sz="4" w:space="0"/>
            </w:tcBorders>
            <w:vAlign w:val="center"/>
          </w:tcPr>
          <w:p>
            <w:pPr>
              <w:adjustRightInd w:val="0"/>
              <w:snapToGrid w:val="0"/>
              <w:spacing w:before="240" w:after="240" w:line="300" w:lineRule="auto"/>
              <w:jc w:val="center"/>
              <w:rPr>
                <w:rFonts w:hint="eastAsia" w:ascii="仿宋" w:hAnsi="仿宋" w:eastAsia="仿宋" w:cs="宋体"/>
              </w:rPr>
            </w:pPr>
            <w:r>
              <w:rPr>
                <w:rFonts w:hint="eastAsia" w:ascii="仿宋" w:hAnsi="仿宋" w:eastAsia="仿宋" w:cs="宋体"/>
              </w:rPr>
              <w:t>供应商荣誉和实力</w:t>
            </w:r>
          </w:p>
        </w:tc>
        <w:tc>
          <w:tcPr>
            <w:tcW w:w="3233" w:type="pct"/>
            <w:tcBorders>
              <w:top w:val="single" w:color="auto" w:sz="4" w:space="0"/>
              <w:left w:val="nil"/>
              <w:bottom w:val="single" w:color="auto" w:sz="4" w:space="0"/>
              <w:right w:val="single" w:color="auto" w:sz="4" w:space="0"/>
            </w:tcBorders>
            <w:vAlign w:val="center"/>
          </w:tcPr>
          <w:p>
            <w:pPr>
              <w:pStyle w:val="15"/>
              <w:spacing w:before="240" w:after="240"/>
              <w:rPr>
                <w:rFonts w:hint="eastAsia" w:ascii="仿宋" w:hAnsi="仿宋" w:eastAsia="仿宋" w:cs="宋体"/>
                <w:szCs w:val="24"/>
                <w:lang w:eastAsia="zh-CN"/>
              </w:rPr>
            </w:pPr>
            <w:r>
              <w:rPr>
                <w:rFonts w:hint="eastAsia" w:ascii="仿宋" w:hAnsi="仿宋" w:eastAsia="仿宋" w:cs="宋体"/>
                <w:szCs w:val="24"/>
                <w:lang w:val="en-US" w:eastAsia="zh-CN"/>
              </w:rPr>
              <w:t>1、投标人至2021年以来，获得过政府部门颁发的国家级荣誉的一份得3分；省级荣誉的一份得2分，市区级荣誉的一份得1分；</w:t>
            </w:r>
            <w:r>
              <w:rPr>
                <w:rFonts w:hint="eastAsia" w:ascii="仿宋" w:hAnsi="仿宋" w:eastAsia="仿宋" w:cs="宋体"/>
                <w:szCs w:val="24"/>
                <w:lang w:eastAsia="zh-CN"/>
              </w:rPr>
              <w:t>（最多得6分。须提供证书或发文文件的原件扫描件备查，未提供不得分）</w:t>
            </w:r>
          </w:p>
          <w:p>
            <w:pPr>
              <w:pStyle w:val="15"/>
              <w:spacing w:before="240" w:after="240"/>
              <w:rPr>
                <w:rFonts w:hint="eastAsia" w:ascii="仿宋" w:hAnsi="仿宋" w:eastAsia="仿宋" w:cs="宋体"/>
                <w:szCs w:val="24"/>
                <w:lang w:val="en-US" w:eastAsia="zh-CN"/>
              </w:rPr>
            </w:pPr>
            <w:r>
              <w:rPr>
                <w:rFonts w:hint="eastAsia" w:ascii="仿宋" w:hAnsi="仿宋" w:eastAsia="仿宋" w:cs="宋体"/>
                <w:szCs w:val="24"/>
                <w:lang w:val="en-US" w:eastAsia="zh-CN"/>
              </w:rPr>
              <w:t>2</w:t>
            </w:r>
            <w:r>
              <w:rPr>
                <w:rFonts w:ascii="仿宋" w:hAnsi="仿宋" w:eastAsia="仿宋" w:cs="宋体"/>
                <w:szCs w:val="24"/>
                <w:lang w:val="en-US" w:eastAsia="zh-CN"/>
              </w:rPr>
              <w:t>.</w:t>
            </w:r>
            <w:r>
              <w:rPr>
                <w:rFonts w:hint="eastAsia" w:ascii="仿宋" w:hAnsi="仿宋" w:eastAsia="仿宋" w:cs="宋体"/>
                <w:szCs w:val="24"/>
                <w:lang w:val="en-US" w:eastAsia="zh-CN"/>
              </w:rPr>
              <w:t>投标人具有有效期内的质量管理体系证书、环境管理体系证书、职业健康安全管理体系证书、诚信经营示范单位证书的，每有一类得</w:t>
            </w:r>
            <w:r>
              <w:rPr>
                <w:rFonts w:ascii="仿宋" w:hAnsi="仿宋" w:eastAsia="仿宋" w:cs="宋体"/>
                <w:szCs w:val="24"/>
                <w:lang w:val="en-US" w:eastAsia="zh-CN"/>
              </w:rPr>
              <w:t>1</w:t>
            </w:r>
            <w:r>
              <w:rPr>
                <w:rFonts w:hint="eastAsia" w:ascii="仿宋" w:hAnsi="仿宋" w:eastAsia="仿宋" w:cs="宋体"/>
                <w:szCs w:val="24"/>
                <w:lang w:val="en-US" w:eastAsia="zh-CN"/>
              </w:rPr>
              <w:t>分，本项最高得</w:t>
            </w:r>
            <w:r>
              <w:rPr>
                <w:rFonts w:ascii="仿宋" w:hAnsi="仿宋" w:eastAsia="仿宋" w:cs="宋体"/>
                <w:szCs w:val="24"/>
                <w:lang w:val="en-US" w:eastAsia="zh-CN"/>
              </w:rPr>
              <w:t>4</w:t>
            </w:r>
            <w:r>
              <w:rPr>
                <w:rFonts w:hint="eastAsia" w:ascii="仿宋" w:hAnsi="仿宋" w:eastAsia="仿宋" w:cs="宋体"/>
                <w:szCs w:val="24"/>
                <w:lang w:val="en-US" w:eastAsia="zh-CN"/>
              </w:rPr>
              <w:t>分。</w:t>
            </w:r>
            <w:bookmarkStart w:id="0" w:name="_GoBack"/>
            <w:bookmarkEnd w:id="0"/>
          </w:p>
          <w:p>
            <w:pPr>
              <w:pStyle w:val="15"/>
              <w:spacing w:before="240" w:after="240"/>
              <w:rPr>
                <w:rFonts w:hint="eastAsia" w:ascii="仿宋" w:hAnsi="仿宋" w:eastAsia="仿宋" w:cs="宋体"/>
                <w:szCs w:val="24"/>
                <w:lang w:eastAsia="zh-CN"/>
              </w:rPr>
            </w:pPr>
            <w:r>
              <w:rPr>
                <w:rFonts w:hint="eastAsia" w:ascii="仿宋" w:hAnsi="仿宋" w:eastAsia="仿宋" w:cs="宋体"/>
                <w:szCs w:val="24"/>
                <w:lang w:val="en-US" w:eastAsia="zh-CN"/>
              </w:rPr>
              <w:t>（投标文件中须提供有效的证书原件复印件，否则不得分。）</w:t>
            </w:r>
          </w:p>
        </w:tc>
        <w:tc>
          <w:tcPr>
            <w:tcW w:w="464" w:type="pct"/>
            <w:tcBorders>
              <w:top w:val="single" w:color="auto" w:sz="4" w:space="0"/>
              <w:left w:val="nil"/>
              <w:right w:val="single" w:color="auto" w:sz="4" w:space="0"/>
            </w:tcBorders>
            <w:vAlign w:val="center"/>
          </w:tcPr>
          <w:p>
            <w:pPr>
              <w:adjustRightInd w:val="0"/>
              <w:snapToGrid w:val="0"/>
              <w:spacing w:before="240" w:after="240" w:line="300" w:lineRule="auto"/>
              <w:jc w:val="center"/>
              <w:rPr>
                <w:rFonts w:hint="eastAsia" w:ascii="仿宋" w:hAnsi="仿宋" w:eastAsia="仿宋" w:cs="宋体"/>
              </w:rPr>
            </w:pPr>
            <w:r>
              <w:rPr>
                <w:rFonts w:hint="eastAsia" w:ascii="仿宋" w:hAnsi="仿宋" w:eastAsia="仿宋" w:cs="宋体"/>
                <w:color w:val="C00000"/>
                <w:lang w:val="en-US" w:eastAsia="zh-CN"/>
              </w:rPr>
              <w:t>10</w:t>
            </w:r>
            <w:r>
              <w:rPr>
                <w:rFonts w:hint="eastAsia" w:ascii="仿宋" w:hAnsi="仿宋" w:eastAsia="仿宋" w:cs="宋体"/>
              </w:rPr>
              <w:t>分</w:t>
            </w:r>
          </w:p>
        </w:tc>
      </w:tr>
    </w:tbl>
    <w:p>
      <w:pPr>
        <w:pStyle w:val="5"/>
        <w:rPr>
          <w:rFonts w:hint="eastAsia"/>
          <w:lang w:val="en-US" w:eastAsia="zh-CN"/>
        </w:rPr>
      </w:pPr>
    </w:p>
    <w:sectPr>
      <w:pgSz w:w="12240" w:h="15840"/>
      <w:pgMar w:top="1440" w:right="168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华文中宋;宋体">
    <w:altName w:val="宋体"/>
    <w:panose1 w:val="00000000000000000000"/>
    <w:charset w:val="7A"/>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CE0D1F"/>
    <w:multiLevelType w:val="singleLevel"/>
    <w:tmpl w:val="ABCE0D1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000000"/>
    <w:rsid w:val="00603A46"/>
    <w:rsid w:val="00F2404D"/>
    <w:rsid w:val="019E53DD"/>
    <w:rsid w:val="01F114A6"/>
    <w:rsid w:val="023615AF"/>
    <w:rsid w:val="026F6986"/>
    <w:rsid w:val="02D47275"/>
    <w:rsid w:val="03127926"/>
    <w:rsid w:val="0313544C"/>
    <w:rsid w:val="0381685A"/>
    <w:rsid w:val="03FC4A2B"/>
    <w:rsid w:val="04115E30"/>
    <w:rsid w:val="04E945CF"/>
    <w:rsid w:val="05B7132B"/>
    <w:rsid w:val="07A11524"/>
    <w:rsid w:val="086E55FF"/>
    <w:rsid w:val="09AB533D"/>
    <w:rsid w:val="09F558AC"/>
    <w:rsid w:val="0A0855DF"/>
    <w:rsid w:val="0B542FDE"/>
    <w:rsid w:val="0B560FA3"/>
    <w:rsid w:val="0C4848AC"/>
    <w:rsid w:val="0C9E047D"/>
    <w:rsid w:val="0ECD7647"/>
    <w:rsid w:val="0FDD306A"/>
    <w:rsid w:val="11537A88"/>
    <w:rsid w:val="11D230A2"/>
    <w:rsid w:val="125C296C"/>
    <w:rsid w:val="14726477"/>
    <w:rsid w:val="148F7029"/>
    <w:rsid w:val="1585667E"/>
    <w:rsid w:val="15AB60E4"/>
    <w:rsid w:val="16CA07EC"/>
    <w:rsid w:val="16ED0036"/>
    <w:rsid w:val="18381785"/>
    <w:rsid w:val="195720DF"/>
    <w:rsid w:val="1A8E1B30"/>
    <w:rsid w:val="1A902F10"/>
    <w:rsid w:val="1B097409"/>
    <w:rsid w:val="1BF40C6F"/>
    <w:rsid w:val="1BFE5719"/>
    <w:rsid w:val="1C142509"/>
    <w:rsid w:val="1D036806"/>
    <w:rsid w:val="1D992CC6"/>
    <w:rsid w:val="1DB7314C"/>
    <w:rsid w:val="1E9B0CC0"/>
    <w:rsid w:val="1F470500"/>
    <w:rsid w:val="1F5F584A"/>
    <w:rsid w:val="20476A09"/>
    <w:rsid w:val="211F3762"/>
    <w:rsid w:val="212B632B"/>
    <w:rsid w:val="21BC3427"/>
    <w:rsid w:val="21ED538F"/>
    <w:rsid w:val="22CC1448"/>
    <w:rsid w:val="23130E25"/>
    <w:rsid w:val="23290648"/>
    <w:rsid w:val="23297616"/>
    <w:rsid w:val="254C4AC2"/>
    <w:rsid w:val="25990149"/>
    <w:rsid w:val="27392E24"/>
    <w:rsid w:val="27E15995"/>
    <w:rsid w:val="280B656E"/>
    <w:rsid w:val="28305FD5"/>
    <w:rsid w:val="28433F5A"/>
    <w:rsid w:val="28B27332"/>
    <w:rsid w:val="28C01A4F"/>
    <w:rsid w:val="29B175E9"/>
    <w:rsid w:val="2AC507FE"/>
    <w:rsid w:val="2C321EF9"/>
    <w:rsid w:val="2C624BCB"/>
    <w:rsid w:val="2CBA67B5"/>
    <w:rsid w:val="2CC338BC"/>
    <w:rsid w:val="2E3F51C4"/>
    <w:rsid w:val="2E89643F"/>
    <w:rsid w:val="2F3E7229"/>
    <w:rsid w:val="2F464330"/>
    <w:rsid w:val="2F6A6FF5"/>
    <w:rsid w:val="300631C6"/>
    <w:rsid w:val="30A9726C"/>
    <w:rsid w:val="30B04157"/>
    <w:rsid w:val="30C05066"/>
    <w:rsid w:val="30D51E0F"/>
    <w:rsid w:val="31C0486E"/>
    <w:rsid w:val="31E93542"/>
    <w:rsid w:val="328A09D8"/>
    <w:rsid w:val="32DC14B0"/>
    <w:rsid w:val="336254B1"/>
    <w:rsid w:val="33A855B9"/>
    <w:rsid w:val="33B26438"/>
    <w:rsid w:val="347E631A"/>
    <w:rsid w:val="351C1918"/>
    <w:rsid w:val="35363B2B"/>
    <w:rsid w:val="355157DD"/>
    <w:rsid w:val="365D08DD"/>
    <w:rsid w:val="36A22655"/>
    <w:rsid w:val="370E7BF9"/>
    <w:rsid w:val="37452EE6"/>
    <w:rsid w:val="37B71F14"/>
    <w:rsid w:val="37DA6B21"/>
    <w:rsid w:val="37DC1573"/>
    <w:rsid w:val="3836588A"/>
    <w:rsid w:val="38B13162"/>
    <w:rsid w:val="38B14F10"/>
    <w:rsid w:val="38D155B2"/>
    <w:rsid w:val="39311BAD"/>
    <w:rsid w:val="39553AED"/>
    <w:rsid w:val="39D57DFB"/>
    <w:rsid w:val="3CE53865"/>
    <w:rsid w:val="3CE753A4"/>
    <w:rsid w:val="3D7E4729"/>
    <w:rsid w:val="3E5C147A"/>
    <w:rsid w:val="3E990920"/>
    <w:rsid w:val="3EDF3E59"/>
    <w:rsid w:val="3F5D752E"/>
    <w:rsid w:val="3F636838"/>
    <w:rsid w:val="406B3BF6"/>
    <w:rsid w:val="4183706D"/>
    <w:rsid w:val="421A7ECF"/>
    <w:rsid w:val="43623086"/>
    <w:rsid w:val="44240C8C"/>
    <w:rsid w:val="442F7354"/>
    <w:rsid w:val="44560DFC"/>
    <w:rsid w:val="45611A6C"/>
    <w:rsid w:val="459E05CA"/>
    <w:rsid w:val="468974CC"/>
    <w:rsid w:val="46BD7176"/>
    <w:rsid w:val="47DC529C"/>
    <w:rsid w:val="47EA7AF7"/>
    <w:rsid w:val="48917549"/>
    <w:rsid w:val="48DA400F"/>
    <w:rsid w:val="48EC3D42"/>
    <w:rsid w:val="48FC21D7"/>
    <w:rsid w:val="49483D67"/>
    <w:rsid w:val="49C03205"/>
    <w:rsid w:val="4A652DF4"/>
    <w:rsid w:val="4B0435C5"/>
    <w:rsid w:val="4B44381C"/>
    <w:rsid w:val="4BC52D55"/>
    <w:rsid w:val="4BE807F1"/>
    <w:rsid w:val="4BF2341E"/>
    <w:rsid w:val="4D0E7075"/>
    <w:rsid w:val="4D3006A2"/>
    <w:rsid w:val="4DBA61BD"/>
    <w:rsid w:val="4DE44FE8"/>
    <w:rsid w:val="4E41243B"/>
    <w:rsid w:val="4F145B00"/>
    <w:rsid w:val="50F43794"/>
    <w:rsid w:val="526A5D8C"/>
    <w:rsid w:val="52F757BE"/>
    <w:rsid w:val="532F73AB"/>
    <w:rsid w:val="54091C4C"/>
    <w:rsid w:val="54BA0218"/>
    <w:rsid w:val="55CE6CAA"/>
    <w:rsid w:val="55E02539"/>
    <w:rsid w:val="55F707DF"/>
    <w:rsid w:val="560D5F76"/>
    <w:rsid w:val="56277DBE"/>
    <w:rsid w:val="564451BE"/>
    <w:rsid w:val="56BD76A4"/>
    <w:rsid w:val="571B5F1F"/>
    <w:rsid w:val="57EA3B43"/>
    <w:rsid w:val="58136BF6"/>
    <w:rsid w:val="58BE6C60"/>
    <w:rsid w:val="58D04AE7"/>
    <w:rsid w:val="59967ADE"/>
    <w:rsid w:val="59BD150F"/>
    <w:rsid w:val="59C02DAD"/>
    <w:rsid w:val="5A0E3B19"/>
    <w:rsid w:val="5AAD1584"/>
    <w:rsid w:val="5B75038D"/>
    <w:rsid w:val="5B995664"/>
    <w:rsid w:val="5BCA7FDA"/>
    <w:rsid w:val="5DAB687E"/>
    <w:rsid w:val="5DAF67CF"/>
    <w:rsid w:val="5F0A212D"/>
    <w:rsid w:val="5FC627A0"/>
    <w:rsid w:val="61BC3E5A"/>
    <w:rsid w:val="63065CD5"/>
    <w:rsid w:val="66430FEE"/>
    <w:rsid w:val="66867795"/>
    <w:rsid w:val="66A202A8"/>
    <w:rsid w:val="66AD6467"/>
    <w:rsid w:val="66D63C10"/>
    <w:rsid w:val="67E4235D"/>
    <w:rsid w:val="680F642E"/>
    <w:rsid w:val="689478DF"/>
    <w:rsid w:val="69F34168"/>
    <w:rsid w:val="6B674B73"/>
    <w:rsid w:val="6BDB7F16"/>
    <w:rsid w:val="6E1B015A"/>
    <w:rsid w:val="6E543E74"/>
    <w:rsid w:val="6E922B12"/>
    <w:rsid w:val="6F305E87"/>
    <w:rsid w:val="6FE5312D"/>
    <w:rsid w:val="7011663B"/>
    <w:rsid w:val="705A140E"/>
    <w:rsid w:val="705F07D2"/>
    <w:rsid w:val="71121CE9"/>
    <w:rsid w:val="716D5171"/>
    <w:rsid w:val="72712A3F"/>
    <w:rsid w:val="72EC791B"/>
    <w:rsid w:val="733012BA"/>
    <w:rsid w:val="73337CF4"/>
    <w:rsid w:val="73C05A2C"/>
    <w:rsid w:val="74051691"/>
    <w:rsid w:val="7487654A"/>
    <w:rsid w:val="74CC7FCC"/>
    <w:rsid w:val="757E5B9F"/>
    <w:rsid w:val="75874327"/>
    <w:rsid w:val="77B5318E"/>
    <w:rsid w:val="780F6F82"/>
    <w:rsid w:val="78570929"/>
    <w:rsid w:val="785C3C25"/>
    <w:rsid w:val="788A0834"/>
    <w:rsid w:val="78AC6806"/>
    <w:rsid w:val="792B6A91"/>
    <w:rsid w:val="79C6156C"/>
    <w:rsid w:val="79F930D1"/>
    <w:rsid w:val="7A8F7F06"/>
    <w:rsid w:val="7B2965AD"/>
    <w:rsid w:val="7B2C3178"/>
    <w:rsid w:val="7C6F72CD"/>
    <w:rsid w:val="7CF95B0B"/>
    <w:rsid w:val="7CFF66F6"/>
    <w:rsid w:val="7D0821F2"/>
    <w:rsid w:val="7D0A7D18"/>
    <w:rsid w:val="7D2A2168"/>
    <w:rsid w:val="7DCC76C3"/>
    <w:rsid w:val="7FEA5BDF"/>
    <w:rsid w:val="7FFD59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beforeLines="100" w:after="0" w:afterLines="100" w:line="288" w:lineRule="atLeast"/>
      <w:jc w:val="left"/>
    </w:pPr>
    <w:rPr>
      <w:rFonts w:ascii="Cambria" w:hAnsi="Cambria" w:eastAsia="Cambria" w:cs="Cambria"/>
      <w:color w:val="000000"/>
      <w:spacing w:val="0"/>
      <w:sz w:val="24"/>
      <w:szCs w:val="24"/>
      <w:u w:val="none"/>
      <w:shd w:val="clear" w:fill="auto"/>
      <w:vertAlign w:val="baseline"/>
      <w:lang w:val="en" w:eastAsia="en" w:bidi="en"/>
    </w:rPr>
  </w:style>
  <w:style w:type="paragraph" w:styleId="2">
    <w:name w:val="heading 1"/>
    <w:basedOn w:val="1"/>
    <w:autoRedefine/>
    <w:qFormat/>
    <w:uiPriority w:val="0"/>
    <w:pPr>
      <w:spacing w:beforeLines="83" w:afterLines="83" w:line="408" w:lineRule="atLeast"/>
      <w:outlineLvl w:val="1"/>
    </w:pPr>
    <w:rPr>
      <w:b/>
      <w:bCs/>
      <w:sz w:val="34"/>
      <w:szCs w:val="34"/>
    </w:rPr>
  </w:style>
  <w:style w:type="paragraph" w:styleId="3">
    <w:name w:val="heading 2"/>
    <w:basedOn w:val="1"/>
    <w:autoRedefine/>
    <w:qFormat/>
    <w:uiPriority w:val="0"/>
    <w:pPr>
      <w:spacing w:line="324" w:lineRule="atLeast"/>
      <w:outlineLvl w:val="2"/>
    </w:pPr>
    <w:rPr>
      <w:b/>
      <w:bCs/>
      <w:sz w:val="27"/>
      <w:szCs w:val="27"/>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0"/>
    <w:rPr>
      <w:rFonts w:ascii="楷体_GB2312" w:hAnsi="Arial" w:eastAsia="楷体_GB2312"/>
      <w:kern w:val="0"/>
      <w:sz w:val="28"/>
      <w:szCs w:val="28"/>
    </w:rPr>
  </w:style>
  <w:style w:type="paragraph" w:styleId="5">
    <w:name w:val="Body Text 2"/>
    <w:basedOn w:val="1"/>
    <w:autoRedefine/>
    <w:qFormat/>
    <w:uiPriority w:val="0"/>
    <w:pPr>
      <w:spacing w:after="120" w:line="480" w:lineRule="auto"/>
    </w:pPr>
  </w:style>
  <w:style w:type="paragraph" w:styleId="6">
    <w:name w:val="Body Text Indent"/>
    <w:basedOn w:val="1"/>
    <w:next w:val="7"/>
    <w:autoRedefine/>
    <w:unhideWhenUsed/>
    <w:qFormat/>
    <w:uiPriority w:val="99"/>
    <w:pPr>
      <w:spacing w:line="400" w:lineRule="exact"/>
      <w:ind w:firstLine="540" w:firstLineChars="225"/>
    </w:pPr>
    <w:rPr>
      <w:sz w:val="24"/>
    </w:rPr>
  </w:style>
  <w:style w:type="paragraph" w:styleId="7">
    <w:name w:val="envelope return"/>
    <w:basedOn w:val="1"/>
    <w:autoRedefine/>
    <w:qFormat/>
    <w:uiPriority w:val="0"/>
    <w:pPr>
      <w:snapToGrid w:val="0"/>
    </w:pPr>
    <w:rPr>
      <w:rFonts w:ascii="Arial" w:hAnsi="Arial"/>
    </w:rPr>
  </w:style>
  <w:style w:type="paragraph" w:styleId="8">
    <w:name w:val="Plain Text"/>
    <w:basedOn w:val="1"/>
    <w:autoRedefine/>
    <w:qFormat/>
    <w:uiPriority w:val="0"/>
    <w:rPr>
      <w:rFonts w:hAnsi="Courier New" w:cs="Times New Roman"/>
      <w:sz w:val="21"/>
      <w:szCs w:val="20"/>
    </w:rPr>
  </w:style>
  <w:style w:type="paragraph" w:styleId="9">
    <w:name w:val="toc 1"/>
    <w:basedOn w:val="1"/>
    <w:next w:val="1"/>
    <w:autoRedefine/>
    <w:unhideWhenUsed/>
    <w:qFormat/>
    <w:uiPriority w:val="39"/>
  </w:style>
  <w:style w:type="paragraph" w:styleId="10">
    <w:name w:val="index 9"/>
    <w:basedOn w:val="1"/>
    <w:next w:val="1"/>
    <w:autoRedefine/>
    <w:qFormat/>
    <w:uiPriority w:val="0"/>
    <w:pPr>
      <w:ind w:left="1600"/>
    </w:pPr>
    <w:rPr>
      <w:rFonts w:ascii="Times New Roman" w:hAnsi="Times New Roman" w:eastAsia="宋体" w:cs="Times New Roman"/>
    </w:rPr>
  </w:style>
  <w:style w:type="paragraph" w:styleId="11">
    <w:name w:val="Normal (Web)"/>
    <w:basedOn w:val="1"/>
    <w:autoRedefine/>
    <w:qFormat/>
    <w:uiPriority w:val="0"/>
    <w:pPr>
      <w:spacing w:beforeAutospacing="1" w:afterAutospacing="1"/>
      <w:jc w:val="left"/>
    </w:pPr>
    <w:rPr>
      <w:rFonts w:cs="Times New Roman"/>
      <w:sz w:val="24"/>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正文1"/>
    <w:basedOn w:val="1"/>
    <w:next w:val="16"/>
    <w:autoRedefine/>
    <w:qFormat/>
    <w:uiPriority w:val="0"/>
    <w:pPr>
      <w:spacing w:line="360" w:lineRule="atLeast"/>
      <w:jc w:val="left"/>
    </w:pPr>
    <w:rPr>
      <w:rFonts w:ascii="宋体" w:hAnsi="Calibri" w:eastAsia="宋体" w:cs="Times New Roman"/>
      <w:sz w:val="24"/>
      <w:szCs w:val="20"/>
    </w:rPr>
  </w:style>
  <w:style w:type="paragraph" w:customStyle="1" w:styleId="16">
    <w:name w:val="正文文本1"/>
    <w:basedOn w:val="15"/>
    <w:next w:val="17"/>
    <w:autoRedefine/>
    <w:qFormat/>
    <w:uiPriority w:val="0"/>
    <w:pPr>
      <w:spacing w:after="120"/>
    </w:pPr>
    <w:rPr>
      <w:lang w:val="en-US" w:eastAsia="en-US"/>
    </w:rPr>
  </w:style>
  <w:style w:type="paragraph" w:customStyle="1" w:styleId="17">
    <w:name w:val="一级条标题"/>
    <w:basedOn w:val="18"/>
    <w:next w:val="19"/>
    <w:autoRedefine/>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18">
    <w:name w:val="章标题"/>
    <w:next w:val="1"/>
    <w:autoRedefine/>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19">
    <w:name w:val="段"/>
    <w:next w:val="1"/>
    <w:autoRedefine/>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paragraph" w:customStyle="1" w:styleId="20">
    <w:name w:val="Para 2"/>
    <w:basedOn w:val="1"/>
    <w:autoRedefine/>
    <w:qFormat/>
    <w:uiPriority w:val="0"/>
    <w:pPr>
      <w:spacing w:beforeLines="100" w:afterLines="100" w:line="288" w:lineRule="atLeast"/>
      <w:jc w:val="left"/>
    </w:pPr>
    <w:rPr>
      <w:b/>
      <w:bCs/>
    </w:rPr>
  </w:style>
  <w:style w:type="character" w:customStyle="1" w:styleId="21">
    <w:name w:val="0 Text"/>
    <w:autoRedefine/>
    <w:qFormat/>
    <w:uiPriority w:val="0"/>
    <w:rPr>
      <w:b/>
      <w:bCs/>
    </w:rPr>
  </w:style>
  <w:style w:type="paragraph" w:customStyle="1" w:styleId="22">
    <w:name w:val="0 Block"/>
    <w:autoRedefine/>
    <w:qFormat/>
    <w:uiPriority w:val="0"/>
    <w:pPr>
      <w:spacing w:beforeLines="100" w:after="0" w:afterLines="100" w:line="288" w:lineRule="atLeast"/>
      <w:jc w:val="left"/>
    </w:pPr>
    <w:rPr>
      <w:rFonts w:asciiTheme="minorHAnsi" w:hAnsiTheme="minorHAnsi" w:eastAsiaTheme="minorEastAsia" w:cstheme="minorBidi"/>
      <w:sz w:val="22"/>
      <w:szCs w:val="22"/>
      <w:lang w:val="en" w:eastAsia="en" w:bidi="en"/>
    </w:rPr>
  </w:style>
  <w:style w:type="paragraph" w:customStyle="1" w:styleId="23">
    <w:name w:val="正文首行缩进 21"/>
    <w:basedOn w:val="6"/>
    <w:autoRedefine/>
    <w:qFormat/>
    <w:uiPriority w:val="0"/>
    <w:pPr>
      <w:spacing w:before="100" w:beforeAutospacing="1" w:line="360" w:lineRule="auto"/>
      <w:ind w:left="0" w:leftChars="0" w:firstLine="420"/>
      <w:jc w:val="left"/>
    </w:pPr>
    <w:rPr>
      <w:rFonts w:ascii="宋体" w:hAnsi="Courier New" w:eastAsia="华文中宋;宋体"/>
      <w:spacing w:val="-4"/>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7674</Words>
  <Characters>8262</Characters>
  <TotalTime>3</TotalTime>
  <ScaleCrop>false</ScaleCrop>
  <LinksUpToDate>false</LinksUpToDate>
  <CharactersWithSpaces>8312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2024-11-13T00:23:00Z</dcterms:created>
  <dc:creator>野丫头</dc:creator>
  <cp:lastModifiedBy>胡永田</cp:lastModifiedBy>
  <cp:lastPrinted>2024-12-12T02:56:00Z</cp:lastPrinted>
  <dcterms:modified xsi:type="dcterms:W3CDTF">2025-01-08T07:48:41Z</dcterms:modified>
  <dc:title>（带重复水印）扬大附院污水处理服务项目合同（二次）YDFYZW-2022023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94D5C85580784B1BB8F85AF13A076DB7_13</vt:lpwstr>
  </property>
  <property fmtid="{D5CDD505-2E9C-101B-9397-08002B2CF9AE}" pid="4" name="KSOTemplateDocerSaveRecord">
    <vt:lpwstr>eyJoZGlkIjoiMjAzNWIxMjExZDFiZjdkNzkyY2YwZTU2YWJhYzY1MTYifQ==</vt:lpwstr>
  </property>
</Properties>
</file>