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801DF">
      <w:pPr>
        <w:pageBreakBefore w:val="0"/>
        <w:kinsoku/>
        <w:overflowPunct/>
        <w:autoSpaceDE/>
        <w:autoSpaceDN/>
        <w:bidi w:val="0"/>
        <w:adjustRightInd w:val="0"/>
        <w:snapToGrid w:val="0"/>
        <w:spacing w:line="360" w:lineRule="auto"/>
        <w:ind w:firstLine="720"/>
        <w:jc w:val="right"/>
        <w:rPr>
          <w:rFonts w:hint="eastAsia" w:ascii="黑体" w:hAnsi="黑体" w:eastAsia="黑体" w:cs="黑体"/>
          <w:b w:val="0"/>
          <w:bCs w:val="0"/>
          <w:color w:val="auto"/>
          <w:sz w:val="36"/>
          <w:highlight w:val="none"/>
        </w:rPr>
      </w:pPr>
    </w:p>
    <w:p w14:paraId="555D3C00">
      <w:pPr>
        <w:pageBreakBefore w:val="0"/>
        <w:kinsoku/>
        <w:overflowPunct/>
        <w:autoSpaceDE/>
        <w:autoSpaceDN/>
        <w:bidi w:val="0"/>
        <w:adjustRightInd w:val="0"/>
        <w:snapToGrid w:val="0"/>
        <w:spacing w:line="360" w:lineRule="auto"/>
        <w:ind w:firstLine="723"/>
        <w:jc w:val="right"/>
        <w:outlineLvl w:val="0"/>
        <w:rPr>
          <w:rFonts w:hint="eastAsia" w:ascii="黑体" w:hAnsi="黑体" w:eastAsia="黑体" w:cs="黑体"/>
          <w:b w:val="0"/>
          <w:bCs w:val="0"/>
          <w:color w:val="auto"/>
          <w:sz w:val="36"/>
          <w:highlight w:val="none"/>
        </w:rPr>
      </w:pPr>
      <w:bookmarkStart w:id="0" w:name="_Toc11835"/>
      <w:bookmarkStart w:id="1" w:name="_Toc16922"/>
      <w:bookmarkStart w:id="2" w:name="_Toc20476"/>
      <w:bookmarkStart w:id="3" w:name="_Toc3250"/>
      <w:r>
        <w:rPr>
          <w:rFonts w:hint="eastAsia" w:ascii="黑体" w:hAnsi="黑体" w:eastAsia="黑体" w:cs="黑体"/>
          <w:b w:val="0"/>
          <w:bCs w:val="0"/>
          <w:color w:val="auto"/>
          <w:sz w:val="36"/>
          <w:highlight w:val="none"/>
          <w:lang w:eastAsia="zh-CN"/>
        </w:rPr>
        <w:t>YDFYSW-20250701</w:t>
      </w:r>
      <w:r>
        <w:rPr>
          <w:rFonts w:hint="eastAsia" w:ascii="黑体" w:hAnsi="黑体" w:eastAsia="黑体" w:cs="黑体"/>
          <w:b w:val="0"/>
          <w:bCs w:val="0"/>
          <w:color w:val="auto"/>
          <w:sz w:val="36"/>
          <w:highlight w:val="none"/>
        </w:rPr>
        <w:t>号</w:t>
      </w:r>
      <w:bookmarkEnd w:id="0"/>
      <w:bookmarkEnd w:id="1"/>
      <w:bookmarkEnd w:id="2"/>
      <w:bookmarkEnd w:id="3"/>
    </w:p>
    <w:p w14:paraId="612DC7B2">
      <w:pPr>
        <w:pageBreakBefore w:val="0"/>
        <w:kinsoku/>
        <w:overflowPunct/>
        <w:autoSpaceDE/>
        <w:autoSpaceDN/>
        <w:bidi w:val="0"/>
        <w:adjustRightInd w:val="0"/>
        <w:snapToGrid w:val="0"/>
        <w:spacing w:line="360" w:lineRule="auto"/>
        <w:ind w:firstLine="720"/>
        <w:jc w:val="center"/>
        <w:rPr>
          <w:rFonts w:hint="eastAsia" w:ascii="黑体" w:hAnsi="黑体" w:eastAsia="黑体" w:cs="黑体"/>
          <w:b w:val="0"/>
          <w:bCs w:val="0"/>
          <w:color w:val="auto"/>
          <w:sz w:val="36"/>
          <w:highlight w:val="none"/>
        </w:rPr>
      </w:pPr>
    </w:p>
    <w:p w14:paraId="4D30ED1A">
      <w:pPr>
        <w:pageBreakBefore w:val="0"/>
        <w:kinsoku/>
        <w:overflowPunct/>
        <w:autoSpaceDE/>
        <w:autoSpaceDN/>
        <w:bidi w:val="0"/>
        <w:adjustRightInd w:val="0"/>
        <w:snapToGrid w:val="0"/>
        <w:spacing w:line="360" w:lineRule="auto"/>
        <w:ind w:firstLine="723"/>
        <w:jc w:val="center"/>
        <w:outlineLvl w:val="0"/>
        <w:rPr>
          <w:rFonts w:hint="eastAsia" w:ascii="黑体" w:hAnsi="黑体" w:eastAsia="黑体" w:cs="黑体"/>
          <w:b w:val="0"/>
          <w:bCs w:val="0"/>
          <w:color w:val="auto"/>
          <w:sz w:val="36"/>
          <w:highlight w:val="none"/>
        </w:rPr>
      </w:pPr>
      <w:bookmarkStart w:id="4" w:name="_Toc25609"/>
      <w:bookmarkStart w:id="5" w:name="_Toc10026"/>
      <w:bookmarkStart w:id="6" w:name="_Toc25872"/>
      <w:bookmarkStart w:id="7" w:name="_Toc25428"/>
      <w:r>
        <w:rPr>
          <w:rFonts w:hint="eastAsia" w:ascii="黑体" w:hAnsi="黑体" w:eastAsia="黑体" w:cs="黑体"/>
          <w:b w:val="0"/>
          <w:bCs w:val="0"/>
          <w:color w:val="auto"/>
          <w:sz w:val="36"/>
          <w:highlight w:val="none"/>
        </w:rPr>
        <w:t>扬州大学附属医院</w:t>
      </w:r>
      <w:bookmarkEnd w:id="4"/>
      <w:bookmarkEnd w:id="5"/>
      <w:bookmarkEnd w:id="6"/>
      <w:bookmarkEnd w:id="7"/>
    </w:p>
    <w:p w14:paraId="05D64D88">
      <w:pPr>
        <w:pageBreakBefore w:val="0"/>
        <w:kinsoku/>
        <w:overflowPunct/>
        <w:autoSpaceDE/>
        <w:autoSpaceDN/>
        <w:bidi w:val="0"/>
        <w:adjustRightInd w:val="0"/>
        <w:snapToGrid w:val="0"/>
        <w:spacing w:line="360" w:lineRule="auto"/>
        <w:ind w:firstLine="723"/>
        <w:jc w:val="center"/>
        <w:rPr>
          <w:rFonts w:hint="eastAsia" w:ascii="黑体" w:hAnsi="黑体" w:eastAsia="黑体" w:cs="黑体"/>
          <w:b w:val="0"/>
          <w:bCs w:val="0"/>
          <w:color w:val="auto"/>
          <w:sz w:val="36"/>
          <w:highlight w:val="none"/>
        </w:rPr>
      </w:pPr>
      <w:r>
        <w:rPr>
          <w:rFonts w:hint="eastAsia" w:ascii="黑体" w:hAnsi="黑体" w:eastAsia="黑体" w:cs="黑体"/>
          <w:b w:val="0"/>
          <w:bCs w:val="0"/>
          <w:color w:val="auto"/>
          <w:sz w:val="36"/>
          <w:highlight w:val="none"/>
        </w:rPr>
        <w:t>智慧医疗（自助）服务体系建设项目</w:t>
      </w:r>
    </w:p>
    <w:p w14:paraId="0E62C6F7">
      <w:pPr>
        <w:pageBreakBefore w:val="0"/>
        <w:kinsoku/>
        <w:overflowPunct/>
        <w:autoSpaceDE/>
        <w:autoSpaceDN/>
        <w:bidi w:val="0"/>
        <w:adjustRightInd w:val="0"/>
        <w:snapToGrid w:val="0"/>
        <w:spacing w:line="360" w:lineRule="auto"/>
        <w:ind w:firstLine="723"/>
        <w:jc w:val="center"/>
        <w:rPr>
          <w:rFonts w:hint="eastAsia" w:ascii="黑体" w:hAnsi="黑体" w:eastAsia="黑体" w:cs="黑体"/>
          <w:b w:val="0"/>
          <w:bCs w:val="0"/>
          <w:color w:val="auto"/>
          <w:sz w:val="36"/>
          <w:highlight w:val="none"/>
        </w:rPr>
      </w:pPr>
      <w:r>
        <w:rPr>
          <w:rFonts w:hint="eastAsia" w:ascii="黑体" w:hAnsi="黑体" w:eastAsia="黑体" w:cs="黑体"/>
          <w:b w:val="0"/>
          <w:bCs w:val="0"/>
          <w:color w:val="auto"/>
          <w:sz w:val="36"/>
          <w:highlight w:val="none"/>
        </w:rPr>
        <w:t>公开招标文件</w:t>
      </w:r>
    </w:p>
    <w:p w14:paraId="3D03821D">
      <w:pPr>
        <w:pageBreakBefore w:val="0"/>
        <w:kinsoku/>
        <w:overflowPunct/>
        <w:autoSpaceDE/>
        <w:autoSpaceDN/>
        <w:bidi w:val="0"/>
        <w:adjustRightInd w:val="0"/>
        <w:snapToGrid w:val="0"/>
        <w:spacing w:line="360" w:lineRule="auto"/>
        <w:jc w:val="center"/>
        <w:rPr>
          <w:rFonts w:hint="eastAsia" w:ascii="黑体" w:hAnsi="黑体" w:eastAsia="黑体" w:cs="黑体"/>
          <w:b w:val="0"/>
          <w:bCs w:val="0"/>
          <w:color w:val="auto"/>
          <w:sz w:val="36"/>
          <w:highlight w:val="none"/>
        </w:rPr>
      </w:pPr>
      <w:r>
        <w:rPr>
          <w:rFonts w:hint="eastAsia" w:ascii="黑体" w:hAnsi="黑体" w:eastAsia="黑体" w:cs="黑体"/>
          <w:b w:val="0"/>
          <w:bCs w:val="0"/>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1BD1A82D">
      <w:pPr>
        <w:pageBreakBefore w:val="0"/>
        <w:kinsoku/>
        <w:overflowPunct/>
        <w:autoSpaceDE/>
        <w:autoSpaceDN/>
        <w:bidi w:val="0"/>
        <w:adjustRightInd w:val="0"/>
        <w:snapToGrid w:val="0"/>
        <w:spacing w:line="360" w:lineRule="auto"/>
        <w:jc w:val="center"/>
        <w:outlineLvl w:val="0"/>
        <w:rPr>
          <w:rFonts w:hint="eastAsia" w:ascii="黑体" w:hAnsi="黑体" w:eastAsia="黑体" w:cs="黑体"/>
          <w:b w:val="0"/>
          <w:bCs w:val="0"/>
          <w:color w:val="auto"/>
          <w:sz w:val="36"/>
          <w:highlight w:val="none"/>
        </w:rPr>
      </w:pPr>
      <w:bookmarkStart w:id="8" w:name="_Toc27314"/>
      <w:bookmarkStart w:id="9" w:name="_Toc16918"/>
      <w:bookmarkStart w:id="10" w:name="_Toc27067"/>
      <w:bookmarkStart w:id="11" w:name="_Toc29277"/>
      <w:bookmarkStart w:id="12" w:name="_Toc18229"/>
      <w:r>
        <w:rPr>
          <w:rFonts w:hint="eastAsia" w:ascii="黑体" w:hAnsi="黑体" w:eastAsia="黑体" w:cs="黑体"/>
          <w:b w:val="0"/>
          <w:bCs w:val="0"/>
          <w:color w:val="auto"/>
          <w:sz w:val="36"/>
          <w:highlight w:val="none"/>
        </w:rPr>
        <w:t>江苏苏维工程管理有限公司</w:t>
      </w:r>
      <w:bookmarkEnd w:id="8"/>
      <w:bookmarkEnd w:id="9"/>
      <w:bookmarkEnd w:id="10"/>
      <w:bookmarkEnd w:id="11"/>
      <w:bookmarkEnd w:id="12"/>
    </w:p>
    <w:p w14:paraId="75F1ACC1">
      <w:pPr>
        <w:pageBreakBefore w:val="0"/>
        <w:kinsoku/>
        <w:overflowPunct/>
        <w:autoSpaceDE/>
        <w:autoSpaceDN/>
        <w:bidi w:val="0"/>
        <w:adjustRightInd w:val="0"/>
        <w:snapToGrid w:val="0"/>
        <w:spacing w:line="360" w:lineRule="auto"/>
        <w:jc w:val="center"/>
        <w:rPr>
          <w:rFonts w:hint="eastAsia" w:ascii="黑体" w:hAnsi="黑体" w:eastAsia="黑体" w:cs="黑体"/>
          <w:b w:val="0"/>
          <w:bCs w:val="0"/>
          <w:color w:val="auto"/>
          <w:sz w:val="36"/>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ascii="黑体" w:hAnsi="黑体" w:eastAsia="黑体" w:cs="黑体"/>
          <w:b w:val="0"/>
          <w:bCs w:val="0"/>
          <w:color w:val="auto"/>
          <w:sz w:val="36"/>
          <w:highlight w:val="none"/>
        </w:rPr>
        <w:t>202</w:t>
      </w:r>
      <w:r>
        <w:rPr>
          <w:rFonts w:hint="eastAsia" w:ascii="黑体" w:hAnsi="黑体" w:eastAsia="黑体" w:cs="黑体"/>
          <w:b w:val="0"/>
          <w:bCs w:val="0"/>
          <w:color w:val="auto"/>
          <w:sz w:val="36"/>
          <w:highlight w:val="none"/>
          <w:lang w:val="en-US" w:eastAsia="zh-CN"/>
        </w:rPr>
        <w:t>5</w:t>
      </w:r>
      <w:r>
        <w:rPr>
          <w:rFonts w:hint="eastAsia" w:ascii="黑体" w:hAnsi="黑体" w:eastAsia="黑体" w:cs="黑体"/>
          <w:b w:val="0"/>
          <w:bCs w:val="0"/>
          <w:color w:val="auto"/>
          <w:sz w:val="36"/>
          <w:highlight w:val="none"/>
        </w:rPr>
        <w:t>年</w:t>
      </w:r>
      <w:r>
        <w:rPr>
          <w:rFonts w:hint="eastAsia" w:ascii="黑体" w:hAnsi="黑体" w:eastAsia="黑体" w:cs="黑体"/>
          <w:b w:val="0"/>
          <w:bCs w:val="0"/>
          <w:color w:val="auto"/>
          <w:sz w:val="36"/>
          <w:highlight w:val="none"/>
          <w:lang w:val="en-US" w:eastAsia="zh-CN"/>
        </w:rPr>
        <w:t>7</w:t>
      </w:r>
      <w:r>
        <w:rPr>
          <w:rFonts w:hint="eastAsia" w:ascii="黑体" w:hAnsi="黑体" w:eastAsia="黑体" w:cs="黑体"/>
          <w:b w:val="0"/>
          <w:bCs w:val="0"/>
          <w:color w:val="auto"/>
          <w:sz w:val="36"/>
          <w:highlight w:val="none"/>
        </w:rPr>
        <w:t>月</w:t>
      </w:r>
      <w:r>
        <w:rPr>
          <w:rFonts w:hint="eastAsia" w:ascii="黑体" w:hAnsi="黑体" w:eastAsia="黑体" w:cs="黑体"/>
          <w:b w:val="0"/>
          <w:bCs w:val="0"/>
          <w:color w:val="auto"/>
          <w:sz w:val="36"/>
          <w:highlight w:val="none"/>
          <w:lang w:val="en-US" w:eastAsia="zh-CN"/>
        </w:rPr>
        <w:t>28</w:t>
      </w:r>
      <w:r>
        <w:rPr>
          <w:rFonts w:hint="eastAsia" w:ascii="黑体" w:hAnsi="黑体" w:eastAsia="黑体" w:cs="黑体"/>
          <w:b w:val="0"/>
          <w:bCs w:val="0"/>
          <w:color w:val="auto"/>
          <w:sz w:val="36"/>
          <w:highlight w:val="none"/>
        </w:rPr>
        <w:t>日</w:t>
      </w:r>
    </w:p>
    <w:p w14:paraId="3AF372D5">
      <w:pPr>
        <w:pageBreakBefore w:val="0"/>
        <w:kinsoku/>
        <w:overflowPunct/>
        <w:autoSpaceDE/>
        <w:autoSpaceDN/>
        <w:bidi w:val="0"/>
        <w:adjustRightInd w:val="0"/>
        <w:snapToGrid w:val="0"/>
        <w:spacing w:line="360" w:lineRule="auto"/>
        <w:ind w:firstLine="562"/>
        <w:jc w:val="center"/>
        <w:rPr>
          <w:rFonts w:hint="eastAsia" w:ascii="黑体" w:hAnsi="黑体" w:eastAsia="黑体" w:cs="黑体"/>
          <w:b/>
          <w:bCs/>
          <w:color w:val="auto"/>
          <w:sz w:val="28"/>
          <w:szCs w:val="28"/>
          <w:highlight w:val="none"/>
        </w:rPr>
      </w:pPr>
      <w:bookmarkStart w:id="13" w:name="_Toc497133090"/>
      <w:r>
        <w:rPr>
          <w:rFonts w:hint="eastAsia" w:ascii="黑体" w:hAnsi="黑体" w:eastAsia="黑体" w:cs="黑体"/>
          <w:b/>
          <w:bCs/>
          <w:color w:val="auto"/>
          <w:sz w:val="28"/>
          <w:szCs w:val="28"/>
          <w:highlight w:val="none"/>
        </w:rPr>
        <w:t>目</w:t>
      </w:r>
      <w:r>
        <w:rPr>
          <w:rFonts w:hint="eastAsia" w:ascii="黑体" w:hAnsi="黑体" w:eastAsia="黑体" w:cs="黑体"/>
          <w:b/>
          <w:bCs/>
          <w:color w:val="auto"/>
          <w:sz w:val="28"/>
          <w:szCs w:val="28"/>
          <w:highlight w:val="none"/>
          <w:lang w:val="en-US" w:eastAsia="zh-CN"/>
        </w:rPr>
        <w:t xml:space="preserve"> </w:t>
      </w:r>
      <w:r>
        <w:rPr>
          <w:rFonts w:hint="eastAsia" w:ascii="黑体" w:hAnsi="黑体" w:eastAsia="黑体" w:cs="黑体"/>
          <w:b/>
          <w:bCs/>
          <w:color w:val="auto"/>
          <w:sz w:val="28"/>
          <w:szCs w:val="28"/>
          <w:highlight w:val="none"/>
        </w:rPr>
        <w:t>录</w:t>
      </w:r>
    </w:p>
    <w:sdt>
      <w:sdtPr>
        <w:rPr>
          <w:rFonts w:hint="eastAsia" w:ascii="黑体" w:hAnsi="黑体" w:eastAsia="黑体" w:cs="黑体"/>
          <w:color w:val="auto"/>
          <w:sz w:val="21"/>
          <w:szCs w:val="22"/>
          <w:highlight w:val="none"/>
          <w:lang w:val="en-US" w:eastAsia="zh-CN" w:bidi="ar-SA"/>
        </w:rPr>
        <w:id w:val="147468692"/>
        <w15:color w:val="DBDBDB"/>
        <w:docPartObj>
          <w:docPartGallery w:val="Table of Contents"/>
          <w:docPartUnique/>
        </w:docPartObj>
      </w:sdtPr>
      <w:sdtEndPr>
        <w:rPr>
          <w:rFonts w:hint="default" w:ascii="Times New Roman" w:hAnsi="Times New Roman" w:eastAsia="宋体" w:cs="Times New Roman"/>
          <w:b/>
          <w:bCs/>
          <w:color w:val="auto"/>
          <w:sz w:val="44"/>
          <w:szCs w:val="44"/>
          <w:highlight w:val="none"/>
          <w:lang w:val="en-US" w:eastAsia="zh-CN" w:bidi="ar-SA"/>
        </w:rPr>
      </w:sdtEndPr>
      <w:sdtContent>
        <w:p w14:paraId="6E741C0D">
          <w:pPr>
            <w:spacing w:before="0" w:beforeLines="0" w:after="0" w:afterLines="0" w:line="240" w:lineRule="auto"/>
            <w:ind w:left="0" w:leftChars="0" w:right="0" w:rightChars="0" w:firstLine="0" w:firstLineChars="0"/>
            <w:jc w:val="center"/>
            <w:rPr>
              <w:rFonts w:hint="eastAsia" w:ascii="黑体" w:hAnsi="黑体" w:eastAsia="黑体" w:cs="黑体"/>
              <w:color w:val="auto"/>
              <w:highlight w:val="none"/>
            </w:rPr>
          </w:pPr>
        </w:p>
        <w:p w14:paraId="14904CA1">
          <w:pPr>
            <w:pStyle w:val="30"/>
            <w:tabs>
              <w:tab w:val="right" w:leader="dot" w:pos="8306"/>
            </w:tabs>
            <w:rPr>
              <w:rFonts w:hint="eastAsia" w:ascii="黑体" w:hAnsi="黑体" w:eastAsia="黑体" w:cs="黑体"/>
              <w:color w:val="auto"/>
              <w:highlight w:val="none"/>
            </w:rPr>
          </w:pPr>
          <w:r>
            <w:rPr>
              <w:rFonts w:hint="eastAsia" w:ascii="黑体" w:hAnsi="黑体" w:eastAsia="黑体" w:cs="黑体"/>
              <w:color w:val="auto"/>
              <w:sz w:val="36"/>
              <w:highlight w:val="none"/>
            </w:rPr>
            <w:fldChar w:fldCharType="begin"/>
          </w:r>
          <w:r>
            <w:rPr>
              <w:rFonts w:hint="eastAsia" w:ascii="黑体" w:hAnsi="黑体" w:eastAsia="黑体" w:cs="黑体"/>
              <w:color w:val="auto"/>
              <w:sz w:val="36"/>
              <w:highlight w:val="none"/>
            </w:rPr>
            <w:instrText xml:space="preserve">TOC \o "1-1" \h \u </w:instrText>
          </w:r>
          <w:r>
            <w:rPr>
              <w:rFonts w:hint="eastAsia" w:ascii="黑体" w:hAnsi="黑体" w:eastAsia="黑体" w:cs="黑体"/>
              <w:color w:val="auto"/>
              <w:sz w:val="36"/>
              <w:highlight w:val="none"/>
            </w:rPr>
            <w:fldChar w:fldCharType="separate"/>
          </w:r>
        </w:p>
        <w:p w14:paraId="4B2A1108">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_Toc31751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第一章 招标公告</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_Toc31751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2</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1726FA7D">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_Toc4581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第二章 投标人须知</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_Toc4581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5</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75DB99A3">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_Toc25204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第三章 合同条款及格式</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_Toc25204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18</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45D65273">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_Toc4048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lang w:val="en-US" w:eastAsia="zh-CN"/>
            </w:rPr>
            <w:t>第四章 项目需求</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_Toc4048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62</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3A5C9781">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_Toc21138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第五章 评标方法及评标标准</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_Toc21138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97</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2A427D55">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_Toc29181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第六章 投标文件格式</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_Toc29181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103</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5E5FB544">
          <w:pPr>
            <w:pStyle w:val="3"/>
            <w:pageBreakBefore w:val="0"/>
            <w:kinsoku/>
            <w:overflowPunct/>
            <w:autoSpaceDE/>
            <w:autoSpaceDN/>
            <w:bidi w:val="0"/>
            <w:adjustRightInd w:val="0"/>
            <w:snapToGrid w:val="0"/>
            <w:spacing w:before="0" w:after="0" w:line="360" w:lineRule="auto"/>
            <w:ind w:firstLine="723"/>
            <w:jc w:val="center"/>
            <w:rPr>
              <w:rFonts w:hint="default" w:ascii="Times New Roman" w:hAnsi="Times New Roman" w:eastAsia="宋体" w:cs="Times New Roman"/>
              <w:b/>
              <w:bCs/>
              <w:color w:val="auto"/>
              <w:sz w:val="44"/>
              <w:szCs w:val="44"/>
              <w:highlight w:val="none"/>
              <w:lang w:val="en-US" w:eastAsia="zh-CN" w:bidi="ar-SA"/>
            </w:rPr>
          </w:pPr>
          <w:r>
            <w:rPr>
              <w:rFonts w:hint="eastAsia" w:ascii="黑体" w:hAnsi="黑体" w:eastAsia="黑体" w:cs="黑体"/>
              <w:color w:val="auto"/>
              <w:highlight w:val="none"/>
            </w:rPr>
            <w:fldChar w:fldCharType="end"/>
          </w:r>
        </w:p>
      </w:sdtContent>
    </w:sdt>
    <w:p w14:paraId="76940DAF">
      <w:pPr>
        <w:rPr>
          <w:color w:val="auto"/>
          <w:highlight w:val="none"/>
        </w:rPr>
      </w:pPr>
    </w:p>
    <w:p w14:paraId="3E2D1053">
      <w:pPr>
        <w:bidi w:val="0"/>
        <w:rPr>
          <w:rFonts w:hint="default" w:ascii="Times New Roman" w:hAnsi="Times New Roman" w:eastAsia="宋体" w:cs="Times New Roman"/>
          <w:color w:val="auto"/>
          <w:sz w:val="21"/>
          <w:szCs w:val="22"/>
          <w:highlight w:val="none"/>
          <w:lang w:val="en-US" w:eastAsia="zh-CN" w:bidi="ar-SA"/>
        </w:rPr>
      </w:pPr>
    </w:p>
    <w:p w14:paraId="1F6F3BA0">
      <w:pPr>
        <w:bidi w:val="0"/>
        <w:rPr>
          <w:rFonts w:hint="default"/>
          <w:color w:val="auto"/>
          <w:highlight w:val="none"/>
          <w:lang w:val="en-US" w:eastAsia="zh-CN"/>
        </w:rPr>
      </w:pPr>
    </w:p>
    <w:p w14:paraId="6229E737">
      <w:pPr>
        <w:bidi w:val="0"/>
        <w:rPr>
          <w:rFonts w:hint="default"/>
          <w:color w:val="auto"/>
          <w:highlight w:val="none"/>
          <w:lang w:val="en-US" w:eastAsia="zh-CN"/>
        </w:rPr>
      </w:pPr>
    </w:p>
    <w:p w14:paraId="377F4130">
      <w:pPr>
        <w:bidi w:val="0"/>
        <w:rPr>
          <w:rFonts w:hint="default"/>
          <w:color w:val="auto"/>
          <w:highlight w:val="none"/>
          <w:lang w:val="en-US" w:eastAsia="zh-CN"/>
        </w:rPr>
      </w:pPr>
    </w:p>
    <w:p w14:paraId="11C715AB">
      <w:pPr>
        <w:bidi w:val="0"/>
        <w:rPr>
          <w:rFonts w:hint="default"/>
          <w:color w:val="auto"/>
          <w:highlight w:val="none"/>
          <w:lang w:val="en-US" w:eastAsia="zh-CN"/>
        </w:rPr>
      </w:pPr>
    </w:p>
    <w:p w14:paraId="5FB4E37C">
      <w:pPr>
        <w:bidi w:val="0"/>
        <w:rPr>
          <w:rFonts w:hint="default"/>
          <w:color w:val="auto"/>
          <w:highlight w:val="none"/>
          <w:lang w:val="en-US" w:eastAsia="zh-CN"/>
        </w:rPr>
      </w:pPr>
    </w:p>
    <w:p w14:paraId="252A2A64">
      <w:pPr>
        <w:tabs>
          <w:tab w:val="left" w:pos="2027"/>
        </w:tabs>
        <w:bidi w:val="0"/>
        <w:jc w:val="left"/>
        <w:rPr>
          <w:rFonts w:hint="default"/>
          <w:color w:val="auto"/>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linePitch="360" w:charSpace="0"/>
        </w:sectPr>
      </w:pPr>
      <w:r>
        <w:rPr>
          <w:rFonts w:hint="eastAsia"/>
          <w:color w:val="auto"/>
          <w:highlight w:val="none"/>
          <w:lang w:val="en-US" w:eastAsia="zh-CN"/>
        </w:rPr>
        <w:tab/>
      </w:r>
    </w:p>
    <w:p w14:paraId="45F3688E">
      <w:pPr>
        <w:pStyle w:val="3"/>
        <w:bidi w:val="0"/>
        <w:jc w:val="center"/>
        <w:rPr>
          <w:color w:val="auto"/>
          <w:highlight w:val="none"/>
        </w:rPr>
      </w:pPr>
      <w:bookmarkStart w:id="14" w:name="_Toc31751"/>
      <w:bookmarkStart w:id="15" w:name="_Toc25876"/>
      <w:r>
        <w:rPr>
          <w:rFonts w:hint="eastAsia"/>
          <w:color w:val="auto"/>
          <w:highlight w:val="none"/>
        </w:rPr>
        <w:t>第一章</w:t>
      </w:r>
      <w:r>
        <w:rPr>
          <w:color w:val="auto"/>
          <w:highlight w:val="none"/>
        </w:rPr>
        <w:t xml:space="preserve"> 招标公告</w:t>
      </w:r>
      <w:bookmarkEnd w:id="13"/>
      <w:bookmarkEnd w:id="14"/>
      <w:bookmarkEnd w:id="15"/>
    </w:p>
    <w:p w14:paraId="4A5591E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bookmarkStart w:id="16" w:name="OLE_LINK1"/>
      <w:r>
        <w:rPr>
          <w:rFonts w:hint="eastAsia" w:ascii="宋体" w:hAnsi="宋体" w:eastAsia="宋体" w:cs="宋体"/>
          <w:color w:val="auto"/>
          <w:sz w:val="21"/>
          <w:szCs w:val="21"/>
          <w:highlight w:val="none"/>
        </w:rPr>
        <w:t>江苏苏维工程管理有限公司（以下简称“代理机构”）受扬州大学附属医院（以下简称“采购人”）的委托，</w:t>
      </w:r>
      <w:r>
        <w:rPr>
          <w:rFonts w:hint="eastAsia" w:ascii="宋体" w:hAnsi="宋体" w:eastAsia="宋体" w:cs="宋体"/>
          <w:bCs/>
          <w:color w:val="auto"/>
          <w:sz w:val="21"/>
          <w:szCs w:val="21"/>
          <w:highlight w:val="none"/>
        </w:rPr>
        <w:t>就其</w:t>
      </w:r>
      <w:r>
        <w:rPr>
          <w:rFonts w:hint="eastAsia" w:ascii="宋体" w:hAnsi="宋体" w:cs="宋体"/>
          <w:color w:val="auto"/>
          <w:sz w:val="21"/>
          <w:szCs w:val="21"/>
          <w:highlight w:val="none"/>
          <w:lang w:eastAsia="zh-CN"/>
        </w:rPr>
        <w:t>扬州大学附属医院智慧医疗（自助）服务体系建设项目</w:t>
      </w:r>
      <w:r>
        <w:rPr>
          <w:rFonts w:hint="eastAsia" w:ascii="宋体" w:hAnsi="宋体" w:eastAsia="宋体" w:cs="宋体"/>
          <w:color w:val="auto"/>
          <w:sz w:val="21"/>
          <w:szCs w:val="21"/>
          <w:highlight w:val="none"/>
        </w:rPr>
        <w:t>进行公开招标采购，</w:t>
      </w:r>
      <w:r>
        <w:rPr>
          <w:rFonts w:hint="eastAsia" w:ascii="宋体" w:hAnsi="宋体" w:eastAsia="宋体" w:cs="宋体"/>
          <w:bCs/>
          <w:color w:val="auto"/>
          <w:sz w:val="21"/>
          <w:szCs w:val="21"/>
          <w:highlight w:val="none"/>
        </w:rPr>
        <w:t>现欢迎符合相关条件的</w:t>
      </w:r>
      <w:r>
        <w:rPr>
          <w:rFonts w:hint="eastAsia" w:ascii="宋体" w:hAnsi="宋体" w:eastAsia="宋体" w:cs="宋体"/>
          <w:bCs/>
          <w:color w:val="auto"/>
          <w:sz w:val="21"/>
          <w:szCs w:val="21"/>
          <w:highlight w:val="none"/>
          <w:lang w:val="en-US" w:eastAsia="zh-CN"/>
        </w:rPr>
        <w:t>投标单位</w:t>
      </w:r>
      <w:r>
        <w:rPr>
          <w:rFonts w:hint="eastAsia" w:ascii="宋体" w:hAnsi="宋体" w:eastAsia="宋体" w:cs="宋体"/>
          <w:bCs/>
          <w:color w:val="auto"/>
          <w:sz w:val="21"/>
          <w:szCs w:val="21"/>
          <w:highlight w:val="none"/>
        </w:rPr>
        <w:t>投标</w:t>
      </w:r>
      <w:r>
        <w:rPr>
          <w:rFonts w:hint="eastAsia" w:ascii="宋体" w:hAnsi="宋体" w:eastAsia="宋体" w:cs="宋体"/>
          <w:color w:val="auto"/>
          <w:sz w:val="21"/>
          <w:szCs w:val="21"/>
          <w:highlight w:val="none"/>
        </w:rPr>
        <w:t>。</w:t>
      </w:r>
    </w:p>
    <w:p w14:paraId="2426EC4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0"/>
        <w:rPr>
          <w:rFonts w:hint="eastAsia" w:ascii="宋体" w:hAnsi="宋体" w:eastAsia="宋体" w:cs="宋体"/>
          <w:b/>
          <w:color w:val="auto"/>
          <w:sz w:val="21"/>
          <w:szCs w:val="21"/>
          <w:highlight w:val="none"/>
        </w:rPr>
      </w:pPr>
      <w:bookmarkStart w:id="17" w:name="_Toc16250"/>
      <w:bookmarkStart w:id="18" w:name="_Toc19288"/>
      <w:bookmarkStart w:id="19" w:name="_Toc29873"/>
      <w:bookmarkStart w:id="20" w:name="_Toc21151"/>
      <w:bookmarkStart w:id="21" w:name="_Toc19871"/>
      <w:r>
        <w:rPr>
          <w:rFonts w:hint="eastAsia" w:ascii="宋体" w:hAnsi="宋体" w:eastAsia="宋体" w:cs="宋体"/>
          <w:b/>
          <w:color w:val="auto"/>
          <w:sz w:val="21"/>
          <w:szCs w:val="21"/>
          <w:highlight w:val="none"/>
        </w:rPr>
        <w:t>一、招标项目名称及编号</w:t>
      </w:r>
      <w:bookmarkEnd w:id="17"/>
      <w:bookmarkEnd w:id="18"/>
      <w:bookmarkEnd w:id="19"/>
      <w:bookmarkEnd w:id="20"/>
      <w:bookmarkEnd w:id="21"/>
    </w:p>
    <w:p w14:paraId="53708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扬州大学附属医院智慧医疗（自助）服务体系建设项目</w:t>
      </w:r>
    </w:p>
    <w:p w14:paraId="09DD469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YDFYSW-20250701</w:t>
      </w:r>
      <w:r>
        <w:rPr>
          <w:rFonts w:hint="eastAsia" w:ascii="宋体" w:hAnsi="宋体" w:eastAsia="宋体" w:cs="宋体"/>
          <w:color w:val="auto"/>
          <w:sz w:val="21"/>
          <w:szCs w:val="21"/>
          <w:highlight w:val="none"/>
        </w:rPr>
        <w:t>号</w:t>
      </w:r>
    </w:p>
    <w:p w14:paraId="535E5374">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二、招标项目简要说明及预算金额</w:t>
      </w:r>
    </w:p>
    <w:p w14:paraId="222B1D9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智慧一期项目购置的自助服务设备，面临服务内容单一，仍停留在挂号、交费、报告打印等基本功能，已远远满足不了患者日益增长的健康需求。为进一步优化就诊流程设计，缩短就诊环节等候时间，医院拟将门急诊自助挂号、自助打印和病区自助服务项目等需求进行整合，利用自助设备这个必要媒介，通过信息数据收集和自动处理，提供决策支持，减少人工错误发生率；通过系统功能提升后的流程优化，减少医院服务滞后和患者过程损耗；通过自助操作充分尊重自主意愿，增强私密性，提供优质“距离式”服务，从而提高医院服务品质和整体运营效率，建立全新智慧医疗自助服务体系。</w:t>
      </w:r>
    </w:p>
    <w:p w14:paraId="6DC30BF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i w:val="0"/>
          <w:iCs w:val="0"/>
          <w:color w:val="auto"/>
          <w:highlight w:val="none"/>
          <w:u w:val="none"/>
          <w:lang w:val="en-US" w:eastAsia="zh-CN"/>
        </w:rPr>
      </w:pPr>
      <w:r>
        <w:rPr>
          <w:rFonts w:hint="eastAsia" w:ascii="宋体" w:hAnsi="宋体" w:eastAsia="宋体" w:cs="宋体"/>
          <w:i w:val="0"/>
          <w:iCs w:val="0"/>
          <w:color w:val="auto"/>
          <w:highlight w:val="none"/>
          <w:u w:val="none"/>
          <w:lang w:val="en-US" w:eastAsia="zh-CN"/>
        </w:rPr>
        <w:t>本项目采购一批多功能自助机</w:t>
      </w:r>
      <w:r>
        <w:rPr>
          <w:rFonts w:hint="eastAsia" w:ascii="宋体" w:hAnsi="宋体" w:cs="宋体"/>
          <w:i w:val="0"/>
          <w:iCs w:val="0"/>
          <w:color w:val="auto"/>
          <w:highlight w:val="none"/>
          <w:u w:val="none"/>
          <w:lang w:val="en-US" w:eastAsia="zh-CN"/>
        </w:rPr>
        <w:t>设备</w:t>
      </w:r>
      <w:r>
        <w:rPr>
          <w:rFonts w:hint="eastAsia" w:ascii="宋体" w:hAnsi="宋体" w:eastAsia="宋体" w:cs="宋体"/>
          <w:i w:val="0"/>
          <w:iCs w:val="0"/>
          <w:color w:val="auto"/>
          <w:highlight w:val="none"/>
          <w:u w:val="none"/>
          <w:lang w:val="en-US" w:eastAsia="zh-CN"/>
        </w:rPr>
        <w:t>及</w:t>
      </w:r>
      <w:r>
        <w:rPr>
          <w:rFonts w:hint="eastAsia" w:ascii="宋体" w:hAnsi="宋体" w:cs="宋体"/>
          <w:i w:val="0"/>
          <w:iCs w:val="0"/>
          <w:color w:val="auto"/>
          <w:highlight w:val="none"/>
          <w:u w:val="none"/>
          <w:lang w:val="en-US" w:eastAsia="zh-CN"/>
        </w:rPr>
        <w:t>相关配套服务建设</w:t>
      </w:r>
      <w:r>
        <w:rPr>
          <w:rFonts w:hint="eastAsia" w:ascii="宋体" w:hAnsi="宋体" w:eastAsia="宋体" w:cs="宋体"/>
          <w:i w:val="0"/>
          <w:iCs w:val="0"/>
          <w:color w:val="auto"/>
          <w:highlight w:val="none"/>
          <w:u w:val="none"/>
          <w:lang w:val="en-US" w:eastAsia="zh-CN"/>
        </w:rPr>
        <w:t>，主要用于医院门急诊区域自助挂号取号、缴费结算、打印报告等业务需求，助力群众便捷就医</w:t>
      </w:r>
      <w:r>
        <w:rPr>
          <w:rFonts w:hint="eastAsia" w:ascii="宋体" w:hAnsi="宋体" w:cs="宋体"/>
          <w:i w:val="0"/>
          <w:iCs w:val="0"/>
          <w:color w:val="auto"/>
          <w:highlight w:val="none"/>
          <w:u w:val="none"/>
          <w:lang w:val="en-US" w:eastAsia="zh-CN"/>
        </w:rPr>
        <w:t>。</w:t>
      </w:r>
    </w:p>
    <w:p w14:paraId="5F98ABA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iCs/>
          <w:color w:val="auto"/>
          <w:highlight w:val="none"/>
          <w:u w:val="single"/>
          <w:lang w:val="en-US" w:eastAsia="zh-CN"/>
        </w:rPr>
      </w:pPr>
      <w:r>
        <w:rPr>
          <w:rFonts w:hint="eastAsia" w:ascii="宋体" w:hAnsi="宋体" w:cs="宋体"/>
          <w:i w:val="0"/>
          <w:iCs w:val="0"/>
          <w:color w:val="auto"/>
          <w:highlight w:val="none"/>
          <w:u w:val="none"/>
          <w:lang w:val="en-US" w:eastAsia="zh-CN"/>
        </w:rPr>
        <w:t>本项目</w:t>
      </w:r>
      <w:r>
        <w:rPr>
          <w:rFonts w:hint="eastAsia" w:ascii="宋体" w:hAnsi="宋体" w:eastAsia="宋体" w:cs="宋体"/>
          <w:i w:val="0"/>
          <w:iCs w:val="0"/>
          <w:color w:val="auto"/>
          <w:highlight w:val="none"/>
          <w:u w:val="none"/>
          <w:lang w:val="en-US" w:eastAsia="zh-CN"/>
        </w:rPr>
        <w:t>预算金额：750万元，</w:t>
      </w:r>
      <w:r>
        <w:rPr>
          <w:rFonts w:hint="eastAsia" w:ascii="宋体" w:hAnsi="宋体" w:eastAsia="宋体" w:cs="宋体"/>
          <w:i/>
          <w:iCs/>
          <w:color w:val="auto"/>
          <w:highlight w:val="none"/>
          <w:u w:val="single"/>
        </w:rPr>
        <w:t>最高投标限价</w:t>
      </w:r>
      <w:r>
        <w:rPr>
          <w:rFonts w:hint="eastAsia" w:ascii="宋体" w:hAnsi="宋体" w:eastAsia="宋体" w:cs="宋体"/>
          <w:i/>
          <w:iCs/>
          <w:color w:val="auto"/>
          <w:highlight w:val="none"/>
          <w:u w:val="single"/>
          <w:lang w:val="en-US" w:eastAsia="zh-CN"/>
        </w:rPr>
        <w:t>同预算金额，投标报价超过最高限价的作无效投标处理。</w:t>
      </w:r>
    </w:p>
    <w:p w14:paraId="50466B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合同履行期限：自合同签订之日起</w:t>
      </w:r>
      <w:r>
        <w:rPr>
          <w:rFonts w:hint="eastAsia" w:ascii="宋体" w:hAnsi="宋体" w:cs="宋体"/>
          <w:color w:val="auto"/>
          <w:sz w:val="21"/>
          <w:szCs w:val="21"/>
          <w:highlight w:val="none"/>
          <w:lang w:val="en-US" w:eastAsia="zh-CN"/>
        </w:rPr>
        <w:t>8个月</w:t>
      </w:r>
      <w:r>
        <w:rPr>
          <w:rFonts w:hint="eastAsia" w:ascii="宋体" w:hAnsi="宋体" w:eastAsia="宋体" w:cs="宋体"/>
          <w:color w:val="auto"/>
          <w:sz w:val="21"/>
          <w:szCs w:val="21"/>
          <w:highlight w:val="none"/>
        </w:rPr>
        <w:t>内完成供货、安装、调试、验收工作。</w:t>
      </w:r>
      <w:r>
        <w:rPr>
          <w:rFonts w:hint="eastAsia" w:ascii="宋体" w:hAnsi="宋体" w:cs="宋体"/>
          <w:color w:val="auto"/>
          <w:sz w:val="21"/>
          <w:szCs w:val="21"/>
          <w:highlight w:val="none"/>
          <w:lang w:val="en-US" w:eastAsia="zh-CN"/>
        </w:rPr>
        <w:t>运维服务期自验收合格之日起3年。</w:t>
      </w:r>
    </w:p>
    <w:p w14:paraId="4790DB30">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三、申请人的资格要求：</w:t>
      </w:r>
    </w:p>
    <w:p w14:paraId="1980FC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符合相关法律法规规定的条件</w:t>
      </w:r>
      <w:r>
        <w:rPr>
          <w:rFonts w:hint="eastAsia" w:ascii="宋体" w:hAnsi="宋体" w:eastAsia="宋体" w:cs="宋体"/>
          <w:color w:val="auto"/>
          <w:sz w:val="21"/>
          <w:szCs w:val="21"/>
          <w:highlight w:val="none"/>
        </w:rPr>
        <w:t>，并提供下列材料：</w:t>
      </w:r>
    </w:p>
    <w:p w14:paraId="27E724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i/>
          <w:iCs/>
          <w:color w:val="auto"/>
          <w:sz w:val="21"/>
          <w:szCs w:val="21"/>
          <w:highlight w:val="none"/>
          <w:u w:val="single"/>
          <w:lang w:eastAsia="zh-CN"/>
        </w:rPr>
      </w:pPr>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3BFE72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1.2</w:t>
      </w:r>
      <w:r>
        <w:rPr>
          <w:rFonts w:hint="eastAsia" w:ascii="宋体" w:hAnsi="宋体" w:eastAsia="宋体" w:cs="宋体"/>
          <w:i/>
          <w:iCs/>
          <w:color w:val="auto"/>
          <w:sz w:val="21"/>
          <w:szCs w:val="21"/>
          <w:highlight w:val="none"/>
          <w:u w:val="single"/>
          <w:lang w:val="en-US" w:eastAsia="zh-CN"/>
        </w:rPr>
        <w:t xml:space="preserve"> 2023年度或2024年度</w:t>
      </w:r>
      <w:r>
        <w:rPr>
          <w:rFonts w:hint="eastAsia" w:ascii="宋体" w:hAnsi="宋体" w:eastAsia="宋体" w:cs="宋体"/>
          <w:i/>
          <w:iCs/>
          <w:color w:val="auto"/>
          <w:sz w:val="21"/>
          <w:szCs w:val="21"/>
          <w:highlight w:val="none"/>
          <w:u w:val="single"/>
        </w:rPr>
        <w:t>的财务状况报告</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56FAE3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1.3</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响应</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依法享受缓缴、免缴税收、社会保障资金的提供证明材料。）</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2B0159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1.4</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7ED3EF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1.5</w:t>
      </w:r>
      <w:r>
        <w:rPr>
          <w:rFonts w:hint="eastAsia" w:ascii="宋体" w:hAnsi="宋体" w:eastAsia="宋体" w:cs="宋体"/>
          <w:i/>
          <w:iCs/>
          <w:color w:val="auto"/>
          <w:sz w:val="21"/>
          <w:szCs w:val="21"/>
          <w:highlight w:val="none"/>
          <w:u w:val="single"/>
        </w:rPr>
        <w:t>参加采购活动前3年内在经营活动中没有重大违法记录的书面声明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7F201A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1.6</w:t>
      </w:r>
      <w:r>
        <w:rPr>
          <w:rFonts w:hint="eastAsia" w:ascii="宋体" w:hAnsi="宋体" w:eastAsia="宋体" w:cs="宋体"/>
          <w:i/>
          <w:iCs/>
          <w:color w:val="auto"/>
          <w:sz w:val="21"/>
          <w:szCs w:val="21"/>
          <w:highlight w:val="none"/>
          <w:u w:val="single"/>
        </w:rPr>
        <w:t>供应商信用承诺函</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00B344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i/>
          <w:iCs/>
          <w:color w:val="auto"/>
          <w:sz w:val="21"/>
          <w:szCs w:val="21"/>
          <w:highlight w:val="none"/>
          <w:u w:val="single"/>
          <w:lang w:val="en-US" w:eastAsia="zh-CN"/>
        </w:rPr>
        <w:t>1.7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文件中无需提供证明材料）</w:t>
      </w:r>
    </w:p>
    <w:p w14:paraId="5E8BF9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2.本项目的特定资格要求：</w:t>
      </w:r>
      <w:r>
        <w:rPr>
          <w:rFonts w:hint="eastAsia" w:ascii="宋体" w:hAnsi="宋体" w:eastAsia="宋体" w:cs="宋体"/>
          <w:i/>
          <w:iCs/>
          <w:color w:val="auto"/>
          <w:kern w:val="2"/>
          <w:sz w:val="21"/>
          <w:szCs w:val="21"/>
          <w:highlight w:val="none"/>
          <w:u w:val="single"/>
          <w:lang w:val="en-US" w:eastAsia="zh-CN" w:bidi="ar-SA"/>
        </w:rPr>
        <w:t>无</w:t>
      </w:r>
      <w:r>
        <w:rPr>
          <w:rFonts w:hint="eastAsia" w:ascii="宋体" w:hAnsi="宋体" w:eastAsia="宋体" w:cs="宋体"/>
          <w:color w:val="auto"/>
          <w:kern w:val="2"/>
          <w:sz w:val="21"/>
          <w:szCs w:val="21"/>
          <w:highlight w:val="none"/>
          <w:lang w:val="en-US" w:eastAsia="zh-CN" w:bidi="ar-SA"/>
        </w:rPr>
        <w:t>；</w:t>
      </w:r>
    </w:p>
    <w:p w14:paraId="532A1CB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拒绝下述供应商参加本次采购活动：</w:t>
      </w:r>
    </w:p>
    <w:p w14:paraId="12044B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供应商单位负责人为同一人或者存在直接控股、管理关系的不同供应商，不得参加同一合同项下的政府采购活动。</w:t>
      </w:r>
    </w:p>
    <w:p w14:paraId="1E4286B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凡为采购项目提供整体设计、规范编制或者项目管理、监理、检测等服务的供应商，不得再参加该项目的其他采购活动。</w:t>
      </w:r>
    </w:p>
    <w:p w14:paraId="47487E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供应商被“信用中国”网站（www.creditchina.gov.cn）、“中国政府采购网"（www.ccgp.gov.cn）列入失信被执行人、重大税收违法案件当事人名单、政府采购严重违法失信行为记录名单。</w:t>
      </w:r>
    </w:p>
    <w:p w14:paraId="09D26886">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现场考察或召开答疑会：无</w:t>
      </w:r>
      <w:r>
        <w:rPr>
          <w:rFonts w:hint="eastAsia" w:ascii="宋体" w:hAnsi="宋体" w:eastAsia="宋体" w:cs="宋体"/>
          <w:color w:val="auto"/>
          <w:sz w:val="21"/>
          <w:szCs w:val="21"/>
          <w:highlight w:val="none"/>
          <w:lang w:eastAsia="zh-CN"/>
        </w:rPr>
        <w:t>；</w:t>
      </w:r>
    </w:p>
    <w:p w14:paraId="24514F60">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w:t>
      </w:r>
      <w:r>
        <w:rPr>
          <w:rFonts w:hint="eastAsia" w:ascii="宋体" w:hAnsi="宋体" w:eastAsia="宋体" w:cs="宋体"/>
          <w:i/>
          <w:iCs/>
          <w:color w:val="auto"/>
          <w:sz w:val="21"/>
          <w:szCs w:val="21"/>
          <w:highlight w:val="none"/>
          <w:u w:val="single"/>
        </w:rPr>
        <w:t>不接受</w:t>
      </w:r>
      <w:r>
        <w:rPr>
          <w:rFonts w:hint="eastAsia" w:ascii="宋体" w:hAnsi="宋体" w:eastAsia="宋体" w:cs="宋体"/>
          <w:color w:val="auto"/>
          <w:sz w:val="21"/>
          <w:szCs w:val="21"/>
          <w:highlight w:val="none"/>
        </w:rPr>
        <w:t>联合体投标；</w:t>
      </w:r>
    </w:p>
    <w:p w14:paraId="51D9C13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w:t>
      </w:r>
      <w:r>
        <w:rPr>
          <w:rFonts w:hint="eastAsia" w:ascii="宋体" w:hAnsi="宋体" w:eastAsia="宋体" w:cs="宋体"/>
          <w:i/>
          <w:iCs/>
          <w:color w:val="auto"/>
          <w:sz w:val="21"/>
          <w:szCs w:val="21"/>
          <w:highlight w:val="none"/>
          <w:u w:val="single"/>
        </w:rPr>
        <w:t>不接受</w:t>
      </w:r>
      <w:r>
        <w:rPr>
          <w:rFonts w:hint="eastAsia" w:ascii="宋体" w:hAnsi="宋体" w:eastAsia="宋体" w:cs="宋体"/>
          <w:color w:val="auto"/>
          <w:sz w:val="21"/>
          <w:szCs w:val="21"/>
          <w:highlight w:val="none"/>
        </w:rPr>
        <w:t>进口产品投标。</w:t>
      </w:r>
    </w:p>
    <w:p w14:paraId="6E42A91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四、招标文件提供信息</w:t>
      </w:r>
    </w:p>
    <w:p w14:paraId="3876308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招标文件提供及公告期限：自招标公告在 “扬州大学附属医院网、扬州大学网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江苏省招标投标公共服务平台</w:t>
      </w:r>
      <w:r>
        <w:rPr>
          <w:rFonts w:hint="eastAsia" w:ascii="宋体" w:hAnsi="宋体" w:eastAsia="宋体" w:cs="宋体"/>
          <w:color w:val="auto"/>
          <w:sz w:val="21"/>
          <w:szCs w:val="21"/>
          <w:highlight w:val="none"/>
        </w:rPr>
        <w:t>”发布之日起5个工作日。招标文件在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上下载，投标人如确定参加投标，请如实填写《供应商参加投标确认函》，填写打印后加盖公章，拍照或扫描发送至邮箱（电子邮箱：376671107@qq.com，邮件标题备注企业全称+项目简称，联系电话：0514-82129116）。如投标单位未按上述要求去做，将自行承担所产生的风险。《供应商参加投标确认函》格式详见“招标文件第八章投标文件格式”。</w:t>
      </w:r>
    </w:p>
    <w:p w14:paraId="7318973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本次采购（招标）文件报名费200元/份，递交投标文件时以现金方式缴纳，售后不退。</w:t>
      </w:r>
    </w:p>
    <w:p w14:paraId="3CCF5B53">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五、投标文件接收信息 </w:t>
      </w:r>
    </w:p>
    <w:p w14:paraId="1E198FC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投标文件接收开始时间：202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 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41B8B389">
      <w:pPr>
        <w:pStyle w:val="17"/>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投标文件接收结束时间：202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 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（北京时间）</w:t>
      </w:r>
    </w:p>
    <w:p w14:paraId="7CA6F211">
      <w:pPr>
        <w:pStyle w:val="17"/>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投标文件接收地点：江苏苏维工程管理有限公司三楼开标四室（扬州市翠岗路48号）</w:t>
      </w:r>
    </w:p>
    <w:p w14:paraId="455D3E9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b/>
          <w:bCs/>
          <w:i/>
          <w:iCs/>
          <w:color w:val="auto"/>
          <w:sz w:val="21"/>
          <w:szCs w:val="21"/>
          <w:highlight w:val="none"/>
          <w:u w:val="single"/>
        </w:rPr>
        <w:t>注：投标人须由法定代表人或其授权委托人现场参加投标并递交投标文件，否则投标文件不予接收。递交投标文件时现场核查法定代表人或授权委托人身份证原件。</w:t>
      </w:r>
    </w:p>
    <w:p w14:paraId="02B6407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0"/>
        <w:rPr>
          <w:rFonts w:hint="eastAsia" w:ascii="宋体" w:hAnsi="宋体" w:eastAsia="宋体" w:cs="宋体"/>
          <w:b/>
          <w:color w:val="auto"/>
          <w:sz w:val="21"/>
          <w:szCs w:val="21"/>
          <w:highlight w:val="none"/>
        </w:rPr>
      </w:pPr>
      <w:bookmarkStart w:id="22" w:name="_Toc12966"/>
      <w:bookmarkStart w:id="23" w:name="_Toc5211"/>
      <w:bookmarkStart w:id="24" w:name="_Toc27656"/>
      <w:bookmarkStart w:id="25" w:name="_Toc276"/>
      <w:bookmarkStart w:id="26" w:name="_Toc10814"/>
      <w:r>
        <w:rPr>
          <w:rFonts w:hint="eastAsia" w:ascii="宋体" w:hAnsi="宋体" w:eastAsia="宋体" w:cs="宋体"/>
          <w:b/>
          <w:bCs/>
          <w:color w:val="auto"/>
          <w:sz w:val="21"/>
          <w:szCs w:val="21"/>
          <w:highlight w:val="none"/>
        </w:rPr>
        <w:t>六</w:t>
      </w:r>
      <w:r>
        <w:rPr>
          <w:rFonts w:hint="eastAsia" w:ascii="宋体" w:hAnsi="宋体" w:eastAsia="宋体" w:cs="宋体"/>
          <w:b/>
          <w:color w:val="auto"/>
          <w:sz w:val="21"/>
          <w:szCs w:val="21"/>
          <w:highlight w:val="none"/>
        </w:rPr>
        <w:t>、开标有关信息</w:t>
      </w:r>
      <w:bookmarkEnd w:id="22"/>
      <w:bookmarkEnd w:id="23"/>
      <w:bookmarkEnd w:id="24"/>
      <w:bookmarkEnd w:id="25"/>
      <w:bookmarkEnd w:id="26"/>
    </w:p>
    <w:p w14:paraId="086204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 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（北京时间）</w:t>
      </w:r>
    </w:p>
    <w:p w14:paraId="125A8AB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开标地点：江苏苏维工程管理有限公司三楼开标四室（扬州市翠岗路48号）</w:t>
      </w:r>
    </w:p>
    <w:p w14:paraId="3F3AE9F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0"/>
        <w:rPr>
          <w:rFonts w:hint="eastAsia" w:ascii="宋体" w:hAnsi="宋体" w:eastAsia="宋体" w:cs="宋体"/>
          <w:b/>
          <w:color w:val="auto"/>
          <w:sz w:val="21"/>
          <w:szCs w:val="21"/>
          <w:highlight w:val="none"/>
        </w:rPr>
      </w:pPr>
      <w:bookmarkStart w:id="27" w:name="_Toc3036"/>
      <w:bookmarkStart w:id="28" w:name="_Toc7452"/>
      <w:bookmarkStart w:id="29" w:name="_Toc11952"/>
      <w:bookmarkStart w:id="30" w:name="_Toc10897"/>
      <w:bookmarkStart w:id="31" w:name="_Toc408"/>
      <w:r>
        <w:rPr>
          <w:rFonts w:hint="eastAsia" w:ascii="宋体" w:hAnsi="宋体" w:eastAsia="宋体" w:cs="宋体"/>
          <w:b/>
          <w:color w:val="auto"/>
          <w:sz w:val="21"/>
          <w:szCs w:val="21"/>
          <w:highlight w:val="none"/>
        </w:rPr>
        <w:t>七、本次招标联系事项</w:t>
      </w:r>
      <w:bookmarkEnd w:id="27"/>
      <w:bookmarkEnd w:id="28"/>
      <w:bookmarkEnd w:id="29"/>
      <w:bookmarkEnd w:id="30"/>
      <w:bookmarkEnd w:id="31"/>
    </w:p>
    <w:p w14:paraId="3CDCA482">
      <w:pPr>
        <w:pStyle w:val="2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采购人信息</w:t>
      </w:r>
    </w:p>
    <w:p w14:paraId="724D55E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称：扬州大学附属医院</w:t>
      </w:r>
    </w:p>
    <w:p w14:paraId="1F04CDF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址：扬州市邗江中路368号 </w:t>
      </w:r>
    </w:p>
    <w:p w14:paraId="3D3B8D8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张老师</w:t>
      </w:r>
      <w:r>
        <w:rPr>
          <w:rFonts w:hint="eastAsia" w:ascii="宋体" w:hAnsi="宋体" w:eastAsia="宋体" w:cs="宋体"/>
          <w:color w:val="auto"/>
          <w:sz w:val="21"/>
          <w:szCs w:val="21"/>
          <w:highlight w:val="none"/>
        </w:rPr>
        <w:t xml:space="preserve"> </w:t>
      </w:r>
    </w:p>
    <w:p w14:paraId="5C3179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联系方式：0514—82099555</w:t>
      </w:r>
    </w:p>
    <w:p w14:paraId="5CB6663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代理机构信息</w:t>
      </w:r>
    </w:p>
    <w:p w14:paraId="194C61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称：江苏苏维工程管理有限公司</w:t>
      </w:r>
    </w:p>
    <w:p w14:paraId="6031C85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址：扬州市翠岗路48号</w:t>
      </w:r>
    </w:p>
    <w:p w14:paraId="74C9730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联系人：陈秋萍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阮玉婷</w:t>
      </w:r>
    </w:p>
    <w:p w14:paraId="54698CC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联系方式：0514-82129116</w:t>
      </w:r>
    </w:p>
    <w:p w14:paraId="1B81858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八、投标文件制作份数要求</w:t>
      </w:r>
    </w:p>
    <w:p w14:paraId="5F05B70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纸质版一式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份（壹份正本、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副本）、电子版壹份（电子版一般应为投标文件盖章扫描件，PDF格式，U盘或光盘形式储存、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7B2C173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九、本次招标投标保证金</w:t>
      </w:r>
    </w:p>
    <w:p w14:paraId="4695CC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w:t>
      </w:r>
      <w:r>
        <w:rPr>
          <w:rFonts w:hint="eastAsia" w:ascii="宋体" w:hAnsi="宋体" w:eastAsia="宋体" w:cs="宋体"/>
          <w:i/>
          <w:iCs/>
          <w:color w:val="auto"/>
          <w:sz w:val="21"/>
          <w:szCs w:val="21"/>
          <w:highlight w:val="none"/>
          <w:u w:val="single"/>
        </w:rPr>
        <w:t>不收取</w:t>
      </w:r>
      <w:r>
        <w:rPr>
          <w:rFonts w:hint="eastAsia" w:ascii="宋体" w:hAnsi="宋体" w:eastAsia="宋体" w:cs="宋体"/>
          <w:color w:val="auto"/>
          <w:sz w:val="21"/>
          <w:szCs w:val="21"/>
          <w:highlight w:val="none"/>
        </w:rPr>
        <w:t>投标保证金。</w:t>
      </w:r>
    </w:p>
    <w:p w14:paraId="150328A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十、其他补充事宜</w:t>
      </w:r>
    </w:p>
    <w:p w14:paraId="5480D976">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i/>
          <w:iCs/>
          <w:color w:val="auto"/>
          <w:sz w:val="21"/>
          <w:szCs w:val="21"/>
          <w:highlight w:val="none"/>
          <w:u w:val="single"/>
        </w:rPr>
      </w:pPr>
      <w:r>
        <w:rPr>
          <w:rFonts w:hint="eastAsia" w:ascii="宋体" w:hAnsi="宋体" w:eastAsia="宋体" w:cs="宋体"/>
          <w:b/>
          <w:i/>
          <w:iCs/>
          <w:color w:val="auto"/>
          <w:sz w:val="21"/>
          <w:szCs w:val="21"/>
          <w:highlight w:val="none"/>
          <w:u w:val="single"/>
          <w:lang w:val="en-US" w:eastAsia="zh-CN"/>
        </w:rPr>
        <w:t>1.</w:t>
      </w:r>
      <w:r>
        <w:rPr>
          <w:rFonts w:hint="eastAsia" w:ascii="宋体" w:hAnsi="宋体" w:eastAsia="宋体" w:cs="宋体"/>
          <w:b/>
          <w:i/>
          <w:iCs/>
          <w:color w:val="auto"/>
          <w:sz w:val="21"/>
          <w:szCs w:val="21"/>
          <w:highlight w:val="none"/>
          <w:u w:val="single"/>
        </w:rPr>
        <w:t>本项目招标文件中所有斜体下划线部分为实质性条款，如不满足，则为无效投标。</w:t>
      </w:r>
    </w:p>
    <w:p w14:paraId="78CEA58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有关本次招标的事项若存在变动或修改，敬请及时关注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发布的信息或更正公告。</w:t>
      </w:r>
    </w:p>
    <w:p w14:paraId="7ACB98CD">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i/>
          <w:iCs/>
          <w:color w:val="auto"/>
          <w:sz w:val="21"/>
          <w:szCs w:val="21"/>
          <w:highlight w:val="none"/>
          <w:u w:val="single"/>
        </w:rPr>
      </w:pPr>
    </w:p>
    <w:p w14:paraId="051D2B1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江苏苏维工程管理有限公司</w:t>
      </w:r>
    </w:p>
    <w:p w14:paraId="306AD8C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righ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2025年</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28</w:t>
      </w:r>
      <w:r>
        <w:rPr>
          <w:rFonts w:hint="eastAsia" w:ascii="宋体" w:hAnsi="宋体" w:eastAsia="宋体" w:cs="宋体"/>
          <w:color w:val="auto"/>
          <w:highlight w:val="none"/>
          <w:lang w:val="en-US" w:eastAsia="zh-CN"/>
        </w:rPr>
        <w:t>日</w:t>
      </w:r>
    </w:p>
    <w:p w14:paraId="57EFF0D1">
      <w:pPr>
        <w:pageBreakBefore w:val="0"/>
        <w:kinsoku/>
        <w:overflowPunct/>
        <w:autoSpaceDE/>
        <w:autoSpaceDN/>
        <w:bidi w:val="0"/>
        <w:adjustRightInd w:val="0"/>
        <w:snapToGrid w:val="0"/>
        <w:spacing w:line="360" w:lineRule="auto"/>
        <w:jc w:val="right"/>
        <w:rPr>
          <w:rFonts w:hint="eastAsia" w:ascii="宋体" w:hAnsi="宋体" w:eastAsia="宋体" w:cs="宋体"/>
          <w:color w:val="auto"/>
          <w:sz w:val="21"/>
          <w:szCs w:val="21"/>
          <w:highlight w:val="none"/>
        </w:rPr>
      </w:pPr>
    </w:p>
    <w:bookmarkEnd w:id="16"/>
    <w:p w14:paraId="2A751A66">
      <w:pPr>
        <w:pageBreakBefore w:val="0"/>
        <w:kinsoku/>
        <w:overflowPunct/>
        <w:autoSpaceDE/>
        <w:autoSpaceDN/>
        <w:bidi w:val="0"/>
        <w:adjustRightInd w:val="0"/>
        <w:snapToGrid w:val="0"/>
        <w:spacing w:line="360" w:lineRule="auto"/>
        <w:rPr>
          <w:color w:val="auto"/>
          <w:szCs w:val="21"/>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6E8650D0">
      <w:pPr>
        <w:pStyle w:val="3"/>
        <w:bidi w:val="0"/>
        <w:jc w:val="center"/>
        <w:rPr>
          <w:color w:val="auto"/>
          <w:highlight w:val="none"/>
        </w:rPr>
      </w:pPr>
      <w:bookmarkStart w:id="32" w:name="_Toc18695"/>
      <w:bookmarkStart w:id="33" w:name="_Toc4581"/>
      <w:bookmarkStart w:id="34" w:name="_Toc497133091"/>
      <w:r>
        <w:rPr>
          <w:rFonts w:hint="eastAsia"/>
          <w:color w:val="auto"/>
          <w:highlight w:val="none"/>
        </w:rPr>
        <w:t>第二章 投标人须知</w:t>
      </w:r>
      <w:bookmarkEnd w:id="32"/>
      <w:bookmarkEnd w:id="33"/>
      <w:bookmarkEnd w:id="34"/>
    </w:p>
    <w:p w14:paraId="6882533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35" w:name="_Toc458694821"/>
      <w:bookmarkStart w:id="36" w:name="_Toc513029204"/>
      <w:bookmarkStart w:id="37" w:name="_Toc20823276"/>
      <w:bookmarkStart w:id="38" w:name="_Toc16938520"/>
      <w:r>
        <w:rPr>
          <w:rFonts w:hint="eastAsia" w:ascii="宋体" w:hAnsi="宋体" w:eastAsia="宋体" w:cs="宋体"/>
          <w:bCs w:val="0"/>
          <w:color w:val="auto"/>
          <w:sz w:val="21"/>
          <w:szCs w:val="21"/>
          <w:highlight w:val="none"/>
        </w:rPr>
        <w:t>1</w:t>
      </w:r>
      <w:bookmarkEnd w:id="35"/>
      <w:r>
        <w:rPr>
          <w:rFonts w:hint="eastAsia" w:ascii="宋体" w:hAnsi="宋体" w:eastAsia="宋体" w:cs="宋体"/>
          <w:bCs w:val="0"/>
          <w:color w:val="auto"/>
          <w:sz w:val="21"/>
          <w:szCs w:val="21"/>
          <w:highlight w:val="none"/>
        </w:rPr>
        <w:t>、招标方式</w:t>
      </w:r>
      <w:bookmarkEnd w:id="36"/>
      <w:bookmarkEnd w:id="37"/>
      <w:bookmarkEnd w:id="38"/>
    </w:p>
    <w:p w14:paraId="40A9FFD3">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本次招标采取公开招标方式，本招标文件仅适用</w:t>
      </w:r>
      <w:r>
        <w:rPr>
          <w:rFonts w:hint="eastAsia" w:ascii="宋体" w:hAnsi="宋体" w:cs="宋体"/>
          <w:color w:val="auto"/>
          <w:sz w:val="21"/>
          <w:szCs w:val="21"/>
          <w:highlight w:val="none"/>
          <w:lang w:eastAsia="zh-CN"/>
        </w:rPr>
        <w:t>YDFYSW-20250701</w:t>
      </w:r>
      <w:r>
        <w:rPr>
          <w:rFonts w:hint="eastAsia" w:ascii="宋体" w:hAnsi="宋体" w:eastAsia="宋体" w:cs="宋体"/>
          <w:color w:val="auto"/>
          <w:sz w:val="21"/>
          <w:szCs w:val="21"/>
          <w:highlight w:val="none"/>
        </w:rPr>
        <w:t>号项目。</w:t>
      </w:r>
    </w:p>
    <w:p w14:paraId="0941CAE7">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39" w:name="_Toc16938521"/>
      <w:bookmarkStart w:id="40" w:name="_Toc513029205"/>
      <w:bookmarkStart w:id="41" w:name="_Toc20823277"/>
      <w:r>
        <w:rPr>
          <w:rFonts w:hint="eastAsia" w:ascii="宋体" w:hAnsi="宋体" w:eastAsia="宋体" w:cs="宋体"/>
          <w:bCs w:val="0"/>
          <w:color w:val="auto"/>
          <w:sz w:val="21"/>
          <w:szCs w:val="21"/>
          <w:highlight w:val="none"/>
        </w:rPr>
        <w:t>2、投标人</w:t>
      </w:r>
    </w:p>
    <w:p w14:paraId="7581A9F3">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本招标文件中“供应商”，即“投标人”，是指参加投标竞争，</w:t>
      </w:r>
      <w:r>
        <w:rPr>
          <w:rFonts w:hint="eastAsia" w:ascii="宋体" w:hAnsi="宋体" w:eastAsia="宋体"/>
          <w:b w:val="0"/>
          <w:bCs w:val="0"/>
          <w:color w:val="auto"/>
          <w:sz w:val="21"/>
          <w:szCs w:val="21"/>
          <w:highlight w:val="none"/>
        </w:rPr>
        <w:t>并符合招标文件规定资格条件的法人、其他组织或者自然人</w:t>
      </w:r>
      <w:r>
        <w:rPr>
          <w:rFonts w:hint="eastAsia" w:ascii="宋体" w:hAnsi="宋体" w:eastAsia="宋体" w:cs="宋体"/>
          <w:b w:val="0"/>
          <w:bCs w:val="0"/>
          <w:color w:val="auto"/>
          <w:sz w:val="21"/>
          <w:szCs w:val="21"/>
          <w:highlight w:val="none"/>
        </w:rPr>
        <w:t>。</w:t>
      </w:r>
    </w:p>
    <w:p w14:paraId="5C4B4FC4">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2.2合格的投标人</w:t>
      </w:r>
      <w:bookmarkEnd w:id="39"/>
      <w:bookmarkEnd w:id="40"/>
      <w:bookmarkEnd w:id="41"/>
    </w:p>
    <w:p w14:paraId="7DFD32FD">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满足</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中供应商的资格条件要求的规定。</w:t>
      </w:r>
    </w:p>
    <w:p w14:paraId="7088C93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满足本文件实质性条款的规定。</w:t>
      </w:r>
    </w:p>
    <w:p w14:paraId="4D3B9FB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42" w:name="_Toc16938522"/>
      <w:bookmarkStart w:id="43" w:name="_Toc513029206"/>
      <w:bookmarkStart w:id="44" w:name="_Toc20823278"/>
      <w:r>
        <w:rPr>
          <w:rFonts w:hint="eastAsia" w:ascii="宋体" w:hAnsi="宋体" w:eastAsia="宋体" w:cs="宋体"/>
          <w:bCs w:val="0"/>
          <w:color w:val="auto"/>
          <w:sz w:val="21"/>
          <w:szCs w:val="21"/>
          <w:highlight w:val="none"/>
        </w:rPr>
        <w:t>3、适用法律</w:t>
      </w:r>
      <w:bookmarkEnd w:id="42"/>
      <w:bookmarkEnd w:id="43"/>
      <w:bookmarkEnd w:id="44"/>
    </w:p>
    <w:p w14:paraId="00A5135B">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3.1 本次招标及由此产生的合同受中华人民共和国有关的法律法规制约和保护。</w:t>
      </w:r>
    </w:p>
    <w:p w14:paraId="71AC0480">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4、投标费用</w:t>
      </w:r>
    </w:p>
    <w:p w14:paraId="5F51CE6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eastAsia="宋体" w:cs="宋体"/>
          <w:color w:val="auto"/>
          <w:sz w:val="21"/>
          <w:szCs w:val="21"/>
          <w:highlight w:val="none"/>
        </w:rPr>
        <w:t xml:space="preserve"> 投标人应自行承担所有与参加投标有关的费用，无论投标过程中的做法和结果如何，代理机构在任何情况下均无义务和责任承担这些费用。</w:t>
      </w:r>
    </w:p>
    <w:p w14:paraId="01ECD20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4.2本次采购（招标）不收取文件工本费。</w:t>
      </w:r>
    </w:p>
    <w:p w14:paraId="72F411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本次采购由</w:t>
      </w:r>
      <w:r>
        <w:rPr>
          <w:rFonts w:hint="eastAsia" w:ascii="宋体" w:hAnsi="宋体" w:eastAsia="宋体" w:cs="宋体"/>
          <w:b/>
          <w:bCs/>
          <w:color w:val="auto"/>
          <w:sz w:val="21"/>
          <w:szCs w:val="21"/>
          <w:highlight w:val="none"/>
          <w:lang w:val="en-US" w:eastAsia="zh-CN"/>
        </w:rPr>
        <w:t>中标单位</w:t>
      </w:r>
      <w:r>
        <w:rPr>
          <w:rFonts w:hint="eastAsia" w:ascii="宋体" w:hAnsi="宋体" w:eastAsia="宋体" w:cs="宋体"/>
          <w:b/>
          <w:bCs/>
          <w:color w:val="auto"/>
          <w:sz w:val="21"/>
          <w:szCs w:val="21"/>
          <w:highlight w:val="none"/>
        </w:rPr>
        <w:t>在领取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通知书前一次性支付给招标代理机构代理服务费（具体计算方式详见下表）。</w:t>
      </w:r>
    </w:p>
    <w:tbl>
      <w:tblPr>
        <w:tblStyle w:val="45"/>
        <w:tblW w:w="8111"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847"/>
        <w:gridCol w:w="2214"/>
        <w:gridCol w:w="1879"/>
        <w:gridCol w:w="2171"/>
      </w:tblGrid>
      <w:tr w14:paraId="369416A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795" w:hRule="atLeast"/>
          <w:jc w:val="center"/>
        </w:trPr>
        <w:tc>
          <w:tcPr>
            <w:tcW w:w="1847" w:type="dxa"/>
            <w:vMerge w:val="restart"/>
            <w:tcBorders>
              <w:tl2br w:val="nil"/>
              <w:tr2bl w:val="nil"/>
            </w:tcBorders>
            <w:noWrap w:val="0"/>
            <w:tcMar>
              <w:top w:w="0" w:type="dxa"/>
              <w:left w:w="108" w:type="dxa"/>
              <w:bottom w:w="0" w:type="dxa"/>
              <w:right w:w="108" w:type="dxa"/>
            </w:tcMar>
            <w:vAlign w:val="center"/>
          </w:tcPr>
          <w:p w14:paraId="5295FB0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pacing w:val="40"/>
                <w:sz w:val="21"/>
                <w:szCs w:val="21"/>
                <w:highlight w:val="none"/>
              </w:rPr>
            </w:pPr>
            <w:r>
              <w:rPr>
                <w:rFonts w:hint="eastAsia" w:ascii="宋体" w:hAnsi="宋体" w:eastAsia="宋体" w:cs="宋体"/>
                <w:color w:val="auto"/>
                <w:spacing w:val="40"/>
                <w:sz w:val="21"/>
                <w:szCs w:val="21"/>
                <w:highlight w:val="none"/>
              </w:rPr>
              <w:t>项目</w:t>
            </w:r>
          </w:p>
          <w:p w14:paraId="1ECFC1E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pacing w:val="40"/>
                <w:sz w:val="21"/>
                <w:szCs w:val="21"/>
                <w:highlight w:val="none"/>
              </w:rPr>
            </w:pPr>
            <w:r>
              <w:rPr>
                <w:rFonts w:hint="eastAsia" w:ascii="宋体" w:hAnsi="宋体" w:eastAsia="宋体" w:cs="宋体"/>
                <w:color w:val="auto"/>
                <w:spacing w:val="40"/>
                <w:sz w:val="21"/>
                <w:szCs w:val="21"/>
                <w:highlight w:val="none"/>
              </w:rPr>
              <w:t>类型</w:t>
            </w:r>
          </w:p>
        </w:tc>
        <w:tc>
          <w:tcPr>
            <w:tcW w:w="2214" w:type="dxa"/>
            <w:tcBorders>
              <w:tl2br w:val="nil"/>
              <w:tr2bl w:val="nil"/>
            </w:tcBorders>
            <w:noWrap w:val="0"/>
            <w:tcMar>
              <w:top w:w="0" w:type="dxa"/>
              <w:left w:w="108" w:type="dxa"/>
              <w:bottom w:w="0" w:type="dxa"/>
              <w:right w:w="108" w:type="dxa"/>
            </w:tcMar>
            <w:vAlign w:val="center"/>
          </w:tcPr>
          <w:p w14:paraId="72228F2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879" w:type="dxa"/>
            <w:tcBorders>
              <w:tl2br w:val="nil"/>
              <w:tr2bl w:val="nil"/>
            </w:tcBorders>
            <w:noWrap w:val="0"/>
            <w:tcMar>
              <w:top w:w="0" w:type="dxa"/>
              <w:left w:w="108" w:type="dxa"/>
              <w:bottom w:w="0" w:type="dxa"/>
              <w:right w:w="108" w:type="dxa"/>
            </w:tcMar>
            <w:vAlign w:val="center"/>
          </w:tcPr>
          <w:p w14:paraId="518D329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100万以上</w:t>
            </w:r>
          </w:p>
        </w:tc>
        <w:tc>
          <w:tcPr>
            <w:tcW w:w="2171" w:type="dxa"/>
            <w:tcBorders>
              <w:tl2br w:val="nil"/>
              <w:tr2bl w:val="nil"/>
            </w:tcBorders>
            <w:noWrap w:val="0"/>
            <w:tcMar>
              <w:top w:w="0" w:type="dxa"/>
              <w:left w:w="108" w:type="dxa"/>
              <w:bottom w:w="0" w:type="dxa"/>
              <w:right w:w="108" w:type="dxa"/>
            </w:tcMar>
            <w:vAlign w:val="center"/>
          </w:tcPr>
          <w:p w14:paraId="0C143EB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代理服务费最高限价</w:t>
            </w:r>
          </w:p>
        </w:tc>
      </w:tr>
      <w:tr w14:paraId="30FF770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952" w:hRule="atLeast"/>
          <w:jc w:val="center"/>
        </w:trPr>
        <w:tc>
          <w:tcPr>
            <w:tcW w:w="1847" w:type="dxa"/>
            <w:vMerge w:val="continue"/>
            <w:tcBorders>
              <w:tl2br w:val="nil"/>
              <w:tr2bl w:val="nil"/>
            </w:tcBorders>
            <w:noWrap w:val="0"/>
            <w:tcMar>
              <w:top w:w="0" w:type="dxa"/>
              <w:left w:w="108" w:type="dxa"/>
              <w:bottom w:w="0" w:type="dxa"/>
              <w:right w:w="108" w:type="dxa"/>
            </w:tcMar>
            <w:vAlign w:val="center"/>
          </w:tcPr>
          <w:p w14:paraId="6092286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pacing w:val="40"/>
                <w:sz w:val="21"/>
                <w:szCs w:val="21"/>
                <w:highlight w:val="none"/>
              </w:rPr>
            </w:pPr>
          </w:p>
        </w:tc>
        <w:tc>
          <w:tcPr>
            <w:tcW w:w="2214" w:type="dxa"/>
            <w:tcBorders>
              <w:tl2br w:val="nil"/>
              <w:tr2bl w:val="nil"/>
            </w:tcBorders>
            <w:noWrap w:val="0"/>
            <w:tcMar>
              <w:top w:w="0" w:type="dxa"/>
              <w:left w:w="108" w:type="dxa"/>
              <w:bottom w:w="0" w:type="dxa"/>
              <w:right w:w="108" w:type="dxa"/>
            </w:tcMar>
            <w:vAlign w:val="center"/>
          </w:tcPr>
          <w:p w14:paraId="4B57F5B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06235A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tc>
        <w:tc>
          <w:tcPr>
            <w:tcW w:w="1879" w:type="dxa"/>
            <w:tcBorders>
              <w:tl2br w:val="nil"/>
              <w:tr2bl w:val="nil"/>
            </w:tcBorders>
            <w:noWrap w:val="0"/>
            <w:tcMar>
              <w:top w:w="0" w:type="dxa"/>
              <w:left w:w="108" w:type="dxa"/>
              <w:bottom w:w="0" w:type="dxa"/>
              <w:right w:w="108" w:type="dxa"/>
            </w:tcMar>
            <w:vAlign w:val="center"/>
          </w:tcPr>
          <w:p w14:paraId="106E532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56154D9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（折扣率）</w:t>
            </w:r>
          </w:p>
        </w:tc>
        <w:tc>
          <w:tcPr>
            <w:tcW w:w="2171" w:type="dxa"/>
            <w:tcBorders>
              <w:tl2br w:val="nil"/>
              <w:tr2bl w:val="nil"/>
            </w:tcBorders>
            <w:noWrap w:val="0"/>
            <w:tcMar>
              <w:top w:w="0" w:type="dxa"/>
              <w:left w:w="108" w:type="dxa"/>
              <w:bottom w:w="0" w:type="dxa"/>
              <w:right w:w="108" w:type="dxa"/>
            </w:tcMar>
            <w:vAlign w:val="center"/>
          </w:tcPr>
          <w:p w14:paraId="1CB42BD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76A2F05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tc>
      </w:tr>
      <w:tr w14:paraId="4F5BBAD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1" w:hRule="atLeast"/>
          <w:jc w:val="center"/>
        </w:trPr>
        <w:tc>
          <w:tcPr>
            <w:tcW w:w="1847" w:type="dxa"/>
            <w:tcBorders>
              <w:tl2br w:val="nil"/>
              <w:tr2bl w:val="nil"/>
            </w:tcBorders>
            <w:noWrap w:val="0"/>
            <w:tcMar>
              <w:top w:w="0" w:type="dxa"/>
              <w:left w:w="108" w:type="dxa"/>
              <w:bottom w:w="0" w:type="dxa"/>
              <w:right w:w="108" w:type="dxa"/>
            </w:tcMar>
            <w:vAlign w:val="center"/>
          </w:tcPr>
          <w:p w14:paraId="4619098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tc>
        <w:tc>
          <w:tcPr>
            <w:tcW w:w="2214" w:type="dxa"/>
            <w:vMerge w:val="restart"/>
            <w:tcBorders>
              <w:tl2br w:val="nil"/>
              <w:tr2bl w:val="nil"/>
            </w:tcBorders>
            <w:noWrap w:val="0"/>
            <w:tcMar>
              <w:top w:w="0" w:type="dxa"/>
              <w:left w:w="108" w:type="dxa"/>
              <w:bottom w:w="0" w:type="dxa"/>
              <w:right w:w="108" w:type="dxa"/>
            </w:tcMar>
            <w:vAlign w:val="center"/>
          </w:tcPr>
          <w:p w14:paraId="0334315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1500</w:t>
            </w:r>
            <w:r>
              <w:rPr>
                <w:rFonts w:hint="eastAsia" w:ascii="宋体" w:hAnsi="宋体" w:eastAsia="宋体" w:cs="宋体"/>
                <w:color w:val="auto"/>
                <w:sz w:val="21"/>
                <w:szCs w:val="21"/>
                <w:highlight w:val="none"/>
              </w:rPr>
              <w:t>元</w:t>
            </w:r>
          </w:p>
        </w:tc>
        <w:tc>
          <w:tcPr>
            <w:tcW w:w="1879" w:type="dxa"/>
            <w:vMerge w:val="restart"/>
            <w:tcBorders>
              <w:tl2br w:val="nil"/>
              <w:tr2bl w:val="nil"/>
            </w:tcBorders>
            <w:noWrap w:val="0"/>
            <w:tcMar>
              <w:top w:w="0" w:type="dxa"/>
              <w:left w:w="108" w:type="dxa"/>
              <w:bottom w:w="0" w:type="dxa"/>
              <w:right w:w="108" w:type="dxa"/>
            </w:tcMar>
            <w:vAlign w:val="center"/>
          </w:tcPr>
          <w:p w14:paraId="5DB3BF0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w:t>
            </w:r>
          </w:p>
        </w:tc>
        <w:tc>
          <w:tcPr>
            <w:tcW w:w="2171" w:type="dxa"/>
            <w:vMerge w:val="restart"/>
            <w:tcBorders>
              <w:tl2br w:val="nil"/>
              <w:tr2bl w:val="nil"/>
            </w:tcBorders>
            <w:noWrap w:val="0"/>
            <w:tcMar>
              <w:top w:w="0" w:type="dxa"/>
              <w:left w:w="108" w:type="dxa"/>
              <w:bottom w:w="0" w:type="dxa"/>
              <w:right w:w="108" w:type="dxa"/>
            </w:tcMar>
            <w:vAlign w:val="center"/>
          </w:tcPr>
          <w:p w14:paraId="0770C1E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8000</w:t>
            </w:r>
            <w:r>
              <w:rPr>
                <w:rFonts w:hint="eastAsia" w:ascii="宋体" w:hAnsi="宋体" w:eastAsia="宋体" w:cs="宋体"/>
                <w:color w:val="auto"/>
                <w:sz w:val="21"/>
                <w:szCs w:val="21"/>
                <w:highlight w:val="none"/>
              </w:rPr>
              <w:t>元</w:t>
            </w:r>
          </w:p>
        </w:tc>
      </w:tr>
      <w:tr w14:paraId="38AB72E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6" w:hRule="atLeast"/>
          <w:jc w:val="center"/>
        </w:trPr>
        <w:tc>
          <w:tcPr>
            <w:tcW w:w="1847" w:type="dxa"/>
            <w:tcBorders>
              <w:tl2br w:val="nil"/>
              <w:tr2bl w:val="nil"/>
            </w:tcBorders>
            <w:noWrap w:val="0"/>
            <w:tcMar>
              <w:top w:w="0" w:type="dxa"/>
              <w:left w:w="108" w:type="dxa"/>
              <w:bottom w:w="0" w:type="dxa"/>
              <w:right w:w="108" w:type="dxa"/>
            </w:tcMar>
            <w:vAlign w:val="center"/>
          </w:tcPr>
          <w:p w14:paraId="647541F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214" w:type="dxa"/>
            <w:vMerge w:val="continue"/>
            <w:tcBorders>
              <w:tl2br w:val="nil"/>
              <w:tr2bl w:val="nil"/>
            </w:tcBorders>
            <w:noWrap w:val="0"/>
            <w:tcMar>
              <w:top w:w="0" w:type="dxa"/>
              <w:left w:w="108" w:type="dxa"/>
              <w:bottom w:w="0" w:type="dxa"/>
              <w:right w:w="108" w:type="dxa"/>
            </w:tcMar>
            <w:vAlign w:val="center"/>
          </w:tcPr>
          <w:p w14:paraId="30397A7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1879" w:type="dxa"/>
            <w:vMerge w:val="continue"/>
            <w:tcBorders>
              <w:tl2br w:val="nil"/>
              <w:tr2bl w:val="nil"/>
            </w:tcBorders>
            <w:noWrap w:val="0"/>
            <w:tcMar>
              <w:top w:w="0" w:type="dxa"/>
              <w:left w:w="108" w:type="dxa"/>
              <w:bottom w:w="0" w:type="dxa"/>
              <w:right w:w="108" w:type="dxa"/>
            </w:tcMar>
            <w:vAlign w:val="center"/>
          </w:tcPr>
          <w:p w14:paraId="14CD96C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2171" w:type="dxa"/>
            <w:vMerge w:val="continue"/>
            <w:tcBorders>
              <w:tl2br w:val="nil"/>
              <w:tr2bl w:val="nil"/>
            </w:tcBorders>
            <w:noWrap w:val="0"/>
            <w:tcMar>
              <w:top w:w="0" w:type="dxa"/>
              <w:left w:w="108" w:type="dxa"/>
              <w:bottom w:w="0" w:type="dxa"/>
              <w:right w:w="108" w:type="dxa"/>
            </w:tcMar>
            <w:vAlign w:val="center"/>
          </w:tcPr>
          <w:p w14:paraId="75102EA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r>
      <w:tr w14:paraId="5D09587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535" w:hRule="atLeast"/>
          <w:jc w:val="center"/>
        </w:trPr>
        <w:tc>
          <w:tcPr>
            <w:tcW w:w="1847" w:type="dxa"/>
            <w:tcBorders>
              <w:tl2br w:val="nil"/>
              <w:tr2bl w:val="nil"/>
            </w:tcBorders>
            <w:noWrap w:val="0"/>
            <w:tcMar>
              <w:top w:w="0" w:type="dxa"/>
              <w:left w:w="108" w:type="dxa"/>
              <w:bottom w:w="0" w:type="dxa"/>
              <w:right w:w="108" w:type="dxa"/>
            </w:tcMar>
            <w:vAlign w:val="center"/>
          </w:tcPr>
          <w:p w14:paraId="0B488C6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p>
        </w:tc>
        <w:tc>
          <w:tcPr>
            <w:tcW w:w="2214" w:type="dxa"/>
            <w:vMerge w:val="continue"/>
            <w:tcBorders>
              <w:tl2br w:val="nil"/>
              <w:tr2bl w:val="nil"/>
            </w:tcBorders>
            <w:noWrap w:val="0"/>
            <w:tcMar>
              <w:top w:w="0" w:type="dxa"/>
              <w:left w:w="108" w:type="dxa"/>
              <w:bottom w:w="0" w:type="dxa"/>
              <w:right w:w="108" w:type="dxa"/>
            </w:tcMar>
            <w:vAlign w:val="center"/>
          </w:tcPr>
          <w:p w14:paraId="54826E8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1879" w:type="dxa"/>
            <w:tcBorders>
              <w:tl2br w:val="nil"/>
              <w:tr2bl w:val="nil"/>
            </w:tcBorders>
            <w:noWrap w:val="0"/>
            <w:tcMar>
              <w:top w:w="0" w:type="dxa"/>
              <w:left w:w="108" w:type="dxa"/>
              <w:bottom w:w="0" w:type="dxa"/>
              <w:right w:w="108" w:type="dxa"/>
            </w:tcMar>
            <w:vAlign w:val="center"/>
          </w:tcPr>
          <w:p w14:paraId="0F29A48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w:t>
            </w:r>
          </w:p>
        </w:tc>
        <w:tc>
          <w:tcPr>
            <w:tcW w:w="2171" w:type="dxa"/>
            <w:vMerge w:val="continue"/>
            <w:tcBorders>
              <w:tl2br w:val="nil"/>
              <w:tr2bl w:val="nil"/>
            </w:tcBorders>
            <w:noWrap w:val="0"/>
            <w:tcMar>
              <w:top w:w="0" w:type="dxa"/>
              <w:left w:w="108" w:type="dxa"/>
              <w:bottom w:w="0" w:type="dxa"/>
              <w:right w:w="108" w:type="dxa"/>
            </w:tcMar>
            <w:vAlign w:val="center"/>
          </w:tcPr>
          <w:p w14:paraId="7D7359F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r>
    </w:tbl>
    <w:p w14:paraId="11D2C6A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基准费率表</w:t>
      </w:r>
    </w:p>
    <w:tbl>
      <w:tblPr>
        <w:tblStyle w:val="45"/>
        <w:tblW w:w="8141"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2864"/>
        <w:gridCol w:w="1759"/>
        <w:gridCol w:w="1759"/>
        <w:gridCol w:w="1759"/>
      </w:tblGrid>
      <w:tr w14:paraId="1BCDE79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388C9B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金额（万元）</w:t>
            </w:r>
          </w:p>
        </w:tc>
        <w:tc>
          <w:tcPr>
            <w:tcW w:w="1759" w:type="dxa"/>
            <w:tcBorders>
              <w:tl2br w:val="nil"/>
              <w:tr2bl w:val="nil"/>
            </w:tcBorders>
            <w:noWrap w:val="0"/>
            <w:tcMar>
              <w:top w:w="0" w:type="dxa"/>
              <w:left w:w="0" w:type="dxa"/>
              <w:bottom w:w="0" w:type="dxa"/>
              <w:right w:w="0" w:type="dxa"/>
            </w:tcMar>
            <w:vAlign w:val="center"/>
          </w:tcPr>
          <w:p w14:paraId="74BB9C7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货物采购</w:t>
            </w:r>
          </w:p>
        </w:tc>
        <w:tc>
          <w:tcPr>
            <w:tcW w:w="1759" w:type="dxa"/>
            <w:tcBorders>
              <w:tl2br w:val="nil"/>
              <w:tr2bl w:val="nil"/>
            </w:tcBorders>
            <w:noWrap w:val="0"/>
            <w:tcMar>
              <w:top w:w="0" w:type="dxa"/>
              <w:left w:w="0" w:type="dxa"/>
              <w:bottom w:w="0" w:type="dxa"/>
              <w:right w:w="0" w:type="dxa"/>
            </w:tcMar>
            <w:vAlign w:val="center"/>
          </w:tcPr>
          <w:p w14:paraId="5EBCDCC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服务采购</w:t>
            </w:r>
          </w:p>
        </w:tc>
        <w:tc>
          <w:tcPr>
            <w:tcW w:w="1759" w:type="dxa"/>
            <w:tcBorders>
              <w:tl2br w:val="nil"/>
              <w:tr2bl w:val="nil"/>
            </w:tcBorders>
            <w:noWrap w:val="0"/>
            <w:tcMar>
              <w:top w:w="0" w:type="dxa"/>
              <w:left w:w="0" w:type="dxa"/>
              <w:bottom w:w="0" w:type="dxa"/>
              <w:right w:w="0" w:type="dxa"/>
            </w:tcMar>
            <w:vAlign w:val="center"/>
          </w:tcPr>
          <w:p w14:paraId="1CA4E60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工程采购</w:t>
            </w:r>
          </w:p>
        </w:tc>
      </w:tr>
      <w:tr w14:paraId="2E4E2F7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74" w:hRule="atLeast"/>
          <w:jc w:val="center"/>
        </w:trPr>
        <w:tc>
          <w:tcPr>
            <w:tcW w:w="2864" w:type="dxa"/>
            <w:tcBorders>
              <w:tl2br w:val="nil"/>
              <w:tr2bl w:val="nil"/>
            </w:tcBorders>
            <w:noWrap w:val="0"/>
            <w:tcMar>
              <w:top w:w="0" w:type="dxa"/>
              <w:left w:w="0" w:type="dxa"/>
              <w:bottom w:w="0" w:type="dxa"/>
              <w:right w:w="0" w:type="dxa"/>
            </w:tcMar>
            <w:vAlign w:val="center"/>
          </w:tcPr>
          <w:p w14:paraId="1398801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759" w:type="dxa"/>
            <w:tcBorders>
              <w:tl2br w:val="nil"/>
              <w:tr2bl w:val="nil"/>
            </w:tcBorders>
            <w:noWrap w:val="0"/>
            <w:tcMar>
              <w:top w:w="0" w:type="dxa"/>
              <w:left w:w="0" w:type="dxa"/>
              <w:bottom w:w="0" w:type="dxa"/>
              <w:right w:w="0" w:type="dxa"/>
            </w:tcMar>
            <w:vAlign w:val="center"/>
          </w:tcPr>
          <w:p w14:paraId="3AC9110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59" w:type="dxa"/>
            <w:tcBorders>
              <w:tl2br w:val="nil"/>
              <w:tr2bl w:val="nil"/>
            </w:tcBorders>
            <w:noWrap w:val="0"/>
            <w:tcMar>
              <w:top w:w="0" w:type="dxa"/>
              <w:left w:w="0" w:type="dxa"/>
              <w:bottom w:w="0" w:type="dxa"/>
              <w:right w:w="0" w:type="dxa"/>
            </w:tcMar>
            <w:vAlign w:val="center"/>
          </w:tcPr>
          <w:p w14:paraId="211261A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59" w:type="dxa"/>
            <w:tcBorders>
              <w:tl2br w:val="nil"/>
              <w:tr2bl w:val="nil"/>
            </w:tcBorders>
            <w:noWrap w:val="0"/>
            <w:tcMar>
              <w:top w:w="0" w:type="dxa"/>
              <w:left w:w="0" w:type="dxa"/>
              <w:bottom w:w="0" w:type="dxa"/>
              <w:right w:w="0" w:type="dxa"/>
            </w:tcMar>
            <w:vAlign w:val="center"/>
          </w:tcPr>
          <w:p w14:paraId="7B7B62D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287ACFE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36B9C69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1759" w:type="dxa"/>
            <w:tcBorders>
              <w:tl2br w:val="nil"/>
              <w:tr2bl w:val="nil"/>
            </w:tcBorders>
            <w:noWrap w:val="0"/>
            <w:tcMar>
              <w:top w:w="0" w:type="dxa"/>
              <w:left w:w="0" w:type="dxa"/>
              <w:bottom w:w="0" w:type="dxa"/>
              <w:right w:w="0" w:type="dxa"/>
            </w:tcMar>
            <w:vAlign w:val="center"/>
          </w:tcPr>
          <w:p w14:paraId="6F566A4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59" w:type="dxa"/>
            <w:tcBorders>
              <w:tl2br w:val="nil"/>
              <w:tr2bl w:val="nil"/>
            </w:tcBorders>
            <w:noWrap w:val="0"/>
            <w:tcMar>
              <w:top w:w="0" w:type="dxa"/>
              <w:left w:w="0" w:type="dxa"/>
              <w:bottom w:w="0" w:type="dxa"/>
              <w:right w:w="0" w:type="dxa"/>
            </w:tcMar>
            <w:vAlign w:val="center"/>
          </w:tcPr>
          <w:p w14:paraId="690CA6E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59" w:type="dxa"/>
            <w:tcBorders>
              <w:tl2br w:val="nil"/>
              <w:tr2bl w:val="nil"/>
            </w:tcBorders>
            <w:noWrap w:val="0"/>
            <w:tcMar>
              <w:top w:w="0" w:type="dxa"/>
              <w:left w:w="0" w:type="dxa"/>
              <w:bottom w:w="0" w:type="dxa"/>
              <w:right w:w="0" w:type="dxa"/>
            </w:tcMar>
            <w:vAlign w:val="center"/>
          </w:tcPr>
          <w:p w14:paraId="08E42B4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28ED451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435882B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759" w:type="dxa"/>
            <w:tcBorders>
              <w:tl2br w:val="nil"/>
              <w:tr2bl w:val="nil"/>
            </w:tcBorders>
            <w:noWrap w:val="0"/>
            <w:tcMar>
              <w:top w:w="0" w:type="dxa"/>
              <w:left w:w="0" w:type="dxa"/>
              <w:bottom w:w="0" w:type="dxa"/>
              <w:right w:w="0" w:type="dxa"/>
            </w:tcMar>
            <w:vAlign w:val="center"/>
          </w:tcPr>
          <w:p w14:paraId="5D6C97F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59" w:type="dxa"/>
            <w:tcBorders>
              <w:tl2br w:val="nil"/>
              <w:tr2bl w:val="nil"/>
            </w:tcBorders>
            <w:noWrap w:val="0"/>
            <w:tcMar>
              <w:top w:w="0" w:type="dxa"/>
              <w:left w:w="0" w:type="dxa"/>
              <w:bottom w:w="0" w:type="dxa"/>
              <w:right w:w="0" w:type="dxa"/>
            </w:tcMar>
            <w:vAlign w:val="center"/>
          </w:tcPr>
          <w:p w14:paraId="777FD8E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759" w:type="dxa"/>
            <w:tcBorders>
              <w:tl2br w:val="nil"/>
              <w:tr2bl w:val="nil"/>
            </w:tcBorders>
            <w:noWrap w:val="0"/>
            <w:tcMar>
              <w:top w:w="0" w:type="dxa"/>
              <w:left w:w="0" w:type="dxa"/>
              <w:bottom w:w="0" w:type="dxa"/>
              <w:right w:w="0" w:type="dxa"/>
            </w:tcMar>
            <w:vAlign w:val="center"/>
          </w:tcPr>
          <w:p w14:paraId="0AF621B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3D193FB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2C49D70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1759" w:type="dxa"/>
            <w:tcBorders>
              <w:tl2br w:val="nil"/>
              <w:tr2bl w:val="nil"/>
            </w:tcBorders>
            <w:noWrap w:val="0"/>
            <w:tcMar>
              <w:top w:w="0" w:type="dxa"/>
              <w:left w:w="0" w:type="dxa"/>
              <w:bottom w:w="0" w:type="dxa"/>
              <w:right w:w="0" w:type="dxa"/>
            </w:tcMar>
            <w:vAlign w:val="center"/>
          </w:tcPr>
          <w:p w14:paraId="2B6D548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759" w:type="dxa"/>
            <w:tcBorders>
              <w:tl2br w:val="nil"/>
              <w:tr2bl w:val="nil"/>
            </w:tcBorders>
            <w:noWrap w:val="0"/>
            <w:tcMar>
              <w:top w:w="0" w:type="dxa"/>
              <w:left w:w="0" w:type="dxa"/>
              <w:bottom w:w="0" w:type="dxa"/>
              <w:right w:w="0" w:type="dxa"/>
            </w:tcMar>
            <w:vAlign w:val="center"/>
          </w:tcPr>
          <w:p w14:paraId="441D93A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759" w:type="dxa"/>
            <w:tcBorders>
              <w:tl2br w:val="nil"/>
              <w:tr2bl w:val="nil"/>
            </w:tcBorders>
            <w:noWrap w:val="0"/>
            <w:tcMar>
              <w:top w:w="0" w:type="dxa"/>
              <w:left w:w="0" w:type="dxa"/>
              <w:bottom w:w="0" w:type="dxa"/>
              <w:right w:w="0" w:type="dxa"/>
            </w:tcMar>
            <w:vAlign w:val="center"/>
          </w:tcPr>
          <w:p w14:paraId="159D49C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26A1877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04DA70F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5000-1亿</w:t>
            </w:r>
          </w:p>
        </w:tc>
        <w:tc>
          <w:tcPr>
            <w:tcW w:w="1759" w:type="dxa"/>
            <w:tcBorders>
              <w:tl2br w:val="nil"/>
              <w:tr2bl w:val="nil"/>
            </w:tcBorders>
            <w:noWrap w:val="0"/>
            <w:tcMar>
              <w:top w:w="0" w:type="dxa"/>
              <w:left w:w="0" w:type="dxa"/>
              <w:bottom w:w="0" w:type="dxa"/>
              <w:right w:w="0" w:type="dxa"/>
            </w:tcMar>
            <w:vAlign w:val="center"/>
          </w:tcPr>
          <w:p w14:paraId="7C4194C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759" w:type="dxa"/>
            <w:tcBorders>
              <w:tl2br w:val="nil"/>
              <w:tr2bl w:val="nil"/>
            </w:tcBorders>
            <w:noWrap w:val="0"/>
            <w:tcMar>
              <w:top w:w="0" w:type="dxa"/>
              <w:left w:w="0" w:type="dxa"/>
              <w:bottom w:w="0" w:type="dxa"/>
              <w:right w:w="0" w:type="dxa"/>
            </w:tcMar>
            <w:vAlign w:val="center"/>
          </w:tcPr>
          <w:p w14:paraId="2086A51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1759" w:type="dxa"/>
            <w:tcBorders>
              <w:tl2br w:val="nil"/>
              <w:tr2bl w:val="nil"/>
            </w:tcBorders>
            <w:noWrap w:val="0"/>
            <w:tcMar>
              <w:top w:w="0" w:type="dxa"/>
              <w:left w:w="0" w:type="dxa"/>
              <w:bottom w:w="0" w:type="dxa"/>
              <w:right w:w="0" w:type="dxa"/>
            </w:tcMar>
            <w:vAlign w:val="center"/>
          </w:tcPr>
          <w:p w14:paraId="63BD540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r w14:paraId="3763EFB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5C8FAEF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1亿以上</w:t>
            </w:r>
          </w:p>
        </w:tc>
        <w:tc>
          <w:tcPr>
            <w:tcW w:w="1759" w:type="dxa"/>
            <w:tcBorders>
              <w:tl2br w:val="nil"/>
              <w:tr2bl w:val="nil"/>
            </w:tcBorders>
            <w:noWrap w:val="0"/>
            <w:tcMar>
              <w:top w:w="0" w:type="dxa"/>
              <w:left w:w="0" w:type="dxa"/>
              <w:bottom w:w="0" w:type="dxa"/>
              <w:right w:w="0" w:type="dxa"/>
            </w:tcMar>
            <w:vAlign w:val="center"/>
          </w:tcPr>
          <w:p w14:paraId="2CD9F29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59" w:type="dxa"/>
            <w:tcBorders>
              <w:tl2br w:val="nil"/>
              <w:tr2bl w:val="nil"/>
            </w:tcBorders>
            <w:noWrap w:val="0"/>
            <w:tcMar>
              <w:top w:w="0" w:type="dxa"/>
              <w:left w:w="0" w:type="dxa"/>
              <w:bottom w:w="0" w:type="dxa"/>
              <w:right w:w="0" w:type="dxa"/>
            </w:tcMar>
            <w:vAlign w:val="center"/>
          </w:tcPr>
          <w:p w14:paraId="1AA285F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59" w:type="dxa"/>
            <w:tcBorders>
              <w:tl2br w:val="nil"/>
              <w:tr2bl w:val="nil"/>
            </w:tcBorders>
            <w:noWrap w:val="0"/>
            <w:tcMar>
              <w:top w:w="0" w:type="dxa"/>
              <w:left w:w="0" w:type="dxa"/>
              <w:bottom w:w="0" w:type="dxa"/>
              <w:right w:w="0" w:type="dxa"/>
            </w:tcMar>
            <w:vAlign w:val="center"/>
          </w:tcPr>
          <w:p w14:paraId="3055718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bl>
    <w:p w14:paraId="46F7002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（1）代理服务费以人民币支付；</w:t>
      </w:r>
    </w:p>
    <w:p w14:paraId="7F53E8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（2）代理服务费支付方式：一次性以电汇或转账形式支付。</w:t>
      </w:r>
    </w:p>
    <w:p w14:paraId="7EC764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（3）招标代理服务费不在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报价中单列，包含在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总价中，由</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rPr>
        <w:t>支付给代理机构。</w:t>
      </w:r>
    </w:p>
    <w:p w14:paraId="7B572E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招标代理服务费开户银行：</w:t>
      </w:r>
      <w:r>
        <w:rPr>
          <w:rFonts w:hint="eastAsia" w:ascii="宋体" w:hAnsi="宋体" w:eastAsia="宋体" w:cs="宋体"/>
          <w:b/>
          <w:bCs/>
          <w:color w:val="auto"/>
          <w:kern w:val="0"/>
          <w:sz w:val="21"/>
          <w:szCs w:val="21"/>
          <w:highlight w:val="none"/>
        </w:rPr>
        <w:t>中国工商银行扬州雍华府支行</w:t>
      </w:r>
    </w:p>
    <w:p w14:paraId="6C84CDF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开户名称：江苏苏维工程管理有限公司</w:t>
      </w:r>
    </w:p>
    <w:p w14:paraId="6D089E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开户</w:t>
      </w:r>
      <w:r>
        <w:rPr>
          <w:rFonts w:hint="eastAsia" w:ascii="宋体" w:hAnsi="宋体" w:cs="宋体"/>
          <w:b/>
          <w:bCs/>
          <w:color w:val="auto"/>
          <w:sz w:val="21"/>
          <w:szCs w:val="21"/>
          <w:highlight w:val="none"/>
          <w:lang w:val="en-US" w:eastAsia="zh-CN"/>
        </w:rPr>
        <w:t>账</w:t>
      </w:r>
      <w:r>
        <w:rPr>
          <w:rFonts w:hint="eastAsia" w:ascii="宋体" w:hAnsi="宋体" w:eastAsia="宋体" w:cs="宋体"/>
          <w:b/>
          <w:bCs/>
          <w:color w:val="auto"/>
          <w:sz w:val="21"/>
          <w:szCs w:val="21"/>
          <w:highlight w:val="none"/>
        </w:rPr>
        <w:t>号：</w:t>
      </w:r>
      <w:r>
        <w:rPr>
          <w:rFonts w:hint="eastAsia" w:ascii="宋体" w:hAnsi="宋体" w:eastAsia="宋体" w:cs="宋体"/>
          <w:b/>
          <w:bCs/>
          <w:color w:val="auto"/>
          <w:kern w:val="0"/>
          <w:sz w:val="21"/>
          <w:szCs w:val="21"/>
          <w:highlight w:val="none"/>
        </w:rPr>
        <w:t>1108020819100000612</w:t>
      </w:r>
    </w:p>
    <w:p w14:paraId="4D84E995">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4.4专家评审费</w:t>
      </w:r>
      <w:r>
        <w:rPr>
          <w:rFonts w:hint="eastAsia" w:ascii="宋体" w:hAnsi="宋体" w:cs="宋体"/>
          <w:b/>
          <w:bCs/>
          <w:color w:val="auto"/>
          <w:sz w:val="21"/>
          <w:szCs w:val="21"/>
          <w:highlight w:val="none"/>
          <w:lang w:val="en-US" w:eastAsia="zh-CN"/>
        </w:rPr>
        <w:t>参照</w:t>
      </w:r>
      <w:r>
        <w:rPr>
          <w:rFonts w:hint="eastAsia" w:ascii="宋体" w:hAnsi="宋体" w:eastAsia="宋体" w:cs="宋体"/>
          <w:b/>
          <w:bCs/>
          <w:color w:val="auto"/>
          <w:sz w:val="21"/>
          <w:szCs w:val="21"/>
          <w:highlight w:val="none"/>
        </w:rPr>
        <w:t>《扬州市财政局关于进一步规范扬州市政府采购专家评审费标准的通知》（扬财购〔2020〕40号）执行。</w:t>
      </w:r>
    </w:p>
    <w:p w14:paraId="37E10327">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val="0"/>
          <w:color w:val="auto"/>
          <w:sz w:val="21"/>
          <w:szCs w:val="21"/>
          <w:highlight w:val="none"/>
        </w:rPr>
        <w:t>招标文件的约束力</w:t>
      </w:r>
    </w:p>
    <w:p w14:paraId="1C3B9EF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w:t>
      </w:r>
      <w:r>
        <w:rPr>
          <w:rFonts w:hint="eastAsia" w:ascii="宋体" w:hAnsi="宋体" w:eastAsia="宋体" w:cs="宋体"/>
          <w:color w:val="auto"/>
          <w:sz w:val="21"/>
          <w:szCs w:val="21"/>
          <w:highlight w:val="none"/>
        </w:rPr>
        <w:t xml:space="preserve"> 投标人一旦参加本项目采购活动，即被认为接受了本招标文件的规定和约束。</w:t>
      </w:r>
    </w:p>
    <w:p w14:paraId="66CBC97E">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45" w:name="_Toc16938526"/>
      <w:bookmarkStart w:id="46" w:name="_Toc20823282"/>
      <w:bookmarkStart w:id="47" w:name="_Toc513029210"/>
      <w:r>
        <w:rPr>
          <w:rFonts w:hint="eastAsia" w:ascii="宋体" w:hAnsi="宋体" w:eastAsia="宋体" w:cs="宋体"/>
          <w:bCs w:val="0"/>
          <w:color w:val="auto"/>
          <w:sz w:val="21"/>
          <w:szCs w:val="21"/>
          <w:highlight w:val="none"/>
        </w:rPr>
        <w:t>6、招标文件构成</w:t>
      </w:r>
      <w:bookmarkEnd w:id="45"/>
      <w:bookmarkEnd w:id="46"/>
      <w:bookmarkEnd w:id="47"/>
    </w:p>
    <w:p w14:paraId="1ED030D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6.1</w:t>
      </w:r>
      <w:r>
        <w:rPr>
          <w:rFonts w:hint="eastAsia" w:ascii="宋体" w:hAnsi="宋体" w:eastAsia="宋体" w:cs="宋体"/>
          <w:color w:val="auto"/>
          <w:sz w:val="21"/>
          <w:szCs w:val="21"/>
          <w:highlight w:val="none"/>
        </w:rPr>
        <w:t xml:space="preserve"> 招标文件有以下部分组成：</w:t>
      </w:r>
    </w:p>
    <w:p w14:paraId="4154CC0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188BC462">
      <w:pPr>
        <w:keepNext w:val="0"/>
        <w:keepLines w:val="0"/>
        <w:pageBreakBefore w:val="0"/>
        <w:tabs>
          <w:tab w:val="left" w:pos="2580"/>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r>
        <w:rPr>
          <w:rFonts w:hint="eastAsia" w:ascii="宋体" w:hAnsi="宋体" w:eastAsia="宋体" w:cs="宋体"/>
          <w:color w:val="auto"/>
          <w:sz w:val="21"/>
          <w:szCs w:val="21"/>
          <w:highlight w:val="none"/>
        </w:rPr>
        <w:tab/>
      </w:r>
    </w:p>
    <w:p w14:paraId="746154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（3）合同条款及格式</w:t>
      </w:r>
    </w:p>
    <w:p w14:paraId="1B436D2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（4）项目需求</w:t>
      </w:r>
    </w:p>
    <w:p w14:paraId="0925D87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（5）评标方法与评标标准</w:t>
      </w:r>
    </w:p>
    <w:p w14:paraId="6701F08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08946AF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请仔细检查招标文件是否齐全，如有缺漏请立即与代理机构联系解决。</w:t>
      </w:r>
    </w:p>
    <w:p w14:paraId="7F99038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 招标的最小单位是包。</w:t>
      </w:r>
    </w:p>
    <w:p w14:paraId="3C1599F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招标文件如果要求供应商提交备选方案的，供应商可以提交备选方案；否则，备选方案将被拒绝。</w:t>
      </w:r>
    </w:p>
    <w:p w14:paraId="2FFD4F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6.4</w:t>
      </w:r>
      <w:r>
        <w:rPr>
          <w:rFonts w:hint="eastAsia" w:ascii="宋体" w:hAnsi="宋体" w:eastAsia="宋体" w:cs="宋体"/>
          <w:color w:val="auto"/>
          <w:sz w:val="21"/>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9FF30DF">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48" w:name="_Toc513029211"/>
      <w:bookmarkStart w:id="49" w:name="_Toc16938527"/>
      <w:bookmarkStart w:id="50" w:name="_Toc20823283"/>
      <w:bookmarkStart w:id="51" w:name="_Toc462564070"/>
      <w:r>
        <w:rPr>
          <w:rFonts w:hint="eastAsia" w:ascii="宋体" w:hAnsi="宋体" w:eastAsia="宋体" w:cs="宋体"/>
          <w:bCs w:val="0"/>
          <w:color w:val="auto"/>
          <w:sz w:val="21"/>
          <w:szCs w:val="21"/>
          <w:highlight w:val="none"/>
        </w:rPr>
        <w:t>7</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招标文件的</w:t>
      </w:r>
      <w:bookmarkEnd w:id="48"/>
      <w:bookmarkEnd w:id="49"/>
      <w:bookmarkEnd w:id="50"/>
      <w:bookmarkEnd w:id="51"/>
      <w:r>
        <w:rPr>
          <w:rFonts w:hint="eastAsia" w:ascii="宋体" w:hAnsi="宋体" w:eastAsia="宋体" w:cs="宋体"/>
          <w:bCs w:val="0"/>
          <w:color w:val="auto"/>
          <w:sz w:val="21"/>
          <w:szCs w:val="21"/>
          <w:highlight w:val="none"/>
        </w:rPr>
        <w:t>澄清</w:t>
      </w:r>
    </w:p>
    <w:p w14:paraId="6132802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任何要求对招标文件进行澄清的投标人，应在投标截止日期的十日前按投标邀请中的通讯地址，以书面形式通知代理机构。</w:t>
      </w:r>
    </w:p>
    <w:p w14:paraId="7E8DF473">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52" w:name="_Toc16938528"/>
      <w:bookmarkStart w:id="53" w:name="_Toc462564071"/>
      <w:bookmarkStart w:id="54" w:name="_Toc513029212"/>
      <w:bookmarkStart w:id="55" w:name="_Toc20823284"/>
      <w:r>
        <w:rPr>
          <w:rFonts w:hint="eastAsia" w:ascii="宋体" w:hAnsi="宋体" w:eastAsia="宋体" w:cs="宋体"/>
          <w:bCs w:val="0"/>
          <w:color w:val="auto"/>
          <w:sz w:val="21"/>
          <w:szCs w:val="21"/>
          <w:highlight w:val="none"/>
        </w:rPr>
        <w:t>8</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招标文件的修改</w:t>
      </w:r>
      <w:bookmarkEnd w:id="52"/>
      <w:bookmarkEnd w:id="53"/>
      <w:bookmarkEnd w:id="54"/>
      <w:bookmarkEnd w:id="55"/>
    </w:p>
    <w:p w14:paraId="54F85BD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8.1</w:t>
      </w:r>
      <w:r>
        <w:rPr>
          <w:rFonts w:hint="eastAsia" w:ascii="宋体" w:hAnsi="宋体" w:eastAsia="宋体" w:cs="宋体"/>
          <w:color w:val="auto"/>
          <w:sz w:val="21"/>
          <w:szCs w:val="21"/>
          <w:highlight w:val="none"/>
        </w:rPr>
        <w:t xml:space="preserve"> 在投标截止时间前，代理机构可以对招标文件进行修改。</w:t>
      </w:r>
    </w:p>
    <w:p w14:paraId="7CF1FA7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8.2代理机构在招标文件要求提交投标文件截止时间前，有权决定延长投标截止时间和开标时间，并在原采购信息发布媒体上发布变更公告。</w:t>
      </w:r>
    </w:p>
    <w:p w14:paraId="1AFC420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8.3</w:t>
      </w:r>
      <w:r>
        <w:rPr>
          <w:rFonts w:hint="eastAsia" w:ascii="宋体" w:hAnsi="宋体" w:eastAsia="宋体" w:cs="宋体"/>
          <w:color w:val="auto"/>
          <w:sz w:val="21"/>
          <w:szCs w:val="21"/>
          <w:highlight w:val="none"/>
        </w:rPr>
        <w:t>招标文件的修改将在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公布，补充文件将作为招标文件的组成部分，并对投标人具有约束力。</w:t>
      </w:r>
    </w:p>
    <w:p w14:paraId="5E0B5DA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8.4投标人应在投标截止时间前关注原采购信息发布媒体上有关本招标项目有无变更公告，否则所导致的所有不利后果均由投标人自行承担。</w:t>
      </w:r>
    </w:p>
    <w:p w14:paraId="1F97FB8E">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56" w:name="_Toc16938530"/>
      <w:bookmarkStart w:id="57" w:name="_Toc462564073"/>
      <w:bookmarkStart w:id="58" w:name="_Toc20823286"/>
      <w:bookmarkStart w:id="59" w:name="_Toc513029214"/>
      <w:r>
        <w:rPr>
          <w:rFonts w:hint="eastAsia" w:ascii="宋体" w:hAnsi="宋体" w:eastAsia="宋体" w:cs="宋体"/>
          <w:bCs w:val="0"/>
          <w:color w:val="auto"/>
          <w:sz w:val="21"/>
          <w:szCs w:val="21"/>
          <w:highlight w:val="none"/>
        </w:rPr>
        <w:t>9、投标文件的语言、度量衡单位</w:t>
      </w:r>
      <w:bookmarkEnd w:id="56"/>
      <w:bookmarkEnd w:id="57"/>
      <w:bookmarkEnd w:id="58"/>
      <w:bookmarkEnd w:id="59"/>
      <w:r>
        <w:rPr>
          <w:rFonts w:hint="eastAsia" w:ascii="宋体" w:hAnsi="宋体" w:eastAsia="宋体" w:cs="宋体"/>
          <w:bCs w:val="0"/>
          <w:color w:val="auto"/>
          <w:sz w:val="21"/>
          <w:szCs w:val="21"/>
          <w:highlight w:val="none"/>
        </w:rPr>
        <w:t>、货币和编制</w:t>
      </w:r>
    </w:p>
    <w:p w14:paraId="1F78C5D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color w:val="auto"/>
          <w:sz w:val="21"/>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65F4593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color w:val="auto"/>
          <w:sz w:val="21"/>
          <w:szCs w:val="21"/>
          <w:highlight w:val="none"/>
        </w:rPr>
        <w:t xml:space="preserve"> 除技术性能另有规定外，投标文件所使用的度量衡单位，均须采用国家法定计量单位。</w:t>
      </w:r>
    </w:p>
    <w:p w14:paraId="699EC8E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9.3投标人应使用人民币报价。</w:t>
      </w:r>
    </w:p>
    <w:p w14:paraId="704B487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9.4投标文件应字迹清楚、内容齐全、不得涂改。如有修改，修改处须有投标人加盖公章和法定代表人或其授权代表签字。</w:t>
      </w:r>
    </w:p>
    <w:p w14:paraId="79B21626">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60" w:name="_Toc462564074"/>
      <w:bookmarkStart w:id="61" w:name="_Toc513029215"/>
      <w:bookmarkStart w:id="62" w:name="_Toc20823287"/>
      <w:bookmarkStart w:id="63" w:name="_Toc16938531"/>
      <w:r>
        <w:rPr>
          <w:rFonts w:hint="eastAsia" w:ascii="宋体" w:hAnsi="宋体" w:eastAsia="宋体" w:cs="宋体"/>
          <w:bCs w:val="0"/>
          <w:color w:val="auto"/>
          <w:sz w:val="21"/>
          <w:szCs w:val="21"/>
          <w:highlight w:val="none"/>
        </w:rPr>
        <w:t>10、投标文件构成</w:t>
      </w:r>
      <w:bookmarkEnd w:id="60"/>
      <w:bookmarkEnd w:id="61"/>
      <w:bookmarkEnd w:id="62"/>
      <w:bookmarkEnd w:id="63"/>
    </w:p>
    <w:p w14:paraId="6D78012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10.1</w:t>
      </w:r>
      <w:r>
        <w:rPr>
          <w:rFonts w:hint="eastAsia" w:ascii="宋体" w:hAnsi="宋体" w:eastAsia="宋体" w:cs="宋体"/>
          <w:color w:val="auto"/>
          <w:sz w:val="21"/>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里对应的相关支撑证明材料。</w:t>
      </w:r>
    </w:p>
    <w:p w14:paraId="559CC855">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bookmarkStart w:id="64" w:name="_Toc513029219"/>
      <w:bookmarkStart w:id="65" w:name="_Toc14577357"/>
      <w:bookmarkStart w:id="66" w:name="_Toc49090509"/>
      <w:bookmarkStart w:id="67" w:name="_Toc513029216"/>
      <w:bookmarkStart w:id="68" w:name="_Toc14577354"/>
      <w:bookmarkStart w:id="69" w:name="_Toc49090507"/>
      <w:r>
        <w:rPr>
          <w:rFonts w:hint="eastAsia" w:ascii="宋体" w:hAnsi="宋体" w:eastAsia="宋体" w:cs="宋体"/>
          <w:b w:val="0"/>
          <w:bCs w:val="0"/>
          <w:color w:val="auto"/>
          <w:sz w:val="21"/>
          <w:szCs w:val="21"/>
          <w:highlight w:val="none"/>
        </w:rPr>
        <w:t>10.2 投标人应将投标文件按顺序装订成册，应逐页编码，不得跳页（包括但不限于证明材料、声明及产品介绍、彩页等），并编制投标文件资料目录。由于编排混乱导致投标文件被误读或漏读，责任由投标人承担。</w:t>
      </w:r>
    </w:p>
    <w:p w14:paraId="60D5CDE1">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 投标人应当根据招标文件要求编制投标文件，投标文件应对招标文件提出的要求和条件做出实质性响应，并在相应的投标文件中逐条标明满足与否。</w:t>
      </w:r>
    </w:p>
    <w:p w14:paraId="2B3A17D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11、证明投标人资格及符合招标文件规定的文件</w:t>
      </w:r>
      <w:bookmarkEnd w:id="64"/>
      <w:bookmarkEnd w:id="65"/>
      <w:bookmarkEnd w:id="66"/>
    </w:p>
    <w:p w14:paraId="56FD10A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11.1投标人应按要求提交资格证明文件及符合招标文件规定的文件。</w:t>
      </w:r>
    </w:p>
    <w:p w14:paraId="38D4840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11.2投标人应提交证明其有资格参加投标和中标后有能力独立履行合同的文件。</w:t>
      </w:r>
    </w:p>
    <w:p w14:paraId="1EA4806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11.3投标人除必须具有履行合同所需提供的货物以及服务的能力外，还必须具备相应的财务、技术方面的能力。</w:t>
      </w:r>
    </w:p>
    <w:p w14:paraId="362AEC5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11.4投标人应提交根据合同要求提供的证明产品质量合格以及符合招标文件规定的证明文件。</w:t>
      </w:r>
    </w:p>
    <w:p w14:paraId="1421D7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11.5证明投标人所提供货物与招标文件的要求相一致的文件可以是手册、图纸、文字资料和数据</w:t>
      </w:r>
      <w:r>
        <w:rPr>
          <w:rFonts w:hint="eastAsia" w:ascii="宋体" w:hAnsi="宋体" w:eastAsia="宋体" w:cs="宋体"/>
          <w:bCs/>
          <w:color w:val="auto"/>
          <w:sz w:val="21"/>
          <w:szCs w:val="21"/>
          <w:highlight w:val="none"/>
        </w:rPr>
        <w:t>。</w:t>
      </w:r>
      <w:bookmarkEnd w:id="67"/>
      <w:bookmarkEnd w:id="68"/>
      <w:bookmarkEnd w:id="69"/>
    </w:p>
    <w:p w14:paraId="5F2D6302">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70" w:name="_Toc14577355"/>
      <w:bookmarkStart w:id="71" w:name="_Toc49090508"/>
      <w:r>
        <w:rPr>
          <w:rFonts w:hint="eastAsia" w:ascii="宋体" w:hAnsi="宋体" w:eastAsia="宋体" w:cs="宋体"/>
          <w:bCs w:val="0"/>
          <w:color w:val="auto"/>
          <w:sz w:val="21"/>
          <w:szCs w:val="21"/>
          <w:highlight w:val="none"/>
        </w:rPr>
        <w:t>12、供货一览表和投标配置与分项报价</w:t>
      </w:r>
      <w:bookmarkEnd w:id="70"/>
      <w:r>
        <w:rPr>
          <w:rFonts w:hint="eastAsia" w:ascii="宋体" w:hAnsi="宋体" w:eastAsia="宋体" w:cs="宋体"/>
          <w:bCs w:val="0"/>
          <w:color w:val="auto"/>
          <w:sz w:val="21"/>
          <w:szCs w:val="21"/>
          <w:highlight w:val="none"/>
        </w:rPr>
        <w:t>表</w:t>
      </w:r>
      <w:bookmarkEnd w:id="71"/>
    </w:p>
    <w:p w14:paraId="4E0946E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12.1</w:t>
      </w:r>
      <w:r>
        <w:rPr>
          <w:rFonts w:hint="eastAsia" w:ascii="宋体" w:hAnsi="宋体" w:eastAsia="宋体" w:cs="宋体"/>
          <w:color w:val="auto"/>
          <w:sz w:val="21"/>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14:paraId="5F9278C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12.2</w:t>
      </w:r>
      <w:r>
        <w:rPr>
          <w:rFonts w:hint="eastAsia" w:ascii="宋体" w:hAnsi="宋体" w:eastAsia="宋体" w:cs="宋体"/>
          <w:color w:val="auto"/>
          <w:sz w:val="21"/>
          <w:szCs w:val="21"/>
          <w:highlight w:val="none"/>
        </w:rPr>
        <w:t xml:space="preserve"> 标的物</w:t>
      </w:r>
    </w:p>
    <w:p w14:paraId="0470DEF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采购人需求的货物供应及有关技术服务等</w:t>
      </w:r>
      <w:r>
        <w:rPr>
          <w:rFonts w:hint="eastAsia" w:ascii="宋体" w:hAnsi="宋体" w:eastAsia="宋体" w:cs="宋体"/>
          <w:color w:val="auto"/>
          <w:sz w:val="21"/>
          <w:szCs w:val="21"/>
          <w:highlight w:val="none"/>
        </w:rPr>
        <w:t>。</w:t>
      </w:r>
    </w:p>
    <w:p w14:paraId="1EFA352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12.3</w:t>
      </w:r>
      <w:r>
        <w:rPr>
          <w:rFonts w:hint="eastAsia" w:ascii="宋体" w:hAnsi="宋体" w:eastAsia="宋体" w:cs="宋体"/>
          <w:bCs/>
          <w:color w:val="auto"/>
          <w:sz w:val="21"/>
          <w:szCs w:val="21"/>
          <w:highlight w:val="none"/>
        </w:rPr>
        <w:t>有关费用处理</w:t>
      </w:r>
    </w:p>
    <w:p w14:paraId="2EDA5D3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招标报价采用总承包方式，投标人的报价应包括所投产品费用、日常检测费用、测试验收费、培训费、运行维护费用、税金、运输费用及保险、报关清关、开证、办理全套免税手续费用及其他有关的为完成本项目发生的所有费用，招标文件中另有规定的除外。</w:t>
      </w:r>
    </w:p>
    <w:p w14:paraId="59DEA52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bCs/>
          <w:color w:val="auto"/>
          <w:sz w:val="21"/>
          <w:szCs w:val="21"/>
          <w:highlight w:val="none"/>
        </w:rPr>
        <w:t>其它费用处理</w:t>
      </w:r>
    </w:p>
    <w:p w14:paraId="7520D96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招标文件未列明，而投标人认为必需的费用也需列入报价。</w:t>
      </w:r>
    </w:p>
    <w:p w14:paraId="229EB3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12.5</w:t>
      </w:r>
      <w:r>
        <w:rPr>
          <w:rFonts w:hint="eastAsia" w:ascii="宋体" w:hAnsi="宋体" w:eastAsia="宋体" w:cs="宋体"/>
          <w:bCs/>
          <w:color w:val="auto"/>
          <w:sz w:val="21"/>
          <w:szCs w:val="21"/>
          <w:highlight w:val="none"/>
        </w:rPr>
        <w:t>投标货币</w:t>
      </w:r>
    </w:p>
    <w:p w14:paraId="616A5DD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投标文件中的货物单价和总价无特殊规定的采用人民币报价，以元为单位标注。</w:t>
      </w:r>
      <w:r>
        <w:rPr>
          <w:rFonts w:hint="eastAsia" w:ascii="宋体" w:hAnsi="宋体" w:eastAsia="宋体" w:cs="宋体"/>
          <w:color w:val="auto"/>
          <w:sz w:val="21"/>
          <w:szCs w:val="21"/>
          <w:highlight w:val="none"/>
        </w:rPr>
        <w:t>招标文件中另有规定的按规定执行。</w:t>
      </w:r>
    </w:p>
    <w:p w14:paraId="2118629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r>
        <w:rPr>
          <w:rFonts w:hint="eastAsia" w:ascii="宋体" w:hAnsi="宋体" w:eastAsia="宋体" w:cs="宋体"/>
          <w:bCs/>
          <w:color w:val="auto"/>
          <w:sz w:val="21"/>
          <w:szCs w:val="21"/>
          <w:highlight w:val="none"/>
        </w:rPr>
        <w:t xml:space="preserve"> 投标配置与分项报价表上的价格应按下列方式分开填写</w:t>
      </w:r>
      <w:r>
        <w:rPr>
          <w:rFonts w:hint="eastAsia" w:ascii="宋体" w:hAnsi="宋体" w:eastAsia="宋体" w:cs="宋体"/>
          <w:color w:val="auto"/>
          <w:sz w:val="21"/>
          <w:szCs w:val="21"/>
          <w:highlight w:val="none"/>
        </w:rPr>
        <w:t>：</w:t>
      </w:r>
    </w:p>
    <w:p w14:paraId="710F7A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项目总价：包括</w:t>
      </w:r>
      <w:r>
        <w:rPr>
          <w:rFonts w:hint="eastAsia" w:ascii="宋体" w:hAnsi="宋体" w:eastAsia="宋体" w:cs="宋体"/>
          <w:bCs/>
          <w:color w:val="auto"/>
          <w:sz w:val="21"/>
          <w:szCs w:val="21"/>
          <w:highlight w:val="none"/>
        </w:rPr>
        <w:t>采购人需求的货物价格</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质量保证费用、培训费用、售后及运营维护等费用，项目在指定地点、环境交付、验收所需费用和所有</w:t>
      </w:r>
      <w:r>
        <w:rPr>
          <w:rFonts w:hint="eastAsia" w:ascii="宋体" w:hAnsi="宋体" w:eastAsia="宋体" w:cs="宋体"/>
          <w:color w:val="auto"/>
          <w:sz w:val="21"/>
          <w:szCs w:val="21"/>
          <w:highlight w:val="none"/>
        </w:rPr>
        <w:t>相关税金费用</w:t>
      </w:r>
      <w:r>
        <w:rPr>
          <w:rFonts w:hint="eastAsia" w:ascii="宋体" w:hAnsi="宋体" w:eastAsia="宋体" w:cs="宋体"/>
          <w:bCs/>
          <w:color w:val="auto"/>
          <w:sz w:val="21"/>
          <w:szCs w:val="21"/>
          <w:highlight w:val="none"/>
        </w:rPr>
        <w:t>及为完成整个项目所产生的其它所有费用。</w:t>
      </w:r>
    </w:p>
    <w:p w14:paraId="378F5EB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项目单价按投标配置及分项报价表中要求填报。</w:t>
      </w:r>
    </w:p>
    <w:p w14:paraId="2BD0CDEE">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eastAsia="宋体" w:cs="宋体"/>
          <w:b/>
          <w:color w:val="auto"/>
          <w:sz w:val="21"/>
          <w:szCs w:val="21"/>
          <w:highlight w:val="none"/>
        </w:rPr>
        <w:t>技术参数响应及偏离表、商务条款响应及偏离表及投标货物说明</w:t>
      </w:r>
    </w:p>
    <w:p w14:paraId="49D24DE0">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bCs/>
          <w:color w:val="auto"/>
          <w:szCs w:val="21"/>
          <w:highlight w:val="none"/>
          <w:lang w:val="zh-CN"/>
        </w:rPr>
        <w:t>13.1</w:t>
      </w:r>
      <w:r>
        <w:rPr>
          <w:rFonts w:hint="eastAsia" w:ascii="宋体" w:hAnsi="宋体" w:cs="宋体"/>
          <w:color w:val="auto"/>
          <w:szCs w:val="21"/>
          <w:highlight w:val="none"/>
          <w:lang w:val="zh-CN"/>
        </w:rPr>
        <w:t xml:space="preserve"> 对招标文件中的技术与商务条款要求逐项作出响应或偏离，并说明原因；</w:t>
      </w:r>
    </w:p>
    <w:p w14:paraId="53D7DEFA">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13.2 提供参加本项目类似案例简介；</w:t>
      </w:r>
    </w:p>
    <w:p w14:paraId="23FEAA0B">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13.3 培训计划；</w:t>
      </w:r>
    </w:p>
    <w:p w14:paraId="36B71FC8">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13.4 详细阐述所投货物的主要组成部分、功能设计、实现思路及关键技术；</w:t>
      </w:r>
    </w:p>
    <w:p w14:paraId="24D82271">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13.5 投标人认为需要的其他技术文件或说明。</w:t>
      </w:r>
    </w:p>
    <w:p w14:paraId="1F43B38E">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14、服务承诺及售后服务机构、人员的情况介绍</w:t>
      </w:r>
    </w:p>
    <w:p w14:paraId="10DBF81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投标人的服务承诺应按不低于招标文件中商务要求的标准。</w:t>
      </w:r>
    </w:p>
    <w:p w14:paraId="4C08839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14.2</w:t>
      </w:r>
      <w:r>
        <w:rPr>
          <w:rFonts w:hint="eastAsia" w:ascii="宋体" w:hAnsi="宋体" w:eastAsia="宋体" w:cs="宋体"/>
          <w:color w:val="auto"/>
          <w:sz w:val="21"/>
          <w:szCs w:val="21"/>
          <w:highlight w:val="none"/>
        </w:rPr>
        <w:t>提供投标人有关售后服务的管理制度、售后服务机构的分布情况、售后服务人员的数量、素质、技术水平及售后服务的反应能力。</w:t>
      </w:r>
    </w:p>
    <w:p w14:paraId="3BFCAA0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72" w:name="_Toc49090510"/>
      <w:bookmarkStart w:id="73" w:name="_Toc14577359"/>
      <w:r>
        <w:rPr>
          <w:rFonts w:hint="eastAsia" w:ascii="宋体" w:hAnsi="宋体" w:eastAsia="宋体" w:cs="宋体"/>
          <w:bCs w:val="0"/>
          <w:color w:val="auto"/>
          <w:sz w:val="21"/>
          <w:szCs w:val="21"/>
          <w:highlight w:val="none"/>
        </w:rPr>
        <w:t>15、投标函和开标一览表</w:t>
      </w:r>
    </w:p>
    <w:p w14:paraId="0B0C86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15.1</w:t>
      </w:r>
      <w:r>
        <w:rPr>
          <w:rFonts w:hint="eastAsia" w:ascii="宋体" w:hAnsi="宋体" w:eastAsia="宋体" w:cs="宋体"/>
          <w:color w:val="auto"/>
          <w:sz w:val="21"/>
          <w:szCs w:val="21"/>
          <w:highlight w:val="none"/>
        </w:rPr>
        <w:t xml:space="preserve"> 投标人应按照招标文件中提供的格式完整、正确填写投标函、开标一览表。</w:t>
      </w:r>
    </w:p>
    <w:p w14:paraId="520CB17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15.2</w:t>
      </w:r>
      <w:r>
        <w:rPr>
          <w:rFonts w:hint="eastAsia" w:ascii="宋体" w:hAnsi="宋体" w:eastAsia="宋体" w:cs="宋体"/>
          <w:color w:val="auto"/>
          <w:sz w:val="21"/>
          <w:szCs w:val="21"/>
          <w:highlight w:val="none"/>
        </w:rPr>
        <w:t xml:space="preserve"> </w:t>
      </w:r>
      <w:r>
        <w:rPr>
          <w:rFonts w:hint="eastAsia" w:ascii="宋体" w:hAnsi="宋体" w:eastAsia="宋体" w:cs="宋体"/>
          <w:bCs/>
          <w:i/>
          <w:color w:val="auto"/>
          <w:sz w:val="21"/>
          <w:szCs w:val="21"/>
          <w:highlight w:val="none"/>
          <w:u w:val="single"/>
        </w:rPr>
        <w:t>开标一览表中的价格应与投标文件中投标配置与分项报价表中的价格一致，如不一致，</w:t>
      </w:r>
      <w:r>
        <w:rPr>
          <w:rFonts w:hint="eastAsia" w:ascii="宋体" w:hAnsi="宋体" w:eastAsia="宋体" w:cs="宋体"/>
          <w:i/>
          <w:color w:val="auto"/>
          <w:sz w:val="21"/>
          <w:szCs w:val="21"/>
          <w:highlight w:val="none"/>
          <w:u w:val="single"/>
        </w:rPr>
        <w:t>不作为无效投标处理</w:t>
      </w:r>
      <w:r>
        <w:rPr>
          <w:rFonts w:hint="eastAsia" w:ascii="宋体" w:hAnsi="宋体" w:eastAsia="宋体" w:cs="宋体"/>
          <w:bCs/>
          <w:i/>
          <w:color w:val="auto"/>
          <w:sz w:val="21"/>
          <w:szCs w:val="21"/>
          <w:highlight w:val="none"/>
          <w:u w:val="single"/>
        </w:rPr>
        <w:t>，但评标时按开标一览表中价格为准</w:t>
      </w:r>
      <w:r>
        <w:rPr>
          <w:rFonts w:hint="eastAsia" w:ascii="宋体" w:hAnsi="宋体" w:eastAsia="宋体" w:cs="宋体"/>
          <w:b/>
          <w:bCs/>
          <w:i/>
          <w:color w:val="auto"/>
          <w:sz w:val="21"/>
          <w:szCs w:val="21"/>
          <w:highlight w:val="none"/>
          <w:u w:val="single"/>
        </w:rPr>
        <w:t>。</w:t>
      </w:r>
    </w:p>
    <w:p w14:paraId="2BC65735">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16、投标保证金</w:t>
      </w:r>
      <w:bookmarkEnd w:id="72"/>
      <w:bookmarkEnd w:id="73"/>
    </w:p>
    <w:p w14:paraId="1B95DA8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color w:val="auto"/>
          <w:sz w:val="21"/>
          <w:szCs w:val="21"/>
          <w:highlight w:val="none"/>
        </w:rPr>
      </w:pPr>
      <w:bookmarkStart w:id="74" w:name="_Toc14577360"/>
      <w:bookmarkStart w:id="75" w:name="_Toc49090511"/>
      <w:r>
        <w:rPr>
          <w:rFonts w:hint="eastAsia" w:ascii="宋体" w:hAnsi="宋体" w:eastAsia="宋体" w:cs="宋体"/>
          <w:b w:val="0"/>
          <w:color w:val="auto"/>
          <w:sz w:val="21"/>
          <w:szCs w:val="21"/>
          <w:highlight w:val="none"/>
        </w:rPr>
        <w:t>无</w:t>
      </w:r>
    </w:p>
    <w:p w14:paraId="7609363D">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17、投标有效期</w:t>
      </w:r>
      <w:bookmarkEnd w:id="74"/>
      <w:bookmarkEnd w:id="75"/>
    </w:p>
    <w:p w14:paraId="4673549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17.1</w:t>
      </w:r>
      <w:r>
        <w:rPr>
          <w:rFonts w:hint="eastAsia" w:ascii="宋体" w:hAnsi="宋体" w:eastAsia="宋体" w:cs="宋体"/>
          <w:bCs/>
          <w:color w:val="auto"/>
          <w:sz w:val="21"/>
          <w:szCs w:val="21"/>
          <w:highlight w:val="none"/>
        </w:rPr>
        <w:t xml:space="preserve"> 投标有效期为代理机构规定的开标之日起</w:t>
      </w:r>
      <w:r>
        <w:rPr>
          <w:rFonts w:hint="eastAsia" w:ascii="宋体" w:hAnsi="宋体" w:eastAsia="宋体" w:cs="宋体"/>
          <w:b/>
          <w:color w:val="auto"/>
          <w:sz w:val="21"/>
          <w:szCs w:val="21"/>
          <w:highlight w:val="none"/>
          <w:u w:val="single"/>
        </w:rPr>
        <w:t>六十（60）天</w:t>
      </w:r>
      <w:r>
        <w:rPr>
          <w:rFonts w:hint="eastAsia" w:ascii="宋体" w:hAnsi="宋体" w:eastAsia="宋体" w:cs="宋体"/>
          <w:bCs/>
          <w:color w:val="auto"/>
          <w:sz w:val="21"/>
          <w:szCs w:val="21"/>
          <w:highlight w:val="none"/>
        </w:rPr>
        <w:t>。投标有效期比规定短的将被视为非响应性投标而予以拒绝。</w:t>
      </w:r>
    </w:p>
    <w:p w14:paraId="18DBE05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17.2</w:t>
      </w:r>
      <w:r>
        <w:rPr>
          <w:rFonts w:hint="eastAsia" w:ascii="宋体" w:hAnsi="宋体" w:eastAsia="宋体" w:cs="宋体"/>
          <w:bCs/>
          <w:color w:val="auto"/>
          <w:sz w:val="21"/>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同意延长投标有效期的投标人既不能要求也不允许修改其投标文件</w:t>
      </w:r>
      <w:r>
        <w:rPr>
          <w:rFonts w:hint="eastAsia" w:ascii="宋体" w:hAnsi="宋体" w:eastAsia="宋体" w:cs="宋体"/>
          <w:color w:val="auto"/>
          <w:sz w:val="21"/>
          <w:szCs w:val="21"/>
          <w:highlight w:val="none"/>
        </w:rPr>
        <w:t>，同时受投标有效期约束的所有权利与义务均延长至新的有效期</w:t>
      </w:r>
      <w:r>
        <w:rPr>
          <w:rFonts w:hint="eastAsia" w:ascii="宋体" w:hAnsi="宋体" w:eastAsia="宋体" w:cs="宋体"/>
          <w:bCs/>
          <w:color w:val="auto"/>
          <w:sz w:val="21"/>
          <w:szCs w:val="21"/>
          <w:highlight w:val="none"/>
        </w:rPr>
        <w:t>。</w:t>
      </w:r>
    </w:p>
    <w:p w14:paraId="1848F33C">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76" w:name="_Toc49090512"/>
      <w:bookmarkStart w:id="77" w:name="_Toc14577361"/>
      <w:r>
        <w:rPr>
          <w:rFonts w:hint="eastAsia" w:ascii="宋体" w:hAnsi="宋体" w:eastAsia="宋体" w:cs="宋体"/>
          <w:bCs w:val="0"/>
          <w:color w:val="auto"/>
          <w:sz w:val="21"/>
          <w:szCs w:val="21"/>
          <w:highlight w:val="none"/>
        </w:rPr>
        <w:t>18、投标文件份数和签署</w:t>
      </w:r>
      <w:bookmarkEnd w:id="76"/>
      <w:bookmarkEnd w:id="77"/>
    </w:p>
    <w:p w14:paraId="528B35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投标人应严格按照招标公告和招标文件要求的份数准备投标文件，每份投标文件须清楚地标明“正本”或“副本”字样。一旦正本和副本不符，以正本为准。</w:t>
      </w:r>
    </w:p>
    <w:p w14:paraId="33246B6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18.2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3075DE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w:t>
      </w:r>
      <w:r>
        <w:rPr>
          <w:rFonts w:hint="eastAsia" w:ascii="宋体" w:hAnsi="宋体" w:eastAsia="宋体" w:cs="宋体"/>
          <w:bCs/>
          <w:color w:val="auto"/>
          <w:sz w:val="21"/>
          <w:szCs w:val="21"/>
          <w:highlight w:val="none"/>
        </w:rPr>
        <w:t xml:space="preserve"> 除投标人对错处做必要修改外，投标文件不得行间插字、涂改或增删。如有修改错漏处，必须由法定代表人或授权代表签字或盖章。</w:t>
      </w:r>
    </w:p>
    <w:p w14:paraId="3D81E6A6">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78" w:name="_Toc16938541"/>
      <w:bookmarkStart w:id="79" w:name="_Toc513029225"/>
      <w:bookmarkStart w:id="80" w:name="_Toc462564084"/>
      <w:bookmarkStart w:id="81" w:name="_Toc20823297"/>
      <w:r>
        <w:rPr>
          <w:rFonts w:hint="eastAsia" w:ascii="宋体" w:hAnsi="宋体" w:eastAsia="宋体" w:cs="宋体"/>
          <w:bCs w:val="0"/>
          <w:color w:val="auto"/>
          <w:sz w:val="21"/>
          <w:szCs w:val="21"/>
          <w:highlight w:val="none"/>
        </w:rPr>
        <w:t>19、投标文件的密封和标记</w:t>
      </w:r>
      <w:bookmarkEnd w:id="78"/>
      <w:bookmarkEnd w:id="79"/>
      <w:bookmarkEnd w:id="80"/>
      <w:bookmarkEnd w:id="81"/>
    </w:p>
    <w:p w14:paraId="58C8D23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19.1</w:t>
      </w:r>
      <w:r>
        <w:rPr>
          <w:rFonts w:hint="eastAsia" w:ascii="宋体" w:hAnsi="宋体" w:eastAsia="宋体" w:cs="宋体"/>
          <w:bCs/>
          <w:color w:val="auto"/>
          <w:sz w:val="21"/>
          <w:szCs w:val="21"/>
          <w:highlight w:val="none"/>
        </w:rPr>
        <w:t>投标人应将投标文件正本和所有副本密封，不论投标人中标与否，投标文件均不退回。</w:t>
      </w:r>
    </w:p>
    <w:p w14:paraId="25377CA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19.2</w:t>
      </w:r>
      <w:r>
        <w:rPr>
          <w:rFonts w:hint="eastAsia" w:ascii="宋体" w:hAnsi="宋体" w:eastAsia="宋体" w:cs="宋体"/>
          <w:bCs/>
          <w:color w:val="auto"/>
          <w:sz w:val="21"/>
          <w:szCs w:val="21"/>
          <w:highlight w:val="none"/>
        </w:rPr>
        <w:t xml:space="preserve"> 密封的投标文件应：</w:t>
      </w:r>
    </w:p>
    <w:p w14:paraId="61D59C2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19.2.1 注明投标人名称，如因标注不清而产生的后果由投标人自负。按招标公告中注明的地址送达；</w:t>
      </w:r>
    </w:p>
    <w:p w14:paraId="279DA14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19.2.2注明投标项目名称、标书编号。</w:t>
      </w:r>
    </w:p>
    <w:p w14:paraId="5697F1B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19.2.3</w:t>
      </w:r>
      <w:r>
        <w:rPr>
          <w:rFonts w:hint="eastAsia" w:ascii="宋体" w:hAnsi="宋体" w:eastAsia="宋体" w:cs="宋体"/>
          <w:bCs/>
          <w:color w:val="auto"/>
          <w:sz w:val="21"/>
          <w:szCs w:val="21"/>
          <w:highlight w:val="none"/>
        </w:rPr>
        <w:t>未按要求密封和加写标记，代理机构对误投或过早启封概不负责。对由此造成提前开封的投标文件，代理机构将予以拒绝，作无效投标处理。</w:t>
      </w:r>
    </w:p>
    <w:p w14:paraId="4E50008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82" w:name="_Toc16938542"/>
      <w:bookmarkStart w:id="83" w:name="_Toc20823298"/>
      <w:bookmarkStart w:id="84" w:name="_Toc513029226"/>
      <w:r>
        <w:rPr>
          <w:rFonts w:hint="eastAsia" w:ascii="宋体" w:hAnsi="宋体" w:eastAsia="宋体" w:cs="宋体"/>
          <w:bCs w:val="0"/>
          <w:color w:val="auto"/>
          <w:sz w:val="21"/>
          <w:szCs w:val="21"/>
          <w:highlight w:val="none"/>
        </w:rPr>
        <w:t>20、投标截止日期</w:t>
      </w:r>
      <w:bookmarkEnd w:id="82"/>
      <w:bookmarkEnd w:id="83"/>
      <w:bookmarkEnd w:id="84"/>
    </w:p>
    <w:p w14:paraId="48DDD6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w:t>
      </w:r>
      <w:r>
        <w:rPr>
          <w:rFonts w:hint="eastAsia" w:ascii="宋体" w:hAnsi="宋体" w:eastAsia="宋体" w:cs="宋体"/>
          <w:bCs/>
          <w:color w:val="auto"/>
          <w:sz w:val="21"/>
          <w:szCs w:val="21"/>
          <w:highlight w:val="none"/>
        </w:rPr>
        <w:t xml:space="preserve"> 代理机构收到投标文件的时间不得迟于招标公告中规定的截止时间。</w:t>
      </w:r>
    </w:p>
    <w:p w14:paraId="003EFC9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bCs/>
          <w:color w:val="auto"/>
          <w:sz w:val="21"/>
          <w:szCs w:val="21"/>
          <w:highlight w:val="none"/>
        </w:rPr>
        <w:t xml:space="preserve"> 代理机构可以通过修改招标文件酌情延长投标截止日期，在此情况下，投标人的所有权利和义务以及投标人受制的截止日期均应以延长后新的截止日期为准。</w:t>
      </w:r>
    </w:p>
    <w:p w14:paraId="228D1905">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85" w:name="_Toc513029227"/>
      <w:bookmarkStart w:id="86" w:name="_Toc16938543"/>
      <w:bookmarkStart w:id="87" w:name="_Toc20823299"/>
      <w:r>
        <w:rPr>
          <w:rFonts w:hint="eastAsia" w:ascii="宋体" w:hAnsi="宋体" w:eastAsia="宋体" w:cs="宋体"/>
          <w:bCs w:val="0"/>
          <w:color w:val="auto"/>
          <w:sz w:val="21"/>
          <w:szCs w:val="21"/>
          <w:highlight w:val="none"/>
        </w:rPr>
        <w:t>21、迟交的投标文件</w:t>
      </w:r>
      <w:bookmarkEnd w:id="85"/>
      <w:bookmarkEnd w:id="86"/>
      <w:bookmarkEnd w:id="87"/>
    </w:p>
    <w:p w14:paraId="682F8F8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21.1</w:t>
      </w:r>
      <w:r>
        <w:rPr>
          <w:rFonts w:hint="eastAsia" w:ascii="宋体" w:hAnsi="宋体" w:eastAsia="宋体" w:cs="宋体"/>
          <w:bCs/>
          <w:color w:val="auto"/>
          <w:sz w:val="21"/>
          <w:szCs w:val="21"/>
          <w:highlight w:val="none"/>
        </w:rPr>
        <w:t xml:space="preserve"> 代理机构拒绝接收在其规定的投标截止时间后递交的任何投标文件。</w:t>
      </w:r>
    </w:p>
    <w:p w14:paraId="10819DB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88" w:name="_Toc513029228"/>
      <w:bookmarkStart w:id="89" w:name="_Toc20823300"/>
      <w:bookmarkStart w:id="90" w:name="_Toc16938544"/>
      <w:r>
        <w:rPr>
          <w:rFonts w:hint="eastAsia" w:ascii="宋体" w:hAnsi="宋体" w:eastAsia="宋体" w:cs="宋体"/>
          <w:bCs w:val="0"/>
          <w:color w:val="auto"/>
          <w:sz w:val="21"/>
          <w:szCs w:val="21"/>
          <w:highlight w:val="none"/>
        </w:rPr>
        <w:t>22、投标文件的修改和撤回</w:t>
      </w:r>
      <w:bookmarkEnd w:id="88"/>
      <w:bookmarkEnd w:id="89"/>
      <w:bookmarkEnd w:id="90"/>
    </w:p>
    <w:p w14:paraId="2447E8B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 w:val="21"/>
          <w:szCs w:val="21"/>
          <w:highlight w:val="none"/>
        </w:rPr>
        <w:t>通知代理机构，否则，代理机构将拒绝。</w:t>
      </w:r>
    </w:p>
    <w:p w14:paraId="0CF4A51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bCs/>
          <w:color w:val="auto"/>
          <w:sz w:val="21"/>
          <w:szCs w:val="21"/>
          <w:highlight w:val="none"/>
        </w:rPr>
        <w:t xml:space="preserve"> 投标人的修改或撤回文件应按规定进行编制、密封、标记和发送，并应在封套上加注“修改”或“撤回”字样。</w:t>
      </w:r>
      <w:r>
        <w:rPr>
          <w:rFonts w:hint="eastAsia" w:ascii="宋体" w:hAnsi="宋体" w:eastAsia="宋体" w:cs="宋体"/>
          <w:color w:val="auto"/>
          <w:sz w:val="21"/>
          <w:szCs w:val="21"/>
          <w:highlight w:val="none"/>
        </w:rPr>
        <w:t>上述补充或修改若涉及投标报价，必须注明“最后唯一报价”字样，否则将视为有选择的报价。修改文件必须在投标截止时间前送达代理机构。</w:t>
      </w:r>
    </w:p>
    <w:p w14:paraId="6D34324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22.3</w:t>
      </w:r>
      <w:r>
        <w:rPr>
          <w:rFonts w:hint="eastAsia" w:ascii="宋体" w:hAnsi="宋体" w:eastAsia="宋体" w:cs="宋体"/>
          <w:bCs/>
          <w:color w:val="auto"/>
          <w:sz w:val="21"/>
          <w:szCs w:val="21"/>
          <w:highlight w:val="none"/>
        </w:rPr>
        <w:t xml:space="preserve"> 在投标截止时间之后，投标人不得对其投标文件作任何修改。</w:t>
      </w:r>
    </w:p>
    <w:p w14:paraId="75F518A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r>
        <w:rPr>
          <w:rFonts w:hint="eastAsia" w:ascii="宋体" w:hAnsi="宋体" w:eastAsia="宋体" w:cs="宋体"/>
          <w:bCs/>
          <w:color w:val="auto"/>
          <w:sz w:val="21"/>
          <w:szCs w:val="21"/>
          <w:highlight w:val="none"/>
        </w:rPr>
        <w:t xml:space="preserve"> 在投标截止时间至招标文件中规定的投标有效期满之间的这段时间内，投标人不得撤回其投标。</w:t>
      </w:r>
    </w:p>
    <w:p w14:paraId="75BB009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1" w:name="_Toc513029230"/>
      <w:bookmarkStart w:id="92" w:name="_Toc20823302"/>
      <w:bookmarkStart w:id="93" w:name="_Toc16938546"/>
      <w:r>
        <w:rPr>
          <w:rFonts w:hint="eastAsia" w:ascii="宋体" w:hAnsi="宋体" w:eastAsia="宋体" w:cs="宋体"/>
          <w:bCs w:val="0"/>
          <w:color w:val="auto"/>
          <w:sz w:val="21"/>
          <w:szCs w:val="21"/>
          <w:highlight w:val="none"/>
        </w:rPr>
        <w:t>23、开标</w:t>
      </w:r>
      <w:bookmarkEnd w:id="91"/>
      <w:bookmarkEnd w:id="92"/>
      <w:bookmarkEnd w:id="93"/>
    </w:p>
    <w:p w14:paraId="38F030C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r>
        <w:rPr>
          <w:rFonts w:hint="eastAsia" w:ascii="宋体" w:hAnsi="宋体" w:eastAsia="宋体" w:cs="宋体"/>
          <w:bCs/>
          <w:color w:val="auto"/>
          <w:sz w:val="21"/>
          <w:szCs w:val="21"/>
          <w:highlight w:val="none"/>
        </w:rPr>
        <w:t xml:space="preserve"> 代理机构将在招标公告中规定的时间和地点组织公开开标</w:t>
      </w:r>
      <w:r>
        <w:rPr>
          <w:rFonts w:hint="eastAsia" w:ascii="宋体" w:hAnsi="宋体" w:eastAsia="宋体" w:cs="宋体"/>
          <w:color w:val="auto"/>
          <w:sz w:val="21"/>
          <w:szCs w:val="21"/>
          <w:highlight w:val="none"/>
        </w:rPr>
        <w:t>。投标人应委派携带有效证件的代表准时参加，参加开标的代表需签名以证明其出席。投标人未参加开标的，视同认可开标结果。</w:t>
      </w:r>
    </w:p>
    <w:p w14:paraId="05EC1FA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23.2</w:t>
      </w:r>
      <w:r>
        <w:rPr>
          <w:rFonts w:hint="eastAsia" w:ascii="宋体" w:hAnsi="宋体" w:eastAsia="宋体" w:cs="宋体"/>
          <w:color w:val="auto"/>
          <w:sz w:val="21"/>
          <w:szCs w:val="21"/>
          <w:highlight w:val="none"/>
        </w:rPr>
        <w:t>开标仪式由代理机构组织，采购人代表、监委、投标人代表等参加。</w:t>
      </w:r>
    </w:p>
    <w:p w14:paraId="6D18ADF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23.3</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按照规定同意撤回的投标文件将不予开封。</w:t>
      </w:r>
    </w:p>
    <w:p w14:paraId="747B19F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689CC37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 代理机构将指定专人负责开标记录并存档备查，各投标人需仔细核对开标纪录相关内容并签字确认。</w:t>
      </w:r>
    </w:p>
    <w:p w14:paraId="3544E20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23.6 投标人在报价时不允许采用选择性报价，否则将被视为无效投标。</w:t>
      </w:r>
    </w:p>
    <w:p w14:paraId="606B7DD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4" w:name="_Toc20823303"/>
      <w:bookmarkStart w:id="95" w:name="_Toc513029231"/>
      <w:bookmarkStart w:id="96" w:name="_Toc16938547"/>
      <w:r>
        <w:rPr>
          <w:rFonts w:hint="eastAsia" w:ascii="宋体" w:hAnsi="宋体" w:eastAsia="宋体" w:cs="宋体"/>
          <w:bCs w:val="0"/>
          <w:color w:val="auto"/>
          <w:sz w:val="21"/>
          <w:szCs w:val="21"/>
          <w:highlight w:val="none"/>
        </w:rPr>
        <w:t>24、评标委员会</w:t>
      </w:r>
    </w:p>
    <w:p w14:paraId="64CE49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24.1</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开标后，代理机构将立即组织评标委员会（以下简称评委会）进行评标。</w:t>
      </w:r>
    </w:p>
    <w:p w14:paraId="5BA63A2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评委会由采购人代表和有关技术、经济等方面的专家组成，且人员构成符合采购有关规定。</w:t>
      </w:r>
    </w:p>
    <w:p w14:paraId="12EBD24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24.3评委会独立工作，负责评审所有投标文件并确定中标候选人。</w:t>
      </w:r>
    </w:p>
    <w:p w14:paraId="638AE8C2">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25、评标过程的保密与公正</w:t>
      </w:r>
      <w:bookmarkEnd w:id="94"/>
      <w:bookmarkEnd w:id="95"/>
      <w:bookmarkEnd w:id="96"/>
    </w:p>
    <w:p w14:paraId="1AFECF7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25.1</w:t>
      </w:r>
      <w:r>
        <w:rPr>
          <w:rFonts w:hint="eastAsia" w:ascii="宋体" w:hAnsi="宋体" w:eastAsia="宋体" w:cs="宋体"/>
          <w:bCs/>
          <w:color w:val="auto"/>
          <w:sz w:val="21"/>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11338C7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25.2在评标过程中，投标人不得以任何行为影响评标过程，否则其投标文件将被作为无效投标文件。</w:t>
      </w:r>
    </w:p>
    <w:p w14:paraId="0126ADB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 在评标期间，代理机构将设专门工作人员与投标人联系。</w:t>
      </w:r>
    </w:p>
    <w:p w14:paraId="3F5E9B5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 代理机构和评委会不向落标的投标人解释未中标原因，也不公布评标过程中的相关细节。</w:t>
      </w:r>
    </w:p>
    <w:p w14:paraId="3BB84C4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730DBC52">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7" w:name="_Toc513029232"/>
      <w:bookmarkStart w:id="98" w:name="_Toc16938548"/>
      <w:bookmarkStart w:id="99" w:name="_Toc20823304"/>
      <w:r>
        <w:rPr>
          <w:rFonts w:hint="eastAsia" w:ascii="宋体" w:hAnsi="宋体" w:eastAsia="宋体" w:cs="宋体"/>
          <w:bCs w:val="0"/>
          <w:color w:val="auto"/>
          <w:sz w:val="21"/>
          <w:szCs w:val="21"/>
          <w:highlight w:val="none"/>
        </w:rPr>
        <w:t>26、投标的澄清</w:t>
      </w:r>
      <w:bookmarkEnd w:id="97"/>
      <w:bookmarkEnd w:id="98"/>
      <w:bookmarkEnd w:id="99"/>
    </w:p>
    <w:p w14:paraId="316AC30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26.1评标期间，为有助于对投标文件的审查、评价和比较，评委会有权以书面形式要求投标人对其投标文件进行澄清，但并非对每个投标人都作澄清要求。</w:t>
      </w:r>
    </w:p>
    <w:p w14:paraId="513EF37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1295E72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接到评委会澄清要求的投标人如未按规定做出澄清，其风险由投标人自行承担。</w:t>
      </w:r>
    </w:p>
    <w:p w14:paraId="11190BBB">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100" w:name="_Toc20823305"/>
      <w:bookmarkStart w:id="101" w:name="_Toc16938549"/>
      <w:bookmarkStart w:id="102" w:name="_Toc513029233"/>
      <w:r>
        <w:rPr>
          <w:rFonts w:hint="eastAsia" w:ascii="宋体" w:hAnsi="宋体" w:eastAsia="宋体" w:cs="宋体"/>
          <w:bCs w:val="0"/>
          <w:color w:val="auto"/>
          <w:sz w:val="21"/>
          <w:szCs w:val="21"/>
          <w:highlight w:val="none"/>
        </w:rPr>
        <w:t>27、对投标文件的初审</w:t>
      </w:r>
      <w:bookmarkEnd w:id="100"/>
      <w:bookmarkEnd w:id="101"/>
      <w:bookmarkEnd w:id="102"/>
    </w:p>
    <w:p w14:paraId="19F824D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w:t>
      </w:r>
      <w:r>
        <w:rPr>
          <w:rFonts w:hint="eastAsia" w:ascii="宋体" w:hAnsi="宋体" w:eastAsia="宋体" w:cs="宋体"/>
          <w:bCs/>
          <w:color w:val="auto"/>
          <w:sz w:val="21"/>
          <w:szCs w:val="21"/>
          <w:highlight w:val="none"/>
        </w:rPr>
        <w:t>投标文件初审分为资格检查和符合性检查。</w:t>
      </w:r>
    </w:p>
    <w:p w14:paraId="78F5205E">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27.1.1</w:t>
      </w:r>
      <w:r>
        <w:rPr>
          <w:rFonts w:hint="eastAsia" w:ascii="宋体" w:hAnsi="宋体" w:eastAsia="宋体" w:cs="宋体"/>
          <w:bCs/>
          <w:color w:val="auto"/>
          <w:sz w:val="21"/>
          <w:szCs w:val="21"/>
          <w:highlight w:val="none"/>
        </w:rPr>
        <w:t>资格审查：依据法律法规和招标文件的规定，由采购人对投标文件中的资格证明文件进行审查。并将审查结论以书面形式向评委会反馈。</w:t>
      </w:r>
    </w:p>
    <w:p w14:paraId="643152F8">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采购人在进行资格性审查的同时，应根据查询结果对供应商的不良信用记录逐项甄别确认。以确定供应商是否具备投标资格。查询结果将以网页打印的形式留存并归档。</w:t>
      </w:r>
    </w:p>
    <w:p w14:paraId="26CA532F">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下列信用记录属于应依法拒绝供应商参加政府采购的失信信息：</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（1）政府采购严重违法记录，即供应商被全国各级财政部门列入“政府采购严重违法失信行为记录名单”，且在处罚有效期内的。</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（2）财政部门与法院、工商、税务等部门联合惩戒的失信信息，包括：</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1）被列入失信被执行人名单；</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2）被列入重大税收违法案件当事人名单；</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对存在失信信息的供应商，评审小组应填写《供应商失信信息确认函》，由失信供应商应签名确认。同时，采购代理机构工作人员应根据采购人确认的失信信息，登陆到相关来源网站页面进行复核并打印，作为证据留存。</w:t>
      </w:r>
    </w:p>
    <w:p w14:paraId="50799E2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7275680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若接受联合体投标的项目，两个以上的自然人、法人或者其他组织组成一个联合体，以一个供应商的身份共同参加采购活动的,联合体成员存在不良信用记录的，视同联合体存在不良应用记录。</w:t>
      </w:r>
    </w:p>
    <w:p w14:paraId="74531A5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27.1.2</w:t>
      </w:r>
      <w:r>
        <w:rPr>
          <w:rFonts w:hint="eastAsia" w:ascii="宋体" w:hAnsi="宋体" w:eastAsia="宋体" w:cs="宋体"/>
          <w:bCs/>
          <w:color w:val="auto"/>
          <w:sz w:val="21"/>
          <w:szCs w:val="21"/>
          <w:highlight w:val="none"/>
        </w:rPr>
        <w:t>符合性检查：依据招标文件的规定，由评委会从投标文件的有效性、完整性和对招标文件的响应程度进行审查，以确定是否对招标文件的实质性要求做出响应。</w:t>
      </w:r>
    </w:p>
    <w:p w14:paraId="62FEDF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1BE5AC4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做出结论。</w:t>
      </w:r>
      <w:r>
        <w:rPr>
          <w:rFonts w:hint="eastAsia" w:ascii="宋体" w:hAnsi="宋体" w:eastAsia="宋体" w:cs="宋体"/>
          <w:bCs/>
          <w:color w:val="auto"/>
          <w:sz w:val="21"/>
          <w:szCs w:val="21"/>
          <w:highlight w:val="none"/>
        </w:rPr>
        <w:t>评委决定投标文件的响应性只根据投标文件本身的内容，而不寻求外部的证据。</w:t>
      </w:r>
    </w:p>
    <w:p w14:paraId="59B9D0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27.3</w:t>
      </w:r>
      <w:r>
        <w:rPr>
          <w:rFonts w:hint="eastAsia" w:ascii="宋体" w:hAnsi="宋体" w:eastAsia="宋体" w:cs="宋体"/>
          <w:bCs/>
          <w:color w:val="auto"/>
          <w:sz w:val="21"/>
          <w:szCs w:val="21"/>
          <w:highlight w:val="none"/>
        </w:rPr>
        <w:t>如果投标文件实质上没有响应招标文件的要求，评委会将予以拒绝，投标人不得通过修改或撤销不合要求的偏离或保留而使其投标成为实质性响应的投标。</w:t>
      </w:r>
    </w:p>
    <w:p w14:paraId="1761788C">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27.4</w:t>
      </w:r>
      <w:r>
        <w:rPr>
          <w:rFonts w:hint="eastAsia" w:ascii="宋体" w:hAnsi="宋体" w:eastAsia="宋体" w:cs="宋体"/>
          <w:bCs/>
          <w:color w:val="auto"/>
          <w:sz w:val="21"/>
          <w:szCs w:val="21"/>
          <w:highlight w:val="none"/>
        </w:rPr>
        <w:t>评委会将对确定为实质性响应的投标进行进一步审核，看其是否有计算上或累加上的算术错误，对开标一览表内容修正错误的原则如下：</w:t>
      </w:r>
    </w:p>
    <w:p w14:paraId="5F67C77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（1）投标文件中开标一览表内容与投标文件中相应内容不一致的，以开标一览表为准。</w:t>
      </w:r>
    </w:p>
    <w:p w14:paraId="5312D780">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（2）投标文件、“开标一览表”中报价的大写金额与小写金额不一致的，以大写金额为准。</w:t>
      </w:r>
    </w:p>
    <w:p w14:paraId="51A3E8C0">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（3）单价金额小数点或者百分比有明显错位的，以开标一览表的总价为准，并修改单价。</w:t>
      </w:r>
    </w:p>
    <w:p w14:paraId="7D03590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（4）总价金额与按单价汇总金额不一致的，以单价金额计算结果为准。</w:t>
      </w:r>
    </w:p>
    <w:p w14:paraId="0F103544">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同时出现两种以上错误的，按照前款规定的顺序修正。对不同文字文本投标文件的解释发生异议的，以中文文本为准。</w:t>
      </w:r>
    </w:p>
    <w:p w14:paraId="0E4331C4">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27.5</w:t>
      </w:r>
      <w:r>
        <w:rPr>
          <w:rFonts w:hint="eastAsia" w:ascii="宋体" w:hAnsi="宋体" w:eastAsia="宋体" w:cs="宋体"/>
          <w:bCs/>
          <w:color w:val="auto"/>
          <w:sz w:val="21"/>
          <w:szCs w:val="21"/>
          <w:highlight w:val="none"/>
        </w:rPr>
        <w:t>评委会将按上述修正错误的方法调整投标文件中的投标报价，调整后的价格应对投标人具有约束力。如果投标人不接受修正后的价格，则其投标将被拒绝。</w:t>
      </w:r>
    </w:p>
    <w:p w14:paraId="522392B5">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27.6</w:t>
      </w:r>
      <w:r>
        <w:rPr>
          <w:rFonts w:hint="eastAsia" w:ascii="宋体" w:hAnsi="宋体" w:eastAsia="宋体" w:cs="宋体"/>
          <w:bCs/>
          <w:color w:val="auto"/>
          <w:sz w:val="21"/>
          <w:szCs w:val="21"/>
          <w:highlight w:val="none"/>
        </w:rPr>
        <w:t>评委会将允许修正投标文件中不构成重大偏离的、微小的、非正规的、不一致的或不规则的地方，但这些修改不能影响任何投标人相应的名次排列，否则不允许修正。</w:t>
      </w:r>
    </w:p>
    <w:p w14:paraId="53DEC82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bookmarkStart w:id="103" w:name="_Toc16938550"/>
      <w:bookmarkStart w:id="104" w:name="_Toc513029234"/>
      <w:bookmarkStart w:id="105" w:name="_Toc20823306"/>
      <w:r>
        <w:rPr>
          <w:rFonts w:hint="eastAsia" w:ascii="宋体" w:hAnsi="宋体" w:eastAsia="宋体" w:cs="宋体"/>
          <w:bCs/>
          <w:color w:val="auto"/>
          <w:sz w:val="21"/>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313C3579">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45DBB22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非单一产品采购项目，招标文件中将载明其中的核心产品</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本项目核心产品：多功能自助机 I</w:t>
      </w:r>
      <w:r>
        <w:rPr>
          <w:rFonts w:hint="eastAsia" w:ascii="宋体" w:hAnsi="宋体" w:cs="宋体"/>
          <w:b/>
          <w:bCs w:val="0"/>
          <w:color w:val="auto"/>
          <w:sz w:val="21"/>
          <w:szCs w:val="21"/>
          <w:highlight w:val="none"/>
          <w:lang w:val="en-US" w:eastAsia="zh-CN"/>
        </w:rPr>
        <w:t>和自助系统支付与对账管理</w:t>
      </w:r>
      <w:r>
        <w:rPr>
          <w:rFonts w:hint="eastAsia" w:ascii="宋体" w:hAnsi="宋体" w:eastAsia="宋体" w:cs="宋体"/>
          <w:b/>
          <w:bCs w:val="0"/>
          <w:color w:val="auto"/>
          <w:sz w:val="21"/>
          <w:szCs w:val="21"/>
          <w:highlight w:val="none"/>
          <w:lang w:eastAsia="zh-CN"/>
        </w:rPr>
        <w:t>）</w:t>
      </w:r>
      <w:r>
        <w:rPr>
          <w:rFonts w:hint="eastAsia" w:ascii="宋体" w:hAnsi="宋体" w:eastAsia="宋体" w:cs="宋体"/>
          <w:bCs/>
          <w:color w:val="auto"/>
          <w:sz w:val="21"/>
          <w:szCs w:val="21"/>
          <w:highlight w:val="none"/>
        </w:rPr>
        <w:t>。多家投标人提供的核心产品品牌相同的，按前两款规定处理。</w:t>
      </w:r>
    </w:p>
    <w:p w14:paraId="747F6251">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27.8关于节能环保产品要求：</w:t>
      </w:r>
    </w:p>
    <w:p w14:paraId="091D05E5">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27.8.1采购人采购的产品属于《节能产品政府采购清单》、《环境标志产品政府采购清单》中的品目时，无特殊原因的，应当采购清单中的产品（含强制采购和优先采购的产品）。</w:t>
      </w:r>
    </w:p>
    <w:p w14:paraId="4BCDAEF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27.8.2《节能产品政府采购清单》、《环境标志产品政府采购清单》以“中国政府采购网”（http://www.ccgp.gov.cn）公告的时间、内容为准。</w:t>
      </w:r>
    </w:p>
    <w:p w14:paraId="69E8F5D1">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27.8.3本次采购所涉及产品属于《节能产品政府采购清单》、《环境标志产品政府采购清单》中的品目时，须提供网站公布的《节能产品政府采购清单》、《环境标志产品政府采购清单》中相关产品信息的截图资料并按采购文件相关要求制作投标文件，否则投标文件将被拒绝。清单截图资料以递交投标文件截止时已正式公布的最近一期信息为准。</w:t>
      </w:r>
    </w:p>
    <w:p w14:paraId="05DF6AED">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28、</w:t>
      </w:r>
      <w:bookmarkEnd w:id="103"/>
      <w:bookmarkEnd w:id="104"/>
      <w:bookmarkEnd w:id="105"/>
      <w:r>
        <w:rPr>
          <w:rFonts w:hint="eastAsia" w:ascii="宋体" w:hAnsi="宋体" w:eastAsia="宋体" w:cs="宋体"/>
          <w:b/>
          <w:bCs w:val="0"/>
          <w:color w:val="auto"/>
          <w:sz w:val="21"/>
          <w:szCs w:val="21"/>
          <w:highlight w:val="none"/>
        </w:rPr>
        <w:t>无效投标、废标及投标人不足三家的处理</w:t>
      </w:r>
    </w:p>
    <w:p w14:paraId="45B3860C">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bookmarkStart w:id="106" w:name="_Toc20823307"/>
      <w:bookmarkStart w:id="107" w:name="_Toc513029235"/>
      <w:bookmarkStart w:id="108" w:name="_Toc16938551"/>
      <w:r>
        <w:rPr>
          <w:rFonts w:hint="eastAsia" w:ascii="宋体" w:hAnsi="宋体" w:eastAsia="宋体" w:cs="宋体"/>
          <w:bCs/>
          <w:color w:val="auto"/>
          <w:sz w:val="21"/>
          <w:szCs w:val="21"/>
          <w:highlight w:val="none"/>
        </w:rPr>
        <w:t>28.1无效投标条款</w:t>
      </w:r>
    </w:p>
    <w:p w14:paraId="25D1A47F">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28.1.1未按要求交纳保证金的；</w:t>
      </w:r>
    </w:p>
    <w:p w14:paraId="0507514E">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28.1.2未按照招标文件规定要求密封、签署、盖章的；</w:t>
      </w:r>
    </w:p>
    <w:p w14:paraId="7D67D909">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28.1.3投标人在报价时采用选择性报价；</w:t>
      </w:r>
    </w:p>
    <w:p w14:paraId="2C658D4B">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28.1.4投标人不具备招标文件中规定资格要求的；</w:t>
      </w:r>
    </w:p>
    <w:p w14:paraId="61AAF27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28.1.5投标人的报价超过了采购预算或最高限价的；</w:t>
      </w:r>
    </w:p>
    <w:p w14:paraId="7CB2D106">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28.1.6未通过符合性检查的；</w:t>
      </w:r>
    </w:p>
    <w:p w14:paraId="7035A7CA">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28.1.7不符合招标文件中规定的其他实质性要求和条件的（</w:t>
      </w:r>
      <w:r>
        <w:rPr>
          <w:rFonts w:hint="eastAsia" w:ascii="宋体" w:hAnsi="宋体" w:eastAsia="宋体" w:cs="宋体"/>
          <w:bCs/>
          <w:i/>
          <w:color w:val="auto"/>
          <w:sz w:val="21"/>
          <w:szCs w:val="21"/>
          <w:highlight w:val="none"/>
          <w:u w:val="single"/>
        </w:rPr>
        <w:t>本招标文件中斜体且有下划线部分为实质性要求和条件，包括但不限于该范围）；</w:t>
      </w:r>
    </w:p>
    <w:p w14:paraId="3C6FC810">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FDAD6D6">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28.1.9  投标文件含有采购人不能接受的附加条件的。</w:t>
      </w:r>
    </w:p>
    <w:p w14:paraId="098C5C54">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28.1.10 异常低价投标（响应）</w:t>
      </w:r>
    </w:p>
    <w:p w14:paraId="5BA2C2ED">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.1.10.1投标（响应）报价低于采购项目预算 50% 的，即投标（响应）报价&lt;采购项目预算×50% ；</w:t>
      </w:r>
    </w:p>
    <w:p w14:paraId="4C49C920">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.1.10.2投标（响应）报价低于采购项目最高限价 45% 的，即投标（响应）报价&lt;采购项目最高限价×45% ；</w:t>
      </w:r>
    </w:p>
    <w:p w14:paraId="30E694CC">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.1.10.3评审委员会认定的供应商报价过低、有可能影响产品质量或者不能诚信履约的其他情形。</w:t>
      </w:r>
    </w:p>
    <w:p w14:paraId="40A4976B">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50A0201">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28.1.11其他法律、法规及本招标文件规定的属无效投标的情形。</w:t>
      </w:r>
    </w:p>
    <w:p w14:paraId="794E116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28.2废标条款：                                                                                                                                                                                                                                                                                                                                                                                                                                                                                                                                                                                                                                                                                                                                                                                                                                                                                                                                                                                                                                                                                                                                                                                                                                                                                                                                                                                                                                                                         </w:t>
      </w:r>
    </w:p>
    <w:p w14:paraId="124EB9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28.2.1符合专业条件的供应商或者对招标文件作实质响应的供应商不足三家的；</w:t>
      </w:r>
    </w:p>
    <w:p w14:paraId="27547E8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28.2.2投标人的报价均超过采购预算或最高限价；</w:t>
      </w:r>
    </w:p>
    <w:p w14:paraId="44CE3F5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28.2.3出现影响采购公正的违法、违规行为的；</w:t>
      </w:r>
    </w:p>
    <w:p w14:paraId="7568D07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28.2.4因重大变故，采购任务取消的；</w:t>
      </w:r>
    </w:p>
    <w:p w14:paraId="775BAA6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28.2.5评标委员会认定招标文件存在歧义、 重大缺陷导致评审工作无法进行。</w:t>
      </w:r>
    </w:p>
    <w:p w14:paraId="34C86DDC">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28.3投标截止时间结束后参加投标的投标人不足三家或者通过资格审查或符合性审查的投标人不足三家的，除采购任务取消情形外，按照以下方式处理： </w:t>
      </w:r>
    </w:p>
    <w:p w14:paraId="75832DA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28.3.1招标文件存在不合理条款或者招标程序不符合规定的，由采购人、代理机构改正后依法重新招标；</w:t>
      </w:r>
    </w:p>
    <w:p w14:paraId="2C23A45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28.3.2 招标文件没有不合理条款、招标程序符合规定，需要采用其他采购方式采购的。</w:t>
      </w:r>
      <w:bookmarkEnd w:id="106"/>
      <w:bookmarkEnd w:id="107"/>
      <w:bookmarkEnd w:id="108"/>
    </w:p>
    <w:p w14:paraId="787E2214">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bookmarkStart w:id="109" w:name="_Toc513029238"/>
      <w:bookmarkStart w:id="110" w:name="_Toc20823310"/>
      <w:bookmarkStart w:id="111" w:name="_Toc16938554"/>
      <w:r>
        <w:rPr>
          <w:rFonts w:hint="eastAsia" w:ascii="宋体" w:hAnsi="宋体" w:eastAsia="宋体" w:cs="宋体"/>
          <w:color w:val="auto"/>
          <w:sz w:val="21"/>
          <w:szCs w:val="21"/>
          <w:highlight w:val="none"/>
        </w:rPr>
        <w:t>29、</w:t>
      </w:r>
      <w:bookmarkEnd w:id="109"/>
      <w:r>
        <w:rPr>
          <w:rFonts w:hint="eastAsia" w:ascii="宋体" w:hAnsi="宋体" w:eastAsia="宋体" w:cs="宋体"/>
          <w:color w:val="auto"/>
          <w:sz w:val="21"/>
          <w:szCs w:val="21"/>
          <w:highlight w:val="none"/>
        </w:rPr>
        <w:t>确定</w:t>
      </w:r>
      <w:bookmarkEnd w:id="110"/>
      <w:bookmarkEnd w:id="111"/>
      <w:r>
        <w:rPr>
          <w:rFonts w:hint="eastAsia" w:ascii="宋体" w:hAnsi="宋体" w:eastAsia="宋体" w:cs="宋体"/>
          <w:color w:val="auto"/>
          <w:sz w:val="21"/>
          <w:szCs w:val="21"/>
          <w:highlight w:val="none"/>
        </w:rPr>
        <w:t>中标单位</w:t>
      </w:r>
    </w:p>
    <w:p w14:paraId="326E302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29.1评委会根据本招标文件规定评标方法与评标标准向采购人推荐出中标候选人。</w:t>
      </w:r>
    </w:p>
    <w:p w14:paraId="344F6CD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29.2 采购人应根据评委会推荐的中标候选人确定中标人。</w:t>
      </w:r>
    </w:p>
    <w:p w14:paraId="1A06B21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29.3</w:t>
      </w:r>
      <w:r>
        <w:rPr>
          <w:rFonts w:hint="eastAsia" w:ascii="宋体" w:hAnsi="宋体" w:eastAsia="宋体" w:cs="宋体"/>
          <w:color w:val="auto"/>
          <w:sz w:val="21"/>
          <w:szCs w:val="21"/>
          <w:highlight w:val="none"/>
        </w:rPr>
        <w:t>代理机构将在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发布中标公告，公告期限为1个工作日。</w:t>
      </w:r>
    </w:p>
    <w:p w14:paraId="1EAEB6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29.4若有充分证据证明，中标人出现下列情况之一的，一经查实，将被取消中标资格：</w:t>
      </w:r>
    </w:p>
    <w:p w14:paraId="573A38B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29.4.1提供虚假材料谋取中标的；</w:t>
      </w:r>
    </w:p>
    <w:p w14:paraId="00C6E3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29.4.2向采购人、代理机构行贿或者提供其他不正当利益的；</w:t>
      </w:r>
    </w:p>
    <w:p w14:paraId="2E3116E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29.4.3恶意竞争，投标总报价明显低于其自身合理成本且又无法提供证明的；</w:t>
      </w:r>
    </w:p>
    <w:p w14:paraId="54094FC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29.4.4属于本文件规定的无效条件，但在评标过程中又未被评委会发现的；</w:t>
      </w:r>
    </w:p>
    <w:p w14:paraId="2F2246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29.4.5与采购人或者其他投标人串通投标的；</w:t>
      </w:r>
    </w:p>
    <w:p w14:paraId="0229AAE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29.4.6采取不正当手段诋毁、排挤其他供应商的；</w:t>
      </w:r>
    </w:p>
    <w:p w14:paraId="3D6B50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29.4.7不符合法律、法规的规定的。</w:t>
      </w:r>
      <w:bookmarkStart w:id="112" w:name="_Toc200451960"/>
    </w:p>
    <w:p w14:paraId="39F7456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 有下列情形之一的，视为投标人串通投标，投标无效：</w:t>
      </w:r>
    </w:p>
    <w:p w14:paraId="534C036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29.5.1不同投标人的投标文件由同一单位或者个人编制。</w:t>
      </w:r>
    </w:p>
    <w:p w14:paraId="0534D9D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29.5.2不同投标人委托同一单位或者个人办理投标事宜。</w:t>
      </w:r>
    </w:p>
    <w:p w14:paraId="16CB091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29.5.3 不同投标人的投标文件载明的项目管理成员或者联系人员为同一人。</w:t>
      </w:r>
    </w:p>
    <w:p w14:paraId="3C50F3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29.5.4不同投标人的投标文件异常一致或者投标报价呈规律性差异。</w:t>
      </w:r>
    </w:p>
    <w:p w14:paraId="77332CD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29.5.5不同投标人的投标文件相互混装。</w:t>
      </w:r>
    </w:p>
    <w:p w14:paraId="09C9A30F">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30、质疑处理</w:t>
      </w:r>
      <w:bookmarkEnd w:id="112"/>
    </w:p>
    <w:p w14:paraId="6BC768A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3FF0E0B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30.1.1对采购文件提出质疑的，应当在获取采购文件之日或者采购文件公告期限届满之日起7个工作日内提出。</w:t>
      </w:r>
    </w:p>
    <w:p w14:paraId="79DA2EC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30.1.2对采购过程提出质疑的，为各采购程序环节结束之日起7个工作日内提出。</w:t>
      </w:r>
    </w:p>
    <w:p w14:paraId="51ACF5A7">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30.1.3对中标结果提出质疑的，为中标结果公告期限届满之日起7个工作日内提出。</w:t>
      </w:r>
    </w:p>
    <w:p w14:paraId="443C125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30.2供应商应在法定质疑期内一次性提出针对同一采购程序环节的质疑。质疑</w:t>
      </w: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rPr>
        <w:t>相关规定提交，未按上述要求提交的质疑函（含传真、电子邮件等）代理机构有权不</w:t>
      </w:r>
      <w:r>
        <w:rPr>
          <w:rFonts w:hint="eastAsia" w:ascii="宋体" w:hAnsi="宋体" w:eastAsia="宋体" w:cs="宋体"/>
          <w:color w:val="auto"/>
          <w:spacing w:val="-20"/>
          <w:sz w:val="21"/>
          <w:szCs w:val="21"/>
          <w:highlight w:val="none"/>
        </w:rPr>
        <w:t>予受理。</w:t>
      </w:r>
    </w:p>
    <w:p w14:paraId="552CA37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30.3提出质疑的供应商应当是参与所质疑项目采购活动的供应商。</w:t>
      </w:r>
    </w:p>
    <w:p w14:paraId="507C686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潜在供应商已依法获取其可质疑的采购文件的，可以对该文件提出质疑。对采购文件提出质疑的，应当在获取采购文件或者采购文件公告期限届满之日起7个工作日内提出。</w:t>
      </w:r>
    </w:p>
    <w:p w14:paraId="4B1F82D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30.4质疑申请应当包括下列内容：</w:t>
      </w:r>
    </w:p>
    <w:p w14:paraId="6F2572C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30.4.1质疑投标人的名称、地址、邮编、联系人、联系电话；</w:t>
      </w:r>
    </w:p>
    <w:p w14:paraId="477B5C0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30.4.2具体的质疑事项及明确的请求；</w:t>
      </w:r>
    </w:p>
    <w:p w14:paraId="46A7BA8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30.4.3认为自己合法权益受到损害或可能受到损害的相关证据材料；</w:t>
      </w:r>
    </w:p>
    <w:p w14:paraId="65F110F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30.4.4提起质疑的日期；</w:t>
      </w:r>
    </w:p>
    <w:p w14:paraId="76D903C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30.4.5质疑申请应当署名：质疑人为自然人的，应当由本人签字并附有效身份证</w:t>
      </w:r>
    </w:p>
    <w:p w14:paraId="3B3BFF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明；质疑人为法人或其他组织的，应当由法定代表人签字并加盖单位公章。质疑人委托代理质疑的，应当向代理机构提交授权委托书，并载明委托代理的具体权限和事项。</w:t>
      </w:r>
    </w:p>
    <w:p w14:paraId="1B91BF8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《质疑申请书》及《授权委托书》格式见网址：</w:t>
      </w:r>
    </w:p>
    <w:p w14:paraId="777329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"http://pan.baidu.com/s/1c1G12Cg"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http://pan.baidu.com/s/1c1G12Cg</w:t>
      </w:r>
      <w:r>
        <w:rPr>
          <w:rFonts w:hint="eastAsia" w:ascii="宋体" w:hAnsi="宋体" w:eastAsia="宋体" w:cs="宋体"/>
          <w:color w:val="auto"/>
          <w:sz w:val="21"/>
          <w:szCs w:val="21"/>
          <w:highlight w:val="none"/>
        </w:rPr>
        <w:fldChar w:fldCharType="end"/>
      </w:r>
    </w:p>
    <w:p w14:paraId="45EAC84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30.5代理机构收到质疑申请后，将对质疑的形式和内容进行审查，如质疑内容、格式不符合规定，代理机构将告知质疑人进行补正。</w:t>
      </w:r>
    </w:p>
    <w:p w14:paraId="144DC7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30.6质疑人应当在法定质疑期限内进行补正并重新提交质疑函，拒不补正或者在法定期限内未重新提交质疑函的，为无效质疑，代理机构有权不予受理。</w:t>
      </w:r>
    </w:p>
    <w:p w14:paraId="6B33BE4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14:paraId="73DD1D0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 诚实信用</w:t>
      </w:r>
    </w:p>
    <w:p w14:paraId="6659EE4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30.8.1 投标人之间不得相互串通投标报价，不得妨碍其他投标人的公平竞争，不得损害采购人和其他投标人的合法权益。</w:t>
      </w:r>
    </w:p>
    <w:p w14:paraId="049B4F9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30.8.2 投标人不得以向代理机构工作人员、评标委员会成员行贿或者采取其他不正当手段谋取中标。经查实投标人有此行为的，政府采购管理部门将投标人列入不良行为记录名单，按照有关规定处理。</w:t>
      </w:r>
    </w:p>
    <w:p w14:paraId="0B2071D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30.8.3 投标人提出书面质疑必须有理、有据，不得虚假质疑和恶意质疑，并对质疑内容的真实性承担责任。一经查实，代理机构有权依据有关规定，报请采购监管部门对该投标人进行相应的行政处罚并在网站上予以公示。如果投标人或者其他利害关系人通过捏造事实、伪造证明材料等方式提出质疑，干扰采购活动正常进行的，属于严重不良行为，代理机构将提请采购监管部门将其列入不良行为记录名单，并依法予以处罚。</w:t>
      </w:r>
    </w:p>
    <w:p w14:paraId="10A6349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30.8.4 投标人不得虚假承诺，否则，按照提供虚假材料谋取中标成交处理。</w:t>
      </w:r>
    </w:p>
    <w:p w14:paraId="03FD0E5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30.8．5 投标人应自觉遵守开标、评标纪律，扰乱开标评标现场秩序的，属于失信行为，失信行为将被记入投标人诚信档案。</w:t>
      </w:r>
    </w:p>
    <w:p w14:paraId="5E679890">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31、中标通知书</w:t>
      </w:r>
    </w:p>
    <w:p w14:paraId="508A10A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31.l</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中标结果确定后，代理机构将向中标供应商发出中标通知书。</w:t>
      </w:r>
    </w:p>
    <w:p w14:paraId="37C8806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中标供应商收到中标通知书后，应签字确认中标通知书已收到。若无回复，则公告后视同中标供应商已经知悉并同意接受。</w:t>
      </w:r>
    </w:p>
    <w:p w14:paraId="6531E69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14:paraId="65CFE44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31.4所有投标文件都将作为档案保存，不论中标与否，代理机构均不退回。</w:t>
      </w:r>
    </w:p>
    <w:p w14:paraId="67E84FC7">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color w:val="auto"/>
          <w:sz w:val="21"/>
          <w:szCs w:val="21"/>
          <w:highlight w:val="none"/>
        </w:rPr>
      </w:pPr>
      <w:bookmarkStart w:id="113" w:name="_Toc16938553"/>
      <w:bookmarkStart w:id="114" w:name="_Toc513029237"/>
      <w:bookmarkStart w:id="115" w:name="_Toc20823309"/>
      <w:r>
        <w:rPr>
          <w:rFonts w:hint="eastAsia" w:ascii="宋体" w:hAnsi="宋体" w:eastAsia="宋体" w:cs="宋体"/>
          <w:color w:val="auto"/>
          <w:sz w:val="21"/>
          <w:szCs w:val="21"/>
          <w:highlight w:val="none"/>
        </w:rPr>
        <w:t>32、</w:t>
      </w:r>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签订合同</w:t>
      </w:r>
    </w:p>
    <w:p w14:paraId="6B0E9C4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sz w:val="21"/>
          <w:szCs w:val="21"/>
          <w:highlight w:val="none"/>
        </w:rPr>
        <w:t>.l</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应按中标通知书规定的时间、地点，按照招标文件确定的事项与采购人签订采购合同，且不得迟于中标通知书发出之日起三十日，否则履约保证金（如有）将不予退还，由此给采购人造成损失的，</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还应承担赔偿责任。</w:t>
      </w:r>
    </w:p>
    <w:p w14:paraId="38029A1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的投标文件及招标过程中有关澄清、承诺文件均应作为合同附件。</w:t>
      </w:r>
    </w:p>
    <w:p w14:paraId="0876054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签订合同后，</w:t>
      </w:r>
      <w:r>
        <w:rPr>
          <w:rFonts w:hint="eastAsia" w:ascii="宋体" w:hAnsi="宋体" w:eastAsia="宋体" w:cs="宋体"/>
          <w:i/>
          <w:color w:val="auto"/>
          <w:sz w:val="21"/>
          <w:szCs w:val="21"/>
          <w:highlight w:val="none"/>
          <w:u w:val="single"/>
        </w:rPr>
        <w:t>中标供应商不得将货物及其他相关服务进行转包</w:t>
      </w:r>
      <w:r>
        <w:rPr>
          <w:rFonts w:hint="eastAsia" w:ascii="宋体" w:hAnsi="宋体" w:eastAsia="宋体" w:cs="宋体"/>
          <w:color w:val="auto"/>
          <w:sz w:val="21"/>
          <w:szCs w:val="21"/>
          <w:highlight w:val="none"/>
        </w:rPr>
        <w:t>。未经采购人同意，</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也不得采用分包的形式履行合同，否则采购人有权终止合同，</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的履约保证金将不予退还。转包或分包造成采购人损失或致使合同履行中发生违约现象的，</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应承担赔偿责任。</w:t>
      </w:r>
    </w:p>
    <w:p w14:paraId="4DF7F9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0A1EAB86">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33、货物和服务的追加、减少和添购</w:t>
      </w:r>
    </w:p>
    <w:p w14:paraId="4E1B08F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33.1采购合同履行中，采购人需追加与合同标的相同的货物和服务的，在不改变合同其他条款的前提下，可以与中标供应商协商签订补充合同。</w:t>
      </w:r>
    </w:p>
    <w:p w14:paraId="3FB9A82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14:paraId="4D804C7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34、履约保证金</w:t>
      </w:r>
      <w:bookmarkEnd w:id="113"/>
      <w:bookmarkEnd w:id="114"/>
      <w:bookmarkEnd w:id="115"/>
    </w:p>
    <w:p w14:paraId="2A025ED4">
      <w:pPr>
        <w:pageBreakBefore w:val="0"/>
        <w:kinsoku/>
        <w:wordWrap/>
        <w:overflowPunct/>
        <w:topLinePunct w:val="0"/>
        <w:bidi w:val="0"/>
        <w:spacing w:line="360" w:lineRule="auto"/>
        <w:ind w:left="0" w:leftChars="0" w:firstLine="420" w:firstLineChars="200"/>
        <w:textAlignment w:val="auto"/>
        <w:rPr>
          <w:rFonts w:hint="eastAsia" w:ascii="宋体" w:hAnsi="宋体"/>
          <w:color w:val="auto"/>
          <w:szCs w:val="21"/>
          <w:highlight w:val="none"/>
        </w:rPr>
      </w:pPr>
      <w:bookmarkStart w:id="116" w:name="_Toc3318"/>
      <w:bookmarkStart w:id="117" w:name="_Toc497133093"/>
      <w:r>
        <w:rPr>
          <w:rFonts w:hint="eastAsia" w:ascii="宋体" w:hAnsi="宋体"/>
          <w:color w:val="auto"/>
          <w:szCs w:val="21"/>
          <w:highlight w:val="none"/>
          <w:lang w:val="en-US" w:eastAsia="zh-CN"/>
        </w:rPr>
        <w:t>34.1</w:t>
      </w:r>
      <w:r>
        <w:rPr>
          <w:rFonts w:hint="eastAsia" w:ascii="宋体" w:hAnsi="宋体"/>
          <w:color w:val="auto"/>
          <w:szCs w:val="21"/>
          <w:highlight w:val="none"/>
        </w:rPr>
        <w:t>收到中标通知书后合同签订前，中标人须向</w:t>
      </w:r>
      <w:r>
        <w:rPr>
          <w:rFonts w:hint="eastAsia" w:ascii="宋体" w:hAnsi="宋体"/>
          <w:color w:val="auto"/>
          <w:szCs w:val="21"/>
          <w:highlight w:val="none"/>
          <w:lang w:eastAsia="zh-CN"/>
        </w:rPr>
        <w:t>采购人</w:t>
      </w:r>
      <w:r>
        <w:rPr>
          <w:rFonts w:hint="eastAsia" w:ascii="宋体" w:hAnsi="宋体"/>
          <w:color w:val="auto"/>
          <w:szCs w:val="21"/>
          <w:highlight w:val="none"/>
        </w:rPr>
        <w:t>提交合同总价</w:t>
      </w:r>
      <w:r>
        <w:rPr>
          <w:rFonts w:hint="eastAsia" w:ascii="宋体" w:hAnsi="宋体"/>
          <w:color w:val="auto"/>
          <w:szCs w:val="21"/>
          <w:highlight w:val="none"/>
          <w:u w:val="single"/>
        </w:rPr>
        <w:t>10%</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的履约保证金，以支票、汇票、本票保函等形式缴纳或提交。履约保证金期限为合同生效之日起至</w:t>
      </w:r>
      <w:r>
        <w:rPr>
          <w:rFonts w:hint="eastAsia" w:ascii="宋体" w:hAnsi="宋体"/>
          <w:color w:val="auto"/>
          <w:szCs w:val="21"/>
          <w:highlight w:val="none"/>
          <w:lang w:val="en-US" w:eastAsia="zh-CN"/>
        </w:rPr>
        <w:t>项目</w:t>
      </w:r>
      <w:r>
        <w:rPr>
          <w:rFonts w:hint="eastAsia" w:ascii="宋体" w:hAnsi="宋体"/>
          <w:color w:val="auto"/>
          <w:szCs w:val="21"/>
          <w:highlight w:val="none"/>
        </w:rPr>
        <w:t>竣工验收</w:t>
      </w:r>
      <w:r>
        <w:rPr>
          <w:rFonts w:hint="eastAsia" w:ascii="宋体" w:hAnsi="宋体"/>
          <w:color w:val="auto"/>
          <w:szCs w:val="21"/>
          <w:highlight w:val="none"/>
          <w:lang w:val="en-US" w:eastAsia="zh-CN"/>
        </w:rPr>
        <w:t>合格</w:t>
      </w:r>
      <w:r>
        <w:rPr>
          <w:rFonts w:hint="eastAsia" w:ascii="宋体" w:hAnsi="宋体"/>
          <w:color w:val="auto"/>
          <w:szCs w:val="21"/>
          <w:highlight w:val="none"/>
        </w:rPr>
        <w:t>之日止。履约保证金用以约束</w:t>
      </w:r>
      <w:r>
        <w:rPr>
          <w:rFonts w:hint="eastAsia" w:ascii="宋体" w:hAnsi="宋体"/>
          <w:color w:val="auto"/>
          <w:szCs w:val="21"/>
          <w:highlight w:val="none"/>
          <w:lang w:val="en-US" w:eastAsia="zh-CN"/>
        </w:rPr>
        <w:t>中标人</w:t>
      </w:r>
      <w:r>
        <w:rPr>
          <w:rFonts w:hint="eastAsia" w:ascii="宋体" w:hAnsi="宋体"/>
          <w:color w:val="auto"/>
          <w:szCs w:val="21"/>
          <w:highlight w:val="none"/>
        </w:rPr>
        <w:t>在合同履行中的行为，弥补合同执行中由于自身行为可能给</w:t>
      </w:r>
      <w:r>
        <w:rPr>
          <w:rFonts w:hint="eastAsia" w:ascii="宋体" w:hAnsi="宋体"/>
          <w:color w:val="auto"/>
          <w:szCs w:val="21"/>
          <w:highlight w:val="none"/>
          <w:lang w:eastAsia="zh-CN"/>
        </w:rPr>
        <w:t>采购人</w:t>
      </w:r>
      <w:r>
        <w:rPr>
          <w:rFonts w:hint="eastAsia" w:ascii="宋体" w:hAnsi="宋体"/>
          <w:color w:val="auto"/>
          <w:szCs w:val="21"/>
          <w:highlight w:val="none"/>
        </w:rPr>
        <w:t>带来的各种损失。</w:t>
      </w:r>
    </w:p>
    <w:p w14:paraId="4B98C526">
      <w:pPr>
        <w:pageBreakBefore w:val="0"/>
        <w:kinsoku/>
        <w:wordWrap/>
        <w:overflowPunct/>
        <w:topLinePunct w:val="0"/>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34.2</w:t>
      </w:r>
      <w:r>
        <w:rPr>
          <w:rFonts w:hint="eastAsia" w:ascii="宋体" w:hAnsi="宋体"/>
          <w:color w:val="auto"/>
          <w:szCs w:val="21"/>
          <w:highlight w:val="none"/>
        </w:rPr>
        <w:t>履约保证金的退还：履约保证金待</w:t>
      </w:r>
      <w:r>
        <w:rPr>
          <w:rFonts w:hint="eastAsia" w:ascii="宋体" w:hAnsi="宋体"/>
          <w:color w:val="auto"/>
          <w:szCs w:val="21"/>
          <w:highlight w:val="none"/>
          <w:lang w:val="en-US" w:eastAsia="zh-CN"/>
        </w:rPr>
        <w:t>项目</w:t>
      </w:r>
      <w:r>
        <w:rPr>
          <w:rFonts w:hint="eastAsia" w:ascii="宋体" w:hAnsi="宋体"/>
          <w:color w:val="auto"/>
          <w:szCs w:val="21"/>
          <w:highlight w:val="none"/>
        </w:rPr>
        <w:t>竣工验收</w:t>
      </w:r>
      <w:r>
        <w:rPr>
          <w:rFonts w:hint="eastAsia" w:ascii="宋体" w:hAnsi="宋体"/>
          <w:color w:val="auto"/>
          <w:szCs w:val="21"/>
          <w:highlight w:val="none"/>
          <w:lang w:val="en-US" w:eastAsia="zh-CN"/>
        </w:rPr>
        <w:t>合格</w:t>
      </w:r>
      <w:r>
        <w:rPr>
          <w:rFonts w:hint="eastAsia" w:ascii="宋体" w:hAnsi="宋体"/>
          <w:color w:val="auto"/>
          <w:szCs w:val="21"/>
          <w:highlight w:val="none"/>
        </w:rPr>
        <w:t>后，中标人凭</w:t>
      </w:r>
      <w:r>
        <w:rPr>
          <w:rFonts w:hint="eastAsia" w:ascii="宋体" w:hAnsi="宋体"/>
          <w:color w:val="auto"/>
          <w:szCs w:val="21"/>
          <w:highlight w:val="none"/>
          <w:lang w:eastAsia="zh-CN"/>
        </w:rPr>
        <w:t>采购人</w:t>
      </w:r>
      <w:r>
        <w:rPr>
          <w:rFonts w:hint="eastAsia" w:ascii="宋体" w:hAnsi="宋体"/>
          <w:color w:val="auto"/>
          <w:szCs w:val="21"/>
          <w:highlight w:val="none"/>
        </w:rPr>
        <w:t>签署的验收报告，向</w:t>
      </w:r>
      <w:r>
        <w:rPr>
          <w:rFonts w:hint="eastAsia" w:ascii="宋体" w:hAnsi="宋体"/>
          <w:color w:val="auto"/>
          <w:szCs w:val="21"/>
          <w:highlight w:val="none"/>
          <w:lang w:eastAsia="zh-CN"/>
        </w:rPr>
        <w:t>采购人</w:t>
      </w:r>
      <w:r>
        <w:rPr>
          <w:rFonts w:hint="eastAsia" w:ascii="宋体" w:hAnsi="宋体"/>
          <w:color w:val="auto"/>
          <w:szCs w:val="21"/>
          <w:highlight w:val="none"/>
        </w:rPr>
        <w:t>提请办理保证金退还手续。</w:t>
      </w:r>
      <w:r>
        <w:rPr>
          <w:rFonts w:hint="eastAsia" w:ascii="宋体" w:hAnsi="宋体"/>
          <w:color w:val="auto"/>
          <w:szCs w:val="21"/>
          <w:highlight w:val="none"/>
          <w:lang w:eastAsia="zh-CN"/>
        </w:rPr>
        <w:t>采购人</w:t>
      </w:r>
      <w:r>
        <w:rPr>
          <w:rFonts w:hint="eastAsia" w:ascii="宋体" w:hAnsi="宋体"/>
          <w:color w:val="auto"/>
          <w:szCs w:val="21"/>
          <w:highlight w:val="none"/>
        </w:rPr>
        <w:t>收到提请后</w:t>
      </w:r>
      <w:r>
        <w:rPr>
          <w:rFonts w:hint="eastAsia" w:ascii="宋体" w:hAnsi="宋体"/>
          <w:color w:val="auto"/>
          <w:szCs w:val="21"/>
          <w:highlight w:val="none"/>
          <w:lang w:val="en-US" w:eastAsia="zh-CN"/>
        </w:rPr>
        <w:t>10</w:t>
      </w:r>
      <w:r>
        <w:rPr>
          <w:rFonts w:hint="eastAsia" w:ascii="宋体" w:hAnsi="宋体"/>
          <w:color w:val="auto"/>
          <w:szCs w:val="21"/>
          <w:highlight w:val="none"/>
        </w:rPr>
        <w:t>个工作日内以非现金形式予以退还</w:t>
      </w:r>
      <w:r>
        <w:rPr>
          <w:rFonts w:hint="eastAsia" w:ascii="宋体" w:hAnsi="宋体"/>
          <w:color w:val="auto"/>
          <w:szCs w:val="21"/>
          <w:highlight w:val="none"/>
          <w:lang w:eastAsia="zh-CN"/>
        </w:rPr>
        <w:t>，</w:t>
      </w:r>
      <w:r>
        <w:rPr>
          <w:rFonts w:hint="eastAsia" w:ascii="宋体" w:hAnsi="宋体"/>
          <w:color w:val="auto"/>
          <w:szCs w:val="21"/>
          <w:highlight w:val="none"/>
        </w:rPr>
        <w:t>不计息。</w:t>
      </w:r>
    </w:p>
    <w:p w14:paraId="306666A6">
      <w:pPr>
        <w:pageBreakBefore w:val="0"/>
        <w:kinsoku/>
        <w:wordWrap/>
        <w:overflowPunct/>
        <w:topLinePunct w:val="0"/>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34.3</w:t>
      </w:r>
      <w:r>
        <w:rPr>
          <w:rFonts w:hint="eastAsia" w:ascii="宋体" w:hAnsi="宋体"/>
          <w:color w:val="auto"/>
          <w:szCs w:val="21"/>
          <w:highlight w:val="none"/>
        </w:rPr>
        <w:t>履约保证金不予退还的情形：合同</w:t>
      </w:r>
      <w:r>
        <w:rPr>
          <w:rFonts w:hint="eastAsia" w:ascii="宋体" w:hAnsi="宋体"/>
          <w:color w:val="auto"/>
          <w:szCs w:val="21"/>
          <w:highlight w:val="none"/>
          <w:lang w:val="en-US" w:eastAsia="zh-CN"/>
        </w:rPr>
        <w:t>签订前</w:t>
      </w:r>
      <w:r>
        <w:rPr>
          <w:rFonts w:hint="eastAsia" w:ascii="宋体" w:hAnsi="宋体"/>
          <w:color w:val="auto"/>
          <w:szCs w:val="21"/>
          <w:highlight w:val="none"/>
        </w:rPr>
        <w:t>，如果</w:t>
      </w:r>
      <w:r>
        <w:rPr>
          <w:rFonts w:hint="eastAsia" w:ascii="宋体" w:hAnsi="宋体"/>
          <w:color w:val="auto"/>
          <w:szCs w:val="21"/>
          <w:highlight w:val="none"/>
          <w:lang w:val="en-US" w:eastAsia="zh-CN"/>
        </w:rPr>
        <w:t>乙方</w:t>
      </w:r>
      <w:r>
        <w:rPr>
          <w:rFonts w:hint="eastAsia" w:ascii="宋体" w:hAnsi="宋体"/>
          <w:color w:val="auto"/>
          <w:szCs w:val="21"/>
          <w:highlight w:val="none"/>
        </w:rPr>
        <w:t>在规定时间内未能提交履约保证金，将被视为放弃中标资格，由此给发包人造成的损失，应予以赔偿。若发现</w:t>
      </w:r>
      <w:r>
        <w:rPr>
          <w:rFonts w:hint="eastAsia" w:ascii="宋体" w:hAnsi="宋体"/>
          <w:color w:val="auto"/>
          <w:szCs w:val="21"/>
          <w:highlight w:val="none"/>
          <w:lang w:val="en-US" w:eastAsia="zh-CN"/>
        </w:rPr>
        <w:t>乙方</w:t>
      </w:r>
      <w:r>
        <w:rPr>
          <w:rFonts w:hint="eastAsia" w:ascii="宋体" w:hAnsi="宋体"/>
          <w:color w:val="auto"/>
          <w:szCs w:val="21"/>
          <w:highlight w:val="none"/>
        </w:rPr>
        <w:t>投标属虚假承诺，或经权威部门</w:t>
      </w:r>
      <w:r>
        <w:rPr>
          <w:rFonts w:hint="eastAsia" w:ascii="宋体" w:hAnsi="宋体"/>
          <w:color w:val="auto"/>
          <w:szCs w:val="21"/>
          <w:highlight w:val="none"/>
          <w:lang w:val="en-US" w:eastAsia="zh-CN"/>
        </w:rPr>
        <w:t>检测</w:t>
      </w:r>
      <w:r>
        <w:rPr>
          <w:rFonts w:hint="eastAsia" w:ascii="宋体" w:hAnsi="宋体"/>
          <w:color w:val="auto"/>
          <w:szCs w:val="21"/>
          <w:highlight w:val="none"/>
        </w:rPr>
        <w:t>提供的</w:t>
      </w:r>
      <w:r>
        <w:rPr>
          <w:rFonts w:hint="eastAsia" w:ascii="宋体" w:hAnsi="宋体"/>
          <w:color w:val="auto"/>
          <w:szCs w:val="21"/>
          <w:highlight w:val="none"/>
          <w:lang w:val="en-US" w:eastAsia="zh-CN"/>
        </w:rPr>
        <w:t>设备</w:t>
      </w:r>
      <w:r>
        <w:rPr>
          <w:rFonts w:hint="eastAsia" w:ascii="宋体" w:hAnsi="宋体"/>
          <w:color w:val="auto"/>
          <w:szCs w:val="21"/>
          <w:highlight w:val="none"/>
        </w:rPr>
        <w:t>不能满足</w:t>
      </w:r>
      <w:r>
        <w:rPr>
          <w:rFonts w:hint="eastAsia" w:ascii="宋体" w:hAnsi="宋体"/>
          <w:color w:val="auto"/>
          <w:szCs w:val="21"/>
          <w:highlight w:val="none"/>
          <w:lang w:val="en-US" w:eastAsia="zh-CN"/>
        </w:rPr>
        <w:t>采购文件</w:t>
      </w:r>
      <w:r>
        <w:rPr>
          <w:rFonts w:hint="eastAsia" w:ascii="宋体" w:hAnsi="宋体"/>
          <w:color w:val="auto"/>
          <w:szCs w:val="21"/>
          <w:highlight w:val="none"/>
        </w:rPr>
        <w:t>要求，造成合同无法继续履行的，</w:t>
      </w:r>
      <w:r>
        <w:rPr>
          <w:rFonts w:hint="eastAsia" w:ascii="宋体" w:hAnsi="宋体"/>
          <w:color w:val="auto"/>
          <w:szCs w:val="21"/>
          <w:highlight w:val="none"/>
          <w:lang w:val="en-US" w:eastAsia="zh-CN"/>
        </w:rPr>
        <w:t>乙方</w:t>
      </w:r>
      <w:r>
        <w:rPr>
          <w:rFonts w:hint="eastAsia" w:ascii="宋体" w:hAnsi="宋体"/>
          <w:color w:val="auto"/>
          <w:szCs w:val="21"/>
          <w:highlight w:val="none"/>
        </w:rPr>
        <w:t>履约保证金不予退还。</w:t>
      </w:r>
    </w:p>
    <w:p w14:paraId="2BE4E66A">
      <w:pPr>
        <w:rPr>
          <w:rFonts w:hint="eastAsia"/>
          <w:color w:val="auto"/>
          <w:highlight w:val="none"/>
        </w:rPr>
      </w:pPr>
      <w:r>
        <w:rPr>
          <w:rFonts w:hint="eastAsia"/>
          <w:color w:val="auto"/>
          <w:highlight w:val="none"/>
        </w:rPr>
        <w:br w:type="page"/>
      </w:r>
    </w:p>
    <w:p w14:paraId="360FA5D3">
      <w:pPr>
        <w:pStyle w:val="3"/>
        <w:bidi w:val="0"/>
        <w:jc w:val="center"/>
        <w:rPr>
          <w:color w:val="auto"/>
          <w:highlight w:val="none"/>
        </w:rPr>
      </w:pPr>
      <w:bookmarkStart w:id="118" w:name="_Toc25204"/>
      <w:r>
        <w:rPr>
          <w:rFonts w:hint="eastAsia"/>
          <w:color w:val="auto"/>
          <w:highlight w:val="none"/>
        </w:rPr>
        <w:t>第三章 合同条款及格式</w:t>
      </w:r>
      <w:bookmarkEnd w:id="116"/>
      <w:bookmarkEnd w:id="118"/>
    </w:p>
    <w:p w14:paraId="02942650">
      <w:pPr>
        <w:pStyle w:val="2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rPr>
      </w:pPr>
      <w:bookmarkStart w:id="119" w:name="_Hlt16619369"/>
      <w:bookmarkEnd w:id="119"/>
      <w:r>
        <w:rPr>
          <w:rFonts w:hint="eastAsia" w:ascii="宋体" w:hAnsi="宋体" w:eastAsia="宋体" w:cs="宋体"/>
          <w:color w:val="auto"/>
          <w:sz w:val="21"/>
          <w:szCs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2BDAD586">
      <w:pPr>
        <w:pStyle w:val="44"/>
        <w:ind w:firstLine="0" w:firstLineChars="0"/>
        <w:jc w:val="center"/>
        <w:rPr>
          <w:rFonts w:hint="eastAsia"/>
          <w:b/>
          <w:bCs/>
          <w:color w:val="auto"/>
          <w:sz w:val="32"/>
          <w:szCs w:val="32"/>
          <w:highlight w:val="none"/>
          <w:lang w:eastAsia="zh-CN"/>
        </w:rPr>
      </w:pPr>
    </w:p>
    <w:p w14:paraId="62E173BF">
      <w:pPr>
        <w:pStyle w:val="44"/>
        <w:ind w:firstLine="0" w:firstLineChars="0"/>
        <w:jc w:val="center"/>
        <w:rPr>
          <w:rFonts w:hint="eastAsia"/>
          <w:b/>
          <w:bCs/>
          <w:color w:val="auto"/>
          <w:sz w:val="32"/>
          <w:szCs w:val="32"/>
          <w:highlight w:val="none"/>
          <w:lang w:eastAsia="zh-CN"/>
        </w:rPr>
      </w:pPr>
      <w:r>
        <w:rPr>
          <w:rFonts w:hint="eastAsia"/>
          <w:b/>
          <w:bCs/>
          <w:color w:val="auto"/>
          <w:sz w:val="32"/>
          <w:szCs w:val="32"/>
          <w:highlight w:val="none"/>
          <w:lang w:eastAsia="zh-CN"/>
        </w:rPr>
        <w:t>扬州大学附属医院</w:t>
      </w:r>
    </w:p>
    <w:p w14:paraId="46110ACB">
      <w:pPr>
        <w:pStyle w:val="44"/>
        <w:ind w:firstLine="0" w:firstLineChars="0"/>
        <w:jc w:val="center"/>
        <w:rPr>
          <w:b/>
          <w:bCs/>
          <w:color w:val="auto"/>
          <w:sz w:val="32"/>
          <w:szCs w:val="32"/>
          <w:highlight w:val="none"/>
        </w:rPr>
      </w:pPr>
      <w:r>
        <w:rPr>
          <w:rFonts w:hint="eastAsia"/>
          <w:b/>
          <w:bCs/>
          <w:color w:val="auto"/>
          <w:sz w:val="32"/>
          <w:szCs w:val="32"/>
          <w:highlight w:val="none"/>
          <w:lang w:eastAsia="zh-CN"/>
        </w:rPr>
        <w:t>自助服务体系建设</w:t>
      </w:r>
      <w:r>
        <w:rPr>
          <w:rFonts w:hint="eastAsia"/>
          <w:b/>
          <w:bCs/>
          <w:color w:val="auto"/>
          <w:sz w:val="32"/>
          <w:szCs w:val="32"/>
          <w:highlight w:val="none"/>
          <w:lang w:val="en-US" w:eastAsia="zh-CN"/>
        </w:rPr>
        <w:t>软硬件购买</w:t>
      </w:r>
      <w:r>
        <w:rPr>
          <w:rFonts w:hint="eastAsia"/>
          <w:b/>
          <w:bCs/>
          <w:color w:val="auto"/>
          <w:sz w:val="32"/>
          <w:szCs w:val="32"/>
          <w:highlight w:val="none"/>
          <w:lang w:eastAsia="zh-CN"/>
        </w:rPr>
        <w:t>项目</w:t>
      </w:r>
      <w:r>
        <w:rPr>
          <w:rFonts w:hint="eastAsia"/>
          <w:b/>
          <w:bCs/>
          <w:color w:val="auto"/>
          <w:sz w:val="32"/>
          <w:szCs w:val="32"/>
          <w:highlight w:val="none"/>
        </w:rPr>
        <w:t>合作合同</w:t>
      </w:r>
    </w:p>
    <w:p w14:paraId="33175646">
      <w:pPr>
        <w:pStyle w:val="44"/>
        <w:ind w:firstLine="0" w:firstLineChars="0"/>
        <w:jc w:val="center"/>
        <w:rPr>
          <w:b/>
          <w:bCs/>
          <w:color w:val="auto"/>
          <w:sz w:val="32"/>
          <w:szCs w:val="32"/>
          <w:highlight w:val="none"/>
        </w:rPr>
      </w:pPr>
    </w:p>
    <w:p w14:paraId="1CA35C3F">
      <w:pPr>
        <w:pStyle w:val="22"/>
        <w:keepNext w:val="0"/>
        <w:keepLines w:val="0"/>
        <w:pageBreakBefore w:val="0"/>
        <w:kinsoku/>
        <w:wordWrap/>
        <w:overflowPunct/>
        <w:topLinePunct w:val="0"/>
        <w:bidi w:val="0"/>
        <w:adjustRightInd/>
        <w:snapToGrid/>
        <w:spacing w:line="360" w:lineRule="auto"/>
        <w:ind w:left="0" w:firstLine="480" w:firstLineChars="200"/>
        <w:rPr>
          <w:rFonts w:hint="default" w:ascii="宋体" w:hAnsi="宋体" w:eastAsia="宋体" w:cs="宋体"/>
          <w:b/>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甲方：(买方) </w:t>
      </w:r>
      <w:r>
        <w:rPr>
          <w:rFonts w:hint="eastAsia" w:ascii="宋体" w:hAnsi="宋体" w:eastAsia="宋体" w:cs="宋体"/>
          <w:b/>
          <w:color w:val="auto"/>
          <w:sz w:val="24"/>
          <w:szCs w:val="24"/>
          <w:highlight w:val="none"/>
          <w:u w:val="single"/>
        </w:rPr>
        <w:t>扬州大学附属医院</w:t>
      </w:r>
      <w:r>
        <w:rPr>
          <w:rFonts w:hint="eastAsia" w:ascii="宋体" w:hAnsi="宋体" w:eastAsia="宋体" w:cs="宋体"/>
          <w:b/>
          <w:color w:val="auto"/>
          <w:sz w:val="24"/>
          <w:szCs w:val="24"/>
          <w:highlight w:val="none"/>
          <w:u w:val="single"/>
          <w:lang w:val="en-US" w:eastAsia="zh-CN"/>
        </w:rPr>
        <w:t xml:space="preserve">          </w:t>
      </w:r>
    </w:p>
    <w:p w14:paraId="1B5695C9">
      <w:pPr>
        <w:pStyle w:val="22"/>
        <w:keepNext w:val="0"/>
        <w:keepLines w:val="0"/>
        <w:pageBreakBefore w:val="0"/>
        <w:kinsoku/>
        <w:wordWrap/>
        <w:overflowPunct/>
        <w:topLinePunct w:val="0"/>
        <w:bidi w:val="0"/>
        <w:adjustRightInd/>
        <w:snapToGrid/>
        <w:spacing w:line="360" w:lineRule="auto"/>
        <w:ind w:lef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u w:val="single"/>
          <w:lang w:val="en-US" w:eastAsia="zh-CN"/>
        </w:rPr>
        <w:t xml:space="preserve">                          </w:t>
      </w:r>
    </w:p>
    <w:p w14:paraId="15C8CABC">
      <w:pPr>
        <w:pStyle w:val="22"/>
        <w:keepNext w:val="0"/>
        <w:keepLines w:val="0"/>
        <w:pageBreakBefore w:val="0"/>
        <w:kinsoku/>
        <w:wordWrap/>
        <w:overflowPunct/>
        <w:topLinePunct w:val="0"/>
        <w:bidi w:val="0"/>
        <w:adjustRightInd/>
        <w:snapToGrid/>
        <w:spacing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丙方：(付款方）</w:t>
      </w:r>
      <w:r>
        <w:rPr>
          <w:rFonts w:hint="eastAsia" w:ascii="宋体" w:hAnsi="宋体" w:eastAsia="宋体" w:cs="宋体"/>
          <w:color w:val="auto"/>
          <w:sz w:val="24"/>
          <w:szCs w:val="24"/>
          <w:highlight w:val="none"/>
          <w:u w:val="single"/>
          <w:lang w:val="en-US" w:eastAsia="zh-CN"/>
        </w:rPr>
        <w:t xml:space="preserve">                        </w:t>
      </w:r>
    </w:p>
    <w:p w14:paraId="39914FF7">
      <w:pPr>
        <w:keepNext w:val="0"/>
        <w:keepLines w:val="0"/>
        <w:pageBreakBefore w:val="0"/>
        <w:tabs>
          <w:tab w:val="left" w:pos="6840"/>
          <w:tab w:val="left" w:pos="9283"/>
        </w:tabs>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pacing w:val="20"/>
          <w:sz w:val="24"/>
          <w:szCs w:val="24"/>
          <w:highlight w:val="none"/>
        </w:rPr>
        <w:t>依照《中华人民共和国民法典》、</w:t>
      </w:r>
      <w:r>
        <w:rPr>
          <w:rFonts w:hint="eastAsia" w:ascii="宋体" w:hAnsi="宋体" w:eastAsia="宋体" w:cs="宋体"/>
          <w:color w:val="auto"/>
          <w:sz w:val="24"/>
          <w:szCs w:val="24"/>
          <w:highlight w:val="none"/>
          <w:lang w:bidi="he-IL"/>
        </w:rPr>
        <w:t>《中华人民共和国质量法》</w:t>
      </w:r>
      <w:r>
        <w:rPr>
          <w:rFonts w:hint="eastAsia" w:ascii="宋体" w:hAnsi="宋体" w:eastAsia="宋体" w:cs="宋体"/>
          <w:color w:val="auto"/>
          <w:sz w:val="24"/>
          <w:szCs w:val="24"/>
          <w:highlight w:val="none"/>
        </w:rPr>
        <w:t>等相关法律法规以及本项目的招标文件、答疑文件及投标文件，遵循平等、自愿、公平、诚实信用的原则，</w:t>
      </w:r>
      <w:r>
        <w:rPr>
          <w:rFonts w:hint="eastAsia" w:ascii="宋体" w:hAnsi="宋体" w:eastAsia="宋体" w:cs="宋体"/>
          <w:color w:val="auto"/>
          <w:sz w:val="24"/>
          <w:szCs w:val="24"/>
          <w:highlight w:val="none"/>
          <w:lang w:bidi="he-IL"/>
        </w:rPr>
        <w:t>经甲乙丙三方</w:t>
      </w:r>
      <w:r>
        <w:rPr>
          <w:rFonts w:hint="eastAsia" w:ascii="宋体" w:hAnsi="宋体" w:eastAsia="宋体" w:cs="宋体"/>
          <w:color w:val="auto"/>
          <w:sz w:val="24"/>
          <w:szCs w:val="24"/>
          <w:highlight w:val="none"/>
        </w:rPr>
        <w:t>友好</w:t>
      </w:r>
      <w:r>
        <w:rPr>
          <w:rFonts w:hint="eastAsia" w:ascii="宋体" w:hAnsi="宋体" w:eastAsia="宋体" w:cs="宋体"/>
          <w:color w:val="auto"/>
          <w:sz w:val="24"/>
          <w:szCs w:val="24"/>
          <w:highlight w:val="none"/>
          <w:lang w:bidi="he-IL"/>
        </w:rPr>
        <w:t>协商，</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u w:val="single"/>
          <w:lang w:eastAsia="zh-CN"/>
        </w:rPr>
        <w:t>扬州大学附属医院自助服务体系建设</w:t>
      </w:r>
      <w:r>
        <w:rPr>
          <w:rFonts w:hint="eastAsia" w:ascii="宋体" w:hAnsi="宋体" w:eastAsia="宋体" w:cs="宋体"/>
          <w:color w:val="auto"/>
          <w:sz w:val="24"/>
          <w:szCs w:val="24"/>
          <w:highlight w:val="none"/>
          <w:u w:val="single"/>
          <w:lang w:val="en-US" w:eastAsia="zh-CN"/>
        </w:rPr>
        <w:t>软硬件购买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达成一致，并进一步</w:t>
      </w:r>
      <w:r>
        <w:rPr>
          <w:rFonts w:hint="eastAsia" w:ascii="宋体" w:hAnsi="宋体" w:eastAsia="宋体" w:cs="宋体"/>
          <w:color w:val="auto"/>
          <w:sz w:val="24"/>
          <w:szCs w:val="24"/>
          <w:highlight w:val="none"/>
          <w:lang w:bidi="he-IL"/>
        </w:rPr>
        <w:t>明确三方的责任和权利，特签订以下合同</w:t>
      </w:r>
      <w:r>
        <w:rPr>
          <w:rFonts w:hint="eastAsia" w:ascii="宋体" w:hAnsi="宋体" w:eastAsia="宋体" w:cs="宋体"/>
          <w:color w:val="auto"/>
          <w:sz w:val="24"/>
          <w:szCs w:val="24"/>
          <w:highlight w:val="none"/>
        </w:rPr>
        <w:t>：</w:t>
      </w:r>
    </w:p>
    <w:p w14:paraId="27FAFF74">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562" w:firstLineChars="200"/>
        <w:jc w:val="left"/>
        <w:rPr>
          <w:rFonts w:hint="eastAsia" w:ascii="宋体" w:hAnsi="宋体" w:eastAsia="宋体" w:cs="宋体"/>
          <w:b/>
          <w:bCs/>
          <w:color w:val="auto"/>
          <w:spacing w:val="20"/>
          <w:sz w:val="24"/>
          <w:szCs w:val="24"/>
          <w:highlight w:val="none"/>
        </w:rPr>
      </w:pPr>
      <w:r>
        <w:rPr>
          <w:rFonts w:hint="eastAsia" w:ascii="宋体" w:hAnsi="宋体" w:eastAsia="宋体" w:cs="宋体"/>
          <w:b/>
          <w:bCs/>
          <w:color w:val="auto"/>
          <w:spacing w:val="20"/>
          <w:sz w:val="24"/>
          <w:szCs w:val="24"/>
          <w:highlight w:val="none"/>
        </w:rPr>
        <w:t>合同标的</w:t>
      </w:r>
    </w:p>
    <w:p w14:paraId="5D51E719">
      <w:pPr>
        <w:keepNext w:val="0"/>
        <w:keepLines w:val="0"/>
        <w:pageBreakBefore w:val="0"/>
        <w:numPr>
          <w:ilvl w:val="0"/>
          <w:numId w:val="7"/>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扬州大学附属医院智慧医疗（自助）服务体系建设项目</w:t>
      </w:r>
    </w:p>
    <w:p w14:paraId="7867C1DE">
      <w:pPr>
        <w:keepNext w:val="0"/>
        <w:keepLines w:val="0"/>
        <w:pageBreakBefore w:val="0"/>
        <w:numPr>
          <w:ilvl w:val="0"/>
          <w:numId w:val="7"/>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val="en-US" w:eastAsia="zh-CN"/>
        </w:rPr>
        <w:t>项目建设内容</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lang w:val="en-US" w:eastAsia="zh-CN"/>
        </w:rPr>
        <w:t>主要为多功能自助机设备及配套软件建设，具体内容详见附件一：《扬州大学附属医院自助服务体系建设软硬件购买项目需求》</w:t>
      </w:r>
    </w:p>
    <w:p w14:paraId="76EB3C6B">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项目起止时间：</w:t>
      </w:r>
    </w:p>
    <w:p w14:paraId="6351BAD5">
      <w:pPr>
        <w:keepNext w:val="0"/>
        <w:keepLines w:val="0"/>
        <w:pageBreakBefore w:val="0"/>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pacing w:val="20"/>
          <w:sz w:val="24"/>
          <w:szCs w:val="24"/>
          <w:highlight w:val="none"/>
          <w:u w:val="single"/>
        </w:rPr>
        <w:t xml:space="preserve">202 </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年 </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月</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日</w:t>
      </w:r>
      <w:r>
        <w:rPr>
          <w:rFonts w:hint="eastAsia" w:ascii="宋体" w:hAnsi="宋体" w:eastAsia="宋体" w:cs="宋体"/>
          <w:bCs/>
          <w:color w:val="auto"/>
          <w:spacing w:val="20"/>
          <w:sz w:val="24"/>
          <w:szCs w:val="24"/>
          <w:highlight w:val="none"/>
        </w:rPr>
        <w:t>至</w:t>
      </w:r>
      <w:r>
        <w:rPr>
          <w:rFonts w:hint="eastAsia" w:ascii="宋体" w:hAnsi="宋体" w:eastAsia="宋体" w:cs="宋体"/>
          <w:bCs/>
          <w:color w:val="auto"/>
          <w:spacing w:val="20"/>
          <w:sz w:val="24"/>
          <w:szCs w:val="24"/>
          <w:highlight w:val="none"/>
          <w:u w:val="single"/>
        </w:rPr>
        <w:t>202  年</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月</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日</w:t>
      </w:r>
      <w:r>
        <w:rPr>
          <w:rFonts w:hint="eastAsia" w:ascii="宋体" w:hAnsi="宋体" w:eastAsia="宋体" w:cs="宋体"/>
          <w:bCs/>
          <w:color w:val="auto"/>
          <w:spacing w:val="20"/>
          <w:sz w:val="24"/>
          <w:szCs w:val="24"/>
          <w:highlight w:val="none"/>
        </w:rPr>
        <w:t>，计</w:t>
      </w:r>
      <w:r>
        <w:rPr>
          <w:rFonts w:hint="eastAsia" w:ascii="宋体" w:hAnsi="宋体" w:eastAsia="宋体" w:cs="宋体"/>
          <w:bCs/>
          <w:color w:val="auto"/>
          <w:spacing w:val="20"/>
          <w:sz w:val="24"/>
          <w:szCs w:val="24"/>
          <w:highlight w:val="none"/>
          <w:u w:val="single"/>
          <w:lang w:val="en-US" w:eastAsia="zh-CN"/>
        </w:rPr>
        <w:t>36</w:t>
      </w:r>
      <w:r>
        <w:rPr>
          <w:rFonts w:hint="eastAsia" w:ascii="宋体" w:hAnsi="宋体" w:eastAsia="宋体" w:cs="宋体"/>
          <w:bCs/>
          <w:color w:val="auto"/>
          <w:spacing w:val="20"/>
          <w:sz w:val="24"/>
          <w:szCs w:val="24"/>
          <w:highlight w:val="none"/>
        </w:rPr>
        <w:t>个月</w:t>
      </w:r>
      <w:r>
        <w:rPr>
          <w:rFonts w:hint="eastAsia" w:ascii="宋体" w:hAnsi="宋体" w:eastAsia="宋体" w:cs="宋体"/>
          <w:color w:val="auto"/>
          <w:spacing w:val="20"/>
          <w:sz w:val="24"/>
          <w:szCs w:val="24"/>
          <w:highlight w:val="none"/>
        </w:rPr>
        <w:t>。</w:t>
      </w:r>
    </w:p>
    <w:p w14:paraId="2ECDD24F">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商务</w:t>
      </w:r>
      <w:r>
        <w:rPr>
          <w:rFonts w:hint="eastAsia" w:ascii="宋体" w:hAnsi="宋体" w:eastAsia="宋体" w:cs="宋体"/>
          <w:b/>
          <w:bCs/>
          <w:color w:val="auto"/>
          <w:sz w:val="24"/>
          <w:szCs w:val="24"/>
          <w:highlight w:val="none"/>
        </w:rPr>
        <w:t>要求：</w:t>
      </w:r>
    </w:p>
    <w:p w14:paraId="29857EA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甲方委托乙方指派专业人员在合同期限内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pacing w:val="20"/>
          <w:sz w:val="24"/>
          <w:szCs w:val="24"/>
          <w:highlight w:val="none"/>
          <w:lang w:val="en-US" w:eastAsia="zh-CN"/>
        </w:rPr>
        <w:t>多功能自助机设备及配套软件建设</w:t>
      </w:r>
      <w:r>
        <w:rPr>
          <w:rFonts w:hint="eastAsia" w:ascii="宋体" w:hAnsi="宋体" w:eastAsia="宋体" w:cs="宋体"/>
          <w:color w:val="auto"/>
          <w:sz w:val="24"/>
          <w:szCs w:val="24"/>
          <w:highlight w:val="none"/>
        </w:rPr>
        <w:t>，提供并建立完整的运维服务保障体系及应急保障体系。</w:t>
      </w:r>
    </w:p>
    <w:p w14:paraId="7E3362E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提供自助设备所有耗材维护及管理服务。打印设备所涉及的硒鼓、墨盒、报告纸、凭条等耗材均由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提供，所有耗材</w:t>
      </w:r>
      <w:r>
        <w:rPr>
          <w:rFonts w:hint="eastAsia" w:ascii="宋体" w:hAnsi="宋体" w:eastAsia="宋体" w:cs="宋体"/>
          <w:color w:val="auto"/>
          <w:sz w:val="24"/>
          <w:szCs w:val="24"/>
          <w:highlight w:val="none"/>
          <w:lang w:val="en-US" w:eastAsia="zh-CN"/>
        </w:rPr>
        <w:t>需向甲方</w:t>
      </w:r>
      <w:r>
        <w:rPr>
          <w:rFonts w:hint="eastAsia" w:ascii="宋体" w:hAnsi="宋体" w:eastAsia="宋体" w:cs="宋体"/>
          <w:color w:val="auto"/>
          <w:sz w:val="24"/>
          <w:szCs w:val="24"/>
          <w:highlight w:val="none"/>
        </w:rPr>
        <w:t>提供品牌、规格、型号。打印质量</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：打印/复印结果应为实心黑线，字迹清楚，达到无背景、重影、断点和模糊等；无直径或长度在 2mm 以上的脏污；无因漏印而导致的内容不明。</w:t>
      </w:r>
    </w:p>
    <w:p w14:paraId="263FF9A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乙方应为甲方提供驻场服务，驻场服务要求如下：</w:t>
      </w:r>
    </w:p>
    <w:p w14:paraId="2014E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乙方提供驻场工程师4人，驻场服务时间：3年，7*8小时，两院区驻场服务（跟院方作息时间同步），7*24小时3年上门服务，无论在保修期内还是保修期外，驻场工程师必须至甲方指定地点上门维修设备。乙方提供的驻场工程师人员须具有丰富的硬件维修经验及客户沟通反馈能力，能够提供日常巡检、系统维护、耗材更换、故障处理、软件升级维护、协助查对账务等服务。</w:t>
      </w:r>
    </w:p>
    <w:p w14:paraId="38FFDD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3.2如</w:t>
      </w:r>
      <w:r>
        <w:rPr>
          <w:rFonts w:hint="eastAsia" w:ascii="宋体" w:hAnsi="宋体" w:eastAsia="宋体" w:cs="宋体"/>
          <w:color w:val="auto"/>
          <w:sz w:val="24"/>
          <w:szCs w:val="24"/>
          <w:highlight w:val="none"/>
        </w:rPr>
        <w:t>设备发生故障时，</w:t>
      </w:r>
      <w:r>
        <w:rPr>
          <w:rFonts w:hint="eastAsia" w:ascii="宋体" w:hAnsi="宋体" w:eastAsia="宋体" w:cs="宋体"/>
          <w:color w:val="auto"/>
          <w:sz w:val="24"/>
          <w:szCs w:val="24"/>
          <w:highlight w:val="none"/>
          <w:lang w:val="en-US" w:eastAsia="zh-CN"/>
        </w:rPr>
        <w:t>乙方驻场工程师</w:t>
      </w:r>
      <w:r>
        <w:rPr>
          <w:rFonts w:hint="eastAsia" w:ascii="宋体" w:hAnsi="宋体" w:eastAsia="宋体" w:cs="宋体"/>
          <w:color w:val="auto"/>
          <w:sz w:val="24"/>
          <w:szCs w:val="24"/>
          <w:highlight w:val="none"/>
        </w:rPr>
        <w:t>应在接到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通知后 10分钟内</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，30分钟内到达</w:t>
      </w:r>
      <w:r>
        <w:rPr>
          <w:rFonts w:hint="eastAsia" w:ascii="宋体" w:hAnsi="宋体" w:eastAsia="宋体" w:cs="宋体"/>
          <w:color w:val="auto"/>
          <w:sz w:val="24"/>
          <w:szCs w:val="24"/>
          <w:highlight w:val="none"/>
          <w:lang w:val="en-US" w:eastAsia="zh-CN"/>
        </w:rPr>
        <w:t>出现故障</w:t>
      </w:r>
      <w:r>
        <w:rPr>
          <w:rFonts w:hint="eastAsia" w:ascii="宋体" w:hAnsi="宋体" w:eastAsia="宋体" w:cs="宋体"/>
          <w:color w:val="auto"/>
          <w:sz w:val="24"/>
          <w:szCs w:val="24"/>
          <w:highlight w:val="none"/>
        </w:rPr>
        <w:t>现场，1小时内解决故障</w:t>
      </w:r>
      <w:r>
        <w:rPr>
          <w:rFonts w:hint="eastAsia" w:ascii="宋体" w:hAnsi="宋体" w:eastAsia="宋体" w:cs="宋体"/>
          <w:color w:val="auto"/>
          <w:sz w:val="24"/>
          <w:szCs w:val="24"/>
          <w:highlight w:val="none"/>
          <w:lang w:val="en-US" w:eastAsia="zh-CN"/>
        </w:rPr>
        <w:t>恢复使用</w:t>
      </w:r>
      <w:r>
        <w:rPr>
          <w:rFonts w:hint="eastAsia" w:ascii="宋体" w:hAnsi="宋体" w:eastAsia="宋体" w:cs="宋体"/>
          <w:color w:val="auto"/>
          <w:sz w:val="24"/>
          <w:szCs w:val="24"/>
          <w:highlight w:val="none"/>
        </w:rPr>
        <w:t>；或在48小时内免费提供同机型备用设备直至故障设备维修完成恢复使用。否则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可自行采取必要的措施，由此产生的风险和费用由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承担。如有特殊情况，</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应立即电话通知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不能响应的原因，在获得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同意后，才可推迟响应时间。</w:t>
      </w:r>
    </w:p>
    <w:p w14:paraId="78D9A5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3.3乙方驻场工程师在</w:t>
      </w:r>
      <w:r>
        <w:rPr>
          <w:rFonts w:hint="eastAsia" w:ascii="宋体" w:hAnsi="宋体" w:eastAsia="宋体" w:cs="宋体"/>
          <w:color w:val="auto"/>
          <w:sz w:val="24"/>
          <w:szCs w:val="24"/>
          <w:highlight w:val="none"/>
        </w:rPr>
        <w:t>解决故障时，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最大限度保护好数据，做好故障恢复的文档，力争恢复到故障点前的业务状态。对于“系统瘫痪，业务系统不能运转”的故障级别，</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如果不能于12小时内解决故障，须在16小时内提出应急方案，确保业务系统的运行。</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故障解决后24小时内，提交</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故障处理报告，说明故障种类、故障原因、故障解决中使用的方法及故障损失等。</w:t>
      </w:r>
    </w:p>
    <w:p w14:paraId="3EC42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3.4乙方</w:t>
      </w:r>
      <w:r>
        <w:rPr>
          <w:rFonts w:hint="eastAsia" w:ascii="宋体" w:hAnsi="宋体" w:eastAsia="宋体" w:cs="宋体"/>
          <w:color w:val="auto"/>
          <w:sz w:val="24"/>
          <w:szCs w:val="24"/>
          <w:highlight w:val="none"/>
        </w:rPr>
        <w:t>驻场人员对所维护自助设备每半天一次巡查，对巡检中发现的潜在隐患提出改正建议，及时向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通报，按月提交</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自助机项目巡检报告，每年配合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向使用部门发放用户满意度调查表，</w:t>
      </w:r>
      <w:r>
        <w:rPr>
          <w:rFonts w:hint="eastAsia" w:ascii="宋体" w:hAnsi="宋体" w:eastAsia="宋体" w:cs="宋体"/>
          <w:color w:val="auto"/>
          <w:sz w:val="24"/>
          <w:szCs w:val="24"/>
          <w:highlight w:val="none"/>
          <w:lang w:val="en-US" w:eastAsia="zh-CN"/>
        </w:rPr>
        <w:t>乙方应</w:t>
      </w:r>
      <w:r>
        <w:rPr>
          <w:rFonts w:hint="eastAsia" w:ascii="宋体" w:hAnsi="宋体" w:eastAsia="宋体" w:cs="宋体"/>
          <w:color w:val="auto"/>
          <w:sz w:val="24"/>
          <w:szCs w:val="24"/>
          <w:highlight w:val="none"/>
        </w:rPr>
        <w:t>对调查表中反映的问题进行整改。</w:t>
      </w:r>
    </w:p>
    <w:p w14:paraId="214EA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驻场人员所有工薪、</w:t>
      </w:r>
      <w:r>
        <w:rPr>
          <w:rFonts w:hint="eastAsia" w:ascii="宋体" w:hAnsi="宋体" w:eastAsia="宋体" w:cs="宋体"/>
          <w:color w:val="auto"/>
          <w:sz w:val="24"/>
          <w:szCs w:val="24"/>
          <w:highlight w:val="none"/>
          <w:lang w:val="en-US" w:eastAsia="zh-CN"/>
        </w:rPr>
        <w:t>社会保险</w:t>
      </w:r>
      <w:r>
        <w:rPr>
          <w:rFonts w:hint="eastAsia" w:ascii="宋体" w:hAnsi="宋体" w:eastAsia="宋体" w:cs="宋体"/>
          <w:color w:val="auto"/>
          <w:sz w:val="24"/>
          <w:szCs w:val="24"/>
          <w:highlight w:val="none"/>
        </w:rPr>
        <w:t>费用均由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承担。驻场人员要求计算机相关专业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本科及</w:t>
      </w:r>
      <w:r>
        <w:rPr>
          <w:rFonts w:hint="eastAsia" w:ascii="宋体" w:hAnsi="宋体" w:eastAsia="宋体" w:cs="宋体"/>
          <w:color w:val="auto"/>
          <w:sz w:val="24"/>
          <w:szCs w:val="24"/>
          <w:highlight w:val="none"/>
        </w:rPr>
        <w:t>以上学历，提供</w:t>
      </w:r>
      <w:r>
        <w:rPr>
          <w:rFonts w:hint="eastAsia" w:ascii="宋体" w:hAnsi="宋体" w:eastAsia="宋体" w:cs="宋体"/>
          <w:color w:val="auto"/>
          <w:sz w:val="24"/>
          <w:szCs w:val="24"/>
          <w:highlight w:val="none"/>
          <w:lang w:val="en-US" w:eastAsia="zh-CN"/>
        </w:rPr>
        <w:t>个人</w:t>
      </w:r>
      <w:r>
        <w:rPr>
          <w:rFonts w:hint="eastAsia" w:ascii="宋体" w:hAnsi="宋体" w:eastAsia="宋体" w:cs="宋体"/>
          <w:color w:val="auto"/>
          <w:sz w:val="24"/>
          <w:szCs w:val="24"/>
          <w:highlight w:val="none"/>
        </w:rPr>
        <w:t>简历、学历证书、</w:t>
      </w:r>
      <w:r>
        <w:rPr>
          <w:rFonts w:hint="eastAsia" w:ascii="宋体" w:hAnsi="宋体" w:eastAsia="宋体" w:cs="宋体"/>
          <w:color w:val="auto"/>
          <w:sz w:val="24"/>
          <w:szCs w:val="24"/>
          <w:highlight w:val="none"/>
          <w:lang w:val="en-US" w:eastAsia="zh-CN"/>
        </w:rPr>
        <w:t>近一年内任意一个月的</w:t>
      </w:r>
      <w:r>
        <w:rPr>
          <w:rFonts w:hint="eastAsia" w:ascii="宋体" w:hAnsi="宋体" w:eastAsia="宋体" w:cs="宋体"/>
          <w:color w:val="auto"/>
          <w:sz w:val="24"/>
          <w:szCs w:val="24"/>
          <w:highlight w:val="none"/>
        </w:rPr>
        <w:t>社保缴纳证明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乙方在驻场前应提供驻场人员证明材料交于甲方审核，</w:t>
      </w:r>
      <w:r>
        <w:rPr>
          <w:rFonts w:hint="eastAsia" w:ascii="宋体" w:hAnsi="宋体" w:eastAsia="宋体" w:cs="宋体"/>
          <w:color w:val="auto"/>
          <w:sz w:val="24"/>
          <w:szCs w:val="24"/>
          <w:highlight w:val="none"/>
        </w:rPr>
        <w:t>如不符合</w:t>
      </w:r>
      <w:r>
        <w:rPr>
          <w:rFonts w:hint="eastAsia" w:ascii="宋体" w:hAnsi="宋体" w:eastAsia="宋体" w:cs="宋体"/>
          <w:color w:val="auto"/>
          <w:sz w:val="24"/>
          <w:szCs w:val="24"/>
          <w:highlight w:val="none"/>
          <w:lang w:val="en-US" w:eastAsia="zh-CN"/>
        </w:rPr>
        <w:t>甲方认可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更换人员，驻场人员在驻场期间如发生人身伤害事故或违法行为与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无关，由</w:t>
      </w:r>
      <w:r>
        <w:rPr>
          <w:rFonts w:hint="eastAsia" w:ascii="宋体" w:hAnsi="宋体" w:eastAsia="宋体" w:cs="宋体"/>
          <w:color w:val="auto"/>
          <w:sz w:val="24"/>
          <w:szCs w:val="24"/>
          <w:highlight w:val="none"/>
          <w:lang w:val="en-US" w:eastAsia="zh-CN"/>
        </w:rPr>
        <w:t>乙方自行</w:t>
      </w:r>
      <w:r>
        <w:rPr>
          <w:rFonts w:hint="eastAsia" w:ascii="宋体" w:hAnsi="宋体" w:eastAsia="宋体" w:cs="宋体"/>
          <w:color w:val="auto"/>
          <w:sz w:val="24"/>
          <w:szCs w:val="24"/>
          <w:highlight w:val="none"/>
        </w:rPr>
        <w:t>负责。</w:t>
      </w:r>
    </w:p>
    <w:p w14:paraId="70D7D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3.6乙方</w:t>
      </w:r>
      <w:r>
        <w:rPr>
          <w:rFonts w:hint="eastAsia" w:ascii="宋体" w:hAnsi="宋体" w:eastAsia="宋体" w:cs="宋体"/>
          <w:color w:val="auto"/>
          <w:sz w:val="24"/>
          <w:szCs w:val="24"/>
          <w:highlight w:val="none"/>
        </w:rPr>
        <w:t>遇到自助机坐标调整或者办公地点更换，驻场人员应积极配合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做好设备迁移、安装、调试工作，并主动增加足够多的人手保障服务。</w:t>
      </w:r>
    </w:p>
    <w:p w14:paraId="2B15F8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3.7乙方</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向甲方</w:t>
      </w:r>
      <w:r>
        <w:rPr>
          <w:rFonts w:hint="eastAsia" w:ascii="宋体" w:hAnsi="宋体" w:eastAsia="宋体" w:cs="宋体"/>
          <w:color w:val="auto"/>
          <w:sz w:val="24"/>
          <w:szCs w:val="24"/>
          <w:highlight w:val="none"/>
        </w:rPr>
        <w:t>提供日常更换的备件清单，储备足够的零备件，</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保证</w:t>
      </w:r>
      <w:r>
        <w:rPr>
          <w:rFonts w:hint="eastAsia" w:ascii="宋体" w:hAnsi="宋体" w:eastAsia="宋体" w:cs="宋体"/>
          <w:color w:val="auto"/>
          <w:sz w:val="24"/>
          <w:szCs w:val="24"/>
          <w:highlight w:val="none"/>
          <w:lang w:val="en-US" w:eastAsia="zh-CN"/>
        </w:rPr>
        <w:t>运</w:t>
      </w:r>
      <w:r>
        <w:rPr>
          <w:rFonts w:hint="eastAsia" w:ascii="宋体" w:hAnsi="宋体" w:eastAsia="宋体" w:cs="宋体"/>
          <w:color w:val="auto"/>
          <w:sz w:val="24"/>
          <w:szCs w:val="24"/>
          <w:highlight w:val="none"/>
        </w:rPr>
        <w:t>维服务所使用的替换零部件为原装（厂）配件。</w:t>
      </w:r>
    </w:p>
    <w:p w14:paraId="651874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对于</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仍在使用的原有自助终端，</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 xml:space="preserve">需要提供同等质量的运维服务，保障设备稳定运行，包括但不限于日常巡检、设备维护、整机及部件故障维修、备件更换、耗材更换、软件升级维护等服务。 </w:t>
      </w:r>
    </w:p>
    <w:p w14:paraId="5F25739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乙方应为甲方提供数据交换与接口对接功能，服务要求如下：</w:t>
      </w:r>
    </w:p>
    <w:p w14:paraId="2EBF86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4.1本次项目建设要求硬件设备及软件功能，乙方应能够实现与医院各系统及省市医保、各区域信息平台进行对接，实现各系统之间的互联、互通、资源共享。</w:t>
      </w:r>
    </w:p>
    <w:p w14:paraId="14650D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4.2本次项目包含医院相关系统的接口，需要乙方提供接口文档及方案。根据甲方实际需求，乙方需提供多次免费接口对接服务，涉及第三方费用由乙方自行测算，并包含在合同价款中。</w:t>
      </w:r>
    </w:p>
    <w:p w14:paraId="08816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4.3乙方能够根据国家信创要求，在保持自助机外观及主体物理结构、性能不改变的前提下，进行国产化替代，适配信创软硬件生态。</w:t>
      </w:r>
    </w:p>
    <w:p w14:paraId="001C3D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4.4本</w:t>
      </w:r>
      <w:r>
        <w:rPr>
          <w:rFonts w:hint="eastAsia" w:ascii="宋体" w:hAnsi="宋体" w:eastAsia="宋体" w:cs="宋体"/>
          <w:color w:val="auto"/>
          <w:sz w:val="24"/>
          <w:szCs w:val="24"/>
          <w:highlight w:val="none"/>
        </w:rPr>
        <w:t>系统建设具有可扩展性，</w:t>
      </w:r>
      <w:r>
        <w:rPr>
          <w:rFonts w:hint="eastAsia" w:ascii="宋体" w:hAnsi="宋体" w:eastAsia="宋体" w:cs="宋体"/>
          <w:color w:val="auto"/>
          <w:sz w:val="24"/>
          <w:szCs w:val="24"/>
          <w:highlight w:val="none"/>
          <w:lang w:val="en-US" w:eastAsia="zh-CN"/>
        </w:rPr>
        <w:t>乙方应</w:t>
      </w:r>
      <w:r>
        <w:rPr>
          <w:rFonts w:hint="eastAsia" w:ascii="宋体" w:hAnsi="宋体" w:eastAsia="宋体" w:cs="宋体"/>
          <w:color w:val="auto"/>
          <w:sz w:val="24"/>
          <w:szCs w:val="24"/>
          <w:highlight w:val="none"/>
        </w:rPr>
        <w:t>能够与其他第三方系统对接，以适应发展需求。</w:t>
      </w:r>
    </w:p>
    <w:p w14:paraId="5DFA08F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乙方应为甲方提供软硬件升级服务，服务要求如下：</w:t>
      </w:r>
    </w:p>
    <w:p w14:paraId="73BAC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5.1乙方根据医院和患者的使用需求，分析应用系统对服务平台性能的要求，对多功能自助服务系统软、硬件进行更新开发与部署，保障应用系统的处理服务性能。 </w:t>
      </w:r>
    </w:p>
    <w:p w14:paraId="279FD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产品中的软件发布了任何更新、补丁、版本升级、行业标准升级、型号升级等，乙方应经过评估，向甲方提供可行的升级计划方案并与甲方信息部门进行技术交流，征得甲方同意后组织实施工作，进行软件免费升级，保证软件为最新、最高版本。乙方主要工作内容包括：更新内容调研、更新方案设计、软件开发、代码编写、功能测试、上线部署。</w:t>
      </w:r>
    </w:p>
    <w:p w14:paraId="31CD9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5.3乙方应与甲方共同开发新增服务项目每年不少于3项。合同期内乙方新开发服务功能，免费提供甲方使用。</w:t>
      </w:r>
    </w:p>
    <w:p w14:paraId="47A311C6">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合同价款及付款方式：</w:t>
      </w:r>
    </w:p>
    <w:p w14:paraId="56723959">
      <w:pPr>
        <w:keepNext w:val="0"/>
        <w:keepLines w:val="0"/>
        <w:pageBreakBefore w:val="0"/>
        <w:widowControl w:val="0"/>
        <w:numPr>
          <w:ilvl w:val="0"/>
          <w:numId w:val="9"/>
        </w:numPr>
        <w:kinsoku/>
        <w:wordWrap/>
        <w:overflowPunct/>
        <w:topLinePunct w:val="0"/>
        <w:bidi w:val="0"/>
        <w:adjustRightInd/>
        <w:snapToGrid/>
        <w:spacing w:line="360" w:lineRule="auto"/>
        <w:ind w:left="0" w:lef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本合同项下的</w:t>
      </w:r>
      <w:r>
        <w:rPr>
          <w:rFonts w:hint="eastAsia" w:ascii="宋体" w:hAnsi="宋体" w:eastAsia="宋体" w:cs="宋体"/>
          <w:color w:val="auto"/>
          <w:sz w:val="24"/>
          <w:szCs w:val="24"/>
          <w:highlight w:val="none"/>
          <w:lang w:val="en-US" w:eastAsia="zh-CN"/>
        </w:rPr>
        <w:t>建设费用</w:t>
      </w:r>
      <w:r>
        <w:rPr>
          <w:rFonts w:hint="eastAsia" w:ascii="宋体" w:hAnsi="宋体" w:eastAsia="宋体" w:cs="宋体"/>
          <w:color w:val="auto"/>
          <w:sz w:val="24"/>
          <w:szCs w:val="24"/>
          <w:highlight w:val="none"/>
        </w:rPr>
        <w:t>由甲、丙方支付，付款前乙方向甲、丙方开具增值税专用发票。</w:t>
      </w:r>
    </w:p>
    <w:p w14:paraId="393DF713">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履约保证金：</w:t>
      </w:r>
      <w:r>
        <w:rPr>
          <w:rFonts w:hint="eastAsia" w:ascii="宋体" w:hAnsi="宋体" w:eastAsia="宋体" w:cs="宋体"/>
          <w:color w:val="auto"/>
          <w:sz w:val="24"/>
          <w:szCs w:val="24"/>
          <w:highlight w:val="none"/>
          <w:u w:val="single"/>
          <w:lang w:eastAsia="zh-CN"/>
        </w:rPr>
        <w:t>收到中标通知书后合同签订前，</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eastAsia="zh-CN"/>
        </w:rPr>
        <w:t>须向</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提交合同总价10%的履约保证金，以支票、汇票、本票保函等形式缴纳或提交。履约保证金期限为合同生效之日起至项目竣工验收合格之日止。履约保证金用以约束</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eastAsia="zh-CN"/>
        </w:rPr>
        <w:t>在合同履行中的行为，弥补合同执行中由于自身行为可能给采购人带来的各种损失。</w:t>
      </w:r>
    </w:p>
    <w:p w14:paraId="280CB0C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left"/>
        <w:textAlignment w:val="bottom"/>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履约保证金的退还：</w:t>
      </w:r>
      <w:r>
        <w:rPr>
          <w:rFonts w:hint="eastAsia" w:ascii="宋体" w:hAnsi="宋体" w:eastAsia="宋体" w:cs="宋体"/>
          <w:color w:val="auto"/>
          <w:sz w:val="24"/>
          <w:szCs w:val="24"/>
          <w:highlight w:val="none"/>
          <w:u w:val="single"/>
          <w:lang w:eastAsia="zh-CN"/>
        </w:rPr>
        <w:t>履约保证金待项目竣工验收合格后，</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eastAsia="zh-CN"/>
        </w:rPr>
        <w:t>凭</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签署的验收报告，向</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提请办理保证金退还手续。</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收到提请后10个工作日内以非现金形式予以退还，不计息。</w:t>
      </w:r>
    </w:p>
    <w:p w14:paraId="64356C5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left"/>
        <w:textAlignment w:val="bottom"/>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lang w:eastAsia="zh-CN"/>
        </w:rPr>
        <w:t>履约保证金不予退还的情形：</w:t>
      </w:r>
      <w:r>
        <w:rPr>
          <w:rFonts w:hint="eastAsia" w:ascii="宋体" w:hAnsi="宋体" w:eastAsia="宋体" w:cs="宋体"/>
          <w:color w:val="auto"/>
          <w:sz w:val="24"/>
          <w:szCs w:val="24"/>
          <w:highlight w:val="none"/>
          <w:u w:val="single"/>
          <w:lang w:eastAsia="zh-CN"/>
        </w:rPr>
        <w:t>合同签订前，如果乙方在规定时间内未能提交履约保证金，将被视为放弃中标资格，由此给</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造成的损失，应予以赔偿。若发现乙方投标属虚假承诺，或经权威部门检测提供的设备不能满足采购文件要求，造成合同无法继续履行的，乙方履约保证金不予退还。</w:t>
      </w:r>
    </w:p>
    <w:p w14:paraId="295EECAF">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合同价格：根据内容和要求，甲、丙方向乙方支付的</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为：</w:t>
      </w:r>
    </w:p>
    <w:p w14:paraId="11B5CA26">
      <w:pPr>
        <w:keepNext w:val="0"/>
        <w:keepLines w:val="0"/>
        <w:pageBreakBefore w:val="0"/>
        <w:numPr>
          <w:ilvl w:val="0"/>
          <w:numId w:val="0"/>
        </w:numPr>
        <w:kinsoku/>
        <w:wordWrap/>
        <w:overflowPunct/>
        <w:topLinePunct w:val="0"/>
        <w:autoSpaceDE w:val="0"/>
        <w:autoSpaceDN w:val="0"/>
        <w:bidi w:val="0"/>
        <w:adjustRightInd/>
        <w:snapToGrid/>
        <w:spacing w:line="360" w:lineRule="auto"/>
        <w:ind w:left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3F5CCB">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付款方式：合同经三方签字盖章后即生效。</w:t>
      </w:r>
    </w:p>
    <w:p w14:paraId="6A6FF2B0">
      <w:pPr>
        <w:keepNext w:val="0"/>
        <w:keepLines w:val="0"/>
        <w:pageBreakBefore w:val="0"/>
        <w:numPr>
          <w:ilvl w:val="0"/>
          <w:numId w:val="10"/>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第一笔付款：合同签订后，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方开具增值税专用发票，</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方自收到发票之日起10个工作日内支付合同价款的30%作为预付款。</w:t>
      </w:r>
    </w:p>
    <w:p w14:paraId="0FB4BC5D">
      <w:pPr>
        <w:keepNext w:val="0"/>
        <w:keepLines w:val="0"/>
        <w:pageBreakBefore w:val="0"/>
        <w:numPr>
          <w:ilvl w:val="0"/>
          <w:numId w:val="10"/>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笔付款：乙方完成全部设备</w:t>
      </w:r>
      <w:r>
        <w:rPr>
          <w:rFonts w:hint="eastAsia" w:ascii="宋体" w:hAnsi="宋体" w:cs="宋体"/>
          <w:color w:val="auto"/>
          <w:sz w:val="24"/>
          <w:szCs w:val="24"/>
          <w:highlight w:val="none"/>
          <w:lang w:val="en-US" w:eastAsia="zh-CN"/>
        </w:rPr>
        <w:t>及软件</w:t>
      </w:r>
      <w:r>
        <w:rPr>
          <w:rFonts w:hint="eastAsia" w:ascii="宋体" w:hAnsi="宋体" w:eastAsia="宋体" w:cs="宋体"/>
          <w:color w:val="auto"/>
          <w:sz w:val="24"/>
          <w:szCs w:val="24"/>
          <w:highlight w:val="none"/>
        </w:rPr>
        <w:t>的供货及安装</w:t>
      </w:r>
      <w:r>
        <w:rPr>
          <w:rFonts w:hint="eastAsia" w:ascii="宋体" w:hAnsi="宋体" w:cs="宋体"/>
          <w:color w:val="auto"/>
          <w:sz w:val="24"/>
          <w:szCs w:val="24"/>
          <w:highlight w:val="none"/>
          <w:lang w:val="en-US" w:eastAsia="zh-CN"/>
        </w:rPr>
        <w:t>调试</w:t>
      </w:r>
      <w:r>
        <w:rPr>
          <w:rFonts w:hint="eastAsia" w:ascii="宋体" w:hAnsi="宋体" w:eastAsia="宋体" w:cs="宋体"/>
          <w:color w:val="auto"/>
          <w:sz w:val="24"/>
          <w:szCs w:val="24"/>
          <w:highlight w:val="none"/>
        </w:rPr>
        <w:t>工作，并经甲方确认</w:t>
      </w:r>
      <w:r>
        <w:rPr>
          <w:rFonts w:hint="eastAsia" w:ascii="宋体" w:hAnsi="宋体" w:cs="宋体"/>
          <w:color w:val="auto"/>
          <w:sz w:val="24"/>
          <w:szCs w:val="24"/>
          <w:highlight w:val="none"/>
          <w:lang w:val="en-US" w:eastAsia="zh-CN"/>
        </w:rPr>
        <w:t>验收合格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方开具增值税专用发票，</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方自收到发票之日起10个工作日内支付合同价款的</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w:t>
      </w:r>
    </w:p>
    <w:p w14:paraId="7701C9B6">
      <w:pPr>
        <w:keepNext w:val="0"/>
        <w:keepLines w:val="0"/>
        <w:pageBreakBefore w:val="0"/>
        <w:numPr>
          <w:ilvl w:val="0"/>
          <w:numId w:val="10"/>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笔付款：</w:t>
      </w:r>
      <w:r>
        <w:rPr>
          <w:rFonts w:hint="eastAsia" w:ascii="宋体" w:hAnsi="宋体" w:cs="宋体"/>
          <w:color w:val="auto"/>
          <w:sz w:val="24"/>
          <w:szCs w:val="24"/>
          <w:highlight w:val="none"/>
          <w:lang w:val="en-US" w:eastAsia="zh-CN"/>
        </w:rPr>
        <w:t>三年免费维保期</w:t>
      </w:r>
      <w:r>
        <w:rPr>
          <w:rFonts w:hint="eastAsia" w:ascii="宋体" w:hAnsi="宋体" w:eastAsia="宋体" w:cs="宋体"/>
          <w:color w:val="auto"/>
          <w:sz w:val="24"/>
          <w:szCs w:val="24"/>
          <w:highlight w:val="none"/>
        </w:rPr>
        <w:t>结束后，经甲方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丙方</w:t>
      </w:r>
      <w:r>
        <w:rPr>
          <w:rFonts w:hint="eastAsia" w:ascii="宋体" w:hAnsi="宋体" w:eastAsia="宋体" w:cs="宋体"/>
          <w:color w:val="auto"/>
          <w:sz w:val="24"/>
          <w:szCs w:val="24"/>
          <w:highlight w:val="none"/>
        </w:rPr>
        <w:t>及相关验收部门进行验收，且验收合格后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方开具增值税专用发票，</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方自收到发票之日起10个工作日内支付</w:t>
      </w:r>
      <w:r>
        <w:rPr>
          <w:rFonts w:hint="eastAsia" w:ascii="宋体" w:hAnsi="宋体" w:eastAsia="宋体" w:cs="宋体"/>
          <w:color w:val="auto"/>
          <w:sz w:val="24"/>
          <w:szCs w:val="24"/>
          <w:highlight w:val="none"/>
          <w:lang w:val="en-US" w:eastAsia="zh-CN"/>
        </w:rPr>
        <w:t>剩余</w:t>
      </w:r>
      <w:r>
        <w:rPr>
          <w:rFonts w:hint="eastAsia" w:ascii="宋体" w:hAnsi="宋体" w:eastAsia="宋体" w:cs="宋体"/>
          <w:color w:val="auto"/>
          <w:sz w:val="24"/>
          <w:szCs w:val="24"/>
          <w:highlight w:val="none"/>
        </w:rPr>
        <w:t>合同价款。</w:t>
      </w:r>
    </w:p>
    <w:p w14:paraId="5D045073">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乙方应确保其收款账户信息准确无误，如因乙方提供的收款账户信息错误导致款项支付延迟或无法支付的，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丙方不承担任何责任。乙方应在账户信息发生变更时，提前</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个工作日书面通知甲方和丙方</w:t>
      </w:r>
      <w:r>
        <w:rPr>
          <w:rFonts w:hint="eastAsia" w:ascii="宋体" w:hAnsi="宋体" w:cs="宋体"/>
          <w:color w:val="auto"/>
          <w:sz w:val="24"/>
          <w:szCs w:val="24"/>
          <w:highlight w:val="none"/>
          <w:lang w:eastAsia="zh-CN"/>
        </w:rPr>
        <w:t>。</w:t>
      </w:r>
    </w:p>
    <w:p w14:paraId="1BE0695D">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乙方在丙方支付合同款项时，承诺其开具正规增值税</w:t>
      </w:r>
      <w:r>
        <w:rPr>
          <w:rFonts w:hint="eastAsia" w:ascii="宋体" w:hAnsi="宋体" w:eastAsia="宋体" w:cs="宋体"/>
          <w:color w:val="auto"/>
          <w:kern w:val="0"/>
          <w:sz w:val="24"/>
          <w:szCs w:val="24"/>
          <w:highlight w:val="none"/>
        </w:rPr>
        <w:t>发票</w:t>
      </w:r>
      <w:r>
        <w:rPr>
          <w:rFonts w:hint="eastAsia" w:ascii="宋体" w:hAnsi="宋体" w:eastAsia="宋体" w:cs="宋体"/>
          <w:color w:val="auto"/>
          <w:sz w:val="24"/>
          <w:szCs w:val="24"/>
          <w:highlight w:val="none"/>
        </w:rPr>
        <w:t>的形式与内容均合法、有效、完整、准确，不开具或开具不合格的，甲、丙方有权迟延支付应付款项直至乙方开具合格票据之日且不承担任何违约责任，且乙方的各项合同义务仍应按合同约定履行。</w:t>
      </w:r>
    </w:p>
    <w:p w14:paraId="2E820381">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质量标准</w:t>
      </w:r>
    </w:p>
    <w:p w14:paraId="116ED497">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乙方在合同期内，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pacing w:val="20"/>
          <w:sz w:val="24"/>
          <w:szCs w:val="24"/>
          <w:highlight w:val="none"/>
          <w:lang w:val="en-US" w:eastAsia="zh-CN"/>
        </w:rPr>
        <w:t>多功能自助机设备及配套软件建设</w:t>
      </w:r>
      <w:r>
        <w:rPr>
          <w:rFonts w:hint="eastAsia" w:ascii="宋体" w:hAnsi="宋体" w:eastAsia="宋体" w:cs="宋体"/>
          <w:color w:val="auto"/>
          <w:sz w:val="24"/>
          <w:szCs w:val="24"/>
          <w:highlight w:val="none"/>
        </w:rPr>
        <w:t>，发现问题及时处理解决。</w:t>
      </w:r>
    </w:p>
    <w:p w14:paraId="57FE22B0">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color w:val="auto"/>
          <w:sz w:val="24"/>
          <w:szCs w:val="24"/>
          <w:highlight w:val="none"/>
        </w:rPr>
        <w:t>乙方应保证</w:t>
      </w:r>
      <w:r>
        <w:rPr>
          <w:rFonts w:hint="eastAsia" w:ascii="宋体" w:hAnsi="宋体" w:eastAsia="宋体" w:cs="宋体"/>
          <w:color w:val="auto"/>
          <w:sz w:val="24"/>
          <w:szCs w:val="24"/>
          <w:highlight w:val="none"/>
          <w:lang w:val="en-US" w:eastAsia="zh-CN"/>
        </w:rPr>
        <w:t>提供多功能自助机</w:t>
      </w:r>
      <w:r>
        <w:rPr>
          <w:rFonts w:hint="eastAsia" w:ascii="宋体" w:hAnsi="宋体" w:eastAsia="宋体" w:cs="宋体"/>
          <w:color w:val="auto"/>
          <w:sz w:val="24"/>
          <w:szCs w:val="24"/>
          <w:highlight w:val="none"/>
        </w:rPr>
        <w:t>是全新、未使用过的原装合格正品，并完全符合</w:t>
      </w:r>
      <w:r>
        <w:rPr>
          <w:rFonts w:hint="eastAsia" w:ascii="宋体" w:hAnsi="宋体" w:eastAsia="宋体" w:cs="宋体"/>
          <w:color w:val="auto"/>
          <w:sz w:val="24"/>
          <w:szCs w:val="24"/>
          <w:highlight w:val="none"/>
          <w:lang w:val="en-US" w:eastAsia="zh-CN"/>
        </w:rPr>
        <w:t>国家</w:t>
      </w:r>
      <w:r>
        <w:rPr>
          <w:rFonts w:hint="eastAsia" w:ascii="宋体" w:hAnsi="宋体" w:eastAsia="宋体" w:cs="宋体"/>
          <w:color w:val="auto"/>
          <w:sz w:val="24"/>
          <w:szCs w:val="24"/>
          <w:highlight w:val="none"/>
        </w:rPr>
        <w:t>规定的质量要求。乙方应保证其提供的</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在正确安装、正常使用和保养条件下，在其使用寿命内具有良好的性能。</w:t>
      </w:r>
    </w:p>
    <w:p w14:paraId="02AC5F62">
      <w:pPr>
        <w:keepNext w:val="0"/>
        <w:keepLines w:val="0"/>
        <w:pageBreakBefore w:val="0"/>
        <w:widowControl/>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甲、丙</w:t>
      </w:r>
      <w:r>
        <w:rPr>
          <w:rFonts w:hint="eastAsia" w:ascii="宋体" w:hAnsi="宋体" w:eastAsia="宋体" w:cs="宋体"/>
          <w:b/>
          <w:bCs/>
          <w:color w:val="auto"/>
          <w:sz w:val="24"/>
          <w:szCs w:val="24"/>
          <w:highlight w:val="none"/>
          <w:lang w:val="en-US" w:eastAsia="zh-CN"/>
        </w:rPr>
        <w:t>双</w:t>
      </w:r>
      <w:r>
        <w:rPr>
          <w:rFonts w:hint="eastAsia" w:ascii="宋体" w:hAnsi="宋体" w:eastAsia="宋体" w:cs="宋体"/>
          <w:b/>
          <w:bCs/>
          <w:color w:val="auto"/>
          <w:sz w:val="24"/>
          <w:szCs w:val="24"/>
          <w:highlight w:val="none"/>
        </w:rPr>
        <w:t>方的责任</w:t>
      </w:r>
    </w:p>
    <w:p w14:paraId="68CBD174">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甲、丙方须按照以上约定，按时支付相关费用。</w:t>
      </w:r>
    </w:p>
    <w:p w14:paraId="1874BC8A">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甲方须指定专人负责调协乙方完成所承担的运维管理服务，为</w:t>
      </w:r>
      <w:r>
        <w:rPr>
          <w:rFonts w:hint="eastAsia" w:ascii="宋体" w:hAnsi="宋体" w:eastAsia="宋体" w:cs="宋体"/>
          <w:color w:val="auto"/>
          <w:sz w:val="24"/>
          <w:szCs w:val="24"/>
          <w:highlight w:val="none"/>
          <w:lang w:val="en-US" w:eastAsia="zh-CN"/>
        </w:rPr>
        <w:t>后续</w:t>
      </w:r>
      <w:r>
        <w:rPr>
          <w:rFonts w:hint="eastAsia" w:ascii="宋体" w:hAnsi="宋体" w:eastAsia="宋体" w:cs="宋体"/>
          <w:color w:val="auto"/>
          <w:sz w:val="24"/>
          <w:szCs w:val="24"/>
          <w:highlight w:val="none"/>
        </w:rPr>
        <w:t>服务工作提供方便。</w:t>
      </w:r>
    </w:p>
    <w:p w14:paraId="7BAF2CBE">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w:t>
      </w:r>
      <w:r>
        <w:rPr>
          <w:rFonts w:hint="eastAsia" w:ascii="宋体" w:hAnsi="宋体" w:eastAsia="宋体" w:cs="宋体"/>
          <w:color w:val="auto"/>
          <w:sz w:val="24"/>
          <w:szCs w:val="24"/>
          <w:highlight w:val="none"/>
          <w:lang w:val="en-US" w:eastAsia="zh-CN"/>
        </w:rPr>
        <w:t>运维服务期间</w:t>
      </w:r>
      <w:r>
        <w:rPr>
          <w:rFonts w:hint="eastAsia" w:ascii="宋体" w:hAnsi="宋体" w:eastAsia="宋体" w:cs="宋体"/>
          <w:color w:val="auto"/>
          <w:sz w:val="24"/>
          <w:szCs w:val="24"/>
          <w:highlight w:val="none"/>
        </w:rPr>
        <w:t>须为乙方提供必要的保障与配合。</w:t>
      </w:r>
    </w:p>
    <w:p w14:paraId="590369E0">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甲方须为</w:t>
      </w:r>
      <w:r>
        <w:rPr>
          <w:rFonts w:hint="eastAsia" w:ascii="宋体" w:hAnsi="宋体" w:eastAsia="宋体" w:cs="宋体"/>
          <w:color w:val="auto"/>
          <w:sz w:val="24"/>
          <w:szCs w:val="24"/>
          <w:highlight w:val="none"/>
          <w:lang w:val="en-US" w:eastAsia="zh-CN"/>
        </w:rPr>
        <w:t>乙方驻场人员</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运维服务期间</w:t>
      </w:r>
      <w:r>
        <w:rPr>
          <w:rFonts w:hint="eastAsia" w:ascii="宋体" w:hAnsi="宋体" w:eastAsia="宋体" w:cs="宋体"/>
          <w:color w:val="auto"/>
          <w:sz w:val="24"/>
          <w:szCs w:val="24"/>
          <w:highlight w:val="none"/>
        </w:rPr>
        <w:t>所需的通行和其他必要的工作辅助工作。</w:t>
      </w:r>
    </w:p>
    <w:p w14:paraId="11B93C13">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甲方有权利和义务通知乙方进行运维服务，并协调乙方及时修复故障和</w:t>
      </w:r>
      <w:r>
        <w:rPr>
          <w:rFonts w:hint="eastAsia" w:ascii="宋体" w:hAnsi="宋体" w:eastAsia="宋体" w:cs="宋体"/>
          <w:color w:val="auto"/>
          <w:sz w:val="24"/>
          <w:szCs w:val="24"/>
          <w:highlight w:val="none"/>
          <w:lang w:val="en-US" w:eastAsia="zh-CN"/>
        </w:rPr>
        <w:t>软件升级等</w:t>
      </w:r>
      <w:r>
        <w:rPr>
          <w:rFonts w:hint="eastAsia" w:ascii="宋体" w:hAnsi="宋体" w:eastAsia="宋体" w:cs="宋体"/>
          <w:color w:val="auto"/>
          <w:sz w:val="24"/>
          <w:szCs w:val="24"/>
          <w:highlight w:val="none"/>
        </w:rPr>
        <w:t>相关工作的事宜。</w:t>
      </w:r>
    </w:p>
    <w:p w14:paraId="54D4D489">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每次运维服务巡查，应有甲方人员共同参与，检查完毕后，双方签字认可，对存在的问题，书面通知甲方管理部门，以便得到及时解决。</w:t>
      </w:r>
    </w:p>
    <w:p w14:paraId="28DDEFA7">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丙方全程参与项目建设，甲方、丙方共享项目数据，以便于丙方更好地为甲方提供优质且匹配的金融产品。</w:t>
      </w:r>
    </w:p>
    <w:p w14:paraId="2481D67C">
      <w:pPr>
        <w:keepNext w:val="0"/>
        <w:keepLines w:val="0"/>
        <w:pageBreakBefore w:val="0"/>
        <w:widowControl/>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乙方的责任</w:t>
      </w:r>
    </w:p>
    <w:p w14:paraId="0F16308A">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w:t>
      </w:r>
      <w:r>
        <w:rPr>
          <w:rFonts w:hint="eastAsia" w:ascii="宋体" w:hAnsi="宋体" w:eastAsia="宋体" w:cs="宋体"/>
          <w:color w:val="auto"/>
          <w:sz w:val="24"/>
          <w:szCs w:val="24"/>
          <w:highlight w:val="none"/>
          <w:lang w:val="en-US" w:eastAsia="zh-CN"/>
        </w:rPr>
        <w:t>提供驻场服务，如</w:t>
      </w:r>
      <w:r>
        <w:rPr>
          <w:rFonts w:hint="eastAsia" w:ascii="宋体" w:hAnsi="宋体" w:eastAsia="宋体" w:cs="宋体"/>
          <w:color w:val="auto"/>
          <w:sz w:val="24"/>
          <w:szCs w:val="24"/>
          <w:highlight w:val="none"/>
        </w:rPr>
        <w:t>设备发生故障时，</w:t>
      </w:r>
      <w:r>
        <w:rPr>
          <w:rFonts w:hint="eastAsia" w:ascii="宋体" w:hAnsi="宋体" w:eastAsia="宋体" w:cs="宋体"/>
          <w:color w:val="auto"/>
          <w:sz w:val="24"/>
          <w:szCs w:val="24"/>
          <w:highlight w:val="none"/>
          <w:lang w:val="en-US" w:eastAsia="zh-CN"/>
        </w:rPr>
        <w:t>乙方驻场工程师</w:t>
      </w:r>
      <w:r>
        <w:rPr>
          <w:rFonts w:hint="eastAsia" w:ascii="宋体" w:hAnsi="宋体" w:eastAsia="宋体" w:cs="宋体"/>
          <w:color w:val="auto"/>
          <w:sz w:val="24"/>
          <w:szCs w:val="24"/>
          <w:highlight w:val="none"/>
        </w:rPr>
        <w:t>应在接到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通知后 10分钟内</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，30分钟内到达</w:t>
      </w:r>
      <w:r>
        <w:rPr>
          <w:rFonts w:hint="eastAsia" w:ascii="宋体" w:hAnsi="宋体" w:eastAsia="宋体" w:cs="宋体"/>
          <w:color w:val="auto"/>
          <w:sz w:val="24"/>
          <w:szCs w:val="24"/>
          <w:highlight w:val="none"/>
          <w:lang w:val="en-US" w:eastAsia="zh-CN"/>
        </w:rPr>
        <w:t>出现故障</w:t>
      </w:r>
      <w:r>
        <w:rPr>
          <w:rFonts w:hint="eastAsia" w:ascii="宋体" w:hAnsi="宋体" w:eastAsia="宋体" w:cs="宋体"/>
          <w:color w:val="auto"/>
          <w:sz w:val="24"/>
          <w:szCs w:val="24"/>
          <w:highlight w:val="none"/>
        </w:rPr>
        <w:t>现场，1小时内解决故障</w:t>
      </w:r>
      <w:r>
        <w:rPr>
          <w:rFonts w:hint="eastAsia" w:ascii="宋体" w:hAnsi="宋体" w:eastAsia="宋体" w:cs="宋体"/>
          <w:color w:val="auto"/>
          <w:sz w:val="24"/>
          <w:szCs w:val="24"/>
          <w:highlight w:val="none"/>
          <w:lang w:val="en-US" w:eastAsia="zh-CN"/>
        </w:rPr>
        <w:t>恢复使用</w:t>
      </w:r>
      <w:r>
        <w:rPr>
          <w:rFonts w:hint="eastAsia" w:ascii="宋体" w:hAnsi="宋体" w:eastAsia="宋体" w:cs="宋体"/>
          <w:color w:val="auto"/>
          <w:sz w:val="24"/>
          <w:szCs w:val="24"/>
          <w:highlight w:val="none"/>
        </w:rPr>
        <w:t>；或在48小时内免费提供同机型备用设备直至故障设备维修完成恢复使用。否则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可自行采取必要的措施，由此产生的风险和费用由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承担。如有特殊情况，</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应立即电话通知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不能响应的原因，在获得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同意后，才可推迟响应时间。</w:t>
      </w:r>
    </w:p>
    <w:p w14:paraId="504FD147">
      <w:pPr>
        <w:keepNext w:val="0"/>
        <w:keepLines w:val="0"/>
        <w:pageBreakBefore w:val="0"/>
        <w:widowControl/>
        <w:numPr>
          <w:ilvl w:val="0"/>
          <w:numId w:val="12"/>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依照合同约定和要求，以及国家及行业标准，负责对甲方</w:t>
      </w:r>
      <w:r>
        <w:rPr>
          <w:rFonts w:hint="eastAsia" w:ascii="宋体" w:hAnsi="宋体" w:eastAsia="宋体" w:cs="宋体"/>
          <w:color w:val="auto"/>
          <w:sz w:val="24"/>
          <w:szCs w:val="24"/>
          <w:highlight w:val="none"/>
          <w:lang w:val="en-US" w:eastAsia="zh-CN"/>
        </w:rPr>
        <w:t>软、硬件系统</w:t>
      </w:r>
      <w:r>
        <w:rPr>
          <w:rFonts w:hint="eastAsia" w:ascii="宋体" w:hAnsi="宋体" w:eastAsia="宋体" w:cs="宋体"/>
          <w:color w:val="auto"/>
          <w:sz w:val="24"/>
          <w:szCs w:val="24"/>
          <w:highlight w:val="none"/>
        </w:rPr>
        <w:t>定期进行巡查、检测和调试，并做好相关记录，记录资料由甲乙双方签收保管。</w:t>
      </w:r>
    </w:p>
    <w:p w14:paraId="03C49E46">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乙方应负责为甲方相关科室人员（包括导医、财务、部门管理、信息化处技术人员等）提供免费培训服务。培训方式为现场培训，培训内容包括：系统管理、平台软件等。</w:t>
      </w:r>
    </w:p>
    <w:p w14:paraId="1347D486">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应负责为甲方</w:t>
      </w:r>
      <w:r>
        <w:rPr>
          <w:rFonts w:hint="eastAsia" w:ascii="宋体" w:hAnsi="宋体" w:eastAsia="宋体" w:cs="宋体"/>
          <w:color w:val="auto"/>
          <w:sz w:val="24"/>
          <w:szCs w:val="24"/>
          <w:highlight w:val="none"/>
          <w:lang w:val="en-US" w:eastAsia="zh-CN"/>
        </w:rPr>
        <w:t>提供整体的运营方案体系，通过线下、线上的运营宣传推广来提高多功能自助服务机使用率，结合医院的主题风格，利用设计及装潢等方式引导用户主动使用自助机产品，通过智能引导操作流程，降低新用户使用门槛，发挥自助服务应有的价值。</w:t>
      </w:r>
    </w:p>
    <w:p w14:paraId="7FB08514">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合同期限后，有关软、硬件升级；软、硬件维护；耗材管理；服务方式、范围等相关服务费用参照投标文件及招标文件，双方另签署出保后合同，合同价款以乙方出保后的价格为准。</w:t>
      </w:r>
    </w:p>
    <w:p w14:paraId="4021B173">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14:paraId="1E1712B4">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乙方应按照合同约定</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pacing w:val="20"/>
          <w:sz w:val="24"/>
          <w:szCs w:val="24"/>
          <w:highlight w:val="none"/>
          <w:lang w:val="en-US" w:eastAsia="zh-CN"/>
        </w:rPr>
        <w:t>多功能自助机设备及配套软件建设</w:t>
      </w:r>
      <w:r>
        <w:rPr>
          <w:rFonts w:hint="eastAsia" w:ascii="宋体" w:hAnsi="宋体" w:eastAsia="宋体" w:cs="宋体"/>
          <w:color w:val="auto"/>
          <w:sz w:val="24"/>
          <w:szCs w:val="24"/>
          <w:highlight w:val="none"/>
        </w:rPr>
        <w:t>，提供并建立完整的运维服务保障体系及应急保障体系，如乙方未能及时提供，并在收到甲方的书面警告后不在指定的时间内改正，甲方有权雇用第三方提供服务，并有权从应付给乙方的款项中扣除所发生的费用，并加5%的违约金，作为乙方违约赔偿。</w:t>
      </w:r>
    </w:p>
    <w:p w14:paraId="06153E49">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w:t>
      </w:r>
      <w:r>
        <w:rPr>
          <w:rFonts w:hint="eastAsia" w:ascii="宋体" w:hAnsi="宋体" w:eastAsia="宋体" w:cs="宋体"/>
          <w:color w:val="auto"/>
          <w:sz w:val="24"/>
          <w:szCs w:val="24"/>
          <w:highlight w:val="none"/>
          <w:lang w:val="en-US" w:eastAsia="zh-CN"/>
        </w:rPr>
        <w:t>运维服务</w:t>
      </w:r>
      <w:r>
        <w:rPr>
          <w:rFonts w:hint="eastAsia" w:ascii="宋体" w:hAnsi="宋体" w:eastAsia="宋体" w:cs="宋体"/>
          <w:color w:val="auto"/>
          <w:sz w:val="24"/>
          <w:szCs w:val="24"/>
          <w:highlight w:val="none"/>
        </w:rPr>
        <w:t>不当等自身原因造成系统、设备、设施损坏的，乙方承担全部责任，并按损失的金额赔偿。</w:t>
      </w:r>
    </w:p>
    <w:p w14:paraId="4F80A5CF">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任何一方违约或单方面终止合同，违约方需赔偿对方合同总价的5%的违约金，如造成对方损失，违约方需赔偿对方所造成的损失。</w:t>
      </w:r>
    </w:p>
    <w:p w14:paraId="14EAF61A">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乙方应加强工作人员的管理，禁止乙方以各种手段腐蚀、贿赂甲方单位工作人员，并将诚信档案记录的工作人员违规不良行为纳入违约行为,如有违反，甲方将停止履行合同，并追究乙方违约责任。</w:t>
      </w:r>
    </w:p>
    <w:p w14:paraId="0EE91984">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不可抗力</w:t>
      </w:r>
    </w:p>
    <w:p w14:paraId="465E9E73">
      <w:pPr>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方中的任何一方由于不可抗力的原因不能履行合同时，应在事件发生后14天内向其他方通报不能履行或不能完全履行的理由；在取得有关主管机关证明以后，允许延期履行、部分履行或者不履行合同，并根据情况可部分或全部免予承担违约责任。本条所述的“不可抗力”指那些不可预见、不可避免、不可克服的事件，包括但不限于：战争、严重火灾、洪水、台风、地震等事件，但不包括三方的违约或疏忽。</w:t>
      </w:r>
    </w:p>
    <w:p w14:paraId="5C8F4675">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免除责任的事项</w:t>
      </w:r>
    </w:p>
    <w:p w14:paraId="6443507D">
      <w:pPr>
        <w:keepNext w:val="0"/>
        <w:keepLines w:val="0"/>
        <w:pageBreakBefore w:val="0"/>
        <w:tabs>
          <w:tab w:val="left" w:pos="570"/>
          <w:tab w:val="left" w:pos="8306"/>
        </w:tabs>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因甲方使用不当、疏忽或</w:t>
      </w:r>
      <w:r>
        <w:rPr>
          <w:rFonts w:hint="eastAsia" w:ascii="宋体" w:hAnsi="宋体" w:eastAsia="宋体" w:cs="宋体"/>
          <w:color w:val="auto"/>
          <w:spacing w:val="20"/>
          <w:sz w:val="24"/>
          <w:szCs w:val="24"/>
          <w:highlight w:val="none"/>
          <w:shd w:val="clear" w:color="auto" w:fill="FFFFFF"/>
        </w:rPr>
        <w:t>人为损坏</w:t>
      </w:r>
      <w:r>
        <w:rPr>
          <w:rFonts w:hint="eastAsia" w:ascii="宋体" w:hAnsi="宋体" w:eastAsia="宋体" w:cs="宋体"/>
          <w:color w:val="auto"/>
          <w:spacing w:val="20"/>
          <w:sz w:val="24"/>
          <w:szCs w:val="24"/>
          <w:highlight w:val="none"/>
        </w:rPr>
        <w:t>导致系统发生意外情况，影响系统安全运行所引起的经济及法律责任与乙方无关。</w:t>
      </w:r>
    </w:p>
    <w:p w14:paraId="4C8AB0C7">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其他约定</w:t>
      </w:r>
    </w:p>
    <w:p w14:paraId="7046E6EA">
      <w:pPr>
        <w:keepNext w:val="0"/>
        <w:keepLines w:val="0"/>
        <w:pageBreakBefore w:val="0"/>
        <w:numPr>
          <w:ilvl w:val="0"/>
          <w:numId w:val="14"/>
        </w:numPr>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丙方如不能按时支付相关费用，必须提前三天书面通知乙方进行协商。</w:t>
      </w:r>
    </w:p>
    <w:p w14:paraId="79C048F4">
      <w:pPr>
        <w:keepNext w:val="0"/>
        <w:keepLines w:val="0"/>
        <w:pageBreakBefore w:val="0"/>
        <w:numPr>
          <w:ilvl w:val="0"/>
          <w:numId w:val="14"/>
        </w:numPr>
        <w:tabs>
          <w:tab w:val="left" w:pos="8280"/>
        </w:tabs>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三方其中一方在合同期内提出续签合同或解除合同时，应提前二个月书面通知对方。</w:t>
      </w:r>
    </w:p>
    <w:p w14:paraId="51D65777">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转让和分包</w:t>
      </w:r>
    </w:p>
    <w:p w14:paraId="4EB27940">
      <w:pPr>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乙方不得部分转让或全部转让或分包其他公司，甲方如发现乙方部分转让或全部转让现象,甲方有权提前终止合同,乙方无条件的及时退出。</w:t>
      </w:r>
    </w:p>
    <w:p w14:paraId="440E14B5">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争议的解决</w:t>
      </w:r>
    </w:p>
    <w:p w14:paraId="2CB7B82B">
      <w:pPr>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1、因商品质量问题发生争议的，可在国家认可的质量检测机构对商品质量进行鉴定。商品符合标准的，鉴定费由甲方承担；商品不符合质量标准的，鉴定费由乙方承担。</w:t>
      </w:r>
    </w:p>
    <w:p w14:paraId="661DEB1C">
      <w:pPr>
        <w:pStyle w:val="317"/>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2、因履行本合同引起的或与本合同有关的争议，应首先通过友好协商解决；如果协商不能解决争议，采取下列两种方式的第</w:t>
      </w:r>
      <w:r>
        <w:rPr>
          <w:rFonts w:hint="eastAsia" w:ascii="宋体" w:hAnsi="宋体" w:eastAsia="宋体" w:cs="宋体"/>
          <w:b/>
          <w:color w:val="auto"/>
          <w:sz w:val="24"/>
          <w:szCs w:val="24"/>
          <w:highlight w:val="none"/>
          <w:u w:val="single"/>
        </w:rPr>
        <w:t>（ 1 ）</w:t>
      </w:r>
      <w:r>
        <w:rPr>
          <w:rFonts w:hint="eastAsia" w:ascii="宋体" w:hAnsi="宋体" w:eastAsia="宋体" w:cs="宋体"/>
          <w:color w:val="auto"/>
          <w:sz w:val="24"/>
          <w:szCs w:val="24"/>
          <w:highlight w:val="none"/>
        </w:rPr>
        <w:t>种方式解决争议：</w:t>
      </w:r>
    </w:p>
    <w:p w14:paraId="517BEDD1">
      <w:pPr>
        <w:pStyle w:val="317"/>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（1）向甲方所在地扬州市有管辖权的人民法院提起诉讼，适用中华人民共和国法律；</w:t>
      </w:r>
    </w:p>
    <w:p w14:paraId="2958B87A">
      <w:pPr>
        <w:pStyle w:val="317"/>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（2）向扬州仲裁委员会按其仲裁规则申请仲裁。</w:t>
      </w:r>
    </w:p>
    <w:p w14:paraId="2BE302DF">
      <w:pPr>
        <w:pStyle w:val="317"/>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3、若甲乙丙方任何一方都没有选择解除合同的，为避免扩大损失，在诉讼或仲裁期间，应继续履行。</w:t>
      </w:r>
    </w:p>
    <w:p w14:paraId="5C195129">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合同生效及其他</w:t>
      </w:r>
    </w:p>
    <w:p w14:paraId="208DC13D">
      <w:pPr>
        <w:keepNext w:val="0"/>
        <w:keepLines w:val="0"/>
        <w:pageBreakBefore w:val="0"/>
        <w:widowControl/>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1、本合同经甲乙丙三方法定代表人或其委托人签字并加盖三方公章后生效。</w:t>
      </w:r>
    </w:p>
    <w:p w14:paraId="6E02200E">
      <w:pPr>
        <w:keepNext w:val="0"/>
        <w:keepLines w:val="0"/>
        <w:pageBreakBefore w:val="0"/>
        <w:widowControl/>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2、本合同一式</w:t>
      </w:r>
      <w:r>
        <w:rPr>
          <w:rFonts w:hint="eastAsia" w:ascii="宋体" w:hAnsi="宋体" w:eastAsia="宋体" w:cs="宋体"/>
          <w:color w:val="auto"/>
          <w:kern w:val="0"/>
          <w:sz w:val="24"/>
          <w:szCs w:val="24"/>
          <w:highlight w:val="none"/>
          <w:u w:val="single"/>
        </w:rPr>
        <w:t>陆</w:t>
      </w:r>
      <w:r>
        <w:rPr>
          <w:rFonts w:hint="eastAsia" w:ascii="宋体" w:hAnsi="宋体" w:eastAsia="宋体" w:cs="宋体"/>
          <w:color w:val="auto"/>
          <w:kern w:val="0"/>
          <w:sz w:val="24"/>
          <w:szCs w:val="24"/>
          <w:highlight w:val="none"/>
        </w:rPr>
        <w:t>份，甲乙丙三方各执</w:t>
      </w:r>
      <w:r>
        <w:rPr>
          <w:rFonts w:hint="eastAsia" w:ascii="宋体" w:hAnsi="宋体" w:eastAsia="宋体" w:cs="宋体"/>
          <w:color w:val="auto"/>
          <w:kern w:val="0"/>
          <w:sz w:val="24"/>
          <w:szCs w:val="24"/>
          <w:highlight w:val="none"/>
          <w:u w:val="single"/>
        </w:rPr>
        <w:t>贰</w:t>
      </w:r>
      <w:r>
        <w:rPr>
          <w:rFonts w:hint="eastAsia" w:ascii="宋体" w:hAnsi="宋体" w:eastAsia="宋体" w:cs="宋体"/>
          <w:color w:val="auto"/>
          <w:kern w:val="0"/>
          <w:sz w:val="24"/>
          <w:szCs w:val="24"/>
          <w:highlight w:val="none"/>
        </w:rPr>
        <w:t>份，</w:t>
      </w:r>
      <w:r>
        <w:rPr>
          <w:rFonts w:hint="eastAsia" w:ascii="宋体" w:hAnsi="宋体" w:eastAsia="宋体" w:cs="宋体"/>
          <w:color w:val="auto"/>
          <w:sz w:val="24"/>
          <w:szCs w:val="24"/>
          <w:highlight w:val="none"/>
        </w:rPr>
        <w:t>同时具有法律效力。如需修改或补充合同内容，经协商一致，三方应签订补充协议，补充协议与本合同具有同等效力。</w:t>
      </w:r>
    </w:p>
    <w:p w14:paraId="57D345B7">
      <w:pPr>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3、本合同未尽事宜，如需修改或补充合同内容，经协商一致，各方应签订补充协议，补充协议与本合同具有同等效力。</w:t>
      </w:r>
    </w:p>
    <w:p w14:paraId="0BB7773C">
      <w:pPr>
        <w:pStyle w:val="16"/>
        <w:keepNext w:val="0"/>
        <w:keepLines w:val="0"/>
        <w:pageBreakBefore w:val="0"/>
        <w:kinsoku/>
        <w:wordWrap/>
        <w:overflowPunct/>
        <w:topLinePunct w:val="0"/>
        <w:bidi w:val="0"/>
        <w:adjustRightInd/>
        <w:snapToGrid/>
        <w:spacing w:line="360" w:lineRule="auto"/>
        <w:ind w:left="0" w:firstLine="480" w:firstLineChars="200"/>
        <w:jc w:val="center"/>
        <w:rPr>
          <w:rFonts w:hint="eastAsia" w:ascii="宋体" w:hAnsi="宋体" w:eastAsia="宋体" w:cs="宋体"/>
          <w:color w:val="auto"/>
          <w:sz w:val="24"/>
          <w:szCs w:val="24"/>
          <w:highlight w:val="none"/>
        </w:rPr>
      </w:pPr>
    </w:p>
    <w:p w14:paraId="5F23DDEB">
      <w:pPr>
        <w:pStyle w:val="16"/>
        <w:keepNext w:val="0"/>
        <w:keepLines w:val="0"/>
        <w:pageBreakBefore w:val="0"/>
        <w:kinsoku/>
        <w:wordWrap/>
        <w:overflowPunct/>
        <w:topLinePunct w:val="0"/>
        <w:bidi w:val="0"/>
        <w:adjustRightInd/>
        <w:snapToGrid/>
        <w:spacing w:line="360" w:lineRule="auto"/>
        <w:ind w:left="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（以下无合同正文）</w:t>
      </w:r>
    </w:p>
    <w:p w14:paraId="4BFB0A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s="宋体"/>
          <w:bCs/>
          <w:color w:val="auto"/>
          <w:sz w:val="24"/>
          <w:szCs w:val="24"/>
          <w:highlight w:val="none"/>
          <w:lang w:eastAsia="zh-CN"/>
        </w:rPr>
      </w:pP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盖章页</w:t>
      </w:r>
      <w:r>
        <w:rPr>
          <w:rFonts w:hint="eastAsia" w:cs="宋体"/>
          <w:bCs/>
          <w:color w:val="auto"/>
          <w:sz w:val="24"/>
          <w:szCs w:val="24"/>
          <w:highlight w:val="none"/>
          <w:lang w:eastAsia="zh-CN"/>
        </w:rPr>
        <w:t>）</w:t>
      </w:r>
    </w:p>
    <w:p w14:paraId="1A1AFC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b/>
          <w:color w:val="auto"/>
          <w:sz w:val="24"/>
          <w:szCs w:val="24"/>
          <w:highlight w:val="none"/>
        </w:rPr>
      </w:pPr>
      <w:r>
        <w:rPr>
          <w:rFonts w:hint="eastAsia" w:cs="宋体"/>
          <w:bCs/>
          <w:color w:val="auto"/>
          <w:sz w:val="24"/>
          <w:szCs w:val="24"/>
          <w:highlight w:val="none"/>
        </w:rPr>
        <w:t>甲方（盖章）：</w:t>
      </w:r>
      <w:r>
        <w:rPr>
          <w:rFonts w:hint="eastAsia" w:cs="宋体"/>
          <w:b/>
          <w:bCs/>
          <w:color w:val="auto"/>
          <w:sz w:val="24"/>
          <w:szCs w:val="24"/>
          <w:highlight w:val="none"/>
        </w:rPr>
        <w:t>扬州大学附属医院</w:t>
      </w:r>
      <w:r>
        <w:rPr>
          <w:rFonts w:cs="宋体"/>
          <w:b/>
          <w:bCs/>
          <w:color w:val="auto"/>
          <w:sz w:val="24"/>
          <w:szCs w:val="24"/>
          <w:highlight w:val="none"/>
        </w:rPr>
        <w:t xml:space="preserve"> </w:t>
      </w:r>
      <w:r>
        <w:rPr>
          <w:rFonts w:cs="宋体"/>
          <w:bCs/>
          <w:color w:val="auto"/>
          <w:sz w:val="24"/>
          <w:szCs w:val="24"/>
          <w:highlight w:val="none"/>
        </w:rPr>
        <w:t xml:space="preserve">        </w:t>
      </w:r>
      <w:r>
        <w:rPr>
          <w:rFonts w:hint="eastAsia" w:cs="宋体"/>
          <w:bCs/>
          <w:color w:val="auto"/>
          <w:sz w:val="24"/>
          <w:szCs w:val="24"/>
          <w:highlight w:val="none"/>
        </w:rPr>
        <w:t>乙方（盖章）：</w:t>
      </w:r>
    </w:p>
    <w:p w14:paraId="5A4C5CC3">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法定代表人或授权代表人：</w:t>
      </w:r>
      <w:r>
        <w:rPr>
          <w:rFonts w:cs="宋体"/>
          <w:bCs/>
          <w:color w:val="auto"/>
          <w:sz w:val="24"/>
          <w:szCs w:val="24"/>
          <w:highlight w:val="none"/>
        </w:rPr>
        <w:t xml:space="preserve">               </w:t>
      </w:r>
      <w:r>
        <w:rPr>
          <w:rFonts w:hint="eastAsia" w:cs="宋体"/>
          <w:bCs/>
          <w:color w:val="auto"/>
          <w:sz w:val="24"/>
          <w:szCs w:val="24"/>
          <w:highlight w:val="none"/>
        </w:rPr>
        <w:t>法定代表人或授权代表人：</w:t>
      </w:r>
    </w:p>
    <w:p w14:paraId="1D988060">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（签章）</w:t>
      </w:r>
      <w:r>
        <w:rPr>
          <w:rFonts w:cs="宋体"/>
          <w:bCs/>
          <w:color w:val="auto"/>
          <w:sz w:val="24"/>
          <w:szCs w:val="24"/>
          <w:highlight w:val="none"/>
        </w:rPr>
        <w:t xml:space="preserve">                               </w:t>
      </w:r>
      <w:r>
        <w:rPr>
          <w:rFonts w:hint="eastAsia" w:cs="宋体"/>
          <w:bCs/>
          <w:color w:val="auto"/>
          <w:sz w:val="24"/>
          <w:szCs w:val="24"/>
          <w:highlight w:val="none"/>
        </w:rPr>
        <w:t>（签章）</w:t>
      </w:r>
    </w:p>
    <w:p w14:paraId="40A3DC7A">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电</w:t>
      </w:r>
      <w:r>
        <w:rPr>
          <w:rFonts w:cs="宋体"/>
          <w:bCs/>
          <w:color w:val="auto"/>
          <w:sz w:val="24"/>
          <w:szCs w:val="24"/>
          <w:highlight w:val="none"/>
        </w:rPr>
        <w:t xml:space="preserve">    </w:t>
      </w:r>
      <w:r>
        <w:rPr>
          <w:rFonts w:hint="eastAsia" w:cs="宋体"/>
          <w:bCs/>
          <w:color w:val="auto"/>
          <w:sz w:val="24"/>
          <w:szCs w:val="24"/>
          <w:highlight w:val="none"/>
        </w:rPr>
        <w:t>话：</w:t>
      </w:r>
      <w:r>
        <w:rPr>
          <w:rFonts w:cs="宋体"/>
          <w:bCs/>
          <w:color w:val="auto"/>
          <w:sz w:val="24"/>
          <w:szCs w:val="24"/>
          <w:highlight w:val="none"/>
        </w:rPr>
        <w:t xml:space="preserve">                              </w:t>
      </w:r>
      <w:r>
        <w:rPr>
          <w:rFonts w:hint="eastAsia" w:cs="宋体"/>
          <w:bCs/>
          <w:color w:val="auto"/>
          <w:sz w:val="24"/>
          <w:szCs w:val="24"/>
          <w:highlight w:val="none"/>
        </w:rPr>
        <w:t>电</w:t>
      </w:r>
      <w:r>
        <w:rPr>
          <w:rFonts w:cs="宋体"/>
          <w:bCs/>
          <w:color w:val="auto"/>
          <w:sz w:val="24"/>
          <w:szCs w:val="24"/>
          <w:highlight w:val="none"/>
        </w:rPr>
        <w:t xml:space="preserve">    </w:t>
      </w:r>
      <w:r>
        <w:rPr>
          <w:rFonts w:hint="eastAsia" w:cs="宋体"/>
          <w:bCs/>
          <w:color w:val="auto"/>
          <w:sz w:val="24"/>
          <w:szCs w:val="24"/>
          <w:highlight w:val="none"/>
        </w:rPr>
        <w:t>话：</w:t>
      </w:r>
    </w:p>
    <w:p w14:paraId="285808B0">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传</w:t>
      </w:r>
      <w:r>
        <w:rPr>
          <w:rFonts w:cs="宋体"/>
          <w:bCs/>
          <w:color w:val="auto"/>
          <w:sz w:val="24"/>
          <w:szCs w:val="24"/>
          <w:highlight w:val="none"/>
        </w:rPr>
        <w:t xml:space="preserve">    </w:t>
      </w:r>
      <w:r>
        <w:rPr>
          <w:rFonts w:hint="eastAsia" w:cs="宋体"/>
          <w:bCs/>
          <w:color w:val="auto"/>
          <w:sz w:val="24"/>
          <w:szCs w:val="24"/>
          <w:highlight w:val="none"/>
        </w:rPr>
        <w:t>真：</w:t>
      </w:r>
      <w:r>
        <w:rPr>
          <w:rFonts w:cs="宋体"/>
          <w:bCs/>
          <w:color w:val="auto"/>
          <w:sz w:val="24"/>
          <w:szCs w:val="24"/>
          <w:highlight w:val="none"/>
        </w:rPr>
        <w:t xml:space="preserve">                              </w:t>
      </w:r>
      <w:r>
        <w:rPr>
          <w:rFonts w:hint="eastAsia" w:cs="宋体"/>
          <w:bCs/>
          <w:color w:val="auto"/>
          <w:sz w:val="24"/>
          <w:szCs w:val="24"/>
          <w:highlight w:val="none"/>
        </w:rPr>
        <w:t>传</w:t>
      </w:r>
      <w:r>
        <w:rPr>
          <w:rFonts w:cs="宋体"/>
          <w:bCs/>
          <w:color w:val="auto"/>
          <w:sz w:val="24"/>
          <w:szCs w:val="24"/>
          <w:highlight w:val="none"/>
        </w:rPr>
        <w:t xml:space="preserve">    </w:t>
      </w:r>
      <w:r>
        <w:rPr>
          <w:rFonts w:hint="eastAsia" w:cs="宋体"/>
          <w:bCs/>
          <w:color w:val="auto"/>
          <w:sz w:val="24"/>
          <w:szCs w:val="24"/>
          <w:highlight w:val="none"/>
        </w:rPr>
        <w:t>真：</w:t>
      </w:r>
    </w:p>
    <w:p w14:paraId="0C975B4F">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color w:val="auto"/>
          <w:sz w:val="24"/>
          <w:szCs w:val="24"/>
          <w:highlight w:val="none"/>
        </w:rPr>
      </w:pPr>
      <w:r>
        <w:rPr>
          <w:rFonts w:hint="eastAsia" w:cs="宋体"/>
          <w:bCs/>
          <w:color w:val="auto"/>
          <w:sz w:val="24"/>
          <w:szCs w:val="24"/>
          <w:highlight w:val="none"/>
        </w:rPr>
        <w:t>地</w:t>
      </w:r>
      <w:r>
        <w:rPr>
          <w:rFonts w:cs="宋体"/>
          <w:bCs/>
          <w:color w:val="auto"/>
          <w:sz w:val="24"/>
          <w:szCs w:val="24"/>
          <w:highlight w:val="none"/>
        </w:rPr>
        <w:t xml:space="preserve">    </w:t>
      </w:r>
      <w:r>
        <w:rPr>
          <w:rFonts w:hint="eastAsia" w:cs="宋体"/>
          <w:bCs/>
          <w:color w:val="auto"/>
          <w:sz w:val="24"/>
          <w:szCs w:val="24"/>
          <w:highlight w:val="none"/>
        </w:rPr>
        <w:t>址：</w:t>
      </w:r>
      <w:r>
        <w:rPr>
          <w:rFonts w:cs="宋体"/>
          <w:bCs/>
          <w:color w:val="auto"/>
          <w:sz w:val="24"/>
          <w:szCs w:val="24"/>
          <w:highlight w:val="none"/>
        </w:rPr>
        <w:t xml:space="preserve">                              </w:t>
      </w:r>
      <w:r>
        <w:rPr>
          <w:rFonts w:hint="eastAsia" w:cs="宋体"/>
          <w:bCs/>
          <w:color w:val="auto"/>
          <w:sz w:val="24"/>
          <w:szCs w:val="24"/>
          <w:highlight w:val="none"/>
        </w:rPr>
        <w:t>地</w:t>
      </w:r>
      <w:r>
        <w:rPr>
          <w:rFonts w:cs="宋体"/>
          <w:bCs/>
          <w:color w:val="auto"/>
          <w:sz w:val="24"/>
          <w:szCs w:val="24"/>
          <w:highlight w:val="none"/>
        </w:rPr>
        <w:t xml:space="preserve">    </w:t>
      </w:r>
      <w:r>
        <w:rPr>
          <w:rFonts w:hint="eastAsia" w:cs="宋体"/>
          <w:bCs/>
          <w:color w:val="auto"/>
          <w:sz w:val="24"/>
          <w:szCs w:val="24"/>
          <w:highlight w:val="none"/>
        </w:rPr>
        <w:t>址：</w:t>
      </w:r>
    </w:p>
    <w:p w14:paraId="759433E0">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开户银行：</w:t>
      </w:r>
      <w:r>
        <w:rPr>
          <w:rFonts w:cs="宋体"/>
          <w:bCs/>
          <w:color w:val="auto"/>
          <w:sz w:val="24"/>
          <w:szCs w:val="24"/>
          <w:highlight w:val="none"/>
        </w:rPr>
        <w:t xml:space="preserve">                              </w:t>
      </w:r>
      <w:r>
        <w:rPr>
          <w:rFonts w:hint="eastAsia" w:cs="宋体"/>
          <w:bCs/>
          <w:color w:val="auto"/>
          <w:sz w:val="24"/>
          <w:szCs w:val="24"/>
          <w:highlight w:val="none"/>
        </w:rPr>
        <w:t>开户银行：</w:t>
      </w:r>
    </w:p>
    <w:p w14:paraId="6DE69571">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账</w:t>
      </w:r>
      <w:r>
        <w:rPr>
          <w:rFonts w:cs="宋体"/>
          <w:bCs/>
          <w:color w:val="auto"/>
          <w:sz w:val="24"/>
          <w:szCs w:val="24"/>
          <w:highlight w:val="none"/>
        </w:rPr>
        <w:t xml:space="preserve">    </w:t>
      </w:r>
      <w:r>
        <w:rPr>
          <w:rFonts w:hint="eastAsia" w:cs="宋体"/>
          <w:bCs/>
          <w:color w:val="auto"/>
          <w:sz w:val="24"/>
          <w:szCs w:val="24"/>
          <w:highlight w:val="none"/>
        </w:rPr>
        <w:t>号：</w:t>
      </w:r>
      <w:r>
        <w:rPr>
          <w:rFonts w:cs="宋体"/>
          <w:bCs/>
          <w:color w:val="auto"/>
          <w:sz w:val="24"/>
          <w:szCs w:val="24"/>
          <w:highlight w:val="none"/>
        </w:rPr>
        <w:t xml:space="preserve">                              </w:t>
      </w:r>
      <w:r>
        <w:rPr>
          <w:rFonts w:hint="eastAsia" w:cs="宋体"/>
          <w:bCs/>
          <w:color w:val="auto"/>
          <w:sz w:val="24"/>
          <w:szCs w:val="24"/>
          <w:highlight w:val="none"/>
        </w:rPr>
        <w:t>账</w:t>
      </w:r>
      <w:r>
        <w:rPr>
          <w:rFonts w:cs="宋体"/>
          <w:bCs/>
          <w:color w:val="auto"/>
          <w:sz w:val="24"/>
          <w:szCs w:val="24"/>
          <w:highlight w:val="none"/>
        </w:rPr>
        <w:t xml:space="preserve">    </w:t>
      </w:r>
      <w:r>
        <w:rPr>
          <w:rFonts w:hint="eastAsia" w:cs="宋体"/>
          <w:bCs/>
          <w:color w:val="auto"/>
          <w:sz w:val="24"/>
          <w:szCs w:val="24"/>
          <w:highlight w:val="none"/>
        </w:rPr>
        <w:t>号：</w:t>
      </w:r>
    </w:p>
    <w:p w14:paraId="47ECAD24">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color w:val="auto"/>
          <w:sz w:val="24"/>
          <w:szCs w:val="24"/>
          <w:highlight w:val="none"/>
        </w:rPr>
      </w:pPr>
    </w:p>
    <w:p w14:paraId="703C96A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b/>
          <w:color w:val="auto"/>
          <w:sz w:val="24"/>
          <w:szCs w:val="24"/>
          <w:highlight w:val="none"/>
        </w:rPr>
      </w:pPr>
      <w:r>
        <w:rPr>
          <w:rFonts w:hint="eastAsia" w:cs="宋体"/>
          <w:bCs/>
          <w:color w:val="auto"/>
          <w:sz w:val="24"/>
          <w:szCs w:val="24"/>
          <w:highlight w:val="none"/>
        </w:rPr>
        <w:t>丙方（盖章）：</w:t>
      </w:r>
      <w:r>
        <w:rPr>
          <w:rFonts w:cs="宋体"/>
          <w:bCs/>
          <w:color w:val="auto"/>
          <w:sz w:val="24"/>
          <w:szCs w:val="24"/>
          <w:highlight w:val="none"/>
        </w:rPr>
        <w:t xml:space="preserve">      </w:t>
      </w:r>
    </w:p>
    <w:p w14:paraId="20BD29C3">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法定代表人或授权代表人：</w:t>
      </w:r>
      <w:r>
        <w:rPr>
          <w:rFonts w:cs="宋体"/>
          <w:bCs/>
          <w:color w:val="auto"/>
          <w:sz w:val="24"/>
          <w:szCs w:val="24"/>
          <w:highlight w:val="none"/>
        </w:rPr>
        <w:t xml:space="preserve">             </w:t>
      </w:r>
    </w:p>
    <w:p w14:paraId="2F1ECEE2">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（签章）</w:t>
      </w:r>
      <w:r>
        <w:rPr>
          <w:rFonts w:cs="宋体"/>
          <w:bCs/>
          <w:color w:val="auto"/>
          <w:sz w:val="24"/>
          <w:szCs w:val="24"/>
          <w:highlight w:val="none"/>
        </w:rPr>
        <w:t xml:space="preserve">                            </w:t>
      </w:r>
    </w:p>
    <w:p w14:paraId="3EA8D0CE">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电</w:t>
      </w:r>
      <w:r>
        <w:rPr>
          <w:rFonts w:cs="宋体"/>
          <w:bCs/>
          <w:color w:val="auto"/>
          <w:sz w:val="24"/>
          <w:szCs w:val="24"/>
          <w:highlight w:val="none"/>
        </w:rPr>
        <w:t xml:space="preserve">    </w:t>
      </w:r>
      <w:r>
        <w:rPr>
          <w:rFonts w:hint="eastAsia" w:cs="宋体"/>
          <w:bCs/>
          <w:color w:val="auto"/>
          <w:sz w:val="24"/>
          <w:szCs w:val="24"/>
          <w:highlight w:val="none"/>
        </w:rPr>
        <w:t>话：</w:t>
      </w:r>
      <w:r>
        <w:rPr>
          <w:rFonts w:cs="宋体"/>
          <w:bCs/>
          <w:color w:val="auto"/>
          <w:sz w:val="24"/>
          <w:szCs w:val="24"/>
          <w:highlight w:val="none"/>
        </w:rPr>
        <w:t xml:space="preserve">                         </w:t>
      </w:r>
    </w:p>
    <w:p w14:paraId="6C851ABE">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传</w:t>
      </w:r>
      <w:r>
        <w:rPr>
          <w:rFonts w:cs="宋体"/>
          <w:bCs/>
          <w:color w:val="auto"/>
          <w:sz w:val="24"/>
          <w:szCs w:val="24"/>
          <w:highlight w:val="none"/>
        </w:rPr>
        <w:t xml:space="preserve">    </w:t>
      </w:r>
      <w:r>
        <w:rPr>
          <w:rFonts w:hint="eastAsia" w:cs="宋体"/>
          <w:bCs/>
          <w:color w:val="auto"/>
          <w:sz w:val="24"/>
          <w:szCs w:val="24"/>
          <w:highlight w:val="none"/>
        </w:rPr>
        <w:t>真：</w:t>
      </w:r>
      <w:r>
        <w:rPr>
          <w:rFonts w:cs="宋体"/>
          <w:bCs/>
          <w:color w:val="auto"/>
          <w:sz w:val="24"/>
          <w:szCs w:val="24"/>
          <w:highlight w:val="none"/>
        </w:rPr>
        <w:t xml:space="preserve">                   </w:t>
      </w:r>
    </w:p>
    <w:p w14:paraId="4A3AF586">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color w:val="auto"/>
          <w:sz w:val="24"/>
          <w:szCs w:val="24"/>
          <w:highlight w:val="none"/>
        </w:rPr>
      </w:pPr>
      <w:r>
        <w:rPr>
          <w:rFonts w:hint="eastAsia" w:cs="宋体"/>
          <w:bCs/>
          <w:color w:val="auto"/>
          <w:sz w:val="24"/>
          <w:szCs w:val="24"/>
          <w:highlight w:val="none"/>
        </w:rPr>
        <w:t>地</w:t>
      </w:r>
      <w:r>
        <w:rPr>
          <w:rFonts w:cs="宋体"/>
          <w:bCs/>
          <w:color w:val="auto"/>
          <w:sz w:val="24"/>
          <w:szCs w:val="24"/>
          <w:highlight w:val="none"/>
        </w:rPr>
        <w:t xml:space="preserve">    </w:t>
      </w:r>
      <w:r>
        <w:rPr>
          <w:rFonts w:hint="eastAsia" w:cs="宋体"/>
          <w:bCs/>
          <w:color w:val="auto"/>
          <w:sz w:val="24"/>
          <w:szCs w:val="24"/>
          <w:highlight w:val="none"/>
        </w:rPr>
        <w:t>址：</w:t>
      </w:r>
      <w:r>
        <w:rPr>
          <w:rFonts w:cs="宋体"/>
          <w:bCs/>
          <w:color w:val="auto"/>
          <w:sz w:val="24"/>
          <w:szCs w:val="24"/>
          <w:highlight w:val="none"/>
        </w:rPr>
        <w:t xml:space="preserve">                     </w:t>
      </w:r>
    </w:p>
    <w:p w14:paraId="03C5A4B8">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开户银行：</w:t>
      </w:r>
      <w:r>
        <w:rPr>
          <w:rFonts w:cs="宋体"/>
          <w:bCs/>
          <w:color w:val="auto"/>
          <w:sz w:val="24"/>
          <w:szCs w:val="24"/>
          <w:highlight w:val="none"/>
        </w:rPr>
        <w:t xml:space="preserve">                              </w:t>
      </w:r>
    </w:p>
    <w:p w14:paraId="555816AD">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账</w:t>
      </w:r>
      <w:r>
        <w:rPr>
          <w:rFonts w:cs="宋体"/>
          <w:bCs/>
          <w:color w:val="auto"/>
          <w:sz w:val="24"/>
          <w:szCs w:val="24"/>
          <w:highlight w:val="none"/>
        </w:rPr>
        <w:t xml:space="preserve">    </w:t>
      </w:r>
      <w:r>
        <w:rPr>
          <w:rFonts w:hint="eastAsia" w:cs="宋体"/>
          <w:bCs/>
          <w:color w:val="auto"/>
          <w:sz w:val="24"/>
          <w:szCs w:val="24"/>
          <w:highlight w:val="none"/>
        </w:rPr>
        <w:t>号：</w:t>
      </w:r>
      <w:r>
        <w:rPr>
          <w:rFonts w:cs="宋体"/>
          <w:bCs/>
          <w:color w:val="auto"/>
          <w:sz w:val="24"/>
          <w:szCs w:val="24"/>
          <w:highlight w:val="none"/>
        </w:rPr>
        <w:t xml:space="preserve">                             </w:t>
      </w:r>
    </w:p>
    <w:p w14:paraId="052117CD">
      <w:pPr>
        <w:keepNext w:val="0"/>
        <w:keepLines w:val="0"/>
        <w:pageBreakBefore w:val="0"/>
        <w:widowControl w:val="0"/>
        <w:kinsoku/>
        <w:wordWrap/>
        <w:overflowPunct/>
        <w:topLinePunct w:val="0"/>
        <w:autoSpaceDE/>
        <w:autoSpaceDN/>
        <w:bidi w:val="0"/>
        <w:adjustRightInd w:val="0"/>
        <w:snapToGrid/>
        <w:spacing w:line="360" w:lineRule="auto"/>
        <w:ind w:firstLine="566" w:firstLineChars="236"/>
        <w:jc w:val="right"/>
        <w:textAlignment w:val="auto"/>
        <w:rPr>
          <w:color w:val="auto"/>
          <w:sz w:val="24"/>
          <w:szCs w:val="24"/>
          <w:highlight w:val="none"/>
        </w:rPr>
      </w:pPr>
      <w:r>
        <w:rPr>
          <w:rFonts w:hint="eastAsia"/>
          <w:color w:val="auto"/>
          <w:sz w:val="24"/>
          <w:szCs w:val="24"/>
          <w:highlight w:val="none"/>
        </w:rPr>
        <w:t>签订日期：</w:t>
      </w:r>
      <w:r>
        <w:rPr>
          <w:color w:val="auto"/>
          <w:sz w:val="24"/>
          <w:szCs w:val="24"/>
          <w:highlight w:val="none"/>
        </w:rPr>
        <w:t>202</w:t>
      </w:r>
      <w:r>
        <w:rPr>
          <w:rFonts w:hint="eastAsia"/>
          <w:color w:val="auto"/>
          <w:sz w:val="24"/>
          <w:szCs w:val="24"/>
          <w:highlight w:val="none"/>
        </w:rPr>
        <w:t xml:space="preserve">  年</w:t>
      </w:r>
      <w:r>
        <w:rPr>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月</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日</w:t>
      </w:r>
    </w:p>
    <w:p w14:paraId="318E040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34BEB7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附件一：《</w:t>
      </w:r>
      <w:r>
        <w:rPr>
          <w:rFonts w:hint="eastAsia" w:ascii="宋体" w:hAnsi="宋体" w:cs="宋体"/>
          <w:b/>
          <w:bCs/>
          <w:color w:val="auto"/>
          <w:sz w:val="24"/>
          <w:szCs w:val="24"/>
          <w:highlight w:val="none"/>
          <w:lang w:val="en-US" w:eastAsia="zh-CN"/>
        </w:rPr>
        <w:t>扬州大学附属医院智慧医疗（自助）服务体系建设项目</w:t>
      </w:r>
      <w:r>
        <w:rPr>
          <w:rFonts w:hint="eastAsia" w:ascii="宋体" w:hAnsi="宋体" w:eastAsia="宋体" w:cs="宋体"/>
          <w:b/>
          <w:bCs/>
          <w:color w:val="auto"/>
          <w:sz w:val="24"/>
          <w:szCs w:val="24"/>
          <w:highlight w:val="none"/>
          <w:lang w:val="en-US" w:eastAsia="zh-CN"/>
        </w:rPr>
        <w:t>项目需求》</w:t>
      </w:r>
    </w:p>
    <w:p w14:paraId="7DB5AD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清单</w:t>
      </w:r>
    </w:p>
    <w:tbl>
      <w:tblPr>
        <w:tblStyle w:val="45"/>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622"/>
        <w:gridCol w:w="2697"/>
        <w:gridCol w:w="828"/>
        <w:gridCol w:w="755"/>
        <w:gridCol w:w="2978"/>
      </w:tblGrid>
      <w:tr w14:paraId="6CC9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363" w:type="pct"/>
            <w:shd w:val="clear" w:color="auto" w:fill="DCDCDC"/>
            <w:noWrap w:val="0"/>
            <w:vAlign w:val="center"/>
          </w:tcPr>
          <w:p w14:paraId="5A1C81E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366" w:type="pct"/>
            <w:shd w:val="clear" w:color="auto" w:fill="DCDCDC"/>
            <w:noWrap w:val="0"/>
            <w:vAlign w:val="center"/>
          </w:tcPr>
          <w:p w14:paraId="7228860A">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内容</w:t>
            </w:r>
          </w:p>
        </w:tc>
        <w:tc>
          <w:tcPr>
            <w:tcW w:w="1587" w:type="pct"/>
            <w:shd w:val="clear" w:color="auto" w:fill="DCDCDC"/>
            <w:noWrap w:val="0"/>
            <w:vAlign w:val="center"/>
          </w:tcPr>
          <w:p w14:paraId="722B5E54">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名称</w:t>
            </w:r>
          </w:p>
        </w:tc>
        <w:tc>
          <w:tcPr>
            <w:tcW w:w="487" w:type="pct"/>
            <w:shd w:val="clear" w:color="auto" w:fill="DCDCDC"/>
            <w:noWrap w:val="0"/>
            <w:vAlign w:val="center"/>
          </w:tcPr>
          <w:p w14:paraId="25209C5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单位</w:t>
            </w:r>
          </w:p>
        </w:tc>
        <w:tc>
          <w:tcPr>
            <w:tcW w:w="444" w:type="pct"/>
            <w:shd w:val="clear" w:color="auto" w:fill="DCDCDC"/>
            <w:noWrap w:val="0"/>
            <w:vAlign w:val="center"/>
          </w:tcPr>
          <w:p w14:paraId="4893B9CB">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数量</w:t>
            </w:r>
          </w:p>
        </w:tc>
        <w:tc>
          <w:tcPr>
            <w:tcW w:w="1752" w:type="pct"/>
            <w:shd w:val="clear" w:color="auto" w:fill="DCDCDC"/>
            <w:noWrap w:val="0"/>
            <w:vAlign w:val="center"/>
          </w:tcPr>
          <w:p w14:paraId="22D05D7F">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备注</w:t>
            </w:r>
          </w:p>
        </w:tc>
      </w:tr>
      <w:tr w14:paraId="2590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restart"/>
            <w:shd w:val="clear" w:color="auto" w:fill="FEFEFE"/>
            <w:noWrap w:val="0"/>
            <w:vAlign w:val="center"/>
          </w:tcPr>
          <w:p w14:paraId="1F8FD30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66" w:type="pct"/>
            <w:vMerge w:val="restart"/>
            <w:shd w:val="clear" w:color="auto" w:fill="FEFEFE"/>
            <w:noWrap w:val="0"/>
            <w:vAlign w:val="center"/>
          </w:tcPr>
          <w:p w14:paraId="68030E04">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硬件</w:t>
            </w:r>
          </w:p>
          <w:p w14:paraId="7AF99D2E">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lang w:val="en-US" w:eastAsia="zh-CN"/>
              </w:rPr>
              <w:t>租赁</w:t>
            </w:r>
          </w:p>
        </w:tc>
        <w:tc>
          <w:tcPr>
            <w:tcW w:w="1587" w:type="pct"/>
            <w:shd w:val="clear" w:color="auto" w:fill="FEFEFE"/>
            <w:noWrap w:val="0"/>
            <w:vAlign w:val="center"/>
          </w:tcPr>
          <w:p w14:paraId="5CF2816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w:t>
            </w:r>
          </w:p>
        </w:tc>
        <w:tc>
          <w:tcPr>
            <w:tcW w:w="487" w:type="pct"/>
            <w:shd w:val="clear" w:color="auto" w:fill="FEFEFE"/>
            <w:noWrap w:val="0"/>
            <w:vAlign w:val="center"/>
          </w:tcPr>
          <w:p w14:paraId="4FE9BF1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56E34873">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68</w:t>
            </w:r>
          </w:p>
        </w:tc>
        <w:tc>
          <w:tcPr>
            <w:tcW w:w="1752" w:type="pct"/>
            <w:shd w:val="clear" w:color="auto" w:fill="FEFEFE"/>
            <w:noWrap w:val="0"/>
            <w:vAlign w:val="center"/>
          </w:tcPr>
          <w:p w14:paraId="7C4F0B3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w:t>
            </w:r>
            <w:r>
              <w:rPr>
                <w:rFonts w:hint="eastAsia"/>
                <w:color w:val="auto"/>
                <w:highlight w:val="none"/>
                <w:lang w:val="en-US" w:eastAsia="zh-CN"/>
              </w:rPr>
              <w:t>3</w:t>
            </w:r>
            <w:r>
              <w:rPr>
                <w:rFonts w:hint="eastAsia"/>
                <w:color w:val="auto"/>
                <w:highlight w:val="none"/>
              </w:rPr>
              <w:t>台</w:t>
            </w:r>
          </w:p>
        </w:tc>
      </w:tr>
      <w:tr w14:paraId="33B2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5228C22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3BF8BDA">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03E7CC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多功能自助机II</w:t>
            </w:r>
          </w:p>
        </w:tc>
        <w:tc>
          <w:tcPr>
            <w:tcW w:w="487" w:type="pct"/>
            <w:shd w:val="clear" w:color="auto" w:fill="FEFEFE"/>
            <w:noWrap w:val="0"/>
            <w:vAlign w:val="center"/>
          </w:tcPr>
          <w:p w14:paraId="1A56739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36A39717">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4</w:t>
            </w:r>
          </w:p>
        </w:tc>
        <w:tc>
          <w:tcPr>
            <w:tcW w:w="1752" w:type="pct"/>
            <w:shd w:val="clear" w:color="auto" w:fill="FEFEFE"/>
            <w:noWrap w:val="0"/>
            <w:vAlign w:val="center"/>
          </w:tcPr>
          <w:p w14:paraId="61B79976">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rPr>
              <w:t>配现金模块</w:t>
            </w:r>
            <w:r>
              <w:rPr>
                <w:rFonts w:hint="eastAsia"/>
                <w:color w:val="auto"/>
                <w:highlight w:val="none"/>
                <w:lang w:eastAsia="zh-CN"/>
              </w:rPr>
              <w:t>、</w:t>
            </w:r>
            <w:r>
              <w:rPr>
                <w:rFonts w:hint="eastAsia"/>
                <w:color w:val="auto"/>
                <w:highlight w:val="none"/>
                <w:lang w:val="en-US" w:eastAsia="zh-CN"/>
              </w:rPr>
              <w:t>银联模块</w:t>
            </w:r>
          </w:p>
        </w:tc>
      </w:tr>
      <w:tr w14:paraId="3A7D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26AB69E6">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631CF5C">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024DD3BC">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无障碍自助服务终端</w:t>
            </w:r>
          </w:p>
        </w:tc>
        <w:tc>
          <w:tcPr>
            <w:tcW w:w="487" w:type="pct"/>
            <w:shd w:val="clear" w:color="auto" w:fill="FEFEFE"/>
            <w:noWrap w:val="0"/>
            <w:vAlign w:val="center"/>
          </w:tcPr>
          <w:p w14:paraId="0D7E55A3">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0FC32B01">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1B067053">
            <w:pPr>
              <w:pageBreakBefore w:val="0"/>
              <w:kinsoku/>
              <w:overflowPunct/>
              <w:autoSpaceDE/>
              <w:autoSpaceDN/>
              <w:bidi w:val="0"/>
              <w:adjustRightInd w:val="0"/>
              <w:snapToGrid w:val="0"/>
              <w:jc w:val="center"/>
              <w:rPr>
                <w:rFonts w:hint="eastAsia"/>
                <w:color w:val="auto"/>
                <w:highlight w:val="none"/>
              </w:rPr>
            </w:pPr>
          </w:p>
        </w:tc>
      </w:tr>
      <w:tr w14:paraId="71F6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2076CA9E">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53F2140">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BF8645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w:t>
            </w:r>
          </w:p>
        </w:tc>
        <w:tc>
          <w:tcPr>
            <w:tcW w:w="487" w:type="pct"/>
            <w:shd w:val="clear" w:color="auto" w:fill="FEFEFE"/>
            <w:noWrap w:val="0"/>
            <w:vAlign w:val="center"/>
          </w:tcPr>
          <w:p w14:paraId="2E55B32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57BCA101">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rPr>
              <w:t>4</w:t>
            </w:r>
            <w:r>
              <w:rPr>
                <w:rFonts w:hint="eastAsia"/>
                <w:color w:val="auto"/>
                <w:highlight w:val="none"/>
                <w:lang w:val="en-US" w:eastAsia="zh-CN"/>
              </w:rPr>
              <w:t>4</w:t>
            </w:r>
          </w:p>
        </w:tc>
        <w:tc>
          <w:tcPr>
            <w:tcW w:w="1752" w:type="pct"/>
            <w:shd w:val="clear" w:color="auto" w:fill="FEFEFE"/>
            <w:noWrap w:val="0"/>
            <w:vAlign w:val="center"/>
          </w:tcPr>
          <w:p w14:paraId="7085795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含同类型备机2台</w:t>
            </w:r>
          </w:p>
        </w:tc>
      </w:tr>
      <w:tr w14:paraId="7AB7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6FD2171A">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2A75FBF">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1BEC56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住院多功能自助机II</w:t>
            </w:r>
          </w:p>
        </w:tc>
        <w:tc>
          <w:tcPr>
            <w:tcW w:w="487" w:type="pct"/>
            <w:shd w:val="clear" w:color="auto" w:fill="FEFEFE"/>
            <w:noWrap w:val="0"/>
            <w:vAlign w:val="center"/>
          </w:tcPr>
          <w:p w14:paraId="16BBB54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3A45AB13">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8</w:t>
            </w:r>
          </w:p>
        </w:tc>
        <w:tc>
          <w:tcPr>
            <w:tcW w:w="1752" w:type="pct"/>
            <w:shd w:val="clear" w:color="auto" w:fill="FEFEFE"/>
            <w:noWrap w:val="0"/>
            <w:vAlign w:val="center"/>
          </w:tcPr>
          <w:p w14:paraId="4B49DB8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配腕带模块</w:t>
            </w:r>
          </w:p>
        </w:tc>
      </w:tr>
      <w:tr w14:paraId="7481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5CF4F2A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AB1D5D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E9D6B0D">
            <w:pPr>
              <w:pageBreakBefore w:val="0"/>
              <w:kinsoku/>
              <w:overflowPunct/>
              <w:autoSpaceDE/>
              <w:autoSpaceDN/>
              <w:bidi w:val="0"/>
              <w:adjustRightInd w:val="0"/>
              <w:snapToGrid w:val="0"/>
              <w:ind w:firstLine="210" w:firstLineChars="100"/>
              <w:jc w:val="both"/>
              <w:rPr>
                <w:rFonts w:hint="default" w:eastAsia="宋体"/>
                <w:color w:val="auto"/>
                <w:highlight w:val="none"/>
                <w:lang w:val="en-US" w:eastAsia="zh-CN"/>
              </w:rPr>
            </w:pPr>
            <w:r>
              <w:rPr>
                <w:rFonts w:hint="eastAsia"/>
                <w:color w:val="auto"/>
                <w:highlight w:val="none"/>
                <w:lang w:val="en-US" w:eastAsia="zh-CN"/>
              </w:rPr>
              <w:t>住院多功能自助机</w:t>
            </w:r>
            <w:r>
              <w:rPr>
                <w:rFonts w:hint="eastAsia" w:ascii="微软雅黑" w:hAnsi="微软雅黑" w:eastAsia="微软雅黑" w:cs="微软雅黑"/>
                <w:color w:val="auto"/>
                <w:highlight w:val="none"/>
                <w:lang w:val="en-US" w:eastAsia="zh-CN"/>
              </w:rPr>
              <w:t>Ⅲ</w:t>
            </w:r>
          </w:p>
        </w:tc>
        <w:tc>
          <w:tcPr>
            <w:tcW w:w="487" w:type="pct"/>
            <w:shd w:val="clear" w:color="auto" w:fill="FEFEFE"/>
            <w:noWrap w:val="0"/>
            <w:vAlign w:val="center"/>
          </w:tcPr>
          <w:p w14:paraId="4C6E5BCE">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1682C336">
            <w:pPr>
              <w:pageBreakBefore w:val="0"/>
              <w:kinsoku/>
              <w:overflowPunct/>
              <w:autoSpaceDE/>
              <w:autoSpaceDN/>
              <w:bidi w:val="0"/>
              <w:adjustRightInd w:val="0"/>
              <w:snapToGrid w:val="0"/>
              <w:jc w:val="center"/>
              <w:rPr>
                <w:rFonts w:hint="default"/>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054E2F26">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需配腕带、</w:t>
            </w:r>
            <w:r>
              <w:rPr>
                <w:rFonts w:hint="eastAsia"/>
                <w:color w:val="auto"/>
                <w:highlight w:val="none"/>
              </w:rPr>
              <w:t>现金</w:t>
            </w:r>
            <w:r>
              <w:rPr>
                <w:rFonts w:hint="eastAsia"/>
                <w:color w:val="auto"/>
                <w:highlight w:val="none"/>
                <w:lang w:eastAsia="zh-CN"/>
              </w:rPr>
              <w:t>、</w:t>
            </w:r>
            <w:r>
              <w:rPr>
                <w:rFonts w:hint="eastAsia"/>
                <w:color w:val="auto"/>
                <w:highlight w:val="none"/>
                <w:lang w:val="en-US" w:eastAsia="zh-CN"/>
              </w:rPr>
              <w:t>银联模块</w:t>
            </w:r>
          </w:p>
        </w:tc>
      </w:tr>
      <w:tr w14:paraId="75B1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3DAA846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0663262">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540C42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lang w:val="en-US" w:eastAsia="zh-CN"/>
              </w:rPr>
              <w:t>移动</w:t>
            </w:r>
            <w:r>
              <w:rPr>
                <w:rFonts w:hint="eastAsia"/>
                <w:color w:val="auto"/>
                <w:highlight w:val="none"/>
              </w:rPr>
              <w:t>结算终端</w:t>
            </w:r>
          </w:p>
        </w:tc>
        <w:tc>
          <w:tcPr>
            <w:tcW w:w="487" w:type="pct"/>
            <w:shd w:val="clear" w:color="auto" w:fill="FEFEFE"/>
            <w:noWrap w:val="0"/>
            <w:vAlign w:val="center"/>
          </w:tcPr>
          <w:p w14:paraId="1B8C4EF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0A5AF445">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24</w:t>
            </w:r>
          </w:p>
        </w:tc>
        <w:tc>
          <w:tcPr>
            <w:tcW w:w="1752" w:type="pct"/>
            <w:shd w:val="clear" w:color="auto" w:fill="FEFEFE"/>
            <w:noWrap w:val="0"/>
            <w:vAlign w:val="center"/>
          </w:tcPr>
          <w:p w14:paraId="618EB994">
            <w:pPr>
              <w:pageBreakBefore w:val="0"/>
              <w:kinsoku/>
              <w:overflowPunct/>
              <w:autoSpaceDE/>
              <w:autoSpaceDN/>
              <w:bidi w:val="0"/>
              <w:adjustRightInd w:val="0"/>
              <w:snapToGrid w:val="0"/>
              <w:jc w:val="center"/>
              <w:rPr>
                <w:rFonts w:ascii="宋体" w:hAnsi="宋体" w:cs="宋体"/>
                <w:color w:val="auto"/>
                <w:szCs w:val="21"/>
                <w:highlight w:val="none"/>
              </w:rPr>
            </w:pPr>
          </w:p>
        </w:tc>
      </w:tr>
      <w:tr w14:paraId="1611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1D1D8C5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10493D87">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4A64C0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自助病案打印盖章终端</w:t>
            </w:r>
          </w:p>
        </w:tc>
        <w:tc>
          <w:tcPr>
            <w:tcW w:w="487" w:type="pct"/>
            <w:shd w:val="clear" w:color="auto" w:fill="FEFEFE"/>
            <w:noWrap w:val="0"/>
            <w:vAlign w:val="center"/>
          </w:tcPr>
          <w:p w14:paraId="036CE34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141A6B7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41E9FC34">
            <w:pPr>
              <w:pageBreakBefore w:val="0"/>
              <w:kinsoku/>
              <w:overflowPunct/>
              <w:autoSpaceDE/>
              <w:autoSpaceDN/>
              <w:bidi w:val="0"/>
              <w:adjustRightInd w:val="0"/>
              <w:snapToGrid w:val="0"/>
              <w:jc w:val="center"/>
              <w:rPr>
                <w:rFonts w:ascii="宋体" w:hAnsi="宋体" w:cs="宋体"/>
                <w:color w:val="auto"/>
                <w:szCs w:val="21"/>
                <w:highlight w:val="none"/>
              </w:rPr>
            </w:pPr>
          </w:p>
        </w:tc>
      </w:tr>
      <w:tr w14:paraId="2111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1E5C24CD">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1486B281">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0BFE53E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自助印章机</w:t>
            </w:r>
          </w:p>
        </w:tc>
        <w:tc>
          <w:tcPr>
            <w:tcW w:w="487" w:type="pct"/>
            <w:shd w:val="clear" w:color="auto" w:fill="FEFEFE"/>
            <w:noWrap w:val="0"/>
            <w:vAlign w:val="center"/>
          </w:tcPr>
          <w:p w14:paraId="5A6A5E4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25566ED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229F7E5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投放</w:t>
            </w:r>
          </w:p>
        </w:tc>
      </w:tr>
      <w:tr w14:paraId="474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7F54C61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AC1EEE9">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CEC0C2E">
            <w:pPr>
              <w:pageBreakBefore w:val="0"/>
              <w:kinsoku/>
              <w:overflowPunct/>
              <w:autoSpaceDE/>
              <w:autoSpaceDN/>
              <w:bidi w:val="0"/>
              <w:adjustRightInd w:val="0"/>
              <w:snapToGrid w:val="0"/>
              <w:jc w:val="center"/>
              <w:rPr>
                <w:color w:val="auto"/>
                <w:highlight w:val="none"/>
              </w:rPr>
            </w:pPr>
            <w:r>
              <w:rPr>
                <w:rFonts w:hint="eastAsia"/>
                <w:color w:val="auto"/>
                <w:highlight w:val="none"/>
              </w:rPr>
              <w:t>自助复印机</w:t>
            </w:r>
          </w:p>
        </w:tc>
        <w:tc>
          <w:tcPr>
            <w:tcW w:w="487" w:type="pct"/>
            <w:shd w:val="clear" w:color="auto" w:fill="FEFEFE"/>
            <w:noWrap w:val="0"/>
            <w:vAlign w:val="center"/>
          </w:tcPr>
          <w:p w14:paraId="272E1D1B">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44" w:type="pct"/>
            <w:shd w:val="clear" w:color="auto" w:fill="FEFEFE"/>
            <w:noWrap w:val="0"/>
            <w:vAlign w:val="center"/>
          </w:tcPr>
          <w:p w14:paraId="76F4DCF1">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6</w:t>
            </w:r>
          </w:p>
        </w:tc>
        <w:tc>
          <w:tcPr>
            <w:tcW w:w="1752" w:type="pct"/>
            <w:shd w:val="clear" w:color="auto" w:fill="FEFEFE"/>
            <w:noWrap w:val="0"/>
            <w:vAlign w:val="center"/>
          </w:tcPr>
          <w:p w14:paraId="76AF4317">
            <w:pPr>
              <w:pageBreakBefore w:val="0"/>
              <w:kinsoku/>
              <w:overflowPunct/>
              <w:autoSpaceDE/>
              <w:autoSpaceDN/>
              <w:bidi w:val="0"/>
              <w:adjustRightInd w:val="0"/>
              <w:snapToGrid w:val="0"/>
              <w:jc w:val="center"/>
              <w:rPr>
                <w:color w:val="auto"/>
                <w:highlight w:val="none"/>
              </w:rPr>
            </w:pPr>
            <w:r>
              <w:rPr>
                <w:rFonts w:hint="eastAsia"/>
                <w:color w:val="auto"/>
                <w:highlight w:val="none"/>
              </w:rPr>
              <w:t>投放</w:t>
            </w:r>
          </w:p>
        </w:tc>
      </w:tr>
      <w:tr w14:paraId="4FA6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restart"/>
            <w:shd w:val="clear" w:color="auto" w:fill="FEFEFE"/>
            <w:noWrap w:val="0"/>
            <w:vAlign w:val="center"/>
          </w:tcPr>
          <w:p w14:paraId="68777E0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66" w:type="pct"/>
            <w:vMerge w:val="restart"/>
            <w:shd w:val="clear" w:color="auto" w:fill="FEFEFE"/>
            <w:noWrap w:val="0"/>
            <w:vAlign w:val="center"/>
          </w:tcPr>
          <w:p w14:paraId="5B02F42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配套</w:t>
            </w:r>
            <w:r>
              <w:rPr>
                <w:rFonts w:hint="eastAsia" w:ascii="宋体" w:hAnsi="宋体" w:cs="宋体"/>
                <w:color w:val="auto"/>
                <w:szCs w:val="21"/>
                <w:highlight w:val="none"/>
              </w:rPr>
              <w:t>软件</w:t>
            </w:r>
          </w:p>
        </w:tc>
        <w:tc>
          <w:tcPr>
            <w:tcW w:w="1587" w:type="pct"/>
            <w:shd w:val="clear" w:color="auto" w:fill="FEFEFE"/>
            <w:noWrap w:val="0"/>
            <w:vAlign w:val="center"/>
          </w:tcPr>
          <w:p w14:paraId="6A638AA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门急诊自助服务系统软件</w:t>
            </w:r>
          </w:p>
        </w:tc>
        <w:tc>
          <w:tcPr>
            <w:tcW w:w="487" w:type="pct"/>
            <w:shd w:val="clear" w:color="auto" w:fill="FEFEFE"/>
            <w:noWrap w:val="0"/>
            <w:vAlign w:val="center"/>
          </w:tcPr>
          <w:p w14:paraId="2FFF708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407BEF0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4E32CA9C">
            <w:pPr>
              <w:pageBreakBefore w:val="0"/>
              <w:kinsoku/>
              <w:overflowPunct/>
              <w:autoSpaceDE/>
              <w:autoSpaceDN/>
              <w:bidi w:val="0"/>
              <w:adjustRightInd w:val="0"/>
              <w:snapToGrid w:val="0"/>
              <w:jc w:val="center"/>
              <w:rPr>
                <w:rFonts w:ascii="宋体" w:hAnsi="宋体" w:cs="宋体"/>
                <w:color w:val="auto"/>
                <w:szCs w:val="21"/>
                <w:highlight w:val="none"/>
              </w:rPr>
            </w:pPr>
          </w:p>
        </w:tc>
      </w:tr>
      <w:tr w14:paraId="383F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363" w:type="pct"/>
            <w:vMerge w:val="continue"/>
            <w:shd w:val="clear" w:color="auto" w:fill="FEFEFE"/>
            <w:noWrap w:val="0"/>
            <w:vAlign w:val="center"/>
          </w:tcPr>
          <w:p w14:paraId="49D99EA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F279EC9">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D7769F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住院自助服务系统软件</w:t>
            </w:r>
          </w:p>
        </w:tc>
        <w:tc>
          <w:tcPr>
            <w:tcW w:w="487" w:type="pct"/>
            <w:shd w:val="clear" w:color="auto" w:fill="FEFEFE"/>
            <w:noWrap w:val="0"/>
            <w:vAlign w:val="center"/>
          </w:tcPr>
          <w:p w14:paraId="34BF2C3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35A13FB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p w14:paraId="04F9117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752" w:type="pct"/>
            <w:shd w:val="clear" w:color="auto" w:fill="FEFEFE"/>
            <w:noWrap w:val="0"/>
            <w:vAlign w:val="center"/>
          </w:tcPr>
          <w:p w14:paraId="4CD93CBF">
            <w:pPr>
              <w:pageBreakBefore w:val="0"/>
              <w:kinsoku/>
              <w:overflowPunct/>
              <w:autoSpaceDE/>
              <w:autoSpaceDN/>
              <w:bidi w:val="0"/>
              <w:adjustRightInd w:val="0"/>
              <w:snapToGrid w:val="0"/>
              <w:rPr>
                <w:color w:val="auto"/>
                <w:highlight w:val="none"/>
              </w:rPr>
            </w:pPr>
          </w:p>
        </w:tc>
      </w:tr>
      <w:tr w14:paraId="7805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73A07B4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D1A377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2231E7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多功能自助打印系统软件</w:t>
            </w:r>
          </w:p>
        </w:tc>
        <w:tc>
          <w:tcPr>
            <w:tcW w:w="487" w:type="pct"/>
            <w:shd w:val="clear" w:color="auto" w:fill="FEFEFE"/>
            <w:noWrap w:val="0"/>
            <w:vAlign w:val="center"/>
          </w:tcPr>
          <w:p w14:paraId="157392D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4F89F2A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6659D7D2">
            <w:pPr>
              <w:pageBreakBefore w:val="0"/>
              <w:kinsoku/>
              <w:overflowPunct/>
              <w:autoSpaceDE/>
              <w:autoSpaceDN/>
              <w:bidi w:val="0"/>
              <w:adjustRightInd w:val="0"/>
              <w:snapToGrid w:val="0"/>
              <w:jc w:val="center"/>
              <w:rPr>
                <w:rFonts w:ascii="宋体" w:hAnsi="宋体" w:cs="宋体"/>
                <w:color w:val="auto"/>
                <w:szCs w:val="21"/>
                <w:highlight w:val="none"/>
              </w:rPr>
            </w:pPr>
          </w:p>
        </w:tc>
      </w:tr>
      <w:tr w14:paraId="13B8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4C822BE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046E0DC">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EA70C1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自助运维管理平台</w:t>
            </w:r>
          </w:p>
        </w:tc>
        <w:tc>
          <w:tcPr>
            <w:tcW w:w="487" w:type="pct"/>
            <w:shd w:val="clear" w:color="auto" w:fill="FEFEFE"/>
            <w:noWrap w:val="0"/>
            <w:vAlign w:val="center"/>
          </w:tcPr>
          <w:p w14:paraId="41D6C95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3D0C72D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7857A5C3">
            <w:pPr>
              <w:pageBreakBefore w:val="0"/>
              <w:kinsoku/>
              <w:overflowPunct/>
              <w:autoSpaceDE/>
              <w:autoSpaceDN/>
              <w:bidi w:val="0"/>
              <w:adjustRightInd w:val="0"/>
              <w:snapToGrid w:val="0"/>
              <w:jc w:val="center"/>
              <w:rPr>
                <w:rFonts w:ascii="宋体" w:hAnsi="宋体" w:cs="宋体"/>
                <w:color w:val="auto"/>
                <w:szCs w:val="21"/>
                <w:highlight w:val="none"/>
              </w:rPr>
            </w:pPr>
          </w:p>
        </w:tc>
      </w:tr>
      <w:tr w14:paraId="32B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473E0C6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D0F8E73">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1C72616">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自助系统支付与对账</w:t>
            </w:r>
            <w:r>
              <w:rPr>
                <w:rFonts w:hint="eastAsia" w:ascii="宋体" w:hAnsi="宋体" w:cs="宋体"/>
                <w:color w:val="auto"/>
                <w:sz w:val="21"/>
                <w:szCs w:val="21"/>
                <w:highlight w:val="none"/>
                <w:lang w:val="en-US" w:eastAsia="zh-CN"/>
              </w:rPr>
              <w:t>管理</w:t>
            </w:r>
          </w:p>
        </w:tc>
        <w:tc>
          <w:tcPr>
            <w:tcW w:w="828" w:type="dxa"/>
            <w:shd w:val="clear" w:color="auto" w:fill="FEFEFE"/>
            <w:noWrap w:val="0"/>
            <w:vAlign w:val="center"/>
          </w:tcPr>
          <w:p w14:paraId="5827EC61">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755" w:type="dxa"/>
            <w:shd w:val="clear" w:color="auto" w:fill="FEFEFE"/>
            <w:noWrap w:val="0"/>
            <w:vAlign w:val="center"/>
          </w:tcPr>
          <w:p w14:paraId="4FBA42DF">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1612AB6B">
            <w:pPr>
              <w:pageBreakBefore w:val="0"/>
              <w:kinsoku/>
              <w:overflowPunct/>
              <w:autoSpaceDE/>
              <w:autoSpaceDN/>
              <w:bidi w:val="0"/>
              <w:adjustRightInd w:val="0"/>
              <w:snapToGrid w:val="0"/>
              <w:jc w:val="center"/>
              <w:rPr>
                <w:rFonts w:ascii="宋体" w:hAnsi="宋体" w:cs="宋体"/>
                <w:color w:val="auto"/>
                <w:szCs w:val="21"/>
                <w:highlight w:val="none"/>
              </w:rPr>
            </w:pPr>
          </w:p>
        </w:tc>
      </w:tr>
      <w:tr w14:paraId="1891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363" w:type="pct"/>
            <w:vMerge w:val="continue"/>
            <w:shd w:val="clear" w:color="auto" w:fill="FEFEFE"/>
            <w:noWrap w:val="0"/>
            <w:vAlign w:val="center"/>
          </w:tcPr>
          <w:p w14:paraId="73C1230C">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229A322A">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2D240E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掌上医院小程序</w:t>
            </w:r>
          </w:p>
        </w:tc>
        <w:tc>
          <w:tcPr>
            <w:tcW w:w="487" w:type="pct"/>
            <w:shd w:val="clear" w:color="auto" w:fill="FEFEFE"/>
            <w:noWrap w:val="0"/>
            <w:vAlign w:val="center"/>
          </w:tcPr>
          <w:p w14:paraId="11F2737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套</w:t>
            </w:r>
          </w:p>
        </w:tc>
        <w:tc>
          <w:tcPr>
            <w:tcW w:w="444" w:type="pct"/>
            <w:shd w:val="clear" w:color="auto" w:fill="FEFEFE"/>
            <w:noWrap w:val="0"/>
            <w:vAlign w:val="center"/>
          </w:tcPr>
          <w:p w14:paraId="600C74A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1</w:t>
            </w:r>
          </w:p>
        </w:tc>
        <w:tc>
          <w:tcPr>
            <w:tcW w:w="1752" w:type="pct"/>
            <w:shd w:val="clear" w:color="auto" w:fill="FEFEFE"/>
            <w:noWrap w:val="0"/>
            <w:vAlign w:val="center"/>
          </w:tcPr>
          <w:p w14:paraId="55ADB96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含门诊、住院功能以及后台管理系统</w:t>
            </w:r>
          </w:p>
        </w:tc>
      </w:tr>
      <w:tr w14:paraId="1CB6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363" w:type="pct"/>
            <w:shd w:val="clear" w:color="auto" w:fill="FEFEFE"/>
            <w:noWrap w:val="0"/>
            <w:vAlign w:val="center"/>
          </w:tcPr>
          <w:p w14:paraId="3F0AC537">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shd w:val="clear" w:color="auto" w:fill="FEFEFE"/>
            <w:noWrap w:val="0"/>
            <w:vAlign w:val="center"/>
          </w:tcPr>
          <w:p w14:paraId="4B8FC562">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B9DE3D7">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相关的财务系统软件</w:t>
            </w:r>
          </w:p>
        </w:tc>
        <w:tc>
          <w:tcPr>
            <w:tcW w:w="487" w:type="pct"/>
            <w:shd w:val="clear" w:color="auto" w:fill="FEFEFE"/>
            <w:noWrap w:val="0"/>
            <w:vAlign w:val="center"/>
          </w:tcPr>
          <w:p w14:paraId="2F842395">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套</w:t>
            </w:r>
          </w:p>
        </w:tc>
        <w:tc>
          <w:tcPr>
            <w:tcW w:w="444" w:type="pct"/>
            <w:shd w:val="clear" w:color="auto" w:fill="FEFEFE"/>
            <w:noWrap w:val="0"/>
            <w:vAlign w:val="center"/>
          </w:tcPr>
          <w:p w14:paraId="5A536540">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1</w:t>
            </w:r>
          </w:p>
        </w:tc>
        <w:tc>
          <w:tcPr>
            <w:tcW w:w="1752" w:type="pct"/>
            <w:shd w:val="clear" w:color="auto" w:fill="FEFEFE"/>
            <w:noWrap w:val="0"/>
            <w:vAlign w:val="center"/>
          </w:tcPr>
          <w:p w14:paraId="31A48941">
            <w:pPr>
              <w:pageBreakBefore w:val="0"/>
              <w:kinsoku/>
              <w:overflowPunct/>
              <w:autoSpaceDE/>
              <w:autoSpaceDN/>
              <w:bidi w:val="0"/>
              <w:adjustRightInd w:val="0"/>
              <w:snapToGrid w:val="0"/>
              <w:jc w:val="center"/>
              <w:rPr>
                <w:rFonts w:hint="eastAsia"/>
                <w:color w:val="auto"/>
                <w:highlight w:val="none"/>
              </w:rPr>
            </w:pPr>
          </w:p>
        </w:tc>
      </w:tr>
      <w:tr w14:paraId="3185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363" w:type="pct"/>
            <w:shd w:val="clear" w:color="auto" w:fill="FEFEFE"/>
            <w:noWrap w:val="0"/>
            <w:vAlign w:val="center"/>
          </w:tcPr>
          <w:p w14:paraId="009B7F9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66" w:type="pct"/>
            <w:shd w:val="clear" w:color="auto" w:fill="FEFEFE"/>
            <w:noWrap w:val="0"/>
            <w:vAlign w:val="center"/>
          </w:tcPr>
          <w:p w14:paraId="56878CC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耗材</w:t>
            </w:r>
          </w:p>
        </w:tc>
        <w:tc>
          <w:tcPr>
            <w:tcW w:w="1587" w:type="pct"/>
            <w:shd w:val="clear" w:color="auto" w:fill="FEFEFE"/>
            <w:noWrap w:val="0"/>
            <w:vAlign w:val="center"/>
          </w:tcPr>
          <w:p w14:paraId="7C90CC4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配套纸张、耗材</w:t>
            </w:r>
          </w:p>
        </w:tc>
        <w:tc>
          <w:tcPr>
            <w:tcW w:w="487" w:type="pct"/>
            <w:shd w:val="clear" w:color="auto" w:fill="FEFEFE"/>
            <w:noWrap w:val="0"/>
            <w:vAlign w:val="center"/>
          </w:tcPr>
          <w:p w14:paraId="1BC18CB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54B694D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06564F5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硒鼓、墨盒、报告纸、凭条等耗材</w:t>
            </w:r>
          </w:p>
        </w:tc>
      </w:tr>
      <w:tr w14:paraId="2530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restart"/>
            <w:shd w:val="clear" w:color="auto" w:fill="FEFEFE"/>
            <w:noWrap w:val="0"/>
            <w:vAlign w:val="center"/>
          </w:tcPr>
          <w:p w14:paraId="2A2FFBB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66" w:type="pct"/>
            <w:vMerge w:val="restart"/>
            <w:shd w:val="clear" w:color="auto" w:fill="FEFEFE"/>
            <w:noWrap w:val="0"/>
            <w:vAlign w:val="center"/>
          </w:tcPr>
          <w:p w14:paraId="35CE497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服务</w:t>
            </w:r>
          </w:p>
        </w:tc>
        <w:tc>
          <w:tcPr>
            <w:tcW w:w="1587" w:type="pct"/>
            <w:shd w:val="clear" w:color="auto" w:fill="FEFEFE"/>
            <w:noWrap w:val="0"/>
            <w:vAlign w:val="center"/>
          </w:tcPr>
          <w:p w14:paraId="7B0FEC6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487" w:type="pct"/>
            <w:shd w:val="clear" w:color="auto" w:fill="FEFEFE"/>
            <w:noWrap w:val="0"/>
            <w:vAlign w:val="center"/>
          </w:tcPr>
          <w:p w14:paraId="6D1BB16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61327C5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7D569C0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4名现场服务工程师</w:t>
            </w:r>
          </w:p>
        </w:tc>
      </w:tr>
      <w:tr w14:paraId="4AC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20811A06">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410081F">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05C4D2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质保服务</w:t>
            </w:r>
          </w:p>
        </w:tc>
        <w:tc>
          <w:tcPr>
            <w:tcW w:w="487" w:type="pct"/>
            <w:shd w:val="clear" w:color="auto" w:fill="FEFEFE"/>
            <w:noWrap w:val="0"/>
            <w:vAlign w:val="center"/>
          </w:tcPr>
          <w:p w14:paraId="1F4EE68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62DEECC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017B49FF">
            <w:pPr>
              <w:pageBreakBefore w:val="0"/>
              <w:kinsoku/>
              <w:overflowPunct/>
              <w:autoSpaceDE/>
              <w:autoSpaceDN/>
              <w:bidi w:val="0"/>
              <w:adjustRightInd w:val="0"/>
              <w:snapToGrid w:val="0"/>
              <w:jc w:val="center"/>
              <w:rPr>
                <w:rFonts w:ascii="宋体" w:hAnsi="宋体" w:cs="宋体"/>
                <w:color w:val="auto"/>
                <w:szCs w:val="21"/>
                <w:highlight w:val="none"/>
              </w:rPr>
            </w:pPr>
          </w:p>
        </w:tc>
      </w:tr>
      <w:tr w14:paraId="5464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363" w:type="pct"/>
            <w:vMerge w:val="continue"/>
            <w:shd w:val="clear" w:color="auto" w:fill="FEFEFE"/>
            <w:noWrap w:val="0"/>
            <w:vAlign w:val="center"/>
          </w:tcPr>
          <w:p w14:paraId="54A54F5C">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6B62CE7">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4B0C2A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接口对接服务</w:t>
            </w:r>
          </w:p>
        </w:tc>
        <w:tc>
          <w:tcPr>
            <w:tcW w:w="487" w:type="pct"/>
            <w:shd w:val="clear" w:color="auto" w:fill="FEFEFE"/>
            <w:noWrap w:val="0"/>
            <w:vAlign w:val="center"/>
          </w:tcPr>
          <w:p w14:paraId="55B9CF3D">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2047462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7E61CD4D">
            <w:pPr>
              <w:pageBreakBefore w:val="0"/>
              <w:kinsoku/>
              <w:overflowPunct/>
              <w:autoSpaceDE/>
              <w:autoSpaceDN/>
              <w:bidi w:val="0"/>
              <w:adjustRightInd w:val="0"/>
              <w:snapToGrid w:val="0"/>
              <w:jc w:val="center"/>
              <w:rPr>
                <w:rFonts w:ascii="宋体" w:hAnsi="宋体" w:cs="宋体"/>
                <w:color w:val="auto"/>
                <w:szCs w:val="21"/>
                <w:highlight w:val="none"/>
              </w:rPr>
            </w:pPr>
          </w:p>
        </w:tc>
      </w:tr>
    </w:tbl>
    <w:p w14:paraId="12F5769D">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2ED77A55">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硬件</w:t>
      </w:r>
      <w:r>
        <w:rPr>
          <w:rFonts w:hint="eastAsia" w:ascii="宋体" w:hAnsi="宋体" w:eastAsia="宋体" w:cs="宋体"/>
          <w:color w:val="auto"/>
          <w:sz w:val="21"/>
          <w:szCs w:val="21"/>
          <w:highlight w:val="none"/>
        </w:rPr>
        <w:t>设备位置（14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+5备用+</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p w14:paraId="1DF60ECE">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olor w:val="auto"/>
          <w:highlight w:val="none"/>
        </w:rPr>
        <w:t>多功能自助机I</w:t>
      </w:r>
      <w:r>
        <w:rPr>
          <w:rFonts w:hint="eastAsia" w:ascii="宋体" w:hAnsi="宋体" w:eastAsia="宋体" w:cs="宋体"/>
          <w:color w:val="auto"/>
          <w:sz w:val="21"/>
          <w:szCs w:val="21"/>
          <w:highlight w:val="none"/>
        </w:rPr>
        <w:t>（投放地点：门急诊） （</w:t>
      </w:r>
      <w:r>
        <w:rPr>
          <w:rFonts w:hint="eastAsia" w:ascii="宋体" w:hAnsi="宋体" w:cs="宋体"/>
          <w:color w:val="auto"/>
          <w:sz w:val="21"/>
          <w:szCs w:val="21"/>
          <w:highlight w:val="none"/>
          <w:lang w:val="en-US" w:eastAsia="zh-CN"/>
        </w:rPr>
        <w:t>57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备用）</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170DA786">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7A2ACCD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3F44853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D821F3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2EF1D84A">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024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8B94">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12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7F63">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5</w:t>
            </w:r>
          </w:p>
        </w:tc>
      </w:tr>
      <w:tr w14:paraId="482E760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128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门诊1F-A</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786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88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12BB734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6377">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急诊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BE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4D8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4396313E">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0F5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D0B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D6D8">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r>
      <w:tr w14:paraId="454DEF99">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54F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A56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B14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2342136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A428">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门诊4F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EFF0">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434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6EDF73D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FFA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 -1F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940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8587">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571C534F">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19C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1E5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2B7">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r>
      <w:tr w14:paraId="5861CED1">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792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5B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6C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1D8E9602">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F5E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16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504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7380B10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838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美容中心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8680">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18D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7795CE1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8CF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体检中心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ECFC">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D0CC">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1393BC0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5C9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备机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577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C2B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364D98CC">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D87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合计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E94B">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3</w:t>
            </w:r>
            <w:r>
              <w:rPr>
                <w:rFonts w:hint="eastAsia"/>
                <w:color w:val="auto"/>
                <w:highlight w:val="none"/>
                <w:lang w:val="en-US" w:eastAsia="zh-CN"/>
              </w:rPr>
              <w:t>6</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8185">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2</w:t>
            </w:r>
            <w:r>
              <w:rPr>
                <w:rFonts w:hint="eastAsia"/>
                <w:color w:val="auto"/>
                <w:highlight w:val="none"/>
                <w:lang w:val="en-US" w:eastAsia="zh-CN"/>
              </w:rPr>
              <w:t>3</w:t>
            </w:r>
          </w:p>
        </w:tc>
      </w:tr>
    </w:tbl>
    <w:p w14:paraId="7638A05F">
      <w:pPr>
        <w:pStyle w:val="7"/>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393BDD5C">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leftChars="0" w:firstLine="0" w:firstLineChars="0"/>
        <w:textAlignment w:val="auto"/>
        <w:rPr>
          <w:rFonts w:hint="eastAsia"/>
          <w:color w:val="auto"/>
          <w:highlight w:val="none"/>
        </w:rPr>
      </w:pPr>
      <w:r>
        <w:rPr>
          <w:rFonts w:hint="eastAsia" w:ascii="Times New Roman" w:hAnsi="Times New Roman" w:eastAsia="宋体" w:cs="Times New Roman"/>
          <w:color w:val="auto"/>
          <w:sz w:val="21"/>
          <w:szCs w:val="22"/>
          <w:highlight w:val="none"/>
          <w:lang w:val="en-US" w:eastAsia="zh-CN" w:bidi="ar-SA"/>
        </w:rPr>
        <w:t>2.</w:t>
      </w:r>
      <w:r>
        <w:rPr>
          <w:rFonts w:hint="eastAsia"/>
          <w:color w:val="auto"/>
          <w:highlight w:val="none"/>
        </w:rPr>
        <w:t>多功能自助机II</w:t>
      </w:r>
      <w:r>
        <w:rPr>
          <w:rFonts w:hint="eastAsia"/>
          <w:color w:val="auto"/>
          <w:highlight w:val="none"/>
          <w:lang w:eastAsia="zh-CN"/>
        </w:rPr>
        <w:t>（</w:t>
      </w:r>
      <w:r>
        <w:rPr>
          <w:rFonts w:hint="eastAsia" w:ascii="宋体" w:hAnsi="宋体" w:eastAsia="宋体" w:cs="宋体"/>
          <w:color w:val="auto"/>
          <w:sz w:val="21"/>
          <w:szCs w:val="21"/>
          <w:highlight w:val="none"/>
        </w:rPr>
        <w:t>投放地点：门急诊</w:t>
      </w:r>
      <w:r>
        <w:rPr>
          <w:rFonts w:hint="eastAsia"/>
          <w:color w:val="auto"/>
          <w:highlight w:val="none"/>
          <w:lang w:eastAsia="zh-CN"/>
        </w:rPr>
        <w:t>）</w:t>
      </w:r>
      <w:r>
        <w:rPr>
          <w:rFonts w:hint="eastAsia"/>
          <w:color w:val="auto"/>
          <w:highlight w:val="none"/>
          <w:lang w:val="en-US" w:eastAsia="zh-CN"/>
        </w:rPr>
        <w:t>4台</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47B6D211">
        <w:tblPrEx>
          <w:tblCellMar>
            <w:top w:w="0" w:type="dxa"/>
            <w:left w:w="108" w:type="dxa"/>
            <w:bottom w:w="0" w:type="dxa"/>
            <w:right w:w="108" w:type="dxa"/>
          </w:tblCellMar>
        </w:tblPrEx>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2C42251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B69389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2B02E4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506BC08C">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CEA0">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62A0">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2台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1D46">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2台</w:t>
            </w:r>
          </w:p>
        </w:tc>
      </w:tr>
      <w:tr w14:paraId="5AE8083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6D3D">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78F6">
            <w:pPr>
              <w:pageBreakBefore w:val="0"/>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4台</w:t>
            </w:r>
          </w:p>
        </w:tc>
      </w:tr>
    </w:tbl>
    <w:p w14:paraId="63172A25">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eastAsia"/>
          <w:color w:val="auto"/>
          <w:highlight w:val="none"/>
        </w:rPr>
      </w:pPr>
    </w:p>
    <w:p w14:paraId="288DEE80">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.无障碍自助服务终端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2台</w:t>
      </w:r>
      <w:r>
        <w:rPr>
          <w:rFonts w:hint="eastAsia" w:ascii="宋体" w:hAnsi="宋体" w:cs="宋体"/>
          <w:color w:val="auto"/>
          <w:sz w:val="21"/>
          <w:szCs w:val="21"/>
          <w:highlight w:val="none"/>
          <w:lang w:eastAsia="zh-CN"/>
        </w:rPr>
        <w:t>）</w:t>
      </w:r>
    </w:p>
    <w:tbl>
      <w:tblPr>
        <w:tblStyle w:val="45"/>
        <w:tblW w:w="4998" w:type="pct"/>
        <w:tblInd w:w="0" w:type="dxa"/>
        <w:tblLayout w:type="autofit"/>
        <w:tblCellMar>
          <w:top w:w="0" w:type="dxa"/>
          <w:left w:w="108" w:type="dxa"/>
          <w:bottom w:w="0" w:type="dxa"/>
          <w:right w:w="108" w:type="dxa"/>
        </w:tblCellMar>
      </w:tblPr>
      <w:tblGrid>
        <w:gridCol w:w="2839"/>
        <w:gridCol w:w="2839"/>
        <w:gridCol w:w="2841"/>
      </w:tblGrid>
      <w:tr w14:paraId="10D169EF">
        <w:tblPrEx>
          <w:tblCellMar>
            <w:top w:w="0" w:type="dxa"/>
            <w:left w:w="108" w:type="dxa"/>
            <w:bottom w:w="0" w:type="dxa"/>
            <w:right w:w="108" w:type="dxa"/>
          </w:tblCellMar>
        </w:tblPrEx>
        <w:trPr>
          <w:trHeight w:val="329" w:hRule="atLeast"/>
        </w:trPr>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29EC9A38">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39677424">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lang w:val="en-US" w:eastAsia="zh-CN"/>
              </w:rPr>
              <w:t>西区</w:t>
            </w:r>
            <w:r>
              <w:rPr>
                <w:rFonts w:hint="eastAsia"/>
                <w:color w:val="auto"/>
                <w:highlight w:val="none"/>
              </w:rPr>
              <w:t>数量（台）</w:t>
            </w:r>
          </w:p>
        </w:tc>
        <w:tc>
          <w:tcPr>
            <w:tcW w:w="1667"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3F94030B">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东区</w:t>
            </w:r>
            <w:r>
              <w:rPr>
                <w:rFonts w:hint="eastAsia"/>
                <w:color w:val="auto"/>
                <w:highlight w:val="none"/>
              </w:rPr>
              <w:t>数量（台）</w:t>
            </w:r>
          </w:p>
        </w:tc>
      </w:tr>
      <w:tr w14:paraId="43BE0006">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1A1C">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门诊</w:t>
            </w:r>
            <w:r>
              <w:rPr>
                <w:rFonts w:hint="eastAsia"/>
                <w:color w:val="auto"/>
                <w:highlight w:val="none"/>
                <w:lang w:val="en-US" w:eastAsia="zh-CN"/>
              </w:rPr>
              <w:t>大厅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7B5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1</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A489">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1</w:t>
            </w:r>
          </w:p>
        </w:tc>
      </w:tr>
      <w:tr w14:paraId="0EECD86E">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8556">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3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22DF">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2台</w:t>
            </w:r>
          </w:p>
        </w:tc>
      </w:tr>
    </w:tbl>
    <w:p w14:paraId="0594BF58">
      <w:pPr>
        <w:pStyle w:val="7"/>
        <w:pageBreakBefore w:val="0"/>
        <w:shd w:val="clear"/>
        <w:kinsoku/>
        <w:overflowPunct/>
        <w:autoSpaceDE/>
        <w:autoSpaceDN/>
        <w:bidi w:val="0"/>
        <w:adjustRightInd w:val="0"/>
        <w:snapToGrid w:val="0"/>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8664010">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olor w:val="auto"/>
          <w:highlight w:val="none"/>
        </w:rPr>
        <w:t>多功能自助机I</w:t>
      </w:r>
      <w:r>
        <w:rPr>
          <w:rFonts w:hint="eastAsia" w:ascii="宋体" w:hAnsi="宋体" w:eastAsia="宋体" w:cs="宋体"/>
          <w:color w:val="auto"/>
          <w:sz w:val="21"/>
          <w:szCs w:val="21"/>
          <w:highlight w:val="none"/>
        </w:rPr>
        <w:t>（投放地点：门诊打印区）（</w:t>
      </w:r>
      <w:r>
        <w:rPr>
          <w:rFonts w:hint="eastAsia" w:ascii="宋体" w:hAnsi="宋体" w:cs="宋体"/>
          <w:color w:val="auto"/>
          <w:sz w:val="21"/>
          <w:szCs w:val="21"/>
          <w:highlight w:val="none"/>
          <w:lang w:val="en-US" w:eastAsia="zh-CN"/>
        </w:rPr>
        <w:t>8+1</w:t>
      </w:r>
      <w:r>
        <w:rPr>
          <w:rFonts w:hint="eastAsia" w:ascii="宋体" w:hAnsi="宋体" w:eastAsia="宋体" w:cs="宋体"/>
          <w:color w:val="auto"/>
          <w:sz w:val="21"/>
          <w:szCs w:val="21"/>
          <w:highlight w:val="none"/>
        </w:rPr>
        <w:t>备用）</w:t>
      </w:r>
    </w:p>
    <w:tbl>
      <w:tblPr>
        <w:tblStyle w:val="45"/>
        <w:tblW w:w="5007" w:type="pct"/>
        <w:tblInd w:w="0" w:type="dxa"/>
        <w:tblLayout w:type="autofit"/>
        <w:tblCellMar>
          <w:top w:w="0" w:type="dxa"/>
          <w:left w:w="108" w:type="dxa"/>
          <w:bottom w:w="0" w:type="dxa"/>
          <w:right w:w="108" w:type="dxa"/>
        </w:tblCellMar>
      </w:tblPr>
      <w:tblGrid>
        <w:gridCol w:w="3612"/>
        <w:gridCol w:w="4922"/>
      </w:tblGrid>
      <w:tr w14:paraId="36149222">
        <w:tblPrEx>
          <w:tblCellMar>
            <w:top w:w="0" w:type="dxa"/>
            <w:left w:w="108" w:type="dxa"/>
            <w:bottom w:w="0" w:type="dxa"/>
            <w:right w:w="108" w:type="dxa"/>
          </w:tblCellMar>
        </w:tblPrEx>
        <w:trPr>
          <w:trHeight w:val="329" w:hRule="atLeast"/>
        </w:trPr>
        <w:tc>
          <w:tcPr>
            <w:tcW w:w="361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2BF3A748">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2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7557ABB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085DF299">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62E98B4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西区门诊1F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19B1706B">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1373D243">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027B1102">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7ACED9FB">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609A4B77">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3441FBA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20F144E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1</w:t>
            </w:r>
          </w:p>
        </w:tc>
      </w:tr>
      <w:tr w14:paraId="319BE12B">
        <w:tblPrEx>
          <w:tblCellMar>
            <w:top w:w="0" w:type="dxa"/>
            <w:left w:w="108" w:type="dxa"/>
            <w:bottom w:w="0" w:type="dxa"/>
            <w:right w:w="108" w:type="dxa"/>
          </w:tblCellMar>
        </w:tblPrEx>
        <w:trPr>
          <w:trHeight w:val="380"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7A8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37B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7</w:t>
            </w:r>
          </w:p>
        </w:tc>
      </w:tr>
    </w:tbl>
    <w:p w14:paraId="3F504BD6">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p>
    <w:p w14:paraId="27B85C2D">
      <w:pPr>
        <w:pStyle w:val="7"/>
        <w:pageBreakBefore w:val="0"/>
        <w:shd w:val="clear"/>
        <w:kinsoku/>
        <w:overflowPunct/>
        <w:autoSpaceDE/>
        <w:autoSpaceDN/>
        <w:bidi w:val="0"/>
        <w:adjustRightInd w:val="0"/>
        <w:snapToGrid w:val="0"/>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color w:val="auto"/>
          <w:highlight w:val="none"/>
        </w:rPr>
        <w:t>住院多功能自助机I</w:t>
      </w:r>
      <w:r>
        <w:rPr>
          <w:rFonts w:hint="eastAsia" w:ascii="宋体" w:hAnsi="宋体" w:cs="宋体"/>
          <w:color w:val="auto"/>
          <w:sz w:val="21"/>
          <w:szCs w:val="21"/>
          <w:highlight w:val="none"/>
          <w:lang w:val="en-US" w:eastAsia="zh-CN"/>
        </w:rPr>
        <w:t>（投放地点：住院病区）（42+2备用）</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7203DA33">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EB1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79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797A2570">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762468E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42个病区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3CAE6D4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w:t>
            </w:r>
          </w:p>
        </w:tc>
      </w:tr>
      <w:tr w14:paraId="6FBB6CC6">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34D2A66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3FB474E5">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046B58D5">
        <w:tblPrEx>
          <w:tblCellMar>
            <w:top w:w="0" w:type="dxa"/>
            <w:left w:w="108" w:type="dxa"/>
            <w:bottom w:w="0" w:type="dxa"/>
            <w:right w:w="108" w:type="dxa"/>
          </w:tblCellMar>
        </w:tblPrEx>
        <w:trPr>
          <w:trHeight w:val="330"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C7B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1A21">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44</w:t>
            </w:r>
          </w:p>
        </w:tc>
      </w:tr>
    </w:tbl>
    <w:p w14:paraId="4DF84C9D">
      <w:pPr>
        <w:pStyle w:val="7"/>
        <w:pageBreakBefore w:val="0"/>
        <w:shd w:val="clear"/>
        <w:kinsoku/>
        <w:overflowPunct/>
        <w:autoSpaceDE/>
        <w:autoSpaceDN/>
        <w:bidi w:val="0"/>
        <w:adjustRightInd w:val="0"/>
        <w:snapToGrid w:val="0"/>
        <w:rPr>
          <w:rFonts w:hint="default" w:ascii="宋体" w:hAnsi="宋体" w:cs="宋体"/>
          <w:color w:val="auto"/>
          <w:sz w:val="21"/>
          <w:szCs w:val="21"/>
          <w:highlight w:val="none"/>
          <w:lang w:val="en-US" w:eastAsia="zh-CN"/>
        </w:rPr>
      </w:pPr>
    </w:p>
    <w:p w14:paraId="0C4793DB">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eastAsia="zh-CN"/>
        </w:rPr>
      </w:pPr>
      <w:r>
        <w:rPr>
          <w:rFonts w:hint="eastAsia" w:ascii="Times New Roman" w:hAnsi="Times New Roman" w:eastAsia="宋体" w:cs="Times New Roman"/>
          <w:color w:val="auto"/>
          <w:sz w:val="21"/>
          <w:szCs w:val="22"/>
          <w:highlight w:val="none"/>
          <w:lang w:val="en-US" w:eastAsia="zh-CN" w:bidi="ar-SA"/>
        </w:rPr>
        <w:t>5.</w:t>
      </w:r>
      <w:r>
        <w:rPr>
          <w:rFonts w:hint="eastAsia"/>
          <w:color w:val="auto"/>
          <w:highlight w:val="none"/>
        </w:rPr>
        <w:t>住院多功能自助机II</w:t>
      </w:r>
      <w:r>
        <w:rPr>
          <w:rFonts w:hint="eastAsia"/>
          <w:color w:val="auto"/>
          <w:highlight w:val="none"/>
          <w:lang w:eastAsia="zh-CN"/>
        </w:rPr>
        <w:t>（</w:t>
      </w:r>
      <w:r>
        <w:rPr>
          <w:rFonts w:hint="eastAsia"/>
          <w:color w:val="auto"/>
          <w:highlight w:val="none"/>
          <w:lang w:val="en-US" w:eastAsia="zh-CN"/>
        </w:rPr>
        <w:t>投放地点：住院处</w:t>
      </w:r>
      <w:r>
        <w:rPr>
          <w:rFonts w:hint="eastAsia"/>
          <w:color w:val="auto"/>
          <w:highlight w:val="none"/>
          <w:lang w:eastAsia="zh-CN"/>
        </w:rPr>
        <w:t>）（</w:t>
      </w:r>
      <w:r>
        <w:rPr>
          <w:rFonts w:hint="eastAsia"/>
          <w:color w:val="auto"/>
          <w:highlight w:val="none"/>
          <w:lang w:val="en-US" w:eastAsia="zh-CN"/>
        </w:rPr>
        <w:t>8台</w:t>
      </w:r>
      <w:r>
        <w:rPr>
          <w:rFonts w:hint="eastAsia"/>
          <w:color w:val="auto"/>
          <w:highlight w:val="none"/>
          <w:lang w:eastAsia="zh-CN"/>
        </w:rPr>
        <w:t>）</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7519A654">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39A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DEC2">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7A32B8FC">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212">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F62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5</w:t>
            </w:r>
          </w:p>
        </w:tc>
      </w:tr>
      <w:tr w14:paraId="0BF2E15A">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92EE">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60A6">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3</w:t>
            </w:r>
          </w:p>
        </w:tc>
      </w:tr>
      <w:tr w14:paraId="59302E0D">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21A">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E650">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8</w:t>
            </w:r>
          </w:p>
        </w:tc>
      </w:tr>
    </w:tbl>
    <w:p w14:paraId="13E187C5">
      <w:pPr>
        <w:pStyle w:val="7"/>
        <w:pageBreakBefore w:val="0"/>
        <w:numPr>
          <w:ilvl w:val="0"/>
          <w:numId w:val="0"/>
        </w:numPr>
        <w:shd w:val="clear"/>
        <w:kinsoku/>
        <w:overflowPunct/>
        <w:autoSpaceDE/>
        <w:autoSpaceDN/>
        <w:bidi w:val="0"/>
        <w:adjustRightInd w:val="0"/>
        <w:snapToGrid w:val="0"/>
        <w:ind w:leftChars="0"/>
        <w:rPr>
          <w:rFonts w:hint="eastAsia"/>
          <w:color w:val="auto"/>
          <w:highlight w:val="none"/>
          <w:lang w:val="en-US" w:eastAsia="zh-CN"/>
        </w:rPr>
      </w:pPr>
    </w:p>
    <w:p w14:paraId="6B0F907D">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val="en-US" w:eastAsia="zh-CN"/>
        </w:rPr>
      </w:pPr>
      <w:r>
        <w:rPr>
          <w:rFonts w:hint="eastAsia" w:ascii="Times New Roman" w:hAnsi="Times New Roman" w:eastAsia="宋体" w:cs="Times New Roman"/>
          <w:color w:val="auto"/>
          <w:sz w:val="21"/>
          <w:szCs w:val="22"/>
          <w:highlight w:val="none"/>
          <w:lang w:val="en-US" w:eastAsia="zh-CN" w:bidi="ar-SA"/>
        </w:rPr>
        <w:t>6.</w:t>
      </w:r>
      <w:r>
        <w:rPr>
          <w:rFonts w:hint="eastAsia"/>
          <w:color w:val="auto"/>
          <w:highlight w:val="none"/>
          <w:lang w:val="en-US" w:eastAsia="zh-CN"/>
        </w:rPr>
        <w:t>住院多功能自助机Ⅲ（投放地点：住院处）（2台）</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37642DCE">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927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ADB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306306D6">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1F1">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9D35">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4975DC6D">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A1C3">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3558">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0D702695">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288A">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6957">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w:t>
            </w:r>
          </w:p>
        </w:tc>
      </w:tr>
    </w:tbl>
    <w:p w14:paraId="1AB75502">
      <w:pPr>
        <w:pStyle w:val="7"/>
        <w:pageBreakBefore w:val="0"/>
        <w:numPr>
          <w:ilvl w:val="0"/>
          <w:numId w:val="0"/>
        </w:numPr>
        <w:shd w:val="clear"/>
        <w:kinsoku/>
        <w:overflowPunct/>
        <w:autoSpaceDE/>
        <w:autoSpaceDN/>
        <w:bidi w:val="0"/>
        <w:adjustRightInd w:val="0"/>
        <w:snapToGrid w:val="0"/>
        <w:ind w:leftChars="0"/>
        <w:rPr>
          <w:rFonts w:hint="default" w:ascii="微软雅黑" w:hAnsi="微软雅黑" w:eastAsia="微软雅黑" w:cs="微软雅黑"/>
          <w:color w:val="auto"/>
          <w:highlight w:val="none"/>
          <w:lang w:val="en-US" w:eastAsia="zh-CN"/>
        </w:rPr>
      </w:pPr>
    </w:p>
    <w:p w14:paraId="4B7636E9">
      <w:pPr>
        <w:pStyle w:val="7"/>
        <w:pageBreakBefore w:val="0"/>
        <w:numPr>
          <w:ilvl w:val="0"/>
          <w:numId w:val="0"/>
        </w:numPr>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7</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rPr>
        <w:t>其他自助设备（26+</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tbl>
      <w:tblPr>
        <w:tblStyle w:val="45"/>
        <w:tblW w:w="4957" w:type="pct"/>
        <w:tblInd w:w="0" w:type="dxa"/>
        <w:tblLayout w:type="autofit"/>
        <w:tblCellMar>
          <w:top w:w="0" w:type="dxa"/>
          <w:left w:w="108" w:type="dxa"/>
          <w:bottom w:w="0" w:type="dxa"/>
          <w:right w:w="108" w:type="dxa"/>
        </w:tblCellMar>
      </w:tblPr>
      <w:tblGrid>
        <w:gridCol w:w="3038"/>
        <w:gridCol w:w="2689"/>
        <w:gridCol w:w="2722"/>
      </w:tblGrid>
      <w:tr w14:paraId="131AF191">
        <w:tblPrEx>
          <w:tblCellMar>
            <w:top w:w="0" w:type="dxa"/>
            <w:left w:w="108" w:type="dxa"/>
            <w:bottom w:w="0" w:type="dxa"/>
            <w:right w:w="108" w:type="dxa"/>
          </w:tblCellMar>
        </w:tblPrEx>
        <w:trPr>
          <w:trHeight w:val="389" w:hRule="atLeast"/>
        </w:trPr>
        <w:tc>
          <w:tcPr>
            <w:tcW w:w="1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BA1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自助设备</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5E8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位置</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FEA">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数量（台）</w:t>
            </w:r>
          </w:p>
        </w:tc>
      </w:tr>
      <w:tr w14:paraId="6A35D37A">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2FBFA6D8">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移动</w:t>
            </w:r>
            <w:r>
              <w:rPr>
                <w:rFonts w:hint="eastAsia"/>
                <w:color w:val="auto"/>
                <w:highlight w:val="none"/>
              </w:rPr>
              <w:t>结算终端</w:t>
            </w:r>
          </w:p>
          <w:p w14:paraId="69F18E61">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1A649EC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门诊特需服务</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594D6B6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2A20BB88">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47AE003F">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4D14753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门诊诊区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524B1AF">
            <w:pPr>
              <w:pageBreakBefore w:val="0"/>
              <w:shd w:val="clear"/>
              <w:kinsoku/>
              <w:overflowPunct/>
              <w:autoSpaceDE/>
              <w:autoSpaceDN/>
              <w:bidi w:val="0"/>
              <w:adjustRightInd w:val="0"/>
              <w:snapToGrid w:val="0"/>
              <w:rPr>
                <w:rFonts w:ascii="宋体" w:hAnsi="宋体" w:cs="宋体"/>
                <w:color w:val="auto"/>
                <w:szCs w:val="21"/>
                <w:highlight w:val="none"/>
              </w:rPr>
            </w:pPr>
            <w:r>
              <w:rPr>
                <w:color w:val="auto"/>
                <w:highlight w:val="none"/>
              </w:rPr>
              <w:t>10</w:t>
            </w:r>
          </w:p>
        </w:tc>
      </w:tr>
      <w:tr w14:paraId="0B0DEDB3">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3245D36F">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5FEB6FB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东西区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49E066C">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12</w:t>
            </w:r>
          </w:p>
        </w:tc>
      </w:tr>
      <w:tr w14:paraId="64ED9BA8">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53346C5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自助病案打印盖章终端</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6698C91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54A20EA8">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4BF0EAC4">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7B6EDB9A">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自助印章机（投放）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0B80F5A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0633AE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4B33A827">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0020369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自助复印机（投放）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331AED0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门诊1F</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3B6487C3">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7DF099E4">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6D2F0D74">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0ED46F31">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入院处置中心</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7FE88A0">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213D1A4F">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567018E6">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59364FB2">
            <w:pPr>
              <w:pageBreakBefore w:val="0"/>
              <w:kinsoku/>
              <w:overflowPunct/>
              <w:autoSpaceDE/>
              <w:autoSpaceDN/>
              <w:bidi w:val="0"/>
              <w:adjustRightInd w:val="0"/>
              <w:snapToGrid w:val="0"/>
              <w:rPr>
                <w:rFonts w:hint="default" w:eastAsia="宋体"/>
                <w:color w:val="auto"/>
                <w:highlight w:val="none"/>
                <w:lang w:val="en-US" w:eastAsia="zh-CN"/>
              </w:rPr>
            </w:pPr>
            <w:r>
              <w:rPr>
                <w:rFonts w:hint="eastAsia"/>
                <w:color w:val="auto"/>
                <w:highlight w:val="none"/>
                <w:lang w:val="en-US" w:eastAsia="zh-CN"/>
              </w:rPr>
              <w:t>东西区行政楼</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1B60A750">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2</w:t>
            </w:r>
          </w:p>
        </w:tc>
      </w:tr>
    </w:tbl>
    <w:p w14:paraId="1E4284A9">
      <w:pPr>
        <w:rPr>
          <w:color w:val="auto"/>
          <w:highlight w:val="none"/>
        </w:rPr>
      </w:pPr>
    </w:p>
    <w:p w14:paraId="1073ED2F">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5EF9CD9E">
      <w:pPr>
        <w:pStyle w:val="7"/>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（三）硬件设备</w:t>
      </w:r>
      <w:r>
        <w:rPr>
          <w:rFonts w:hint="eastAsia" w:ascii="宋体" w:hAnsi="宋体" w:cs="宋体"/>
          <w:b/>
          <w:bCs/>
          <w:color w:val="auto"/>
          <w:sz w:val="21"/>
          <w:szCs w:val="21"/>
          <w:highlight w:val="none"/>
          <w:lang w:val="en-US" w:eastAsia="zh-CN"/>
        </w:rPr>
        <w:t>技术要求</w:t>
      </w:r>
    </w:p>
    <w:p w14:paraId="1EAD54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提供的设备必须是原装、全新的，型号、性能及指标符合国家及</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文件提出的有关技术、质量、安全标准。</w:t>
      </w:r>
    </w:p>
    <w:tbl>
      <w:tblPr>
        <w:tblStyle w:val="45"/>
        <w:tblW w:w="4998" w:type="pct"/>
        <w:tblInd w:w="0" w:type="dxa"/>
        <w:shd w:val="clear" w:color="auto" w:fill="auto"/>
        <w:tblLayout w:type="fixed"/>
        <w:tblCellMar>
          <w:top w:w="0" w:type="dxa"/>
          <w:left w:w="108" w:type="dxa"/>
          <w:bottom w:w="0" w:type="dxa"/>
          <w:right w:w="108" w:type="dxa"/>
        </w:tblCellMar>
      </w:tblPr>
      <w:tblGrid>
        <w:gridCol w:w="795"/>
        <w:gridCol w:w="881"/>
        <w:gridCol w:w="1361"/>
        <w:gridCol w:w="5482"/>
      </w:tblGrid>
      <w:tr w14:paraId="7CE56F9F">
        <w:tblPrEx>
          <w:tblCellMar>
            <w:top w:w="0" w:type="dxa"/>
            <w:left w:w="108" w:type="dxa"/>
            <w:bottom w:w="0" w:type="dxa"/>
            <w:right w:w="108" w:type="dxa"/>
          </w:tblCellMar>
        </w:tblPrEx>
        <w:trPr>
          <w:trHeight w:val="459" w:hRule="atLeast"/>
          <w:tblHeader/>
        </w:trPr>
        <w:tc>
          <w:tcPr>
            <w:tcW w:w="466" w:type="pct"/>
            <w:tcBorders>
              <w:top w:val="single" w:color="000000" w:sz="4" w:space="0"/>
              <w:left w:val="single" w:color="000000" w:sz="4" w:space="0"/>
              <w:right w:val="single" w:color="000000" w:sz="4" w:space="0"/>
            </w:tcBorders>
            <w:shd w:val="clear" w:color="auto" w:fill="auto"/>
            <w:noWrap w:val="0"/>
            <w:vAlign w:val="center"/>
          </w:tcPr>
          <w:p w14:paraId="0FA255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3187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DDEA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8427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r>
      <w:tr w14:paraId="1CE388AE">
        <w:tblPrEx>
          <w:shd w:val="clear" w:color="auto" w:fill="auto"/>
          <w:tblCellMar>
            <w:top w:w="0" w:type="dxa"/>
            <w:left w:w="108" w:type="dxa"/>
            <w:bottom w:w="0" w:type="dxa"/>
            <w:right w:w="108" w:type="dxa"/>
          </w:tblCellMar>
        </w:tblPrEx>
        <w:trPr>
          <w:trHeight w:val="624" w:hRule="atLeast"/>
        </w:trPr>
        <w:tc>
          <w:tcPr>
            <w:tcW w:w="5000" w:type="pct"/>
            <w:gridSpan w:val="4"/>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8D66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shd w:val="clear" w:color="FFFFFF" w:fill="D9D9D9"/>
              </w:rPr>
            </w:pPr>
            <w:r>
              <w:rPr>
                <w:rFonts w:hint="eastAsia" w:ascii="宋体" w:hAnsi="宋体" w:cs="宋体"/>
                <w:b/>
                <w:bCs/>
                <w:color w:val="auto"/>
                <w:sz w:val="21"/>
                <w:szCs w:val="21"/>
                <w:highlight w:val="none"/>
                <w:shd w:val="clear" w:color="FFFFFF" w:fill="D9D9D9"/>
                <w:lang w:val="en-US" w:eastAsia="zh-CN"/>
              </w:rPr>
              <w:t>硬件产品一：</w:t>
            </w:r>
            <w:r>
              <w:rPr>
                <w:rFonts w:hint="eastAsia" w:ascii="宋体" w:hAnsi="宋体" w:eastAsia="宋体" w:cs="宋体"/>
                <w:b/>
                <w:bCs/>
                <w:color w:val="auto"/>
                <w:sz w:val="21"/>
                <w:szCs w:val="21"/>
                <w:highlight w:val="none"/>
                <w:shd w:val="clear" w:color="FFFFFF" w:fill="D9D9D9"/>
              </w:rPr>
              <w:t>多功能自助机I、住院多功能自助机I</w:t>
            </w:r>
          </w:p>
        </w:tc>
      </w:tr>
      <w:tr w14:paraId="26DA71E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61C46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AE3B93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0E8B208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637D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BC0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5B3D1E17">
        <w:tblPrEx>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76ED5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7D39E1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FAF7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DF0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宽度&lt;720mm；高度&lt;2000mm</w:t>
            </w:r>
          </w:p>
        </w:tc>
      </w:tr>
      <w:tr w14:paraId="06FDBD0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1B50B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0F361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48E1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619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518240EB">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0470C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49F913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637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CFE2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674CDAD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9B803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AC66BC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5EA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2A2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3A0E7B05">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EFE41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ED0D36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9CA9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A87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2E6F2B82">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A8B67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CF51F7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48B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68F4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 SSD固态硬盘</w:t>
            </w:r>
          </w:p>
        </w:tc>
      </w:tr>
      <w:tr w14:paraId="1CD203BC">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0904F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0E586A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2CC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8CA2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02CD7D3B">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EE8BF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4F37B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4541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19F0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43983A31">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418BF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460FB0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7DD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8BB8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2A4D9EE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7E39F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F68AA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6D5E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68DF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7E753E5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6C44E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C0C30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1C05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833C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3123BEA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F1D1F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AE906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B86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7743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0F9DF777">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25275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E95B48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D428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EA21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正版Windows ≥10，提供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33FCD11B">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EFDD0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720EBD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785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89B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130E68F4">
        <w:tblPrEx>
          <w:tblCellMar>
            <w:top w:w="0" w:type="dxa"/>
            <w:left w:w="108" w:type="dxa"/>
            <w:bottom w:w="0" w:type="dxa"/>
            <w:right w:w="108" w:type="dxa"/>
          </w:tblCellMar>
        </w:tblPrEx>
        <w:trPr>
          <w:trHeight w:val="541"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009DC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D47BC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9CF2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608C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p w14:paraId="6CF1934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提供产品彩页</w:t>
            </w:r>
          </w:p>
        </w:tc>
      </w:tr>
      <w:tr w14:paraId="14766026">
        <w:tblPrEx>
          <w:shd w:val="clear" w:color="auto" w:fill="auto"/>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6FE3B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F343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1A2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E0DA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78EA039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95AB0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52E0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3297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819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60C08C9F">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8BDC4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BB372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9C3A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D75D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0C509EE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ED22D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A68F5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18E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7DE1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6FA5861">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DEBB5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EF67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93D4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771D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2D46FAC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85F2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7BA8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B48A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DF3B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7BC1395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1FBE9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321D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C95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31F3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6758D7C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ACF5A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B4E3F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1BB0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333F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6A584DC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ABFB4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1F97F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2A8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52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58776603">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7B98F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36B5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27AE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05D6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6987318D">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B1A91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0CDF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2D94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69C8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45AA78F6">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D2B43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3B880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569B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59BB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2412C48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900A0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92DD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3E07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8BD9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00ED61D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DE7EB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E19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D29F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2D57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1E750BD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842C1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5C83F1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3B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E65C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470C9252">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D92B3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5C98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CB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4597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68D60BD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DBF50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F4752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1F67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EE8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27CC578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76718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5BEE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C66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29CD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42DD8291">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720B2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2F997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DE24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B1B3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469ADD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0759F24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67472B6B">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657068C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3F3C808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328D5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272DCB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7D9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2A89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643655B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4D4F6C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48CE70E1">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4442D34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p w14:paraId="1A882CB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7022FFFC">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36AFC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0B6C7B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F60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659A4">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1122FB7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747B5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3A3222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DCE5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0B47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56A1E3E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721AB47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4B86810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3D4DB05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30B7730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DD393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255F9D1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4B6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6415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4ABDC6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79DBC79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p>
          <w:p w14:paraId="788960C8">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47DB924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46AC2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51DAF63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F0E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1B7E8">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1630946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43E5B7A6">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77A3836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2123311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C8A81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156D92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287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8C99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31B0C7F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彩色FOV：H62.7°V49°，支持支付宝人脸应用</w:t>
            </w:r>
          </w:p>
        </w:tc>
      </w:tr>
      <w:tr w14:paraId="139B12F3">
        <w:tblPrEx>
          <w:shd w:val="clear" w:color="auto" w:fill="auto"/>
          <w:tblCellMar>
            <w:top w:w="0" w:type="dxa"/>
            <w:left w:w="108" w:type="dxa"/>
            <w:bottom w:w="0" w:type="dxa"/>
            <w:right w:w="108" w:type="dxa"/>
          </w:tblCellMar>
        </w:tblPrEx>
        <w:trPr>
          <w:trHeight w:val="2009"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815D6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077027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291F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849F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olor w:val="auto"/>
                <w:highlight w:val="none"/>
              </w:rPr>
              <w:t>医保刷脸支付模块（医保综合业务服务终端）为嵌入式安装，支持支付宝人脸识别功能，提供实体机照片做证明材料，且医保刷脸支付模块取得符合</w:t>
            </w:r>
            <w:r>
              <w:rPr>
                <w:rFonts w:hint="eastAsia"/>
                <w:color w:val="auto"/>
                <w:highlight w:val="none"/>
                <w:lang w:eastAsia="zh-CN"/>
              </w:rPr>
              <w:t>《</w:t>
            </w:r>
            <w:r>
              <w:rPr>
                <w:rFonts w:hint="eastAsia"/>
                <w:color w:val="auto"/>
                <w:highlight w:val="none"/>
              </w:rPr>
              <w:t>医保业务综合服务终端(III类)技术规范》和《医保业务综合服务终端(III类)测试大纲V1.0》检测报告，并提供投标机型第三方测试报告（含CMA标志），且报告中体现投标人</w:t>
            </w:r>
            <w:r>
              <w:rPr>
                <w:rFonts w:hint="eastAsia"/>
                <w:color w:val="auto"/>
                <w:highlight w:val="none"/>
                <w:lang w:val="en-US" w:eastAsia="zh-CN"/>
              </w:rPr>
              <w:t>声明</w:t>
            </w:r>
            <w:r>
              <w:rPr>
                <w:rFonts w:hint="eastAsia"/>
                <w:color w:val="auto"/>
                <w:highlight w:val="none"/>
              </w:rPr>
              <w:t>使用的医保刷脸支付模块（医保综合业务服务终端）型号。</w:t>
            </w:r>
          </w:p>
        </w:tc>
      </w:tr>
      <w:tr w14:paraId="55E93BA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99DB6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0532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BEA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4F1D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6105442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2B916AA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3C6B08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121EF0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386643E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6A134A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20E7B3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58099530">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2952A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694F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F1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D512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0C9B0FC3">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DA5E7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654C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1AA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2A51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3215910E">
        <w:tblPrEx>
          <w:shd w:val="clear" w:color="auto" w:fill="auto"/>
          <w:tblCellMar>
            <w:top w:w="0" w:type="dxa"/>
            <w:left w:w="108" w:type="dxa"/>
            <w:bottom w:w="0" w:type="dxa"/>
            <w:right w:w="108" w:type="dxa"/>
          </w:tblCellMar>
        </w:tblPrEx>
        <w:trPr>
          <w:trHeight w:val="496"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3F868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93EC0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610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E73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2FB081A6">
        <w:tblPrEx>
          <w:tblCellMar>
            <w:top w:w="0" w:type="dxa"/>
            <w:left w:w="108" w:type="dxa"/>
            <w:bottom w:w="0" w:type="dxa"/>
            <w:right w:w="108" w:type="dxa"/>
          </w:tblCellMar>
        </w:tblPrEx>
        <w:trPr>
          <w:trHeight w:val="590" w:hRule="atLeast"/>
        </w:trPr>
        <w:tc>
          <w:tcPr>
            <w:tcW w:w="5000" w:type="pct"/>
            <w:gridSpan w:val="4"/>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6B32A42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硬件产品二：</w:t>
            </w:r>
            <w:r>
              <w:rPr>
                <w:rFonts w:hint="eastAsia" w:ascii="宋体" w:hAnsi="宋体" w:eastAsia="宋体" w:cs="宋体"/>
                <w:b/>
                <w:bCs/>
                <w:color w:val="auto"/>
                <w:sz w:val="21"/>
                <w:szCs w:val="21"/>
                <w:highlight w:val="none"/>
                <w:shd w:val="clear" w:color="FFFFFF" w:fill="D9D9D9"/>
              </w:rPr>
              <w:t>多功能自助机II（配现金模块</w:t>
            </w:r>
            <w:r>
              <w:rPr>
                <w:rFonts w:hint="eastAsia" w:ascii="宋体" w:hAnsi="宋体" w:eastAsia="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lang w:val="en-US" w:eastAsia="zh-CN"/>
              </w:rPr>
              <w:t>银联卡读卡卡具</w:t>
            </w:r>
            <w:r>
              <w:rPr>
                <w:rFonts w:hint="eastAsia" w:ascii="宋体" w:hAnsi="宋体" w:eastAsia="宋体" w:cs="宋体"/>
                <w:b/>
                <w:bCs/>
                <w:color w:val="auto"/>
                <w:sz w:val="21"/>
                <w:szCs w:val="21"/>
                <w:highlight w:val="none"/>
                <w:shd w:val="clear" w:color="FFFFFF" w:fill="D9D9D9"/>
              </w:rPr>
              <w:t>）</w:t>
            </w:r>
          </w:p>
        </w:tc>
      </w:tr>
      <w:tr w14:paraId="4492F6B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ADF2B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C0BE3B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44A33FE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54D2861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6A9D1D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63EB40B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4D5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4218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2C5D1F2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FFEED9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4C8CA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456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2CC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高度&lt;1900mm</w:t>
            </w:r>
          </w:p>
        </w:tc>
      </w:tr>
      <w:tr w14:paraId="706BDBE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93C35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9ED9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300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32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635EC1A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72F5B6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1E5C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312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B236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319EC34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7F559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2C63CC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CF8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DC71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5726644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D9526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3BE6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85C9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4569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4D5C735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1537A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A16C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6D3C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5DA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r>
              <w:rPr>
                <w:rFonts w:hint="eastAsia" w:ascii="宋体" w:hAnsi="宋体" w:eastAsia="宋体" w:cs="宋体"/>
                <w:color w:val="auto"/>
                <w:sz w:val="21"/>
                <w:szCs w:val="21"/>
                <w:highlight w:val="none"/>
                <w:lang w:val="en-US" w:eastAsia="zh-CN"/>
              </w:rPr>
              <w:t xml:space="preserve">G </w:t>
            </w:r>
            <w:r>
              <w:rPr>
                <w:rFonts w:hint="eastAsia" w:ascii="宋体" w:hAnsi="宋体" w:eastAsia="宋体" w:cs="宋体"/>
                <w:color w:val="auto"/>
                <w:sz w:val="21"/>
                <w:szCs w:val="21"/>
                <w:highlight w:val="none"/>
              </w:rPr>
              <w:t>SSD固态硬盘</w:t>
            </w:r>
          </w:p>
        </w:tc>
      </w:tr>
      <w:tr w14:paraId="2657BED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6CAE1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6FF7C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788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A161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023A4C0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9066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28EDF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39F8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736F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7D4EE89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8F8A9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C34F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9BC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8A13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0303003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748A2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3A46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A0F0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47C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158739F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E7B5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62AF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5B5B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0F0D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378DD6B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36D3F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7ECE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8A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1E6B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66B5CC0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79C6E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6D912C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E7EF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6A19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 ≥10，提供采购证明</w:t>
            </w:r>
          </w:p>
        </w:tc>
      </w:tr>
      <w:tr w14:paraId="5CA65F8B">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7A0A7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6D122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B9D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EBBC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0D77573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E7E3E9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630A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E3F5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79C0E">
            <w:pPr>
              <w:keepNext w:val="0"/>
              <w:keepLines w:val="0"/>
              <w:pageBreakBefore w:val="0"/>
              <w:shd w:val="clear" w:color="auto"/>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rPr>
              <w:t>提供工控主机（微型电脑）</w:t>
            </w:r>
            <w:r>
              <w:rPr>
                <w:rFonts w:hint="eastAsia" w:ascii="宋体" w:hAnsi="宋体" w:eastAsia="宋体" w:cs="宋体"/>
                <w:b/>
                <w:bCs/>
                <w:color w:val="auto"/>
                <w:sz w:val="21"/>
                <w:szCs w:val="21"/>
                <w:highlight w:val="green"/>
                <w:shd w:val="clear"/>
              </w:rPr>
              <w:t>或相应多功能自助机整机</w:t>
            </w:r>
            <w:r>
              <w:rPr>
                <w:rFonts w:hint="eastAsia" w:ascii="宋体" w:hAnsi="宋体" w:eastAsia="宋体" w:cs="宋体"/>
                <w:color w:val="auto"/>
                <w:sz w:val="21"/>
                <w:szCs w:val="21"/>
                <w:highlight w:val="none"/>
                <w:shd w:val="clear"/>
              </w:rPr>
              <w:t>3C认证书，并提供投标机型第三方检测报告（含CMA标志），且报告标注投标人声明的工控主机型号</w:t>
            </w:r>
          </w:p>
        </w:tc>
      </w:tr>
      <w:tr w14:paraId="7BCFB697">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C30E05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B843B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CC8C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30CB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582C8ED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FF863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5023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1A77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DE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≥30"投射式防爆电容屏；防尘、防暴、防刮擦；</w:t>
            </w:r>
          </w:p>
        </w:tc>
      </w:tr>
      <w:tr w14:paraId="0C0C6A2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9FBD1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81E13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192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CDBD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66C116C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C87BC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7256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F88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9580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A2289EA">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EAD76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11894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015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AA8B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791551F5">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75803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5794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8EA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679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50D3709B">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D1388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E18B9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364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A48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20E3095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5003A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BEEB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3695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56E6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39D7B53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C8FC9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EF3F6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C220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DE5E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141D93B9">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5AB20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02859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D313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25F2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0D6F0BF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02E03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0020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7361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社保卡</w:t>
            </w:r>
            <w:r>
              <w:rPr>
                <w:rFonts w:hint="eastAsia" w:ascii="宋体" w:hAnsi="宋体" w:eastAsia="宋体" w:cs="宋体"/>
                <w:color w:val="auto"/>
                <w:sz w:val="21"/>
                <w:szCs w:val="21"/>
                <w:highlight w:val="none"/>
                <w:lang w:val="en-US" w:eastAsia="zh-CN"/>
              </w:rPr>
              <w:t>读卡器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EAB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5AD22AD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5EAE5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452B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760C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银联卡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8D4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支持银联卡识读，符合标准PBOC3.0L1标准</w:t>
            </w:r>
          </w:p>
        </w:tc>
      </w:tr>
      <w:tr w14:paraId="4DA316C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1100F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3FEC1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29D7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9DC6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6F44B35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4CD89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49158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密码键盘</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E286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17C3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优质不锈钢材料，10个数字按键、6个功能按键，按键寿命≥200万次</w:t>
            </w:r>
          </w:p>
        </w:tc>
      </w:tr>
      <w:tr w14:paraId="176532A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A786D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E2E8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FE6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加密算法</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E79C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支持sm2，sm3，sm4算法</w:t>
            </w:r>
          </w:p>
        </w:tc>
      </w:tr>
      <w:tr w14:paraId="13ADEC5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D0A2C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47E79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C655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F028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支持RS-232、PS/2、USB2.0接口</w:t>
            </w:r>
          </w:p>
        </w:tc>
      </w:tr>
      <w:tr w14:paraId="2B477B2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2DFF86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8C9E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9B4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安全保护</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B52A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键面防水、防尘、防暴、防钻、防拆、防泄漏、防监听、防置换，具备密钥、程序、敏感数据拆封自毁功能，支持系统键盘功能</w:t>
            </w:r>
          </w:p>
        </w:tc>
      </w:tr>
      <w:tr w14:paraId="2961B3B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BAD1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080E4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5E0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1FB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国银联支付终端安全技术规范Q/CUP007》标准取得《中国银联支付终端设备安全认证证书》、符合GM/T0028-2014《密码模块安全技术要求》GM/T0039-2015《密码模块安全检测要求》安全等级第二级要求取得《商用密码产品型号证书》</w:t>
            </w:r>
          </w:p>
        </w:tc>
      </w:tr>
      <w:tr w14:paraId="091FFB5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40570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9211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C81B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2CCE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7C8DDE7A">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A3DB1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5A0A0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97B1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9BC7">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53EFF09D">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0D692F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0FA7A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1F7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7E23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658AFEA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98E13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DDDD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C75A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237D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51FA3BD4">
        <w:tblPrEx>
          <w:shd w:val="clear" w:color="auto" w:fill="auto"/>
          <w:tblCellMar>
            <w:top w:w="0" w:type="dxa"/>
            <w:left w:w="108" w:type="dxa"/>
            <w:bottom w:w="0" w:type="dxa"/>
            <w:right w:w="108" w:type="dxa"/>
          </w:tblCellMar>
        </w:tblPrEx>
        <w:trPr>
          <w:trHeight w:val="275"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E8398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394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3E3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DC54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78C2A07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E9FE5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16F0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008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3DE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2D0128A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A9B4E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9683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6803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4860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5E334FB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EF5BA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9991AD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w:t>
            </w:r>
          </w:p>
          <w:p w14:paraId="53C142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843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EAF8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253054D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1718EED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0FB569AC">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3D19A94D">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7390CDD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F807B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28ABA0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DFC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E3AE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567EAAD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091B20C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6C5A6235">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27BA337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0709F84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64CB35ED">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53404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B3406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B33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06C0">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7872AFC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B797F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0339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A20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0FFD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8寸</w:t>
            </w:r>
            <w:r>
              <w:rPr>
                <w:rFonts w:hint="eastAsia" w:ascii="宋体" w:hAnsi="宋体" w:eastAsia="宋体" w:cs="宋体"/>
                <w:color w:val="auto"/>
                <w:sz w:val="21"/>
                <w:szCs w:val="21"/>
                <w:highlight w:val="none"/>
                <w:lang w:eastAsia="zh-CN"/>
              </w:rPr>
              <w:t>；</w:t>
            </w:r>
          </w:p>
          <w:p w14:paraId="6075C77F">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1280*800</w:t>
            </w:r>
          </w:p>
        </w:tc>
      </w:tr>
      <w:tr w14:paraId="472371E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64BEF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31DC8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7C2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7F7A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73DA15E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31189C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325840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5DC7B3BC">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45CA5AD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1DBBE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F47C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6538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1017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78EF8E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21C69BE3">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0BD36D09">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556E2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5130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F39F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23E7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7361BBA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25E576C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0E4952FB">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识读景深：0mm-100mm</w:t>
            </w:r>
            <w:r>
              <w:rPr>
                <w:rFonts w:hint="eastAsia" w:ascii="宋体" w:hAnsi="宋体" w:eastAsia="宋体" w:cs="宋体"/>
                <w:color w:val="auto"/>
                <w:sz w:val="21"/>
                <w:szCs w:val="21"/>
                <w:highlight w:val="none"/>
                <w:lang w:eastAsia="zh-CN"/>
              </w:rPr>
              <w:t>；</w:t>
            </w:r>
          </w:p>
        </w:tc>
      </w:tr>
      <w:tr w14:paraId="4289D44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845CA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2B54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8E7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CA577">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7D021DDC">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2C4B4ACA">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DEE84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B74F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D85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134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690CB207">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1889A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B229B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F86D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9ABD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50F89B6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65C648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75E4D71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5D43F9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3772A36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5694809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52B84EC1">
            <w:pPr>
              <w:keepNext w:val="0"/>
              <w:keepLines w:val="0"/>
              <w:pageBreakBefore w:val="0"/>
              <w:kinsoku/>
              <w:wordWrap/>
              <w:overflowPunct/>
              <w:topLinePunct w:val="0"/>
              <w:autoSpaceDE/>
              <w:autoSpaceDN/>
              <w:bidi w:val="0"/>
              <w:adjustRightInd w:val="0"/>
              <w:snapToGrid w:val="0"/>
              <w:spacing w:line="360" w:lineRule="exact"/>
              <w:ind w:left="0"/>
              <w:rPr>
                <w:rFonts w:hint="eastAsia"/>
                <w:color w:val="auto"/>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120EE42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85F55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66954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现金模块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E00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鉴别纸币宽度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5900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62-78mm，多宽度</w:t>
            </w:r>
          </w:p>
        </w:tc>
      </w:tr>
      <w:tr w14:paraId="1D924B7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48829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F8D4A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6E90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纸币方向</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257D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四向</w:t>
            </w:r>
          </w:p>
        </w:tc>
      </w:tr>
      <w:tr w14:paraId="3879EE2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8AB6C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D8540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09A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189A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r>
      <w:tr w14:paraId="31FCBE7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E302F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566C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74EA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纸币暂存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213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一张</w:t>
            </w:r>
          </w:p>
        </w:tc>
      </w:tr>
      <w:tr w14:paraId="628D612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B2190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9FA5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BE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4F6E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自动校准的多光谱介质传感器；安全传感器：交叉通道防抽纸</w:t>
            </w:r>
          </w:p>
        </w:tc>
      </w:tr>
      <w:tr w14:paraId="79C29E7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1F6B4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B3870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FAAB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76A9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CCnet、串口（TTL或RS232）、MDB、脉冲</w:t>
            </w:r>
          </w:p>
        </w:tc>
      </w:tr>
      <w:tr w14:paraId="3C894BF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B46CC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CC5C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40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操作电压</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94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12V或24V</w:t>
            </w:r>
          </w:p>
        </w:tc>
      </w:tr>
      <w:tr w14:paraId="17A26E4B">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92BF5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BC35A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6323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钞箱容量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0603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≥1000张</w:t>
            </w:r>
          </w:p>
        </w:tc>
      </w:tr>
      <w:tr w14:paraId="1443D963">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567CC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9B23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270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1912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≥2个客户锁</w:t>
            </w:r>
          </w:p>
        </w:tc>
      </w:tr>
      <w:tr w14:paraId="5202542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03593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8F50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5C1D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硬盘录像机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D6D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四路硬盘录像机（≥1T硬盘）+2路针孔摄像头</w:t>
            </w:r>
          </w:p>
        </w:tc>
      </w:tr>
      <w:tr w14:paraId="76D7E78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B7E5D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B66F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84A4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6063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49C9175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7138F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B2D4A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B5A7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F49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1A59A09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E7C83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BFDC8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934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3681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2CD3FD03">
        <w:tblPrEx>
          <w:shd w:val="clear" w:color="auto" w:fill="auto"/>
          <w:tblCellMar>
            <w:top w:w="0" w:type="dxa"/>
            <w:left w:w="108" w:type="dxa"/>
            <w:bottom w:w="0" w:type="dxa"/>
            <w:right w:w="108" w:type="dxa"/>
          </w:tblCellMar>
        </w:tblPrEx>
        <w:trPr>
          <w:trHeight w:val="402"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6F16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shd w:val="clear" w:color="FFFFFF" w:fill="D9D9D9"/>
                <w:lang w:val="en-US" w:eastAsia="zh-CN"/>
              </w:rPr>
              <w:t>硬件产品三：</w:t>
            </w:r>
            <w:r>
              <w:rPr>
                <w:rFonts w:hint="eastAsia" w:ascii="宋体" w:hAnsi="宋体" w:eastAsia="宋体" w:cs="宋体"/>
                <w:b/>
                <w:bCs/>
                <w:color w:val="auto"/>
                <w:sz w:val="21"/>
                <w:szCs w:val="21"/>
                <w:highlight w:val="none"/>
                <w:shd w:val="clear" w:color="FFFFFF" w:fill="D9D9D9"/>
                <w:lang w:val="en-US" w:eastAsia="zh-CN"/>
              </w:rPr>
              <w:t>无障碍门诊自助服务终端</w:t>
            </w:r>
          </w:p>
        </w:tc>
      </w:tr>
      <w:tr w14:paraId="7852D70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97367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E89C5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外观</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0502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机柜含喷油丝印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A94C8B">
            <w:pPr>
              <w:keepNext w:val="0"/>
              <w:keepLines w:val="0"/>
              <w:pageBreakBefore w:val="0"/>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整体设计符合轮椅患者使用高度，操作台面到地面垂直高度不超过850mm，操作界面具备盲文指引，</w:t>
            </w:r>
            <w:r>
              <w:rPr>
                <w:rFonts w:hint="eastAsia" w:ascii="宋体" w:hAnsi="宋体" w:eastAsia="宋体" w:cs="宋体"/>
                <w:i w:val="0"/>
                <w:iCs w:val="0"/>
                <w:color w:val="auto"/>
                <w:sz w:val="21"/>
                <w:szCs w:val="21"/>
                <w:highlight w:val="none"/>
                <w:u w:val="none"/>
                <w:lang w:val="en-US" w:eastAsia="zh-CN"/>
              </w:rPr>
              <w:t>可定制外观配色与LOGO（纯色LOGO)，</w:t>
            </w:r>
            <w:r>
              <w:rPr>
                <w:rStyle w:val="328"/>
                <w:rFonts w:hint="eastAsia" w:ascii="宋体" w:hAnsi="宋体" w:eastAsia="宋体" w:cs="宋体"/>
                <w:color w:val="auto"/>
                <w:sz w:val="21"/>
                <w:szCs w:val="21"/>
                <w:highlight w:val="none"/>
                <w:lang w:val="en-US" w:eastAsia="zh-CN" w:bidi="ar"/>
              </w:rPr>
              <w:t>提供过往实际案例部署照片</w:t>
            </w:r>
          </w:p>
        </w:tc>
      </w:tr>
      <w:tr w14:paraId="6548CDC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D24C8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27315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主机模块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E9E28">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工控主机/电源</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8BC05">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内存≥8GB DDR4；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处理器：</w:t>
            </w: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硬盘≥500GB SSD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正版Windows≥10，提供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5EB754AA">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25D06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11BD48">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显示模块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E00A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32寸曲面屏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4F36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触摸类型: 十点电容屏 G+G 触摸屏</w:t>
            </w:r>
          </w:p>
          <w:p w14:paraId="6A2564B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透光率 :≥85%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面板尺寸：≥32 inch </w:t>
            </w:r>
          </w:p>
          <w:p w14:paraId="63C9CE9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分辨率：≥1920*1080 </w:t>
            </w:r>
          </w:p>
          <w:p w14:paraId="585DC6F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面板亮度：液晶屏≥400cd/m²（Typ.）</w:t>
            </w:r>
          </w:p>
          <w:p w14:paraId="4138A15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曲率：≥ R=1800 </w:t>
            </w:r>
          </w:p>
          <w:p w14:paraId="4C8C478D">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刷新率：≥60Hz </w:t>
            </w:r>
          </w:p>
          <w:p w14:paraId="01A64BD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对比度：≥4000:1 </w:t>
            </w:r>
          </w:p>
        </w:tc>
      </w:tr>
      <w:tr w14:paraId="56BF6A2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82C62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2D8CE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E3C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社保卡读卡器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3E4D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207DF5F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A2F8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58A1A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EE0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A93A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识读模式：CMOS；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识读码值：GM,MICRI QR,MICRO PDF417,QR CODE,DATA MATRIX,CHINESE-SENSIBLE CODE,ETC.,CODE 128,EAN-13,EAN-8,CODE39,CODE93,UPC-A,ETC.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识读精度：≥10mil；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识读景深：0mm-100mm；蜂鸣器提示；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支持电子居民健康卡二维码读取。</w:t>
            </w:r>
          </w:p>
        </w:tc>
      </w:tr>
      <w:tr w14:paraId="0743AE05">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CBC82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7CEDDA">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F685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F405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符合公安部《GA450-2013台式居民身份证阅读器通用技术要求》,支持外国人永久居留证</w:t>
            </w:r>
          </w:p>
          <w:p w14:paraId="2285598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阅读距离：0-3cm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读卡速度：&lt;1s</w:t>
            </w:r>
          </w:p>
        </w:tc>
      </w:tr>
      <w:tr w14:paraId="1B30050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D663D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E6C83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打印模块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EA7E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凭 条 打 印 机</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（80mm）</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218E5">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打印方式：行式热敏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打印速度：≥150mm/s（Max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纸宽：79.5±0.5mm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有效打印宽度：72mm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纸处理方式：自动切纸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纸仓宽度：≥ 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防堵功能：支持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蜂鸣器：支持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面板热敏打印机，正面开盖维护换纸，定制专属透明盖子，不开盖可查看纸张余量。</w:t>
            </w:r>
          </w:p>
        </w:tc>
      </w:tr>
      <w:tr w14:paraId="2C85712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FB23EA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6F752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打印模块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cs="宋体"/>
                <w:color w:val="auto"/>
                <w:sz w:val="21"/>
                <w:szCs w:val="21"/>
                <w:highlight w:val="green"/>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74E1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46AC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打印速度：最高每分钟≥38页高速打印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月打印负荷≥ 50000页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打印分辨率≥ 600X600dpi物理分辨率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首页打印时间 ≦7.2秒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进纸盒容量 标配纸盒：≥250页，选配：≥500页纸盒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介质类型：普通纸，薄纸，厚纸，加厚纸，再生纸，铜版纸，标签纸，信封，薄信封纸，厚信封纸</w:t>
            </w:r>
          </w:p>
          <w:p w14:paraId="47977E7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green"/>
              </w:rPr>
              <w:t>支持</w:t>
            </w:r>
            <w:r>
              <w:rPr>
                <w:rFonts w:hint="eastAsia" w:ascii="宋体" w:hAnsi="宋体" w:eastAsia="宋体" w:cs="宋体"/>
                <w:color w:val="auto"/>
                <w:sz w:val="21"/>
                <w:szCs w:val="21"/>
                <w:highlight w:val="green"/>
                <w:lang w:val="en-US" w:eastAsia="zh-CN"/>
              </w:rPr>
              <w:t>国产操作系统</w:t>
            </w:r>
          </w:p>
        </w:tc>
      </w:tr>
      <w:tr w14:paraId="381172E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3C8B83">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7AFED3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Style w:val="318"/>
                <w:rFonts w:hint="eastAsia" w:ascii="宋体" w:hAnsi="宋体" w:eastAsia="宋体" w:cs="宋体"/>
                <w:color w:val="auto"/>
                <w:sz w:val="21"/>
                <w:szCs w:val="21"/>
                <w:highlight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74A96">
            <w:pPr>
              <w:keepNext w:val="0"/>
              <w:keepLines w:val="0"/>
              <w:pageBreakBefore w:val="0"/>
              <w:kinsoku/>
              <w:wordWrap/>
              <w:overflowPunct/>
              <w:topLinePunct w:val="0"/>
              <w:autoSpaceDE/>
              <w:autoSpaceDN/>
              <w:bidi w:val="0"/>
              <w:adjustRightInd w:val="0"/>
              <w:snapToGrid w:val="0"/>
              <w:spacing w:line="360" w:lineRule="exact"/>
              <w:ind w:left="0"/>
              <w:jc w:val="center"/>
              <w:rPr>
                <w:rStyle w:val="318"/>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0363C">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打印速度：≥25ppm；</w:t>
            </w:r>
          </w:p>
          <w:p w14:paraId="2FCD8643">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首页打印时间：≤8s；</w:t>
            </w:r>
          </w:p>
          <w:p w14:paraId="7547E25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分辨率：≥600×1200dpi；</w:t>
            </w:r>
          </w:p>
          <w:p w14:paraId="27D4DF1C">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标准纸盒装纸容量：≥</w:t>
            </w:r>
            <w:r>
              <w:rPr>
                <w:rFonts w:hint="eastAsia" w:ascii="宋体" w:hAnsi="宋体" w:eastAsia="宋体" w:cs="宋体"/>
                <w:i w:val="0"/>
                <w:iCs w:val="0"/>
                <w:color w:val="auto"/>
                <w:sz w:val="21"/>
                <w:szCs w:val="21"/>
                <w:highlight w:val="none"/>
                <w:u w:val="none"/>
                <w:lang w:val="en-US" w:eastAsia="zh-CN"/>
              </w:rPr>
              <w:fldChar w:fldCharType="begin"/>
            </w:r>
            <w:r>
              <w:rPr>
                <w:rFonts w:hint="eastAsia" w:ascii="宋体" w:hAnsi="宋体" w:eastAsia="宋体" w:cs="宋体"/>
                <w:i w:val="0"/>
                <w:iCs w:val="0"/>
                <w:color w:val="auto"/>
                <w:sz w:val="21"/>
                <w:szCs w:val="21"/>
                <w:highlight w:val="none"/>
                <w:u w:val="none"/>
                <w:lang w:val="en-US" w:eastAsia="zh-CN"/>
              </w:rPr>
              <w:instrText xml:space="preserve"> HYPERLINK "mailto:≥0.1LUX@F1.2；" </w:instrText>
            </w:r>
            <w:r>
              <w:rPr>
                <w:rFonts w:hint="eastAsia" w:ascii="宋体" w:hAnsi="宋体" w:eastAsia="宋体" w:cs="宋体"/>
                <w:i w:val="0"/>
                <w:iCs w:val="0"/>
                <w:color w:val="auto"/>
                <w:sz w:val="21"/>
                <w:szCs w:val="21"/>
                <w:highlight w:val="none"/>
                <w:u w:val="none"/>
                <w:lang w:val="en-US" w:eastAsia="zh-CN"/>
              </w:rPr>
              <w:fldChar w:fldCharType="separate"/>
            </w:r>
            <w:r>
              <w:rPr>
                <w:rFonts w:hint="eastAsia" w:ascii="宋体" w:hAnsi="宋体" w:eastAsia="宋体" w:cs="宋体"/>
                <w:i w:val="0"/>
                <w:iCs w:val="0"/>
                <w:color w:val="auto"/>
                <w:sz w:val="21"/>
                <w:szCs w:val="21"/>
                <w:highlight w:val="none"/>
                <w:u w:val="none"/>
                <w:lang w:val="en-US" w:eastAsia="zh-CN"/>
              </w:rPr>
              <w:t>250页；</w:t>
            </w:r>
            <w:r>
              <w:rPr>
                <w:rFonts w:hint="eastAsia" w:ascii="宋体" w:hAnsi="宋体" w:eastAsia="宋体" w:cs="宋体"/>
                <w:i w:val="0"/>
                <w:iCs w:val="0"/>
                <w:color w:val="auto"/>
                <w:sz w:val="21"/>
                <w:szCs w:val="21"/>
                <w:highlight w:val="none"/>
                <w:u w:val="none"/>
                <w:lang w:val="en-US" w:eastAsia="zh-CN"/>
              </w:rPr>
              <w:fldChar w:fldCharType="end"/>
            </w:r>
          </w:p>
          <w:p w14:paraId="48F8337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可扩展装纸容量：≥500页；支持windows、麒麟、统信</w:t>
            </w:r>
          </w:p>
          <w:p w14:paraId="03225CA2">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color w:val="auto"/>
                <w:highlight w:val="none"/>
                <w:lang w:val="en-US" w:eastAsia="zh-CN"/>
              </w:rPr>
            </w:pPr>
            <w:r>
              <w:rPr>
                <w:rFonts w:hint="eastAsia" w:ascii="宋体" w:hAnsi="宋体" w:eastAsia="宋体" w:cs="宋体"/>
                <w:i w:val="0"/>
                <w:iCs w:val="0"/>
                <w:color w:val="auto"/>
                <w:sz w:val="21"/>
                <w:szCs w:val="21"/>
                <w:highlight w:val="none"/>
                <w:u w:val="none"/>
                <w:lang w:val="en-US" w:eastAsia="zh-CN"/>
              </w:rPr>
              <w:t>电源：AC220-240V，50/60Hz；USB和RJ46以太网通讯接口。</w:t>
            </w:r>
          </w:p>
        </w:tc>
      </w:tr>
      <w:tr w14:paraId="2A7DBC3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0EFF4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E408E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0C20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E0FC0">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人体靠近感应器</w:t>
            </w:r>
          </w:p>
        </w:tc>
      </w:tr>
      <w:tr w14:paraId="2AD3A5C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FFD1F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20BB6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话筒</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725A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自动收线电话机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94DBE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top"/>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1.</w:t>
            </w:r>
            <w:r>
              <w:rPr>
                <w:rStyle w:val="313"/>
                <w:rFonts w:hint="eastAsia" w:ascii="宋体" w:hAnsi="宋体" w:eastAsia="宋体" w:cs="宋体"/>
                <w:color w:val="auto"/>
                <w:sz w:val="21"/>
                <w:szCs w:val="21"/>
                <w:highlight w:val="none"/>
                <w:lang w:val="en-US" w:eastAsia="zh-CN" w:bidi="ar"/>
              </w:rPr>
              <w:t>核心功能：自动拨号功能，线缆卡位锁止，自动回收功能等；</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2.</w:t>
            </w:r>
            <w:r>
              <w:rPr>
                <w:rStyle w:val="313"/>
                <w:rFonts w:hint="eastAsia" w:ascii="宋体" w:hAnsi="宋体" w:eastAsia="宋体" w:cs="宋体"/>
                <w:color w:val="auto"/>
                <w:sz w:val="21"/>
                <w:szCs w:val="21"/>
                <w:highlight w:val="none"/>
                <w:lang w:val="en-US" w:eastAsia="zh-CN" w:bidi="ar"/>
              </w:rPr>
              <w:t>防爆功能：使用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材料及钣金结构，机器本身防爆碎，设备内没有漏电打火装置，使用该机器在易燃气体中通话防爆；</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防暴功能：产品外部结构采用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材料，话筒连接线使用不锈钢耐拉线管包裹，接头处结构卡死，具有防止拉扯、暴利破坏功能；</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4.</w:t>
            </w:r>
            <w:r>
              <w:rPr>
                <w:rStyle w:val="313"/>
                <w:rFonts w:hint="eastAsia" w:ascii="宋体" w:hAnsi="宋体" w:eastAsia="宋体" w:cs="宋体"/>
                <w:color w:val="auto"/>
                <w:sz w:val="21"/>
                <w:szCs w:val="21"/>
                <w:highlight w:val="none"/>
                <w:lang w:val="en-US" w:eastAsia="zh-CN" w:bidi="ar"/>
              </w:rPr>
              <w:t>自动收线功能：使用后连接线自动回卷，便于设备整体外形设计，且安全性高；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5.</w:t>
            </w:r>
            <w:r>
              <w:rPr>
                <w:rStyle w:val="313"/>
                <w:rFonts w:hint="eastAsia" w:ascii="宋体" w:hAnsi="宋体" w:eastAsia="宋体" w:cs="宋体"/>
                <w:color w:val="auto"/>
                <w:sz w:val="21"/>
                <w:szCs w:val="21"/>
                <w:highlight w:val="none"/>
                <w:lang w:val="en-US" w:eastAsia="zh-CN" w:bidi="ar"/>
              </w:rPr>
              <w:t>自动拨号功能：</w:t>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秒内不拨号，自动拨打预设号码（号码可依照客户要求更），挂断电话后，电话可感应自动挂断，同时自动锁键盘，同时可通过设定显示通话时间；</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6.</w:t>
            </w:r>
            <w:r>
              <w:rPr>
                <w:rStyle w:val="313"/>
                <w:rFonts w:hint="eastAsia" w:ascii="宋体" w:hAnsi="宋体" w:eastAsia="宋体" w:cs="宋体"/>
                <w:color w:val="auto"/>
                <w:sz w:val="21"/>
                <w:szCs w:val="21"/>
                <w:highlight w:val="none"/>
                <w:lang w:val="en-US" w:eastAsia="zh-CN" w:bidi="ar"/>
              </w:rPr>
              <w:t>锁止功能（可选择取消）：具有多段位锁止功能，听筒拉出后，可在不同长度锁止，不会马上回收，用户使用时不会有拉扯感，使用后拉出一段即可正常回卷；</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7.</w:t>
            </w:r>
            <w:r>
              <w:rPr>
                <w:rStyle w:val="313"/>
                <w:rFonts w:hint="eastAsia" w:ascii="宋体" w:hAnsi="宋体" w:eastAsia="宋体" w:cs="宋体"/>
                <w:color w:val="auto"/>
                <w:sz w:val="21"/>
                <w:szCs w:val="21"/>
                <w:highlight w:val="none"/>
                <w:lang w:val="en-US" w:eastAsia="zh-CN" w:bidi="ar"/>
              </w:rPr>
              <w:t>挂断感应功能：听筒归位后有信号反馈，实现感应挂断，不需要一般电话机的挂断键，同时可满足挂机后自动锁键盘；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8.</w:t>
            </w:r>
            <w:r>
              <w:rPr>
                <w:rStyle w:val="313"/>
                <w:rFonts w:hint="eastAsia" w:ascii="宋体" w:hAnsi="宋体" w:eastAsia="宋体" w:cs="宋体"/>
                <w:color w:val="auto"/>
                <w:sz w:val="21"/>
                <w:szCs w:val="21"/>
                <w:highlight w:val="none"/>
                <w:lang w:val="en-US" w:eastAsia="zh-CN" w:bidi="ar"/>
              </w:rPr>
              <w:t>引导归位功能：话筒与基座存在磁力联系，连接线回卷后话筒会自动归位，合适的磁力，且仅达到引导归位要求，不会增加用户拿起后阻力；</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9.</w:t>
            </w:r>
            <w:r>
              <w:rPr>
                <w:rStyle w:val="313"/>
                <w:rFonts w:hint="eastAsia" w:ascii="宋体" w:hAnsi="宋体" w:eastAsia="宋体" w:cs="宋体"/>
                <w:color w:val="auto"/>
                <w:sz w:val="21"/>
                <w:szCs w:val="21"/>
                <w:highlight w:val="none"/>
                <w:lang w:val="en-US" w:eastAsia="zh-CN" w:bidi="ar"/>
              </w:rPr>
              <w:t>防水功能：听筒具有一定防水能力，将听筒组分别在垂直方向，双侧面</w:t>
            </w:r>
            <w:r>
              <w:rPr>
                <w:rStyle w:val="328"/>
                <w:rFonts w:hint="eastAsia" w:ascii="宋体" w:hAnsi="宋体" w:eastAsia="宋体" w:cs="宋体"/>
                <w:color w:val="auto"/>
                <w:sz w:val="21"/>
                <w:szCs w:val="21"/>
                <w:highlight w:val="none"/>
                <w:lang w:val="en-US" w:eastAsia="zh-CN" w:bidi="ar"/>
              </w:rPr>
              <w:t xml:space="preserve"> 45 </w:t>
            </w:r>
            <w:r>
              <w:rPr>
                <w:rStyle w:val="313"/>
                <w:rFonts w:hint="eastAsia" w:ascii="宋体" w:hAnsi="宋体" w:eastAsia="宋体" w:cs="宋体"/>
                <w:color w:val="auto"/>
                <w:sz w:val="21"/>
                <w:szCs w:val="21"/>
                <w:highlight w:val="none"/>
                <w:lang w:val="en-US" w:eastAsia="zh-CN" w:bidi="ar"/>
              </w:rPr>
              <w:t>度方向，各试验</w:t>
            </w:r>
            <w:r>
              <w:rPr>
                <w:rStyle w:val="328"/>
                <w:rFonts w:hint="eastAsia" w:ascii="宋体" w:hAnsi="宋体" w:eastAsia="宋体" w:cs="宋体"/>
                <w:color w:val="auto"/>
                <w:sz w:val="21"/>
                <w:szCs w:val="21"/>
                <w:highlight w:val="none"/>
                <w:lang w:val="en-US" w:eastAsia="zh-CN" w:bidi="ar"/>
              </w:rPr>
              <w:t xml:space="preserve"> 3min</w:t>
            </w:r>
            <w:r>
              <w:rPr>
                <w:rStyle w:val="313"/>
                <w:rFonts w:hint="eastAsia" w:ascii="宋体" w:hAnsi="宋体" w:eastAsia="宋体" w:cs="宋体"/>
                <w:color w:val="auto"/>
                <w:sz w:val="21"/>
                <w:szCs w:val="21"/>
                <w:highlight w:val="none"/>
                <w:lang w:val="en-US" w:eastAsia="zh-CN" w:bidi="ar"/>
              </w:rPr>
              <w:t>，降水量为</w:t>
            </w:r>
            <w:r>
              <w:rPr>
                <w:rStyle w:val="328"/>
                <w:rFonts w:hint="eastAsia" w:ascii="宋体" w:hAnsi="宋体" w:eastAsia="宋体" w:cs="宋体"/>
                <w:color w:val="auto"/>
                <w:sz w:val="21"/>
                <w:szCs w:val="21"/>
                <w:highlight w:val="none"/>
                <w:lang w:val="en-US" w:eastAsia="zh-CN" w:bidi="ar"/>
              </w:rPr>
              <w:t xml:space="preserve"> 100L/m2 </w:t>
            </w:r>
            <w:r>
              <w:rPr>
                <w:rStyle w:val="313"/>
                <w:rFonts w:hint="eastAsia" w:ascii="宋体" w:hAnsi="宋体" w:eastAsia="宋体" w:cs="宋体"/>
                <w:color w:val="auto"/>
                <w:sz w:val="21"/>
                <w:szCs w:val="21"/>
                <w:highlight w:val="none"/>
                <w:lang w:val="en-US" w:eastAsia="zh-CN" w:bidi="ar"/>
              </w:rPr>
              <w:t>的环境下进行测试，完成后自然环境下放置</w:t>
            </w:r>
            <w:r>
              <w:rPr>
                <w:rStyle w:val="328"/>
                <w:rFonts w:hint="eastAsia" w:ascii="宋体" w:hAnsi="宋体" w:eastAsia="宋体" w:cs="宋体"/>
                <w:color w:val="auto"/>
                <w:sz w:val="21"/>
                <w:szCs w:val="21"/>
                <w:highlight w:val="none"/>
                <w:lang w:val="en-US" w:eastAsia="zh-CN" w:bidi="ar"/>
              </w:rPr>
              <w:t xml:space="preserve"> 30min</w:t>
            </w:r>
            <w:r>
              <w:rPr>
                <w:rStyle w:val="313"/>
                <w:rFonts w:hint="eastAsia" w:ascii="宋体" w:hAnsi="宋体" w:eastAsia="宋体" w:cs="宋体"/>
                <w:color w:val="auto"/>
                <w:sz w:val="21"/>
                <w:szCs w:val="21"/>
                <w:highlight w:val="none"/>
                <w:lang w:val="en-US" w:eastAsia="zh-CN" w:bidi="ar"/>
              </w:rPr>
              <w:t>，可正常使用；（若整机外部结构需达到一定防水要求，需提前告知，我司需在线孔处增加防水护套）</w:t>
            </w:r>
            <w:r>
              <w:rPr>
                <w:rStyle w:val="313"/>
                <w:rFonts w:hint="eastAsia" w:ascii="宋体" w:hAnsi="宋体" w:cs="宋体"/>
                <w:color w:val="auto"/>
                <w:sz w:val="21"/>
                <w:szCs w:val="21"/>
                <w:highlight w:val="none"/>
                <w:lang w:val="en-US" w:eastAsia="zh-CN" w:bidi="ar"/>
              </w:rPr>
              <w:t>；</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 xml:space="preserve">10. </w:t>
            </w:r>
            <w:r>
              <w:rPr>
                <w:rStyle w:val="313"/>
                <w:rFonts w:hint="eastAsia" w:ascii="宋体" w:hAnsi="宋体" w:eastAsia="宋体" w:cs="宋体"/>
                <w:color w:val="auto"/>
                <w:sz w:val="21"/>
                <w:szCs w:val="21"/>
                <w:highlight w:val="none"/>
                <w:lang w:val="en-US" w:eastAsia="zh-CN" w:bidi="ar"/>
              </w:rPr>
              <w:t>防腐蚀性能：产品采用</w:t>
            </w:r>
            <w:r>
              <w:rPr>
                <w:rStyle w:val="328"/>
                <w:rFonts w:hint="eastAsia" w:ascii="宋体" w:hAnsi="宋体" w:eastAsia="宋体" w:cs="宋体"/>
                <w:color w:val="auto"/>
                <w:sz w:val="21"/>
                <w:szCs w:val="21"/>
                <w:highlight w:val="none"/>
                <w:lang w:val="en-US" w:eastAsia="zh-CN" w:bidi="ar"/>
              </w:rPr>
              <w:t xml:space="preserve"> ABS </w:t>
            </w:r>
            <w:r>
              <w:rPr>
                <w:rStyle w:val="313"/>
                <w:rFonts w:hint="eastAsia" w:ascii="宋体" w:hAnsi="宋体" w:eastAsia="宋体" w:cs="宋体"/>
                <w:color w:val="auto"/>
                <w:sz w:val="21"/>
                <w:szCs w:val="21"/>
                <w:highlight w:val="none"/>
                <w:lang w:val="en-US" w:eastAsia="zh-CN" w:bidi="ar"/>
              </w:rPr>
              <w:t>材料及电解板工艺加工，整体具备优秀的防腐蚀性能，在中性盐雾试验</w:t>
            </w:r>
            <w:r>
              <w:rPr>
                <w:rStyle w:val="328"/>
                <w:rFonts w:hint="eastAsia" w:ascii="宋体" w:hAnsi="宋体" w:eastAsia="宋体" w:cs="宋体"/>
                <w:color w:val="auto"/>
                <w:sz w:val="21"/>
                <w:szCs w:val="21"/>
                <w:highlight w:val="none"/>
                <w:lang w:val="en-US" w:eastAsia="zh-CN" w:bidi="ar"/>
              </w:rPr>
              <w:t xml:space="preserve">(NSS </w:t>
            </w:r>
            <w:r>
              <w:rPr>
                <w:rStyle w:val="313"/>
                <w:rFonts w:hint="eastAsia" w:ascii="宋体" w:hAnsi="宋体" w:eastAsia="宋体" w:cs="宋体"/>
                <w:color w:val="auto"/>
                <w:sz w:val="21"/>
                <w:szCs w:val="21"/>
                <w:highlight w:val="none"/>
                <w:lang w:val="en-US" w:eastAsia="zh-CN" w:bidi="ar"/>
              </w:rPr>
              <w:t>试验</w:t>
            </w:r>
            <w:r>
              <w:rPr>
                <w:rStyle w:val="328"/>
                <w:rFonts w:hint="eastAsia" w:ascii="宋体" w:hAnsi="宋体" w:eastAsia="宋体" w:cs="宋体"/>
                <w:color w:val="auto"/>
                <w:sz w:val="21"/>
                <w:szCs w:val="21"/>
                <w:highlight w:val="none"/>
                <w:lang w:val="en-US" w:eastAsia="zh-CN" w:bidi="ar"/>
              </w:rPr>
              <w:t>)</w:t>
            </w:r>
            <w:r>
              <w:rPr>
                <w:rStyle w:val="313"/>
                <w:rFonts w:hint="eastAsia" w:ascii="宋体" w:hAnsi="宋体" w:eastAsia="宋体" w:cs="宋体"/>
                <w:color w:val="auto"/>
                <w:sz w:val="21"/>
                <w:szCs w:val="21"/>
                <w:highlight w:val="none"/>
                <w:lang w:val="en-US" w:eastAsia="zh-CN" w:bidi="ar"/>
              </w:rPr>
              <w:t>环境下，可通过</w:t>
            </w:r>
            <w:r>
              <w:rPr>
                <w:rStyle w:val="328"/>
                <w:rFonts w:hint="eastAsia" w:ascii="宋体" w:hAnsi="宋体" w:eastAsia="宋体" w:cs="宋体"/>
                <w:color w:val="auto"/>
                <w:sz w:val="21"/>
                <w:szCs w:val="21"/>
                <w:highlight w:val="none"/>
                <w:lang w:val="en-US" w:eastAsia="zh-CN" w:bidi="ar"/>
              </w:rPr>
              <w:t xml:space="preserve"> 72 </w:t>
            </w:r>
            <w:r>
              <w:rPr>
                <w:rStyle w:val="313"/>
                <w:rFonts w:hint="eastAsia" w:ascii="宋体" w:hAnsi="宋体" w:eastAsia="宋体" w:cs="宋体"/>
                <w:color w:val="auto"/>
                <w:sz w:val="21"/>
                <w:szCs w:val="21"/>
                <w:highlight w:val="none"/>
                <w:lang w:val="en-US" w:eastAsia="zh-CN" w:bidi="ar"/>
              </w:rPr>
              <w:t>小时测试，切口面有锈迹，但不会影响整体使用</w:t>
            </w:r>
            <w:r>
              <w:rPr>
                <w:rStyle w:val="313"/>
                <w:rFonts w:hint="eastAsia" w:ascii="宋体" w:hAnsi="宋体" w:cs="宋体"/>
                <w:color w:val="auto"/>
                <w:sz w:val="21"/>
                <w:szCs w:val="21"/>
                <w:highlight w:val="none"/>
                <w:lang w:val="en-US" w:eastAsia="zh-CN" w:bidi="ar"/>
              </w:rPr>
              <w:t>；</w:t>
            </w:r>
          </w:p>
        </w:tc>
      </w:tr>
      <w:tr w14:paraId="5A29933F">
        <w:tblPrEx>
          <w:shd w:val="clear" w:color="auto" w:fill="auto"/>
          <w:tblCellMar>
            <w:top w:w="0" w:type="dxa"/>
            <w:left w:w="108" w:type="dxa"/>
            <w:bottom w:w="0" w:type="dxa"/>
            <w:right w:w="108" w:type="dxa"/>
          </w:tblCellMar>
        </w:tblPrEx>
        <w:trPr>
          <w:trHeight w:val="59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5C7E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shd w:val="clear" w:color="FFFFFF" w:fill="D9D9D9"/>
                <w:lang w:val="en-US" w:eastAsia="zh-CN"/>
              </w:rPr>
              <w:t>硬件产品四：</w:t>
            </w: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rPr>
              <w:t>住院多功能自助机III</w:t>
            </w:r>
            <w:r>
              <w:rPr>
                <w:rFonts w:hint="eastAsia" w:ascii="宋体" w:hAnsi="宋体" w:cs="宋体"/>
                <w:b/>
                <w:bCs/>
                <w:color w:val="auto"/>
                <w:sz w:val="21"/>
                <w:szCs w:val="21"/>
                <w:highlight w:val="none"/>
                <w:shd w:val="clear" w:color="FFFFFF" w:fill="D9D9D9"/>
                <w:lang w:eastAsia="zh-CN"/>
              </w:rPr>
              <w:t>（</w:t>
            </w:r>
            <w:r>
              <w:rPr>
                <w:rFonts w:hint="eastAsia" w:ascii="宋体" w:hAnsi="宋体" w:cs="宋体"/>
                <w:b/>
                <w:bCs/>
                <w:color w:val="auto"/>
                <w:sz w:val="21"/>
                <w:szCs w:val="21"/>
                <w:highlight w:val="none"/>
                <w:shd w:val="clear" w:color="FFFFFF" w:fill="D9D9D9"/>
                <w:lang w:val="en-US" w:eastAsia="zh-CN"/>
              </w:rPr>
              <w:t>包含增加要求</w:t>
            </w:r>
            <w:r>
              <w:rPr>
                <w:rFonts w:hint="eastAsia" w:ascii="宋体" w:hAnsi="宋体" w:cs="宋体"/>
                <w:b/>
                <w:bCs/>
                <w:color w:val="auto"/>
                <w:sz w:val="21"/>
                <w:szCs w:val="21"/>
                <w:highlight w:val="none"/>
                <w:shd w:val="clear" w:color="FFFFFF" w:fill="D9D9D9"/>
                <w:lang w:eastAsia="zh-CN"/>
              </w:rPr>
              <w:t>）</w:t>
            </w:r>
          </w:p>
        </w:tc>
      </w:tr>
      <w:tr w14:paraId="73042242">
        <w:tblPrEx>
          <w:shd w:val="clear" w:color="auto" w:fill="auto"/>
          <w:tblCellMar>
            <w:top w:w="0" w:type="dxa"/>
            <w:left w:w="108" w:type="dxa"/>
            <w:bottom w:w="0" w:type="dxa"/>
            <w:right w:w="108" w:type="dxa"/>
          </w:tblCellMar>
        </w:tblPrEx>
        <w:trPr>
          <w:trHeight w:val="36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95E97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2116C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7F1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AD55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w:t>
            </w:r>
            <w:bookmarkStart w:id="134" w:name="_GoBack"/>
            <w:bookmarkEnd w:id="134"/>
            <w:r>
              <w:rPr>
                <w:rFonts w:hint="eastAsia" w:ascii="宋体" w:hAnsi="宋体" w:eastAsia="宋体" w:cs="宋体"/>
                <w:color w:val="auto"/>
                <w:sz w:val="21"/>
                <w:szCs w:val="21"/>
                <w:highlight w:val="none"/>
              </w:rPr>
              <w:t>厚≥1.5mm，金属烤漆，表面打砂喷涂去静电处理，防水、防锈、防腐、耐磨，可长期耐受医用化学消毒剂拭擦，内部构件全电镀、防锈，表面涂层具抗菌性。</w:t>
            </w:r>
          </w:p>
        </w:tc>
      </w:tr>
      <w:tr w14:paraId="0B15478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02DD6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77DA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80F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BE38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宽度&lt;750mm；高度&lt;1800mm</w:t>
            </w:r>
          </w:p>
        </w:tc>
      </w:tr>
      <w:tr w14:paraId="70C7C83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057B0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4E7B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270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03F0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6E943C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B82803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7B5C7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FAA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1B06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0B16F15C">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515E8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C6F9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530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608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rPr>
              <w:t xml:space="preserve">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6DD641B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6D32C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C799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1E42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0C4E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3611E34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FF0B2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67D5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D025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380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6844E97F">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0EBD0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1744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DC9E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0A9E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≥500GSSD固态硬盘</w:t>
            </w:r>
          </w:p>
        </w:tc>
      </w:tr>
      <w:tr w14:paraId="7AC418D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BAE2A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7512A2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D30C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FFFA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2807569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2775E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D4596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B4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7F5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2310139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AFDC9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350F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968E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B82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49F24D97">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EEE08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D3D02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480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ADF1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49A31483">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7AA840">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1BB3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DE23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5406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717FD41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6868C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1624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528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E9BC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623DEDC7">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BEA0D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4A17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AE5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1199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27A7C3F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CDA83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B3147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E06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304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▲提供工控主机（微型电脑）</w:t>
            </w:r>
            <w:r>
              <w:rPr>
                <w:rFonts w:hint="eastAsia" w:ascii="宋体" w:hAnsi="宋体" w:eastAsia="宋体" w:cs="宋体"/>
                <w:b/>
                <w:bCs/>
                <w:color w:val="auto"/>
                <w:sz w:val="21"/>
                <w:szCs w:val="21"/>
                <w:highlight w:val="green"/>
                <w:shd w:val="clear"/>
              </w:rPr>
              <w:t>或相应多功能自助机整机</w:t>
            </w:r>
            <w:r>
              <w:rPr>
                <w:rFonts w:hint="eastAsia" w:ascii="宋体" w:hAnsi="宋体" w:eastAsia="宋体" w:cs="宋体"/>
                <w:color w:val="auto"/>
                <w:sz w:val="21"/>
                <w:szCs w:val="21"/>
                <w:highlight w:val="none"/>
              </w:rPr>
              <w:t>3C认证书，并提供投标机型第三方检测报告（含CMA标志），且报告标注投标人声明的工控主机型号</w:t>
            </w:r>
          </w:p>
        </w:tc>
      </w:tr>
      <w:tr w14:paraId="5C14260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E9E5C6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687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629A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D668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356BB9A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48FE5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E612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99E8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88E9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5B4B44D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9848D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94EBB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55F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762A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2ABEA28E">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63B33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65AF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1D2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130F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5DC2460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709B21">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66AF5B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29C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1B9E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5499F65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CB5AD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7CD4A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50A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097E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rPr>
              <w:t>1920*1080@60Hz</w:t>
            </w:r>
          </w:p>
        </w:tc>
      </w:tr>
      <w:tr w14:paraId="3BD02FA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E36FB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53C0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14F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4B06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4001809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255A2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E4CE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62F5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DF0A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092B826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6E7B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ACF4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353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856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6175339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77476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DDF06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E44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AC6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7D857A7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3F405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7C15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5B60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84A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0749A0C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31571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E82B0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355C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45C7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取得《中国公共安全产品认证证书》提供证书。</w:t>
            </w:r>
          </w:p>
        </w:tc>
      </w:tr>
      <w:tr w14:paraId="625565A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A41F0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7BBF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E64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0CC1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0ABC876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4CCBA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87D5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C85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EA9F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3C8E0B8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2DC71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B4F8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07D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61F7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7470DF5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606A3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9E3E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E7D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F420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72F8A9ED">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89AA7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575B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448F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9E7D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08FB4B54">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F2C5A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20FA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AFA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3B1D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284B4AE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7B380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DC17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C2A5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5DE3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435FFC9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C2BA0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20CB3BE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0E2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87E9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2E1E7A1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15700C2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5318906E">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038092E1">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21D7FCF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2EF9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EE005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EF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EA0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50945B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78E123E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576065F4">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61F1EA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353272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3D98E358">
        <w:tblPrEx>
          <w:shd w:val="clear" w:color="auto" w:fill="auto"/>
          <w:tblCellMar>
            <w:top w:w="0" w:type="dxa"/>
            <w:left w:w="108" w:type="dxa"/>
            <w:bottom w:w="0" w:type="dxa"/>
            <w:right w:w="108" w:type="dxa"/>
          </w:tblCellMar>
        </w:tblPrEx>
        <w:trPr>
          <w:trHeight w:val="686"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45EC1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7BBE4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BE4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E93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6694E1C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639F6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5C9E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8F9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163D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13C5457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640C58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254C5B5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1CD2C6D4">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7B48DC1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BB3C1">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F4F4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3763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C1B9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6CFEC9B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35C9FE00">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77CFA5A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28948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D4CC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1FF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C412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6C7C9D1D">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2DFFA486">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2F6FFF1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25F24C2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F2067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B282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408F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3BF9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w:t>
            </w:r>
          </w:p>
          <w:p w14:paraId="57245059">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平均功耗：小于2瓦；深度图分辨率：1280*800@7FPS 640*400@30FPS；</w:t>
            </w:r>
          </w:p>
          <w:p w14:paraId="6FE6EFDA">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彩色图分辨率：1280*960@7FPS 640*480@30FPS 320/240@30FPS；深度FOV：H67.9°V45.5°</w:t>
            </w:r>
          </w:p>
          <w:p w14:paraId="700954F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6133ADBA">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70833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8D84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268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E51E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57D15A5F">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C0C54A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780C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腕带模块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03C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D30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5D186C2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8A320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CD55E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956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635D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不低于152mm/s（max）</w:t>
            </w:r>
          </w:p>
        </w:tc>
      </w:tr>
      <w:tr w14:paraId="102A43E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954A8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993B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09A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AED6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打印宽度：20mm-56mm、腕带最大直径：127mm、腕带厚度:0.08~0.3mm</w:t>
            </w:r>
          </w:p>
        </w:tc>
      </w:tr>
      <w:tr w14:paraId="5308C7B9">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93ADD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89499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2C1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29A2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w:t>
            </w:r>
          </w:p>
        </w:tc>
      </w:tr>
      <w:tr w14:paraId="6CE4A76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A8DFC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BE84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4B1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条形码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3D42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一维码、二维码</w:t>
            </w:r>
          </w:p>
        </w:tc>
      </w:tr>
      <w:tr w14:paraId="632ACD9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B6AC0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EFE00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8A30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切纸功能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896A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提供自动切刀模块，实现自动切纸功能。</w:t>
            </w:r>
          </w:p>
        </w:tc>
      </w:tr>
      <w:tr w14:paraId="729B75A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B807D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5F15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2280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D4F3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116459CF">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5436A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39D87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6FB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3444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容量：≥200W，输入≥AC200～240V，DC输出≥5V/2A-4A、12V/5A-10A、24V/5A-9A，AC输出200～240V。</w:t>
            </w:r>
          </w:p>
        </w:tc>
      </w:tr>
      <w:tr w14:paraId="3CBC62D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D5884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4268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C45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EC4C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43B671D4">
        <w:tblPrEx>
          <w:tblCellMar>
            <w:top w:w="0" w:type="dxa"/>
            <w:left w:w="108" w:type="dxa"/>
            <w:bottom w:w="0" w:type="dxa"/>
            <w:right w:w="108" w:type="dxa"/>
          </w:tblCellMar>
        </w:tblPrEx>
        <w:trPr>
          <w:trHeight w:val="38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7FDBC2B">
            <w:pPr>
              <w:keepNext w:val="0"/>
              <w:keepLines w:val="0"/>
              <w:pageBreakBefore w:val="0"/>
              <w:kinsoku/>
              <w:wordWrap/>
              <w:overflowPunct/>
              <w:topLinePunct w:val="0"/>
              <w:autoSpaceDE/>
              <w:autoSpaceDN/>
              <w:bidi w:val="0"/>
              <w:adjustRightInd w:val="0"/>
              <w:snapToGrid w:val="0"/>
              <w:spacing w:line="360" w:lineRule="exact"/>
              <w:ind w:left="0" w:firstLine="2951" w:firstLineChars="14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val="en-US" w:eastAsia="zh-CN"/>
              </w:rPr>
              <w:t>增加要求</w:t>
            </w:r>
          </w:p>
        </w:tc>
      </w:tr>
      <w:tr w14:paraId="06B39453">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602D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40AB4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92239">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银联卡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2A001">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shd w:val="clear" w:color="auto"/>
              </w:rPr>
              <w:t>支持银联卡识读，符合标准PBOC3.0L1标准</w:t>
            </w:r>
          </w:p>
        </w:tc>
      </w:tr>
      <w:tr w14:paraId="75020D5A">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C9078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1DF750CA">
            <w:pPr>
              <w:keepNext w:val="0"/>
              <w:keepLines w:val="0"/>
              <w:pageBreakBefore w:val="0"/>
              <w:tabs>
                <w:tab w:val="left" w:pos="296"/>
              </w:tabs>
              <w:kinsoku/>
              <w:wordWrap/>
              <w:overflowPunct/>
              <w:topLinePunct w:val="0"/>
              <w:autoSpaceDE/>
              <w:autoSpaceDN/>
              <w:bidi w:val="0"/>
              <w:adjustRightInd w:val="0"/>
              <w:snapToGrid w:val="0"/>
              <w:spacing w:line="360" w:lineRule="exact"/>
              <w:ind w:left="0"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现金</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A317E">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鉴别纸币宽度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6EAAE">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62-78mm，多宽度</w:t>
            </w:r>
          </w:p>
        </w:tc>
      </w:tr>
      <w:tr w14:paraId="7EBFA3E7">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9CE39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1E7F9D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A195D">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纸币方向</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CB2C8">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四向</w:t>
            </w:r>
          </w:p>
        </w:tc>
      </w:tr>
      <w:tr w14:paraId="6B6D0E1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5B1945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F74EA2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20D0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3517">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≥96%</w:t>
            </w:r>
          </w:p>
        </w:tc>
      </w:tr>
      <w:tr w14:paraId="6F0C7D2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45135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6C3D8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27EA1">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纸币暂存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A442B">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一张</w:t>
            </w:r>
          </w:p>
        </w:tc>
      </w:tr>
      <w:tr w14:paraId="301C728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A2A96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C80B34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00498">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传感器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BA47A">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自动校准的多光谱介质传感器；安全传感器：交叉通道防抽纸</w:t>
            </w:r>
          </w:p>
        </w:tc>
      </w:tr>
      <w:tr w14:paraId="7BB2D15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5C3F9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3D0DF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7A4D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协议</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142C2">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CCnet、串口（TTL或RS232）、MDB、脉冲</w:t>
            </w:r>
          </w:p>
        </w:tc>
      </w:tr>
      <w:tr w14:paraId="45E4213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1E391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B29B2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D0246">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操作电压</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D129">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12V或24V</w:t>
            </w:r>
          </w:p>
        </w:tc>
      </w:tr>
      <w:tr w14:paraId="3DDD4465">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69C84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0BD53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44C08">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钞箱容量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C445B">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≥1000张</w:t>
            </w:r>
          </w:p>
        </w:tc>
      </w:tr>
      <w:tr w14:paraId="7EC60F5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1F0AC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4356B87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7E89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安全锁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53EE2">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≥2个客户锁</w:t>
            </w:r>
          </w:p>
        </w:tc>
      </w:tr>
      <w:tr w14:paraId="7732F56E">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6FE60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3C095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监控</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13517">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硬盘录像机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6A998">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四路硬盘录像机（≥1T硬盘）+2路针孔摄像头</w:t>
            </w:r>
          </w:p>
        </w:tc>
      </w:tr>
      <w:tr w14:paraId="306BD8C6">
        <w:tblPrEx>
          <w:shd w:val="clear" w:color="auto" w:fill="auto"/>
          <w:tblCellMar>
            <w:top w:w="0" w:type="dxa"/>
            <w:left w:w="108" w:type="dxa"/>
            <w:bottom w:w="0" w:type="dxa"/>
            <w:right w:w="108" w:type="dxa"/>
          </w:tblCellMar>
        </w:tblPrEx>
        <w:trPr>
          <w:trHeight w:val="610" w:hRule="atLeast"/>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14:paraId="5554B0B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硬件产品五：</w:t>
            </w:r>
            <w:r>
              <w:rPr>
                <w:rFonts w:hint="eastAsia" w:ascii="宋体" w:hAnsi="宋体" w:eastAsia="宋体" w:cs="宋体"/>
                <w:b/>
                <w:bCs/>
                <w:color w:val="auto"/>
                <w:sz w:val="21"/>
                <w:szCs w:val="21"/>
                <w:highlight w:val="none"/>
                <w:shd w:val="clear" w:color="FFFFFF" w:fill="D9D9D9"/>
                <w:lang w:val="en-US" w:eastAsia="zh-CN"/>
              </w:rPr>
              <w:t>移动</w:t>
            </w:r>
            <w:r>
              <w:rPr>
                <w:rFonts w:hint="eastAsia" w:ascii="宋体" w:hAnsi="宋体" w:eastAsia="宋体" w:cs="宋体"/>
                <w:b/>
                <w:bCs/>
                <w:color w:val="auto"/>
                <w:sz w:val="21"/>
                <w:szCs w:val="21"/>
                <w:highlight w:val="none"/>
                <w:shd w:val="clear" w:color="FFFFFF" w:fill="D9D9D9"/>
              </w:rPr>
              <w:t>结算终端</w:t>
            </w:r>
          </w:p>
        </w:tc>
      </w:tr>
      <w:tr w14:paraId="254F6E3E">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78673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71B3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模块要求</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2A29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p w14:paraId="3C1C66D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D3FA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≥8核A55（4x1.6GHz+4x1.2GHZ）</w:t>
            </w:r>
          </w:p>
        </w:tc>
      </w:tr>
      <w:tr w14:paraId="0486B90E">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9C3B53">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403C0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98D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4432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≥64GB ROM+≥2GB RAM</w:t>
            </w:r>
          </w:p>
        </w:tc>
      </w:tr>
      <w:tr w14:paraId="6B1F4ED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9618E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015DD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045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接入网络</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3EC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医保要求4G/5G VPDN接入方式；通信方式：LTE/UMTS/GSM</w:t>
            </w:r>
          </w:p>
        </w:tc>
      </w:tr>
      <w:tr w14:paraId="6044DF3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0505F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AA91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7DA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3E97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Android</w:t>
            </w:r>
          </w:p>
        </w:tc>
      </w:tr>
      <w:tr w14:paraId="212E63D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85ECF1">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1C8DA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B92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WIFI、蓝牙</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1066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WIFI：2.4G/5G双频支持IEEE 802.11ac/a/b/g/n；支持蓝牙4.2，支持BLE</w:t>
            </w:r>
          </w:p>
        </w:tc>
      </w:tr>
      <w:tr w14:paraId="41E0F22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A0296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FBAB9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D5F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916A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≥5.99"HD+，≥1440x720，IPS，多点触控电容屏</w:t>
            </w:r>
          </w:p>
        </w:tc>
      </w:tr>
      <w:tr w14:paraId="3F3B1C1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01652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7CBD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EDE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3E05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内置加密模块，硬件防拆</w:t>
            </w:r>
          </w:p>
        </w:tc>
      </w:tr>
      <w:tr w14:paraId="399A8BF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18040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7BC57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2D8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医保人脸及摄像头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0DD7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支持医保人脸</w:t>
            </w:r>
          </w:p>
          <w:p w14:paraId="51CAFF9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前置：3D结构光或者0.3M FF摄像头</w:t>
            </w:r>
          </w:p>
          <w:p w14:paraId="7200EF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后置：5M AF或3D结构光</w:t>
            </w:r>
          </w:p>
        </w:tc>
      </w:tr>
      <w:tr w14:paraId="4DB8687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3228C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9EB74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BFB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FBA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内置GPS，支持AGPS</w:t>
            </w:r>
          </w:p>
        </w:tc>
      </w:tr>
      <w:tr w14:paraId="3263195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A2FD5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96E8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233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9CE0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≥90mm/s（7.4V时）</w:t>
            </w:r>
          </w:p>
        </w:tc>
      </w:tr>
      <w:tr w14:paraId="3AC8D391">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14906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0F20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861F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445D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取得投标机型符合《医保业务综合服务终端(III类)技术规范》和《医保业务综合服务终端(III类)测试大纲V1.0》的检测报告；</w:t>
            </w:r>
          </w:p>
          <w:p w14:paraId="4881345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▲取得投标机型无线电发射设备型号核准证，提供复印件加盖投标人公章</w:t>
            </w:r>
          </w:p>
          <w:p w14:paraId="483DD8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▲取得投标机型电信设备进网许可证，提供复印件加盖投标人公章</w:t>
            </w:r>
          </w:p>
        </w:tc>
      </w:tr>
      <w:tr w14:paraId="4CB9437B">
        <w:tblPrEx>
          <w:tblCellMar>
            <w:top w:w="0" w:type="dxa"/>
            <w:left w:w="108" w:type="dxa"/>
            <w:bottom w:w="0" w:type="dxa"/>
            <w:right w:w="108" w:type="dxa"/>
          </w:tblCellMar>
        </w:tblPrEx>
        <w:trPr>
          <w:trHeight w:val="620" w:hRule="atLeast"/>
        </w:trPr>
        <w:tc>
          <w:tcPr>
            <w:tcW w:w="5000" w:type="pct"/>
            <w:gridSpan w:val="4"/>
            <w:tcBorders>
              <w:top w:val="single" w:color="auto" w:sz="4" w:space="0"/>
              <w:left w:val="single" w:color="auto" w:sz="4" w:space="0"/>
              <w:right w:val="single" w:color="000000" w:sz="4" w:space="0"/>
            </w:tcBorders>
            <w:shd w:val="clear" w:color="auto" w:fill="auto"/>
            <w:noWrap w:val="0"/>
            <w:vAlign w:val="center"/>
          </w:tcPr>
          <w:p w14:paraId="0EF1F0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硬件产品六：</w:t>
            </w:r>
            <w:r>
              <w:rPr>
                <w:rFonts w:hint="eastAsia" w:ascii="宋体" w:hAnsi="宋体" w:eastAsia="宋体" w:cs="宋体"/>
                <w:b/>
                <w:bCs/>
                <w:color w:val="auto"/>
                <w:sz w:val="21"/>
                <w:szCs w:val="21"/>
                <w:highlight w:val="none"/>
                <w:shd w:val="clear" w:color="FFFFFF" w:fill="D9D9D9"/>
              </w:rPr>
              <w:t>自助病案打印盖章终端</w:t>
            </w:r>
          </w:p>
        </w:tc>
      </w:tr>
      <w:tr w14:paraId="2C8DD1C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2758B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558814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自助病案打印盖章终端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121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0397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CPU：主频≥3.0 GHz；内存：</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8G DDR4；网卡：双千兆网卡；串口：6个RS232接口；硬盘：≥256G固态硬盘；USB接口：8个USB 3.0,10*USB 2.0接口；防磁防锈防静电；内置散热风扇</w:t>
            </w:r>
          </w:p>
        </w:tc>
      </w:tr>
      <w:tr w14:paraId="7B59219D">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BA5FD3">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37996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EC8B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显示触摸屏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0811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≥18.5"投射式电容触摸一体屏；触控点位≥10点触摸；响应时间：≤8ms；反应速度：≤16ms；VGA或HDMI接口；比例：16：9；亮度：≥400 cd/m2；对比度：≥1200:1；分辨率：≥1366*768</w:t>
            </w:r>
          </w:p>
        </w:tc>
      </w:tr>
      <w:tr w14:paraId="713F511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DD8280">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E768CA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D579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5118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黑白激光打印；首页出纸时间≤6.5秒；最高分辨率：600 x 600 dpi；最大幅面A4（70克和80克均支持）；标配纸盒≥250张，支持扩展纸盒≥5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0张；月打印负荷：≥75000页</w:t>
            </w:r>
          </w:p>
        </w:tc>
      </w:tr>
      <w:tr w14:paraId="081D11B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DFB02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05926B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002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CE6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使用耐磨损的铜质印章，可自定义盖章位置；内置印油存储，一次充满印油盖章使用次数≥5000次，更换添加印油便捷；盖章传动部件应耐磨损，使用寿命长；盖章数量：1～6个/A4</w:t>
            </w:r>
          </w:p>
        </w:tc>
      </w:tr>
      <w:tr w14:paraId="2538618A">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87891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6C505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8ED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D44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打印方式：行式热敏；打印密度：≥8点/mm；打印速度：≥200mm/s；纸宽：80±0.5mm；有效打印宽度：72mm；打印方向：进纸方向；纸处理方式：自动切纸；防堵功能：支持；蜂鸣器：支持</w:t>
            </w:r>
          </w:p>
        </w:tc>
      </w:tr>
      <w:tr w14:paraId="4CCEE9F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EA3A8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304037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C6E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2F4A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自动装订功能；装订厚度：≥65张A4纸装订；装订数量：≥100枚</w:t>
            </w:r>
          </w:p>
        </w:tc>
      </w:tr>
      <w:tr w14:paraId="14AF470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B05A6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6D8E03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95E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590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≥300万像素，黑白coms一次性存针≥4500枚传感器+彩色coms传感器；识别率≥95%</w:t>
            </w:r>
          </w:p>
        </w:tc>
      </w:tr>
      <w:tr w14:paraId="2D8D533A">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72968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0A3300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23A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2AB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可读居民二代身份证和港澳台证件、外国人居住证；模块符合公安部相关标准</w:t>
            </w:r>
          </w:p>
        </w:tc>
      </w:tr>
    </w:tbl>
    <w:p w14:paraId="0B8E3A0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ABE0BF6">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软件</w:t>
      </w:r>
      <w:r>
        <w:rPr>
          <w:rFonts w:hint="eastAsia" w:ascii="宋体" w:hAnsi="宋体" w:cs="宋体"/>
          <w:b/>
          <w:bCs/>
          <w:color w:val="auto"/>
          <w:szCs w:val="21"/>
          <w:highlight w:val="none"/>
          <w:lang w:val="en-US" w:eastAsia="zh-CN"/>
        </w:rPr>
        <w:t>功能需求</w:t>
      </w:r>
    </w:p>
    <w:p w14:paraId="0FB4C4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门急诊</w:t>
      </w:r>
      <w:r>
        <w:rPr>
          <w:rFonts w:hint="eastAsia" w:ascii="宋体" w:hAnsi="宋体" w:eastAsia="宋体" w:cs="宋体"/>
          <w:b w:val="0"/>
          <w:bCs w:val="0"/>
          <w:color w:val="auto"/>
          <w:szCs w:val="21"/>
          <w:highlight w:val="none"/>
          <w:lang w:val="en-US" w:eastAsia="zh-CN"/>
        </w:rPr>
        <w:t>、住院自助服务</w:t>
      </w:r>
      <w:r>
        <w:rPr>
          <w:rFonts w:hint="eastAsia" w:ascii="宋体" w:hAnsi="宋体" w:eastAsia="宋体" w:cs="宋体"/>
          <w:b w:val="0"/>
          <w:bCs w:val="0"/>
          <w:color w:val="auto"/>
          <w:szCs w:val="21"/>
          <w:highlight w:val="none"/>
        </w:rPr>
        <w:t>系统</w:t>
      </w:r>
      <w:r>
        <w:rPr>
          <w:rFonts w:hint="eastAsia" w:ascii="宋体" w:hAnsi="宋体" w:eastAsia="宋体" w:cs="宋体"/>
          <w:b w:val="0"/>
          <w:bCs w:val="0"/>
          <w:color w:val="auto"/>
          <w:szCs w:val="21"/>
          <w:highlight w:val="none"/>
          <w:lang w:val="en-US" w:eastAsia="zh-CN"/>
        </w:rPr>
        <w:t>软件</w:t>
      </w:r>
      <w:r>
        <w:rPr>
          <w:rFonts w:hint="eastAsia" w:ascii="宋体" w:hAnsi="宋体" w:eastAsia="宋体" w:cs="宋体"/>
          <w:b w:val="0"/>
          <w:bCs w:val="0"/>
          <w:color w:val="auto"/>
          <w:szCs w:val="21"/>
          <w:highlight w:val="none"/>
        </w:rPr>
        <w:t>功能需求</w:t>
      </w:r>
    </w:p>
    <w:p w14:paraId="3B5EA8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多功能自助终端设备系统软件，除了实现预约挂号、缴费、打印、查询等基本服务，还应满足就医流程可视化、适老化等院方提出的智能化服务。</w:t>
      </w:r>
    </w:p>
    <w:p w14:paraId="408FA4C2">
      <w:pPr>
        <w:pStyle w:val="40"/>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i/>
          <w:iCs/>
          <w:color w:val="auto"/>
          <w:sz w:val="21"/>
          <w:szCs w:val="21"/>
          <w:highlight w:val="none"/>
          <w:u w:val="single"/>
          <w:lang w:val="en-US" w:eastAsia="zh-CN"/>
        </w:rPr>
      </w:pPr>
      <w:r>
        <w:rPr>
          <w:rFonts w:hint="eastAsia" w:ascii="宋体" w:hAnsi="宋体" w:eastAsia="宋体" w:cs="宋体"/>
          <w:b/>
          <w:bCs/>
          <w:i/>
          <w:iCs/>
          <w:color w:val="auto"/>
          <w:sz w:val="21"/>
          <w:szCs w:val="21"/>
          <w:highlight w:val="none"/>
          <w:u w:val="single"/>
          <w:lang w:val="en-US" w:eastAsia="zh-CN"/>
        </w:rPr>
        <w:t>基础要求：</w:t>
      </w:r>
    </w:p>
    <w:p w14:paraId="687B4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default" w:ascii="宋体" w:hAnsi="宋体" w:eastAsia="宋体" w:cs="宋体"/>
          <w:b/>
          <w:bCs/>
          <w:i/>
          <w:iCs/>
          <w:color w:val="auto"/>
          <w:sz w:val="21"/>
          <w:szCs w:val="21"/>
          <w:highlight w:val="none"/>
          <w:lang w:val="en-US" w:eastAsia="zh-CN" w:bidi="ar-SA"/>
        </w:rPr>
        <w:t>1.</w:t>
      </w:r>
      <w:r>
        <w:rPr>
          <w:rFonts w:hint="eastAsia" w:ascii="宋体" w:hAnsi="宋体" w:eastAsia="宋体" w:cs="宋体"/>
          <w:b/>
          <w:bCs/>
          <w:i/>
          <w:iCs/>
          <w:color w:val="auto"/>
          <w:sz w:val="21"/>
          <w:szCs w:val="21"/>
          <w:highlight w:val="none"/>
          <w:u w:val="single"/>
        </w:rPr>
        <w:t>本次采购的系统，交付使用时需符合国家智慧服务四级、电子病历应用水平六级标准要求，符合互联互通成熟度评测五乙标准要求，三级等保要求。</w:t>
      </w:r>
    </w:p>
    <w:p w14:paraId="284F62F6">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default" w:ascii="宋体" w:hAnsi="宋体" w:eastAsia="宋体" w:cs="宋体"/>
          <w:b/>
          <w:bCs/>
          <w:i/>
          <w:iCs/>
          <w:color w:val="auto"/>
          <w:sz w:val="21"/>
          <w:szCs w:val="21"/>
          <w:highlight w:val="none"/>
          <w:lang w:val="en-US" w:eastAsia="zh-CN" w:bidi="ar-SA"/>
        </w:rPr>
        <w:t>2.</w:t>
      </w:r>
      <w:r>
        <w:rPr>
          <w:rFonts w:hint="eastAsia" w:ascii="宋体" w:hAnsi="宋体" w:eastAsia="宋体" w:cs="宋体"/>
          <w:b/>
          <w:bCs/>
          <w:i/>
          <w:iCs/>
          <w:color w:val="auto"/>
          <w:sz w:val="21"/>
          <w:szCs w:val="21"/>
          <w:highlight w:val="none"/>
          <w:u w:val="single"/>
        </w:rPr>
        <w:t>本次采购的系统，交付使用时需符合国家信创要求。</w:t>
      </w:r>
    </w:p>
    <w:p w14:paraId="0434704F">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default" w:ascii="宋体" w:hAnsi="宋体" w:eastAsia="宋体" w:cs="宋体"/>
          <w:b/>
          <w:bCs/>
          <w:i/>
          <w:iCs/>
          <w:color w:val="auto"/>
          <w:sz w:val="21"/>
          <w:szCs w:val="21"/>
          <w:highlight w:val="none"/>
          <w:lang w:val="en-US" w:eastAsia="zh-CN" w:bidi="ar-SA"/>
        </w:rPr>
        <w:t>3.</w:t>
      </w:r>
      <w:r>
        <w:rPr>
          <w:rFonts w:hint="eastAsia" w:ascii="宋体" w:hAnsi="宋体" w:eastAsia="宋体" w:cs="宋体"/>
          <w:b/>
          <w:bCs/>
          <w:i/>
          <w:iCs/>
          <w:color w:val="auto"/>
          <w:sz w:val="21"/>
          <w:szCs w:val="21"/>
          <w:highlight w:val="none"/>
          <w:u w:val="single"/>
        </w:rPr>
        <w:t>本次采购的系统，支持C/S或B/S架构，可运行在windows\安卓\鸿蒙\苹果，支持版本自动更新。应通过院内信息平台，根据自助系统业务需求对接第三方系统，接口交互方式应符合医院要求。</w:t>
      </w:r>
    </w:p>
    <w:p w14:paraId="36013B58">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(提供</w:t>
      </w:r>
      <w:r>
        <w:rPr>
          <w:rFonts w:hint="eastAsia" w:ascii="宋体" w:hAnsi="宋体" w:eastAsia="宋体" w:cs="宋体"/>
          <w:b/>
          <w:bCs/>
          <w:i/>
          <w:iCs/>
          <w:color w:val="auto"/>
          <w:sz w:val="21"/>
          <w:szCs w:val="21"/>
          <w:highlight w:val="none"/>
          <w:u w:val="single"/>
          <w:lang w:val="en-US" w:eastAsia="zh-CN"/>
        </w:rPr>
        <w:t>上述1-3项</w:t>
      </w:r>
      <w:r>
        <w:rPr>
          <w:rFonts w:hint="eastAsia" w:ascii="宋体" w:hAnsi="宋体" w:eastAsia="宋体" w:cs="宋体"/>
          <w:b/>
          <w:bCs/>
          <w:i/>
          <w:iCs/>
          <w:color w:val="auto"/>
          <w:sz w:val="21"/>
          <w:szCs w:val="21"/>
          <w:highlight w:val="none"/>
          <w:u w:val="single"/>
        </w:rPr>
        <w:t>承诺书，承诺书格式自拟，加盖投标人公章）</w:t>
      </w:r>
    </w:p>
    <w:p w14:paraId="169E999E">
      <w:pPr>
        <w:rPr>
          <w:rFonts w:hint="default"/>
          <w:color w:val="auto"/>
          <w:highlight w:val="none"/>
          <w:lang w:val="en-US" w:eastAsia="zh-CN"/>
        </w:rPr>
      </w:pPr>
    </w:p>
    <w:tbl>
      <w:tblPr>
        <w:tblStyle w:val="45"/>
        <w:tblW w:w="8520" w:type="dxa"/>
        <w:tblInd w:w="-112" w:type="dxa"/>
        <w:tblLayout w:type="fixed"/>
        <w:tblCellMar>
          <w:top w:w="0" w:type="dxa"/>
          <w:left w:w="0" w:type="dxa"/>
          <w:bottom w:w="0" w:type="dxa"/>
          <w:right w:w="0" w:type="dxa"/>
        </w:tblCellMar>
      </w:tblPr>
      <w:tblGrid>
        <w:gridCol w:w="982"/>
        <w:gridCol w:w="1260"/>
        <w:gridCol w:w="6278"/>
      </w:tblGrid>
      <w:tr w14:paraId="7EF219A5">
        <w:tblPrEx>
          <w:tblCellMar>
            <w:top w:w="0" w:type="dxa"/>
            <w:left w:w="0" w:type="dxa"/>
            <w:bottom w:w="0" w:type="dxa"/>
            <w:right w:w="0" w:type="dxa"/>
          </w:tblCellMar>
        </w:tblPrEx>
        <w:trPr>
          <w:trHeight w:val="547" w:hRule="atLeast"/>
          <w:tblHead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E5B2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2B18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业务功能</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CE88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6E82D990">
        <w:tblPrEx>
          <w:tblCellMar>
            <w:top w:w="0" w:type="dxa"/>
            <w:left w:w="0" w:type="dxa"/>
            <w:bottom w:w="0" w:type="dxa"/>
            <w:right w:w="0" w:type="dxa"/>
          </w:tblCellMar>
        </w:tblPrEx>
        <w:trPr>
          <w:trHeight w:val="532"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DA42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AA6F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3C1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系统支持患者信息隐私保护，对于部分字符遮掩隐藏处理，保障患者个人隐私安全；应支持多种隐私保护措施，允许设置隐私保护中的内容、字段。</w:t>
            </w:r>
          </w:p>
          <w:p w14:paraId="762E3641">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自助系统核心内容支持中英文双语显示。</w:t>
            </w:r>
          </w:p>
          <w:p w14:paraId="1B029820">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系统支持管理人员对自动提示信息、票据显示信息等模板进行自定义修改</w:t>
            </w:r>
            <w:r>
              <w:rPr>
                <w:rFonts w:hint="eastAsia" w:ascii="宋体" w:hAnsi="宋体" w:eastAsia="宋体" w:cs="宋体"/>
                <w:color w:val="auto"/>
                <w:sz w:val="21"/>
                <w:szCs w:val="21"/>
                <w:highlight w:val="none"/>
                <w:lang w:eastAsia="zh-CN"/>
              </w:rPr>
              <w:t>。</w:t>
            </w:r>
          </w:p>
          <w:p w14:paraId="43AF428A">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所有功能界面，均支持患者快速返回上一步界面进行信息修改，支持快速跳转主界面</w:t>
            </w:r>
            <w:r>
              <w:rPr>
                <w:rFonts w:hint="eastAsia" w:ascii="宋体" w:hAnsi="宋体" w:eastAsia="宋体" w:cs="宋体"/>
                <w:color w:val="auto"/>
                <w:sz w:val="21"/>
                <w:szCs w:val="21"/>
                <w:highlight w:val="none"/>
                <w:lang w:eastAsia="zh-CN"/>
              </w:rPr>
              <w:t>。</w:t>
            </w:r>
          </w:p>
          <w:p w14:paraId="1709DB50">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系统界面在患者无操作能够自动退出，退出时间可自定义</w:t>
            </w:r>
            <w:r>
              <w:rPr>
                <w:rFonts w:hint="eastAsia" w:ascii="宋体" w:hAnsi="宋体" w:eastAsia="宋体" w:cs="宋体"/>
                <w:color w:val="auto"/>
                <w:sz w:val="21"/>
                <w:szCs w:val="21"/>
                <w:highlight w:val="none"/>
                <w:lang w:eastAsia="zh-CN"/>
              </w:rPr>
              <w:t>。</w:t>
            </w:r>
          </w:p>
          <w:p w14:paraId="5CEB58E6">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自助系统支持对接患者CA，自助机设备支持加装患者CA签名设备（按需，院方提供签名设备）。</w:t>
            </w:r>
          </w:p>
          <w:p w14:paraId="5A440DF1">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支持患者完成建档、预约、挂号、充值、结算等操作后，自动打印相应的小票，指引患者进行下一步就医流程</w:t>
            </w:r>
            <w:r>
              <w:rPr>
                <w:rFonts w:hint="eastAsia" w:ascii="宋体" w:hAnsi="宋体" w:eastAsia="宋体" w:cs="宋体"/>
                <w:color w:val="auto"/>
                <w:sz w:val="21"/>
                <w:szCs w:val="21"/>
                <w:highlight w:val="none"/>
                <w:lang w:eastAsia="zh-CN"/>
              </w:rPr>
              <w:t>。</w:t>
            </w:r>
          </w:p>
          <w:p w14:paraId="00ECA128">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老年模式。根据病人ID号查找患者身份证号，判断患者年龄，如果大于60周岁（支持院方自行设定），自动展示老年人模式界面，界面展示信息与非老年模式一样。提供不少于两种利于老年人操作自助系统方法，例如字体变大，功能操作过程中带语音提示等。</w:t>
            </w:r>
          </w:p>
          <w:p w14:paraId="48AE352B">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满足自费患者、复合型参保患者在门诊、急诊、住院流程中“先诊疗后付费”就诊模式</w:t>
            </w:r>
            <w:r>
              <w:rPr>
                <w:rFonts w:hint="eastAsia" w:ascii="宋体" w:hAnsi="宋体" w:eastAsia="宋体" w:cs="宋体"/>
                <w:color w:val="auto"/>
                <w:sz w:val="21"/>
                <w:szCs w:val="21"/>
                <w:highlight w:val="none"/>
                <w:lang w:eastAsia="zh-CN"/>
              </w:rPr>
              <w:t>。</w:t>
            </w:r>
          </w:p>
          <w:p w14:paraId="305FB51F">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shd w:val="clear" w:color="auto"/>
              </w:rPr>
              <w:t>自助服务终端需支持全流程医保人脸无卡就医，并提供演示医保人脸建档、医保人脸挂号、医保人脸医保结算、医保人脸报告打印、医保手持终端出院结算等功能。</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r>
              <w:rPr>
                <w:rFonts w:hint="eastAsia"/>
                <w:color w:val="auto"/>
                <w:highlight w:val="none"/>
                <w:lang w:eastAsia="zh-CN"/>
              </w:rPr>
              <w:t>。</w:t>
            </w:r>
          </w:p>
        </w:tc>
      </w:tr>
      <w:tr w14:paraId="50C9B24A">
        <w:tblPrEx>
          <w:tblCellMar>
            <w:top w:w="0" w:type="dxa"/>
            <w:left w:w="0" w:type="dxa"/>
            <w:bottom w:w="0" w:type="dxa"/>
            <w:right w:w="0" w:type="dxa"/>
          </w:tblCellMar>
        </w:tblPrEx>
        <w:trPr>
          <w:trHeight w:val="705"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14:paraId="31A6213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12C1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识别身份</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D2279A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建档、缴费、挂号、打印、取号、查询时，通过多种方式识别患者实名制身份信息，包括人脸识别（医保/微信/支付宝，后期应支持对接公安人口数据库）、银联卡、实体医保卡、医保电子凭证、身份证（包括电子身份证）、院内就诊条码（一维、二维）、外国人永居证、港澳台居住证、住院腕带（选配）等，支持读卡、扫码和手动输入等方式。</w:t>
            </w:r>
          </w:p>
        </w:tc>
      </w:tr>
      <w:tr w14:paraId="660A98EF">
        <w:tblPrEx>
          <w:tblCellMar>
            <w:top w:w="0" w:type="dxa"/>
            <w:left w:w="0" w:type="dxa"/>
            <w:bottom w:w="0" w:type="dxa"/>
            <w:right w:w="0" w:type="dxa"/>
          </w:tblCellMar>
        </w:tblPrEx>
        <w:trPr>
          <w:trHeight w:val="588" w:hRule="atLeast"/>
        </w:trPr>
        <w:tc>
          <w:tcPr>
            <w:tcW w:w="982" w:type="dxa"/>
            <w:vMerge w:val="restart"/>
            <w:tcBorders>
              <w:top w:val="single" w:color="000000" w:sz="4" w:space="0"/>
              <w:left w:val="single" w:color="000000" w:sz="4" w:space="0"/>
              <w:right w:val="single" w:color="000000" w:sz="4" w:space="0"/>
            </w:tcBorders>
            <w:noWrap w:val="0"/>
            <w:vAlign w:val="center"/>
          </w:tcPr>
          <w:p w14:paraId="25A4631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9BC2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智慧建档</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1BD3E4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支持对接患者主索引库进行统一身份认证与校验，实名身份认证后自助办理院内实名就诊档案，自动获取患者基本信息</w:t>
            </w:r>
            <w:r>
              <w:rPr>
                <w:rFonts w:hint="eastAsia" w:ascii="宋体" w:hAnsi="宋体" w:eastAsia="宋体" w:cs="宋体"/>
                <w:color w:val="auto"/>
                <w:sz w:val="21"/>
                <w:szCs w:val="21"/>
                <w:highlight w:val="none"/>
                <w:lang w:eastAsia="zh-CN"/>
              </w:rPr>
              <w:t>。</w:t>
            </w:r>
          </w:p>
          <w:p w14:paraId="563AEAF5">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支持实名制信息补录与修改，修改关键信息时，具备一致性校验功能。智慧建档内容应符合门诊、住院流程需求，允许急诊自助流程中患者建档内容定制简化。</w:t>
            </w:r>
          </w:p>
        </w:tc>
      </w:tr>
      <w:tr w14:paraId="05D71A14">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0B8E54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F67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自助修改手机号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4DD8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支持通过已绑定身份识别介质核实身份后，自助修改预留手机号。</w:t>
            </w:r>
          </w:p>
        </w:tc>
      </w:tr>
      <w:tr w14:paraId="77CD0B23">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05069B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CCA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就诊二维码打印/补打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068D2">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支持通过已绑定身份识别介质核实身份后，可以自助打印就诊二维码。</w:t>
            </w:r>
          </w:p>
        </w:tc>
      </w:tr>
      <w:tr w14:paraId="7E671B89">
        <w:tblPrEx>
          <w:tblCellMar>
            <w:top w:w="0" w:type="dxa"/>
            <w:left w:w="0" w:type="dxa"/>
            <w:bottom w:w="0" w:type="dxa"/>
            <w:right w:w="0" w:type="dxa"/>
          </w:tblCellMar>
        </w:tblPrEx>
        <w:trPr>
          <w:trHeight w:val="157" w:hRule="atLeast"/>
        </w:trPr>
        <w:tc>
          <w:tcPr>
            <w:tcW w:w="982" w:type="dxa"/>
            <w:vMerge w:val="restart"/>
            <w:tcBorders>
              <w:top w:val="single" w:color="000000" w:sz="4" w:space="0"/>
              <w:left w:val="single" w:color="000000" w:sz="4" w:space="0"/>
              <w:right w:val="single" w:color="000000" w:sz="4" w:space="0"/>
            </w:tcBorders>
            <w:noWrap w:val="0"/>
            <w:vAlign w:val="center"/>
          </w:tcPr>
          <w:p w14:paraId="1E8F133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3DB5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数据对接</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DC7AD7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根据业务需求，通过信息平台获取第三方系统可用信息。</w:t>
            </w:r>
          </w:p>
        </w:tc>
      </w:tr>
      <w:tr w14:paraId="553ED36A">
        <w:tblPrEx>
          <w:tblCellMar>
            <w:top w:w="0" w:type="dxa"/>
            <w:left w:w="0" w:type="dxa"/>
            <w:bottom w:w="0" w:type="dxa"/>
            <w:right w:w="0" w:type="dxa"/>
          </w:tblCellMar>
        </w:tblPrEx>
        <w:trPr>
          <w:trHeight w:val="157" w:hRule="atLeast"/>
        </w:trPr>
        <w:tc>
          <w:tcPr>
            <w:tcW w:w="982" w:type="dxa"/>
            <w:vMerge w:val="continue"/>
            <w:tcBorders>
              <w:top w:val="single" w:color="000000" w:sz="4" w:space="0"/>
              <w:left w:val="single" w:color="000000" w:sz="4" w:space="0"/>
              <w:right w:val="single" w:color="000000" w:sz="4" w:space="0"/>
            </w:tcBorders>
            <w:noWrap w:val="0"/>
            <w:vAlign w:val="center"/>
          </w:tcPr>
          <w:p w14:paraId="32689C1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0A92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当日挂号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758C5C56">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支持通过不同就诊介质实名验证，挂号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并打印挂号凭条</w:t>
            </w:r>
            <w:r>
              <w:rPr>
                <w:rFonts w:hint="eastAsia" w:ascii="宋体" w:hAnsi="宋体" w:eastAsia="宋体" w:cs="宋体"/>
                <w:color w:val="auto"/>
                <w:sz w:val="21"/>
                <w:szCs w:val="21"/>
                <w:highlight w:val="none"/>
                <w:lang w:eastAsia="zh-CN"/>
              </w:rPr>
              <w:t>。</w:t>
            </w:r>
          </w:p>
        </w:tc>
      </w:tr>
      <w:tr w14:paraId="34CA162C">
        <w:tblPrEx>
          <w:tblCellMar>
            <w:top w:w="0" w:type="dxa"/>
            <w:left w:w="0" w:type="dxa"/>
            <w:bottom w:w="0" w:type="dxa"/>
            <w:right w:w="0" w:type="dxa"/>
          </w:tblCellMar>
        </w:tblPrEx>
        <w:trPr>
          <w:trHeight w:val="168" w:hRule="atLeast"/>
        </w:trPr>
        <w:tc>
          <w:tcPr>
            <w:tcW w:w="982" w:type="dxa"/>
            <w:vMerge w:val="continue"/>
            <w:tcBorders>
              <w:left w:val="single" w:color="000000" w:sz="4" w:space="0"/>
              <w:right w:val="single" w:color="000000" w:sz="4" w:space="0"/>
            </w:tcBorders>
            <w:noWrap w:val="0"/>
            <w:vAlign w:val="center"/>
          </w:tcPr>
          <w:p w14:paraId="02A2C4C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2330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急诊挂号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A005C7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支持识别急诊分诊单获取患者分诊信息，自助急诊挂号。</w:t>
            </w:r>
          </w:p>
        </w:tc>
      </w:tr>
      <w:tr w14:paraId="4D60239E">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2848900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E7B1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获取科室信息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AB603B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支持对接信息平台接口获取医院各处室名称、层级信息，支持自助系统二次自主定制科室层级排列关系，支持自助系统二次自主定制科室排列先后顺序。</w:t>
            </w:r>
          </w:p>
        </w:tc>
      </w:tr>
      <w:tr w14:paraId="4EFDEC8D">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0EB6F55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6509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获取医生排班信息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8D3A2C7">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支持对接信息平台接口获取科室内选定时间内的医生排班信息。</w:t>
            </w:r>
          </w:p>
        </w:tc>
      </w:tr>
      <w:tr w14:paraId="566C0FD7">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01D8397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29FA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自助退号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6336DBA">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支持患者在自助终端上自助退号，已缴挂号费退款支持原路返回。</w:t>
            </w:r>
          </w:p>
        </w:tc>
      </w:tr>
      <w:tr w14:paraId="1C85FA82">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4151550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2F8A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752B9CC4">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支持对接院内预约平台，预约设定天数内门诊号源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支持中长期预约功能的扩展，支持先诊疗后付费模式。</w:t>
            </w:r>
          </w:p>
        </w:tc>
      </w:tr>
      <w:tr w14:paraId="04E041EC">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6D3CA8C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3846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预约取号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810CCA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支持自费/医保/商保患者进行取号；支持医院各预约渠道使用自助机完成取号与费用补缴（如：医院公众号、小程序、本地挂号平台）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65B4C69B">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shd w:val="clear" w:color="auto" w:fill="auto"/>
            <w:noWrap w:val="0"/>
            <w:vAlign w:val="center"/>
          </w:tcPr>
          <w:p w14:paraId="3034D21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CB76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自助报到分诊</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0FC31">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支持在医院自助终端上自助报到，进行分诊。</w:t>
            </w:r>
          </w:p>
        </w:tc>
      </w:tr>
      <w:tr w14:paraId="08C78F1D">
        <w:tblPrEx>
          <w:tblCellMar>
            <w:top w:w="0" w:type="dxa"/>
            <w:left w:w="0" w:type="dxa"/>
            <w:bottom w:w="0" w:type="dxa"/>
            <w:right w:w="0" w:type="dxa"/>
          </w:tblCellMar>
        </w:tblPrEx>
        <w:trPr>
          <w:trHeight w:val="306" w:hRule="atLeast"/>
        </w:trPr>
        <w:tc>
          <w:tcPr>
            <w:tcW w:w="982" w:type="dxa"/>
            <w:vMerge w:val="continue"/>
            <w:tcBorders>
              <w:left w:val="single" w:color="000000" w:sz="4" w:space="0"/>
              <w:bottom w:val="single" w:color="000000" w:sz="4" w:space="0"/>
              <w:right w:val="single" w:color="000000" w:sz="4" w:space="0"/>
            </w:tcBorders>
            <w:noWrap w:val="0"/>
            <w:vAlign w:val="center"/>
          </w:tcPr>
          <w:p w14:paraId="571A8AC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8674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取消预约挂号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628A2">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支持在医院自助终端上自助取消预约，并释放号源，已缴挂号费退款支持原路返回。支持对接预约平台黑名单功能。</w:t>
            </w:r>
          </w:p>
        </w:tc>
      </w:tr>
      <w:tr w14:paraId="7065A813">
        <w:tblPrEx>
          <w:tblCellMar>
            <w:top w:w="0" w:type="dxa"/>
            <w:left w:w="0" w:type="dxa"/>
            <w:bottom w:w="0" w:type="dxa"/>
            <w:right w:w="0" w:type="dxa"/>
          </w:tblCellMar>
        </w:tblPrEx>
        <w:trPr>
          <w:trHeight w:val="1056"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52F25BE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出入院结算系统</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77D34">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自助终端入院办理模块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25EFE">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支持自助查看住院须知与入院流程指引等信息；</w:t>
            </w:r>
          </w:p>
          <w:p w14:paraId="4142E402">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在已有第三方身份识别介质的前提下，支持通过身份证、诊疗卡、医保插件（实体医保卡、医保电子凭证、医保人脸），进行信息补录完成入院登记；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在已有第三方腕带打印模块前提下，支持腕带打印及患者线上腕带二维码扫码打印；</w:t>
            </w:r>
          </w:p>
          <w:p w14:paraId="6D2DDB93">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支持使用微信、支付宝，完成住院押金首次充值；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支持打印住院充值凭条；</w:t>
            </w:r>
          </w:p>
        </w:tc>
      </w:tr>
      <w:tr w14:paraId="5ED14190">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37774C7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B217">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自助终端住院费用补缴模块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7A020">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使用微信、支付宝、银行卡完成在院患者缴存住院押金；支持患者在自助终端上查询住院充值缴费记录；支持打印住院押金充值费用凭条</w:t>
            </w:r>
            <w:r>
              <w:rPr>
                <w:rFonts w:hint="eastAsia" w:ascii="宋体" w:hAnsi="宋体" w:eastAsia="宋体" w:cs="宋体"/>
                <w:color w:val="auto"/>
                <w:sz w:val="21"/>
                <w:szCs w:val="21"/>
                <w:highlight w:val="none"/>
                <w:lang w:eastAsia="zh-CN"/>
              </w:rPr>
              <w:t>。</w:t>
            </w:r>
          </w:p>
        </w:tc>
      </w:tr>
      <w:tr w14:paraId="7BFBD146">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7D45682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A486A">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▲自助终端出院结算模块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8D82E">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支持通过身份证，医保人脸、医保卡、患者住院条码</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含住院腕带</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进</w:t>
            </w:r>
            <w:r>
              <w:rPr>
                <w:rFonts w:hint="eastAsia" w:eastAsia="宋体" w:cs="宋体"/>
                <w:color w:val="auto"/>
                <w:sz w:val="21"/>
                <w:szCs w:val="21"/>
                <w:highlight w:val="none"/>
                <w:lang w:val="en-US" w:eastAsia="zh-CN"/>
              </w:rPr>
              <w:t>行</w:t>
            </w:r>
            <w:r>
              <w:rPr>
                <w:rFonts w:hint="eastAsia" w:ascii="宋体" w:hAnsi="宋体" w:eastAsia="宋体" w:cs="宋体"/>
                <w:color w:val="auto"/>
                <w:sz w:val="21"/>
                <w:szCs w:val="21"/>
                <w:highlight w:val="none"/>
              </w:rPr>
              <w:t>结算核身</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支持患者自费出院结算，医保出院结算；支持患者自费补缴差额；支持患者结算退费；</w:t>
            </w:r>
          </w:p>
          <w:p w14:paraId="19E37E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p>
        </w:tc>
      </w:tr>
      <w:tr w14:paraId="72B606D8">
        <w:tblPrEx>
          <w:tblCellMar>
            <w:top w:w="0" w:type="dxa"/>
            <w:left w:w="0" w:type="dxa"/>
            <w:bottom w:w="0" w:type="dxa"/>
            <w:right w:w="0" w:type="dxa"/>
          </w:tblCellMar>
        </w:tblPrEx>
        <w:trPr>
          <w:trHeight w:val="472" w:hRule="atLeast"/>
        </w:trPr>
        <w:tc>
          <w:tcPr>
            <w:tcW w:w="982" w:type="dxa"/>
            <w:vMerge w:val="continue"/>
            <w:tcBorders>
              <w:left w:val="single" w:color="000000" w:sz="4" w:space="0"/>
              <w:right w:val="single" w:color="000000" w:sz="4" w:space="0"/>
            </w:tcBorders>
            <w:shd w:val="clear" w:color="auto" w:fill="auto"/>
            <w:noWrap w:val="0"/>
            <w:vAlign w:val="center"/>
          </w:tcPr>
          <w:p w14:paraId="4167C0B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9F317">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自助终端出院发票模块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0FBEE">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支持住院费用清单打印、结算清单打印，医保结算清单打印；支持对接第三方电子发票接口，对住院发票进行查询打印</w:t>
            </w:r>
            <w:r>
              <w:rPr>
                <w:rFonts w:hint="eastAsia" w:ascii="宋体" w:hAnsi="宋体" w:eastAsia="宋体" w:cs="宋体"/>
                <w:color w:val="auto"/>
                <w:sz w:val="21"/>
                <w:szCs w:val="21"/>
                <w:highlight w:val="none"/>
                <w:lang w:eastAsia="zh-CN"/>
              </w:rPr>
              <w:t>。</w:t>
            </w:r>
          </w:p>
        </w:tc>
      </w:tr>
      <w:tr w14:paraId="57961D5A">
        <w:tblPrEx>
          <w:tblCellMar>
            <w:top w:w="0" w:type="dxa"/>
            <w:left w:w="0" w:type="dxa"/>
            <w:bottom w:w="0" w:type="dxa"/>
            <w:right w:w="0" w:type="dxa"/>
          </w:tblCellMar>
        </w:tblPrEx>
        <w:trPr>
          <w:trHeight w:val="705" w:hRule="atLeast"/>
        </w:trPr>
        <w:tc>
          <w:tcPr>
            <w:tcW w:w="982" w:type="dxa"/>
            <w:vMerge w:val="continue"/>
            <w:tcBorders>
              <w:left w:val="single" w:color="000000" w:sz="4" w:space="0"/>
              <w:right w:val="single" w:color="000000" w:sz="4" w:space="0"/>
            </w:tcBorders>
            <w:shd w:val="clear" w:color="auto" w:fill="auto"/>
            <w:noWrap w:val="0"/>
            <w:vAlign w:val="center"/>
          </w:tcPr>
          <w:p w14:paraId="1522FF8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249DE">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自助终端查询及扫码打印模块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3CE15">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支持自助打印查询及打印出院小结；支持住院日清单的查询及打印；支持补打住院通知书；支持院前检查报告打印；支持移动端二维码读取方式获取住院清单，打印住院费用清单</w:t>
            </w:r>
            <w:r>
              <w:rPr>
                <w:rFonts w:hint="eastAsia" w:ascii="宋体" w:hAnsi="宋体" w:eastAsia="宋体" w:cs="宋体"/>
                <w:color w:val="auto"/>
                <w:sz w:val="21"/>
                <w:szCs w:val="21"/>
                <w:highlight w:val="none"/>
                <w:lang w:eastAsia="zh-CN"/>
              </w:rPr>
              <w:t>。</w:t>
            </w:r>
          </w:p>
        </w:tc>
      </w:tr>
      <w:tr w14:paraId="64514E60">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6659D68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6ED4">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自助终端出院医保模块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C7B4A">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支持医保电子凭证、医保人脸、实体医保卡住院医保登记、医保出院结算；</w:t>
            </w:r>
          </w:p>
        </w:tc>
      </w:tr>
      <w:tr w14:paraId="7AC33B9C">
        <w:tblPrEx>
          <w:tblCellMar>
            <w:top w:w="0" w:type="dxa"/>
            <w:left w:w="0" w:type="dxa"/>
            <w:bottom w:w="0" w:type="dxa"/>
            <w:right w:w="0" w:type="dxa"/>
          </w:tblCellMar>
        </w:tblPrEx>
        <w:trPr>
          <w:trHeight w:val="472" w:hRule="atLeast"/>
        </w:trPr>
        <w:tc>
          <w:tcPr>
            <w:tcW w:w="982" w:type="dxa"/>
            <w:tcBorders>
              <w:left w:val="single" w:color="000000" w:sz="4" w:space="0"/>
              <w:right w:val="single" w:color="000000" w:sz="4" w:space="0"/>
            </w:tcBorders>
            <w:noWrap w:val="0"/>
            <w:vAlign w:val="center"/>
          </w:tcPr>
          <w:p w14:paraId="2FC0E8A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医技预约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BEE0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自助预约时段</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BAC5E1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统一预约平台进行检查、检验、治疗、日间手术、住院（含预入院）预约，支持患者根据院方规则，自助预约特殊检验、检查、治疗、日间手术项目执行时间，支持住院（含预入院）患者预约住院日期、住院床位、检验、检查、治疗等。</w:t>
            </w:r>
          </w:p>
        </w:tc>
      </w:tr>
      <w:tr w14:paraId="301D8556">
        <w:tblPrEx>
          <w:tblCellMar>
            <w:top w:w="0" w:type="dxa"/>
            <w:left w:w="0" w:type="dxa"/>
            <w:bottom w:w="0" w:type="dxa"/>
            <w:right w:w="0" w:type="dxa"/>
          </w:tblCellMar>
        </w:tblPrEx>
        <w:trPr>
          <w:trHeight w:val="355" w:hRule="atLeast"/>
        </w:trPr>
        <w:tc>
          <w:tcPr>
            <w:tcW w:w="982" w:type="dxa"/>
            <w:tcBorders>
              <w:left w:val="single" w:color="000000" w:sz="4" w:space="0"/>
              <w:bottom w:val="nil"/>
              <w:right w:val="single" w:color="000000" w:sz="4" w:space="0"/>
            </w:tcBorders>
            <w:noWrap w:val="0"/>
            <w:vAlign w:val="center"/>
          </w:tcPr>
          <w:p w14:paraId="24F4DCF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8EEE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修改、取消预约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064710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支持患者根据自身情况修改以上服务项目预约时间，支持自助取消预约。</w:t>
            </w:r>
          </w:p>
        </w:tc>
      </w:tr>
      <w:tr w14:paraId="2AE21FB2">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bottom w:val="nil"/>
              <w:right w:val="single" w:color="000000" w:sz="4" w:space="0"/>
            </w:tcBorders>
            <w:noWrap w:val="0"/>
            <w:vAlign w:val="center"/>
          </w:tcPr>
          <w:p w14:paraId="1863538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支付/结算/对账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76A6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支付/结算方式</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1171A6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多种不同类型的</w:t>
            </w:r>
            <w:r>
              <w:rPr>
                <w:rFonts w:hint="eastAsia" w:ascii="宋体" w:hAnsi="宋体" w:eastAsia="宋体" w:cs="宋体"/>
                <w:color w:val="auto"/>
                <w:sz w:val="21"/>
                <w:szCs w:val="21"/>
                <w:highlight w:val="none"/>
              </w:rPr>
              <w:t>支付/结算方式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医保人脸、电子医保凭证、医保卡、支付宝、微信、银行卡、DCEP数字货币、云闪付、现金（选配）。</w:t>
            </w:r>
          </w:p>
        </w:tc>
      </w:tr>
      <w:tr w14:paraId="1424806A">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672EF84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right w:val="single" w:color="000000" w:sz="4" w:space="0"/>
            </w:tcBorders>
            <w:noWrap w:val="0"/>
            <w:vAlign w:val="center"/>
          </w:tcPr>
          <w:p w14:paraId="51F747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门急诊支付项目</w:t>
            </w:r>
          </w:p>
        </w:tc>
        <w:tc>
          <w:tcPr>
            <w:tcW w:w="6278" w:type="dxa"/>
            <w:tcBorders>
              <w:top w:val="single" w:color="000000" w:sz="4" w:space="0"/>
              <w:left w:val="single" w:color="000000" w:sz="4" w:space="0"/>
              <w:right w:val="single" w:color="000000" w:sz="4" w:space="0"/>
            </w:tcBorders>
            <w:noWrap/>
            <w:vAlign w:val="center"/>
          </w:tcPr>
          <w:p w14:paraId="6655F05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支持多种不同类型的项目支付：</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检查、检验、处方、体检、停车缴费等。</w:t>
            </w:r>
          </w:p>
        </w:tc>
      </w:tr>
      <w:tr w14:paraId="1BCD0B82">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7327DBE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auto" w:sz="4" w:space="0"/>
            </w:tcBorders>
            <w:noWrap w:val="0"/>
            <w:vAlign w:val="center"/>
          </w:tcPr>
          <w:p w14:paraId="3314D7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支付/结算模式</w:t>
            </w:r>
          </w:p>
        </w:tc>
        <w:tc>
          <w:tcPr>
            <w:tcW w:w="6278" w:type="dxa"/>
            <w:tcBorders>
              <w:top w:val="single" w:color="auto" w:sz="4" w:space="0"/>
              <w:left w:val="single" w:color="auto" w:sz="4" w:space="0"/>
              <w:bottom w:val="single" w:color="000000" w:sz="4" w:space="0"/>
              <w:right w:val="single" w:color="auto" w:sz="4" w:space="0"/>
            </w:tcBorders>
            <w:noWrap/>
            <w:vAlign w:val="center"/>
          </w:tcPr>
          <w:p w14:paraId="520F84E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支持患者以自费、医保、商保等复合型报销类型实缴结算，退费支持原路返回。</w:t>
            </w:r>
          </w:p>
        </w:tc>
      </w:tr>
      <w:tr w14:paraId="76698FB2">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2F7AC86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auto" w:sz="4" w:space="0"/>
              <w:left w:val="single" w:color="000000" w:sz="4" w:space="0"/>
              <w:bottom w:val="nil"/>
              <w:right w:val="single" w:color="000000" w:sz="4" w:space="0"/>
            </w:tcBorders>
            <w:noWrap w:val="0"/>
            <w:vAlign w:val="center"/>
          </w:tcPr>
          <w:p w14:paraId="597778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财务对账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3D2BB8D">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支持接入医院统一对账平台进行资金对账；支持门诊、住院财务交易明细对账，包括医保结算、预交金、现金、支付宝、微信、数币、银联等。</w:t>
            </w:r>
          </w:p>
        </w:tc>
      </w:tr>
      <w:tr w14:paraId="4BB6A41E">
        <w:tblPrEx>
          <w:tblCellMar>
            <w:top w:w="0" w:type="dxa"/>
            <w:left w:w="0" w:type="dxa"/>
            <w:bottom w:w="0" w:type="dxa"/>
            <w:right w:w="0" w:type="dxa"/>
          </w:tblCellMar>
        </w:tblPrEx>
        <w:trPr>
          <w:trHeight w:val="282" w:hRule="atLeast"/>
        </w:trPr>
        <w:tc>
          <w:tcPr>
            <w:tcW w:w="982" w:type="dxa"/>
            <w:vMerge w:val="continue"/>
            <w:tcBorders>
              <w:left w:val="single" w:color="000000" w:sz="4" w:space="0"/>
              <w:right w:val="single" w:color="000000" w:sz="4" w:space="0"/>
            </w:tcBorders>
            <w:noWrap w:val="0"/>
            <w:vAlign w:val="center"/>
          </w:tcPr>
          <w:p w14:paraId="1A7422F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A3E9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语音提示</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57928BC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支持语音引导操作功能，语音提示打印进度，打完提示总打印数量，并提示用户领取报告。</w:t>
            </w:r>
          </w:p>
        </w:tc>
      </w:tr>
      <w:tr w14:paraId="7F9485E5">
        <w:tblPrEx>
          <w:tblCellMar>
            <w:top w:w="0" w:type="dxa"/>
            <w:left w:w="0" w:type="dxa"/>
            <w:bottom w:w="0" w:type="dxa"/>
            <w:right w:w="0" w:type="dxa"/>
          </w:tblCellMar>
        </w:tblPrEx>
        <w:trPr>
          <w:trHeight w:val="355" w:hRule="atLeast"/>
        </w:trPr>
        <w:tc>
          <w:tcPr>
            <w:tcW w:w="982" w:type="dxa"/>
            <w:vMerge w:val="continue"/>
            <w:tcBorders>
              <w:left w:val="single" w:color="000000" w:sz="4" w:space="0"/>
              <w:bottom w:val="single" w:color="000000" w:sz="4" w:space="0"/>
              <w:right w:val="single" w:color="000000" w:sz="4" w:space="0"/>
            </w:tcBorders>
            <w:noWrap w:val="0"/>
            <w:vAlign w:val="center"/>
          </w:tcPr>
          <w:p w14:paraId="3A1A1D7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7BF3C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隐私保护</w:t>
            </w:r>
          </w:p>
        </w:tc>
        <w:tc>
          <w:tcPr>
            <w:tcW w:w="6278" w:type="dxa"/>
            <w:tcBorders>
              <w:top w:val="single" w:color="000000" w:sz="4" w:space="0"/>
              <w:left w:val="single" w:color="000000" w:sz="4" w:space="0"/>
              <w:bottom w:val="single" w:color="000000" w:sz="4" w:space="0"/>
              <w:right w:val="single" w:color="000000" w:sz="4" w:space="0"/>
            </w:tcBorders>
            <w:noWrap/>
            <w:vAlign w:val="center"/>
          </w:tcPr>
          <w:p w14:paraId="3D628F5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支持患者隐私数据保护，根据对接系统要求不同，支持报告文件生成PDF/ODF打印、接口获取数据直接打印等模式，保证用户信息和系统业务的数据安全。</w:t>
            </w:r>
          </w:p>
        </w:tc>
      </w:tr>
      <w:tr w14:paraId="290E7907">
        <w:tblPrEx>
          <w:tblCellMar>
            <w:top w:w="0" w:type="dxa"/>
            <w:left w:w="0" w:type="dxa"/>
            <w:bottom w:w="0" w:type="dxa"/>
            <w:right w:w="0" w:type="dxa"/>
          </w:tblCellMar>
        </w:tblPrEx>
        <w:trPr>
          <w:trHeight w:val="472"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CC459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综合查询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0C6DF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EF42862">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历次费用明细（分三级汇总）、历史挂号记录、当前费用实际结余情况、检查检验报告单、体检报告单、日间手术排程、退费记录等，支持自动关联不同就诊介质患者信息，支持查看门诊预约挂号须知与门诊流程指引等信息。</w:t>
            </w:r>
          </w:p>
        </w:tc>
      </w:tr>
      <w:tr w14:paraId="22FFFE54">
        <w:tblPrEx>
          <w:tblCellMar>
            <w:top w:w="0" w:type="dxa"/>
            <w:left w:w="0" w:type="dxa"/>
            <w:bottom w:w="0" w:type="dxa"/>
            <w:right w:w="0" w:type="dxa"/>
          </w:tblCellMar>
        </w:tblPrEx>
        <w:trPr>
          <w:trHeight w:val="58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90F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48D7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0BFDA11">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费用明细（分三级汇总）；住院预交金记录，包括充值渠道、充值金额、充值时间、充值结果、账户实际余额等；查看患者实时交易状态、实时账单、当前费用实际结余情况；检查检验报告单；手术日程安排；支持查看住院须知与入院流程指引等信息。</w:t>
            </w:r>
          </w:p>
        </w:tc>
      </w:tr>
      <w:tr w14:paraId="461DB7E1">
        <w:tblPrEx>
          <w:tblCellMar>
            <w:top w:w="0" w:type="dxa"/>
            <w:left w:w="0" w:type="dxa"/>
            <w:bottom w:w="0" w:type="dxa"/>
            <w:right w:w="0" w:type="dxa"/>
          </w:tblCellMar>
        </w:tblPrEx>
        <w:trPr>
          <w:trHeight w:val="23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EF60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7052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409D41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支持查询当前门急诊挂号人数、候诊人数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当前医技检查候诊人数</w:t>
            </w:r>
            <w:r>
              <w:rPr>
                <w:rFonts w:hint="eastAsia" w:ascii="宋体" w:hAnsi="宋体" w:eastAsia="宋体" w:cs="宋体"/>
                <w:color w:val="auto"/>
                <w:sz w:val="21"/>
                <w:szCs w:val="21"/>
                <w:highlight w:val="none"/>
                <w:lang w:eastAsia="zh-CN"/>
              </w:rPr>
              <w:t>。</w:t>
            </w:r>
          </w:p>
        </w:tc>
      </w:tr>
      <w:tr w14:paraId="282AB882">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E96C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24AB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医院简介</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DF903D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支持查询医院简介、科室简介、医生简介信息，查看医院、科室、医生的详细信息。</w:t>
            </w:r>
          </w:p>
        </w:tc>
      </w:tr>
      <w:tr w14:paraId="6C6DCF50">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DC2A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538B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物价查询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01152E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支持查询药品、治疗、检查检验的公开价格，支持按照拼音首字母，化学名等方式进行查询。</w:t>
            </w:r>
          </w:p>
        </w:tc>
      </w:tr>
      <w:tr w14:paraId="0F44A530">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24AFEC2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患者视角主动服务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501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上下屏联动</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1C29AA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上下分屏，业务办理过程中点对点操作功能与引导、宣教、释义内容实时联动，并可对一台、一个区域自助机或单独一个业务场景进行配置。</w:t>
            </w:r>
          </w:p>
        </w:tc>
      </w:tr>
      <w:tr w14:paraId="4C1049E4">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2A2133A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0EE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熄屏感知</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5820D5D">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自动分辨患者使用状态，无人使用自动熄屏，所有硬件进入静熄待机状态，节约能耗；有人使用自动唤醒自助机硬件，快速办理业务。</w:t>
            </w:r>
          </w:p>
        </w:tc>
      </w:tr>
      <w:tr w14:paraId="326D3821">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1B756E0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0BB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熄屏多媒体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BE103A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大屏展示宣教、宣导内容，支持文字、图文、视频上传及轮循播放。</w:t>
            </w:r>
          </w:p>
        </w:tc>
      </w:tr>
      <w:tr w14:paraId="31C70163">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112CDA8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8AC0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业务智能引导</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F75ACA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根据患者的不同就诊业务节点进行智能化的引导，减低患者使用门槛，并进行主动推送办理业务。</w:t>
            </w:r>
          </w:p>
        </w:tc>
      </w:tr>
      <w:tr w14:paraId="3ADCBDB6">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10CF682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E0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▲待办推送</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77F1E1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根据院内就诊业务关系智能化的为患者推送下一项或多项就诊环节的就诊业务办理；患者遗留或未办的业务进行集中化的提醒。</w:t>
            </w:r>
          </w:p>
          <w:p w14:paraId="12B713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p>
        </w:tc>
      </w:tr>
      <w:tr w14:paraId="2D654538">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noWrap w:val="0"/>
            <w:vAlign w:val="center"/>
          </w:tcPr>
          <w:p w14:paraId="04C08A3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5EC8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智能导诊</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7E5A4C25">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支持通过不同就诊介质点击查询人体图身体部位，引导患者选择病症，精准匹配专家和就诊渠道，并提供快捷通道。</w:t>
            </w:r>
          </w:p>
        </w:tc>
      </w:tr>
      <w:tr w14:paraId="1DCA6308">
        <w:tblPrEx>
          <w:tblCellMar>
            <w:top w:w="0" w:type="dxa"/>
            <w:left w:w="0" w:type="dxa"/>
            <w:bottom w:w="0" w:type="dxa"/>
            <w:right w:w="0" w:type="dxa"/>
          </w:tblCellMar>
        </w:tblPrEx>
        <w:trPr>
          <w:trHeight w:val="171" w:hRule="atLeast"/>
        </w:trPr>
        <w:tc>
          <w:tcPr>
            <w:tcW w:w="982" w:type="dxa"/>
            <w:vMerge w:val="continue"/>
            <w:tcBorders>
              <w:left w:val="single" w:color="000000" w:sz="4" w:space="0"/>
              <w:right w:val="single" w:color="000000" w:sz="4" w:space="0"/>
            </w:tcBorders>
            <w:noWrap w:val="0"/>
            <w:vAlign w:val="center"/>
          </w:tcPr>
          <w:p w14:paraId="3BD7308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E643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智能导航</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D405CA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支持对接院内智能导航系统，支持打印智慧医疗导诊单。</w:t>
            </w:r>
          </w:p>
        </w:tc>
      </w:tr>
      <w:tr w14:paraId="0A3AE811">
        <w:tblPrEx>
          <w:tblCellMar>
            <w:top w:w="0" w:type="dxa"/>
            <w:left w:w="0" w:type="dxa"/>
            <w:bottom w:w="0" w:type="dxa"/>
            <w:right w:w="0" w:type="dxa"/>
          </w:tblCellMar>
        </w:tblPrEx>
        <w:trPr>
          <w:trHeight w:val="1406" w:hRule="atLeast"/>
        </w:trPr>
        <w:tc>
          <w:tcPr>
            <w:tcW w:w="982" w:type="dxa"/>
            <w:vMerge w:val="continue"/>
            <w:tcBorders>
              <w:left w:val="single" w:color="000000" w:sz="4" w:space="0"/>
              <w:right w:val="single" w:color="000000" w:sz="4" w:space="0"/>
            </w:tcBorders>
            <w:noWrap w:val="0"/>
            <w:vAlign w:val="center"/>
          </w:tcPr>
          <w:p w14:paraId="6E9757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A55B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全流程就诊指引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4B5F4BF">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支持经过实名制验证后，实时获取本次就诊中患者全部诊疗业务节点。</w:t>
            </w:r>
          </w:p>
          <w:p w14:paraId="170041A8">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支持将患者不同就诊业务节点以时间轴方式进行列表显示。针对患者遗留或未办的业务进行集中化的提醒，支持语音引导系统操作功能。</w:t>
            </w:r>
          </w:p>
          <w:p w14:paraId="5C42370A">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支持通过信息平台，对接HIS、预约挂号、医技预约、叫号系统、各第三方医技系统、院内智能导航系统。</w:t>
            </w:r>
          </w:p>
          <w:p w14:paraId="41AE520E">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支持向互联网医院推送最优就诊路径。</w:t>
            </w:r>
          </w:p>
        </w:tc>
      </w:tr>
      <w:tr w14:paraId="797A13F1">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38E5668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1DF6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满意度评价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23C517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支持门诊、住院患者填写满意度问卷调查，支持针对就诊流程中某位医护人员、某个就诊节点进行满意度评价，支持生成满意度报表。支持院内OA系统对接。</w:t>
            </w:r>
          </w:p>
        </w:tc>
      </w:tr>
      <w:tr w14:paraId="09BA9C49">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7C8FD84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F242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▲适老助残服务</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97586B4">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支持老年/残疾适用版本，支持版本自由切换。从可感知性、可理解性、可操作性等方面实现适老化的布局精简、页面优化、对比度增强的UE设计、交互应用。</w:t>
            </w:r>
          </w:p>
          <w:p w14:paraId="35D5F6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r>
              <w:rPr>
                <w:rFonts w:hint="eastAsia"/>
                <w:color w:val="auto"/>
                <w:highlight w:val="none"/>
                <w:lang w:eastAsia="zh-CN"/>
              </w:rPr>
              <w:t>。</w:t>
            </w:r>
          </w:p>
        </w:tc>
      </w:tr>
      <w:tr w14:paraId="0A91320C">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1E26175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16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▲中英文界面</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40D2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一键切换到英文界面，流程全部信息，全部为英文，提示语言英文</w:t>
            </w:r>
            <w:r>
              <w:rPr>
                <w:rFonts w:hint="eastAsia" w:ascii="宋体" w:hAnsi="宋体" w:eastAsia="宋体" w:cs="宋体"/>
                <w:color w:val="auto"/>
                <w:sz w:val="21"/>
                <w:szCs w:val="21"/>
                <w:highlight w:val="none"/>
                <w:lang w:eastAsia="zh-CN"/>
              </w:rPr>
              <w:t>。</w:t>
            </w:r>
          </w:p>
          <w:p w14:paraId="7BDAD8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p>
        </w:tc>
      </w:tr>
      <w:tr w14:paraId="0168EE11">
        <w:tblPrEx>
          <w:tblCellMar>
            <w:top w:w="0" w:type="dxa"/>
            <w:left w:w="0" w:type="dxa"/>
            <w:bottom w:w="0" w:type="dxa"/>
            <w:right w:w="0" w:type="dxa"/>
          </w:tblCellMar>
        </w:tblPrEx>
        <w:trPr>
          <w:trHeight w:val="595" w:hRule="atLeast"/>
        </w:trPr>
        <w:tc>
          <w:tcPr>
            <w:tcW w:w="982" w:type="dxa"/>
            <w:vMerge w:val="continue"/>
            <w:tcBorders>
              <w:left w:val="single" w:color="000000" w:sz="4" w:space="0"/>
              <w:right w:val="single" w:color="000000" w:sz="4" w:space="0"/>
            </w:tcBorders>
            <w:noWrap w:val="0"/>
            <w:vAlign w:val="center"/>
          </w:tcPr>
          <w:p w14:paraId="3CC9EA0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223F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自助开单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483359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支持通过实名制认证后，自助开据检验检查项目。</w:t>
            </w:r>
          </w:p>
        </w:tc>
      </w:tr>
      <w:tr w14:paraId="104C0751">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auto" w:sz="4" w:space="0"/>
              <w:right w:val="single" w:color="000000" w:sz="4" w:space="0"/>
            </w:tcBorders>
            <w:noWrap w:val="0"/>
            <w:vAlign w:val="center"/>
          </w:tcPr>
          <w:p w14:paraId="32E7337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000000" w:sz="4" w:space="0"/>
            </w:tcBorders>
            <w:noWrap w:val="0"/>
            <w:vAlign w:val="center"/>
          </w:tcPr>
          <w:p w14:paraId="1BFAF3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▲线上线下一体化</w:t>
            </w:r>
          </w:p>
        </w:tc>
        <w:tc>
          <w:tcPr>
            <w:tcW w:w="6278" w:type="dxa"/>
            <w:tcBorders>
              <w:top w:val="single" w:color="000000" w:sz="4" w:space="0"/>
              <w:left w:val="single" w:color="000000" w:sz="4" w:space="0"/>
              <w:bottom w:val="single" w:color="auto" w:sz="4" w:space="0"/>
              <w:right w:val="single" w:color="000000" w:sz="4" w:space="0"/>
            </w:tcBorders>
            <w:noWrap w:val="0"/>
            <w:vAlign w:val="center"/>
          </w:tcPr>
          <w:p w14:paraId="7B11A2F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支持界面显示二维码链接，扫描后直接打开线上小程序对应界面，进行对等业务操作。线上线下全面实现患者资料、基础数据、临床数据、财务数据、服务信息实时共享，业务流程互联互通，软件功能同质化、历史数据查询共享。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r>
              <w:rPr>
                <w:rFonts w:hint="eastAsia"/>
                <w:color w:val="auto"/>
                <w:highlight w:val="none"/>
                <w:lang w:eastAsia="zh-CN"/>
              </w:rPr>
              <w:t>。</w:t>
            </w:r>
          </w:p>
        </w:tc>
      </w:tr>
      <w:tr w14:paraId="1A2D2D73">
        <w:tblPrEx>
          <w:tblCellMar>
            <w:top w:w="0" w:type="dxa"/>
            <w:left w:w="0" w:type="dxa"/>
            <w:bottom w:w="0" w:type="dxa"/>
            <w:right w:w="0" w:type="dxa"/>
          </w:tblCellMar>
        </w:tblPrEx>
        <w:trPr>
          <w:trHeight w:val="439" w:hRule="atLeast"/>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04E4B20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移动结算终端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CDA90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门诊预约</w:t>
            </w:r>
          </w:p>
          <w:p w14:paraId="4459D4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8CBB30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支持当日挂号与选择日期预约，识别方式支持医保电子凭证、身份证、医保人脸、手动输入患者识别号</w:t>
            </w:r>
          </w:p>
        </w:tc>
      </w:tr>
      <w:tr w14:paraId="2E3EA9CA">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7C7B006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FF26D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业务凭证</w:t>
            </w:r>
          </w:p>
          <w:p w14:paraId="1266B5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5BC93EA">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支持完成业务办理后打印凭证</w:t>
            </w:r>
          </w:p>
        </w:tc>
      </w:tr>
      <w:tr w14:paraId="16E8F378">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05E2CF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884A5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门诊缴费</w:t>
            </w:r>
          </w:p>
          <w:p w14:paraId="40B410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519B11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支持医保电子凭证、医保人脸完成医保结算，自费部分支持微信、支付宝扫码付</w:t>
            </w:r>
          </w:p>
        </w:tc>
      </w:tr>
      <w:tr w14:paraId="4DB926E2">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4C0746D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853717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门诊签到</w:t>
            </w:r>
          </w:p>
          <w:p w14:paraId="3421C4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7A7B1871">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支持对接排队系统进行签到，支持对接排队系统接口对特殊患者进行优先就诊插入</w:t>
            </w:r>
          </w:p>
        </w:tc>
      </w:tr>
      <w:tr w14:paraId="0188F8F8">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259DCE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46B1E0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排队查询</w:t>
            </w:r>
          </w:p>
          <w:p w14:paraId="5B6D0F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014675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支持对接排队系统查询当前排队情况</w:t>
            </w:r>
          </w:p>
        </w:tc>
      </w:tr>
      <w:tr w14:paraId="1346E6C2">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069109C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12985E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健康宣教</w:t>
            </w:r>
          </w:p>
          <w:p w14:paraId="7CB177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31A083C7">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支持对接院内宣教系统，实现宣教内容播放</w:t>
            </w:r>
          </w:p>
        </w:tc>
      </w:tr>
      <w:tr w14:paraId="05CFA326">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497DF0B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AA3F75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住院充值</w:t>
            </w:r>
          </w:p>
          <w:p w14:paraId="04E77C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4D3D0C0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支持支付宝、微信等方式为在院患者缴存住院押金，充值方式支持主扫被扫模式切换</w:t>
            </w:r>
          </w:p>
        </w:tc>
      </w:tr>
      <w:tr w14:paraId="4CA29F2E">
        <w:tblPrEx>
          <w:tblCellMar>
            <w:top w:w="0" w:type="dxa"/>
            <w:left w:w="0" w:type="dxa"/>
            <w:bottom w:w="0" w:type="dxa"/>
            <w:right w:w="0" w:type="dxa"/>
          </w:tblCellMar>
        </w:tblPrEx>
        <w:trPr>
          <w:trHeight w:val="722"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5CA70E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0724B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自费出院结算</w:t>
            </w:r>
          </w:p>
          <w:p w14:paraId="157EF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588B1FE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支持住院自费退费结算.补缴结算</w:t>
            </w:r>
          </w:p>
        </w:tc>
      </w:tr>
      <w:tr w14:paraId="05713924">
        <w:tblPrEx>
          <w:tblCellMar>
            <w:top w:w="0" w:type="dxa"/>
            <w:left w:w="0" w:type="dxa"/>
            <w:bottom w:w="0" w:type="dxa"/>
            <w:right w:w="0" w:type="dxa"/>
          </w:tblCellMar>
        </w:tblPrEx>
        <w:trPr>
          <w:trHeight w:val="443"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9153E8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519DF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医保出院结算</w:t>
            </w:r>
          </w:p>
          <w:p w14:paraId="493005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E128F7A">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支持住院医保、自费退费结算.补缴结算（医保结算支持医保刷脸、医保电子凭证介质）</w:t>
            </w:r>
          </w:p>
        </w:tc>
      </w:tr>
    </w:tbl>
    <w:p w14:paraId="17BBCE02">
      <w:pPr>
        <w:pageBreakBefore w:val="0"/>
        <w:kinsoku/>
        <w:overflowPunct/>
        <w:autoSpaceDE/>
        <w:autoSpaceDN/>
        <w:bidi w:val="0"/>
        <w:adjustRightInd w:val="0"/>
        <w:snapToGrid w:val="0"/>
        <w:rPr>
          <w:rFonts w:hint="default"/>
          <w:color w:val="auto"/>
          <w:highlight w:val="none"/>
          <w:lang w:val="en-US" w:eastAsia="zh-CN"/>
        </w:rPr>
      </w:pPr>
    </w:p>
    <w:p w14:paraId="7A972FC0">
      <w:pPr>
        <w:pageBreakBefore w:val="0"/>
        <w:kinsoku/>
        <w:overflowPunct/>
        <w:autoSpaceDE/>
        <w:autoSpaceDN/>
        <w:bidi w:val="0"/>
        <w:adjustRightInd w:val="0"/>
        <w:snapToGrid w:val="0"/>
        <w:rPr>
          <w:rFonts w:hint="eastAsia"/>
          <w:color w:val="auto"/>
          <w:highlight w:val="none"/>
        </w:rPr>
      </w:pPr>
    </w:p>
    <w:p w14:paraId="1C21FC00">
      <w:pPr>
        <w:pStyle w:val="16"/>
        <w:pageBreakBefore w:val="0"/>
        <w:numPr>
          <w:ilvl w:val="0"/>
          <w:numId w:val="18"/>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多功能自助打印系统</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val="en-US" w:eastAsia="zh-CN"/>
        </w:rPr>
        <w:t>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308012CE">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0B75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ADAB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17D7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6D465D4A">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07DB673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多功能自助打印系统</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A1B80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一站式打印</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B8ADF24">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实名制确认方式，打印检验、超声、心电、病理、药品处方、导诊单、缴费凭条、诊断证明书、门诊病历、电子发票、费用清单、腕带（选配）、催款通知、住院（检查、治疗）申请单、住院押金充值费用凭条、出院小结、线上支付凭条等，支持黑白和彩色（选配）打印，支持补打，设定免费打印次数。</w:t>
            </w:r>
          </w:p>
        </w:tc>
      </w:tr>
    </w:tbl>
    <w:p w14:paraId="76BD5D92">
      <w:pPr>
        <w:pStyle w:val="16"/>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p>
    <w:p w14:paraId="55101DF4">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自助运维管理平台功能需求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7EAF9017">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ADEAB">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3E0B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D8FC9">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1DCCFA29">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798C4E68">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运行环境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F0DB1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环境要求</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2DB3EFB">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自助运维管理平台应支持windows\安卓\鸿蒙\苹果等操作系统，根据医院自身需要进行选配。</w:t>
            </w:r>
          </w:p>
        </w:tc>
      </w:tr>
      <w:tr w14:paraId="6D7C9068">
        <w:tblPrEx>
          <w:tblCellMar>
            <w:top w:w="0" w:type="dxa"/>
            <w:left w:w="108" w:type="dxa"/>
            <w:bottom w:w="0" w:type="dxa"/>
            <w:right w:w="108" w:type="dxa"/>
          </w:tblCellMar>
        </w:tblPrEx>
        <w:trPr>
          <w:trHeight w:val="412"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7B2AF37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AEEC2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个性化配置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B24E729">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全局化与个性化业务配置（全院/分院/医联体/门诊/急诊/科室），包括挂号、预约、缴费等业务（科室—专业—专家—号源的业务流程自主配置）；支持节假日自主配置，并应用到自助机的相关业务时间配置中；支持页面风格（皮肤）主题颜色个性化配置。</w:t>
            </w:r>
          </w:p>
        </w:tc>
      </w:tr>
      <w:tr w14:paraId="2CE770A0">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915725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E731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键盘自定义配置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00377BD">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患者建档过程中，录入患者基本信息时，支持多种输入法，如手写，拼音，联想记忆等。</w:t>
            </w:r>
          </w:p>
        </w:tc>
      </w:tr>
      <w:tr w14:paraId="4AFC778A">
        <w:tblPrEx>
          <w:tblCellMar>
            <w:top w:w="0" w:type="dxa"/>
            <w:left w:w="108" w:type="dxa"/>
            <w:bottom w:w="0" w:type="dxa"/>
            <w:right w:w="108" w:type="dxa"/>
          </w:tblCellMar>
        </w:tblPrEx>
        <w:trPr>
          <w:trHeight w:val="405"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3AE14E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5EA02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多语种配置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E49E9FA">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支持中英，简/繁等配置。</w:t>
            </w:r>
          </w:p>
        </w:tc>
      </w:tr>
      <w:tr w14:paraId="6D4C8B53">
        <w:tblPrEx>
          <w:tblCellMar>
            <w:top w:w="0" w:type="dxa"/>
            <w:left w:w="108" w:type="dxa"/>
            <w:bottom w:w="0" w:type="dxa"/>
            <w:right w:w="108" w:type="dxa"/>
          </w:tblCellMar>
        </w:tblPrEx>
        <w:trPr>
          <w:trHeight w:val="52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E24A8F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8870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F0A59A2">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配置自助机所在区域、编号、IP地址、MAC地址、设备型号等信息；配置自助机的硬件参数以及软件参数</w:t>
            </w:r>
            <w:r>
              <w:rPr>
                <w:rFonts w:hint="eastAsia" w:ascii="宋体" w:hAnsi="宋体" w:eastAsia="宋体" w:cs="宋体"/>
                <w:color w:val="auto"/>
                <w:sz w:val="21"/>
                <w:szCs w:val="21"/>
                <w:highlight w:val="none"/>
                <w:lang w:eastAsia="zh-CN"/>
              </w:rPr>
              <w:t>。</w:t>
            </w:r>
          </w:p>
        </w:tc>
      </w:tr>
      <w:tr w14:paraId="5CF16822">
        <w:tblPrEx>
          <w:tblCellMar>
            <w:top w:w="0" w:type="dxa"/>
            <w:left w:w="108" w:type="dxa"/>
            <w:bottom w:w="0" w:type="dxa"/>
            <w:right w:w="108" w:type="dxa"/>
          </w:tblCellMar>
        </w:tblPrEx>
        <w:trPr>
          <w:trHeight w:val="1004"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4048A8F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D9C6A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运行管理</w:t>
            </w:r>
          </w:p>
        </w:tc>
        <w:tc>
          <w:tcPr>
            <w:tcW w:w="6284" w:type="dxa"/>
            <w:tcBorders>
              <w:top w:val="single" w:color="000000" w:sz="4" w:space="0"/>
              <w:left w:val="single" w:color="000000" w:sz="4" w:space="0"/>
              <w:bottom w:val="nil"/>
              <w:right w:val="single" w:color="000000" w:sz="4" w:space="0"/>
            </w:tcBorders>
            <w:noWrap w:val="0"/>
            <w:vAlign w:val="center"/>
          </w:tcPr>
          <w:p w14:paraId="1FF8324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自助机的实时监控，支持手机端、PC端、自助端实时查看任意一台自助机实时的交易情况和任一时间段内的交易情况；按照区域显示所有自助机状态，包括正常、预警、告警三个状态；显示该机器上所有硬件模块的工作状态，以及异常内容；显示自助机版本号。</w:t>
            </w:r>
          </w:p>
        </w:tc>
      </w:tr>
      <w:tr w14:paraId="389C81F9">
        <w:tblPrEx>
          <w:tblCellMar>
            <w:top w:w="0" w:type="dxa"/>
            <w:left w:w="108" w:type="dxa"/>
            <w:bottom w:w="0" w:type="dxa"/>
            <w:right w:w="108" w:type="dxa"/>
          </w:tblCellMar>
        </w:tblPrEx>
        <w:trPr>
          <w:trHeight w:val="46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C1B96C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2F04E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远程维护</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DF3402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终端自助机支持远程重启，关机，业务暂停，业务开始功能。</w:t>
            </w:r>
          </w:p>
        </w:tc>
      </w:tr>
      <w:tr w14:paraId="7D743E98">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6F8B22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A2E92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4D3493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实时显示监控服务器CPU、磁盘、内存占用情况，可设置阈值预警；支持院区终端信息监控，异常数据自动上报。</w:t>
            </w:r>
          </w:p>
        </w:tc>
      </w:tr>
      <w:tr w14:paraId="03499731">
        <w:tblPrEx>
          <w:tblCellMar>
            <w:top w:w="0" w:type="dxa"/>
            <w:left w:w="108" w:type="dxa"/>
            <w:bottom w:w="0" w:type="dxa"/>
            <w:right w:w="108" w:type="dxa"/>
          </w:tblCellMar>
        </w:tblPrEx>
        <w:trPr>
          <w:trHeight w:val="48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082A25E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8864A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外设监控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DA5D38E">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支持对凭条打印机，报告打印机的监控功能和内外网告警提醒。</w:t>
            </w:r>
          </w:p>
        </w:tc>
      </w:tr>
      <w:tr w14:paraId="2DE56700">
        <w:tblPrEx>
          <w:tblCellMar>
            <w:top w:w="0" w:type="dxa"/>
            <w:left w:w="108" w:type="dxa"/>
            <w:bottom w:w="0" w:type="dxa"/>
            <w:right w:w="108" w:type="dxa"/>
          </w:tblCellMar>
        </w:tblPrEx>
        <w:trPr>
          <w:trHeight w:val="70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CB3619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BF63C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21ADB00">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对医院区域进行增加，删除，修改和查询；支持多院区管理，医联体/多院区内各节点医院业务流程互通，缴费流程互通，数据统计互通。</w:t>
            </w:r>
          </w:p>
        </w:tc>
      </w:tr>
      <w:tr w14:paraId="240F0654">
        <w:tblPrEx>
          <w:tblCellMar>
            <w:top w:w="0" w:type="dxa"/>
            <w:left w:w="108" w:type="dxa"/>
            <w:bottom w:w="0" w:type="dxa"/>
            <w:right w:w="108" w:type="dxa"/>
          </w:tblCellMar>
        </w:tblPrEx>
        <w:trPr>
          <w:trHeight w:val="527"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5DFD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E2385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8FDE9DA">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支持自助机自动报修（如缺纸，少纸，故障等）；支持患者/医务人员扫码报修；支持驻场运维人员扫码巡检，并提供日常巡检工作量表格。</w:t>
            </w:r>
          </w:p>
        </w:tc>
      </w:tr>
      <w:tr w14:paraId="5E9BFBF9">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9E17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C6B95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E6FB826">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记录自助机维修记录，包括维修部件、故障类型名称、故障时间、维修结束时间等信息；支持运维平台实时自动通过微信公众号推送报修信息，设备故障信息等。</w:t>
            </w:r>
          </w:p>
        </w:tc>
      </w:tr>
      <w:tr w14:paraId="61869D70">
        <w:tblPrEx>
          <w:tblCellMar>
            <w:top w:w="0" w:type="dxa"/>
            <w:left w:w="108" w:type="dxa"/>
            <w:bottom w:w="0" w:type="dxa"/>
            <w:right w:w="108" w:type="dxa"/>
          </w:tblCellMar>
        </w:tblPrEx>
        <w:trPr>
          <w:trHeight w:val="62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0090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76957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005CED3">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查看设备的故障记录明细，包括硬件故障，软件故障，通讯故障，设备编号，故障类型，设备类型，ip，故障时间，故障详述。</w:t>
            </w:r>
          </w:p>
        </w:tc>
      </w:tr>
      <w:tr w14:paraId="3677464E">
        <w:tblPrEx>
          <w:tblCellMar>
            <w:top w:w="0" w:type="dxa"/>
            <w:left w:w="108" w:type="dxa"/>
            <w:bottom w:w="0" w:type="dxa"/>
            <w:right w:w="108" w:type="dxa"/>
          </w:tblCellMar>
        </w:tblPrEx>
        <w:trPr>
          <w:trHeight w:val="47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F81F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04F59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故障率统计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1B44CF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按故障类型和时间统计终端的故障次数。</w:t>
            </w:r>
          </w:p>
        </w:tc>
      </w:tr>
      <w:tr w14:paraId="0DD25C59">
        <w:tblPrEx>
          <w:tblCellMar>
            <w:top w:w="0" w:type="dxa"/>
            <w:left w:w="108" w:type="dxa"/>
            <w:bottom w:w="0" w:type="dxa"/>
            <w:right w:w="108" w:type="dxa"/>
          </w:tblCellMar>
        </w:tblPrEx>
        <w:trPr>
          <w:trHeight w:val="666"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BDC7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9ABAB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F8A2B13">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查询每次交易记录，包括设备编号、银行、就诊卡号、业务类型、资金类型、金额、支付流水号、自助机交易时间、支付终端号、支付账号、支付时间等</w:t>
            </w:r>
            <w:r>
              <w:rPr>
                <w:rFonts w:hint="eastAsia" w:ascii="宋体" w:hAnsi="宋体" w:eastAsia="宋体" w:cs="宋体"/>
                <w:color w:val="auto"/>
                <w:sz w:val="21"/>
                <w:szCs w:val="21"/>
                <w:highlight w:val="none"/>
                <w:lang w:eastAsia="zh-CN"/>
              </w:rPr>
              <w:t>。</w:t>
            </w:r>
          </w:p>
        </w:tc>
      </w:tr>
      <w:tr w14:paraId="4ECC3F5D">
        <w:tblPrEx>
          <w:tblCellMar>
            <w:top w:w="0" w:type="dxa"/>
            <w:left w:w="108" w:type="dxa"/>
            <w:bottom w:w="0" w:type="dxa"/>
            <w:right w:w="108" w:type="dxa"/>
          </w:tblCellMar>
        </w:tblPrEx>
        <w:trPr>
          <w:trHeight w:val="112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6A5B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86218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医保结算明细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945418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结算记录，包括设备编号、银行、就诊卡号、业务类型、资金类型、金额、支付流水号、自助机交易时间、支付终端号、支付账号、支付时间、第三方订单号、订单状态、科室、医生、患者姓名、手机号、身份证、余额支付、医保支付、地区编码、退款金额、退款时间等。</w:t>
            </w:r>
          </w:p>
        </w:tc>
      </w:tr>
      <w:tr w14:paraId="3D4D885D">
        <w:tblPrEx>
          <w:tblCellMar>
            <w:top w:w="0" w:type="dxa"/>
            <w:left w:w="108" w:type="dxa"/>
            <w:bottom w:w="0" w:type="dxa"/>
            <w:right w:w="108" w:type="dxa"/>
          </w:tblCellMar>
        </w:tblPrEx>
        <w:trPr>
          <w:trHeight w:val="805"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7A0B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D0422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管理员驾驶仓</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9E6123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门诊/住院业务数据实时统计、监控，生成电子看板；支持对全院终端运维情况数据实时统计、监控，生成电子看板；具有自助服务使用数据分析能力，能够有效指导医院对点位安排、设备数量、人流动线等进行合理规划，促进智慧化管理运营决策支持。</w:t>
            </w:r>
          </w:p>
        </w:tc>
      </w:tr>
      <w:tr w14:paraId="5C207E66">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A72B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3498A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工作量统计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C2F81A5">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统计每台终端运行至今数据，包括挂号、预约、缴费数量，缴费金额，不同项目打印张数等，支持患者个人相关数据统计。</w:t>
            </w:r>
          </w:p>
        </w:tc>
      </w:tr>
      <w:tr w14:paraId="3F5D10F6">
        <w:tblPrEx>
          <w:tblCellMar>
            <w:top w:w="0" w:type="dxa"/>
            <w:left w:w="108" w:type="dxa"/>
            <w:bottom w:w="0" w:type="dxa"/>
            <w:right w:w="108" w:type="dxa"/>
          </w:tblCellMar>
        </w:tblPrEx>
        <w:trPr>
          <w:trHeight w:val="408"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7D3B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DEB74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3552E3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支持对全院支付交易业务数据实时统计，监控，生成电子看板；统计每台设备银行卡，微信，支付宝，现金交易笔数和金额，支持权限管理</w:t>
            </w:r>
            <w:r>
              <w:rPr>
                <w:rFonts w:hint="eastAsia" w:ascii="宋体" w:hAnsi="宋体" w:eastAsia="宋体" w:cs="宋体"/>
                <w:color w:val="auto"/>
                <w:sz w:val="21"/>
                <w:szCs w:val="21"/>
                <w:highlight w:val="none"/>
                <w:lang w:eastAsia="zh-CN"/>
              </w:rPr>
              <w:t>。</w:t>
            </w:r>
          </w:p>
        </w:tc>
      </w:tr>
      <w:tr w14:paraId="32C73695">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98C7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057D4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FC890E9">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可统计门诊/住院满意度调查结果；可对门诊/住院满意度调查结果生成分析图表。</w:t>
            </w:r>
          </w:p>
        </w:tc>
      </w:tr>
      <w:tr w14:paraId="593B700A">
        <w:tblPrEx>
          <w:tblCellMar>
            <w:top w:w="0" w:type="dxa"/>
            <w:left w:w="108" w:type="dxa"/>
            <w:bottom w:w="0" w:type="dxa"/>
            <w:right w:w="108" w:type="dxa"/>
          </w:tblCellMar>
        </w:tblPrEx>
        <w:trPr>
          <w:trHeight w:val="408"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3D58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B50B9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角色管理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C86457F">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对系统角色进行增加，删除，修改以及分配角色菜单权限</w:t>
            </w:r>
          </w:p>
        </w:tc>
      </w:tr>
      <w:tr w14:paraId="6AA5B70B">
        <w:tblPrEx>
          <w:tblCellMar>
            <w:top w:w="0" w:type="dxa"/>
            <w:left w:w="108" w:type="dxa"/>
            <w:bottom w:w="0" w:type="dxa"/>
            <w:right w:w="108" w:type="dxa"/>
          </w:tblCellMar>
        </w:tblPrEx>
        <w:trPr>
          <w:trHeight w:val="34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83F0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B582B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B51651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对系统用户进行增加，删除，修改以及分配角色</w:t>
            </w:r>
          </w:p>
        </w:tc>
      </w:tr>
    </w:tbl>
    <w:p w14:paraId="3D1AE57B">
      <w:pPr>
        <w:pageBreakBefore w:val="0"/>
        <w:kinsoku/>
        <w:overflowPunct/>
        <w:autoSpaceDE/>
        <w:autoSpaceDN/>
        <w:bidi w:val="0"/>
        <w:adjustRightInd w:val="0"/>
        <w:snapToGrid w:val="0"/>
        <w:rPr>
          <w:rFonts w:hint="eastAsia"/>
          <w:color w:val="auto"/>
          <w:highlight w:val="none"/>
        </w:rPr>
      </w:pPr>
    </w:p>
    <w:p w14:paraId="2FCDD245">
      <w:pPr>
        <w:pageBreakBefore w:val="0"/>
        <w:kinsoku/>
        <w:overflowPunct/>
        <w:autoSpaceDE/>
        <w:autoSpaceDN/>
        <w:bidi w:val="0"/>
        <w:adjustRightInd w:val="0"/>
        <w:snapToGrid w:val="0"/>
        <w:rPr>
          <w:rFonts w:hint="eastAsia"/>
          <w:color w:val="auto"/>
          <w:highlight w:val="none"/>
        </w:rPr>
      </w:pPr>
    </w:p>
    <w:p w14:paraId="6446E1DB">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自助系统支付与对账功能需求</w:t>
      </w:r>
    </w:p>
    <w:tbl>
      <w:tblPr>
        <w:tblStyle w:val="45"/>
        <w:tblW w:w="8438" w:type="dxa"/>
        <w:jc w:val="center"/>
        <w:tblLayout w:type="fixed"/>
        <w:tblCellMar>
          <w:top w:w="0" w:type="dxa"/>
          <w:left w:w="108" w:type="dxa"/>
          <w:bottom w:w="0" w:type="dxa"/>
          <w:right w:w="108" w:type="dxa"/>
        </w:tblCellMar>
      </w:tblPr>
      <w:tblGrid>
        <w:gridCol w:w="903"/>
        <w:gridCol w:w="1211"/>
        <w:gridCol w:w="6324"/>
      </w:tblGrid>
      <w:tr w14:paraId="16DFEDDC">
        <w:tblPrEx>
          <w:tblCellMar>
            <w:top w:w="0" w:type="dxa"/>
            <w:left w:w="108" w:type="dxa"/>
            <w:bottom w:w="0" w:type="dxa"/>
            <w:right w:w="108" w:type="dxa"/>
          </w:tblCellMar>
        </w:tblPrEx>
        <w:trPr>
          <w:trHeight w:val="630" w:hRule="atLeast"/>
          <w:tblHeader/>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A8B6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DDB3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3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6043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52F382FC">
        <w:tblPrEx>
          <w:tblCellMar>
            <w:top w:w="0" w:type="dxa"/>
            <w:left w:w="108" w:type="dxa"/>
            <w:bottom w:w="0" w:type="dxa"/>
            <w:right w:w="108" w:type="dxa"/>
          </w:tblCellMar>
        </w:tblPrEx>
        <w:trPr>
          <w:trHeight w:val="630"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57C6289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4F4B306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149D13B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5E03A70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7C82B14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1FAB322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25F0B43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31356E6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w:t>
            </w:r>
          </w:p>
          <w:p w14:paraId="1B91039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3E0ABF09">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87557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统一接口</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06640FD8">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统一支付平台系统需支持对接医院所有收支业务，统一规范医院各支付通道接口，为医院各支付业务提供统一的支付接口、退费接口和统一的账单接口。</w:t>
            </w:r>
          </w:p>
        </w:tc>
      </w:tr>
      <w:tr w14:paraId="3C64D242">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64872CA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E94A3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625A1C43">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兼容多个支付平台，支持银行卡，支付宝，微信，人脸，数币，云闪付等多个支付平台；多场景支付平台，同时支持线上，线下，窗口等多支付场景。</w:t>
            </w:r>
          </w:p>
        </w:tc>
      </w:tr>
      <w:tr w14:paraId="7561EF48">
        <w:tblPrEx>
          <w:tblCellMar>
            <w:top w:w="0" w:type="dxa"/>
            <w:left w:w="108" w:type="dxa"/>
            <w:bottom w:w="0" w:type="dxa"/>
            <w:right w:w="108" w:type="dxa"/>
          </w:tblCellMar>
        </w:tblPrEx>
        <w:trPr>
          <w:trHeight w:val="428" w:hRule="atLeast"/>
          <w:jc w:val="center"/>
        </w:trPr>
        <w:tc>
          <w:tcPr>
            <w:tcW w:w="903" w:type="dxa"/>
            <w:vMerge w:val="continue"/>
            <w:tcBorders>
              <w:left w:val="single" w:color="000000" w:sz="4" w:space="0"/>
              <w:right w:val="single" w:color="000000" w:sz="4" w:space="0"/>
            </w:tcBorders>
            <w:noWrap/>
            <w:vAlign w:val="center"/>
          </w:tcPr>
          <w:p w14:paraId="10334B1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C2DB3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接口自动检测</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265DCE4B">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支付开关及接口检测，能自由控制开关各类支付方式，能自动测试各类支持接口。</w:t>
            </w:r>
          </w:p>
        </w:tc>
      </w:tr>
      <w:tr w14:paraId="1B30F447">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31E3315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724A6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69541FD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支付密钥转化工具，支持转化支付宝、微信密钥，客户提供的相关文件格式不匹配时，可使用此工具自动转化为系统兼容格式。</w:t>
            </w:r>
          </w:p>
        </w:tc>
      </w:tr>
      <w:tr w14:paraId="2BE85A4A">
        <w:tblPrEx>
          <w:tblCellMar>
            <w:top w:w="0" w:type="dxa"/>
            <w:left w:w="108" w:type="dxa"/>
            <w:bottom w:w="0" w:type="dxa"/>
            <w:right w:w="108" w:type="dxa"/>
          </w:tblCellMar>
        </w:tblPrEx>
        <w:trPr>
          <w:trHeight w:val="567" w:hRule="atLeast"/>
          <w:jc w:val="center"/>
        </w:trPr>
        <w:tc>
          <w:tcPr>
            <w:tcW w:w="903" w:type="dxa"/>
            <w:vMerge w:val="continue"/>
            <w:tcBorders>
              <w:left w:val="single" w:color="000000" w:sz="4" w:space="0"/>
              <w:right w:val="single" w:color="000000" w:sz="4" w:space="0"/>
            </w:tcBorders>
            <w:noWrap/>
            <w:vAlign w:val="center"/>
          </w:tcPr>
          <w:p w14:paraId="485757F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5BF10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支付安全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0DDDCA15">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建立健全支付安全系统，确保院内支付环境及资金安全，对业务订单实现全流程监管记录，确保各类订单的可追溯性。</w:t>
            </w:r>
          </w:p>
        </w:tc>
      </w:tr>
      <w:tr w14:paraId="33F7268A">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48D9109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E5ED7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应用号配置</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2556FED3">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支持一个应用号关联多个支付渠道和多个支付商户号，当应用号完成关联后，可应用于一站式智能终端、线上智慧医院平台、医院窗口等多个支付场景。</w:t>
            </w:r>
          </w:p>
        </w:tc>
      </w:tr>
      <w:tr w14:paraId="65460417">
        <w:tblPrEx>
          <w:tblCellMar>
            <w:top w:w="0" w:type="dxa"/>
            <w:left w:w="108" w:type="dxa"/>
            <w:bottom w:w="0" w:type="dxa"/>
            <w:right w:w="108" w:type="dxa"/>
          </w:tblCellMar>
        </w:tblPrEx>
        <w:trPr>
          <w:trHeight w:val="383"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5454671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202F886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对账功能</w:t>
            </w:r>
          </w:p>
          <w:p w14:paraId="5C2EBE3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2D52BA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已有对账平台对接</w:t>
            </w:r>
          </w:p>
        </w:tc>
        <w:tc>
          <w:tcPr>
            <w:tcW w:w="6324" w:type="dxa"/>
            <w:tcBorders>
              <w:top w:val="single" w:color="000000" w:sz="4" w:space="0"/>
              <w:left w:val="single" w:color="000000" w:sz="4" w:space="0"/>
              <w:bottom w:val="nil"/>
              <w:right w:val="single" w:color="000000" w:sz="4" w:space="0"/>
            </w:tcBorders>
            <w:noWrap w:val="0"/>
            <w:vAlign w:val="center"/>
          </w:tcPr>
          <w:p w14:paraId="2281C0E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支持对接院内已有对账平台，将自助系统财务数据推送至对账平台。</w:t>
            </w:r>
          </w:p>
        </w:tc>
      </w:tr>
      <w:tr w14:paraId="108B22AF">
        <w:tblPrEx>
          <w:tblCellMar>
            <w:top w:w="0" w:type="dxa"/>
            <w:left w:w="108" w:type="dxa"/>
            <w:bottom w:w="0" w:type="dxa"/>
            <w:right w:w="108" w:type="dxa"/>
          </w:tblCellMar>
        </w:tblPrEx>
        <w:trPr>
          <w:trHeight w:val="383" w:hRule="atLeast"/>
          <w:jc w:val="center"/>
        </w:trPr>
        <w:tc>
          <w:tcPr>
            <w:tcW w:w="903" w:type="dxa"/>
            <w:vMerge w:val="continue"/>
            <w:tcBorders>
              <w:left w:val="single" w:color="000000" w:sz="4" w:space="0"/>
              <w:right w:val="single" w:color="000000" w:sz="4" w:space="0"/>
            </w:tcBorders>
            <w:noWrap/>
            <w:vAlign w:val="center"/>
          </w:tcPr>
          <w:p w14:paraId="6DCA76F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4F6D2F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对账平台（备用）</w:t>
            </w:r>
          </w:p>
        </w:tc>
        <w:tc>
          <w:tcPr>
            <w:tcW w:w="6324" w:type="dxa"/>
            <w:tcBorders>
              <w:top w:val="single" w:color="000000" w:sz="4" w:space="0"/>
              <w:left w:val="single" w:color="000000" w:sz="4" w:space="0"/>
              <w:bottom w:val="nil"/>
              <w:right w:val="single" w:color="000000" w:sz="4" w:space="0"/>
            </w:tcBorders>
            <w:noWrap w:val="0"/>
            <w:vAlign w:val="center"/>
          </w:tcPr>
          <w:p w14:paraId="78189FB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多院区多平台对账：支持多院区对账（如本院，分院），支持多支付平台对账，如本地医保，异地医保，银联商务等。</w:t>
            </w:r>
          </w:p>
          <w:p w14:paraId="534AEB95">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多账户对账：支持多商户号对账，如门诊和住院商户号不统一，医院和体检商户号不统一，医院和社区商户号不统一等。</w:t>
            </w:r>
          </w:p>
          <w:p w14:paraId="27CFCE44">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多支付场景对账：支持小程序，自助机，窗口，诊间等多支持场景对账。</w:t>
            </w:r>
          </w:p>
          <w:p w14:paraId="23EA4C7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多支付方式对账：支持微信，支付宝，银联，数币，人脸等对账。</w:t>
            </w:r>
          </w:p>
          <w:p w14:paraId="755B79CA">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三方对账：支持业务类型（如挂号、缴费、住院、体检等）进行三方对账。</w:t>
            </w:r>
          </w:p>
        </w:tc>
      </w:tr>
      <w:tr w14:paraId="438103AF">
        <w:tblPrEx>
          <w:tblCellMar>
            <w:top w:w="0" w:type="dxa"/>
            <w:left w:w="108" w:type="dxa"/>
            <w:bottom w:w="0" w:type="dxa"/>
            <w:right w:w="108" w:type="dxa"/>
          </w:tblCellMar>
        </w:tblPrEx>
        <w:trPr>
          <w:trHeight w:val="3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5990486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0968C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统计报表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30B03739">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支持自动生成多种对账报表，并且支持根据医院的实际需求进行定制报表；能统计各类支付记录，监控记录支付轨迹。</w:t>
            </w:r>
          </w:p>
        </w:tc>
      </w:tr>
    </w:tbl>
    <w:p w14:paraId="300F4BF9">
      <w:pPr>
        <w:pageBreakBefore w:val="0"/>
        <w:kinsoku/>
        <w:overflowPunct/>
        <w:autoSpaceDE/>
        <w:autoSpaceDN/>
        <w:bidi w:val="0"/>
        <w:adjustRightInd w:val="0"/>
        <w:snapToGrid w:val="0"/>
        <w:rPr>
          <w:rFonts w:hint="eastAsia"/>
          <w:color w:val="auto"/>
          <w:highlight w:val="none"/>
        </w:rPr>
      </w:pPr>
    </w:p>
    <w:p w14:paraId="5F806C6C">
      <w:pP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掌上医院</w:t>
      </w:r>
      <w:r>
        <w:rPr>
          <w:rFonts w:hint="eastAsia" w:ascii="宋体" w:hAnsi="宋体" w:eastAsia="宋体" w:cs="宋体"/>
          <w:color w:val="auto"/>
          <w:sz w:val="21"/>
          <w:szCs w:val="21"/>
          <w:highlight w:val="none"/>
        </w:rPr>
        <w:t>小程序</w:t>
      </w:r>
      <w:r>
        <w:rPr>
          <w:rFonts w:hint="eastAsia" w:ascii="宋体" w:hAnsi="宋体" w:eastAsia="宋体" w:cs="宋体"/>
          <w:color w:val="auto"/>
          <w:szCs w:val="21"/>
          <w:highlight w:val="none"/>
        </w:rPr>
        <w:t>功能需求</w:t>
      </w:r>
    </w:p>
    <w:tbl>
      <w:tblPr>
        <w:tblStyle w:val="45"/>
        <w:tblW w:w="5126" w:type="pct"/>
        <w:jc w:val="center"/>
        <w:shd w:val="clear" w:color="auto" w:fill="auto"/>
        <w:tblLayout w:type="fixed"/>
        <w:tblCellMar>
          <w:top w:w="0" w:type="dxa"/>
          <w:left w:w="0" w:type="dxa"/>
          <w:bottom w:w="0" w:type="dxa"/>
          <w:right w:w="0" w:type="dxa"/>
        </w:tblCellMar>
      </w:tblPr>
      <w:tblGrid>
        <w:gridCol w:w="934"/>
        <w:gridCol w:w="1198"/>
        <w:gridCol w:w="6394"/>
      </w:tblGrid>
      <w:tr w14:paraId="3880387C">
        <w:tblPrEx>
          <w:tblCellMar>
            <w:top w:w="0" w:type="dxa"/>
            <w:left w:w="0" w:type="dxa"/>
            <w:bottom w:w="0" w:type="dxa"/>
            <w:right w:w="0" w:type="dxa"/>
          </w:tblCellMar>
        </w:tblPrEx>
        <w:trPr>
          <w:trHeight w:val="683" w:hRule="atLeast"/>
          <w:tblHeader/>
          <w:jc w:val="center"/>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3ABA">
            <w:pPr>
              <w:keepNext w:val="0"/>
              <w:keepLines w:val="0"/>
              <w:pageBreakBefore w:val="0"/>
              <w:kinsoku/>
              <w:overflowPunct/>
              <w:autoSpaceDE/>
              <w:autoSpaceDN/>
              <w:bidi w:val="0"/>
              <w:adjustRightInd w:val="0"/>
              <w:snapToGrid w:val="0"/>
              <w:spacing w:line="360" w:lineRule="exact"/>
              <w:ind w:left="0" w:firstLine="0"/>
              <w:jc w:val="center"/>
              <w:rPr>
                <w:rFonts w:hint="eastAsia" w:eastAsia="宋体"/>
                <w:b/>
                <w:bCs/>
                <w:color w:val="auto"/>
                <w:highlight w:val="none"/>
                <w:lang w:eastAsia="zh-CN"/>
              </w:rPr>
            </w:pPr>
            <w:r>
              <w:rPr>
                <w:rFonts w:hint="eastAsia"/>
                <w:b/>
                <w:bCs/>
                <w:color w:val="auto"/>
                <w:highlight w:val="none"/>
                <w:lang w:val="en-US" w:eastAsia="zh-CN"/>
              </w:rPr>
              <w:t>模块</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DBD4A">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lang w:val="en-US" w:eastAsia="zh-CN"/>
              </w:rPr>
              <w:t>业务</w:t>
            </w:r>
            <w:r>
              <w:rPr>
                <w:rFonts w:hint="eastAsia"/>
                <w:b/>
                <w:bCs/>
                <w:color w:val="auto"/>
                <w:highlight w:val="none"/>
              </w:rPr>
              <w:t>功能</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C427">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rPr>
              <w:t>功能描述</w:t>
            </w:r>
          </w:p>
        </w:tc>
      </w:tr>
      <w:tr w14:paraId="303AF564">
        <w:tblPrEx>
          <w:shd w:val="clear" w:color="auto" w:fill="auto"/>
          <w:tblCellMar>
            <w:top w:w="0" w:type="dxa"/>
            <w:left w:w="0" w:type="dxa"/>
            <w:bottom w:w="0" w:type="dxa"/>
            <w:right w:w="0" w:type="dxa"/>
          </w:tblCellMar>
        </w:tblPrEx>
        <w:trPr>
          <w:trHeight w:val="49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7972F">
            <w:pPr>
              <w:keepNext w:val="0"/>
              <w:keepLines w:val="0"/>
              <w:pageBreakBefore w:val="0"/>
              <w:kinsoku/>
              <w:overflowPunct/>
              <w:autoSpaceDE/>
              <w:autoSpaceDN/>
              <w:bidi w:val="0"/>
              <w:adjustRightInd w:val="0"/>
              <w:snapToGrid w:val="0"/>
              <w:spacing w:line="360" w:lineRule="exact"/>
              <w:ind w:left="0" w:firstLine="0"/>
              <w:jc w:val="left"/>
              <w:rPr>
                <w:color w:val="auto"/>
                <w:highlight w:val="none"/>
              </w:rPr>
            </w:pPr>
            <w:r>
              <w:rPr>
                <w:rFonts w:hint="eastAsia"/>
                <w:b/>
                <w:bCs/>
                <w:color w:val="auto"/>
                <w:highlight w:val="none"/>
              </w:rPr>
              <w:t>线上小程序应支持在微信、支付宝运行</w:t>
            </w:r>
          </w:p>
        </w:tc>
      </w:tr>
      <w:tr w14:paraId="73713365">
        <w:tblPrEx>
          <w:shd w:val="clear" w:color="auto" w:fill="auto"/>
          <w:tblCellMar>
            <w:top w:w="0" w:type="dxa"/>
            <w:left w:w="0" w:type="dxa"/>
            <w:bottom w:w="0" w:type="dxa"/>
            <w:right w:w="0" w:type="dxa"/>
          </w:tblCellMar>
        </w:tblPrEx>
        <w:trPr>
          <w:trHeight w:val="359"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F12AC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门急诊管理</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ED4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就诊人管理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AB9D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居民健康卡、医保电子凭证、电子卡等多种类型的卡；支持添加成人、儿童为就诊人，可设为默认、信息维护、解绑等；支持对接HIS完成就诊人信息的准确性验证，实现就诊人与院内就诊患者主索引记录的关联功能，能关联同一患者的多种身份介质（身份证、医保卡、电子健康卡）；确保通过公众号平台操作的业务记录能够顺畅的回写到院内HIS系统中，院内产生的业务记录（如挂号记录、交费记录、报告记录、住院记录）也能顺利的同步到公众号平台中；关联功能不需要用户自己操作，平台系统自动配合完成关联操作；支持管理员后台人工维护就诊人信息。</w:t>
            </w:r>
          </w:p>
        </w:tc>
      </w:tr>
      <w:tr w14:paraId="6118AD96">
        <w:tblPrEx>
          <w:shd w:val="clear" w:color="auto" w:fill="auto"/>
          <w:tblCellMar>
            <w:top w:w="0" w:type="dxa"/>
            <w:left w:w="0" w:type="dxa"/>
            <w:bottom w:w="0" w:type="dxa"/>
            <w:right w:w="0" w:type="dxa"/>
          </w:tblCellMar>
        </w:tblPrEx>
        <w:trPr>
          <w:trHeight w:val="75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06DC2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876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唯一身份标识管理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1F18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按照患者姓名、证件类型、证件号、手机号等信息进行统一管理，支持患者在各个院区建档信息统一查询管理；建立患者在平台中的唯一主索引信息，支持患者在不同的终端进行业务办理时，只需要通过授权完成身份的认证，无需多次注册。</w:t>
            </w:r>
          </w:p>
        </w:tc>
      </w:tr>
      <w:tr w14:paraId="02525D69">
        <w:tblPrEx>
          <w:tblCellMar>
            <w:top w:w="0" w:type="dxa"/>
            <w:left w:w="0" w:type="dxa"/>
            <w:bottom w:w="0" w:type="dxa"/>
            <w:right w:w="0" w:type="dxa"/>
          </w:tblCellMar>
        </w:tblPrEx>
        <w:trPr>
          <w:trHeight w:val="48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21546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B3C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就诊卡管理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13B3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支持患者凭有效证件信息在线建档，并自动生成电子就诊卡，支持按照证件类型、证件号、姓名、手机号等信息查询该就诊人名下绑定的所有就诊卡信息查询。</w:t>
            </w:r>
          </w:p>
        </w:tc>
      </w:tr>
      <w:tr w14:paraId="71827307">
        <w:tblPrEx>
          <w:tblCellMar>
            <w:top w:w="0" w:type="dxa"/>
            <w:left w:w="0" w:type="dxa"/>
            <w:bottom w:w="0" w:type="dxa"/>
            <w:right w:w="0" w:type="dxa"/>
          </w:tblCellMar>
        </w:tblPrEx>
        <w:trPr>
          <w:trHeight w:val="41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0D7750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EB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人脸核身</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0469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支持使用线上人脸核身，确保患者的身份有效性。</w:t>
            </w:r>
          </w:p>
        </w:tc>
      </w:tr>
      <w:tr w14:paraId="6308E26B">
        <w:tblPrEx>
          <w:shd w:val="clear" w:color="auto" w:fill="auto"/>
          <w:tblCellMar>
            <w:top w:w="0" w:type="dxa"/>
            <w:left w:w="0" w:type="dxa"/>
            <w:bottom w:w="0" w:type="dxa"/>
            <w:right w:w="0" w:type="dxa"/>
          </w:tblCellMar>
        </w:tblPrEx>
        <w:trPr>
          <w:trHeight w:val="80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E3379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492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C68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为患者提供当日及当日后X天的号源信息，支持按照对应科室、分时段预约挂号，支持帮助关联其他就诊人预约挂号，支持线上多种方式支付挂号费，并进行医保分解，支持在可取消预约的时间内，在线取消预约退款，支持线上查看挂号记录。</w:t>
            </w:r>
          </w:p>
        </w:tc>
      </w:tr>
      <w:tr w14:paraId="227E0E15">
        <w:tblPrEx>
          <w:shd w:val="clear" w:color="auto" w:fill="auto"/>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3AE4E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54A5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智能导诊</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7B828">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ascii="宋体" w:hAnsi="宋体" w:cs="宋体"/>
                <w:color w:val="auto"/>
                <w:highlight w:val="none"/>
              </w:rPr>
              <w:t>人体图导诊系统，通过手动选择人体图中的部位及该部位可能对应的病灶情况，按照线上业务的操作逻辑及UI显示样式，引导患者进行线上挂号。</w:t>
            </w:r>
          </w:p>
        </w:tc>
      </w:tr>
      <w:tr w14:paraId="7DC45971">
        <w:tblPrEx>
          <w:shd w:val="clear" w:color="auto" w:fill="auto"/>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575EC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604E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在线缴费</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CF41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预约挂号未支付时，患者可以在线上进行取号并支付挂号费用，并进行医保分解。</w:t>
            </w:r>
          </w:p>
        </w:tc>
      </w:tr>
      <w:tr w14:paraId="0DFCA9D5">
        <w:tblPrEx>
          <w:shd w:val="clear" w:color="auto" w:fill="auto"/>
          <w:tblCellMar>
            <w:top w:w="0" w:type="dxa"/>
            <w:left w:w="0" w:type="dxa"/>
            <w:bottom w:w="0" w:type="dxa"/>
            <w:right w:w="0" w:type="dxa"/>
          </w:tblCellMar>
        </w:tblPrEx>
        <w:trPr>
          <w:trHeight w:val="46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BEECD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1B31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线上报到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D2D5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支持患者线上报到，患者在</w:t>
            </w:r>
            <w:r>
              <w:rPr>
                <w:rFonts w:hint="eastAsia"/>
                <w:color w:val="auto"/>
                <w:highlight w:val="none"/>
                <w:lang w:val="en-US" w:eastAsia="zh-CN"/>
              </w:rPr>
              <w:t>就诊诊区20米</w:t>
            </w:r>
            <w:r>
              <w:rPr>
                <w:rFonts w:hint="eastAsia"/>
                <w:color w:val="auto"/>
                <w:highlight w:val="none"/>
              </w:rPr>
              <w:t>范围内，可通过手机完成线上报到，支持患者查看即将就诊的诊室地址信息，支持患者查看当前叫号数和等待人数。</w:t>
            </w:r>
          </w:p>
        </w:tc>
      </w:tr>
      <w:tr w14:paraId="765E41AF">
        <w:tblPrEx>
          <w:shd w:val="clear" w:color="auto" w:fill="auto"/>
          <w:tblCellMar>
            <w:top w:w="0" w:type="dxa"/>
            <w:left w:w="0" w:type="dxa"/>
            <w:bottom w:w="0" w:type="dxa"/>
            <w:right w:w="0" w:type="dxa"/>
          </w:tblCellMar>
        </w:tblPrEx>
        <w:trPr>
          <w:trHeight w:val="63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D24DD6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7B73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诊间支付</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2B60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支持患者在医院就诊过程中产生的费用进行线上支付，患者可以查看未支付、已支付的信息，支持批量选择未支付的项目进行合并支付，患者支付时支持使用线下扫码等多种支付方式，并进行医保分解。</w:t>
            </w:r>
          </w:p>
        </w:tc>
      </w:tr>
      <w:tr w14:paraId="192CF73B">
        <w:tblPrEx>
          <w:tblCellMar>
            <w:top w:w="0" w:type="dxa"/>
            <w:left w:w="0" w:type="dxa"/>
            <w:bottom w:w="0" w:type="dxa"/>
            <w:right w:w="0" w:type="dxa"/>
          </w:tblCellMar>
        </w:tblPrEx>
        <w:trPr>
          <w:trHeight w:val="46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A2EE7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89F3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支付方式</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7D25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支持处方单扫码付、自助机扫码付、当面付等功能；支持未成功缴费原路退回；支持对接电子发票；支持商保对接支付；支持医保卡脱卡支付</w:t>
            </w:r>
            <w:r>
              <w:rPr>
                <w:rFonts w:hint="eastAsia"/>
                <w:color w:val="auto"/>
                <w:highlight w:val="none"/>
              </w:rPr>
              <w:t>，支持使用电子货币支付，支持先诊疗后付费服务模式。</w:t>
            </w:r>
          </w:p>
        </w:tc>
      </w:tr>
      <w:tr w14:paraId="47AA970E">
        <w:tblPrEx>
          <w:tblCellMar>
            <w:top w:w="0" w:type="dxa"/>
            <w:left w:w="0" w:type="dxa"/>
            <w:bottom w:w="0" w:type="dxa"/>
            <w:right w:w="0" w:type="dxa"/>
          </w:tblCellMar>
        </w:tblPrEx>
        <w:trPr>
          <w:trHeight w:val="34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0EFF3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779A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综合查询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2935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支持患者便捷查询功能，包括医院介绍、科室介绍、专家介绍、药品查询、物价查询、院内交易记录查询、院内预约挂号记录查询等</w:t>
            </w:r>
            <w:r>
              <w:rPr>
                <w:rFonts w:hint="eastAsia"/>
                <w:color w:val="auto"/>
                <w:highlight w:val="none"/>
                <w:lang w:eastAsia="zh-CN"/>
              </w:rPr>
              <w:t>。</w:t>
            </w:r>
          </w:p>
        </w:tc>
      </w:tr>
      <w:tr w14:paraId="73ED4F3A">
        <w:tblPrEx>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0FA6B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6D10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自助开单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F4EA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支持线上自助开据检验检查项目。</w:t>
            </w:r>
          </w:p>
        </w:tc>
      </w:tr>
      <w:tr w14:paraId="69FED8DE">
        <w:tblPrEx>
          <w:shd w:val="clear" w:color="auto" w:fill="auto"/>
          <w:tblCellMar>
            <w:top w:w="0" w:type="dxa"/>
            <w:left w:w="0" w:type="dxa"/>
            <w:bottom w:w="0" w:type="dxa"/>
            <w:right w:w="0" w:type="dxa"/>
          </w:tblCellMar>
        </w:tblPrEx>
        <w:trPr>
          <w:trHeight w:val="390"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2687F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住院管理</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6A5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住院登记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2B41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支持用户输入住院相关信息完成住院预登记。</w:t>
            </w:r>
          </w:p>
        </w:tc>
      </w:tr>
      <w:tr w14:paraId="4FD54A64">
        <w:tblPrEx>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3D910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E729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住院预交金充值</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CCA8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支持患者进行住院费用的预交金缴纳，支持患者住院预交金的余额查询，并进行在线充值，并将充值结果推送至患者手机。</w:t>
            </w:r>
          </w:p>
        </w:tc>
      </w:tr>
      <w:tr w14:paraId="7676ACC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1DE84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3500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住院充值记录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639B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支持患者查询自己住院预交金充值记录。</w:t>
            </w:r>
          </w:p>
        </w:tc>
      </w:tr>
      <w:tr w14:paraId="15D5540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D8128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54C4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住院一日清单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1BBC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支持患者查看每日住院费用清单及明细。</w:t>
            </w:r>
          </w:p>
        </w:tc>
      </w:tr>
      <w:tr w14:paraId="2AC09E80">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1C511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D547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移动端住院患者卡管理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551E">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支持患者所有业务卡类型卡管理</w:t>
            </w:r>
            <w:r>
              <w:rPr>
                <w:rFonts w:hint="eastAsia" w:eastAsia="宋体" w:cs="宋体"/>
                <w:color w:val="auto"/>
                <w:sz w:val="21"/>
                <w:szCs w:val="21"/>
                <w:highlight w:val="none"/>
                <w:lang w:eastAsia="zh-CN"/>
              </w:rPr>
              <w:t>。</w:t>
            </w:r>
          </w:p>
        </w:tc>
      </w:tr>
      <w:tr w14:paraId="35F05B3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70409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9176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移动端院前查询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9291">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支持患者查看院前检查项目状态、项目科室位置信息、检查注意事项查询</w:t>
            </w:r>
            <w:r>
              <w:rPr>
                <w:rFonts w:hint="eastAsia" w:eastAsia="宋体" w:cs="宋体"/>
                <w:color w:val="auto"/>
                <w:sz w:val="21"/>
                <w:szCs w:val="21"/>
                <w:highlight w:val="none"/>
                <w:lang w:eastAsia="zh-CN"/>
              </w:rPr>
              <w:t>。</w:t>
            </w:r>
          </w:p>
        </w:tc>
      </w:tr>
      <w:tr w14:paraId="5C8BAA3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8325E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5D5F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移动端入院登记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B007">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default" w:eastAsia="宋体"/>
                <w:color w:val="auto"/>
                <w:highlight w:val="none"/>
              </w:rPr>
            </w:pPr>
            <w:r>
              <w:rPr>
                <w:rFonts w:hint="eastAsia" w:eastAsia="宋体" w:cs="宋体"/>
                <w:color w:val="auto"/>
                <w:sz w:val="21"/>
                <w:szCs w:val="21"/>
                <w:highlight w:val="none"/>
              </w:rPr>
              <w:t>患者可在线填写个人信息进行住院信息登记，支持入院登记首缴流程的接入</w:t>
            </w:r>
            <w:r>
              <w:rPr>
                <w:rFonts w:hint="eastAsia" w:eastAsia="宋体" w:cs="宋体"/>
                <w:color w:val="auto"/>
                <w:sz w:val="21"/>
                <w:szCs w:val="21"/>
                <w:highlight w:val="none"/>
                <w:lang w:eastAsia="zh-CN"/>
              </w:rPr>
              <w:t>。</w:t>
            </w:r>
          </w:p>
        </w:tc>
      </w:tr>
      <w:tr w14:paraId="104A0259">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80FFF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384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移动端住院首缴</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6F3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支持患者线上办理入院登记的住院首缴</w:t>
            </w:r>
          </w:p>
        </w:tc>
      </w:tr>
      <w:tr w14:paraId="5C3431B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2920E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FF9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移动端住院充值</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C82E">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支持患者线上完成住院的押金充值</w:t>
            </w:r>
          </w:p>
        </w:tc>
      </w:tr>
      <w:tr w14:paraId="6B1588F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165EA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6E2A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移动端预交金记录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3CAD">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支持患者自助查询预交金的记录</w:t>
            </w:r>
          </w:p>
        </w:tc>
      </w:tr>
      <w:tr w14:paraId="6C1E0A79">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70DB3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6211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移动端日清单查询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BAC4">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患者可实时查询每日住院清单明细</w:t>
            </w:r>
          </w:p>
        </w:tc>
      </w:tr>
      <w:tr w14:paraId="0C5338A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A6B9F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B338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移动端检查报告查询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2EB9">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患者可实时查询住院检查报告</w:t>
            </w:r>
          </w:p>
        </w:tc>
      </w:tr>
      <w:tr w14:paraId="573EB2B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2EA49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7D9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移动端检验报告查询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6BD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患者可实时查询住院检验报告</w:t>
            </w:r>
          </w:p>
        </w:tc>
      </w:tr>
      <w:tr w14:paraId="3408F5F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E3317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10F7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移动端出院自费结算</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9BE0">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支持患者住院费用线上自费出院结算；</w:t>
            </w:r>
          </w:p>
        </w:tc>
      </w:tr>
      <w:tr w14:paraId="36BB4F73">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53C42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6044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移动端住院记录查询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58E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支持患者查询历次的住院记录，包并支持住院记录的明细查询</w:t>
            </w:r>
          </w:p>
        </w:tc>
      </w:tr>
      <w:tr w14:paraId="209055C7">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89A30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6872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移动端出院小结</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9FF2">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支持查看出院小结信息，可包括入院时间、入院诊断、治疗经过等信息</w:t>
            </w:r>
          </w:p>
        </w:tc>
      </w:tr>
      <w:tr w14:paraId="1F7B82A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0581C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D515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移动端住院须知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F4AE">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支持医院住院须知的查询</w:t>
            </w:r>
          </w:p>
        </w:tc>
      </w:tr>
      <w:tr w14:paraId="46C191B3">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021C2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210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sz w:val="21"/>
                <w:szCs w:val="22"/>
                <w:highlight w:val="none"/>
              </w:rPr>
              <w:t>移动端医保结算</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C00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支持患者线上办理医保出院结算，医保结算取决于接口支持范围</w:t>
            </w:r>
            <w:r>
              <w:rPr>
                <w:rFonts w:hint="eastAsia" w:eastAsia="宋体" w:cs="宋体"/>
                <w:color w:val="auto"/>
                <w:sz w:val="21"/>
                <w:szCs w:val="21"/>
                <w:highlight w:val="none"/>
                <w:lang w:eastAsia="zh-CN"/>
              </w:rPr>
              <w:t>。</w:t>
            </w:r>
            <w:r>
              <w:rPr>
                <w:rFonts w:hint="eastAsia" w:eastAsia="宋体" w:cs="宋体"/>
                <w:color w:val="auto"/>
                <w:sz w:val="21"/>
                <w:szCs w:val="21"/>
                <w:highlight w:val="none"/>
              </w:rPr>
              <w:t>提供</w:t>
            </w:r>
            <w:r>
              <w:rPr>
                <w:rFonts w:hint="eastAsia" w:eastAsia="宋体" w:cs="宋体"/>
                <w:color w:val="auto"/>
                <w:sz w:val="21"/>
                <w:szCs w:val="21"/>
                <w:highlight w:val="none"/>
                <w:lang w:val="en-US" w:eastAsia="zh-CN"/>
              </w:rPr>
              <w:t>实际操作</w:t>
            </w:r>
            <w:r>
              <w:rPr>
                <w:rFonts w:hint="eastAsia" w:eastAsia="宋体" w:cs="宋体"/>
                <w:color w:val="auto"/>
                <w:sz w:val="21"/>
                <w:szCs w:val="21"/>
                <w:highlight w:val="none"/>
              </w:rPr>
              <w:t>演示视频</w:t>
            </w:r>
          </w:p>
        </w:tc>
      </w:tr>
      <w:tr w14:paraId="1AB5F03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08B6F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4EA3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移动端发票查看及下载</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596D">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支持对接第三方电子发票接口查询缴费后产生的电子发票，并支持下载。</w:t>
            </w:r>
          </w:p>
        </w:tc>
      </w:tr>
      <w:tr w14:paraId="58FFB8F9">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3A059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1664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住院点餐</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3D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支持患者院内在线点餐，并可查看订单记录。</w:t>
            </w:r>
          </w:p>
        </w:tc>
      </w:tr>
      <w:tr w14:paraId="7ED700FF">
        <w:tblPrEx>
          <w:tblCellMar>
            <w:top w:w="0" w:type="dxa"/>
            <w:left w:w="0" w:type="dxa"/>
            <w:bottom w:w="0" w:type="dxa"/>
            <w:right w:w="0" w:type="dxa"/>
          </w:tblCellMar>
        </w:tblPrEx>
        <w:trPr>
          <w:trHeight w:val="28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CD2BB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9B1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病案配送</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F44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支持在线预约病案复印，申请病案邮寄或自提，在线支付费用，线上查看订单，生成相关报表。</w:t>
            </w:r>
          </w:p>
        </w:tc>
      </w:tr>
      <w:tr w14:paraId="6992ED9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33862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0F7C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住院陪护证</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9F9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支持住院陪护人员在线申请电子陪护证。</w:t>
            </w:r>
          </w:p>
        </w:tc>
      </w:tr>
      <w:tr w14:paraId="7E4529FD">
        <w:tblPrEx>
          <w:shd w:val="clear" w:color="auto" w:fill="auto"/>
          <w:tblCellMar>
            <w:top w:w="0" w:type="dxa"/>
            <w:left w:w="0" w:type="dxa"/>
            <w:bottom w:w="0" w:type="dxa"/>
            <w:right w:w="0" w:type="dxa"/>
          </w:tblCellMar>
        </w:tblPrEx>
        <w:trPr>
          <w:trHeight w:val="306"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FCFF8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就诊全流程指引</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0E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A24B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支持实名制验证后，实时获取本次就诊中患者全部诊疗业务节点。</w:t>
            </w:r>
          </w:p>
          <w:p w14:paraId="5807D0CF">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支持将患者不同就诊业务节点以时间轴方式进行列表显示。针对患者遗留或未办的业务进行集中化的提醒，支持语音引导系统操作功能。</w:t>
            </w:r>
          </w:p>
          <w:p w14:paraId="600F29CF">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支持通过信息平台，对接H</w:t>
            </w:r>
            <w:r>
              <w:rPr>
                <w:color w:val="auto"/>
                <w:highlight w:val="none"/>
              </w:rPr>
              <w:t>IS</w:t>
            </w:r>
            <w:r>
              <w:rPr>
                <w:rFonts w:hint="eastAsia"/>
                <w:color w:val="auto"/>
                <w:highlight w:val="none"/>
              </w:rPr>
              <w:t>、预约挂号、医技预约、叫号系统、各第三方医技系统、院内智能导航系统。</w:t>
            </w:r>
          </w:p>
          <w:p w14:paraId="45F73106">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需提供基于人工智能算力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并自动提供导航指引服务。</w:t>
            </w:r>
          </w:p>
          <w:p w14:paraId="3DFA63CB">
            <w:pPr>
              <w:pStyle w:val="296"/>
              <w:keepNext w:val="0"/>
              <w:keepLines w:val="0"/>
              <w:pageBreakBefore w:val="0"/>
              <w:numPr>
                <w:ilvl w:val="0"/>
                <w:numId w:val="0"/>
              </w:numPr>
              <w:kinsoku/>
              <w:overflowPunct/>
              <w:autoSpaceDE/>
              <w:autoSpaceDN/>
              <w:bidi w:val="0"/>
              <w:adjustRightInd w:val="0"/>
              <w:snapToGrid w:val="0"/>
              <w:spacing w:line="360" w:lineRule="exact"/>
              <w:ind w:leftChars="0"/>
              <w:jc w:val="left"/>
              <w:rPr>
                <w:color w:val="auto"/>
                <w:highlight w:val="none"/>
              </w:rPr>
            </w:pPr>
            <w:r>
              <w:rPr>
                <w:rFonts w:hint="eastAsia"/>
                <w:color w:val="auto"/>
                <w:highlight w:val="none"/>
              </w:rPr>
              <w:t>针对上述</w:t>
            </w:r>
            <w:r>
              <w:rPr>
                <w:rFonts w:hint="eastAsia"/>
                <w:color w:val="auto"/>
                <w:highlight w:val="none"/>
                <w:lang w:val="en-US" w:eastAsia="zh-CN"/>
              </w:rPr>
              <w:t>35-38</w:t>
            </w:r>
            <w:r>
              <w:rPr>
                <w:rFonts w:hint="eastAsia"/>
                <w:color w:val="auto"/>
                <w:highlight w:val="none"/>
              </w:rPr>
              <w:t>项</w:t>
            </w:r>
            <w:r>
              <w:rPr>
                <w:rFonts w:hint="eastAsia"/>
                <w:color w:val="auto"/>
                <w:highlight w:val="none"/>
                <w:lang w:val="en-US" w:eastAsia="zh-CN"/>
              </w:rPr>
              <w:t>逐项</w:t>
            </w:r>
            <w:r>
              <w:rPr>
                <w:rFonts w:hint="eastAsia" w:eastAsia="宋体" w:cs="宋体"/>
                <w:color w:val="auto"/>
                <w:sz w:val="21"/>
                <w:szCs w:val="21"/>
                <w:highlight w:val="none"/>
              </w:rPr>
              <w:t>提供</w:t>
            </w:r>
            <w:r>
              <w:rPr>
                <w:rFonts w:hint="eastAsia" w:eastAsia="宋体" w:cs="宋体"/>
                <w:color w:val="auto"/>
                <w:sz w:val="21"/>
                <w:szCs w:val="21"/>
                <w:highlight w:val="none"/>
                <w:lang w:val="en-US" w:eastAsia="zh-CN"/>
              </w:rPr>
              <w:t>实际操作</w:t>
            </w:r>
            <w:r>
              <w:rPr>
                <w:rFonts w:hint="eastAsia" w:eastAsia="宋体" w:cs="宋体"/>
                <w:color w:val="auto"/>
                <w:sz w:val="21"/>
                <w:szCs w:val="21"/>
                <w:highlight w:val="none"/>
              </w:rPr>
              <w:t>演示视频</w:t>
            </w:r>
            <w:r>
              <w:rPr>
                <w:rFonts w:hint="eastAsia"/>
                <w:color w:val="auto"/>
                <w:highlight w:val="none"/>
              </w:rPr>
              <w:t xml:space="preserve">。 </w:t>
            </w:r>
          </w:p>
        </w:tc>
      </w:tr>
      <w:tr w14:paraId="56416D69">
        <w:tblPrEx>
          <w:shd w:val="clear" w:color="auto" w:fill="auto"/>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175AC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808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建档成功提醒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E0AB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患者完善个人信息，建档成功后向患者发送建档成功消息。</w:t>
            </w:r>
          </w:p>
        </w:tc>
      </w:tr>
      <w:tr w14:paraId="5072C2C4">
        <w:tblPrEx>
          <w:shd w:val="clear" w:color="auto" w:fill="auto"/>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6837B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9C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预约挂号快捷入口</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86E5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提供挂号信息快捷查询入口，点击后跳转至预约挂号</w:t>
            </w:r>
          </w:p>
        </w:tc>
      </w:tr>
      <w:tr w14:paraId="75FFC9FA">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7F248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0EF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曾就诊医生</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7044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展示患者近期就诊过的医生信息，帮助患者快速选择医生</w:t>
            </w:r>
          </w:p>
        </w:tc>
      </w:tr>
      <w:tr w14:paraId="611F93CF">
        <w:tblPrEx>
          <w:shd w:val="clear" w:color="auto" w:fill="auto"/>
          <w:tblCellMar>
            <w:top w:w="0" w:type="dxa"/>
            <w:left w:w="0" w:type="dxa"/>
            <w:bottom w:w="0" w:type="dxa"/>
            <w:right w:w="0" w:type="dxa"/>
          </w:tblCellMar>
        </w:tblPrEx>
        <w:trPr>
          <w:trHeight w:val="33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BFBD2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2B4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预约记录查询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2526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展示患者预约信息，方便患者提前查看预约信息、就诊须知等，同时支持线上取消预约的便捷操作。</w:t>
            </w:r>
          </w:p>
        </w:tc>
      </w:tr>
      <w:tr w14:paraId="1027CC14">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AADFC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88D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A645B">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预约挂号成功后，提醒患者预约挂号成功及时取号就诊</w:t>
            </w:r>
          </w:p>
        </w:tc>
      </w:tr>
      <w:tr w14:paraId="49F8CC93">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C82E4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BE5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就诊前一天提醒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6F79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患者就诊前一天，发送就诊提醒。</w:t>
            </w:r>
          </w:p>
        </w:tc>
      </w:tr>
      <w:tr w14:paraId="75F6D65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7A818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3F83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停诊消息通知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704D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及时为患者推送医生调停诊信息，并告知处理方法（文字说明）</w:t>
            </w:r>
          </w:p>
        </w:tc>
      </w:tr>
      <w:tr w14:paraId="543AF098">
        <w:tblPrEx>
          <w:shd w:val="clear" w:color="auto" w:fill="auto"/>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D03F7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7C8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挂号快捷入口</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97C7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点击跳转至当日挂号</w:t>
            </w:r>
            <w:r>
              <w:rPr>
                <w:rFonts w:hint="eastAsia"/>
                <w:color w:val="auto"/>
                <w:highlight w:val="none"/>
                <w:lang w:eastAsia="zh-CN"/>
              </w:rPr>
              <w:t>。</w:t>
            </w:r>
          </w:p>
        </w:tc>
      </w:tr>
      <w:tr w14:paraId="13C2DB23">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D2170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1FF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B89F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挂号成功后，提醒患者挂号成功及时签到就诊</w:t>
            </w:r>
            <w:r>
              <w:rPr>
                <w:rFonts w:hint="eastAsia"/>
                <w:color w:val="auto"/>
                <w:highlight w:val="none"/>
                <w:lang w:eastAsia="zh-CN"/>
              </w:rPr>
              <w:t>。</w:t>
            </w:r>
          </w:p>
        </w:tc>
      </w:tr>
      <w:tr w14:paraId="1E63591A">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0634A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BC0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就诊位置指引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2466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点击跳转至导航系统，支持为患者提供来院导航及院内位置导航</w:t>
            </w:r>
            <w:r>
              <w:rPr>
                <w:rFonts w:hint="eastAsia"/>
                <w:color w:val="auto"/>
                <w:highlight w:val="none"/>
                <w:lang w:eastAsia="zh-CN"/>
              </w:rPr>
              <w:t>。</w:t>
            </w:r>
          </w:p>
        </w:tc>
      </w:tr>
      <w:tr w14:paraId="0AF89830">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EB91B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B11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诊前提醒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2A89C">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预约就诊时间前</w:t>
            </w:r>
            <w:r>
              <w:rPr>
                <w:rFonts w:hint="eastAsia"/>
                <w:color w:val="auto"/>
                <w:highlight w:val="none"/>
                <w:lang w:val="en-US" w:eastAsia="zh-CN"/>
              </w:rPr>
              <w:t>至少</w:t>
            </w:r>
            <w:r>
              <w:rPr>
                <w:rFonts w:hint="eastAsia"/>
                <w:color w:val="auto"/>
                <w:highlight w:val="none"/>
              </w:rPr>
              <w:t>1个小时给患者发送预约挂号提醒，告知患者及时取号就诊</w:t>
            </w:r>
            <w:r>
              <w:rPr>
                <w:rFonts w:hint="eastAsia"/>
                <w:color w:val="auto"/>
                <w:highlight w:val="none"/>
                <w:lang w:eastAsia="zh-CN"/>
              </w:rPr>
              <w:t>。</w:t>
            </w:r>
          </w:p>
        </w:tc>
      </w:tr>
      <w:tr w14:paraId="2801F091">
        <w:tblPrEx>
          <w:shd w:val="clear" w:color="auto" w:fill="auto"/>
          <w:tblCellMar>
            <w:top w:w="0" w:type="dxa"/>
            <w:left w:w="0" w:type="dxa"/>
            <w:bottom w:w="0" w:type="dxa"/>
            <w:right w:w="0" w:type="dxa"/>
          </w:tblCellMar>
        </w:tblPrEx>
        <w:trPr>
          <w:trHeight w:val="44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1DC18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D22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在线取号提醒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6939B50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提醒患者可以进行取号，点击后跳转至候诊队列查询页面；针对预约挂号没有进行缴费的记录，点击后跳转至取号页面，先缴费后自动取号</w:t>
            </w:r>
            <w:r>
              <w:rPr>
                <w:rFonts w:hint="eastAsia"/>
                <w:color w:val="auto"/>
                <w:highlight w:val="none"/>
                <w:lang w:eastAsia="zh-CN"/>
              </w:rPr>
              <w:t>。</w:t>
            </w:r>
          </w:p>
        </w:tc>
      </w:tr>
      <w:tr w14:paraId="4AB674B0">
        <w:tblPrEx>
          <w:shd w:val="clear" w:color="auto" w:fill="auto"/>
          <w:tblCellMar>
            <w:top w:w="0" w:type="dxa"/>
            <w:left w:w="0" w:type="dxa"/>
            <w:bottom w:w="0" w:type="dxa"/>
            <w:right w:w="0" w:type="dxa"/>
          </w:tblCellMar>
        </w:tblPrEx>
        <w:trPr>
          <w:trHeight w:val="44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68B60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178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在线签到提醒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2394584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根据患者的定位信息，自动完成在线签到，并向患者发送签到信息，提醒患者已完成签到，及时候诊</w:t>
            </w:r>
            <w:r>
              <w:rPr>
                <w:rFonts w:hint="eastAsia"/>
                <w:color w:val="auto"/>
                <w:highlight w:val="none"/>
                <w:lang w:eastAsia="zh-CN"/>
              </w:rPr>
              <w:t>。</w:t>
            </w:r>
          </w:p>
        </w:tc>
      </w:tr>
      <w:tr w14:paraId="1876E212">
        <w:tblPrEx>
          <w:shd w:val="clear" w:color="auto" w:fill="auto"/>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FC5DC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2B9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E2E2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可查询当前患者的已排队的候诊信息</w:t>
            </w:r>
            <w:r>
              <w:rPr>
                <w:rFonts w:hint="eastAsia"/>
                <w:color w:val="auto"/>
                <w:highlight w:val="none"/>
                <w:lang w:eastAsia="zh-CN"/>
              </w:rPr>
              <w:t>。</w:t>
            </w:r>
          </w:p>
        </w:tc>
      </w:tr>
      <w:tr w14:paraId="064F18B0">
        <w:tblPrEx>
          <w:shd w:val="clear" w:color="auto" w:fill="auto"/>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CC230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13E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22FA382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就诊前5分钟提醒患者到候诊区及时报到就诊；当患者前还剩余3人时，提醒患者及时就诊消息。</w:t>
            </w:r>
          </w:p>
        </w:tc>
      </w:tr>
      <w:tr w14:paraId="58EDF0E7">
        <w:tblPrEx>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20F14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7B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过号提醒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7B166C0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62E7B1FB">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F9D8F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EDB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待缴费提醒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D9AB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根据医生的开单信息，实时推送待缴费信息，提醒患者进行缴费</w:t>
            </w:r>
            <w:r>
              <w:rPr>
                <w:rFonts w:hint="eastAsia"/>
                <w:color w:val="auto"/>
                <w:highlight w:val="none"/>
                <w:lang w:eastAsia="zh-CN"/>
              </w:rPr>
              <w:t>。</w:t>
            </w:r>
          </w:p>
        </w:tc>
      </w:tr>
      <w:tr w14:paraId="6AEF828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0F714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9ED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缴费须知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49BF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点击后可查询缴费须知</w:t>
            </w:r>
            <w:r>
              <w:rPr>
                <w:rFonts w:hint="eastAsia"/>
                <w:color w:val="auto"/>
                <w:highlight w:val="none"/>
                <w:lang w:eastAsia="zh-CN"/>
              </w:rPr>
              <w:t>。</w:t>
            </w:r>
          </w:p>
        </w:tc>
      </w:tr>
      <w:tr w14:paraId="1869CF13">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E76FA0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355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A1A4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提醒患者缴费成功或失败，及时进行取药排队或做检查排队</w:t>
            </w:r>
            <w:r>
              <w:rPr>
                <w:rFonts w:hint="eastAsia"/>
                <w:color w:val="auto"/>
                <w:highlight w:val="none"/>
                <w:lang w:eastAsia="zh-CN"/>
              </w:rPr>
              <w:t>。</w:t>
            </w:r>
          </w:p>
        </w:tc>
      </w:tr>
      <w:tr w14:paraId="79314534">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367D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27B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历史缴费记录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6EFF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点击后可查询历史缴费信息</w:t>
            </w:r>
            <w:r>
              <w:rPr>
                <w:rFonts w:hint="eastAsia"/>
                <w:color w:val="auto"/>
                <w:highlight w:val="none"/>
                <w:lang w:eastAsia="zh-CN"/>
              </w:rPr>
              <w:t>。</w:t>
            </w:r>
          </w:p>
        </w:tc>
      </w:tr>
      <w:tr w14:paraId="14C95ECB">
        <w:tblPrEx>
          <w:shd w:val="clear" w:color="auto" w:fill="auto"/>
          <w:tblCellMar>
            <w:top w:w="0" w:type="dxa"/>
            <w:left w:w="0" w:type="dxa"/>
            <w:bottom w:w="0" w:type="dxa"/>
            <w:right w:w="0" w:type="dxa"/>
          </w:tblCellMar>
        </w:tblPrEx>
        <w:trPr>
          <w:trHeight w:val="41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7290C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F6B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导诊单查询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D9A3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给患者推送导诊单，患者点击后可查看缴费的检查项目、检验项目、取药信息等，同时可以查看检查、检验项目的检查地址和注意事项以及取药地址等信息</w:t>
            </w:r>
            <w:r>
              <w:rPr>
                <w:rFonts w:hint="eastAsia"/>
                <w:color w:val="auto"/>
                <w:highlight w:val="none"/>
                <w:lang w:eastAsia="zh-CN"/>
              </w:rPr>
              <w:t>。</w:t>
            </w:r>
          </w:p>
        </w:tc>
      </w:tr>
      <w:tr w14:paraId="7D794F1B">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3A1C1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DCC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检查信息</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BCFA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根据患者缴费信息，点击后可查询待检查信息</w:t>
            </w:r>
            <w:r>
              <w:rPr>
                <w:rFonts w:hint="eastAsia"/>
                <w:color w:val="auto"/>
                <w:highlight w:val="none"/>
                <w:lang w:eastAsia="zh-CN"/>
              </w:rPr>
              <w:t>。</w:t>
            </w:r>
          </w:p>
        </w:tc>
      </w:tr>
      <w:tr w14:paraId="6DB4C7C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E4740A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91D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A7B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点击后进行检查预约、改预约</w:t>
            </w:r>
            <w:r>
              <w:rPr>
                <w:rFonts w:hint="eastAsia"/>
                <w:color w:val="auto"/>
                <w:highlight w:val="none"/>
                <w:lang w:eastAsia="zh-CN"/>
              </w:rPr>
              <w:t>。</w:t>
            </w:r>
          </w:p>
        </w:tc>
      </w:tr>
      <w:tr w14:paraId="01DA23C2">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D4493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DAF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检查预约成功提醒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645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预约成功后，提醒患者已预约检查信息，及时检查排队</w:t>
            </w:r>
            <w:r>
              <w:rPr>
                <w:rFonts w:hint="eastAsia"/>
                <w:color w:val="auto"/>
                <w:highlight w:val="none"/>
                <w:lang w:eastAsia="zh-CN"/>
              </w:rPr>
              <w:t>。</w:t>
            </w:r>
          </w:p>
        </w:tc>
      </w:tr>
      <w:tr w14:paraId="7BCA6984">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A854E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CB7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检查到检</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83B0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根据患者的检查项目、位置、检查时间，完成签到入队</w:t>
            </w:r>
            <w:r>
              <w:rPr>
                <w:rFonts w:hint="eastAsia"/>
                <w:color w:val="auto"/>
                <w:highlight w:val="none"/>
                <w:lang w:eastAsia="zh-CN"/>
              </w:rPr>
              <w:t>。</w:t>
            </w:r>
          </w:p>
        </w:tc>
      </w:tr>
      <w:tr w14:paraId="4420E5C5">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27B96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2504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检查注意事项提醒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6D7D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可查询检查项目及其对应的注意事项内容</w:t>
            </w:r>
            <w:r>
              <w:rPr>
                <w:rFonts w:hint="eastAsia"/>
                <w:color w:val="auto"/>
                <w:highlight w:val="none"/>
                <w:lang w:eastAsia="zh-CN"/>
              </w:rPr>
              <w:t>。</w:t>
            </w:r>
          </w:p>
        </w:tc>
      </w:tr>
      <w:tr w14:paraId="7A52F783">
        <w:tblPrEx>
          <w:shd w:val="clear" w:color="auto" w:fill="auto"/>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7681B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925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检查位置指引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A00F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对接院内导航系统，点击跳转至院内导航，引导患者在什么地方检查</w:t>
            </w:r>
            <w:r>
              <w:rPr>
                <w:rFonts w:hint="eastAsia"/>
                <w:color w:val="auto"/>
                <w:highlight w:val="none"/>
                <w:lang w:eastAsia="zh-CN"/>
              </w:rPr>
              <w:t>。</w:t>
            </w:r>
          </w:p>
        </w:tc>
      </w:tr>
      <w:tr w14:paraId="5513324C">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533EC4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B24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检查排队信息查询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46D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点击后可查询检查排队的信息</w:t>
            </w:r>
            <w:r>
              <w:rPr>
                <w:rFonts w:hint="eastAsia"/>
                <w:color w:val="auto"/>
                <w:highlight w:val="none"/>
                <w:lang w:eastAsia="zh-CN"/>
              </w:rPr>
              <w:t>。</w:t>
            </w:r>
          </w:p>
        </w:tc>
      </w:tr>
      <w:tr w14:paraId="544B250F">
        <w:tblPrEx>
          <w:shd w:val="clear" w:color="auto" w:fill="auto"/>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48504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668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待检查提醒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F567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在距离检查排队人数还剩3人时，向患者发送即将检查消息提醒</w:t>
            </w:r>
            <w:r>
              <w:rPr>
                <w:rFonts w:hint="eastAsia"/>
                <w:color w:val="auto"/>
                <w:highlight w:val="none"/>
                <w:lang w:eastAsia="zh-CN"/>
              </w:rPr>
              <w:t>。</w:t>
            </w:r>
          </w:p>
        </w:tc>
      </w:tr>
      <w:tr w14:paraId="5DDD84D7">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0439D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162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检查过号提醒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FD59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及时向患者发送过号提醒，告知处理方法（文字说明）</w:t>
            </w:r>
            <w:r>
              <w:rPr>
                <w:rFonts w:hint="eastAsia"/>
                <w:color w:val="auto"/>
                <w:highlight w:val="none"/>
                <w:lang w:eastAsia="zh-CN"/>
              </w:rPr>
              <w:t>。</w:t>
            </w:r>
          </w:p>
        </w:tc>
      </w:tr>
      <w:tr w14:paraId="7F7C8AA9">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B2B8A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B9C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出报告提醒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47806">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推送出报告通知给患者，提醒患者及时查看报告信息。</w:t>
            </w:r>
          </w:p>
        </w:tc>
      </w:tr>
      <w:tr w14:paraId="01ADAA5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41999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4C5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DD4A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点击后查看各类报告结果，获取报告详情及原始检查图像</w:t>
            </w:r>
            <w:r>
              <w:rPr>
                <w:rFonts w:hint="eastAsia"/>
                <w:color w:val="auto"/>
                <w:highlight w:val="none"/>
                <w:lang w:eastAsia="zh-CN"/>
              </w:rPr>
              <w:t>。</w:t>
            </w:r>
          </w:p>
        </w:tc>
      </w:tr>
      <w:tr w14:paraId="7242E2EA">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4AE88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030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报告打印指引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9F89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院内导航，根据患者的信息，指引患者到窗口或自助机进行报告打印</w:t>
            </w:r>
            <w:r>
              <w:rPr>
                <w:rFonts w:hint="eastAsia"/>
                <w:color w:val="auto"/>
                <w:highlight w:val="none"/>
                <w:lang w:eastAsia="zh-CN"/>
              </w:rPr>
              <w:t>。</w:t>
            </w:r>
          </w:p>
        </w:tc>
      </w:tr>
      <w:tr w14:paraId="1C4B4E4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219B0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CE8C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设备故障通知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3386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在检查检验设备故障时，向患者推送检查检验设备故障引起的预约变化通知</w:t>
            </w:r>
            <w:r>
              <w:rPr>
                <w:rFonts w:hint="eastAsia"/>
                <w:color w:val="auto"/>
                <w:highlight w:val="none"/>
                <w:lang w:eastAsia="zh-CN"/>
              </w:rPr>
              <w:t>。</w:t>
            </w:r>
          </w:p>
        </w:tc>
      </w:tr>
      <w:tr w14:paraId="4C74907E">
        <w:tblPrEx>
          <w:shd w:val="clear" w:color="auto" w:fill="auto"/>
          <w:tblCellMar>
            <w:top w:w="0" w:type="dxa"/>
            <w:left w:w="0" w:type="dxa"/>
            <w:bottom w:w="0" w:type="dxa"/>
            <w:right w:w="0" w:type="dxa"/>
          </w:tblCellMar>
        </w:tblPrEx>
        <w:trPr>
          <w:trHeight w:val="41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F4A33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DC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A4B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当患者当天最后一份检查或检验报告出来时，在推送报告结果时，标记出当天最后一份报告，提醒患者当日最后一份报告结果已出，是否需要回诊，如果需要，请及时进行回诊排队</w:t>
            </w:r>
            <w:r>
              <w:rPr>
                <w:rFonts w:hint="eastAsia"/>
                <w:color w:val="auto"/>
                <w:highlight w:val="none"/>
                <w:lang w:eastAsia="zh-CN"/>
              </w:rPr>
              <w:t>。</w:t>
            </w:r>
          </w:p>
        </w:tc>
      </w:tr>
      <w:tr w14:paraId="6F4FFE40">
        <w:tblPrEx>
          <w:shd w:val="clear" w:color="auto" w:fill="auto"/>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4D82E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4C7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49746">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点击后进行回诊排队</w:t>
            </w:r>
            <w:r>
              <w:rPr>
                <w:rFonts w:hint="eastAsia"/>
                <w:color w:val="auto"/>
                <w:highlight w:val="none"/>
                <w:lang w:eastAsia="zh-CN"/>
              </w:rPr>
              <w:t>。</w:t>
            </w:r>
          </w:p>
        </w:tc>
      </w:tr>
      <w:tr w14:paraId="00144A5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63BA5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A2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回诊签到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2135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排队成功后提醒患者及时就诊</w:t>
            </w:r>
            <w:r>
              <w:rPr>
                <w:rFonts w:hint="eastAsia"/>
                <w:color w:val="auto"/>
                <w:highlight w:val="none"/>
                <w:lang w:eastAsia="zh-CN"/>
              </w:rPr>
              <w:t>。</w:t>
            </w:r>
          </w:p>
        </w:tc>
      </w:tr>
      <w:tr w14:paraId="1467F4C2">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6276C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513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85D5C">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可查询当前的排队信息</w:t>
            </w:r>
            <w:r>
              <w:rPr>
                <w:rFonts w:hint="eastAsia"/>
                <w:color w:val="auto"/>
                <w:highlight w:val="none"/>
                <w:lang w:eastAsia="zh-CN"/>
              </w:rPr>
              <w:t>。</w:t>
            </w:r>
          </w:p>
        </w:tc>
      </w:tr>
      <w:tr w14:paraId="0EB887C2">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0EBC4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E5B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回诊导航</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E4E8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跳转至院内导航</w:t>
            </w:r>
            <w:r>
              <w:rPr>
                <w:rFonts w:hint="eastAsia"/>
                <w:color w:val="auto"/>
                <w:highlight w:val="none"/>
                <w:lang w:eastAsia="zh-CN"/>
              </w:rPr>
              <w:t>。</w:t>
            </w:r>
          </w:p>
        </w:tc>
      </w:tr>
      <w:tr w14:paraId="5600C506">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8F39C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9C1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回诊过号提醒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3759ABC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65EFA308">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41902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02D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取药签到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442C6">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自动签到，根据患者的处方信息、位置，自动完成签到入队</w:t>
            </w:r>
            <w:r>
              <w:rPr>
                <w:rFonts w:hint="eastAsia"/>
                <w:color w:val="auto"/>
                <w:highlight w:val="none"/>
                <w:lang w:eastAsia="zh-CN"/>
              </w:rPr>
              <w:t>。</w:t>
            </w:r>
          </w:p>
        </w:tc>
      </w:tr>
      <w:tr w14:paraId="232CF91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3F72F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A7A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取药排队信息查询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1D62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点击后可查询排队的信息</w:t>
            </w:r>
            <w:r>
              <w:rPr>
                <w:rFonts w:hint="eastAsia"/>
                <w:color w:val="auto"/>
                <w:highlight w:val="none"/>
                <w:lang w:eastAsia="zh-CN"/>
              </w:rPr>
              <w:t>。</w:t>
            </w:r>
          </w:p>
        </w:tc>
      </w:tr>
      <w:tr w14:paraId="6E4A76E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841CA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F86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取药须知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511A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点击后显示药房的取药须知</w:t>
            </w:r>
            <w:r>
              <w:rPr>
                <w:rFonts w:hint="eastAsia"/>
                <w:color w:val="auto"/>
                <w:highlight w:val="none"/>
                <w:lang w:eastAsia="zh-CN"/>
              </w:rPr>
              <w:t>。</w:t>
            </w:r>
          </w:p>
        </w:tc>
      </w:tr>
      <w:tr w14:paraId="276A1FE5">
        <w:tblPrEx>
          <w:tblCellMar>
            <w:top w:w="0" w:type="dxa"/>
            <w:left w:w="0" w:type="dxa"/>
            <w:bottom w:w="0" w:type="dxa"/>
            <w:right w:w="0" w:type="dxa"/>
          </w:tblCellMar>
        </w:tblPrEx>
        <w:trPr>
          <w:trHeight w:val="38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2C480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A569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用药指导提醒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B1C6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患者取药成功后，实时推送患者取药信息，处方信息、患者用药信息、药品说明书等内容，为患者实时推送用药提醒，告知患者药品的用法用量及注意事项。</w:t>
            </w:r>
          </w:p>
        </w:tc>
      </w:tr>
      <w:tr w14:paraId="5FA9BBB7">
        <w:tblPrEx>
          <w:shd w:val="clear" w:color="auto" w:fill="auto"/>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433E7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5C3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发票查询</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41F15BE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点击后可查看当前的发票信息进行下载，院内导航指引患者到财务窗口或自助机进行发票打印</w:t>
            </w:r>
            <w:r>
              <w:rPr>
                <w:rFonts w:hint="eastAsia"/>
                <w:color w:val="auto"/>
                <w:highlight w:val="none"/>
                <w:lang w:eastAsia="zh-CN"/>
              </w:rPr>
              <w:t>。</w:t>
            </w:r>
          </w:p>
        </w:tc>
      </w:tr>
      <w:tr w14:paraId="0610095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C0E24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A31F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复诊提醒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48D5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根据患者需要复诊的就诊记录，向患者推送复诊提醒</w:t>
            </w:r>
            <w:r>
              <w:rPr>
                <w:rFonts w:hint="eastAsia"/>
                <w:color w:val="auto"/>
                <w:highlight w:val="none"/>
                <w:lang w:eastAsia="zh-CN"/>
              </w:rPr>
              <w:t>。</w:t>
            </w:r>
          </w:p>
        </w:tc>
      </w:tr>
      <w:tr w14:paraId="246A2E69">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DD0B2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B453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生活指导提醒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FDF6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向患者推送与其疾病相关的生活指导提醒</w:t>
            </w:r>
            <w:r>
              <w:rPr>
                <w:rFonts w:hint="eastAsia"/>
                <w:color w:val="auto"/>
                <w:highlight w:val="none"/>
                <w:lang w:eastAsia="zh-CN"/>
              </w:rPr>
              <w:t>。</w:t>
            </w:r>
          </w:p>
        </w:tc>
      </w:tr>
      <w:tr w14:paraId="7DAF2CB3">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1FA55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95DD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健康宣教提醒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B26BB">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向患者推送与其疾病相关的健康宣教信息</w:t>
            </w:r>
            <w:r>
              <w:rPr>
                <w:rFonts w:hint="eastAsia"/>
                <w:color w:val="auto"/>
                <w:highlight w:val="none"/>
                <w:lang w:eastAsia="zh-CN"/>
              </w:rPr>
              <w:t>。</w:t>
            </w:r>
          </w:p>
        </w:tc>
      </w:tr>
      <w:tr w14:paraId="1415DE45">
        <w:tblPrEx>
          <w:tblCellMar>
            <w:top w:w="0" w:type="dxa"/>
            <w:left w:w="0" w:type="dxa"/>
            <w:bottom w:w="0" w:type="dxa"/>
            <w:right w:w="0" w:type="dxa"/>
          </w:tblCellMar>
        </w:tblPrEx>
        <w:trPr>
          <w:trHeight w:val="424"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89D70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医院管理</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4ABE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医院信息</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C6EF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支持维护医院简介信息和医院LOGO图片以及医院宣传图片，可查看医院介绍信息；科室介绍信息；医生介绍信息；特色专科介绍信息；显示医院动态。</w:t>
            </w:r>
          </w:p>
        </w:tc>
      </w:tr>
      <w:tr w14:paraId="2F8DB7AD">
        <w:tblPrEx>
          <w:shd w:val="clear" w:color="auto" w:fill="auto"/>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1330B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CAAC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科室排序</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295CC">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支持科室分类排序，医院按照自己的实际业务需求将热门科室置于最醒目位置</w:t>
            </w:r>
            <w:r>
              <w:rPr>
                <w:rFonts w:hint="eastAsia"/>
                <w:color w:val="auto"/>
                <w:highlight w:val="none"/>
                <w:lang w:eastAsia="zh-CN"/>
              </w:rPr>
              <w:t>。</w:t>
            </w:r>
          </w:p>
        </w:tc>
      </w:tr>
      <w:tr w14:paraId="5737963D">
        <w:tblPrEx>
          <w:shd w:val="clear" w:color="auto" w:fill="auto"/>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6AC31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F40F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用户信息</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F99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支持显示和修改用户基本信息，可修改关联手机号。</w:t>
            </w:r>
          </w:p>
        </w:tc>
      </w:tr>
      <w:tr w14:paraId="29C1F685">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D7042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2632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满意度</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4B4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就诊结束后，支持</w:t>
            </w:r>
            <w:r>
              <w:rPr>
                <w:rFonts w:hint="eastAsia"/>
                <w:color w:val="auto"/>
                <w:highlight w:val="none"/>
              </w:rPr>
              <w:t>对接第三方</w:t>
            </w:r>
            <w:r>
              <w:rPr>
                <w:color w:val="auto"/>
                <w:highlight w:val="none"/>
              </w:rPr>
              <w:t>系统</w:t>
            </w:r>
            <w:r>
              <w:rPr>
                <w:color w:val="auto"/>
                <w:spacing w:val="-2"/>
                <w:highlight w:val="none"/>
              </w:rPr>
              <w:t>，患者可反馈对此次的就诊满意情况。</w:t>
            </w:r>
          </w:p>
        </w:tc>
      </w:tr>
      <w:tr w14:paraId="1891CBB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5FC45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0FB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来院筛查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536B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患者在线填写来院筛查问卷。问卷模板支持按医院需求配置；支持在预约挂号流程中插入来院筛查问卷填写。</w:t>
            </w:r>
          </w:p>
        </w:tc>
      </w:tr>
      <w:tr w14:paraId="2A37BDF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C7387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1B19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关注医生</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830A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用户可添加关注医生，关注后可通过“我的关注”快捷预约挂号此医生。</w:t>
            </w:r>
          </w:p>
        </w:tc>
      </w:tr>
      <w:tr w14:paraId="29ACEEDD">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F4FC2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3060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健康百科</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4AE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支持患者在线查看健康百科，包括疾病介绍、中成药介绍、西药介绍、急救知识、检验单解读等。</w:t>
            </w:r>
          </w:p>
        </w:tc>
      </w:tr>
      <w:tr w14:paraId="055D51FB">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41BE9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1A9B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就医指南</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133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支持患者在线查看就医指南，包括门诊就医指南、门诊检查指南（CR检查流程、CT检查流程、MR检查流程等）、急诊指南、门诊检验须知、体检指南、门诊楼层索引、挂号服务等。</w:t>
            </w:r>
          </w:p>
        </w:tc>
      </w:tr>
      <w:tr w14:paraId="552FECB3">
        <w:tblPrEx>
          <w:tblCellMar>
            <w:top w:w="0" w:type="dxa"/>
            <w:left w:w="0" w:type="dxa"/>
            <w:bottom w:w="0" w:type="dxa"/>
            <w:right w:w="0" w:type="dxa"/>
          </w:tblCellMar>
        </w:tblPrEx>
        <w:trPr>
          <w:trHeight w:val="38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671B8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998D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常见问题答疑</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D01A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支持用户在线查看常见问题答疑</w:t>
            </w:r>
            <w:r>
              <w:rPr>
                <w:rFonts w:hint="eastAsia"/>
                <w:color w:val="auto"/>
                <w:highlight w:val="none"/>
                <w:lang w:eastAsia="zh-CN"/>
              </w:rPr>
              <w:t>。</w:t>
            </w:r>
          </w:p>
        </w:tc>
      </w:tr>
      <w:tr w14:paraId="17C78C23">
        <w:tblPrEx>
          <w:tblCellMar>
            <w:top w:w="0" w:type="dxa"/>
            <w:left w:w="0" w:type="dxa"/>
            <w:bottom w:w="0" w:type="dxa"/>
            <w:right w:w="0" w:type="dxa"/>
          </w:tblCellMar>
        </w:tblPrEx>
        <w:trPr>
          <w:trHeight w:val="31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9D16E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DEB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基础数据管理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A4C3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支持对科室、医生基本信息的维护；支持对所有查询记录生成统计报表。</w:t>
            </w:r>
          </w:p>
        </w:tc>
      </w:tr>
    </w:tbl>
    <w:p w14:paraId="7A4B020E">
      <w:pPr>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rPr>
      </w:pPr>
    </w:p>
    <w:p w14:paraId="13669A7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、运维服务需求</w:t>
      </w:r>
    </w:p>
    <w:p w14:paraId="198BD0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提供3年自助服务项目全套运维管理服务，提供并建立完整的运维服务保障体系及应急保障体系。</w:t>
      </w:r>
    </w:p>
    <w:tbl>
      <w:tblPr>
        <w:tblStyle w:val="330"/>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40"/>
        <w:gridCol w:w="1227"/>
        <w:gridCol w:w="6468"/>
      </w:tblGrid>
      <w:tr w14:paraId="056BB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blHeader/>
        </w:trPr>
        <w:tc>
          <w:tcPr>
            <w:tcW w:w="384" w:type="pct"/>
            <w:noWrap w:val="0"/>
            <w:vAlign w:val="center"/>
          </w:tcPr>
          <w:p w14:paraId="0D4117A5">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6" w:type="pct"/>
            <w:noWrap w:val="0"/>
            <w:vAlign w:val="center"/>
          </w:tcPr>
          <w:p w14:paraId="254A788A">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项目</w:t>
            </w:r>
          </w:p>
        </w:tc>
        <w:tc>
          <w:tcPr>
            <w:tcW w:w="3879" w:type="pct"/>
            <w:noWrap w:val="0"/>
            <w:vAlign w:val="center"/>
          </w:tcPr>
          <w:p w14:paraId="0BB51256">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要求</w:t>
            </w:r>
          </w:p>
        </w:tc>
      </w:tr>
      <w:tr w14:paraId="71D9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337C9B4D">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bidi="ar-SA"/>
              </w:rPr>
            </w:pPr>
          </w:p>
        </w:tc>
        <w:tc>
          <w:tcPr>
            <w:tcW w:w="736" w:type="pct"/>
            <w:noWrap w:val="0"/>
            <w:vAlign w:val="center"/>
          </w:tcPr>
          <w:p w14:paraId="76F5C1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打印耗材</w:t>
            </w:r>
          </w:p>
          <w:p w14:paraId="71786E27">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p>
        </w:tc>
        <w:tc>
          <w:tcPr>
            <w:tcW w:w="3879" w:type="pct"/>
            <w:noWrap w:val="0"/>
            <w:vAlign w:val="center"/>
          </w:tcPr>
          <w:p w14:paraId="11A3DF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为医院提供自助设备所有耗材维护及管理服务。打印设备所涉及的</w:t>
            </w:r>
            <w:r>
              <w:rPr>
                <w:rFonts w:hint="eastAsia" w:ascii="宋体" w:hAnsi="宋体" w:eastAsia="宋体" w:cs="宋体"/>
                <w:color w:val="auto"/>
                <w:kern w:val="0"/>
                <w:sz w:val="21"/>
                <w:szCs w:val="21"/>
                <w:highlight w:val="none"/>
              </w:rPr>
              <w:t>硒鼓、墨盒、报告纸、凭条等耗材</w:t>
            </w:r>
            <w:r>
              <w:rPr>
                <w:rFonts w:hint="eastAsia" w:ascii="宋体" w:hAnsi="宋体" w:eastAsia="宋体" w:cs="宋体"/>
                <w:color w:val="auto"/>
                <w:sz w:val="21"/>
                <w:szCs w:val="21"/>
                <w:highlight w:val="none"/>
              </w:rPr>
              <w:t>均由供应商提供，所有耗材须提供品牌、规格、型号。</w:t>
            </w:r>
          </w:p>
          <w:p w14:paraId="46AFF4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2.打印质量：打印/复印结果应为实心黑线，字迹清楚，达到无背景、重影、断点和模糊等；无直径或长度在 2mm 以上的脏污；无因漏印而导致的内容不明。</w:t>
            </w:r>
          </w:p>
        </w:tc>
      </w:tr>
      <w:tr w14:paraId="17B70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147F7395">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3E19374F">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驻场服务</w:t>
            </w:r>
          </w:p>
        </w:tc>
        <w:tc>
          <w:tcPr>
            <w:tcW w:w="3879" w:type="pct"/>
            <w:noWrap w:val="0"/>
            <w:vAlign w:val="center"/>
          </w:tcPr>
          <w:p w14:paraId="1C0E23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i/>
                <w:iCs/>
                <w:color w:val="auto"/>
                <w:sz w:val="21"/>
                <w:szCs w:val="21"/>
                <w:highlight w:val="none"/>
                <w:u w:val="single"/>
              </w:rPr>
              <w:t>提供驻场工程师4人，</w:t>
            </w:r>
            <w:r>
              <w:rPr>
                <w:rFonts w:hint="eastAsia" w:ascii="宋体" w:hAnsi="宋体" w:eastAsia="宋体" w:cs="宋体"/>
                <w:b/>
                <w:bCs/>
                <w:i/>
                <w:iCs/>
                <w:color w:val="auto"/>
                <w:sz w:val="21"/>
                <w:szCs w:val="21"/>
                <w:highlight w:val="none"/>
                <w:u w:val="single"/>
                <w:lang w:val="en-US" w:eastAsia="zh-CN"/>
              </w:rPr>
              <w:t>服务时间：</w:t>
            </w:r>
            <w:r>
              <w:rPr>
                <w:rFonts w:hint="eastAsia" w:ascii="宋体" w:hAnsi="宋体" w:eastAsia="宋体" w:cs="宋体"/>
                <w:b/>
                <w:bCs/>
                <w:i/>
                <w:iCs/>
                <w:color w:val="auto"/>
                <w:sz w:val="21"/>
                <w:szCs w:val="21"/>
                <w:highlight w:val="none"/>
                <w:u w:val="single"/>
              </w:rPr>
              <w:t>7*8小时</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3年</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两院区驻场服务（跟院方作息时间同步），7*24小时3年上门服务，无论在保修期内还是保修期外，驻场工程师必须至院方指定地点上门维修设备。驻场工程师须具有丰富的硬件维修经验及客户沟通反馈能力，能够为本次项目的自助机提供日常巡检、系统维护、耗材更换、故障处理、软件升级维护、协助查对账务等服务。（提供承诺书加盖投标人公章，承诺书格式自拟）</w:t>
            </w:r>
          </w:p>
          <w:p w14:paraId="755A94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2.设备发生故障时，应在接到院方通知后 10分钟内</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，30分钟内到达</w:t>
            </w:r>
            <w:r>
              <w:rPr>
                <w:rFonts w:hint="eastAsia" w:ascii="宋体" w:hAnsi="宋体" w:eastAsia="宋体" w:cs="宋体"/>
                <w:color w:val="auto"/>
                <w:sz w:val="21"/>
                <w:szCs w:val="21"/>
                <w:highlight w:val="none"/>
                <w:lang w:val="en-US" w:eastAsia="zh-CN"/>
              </w:rPr>
              <w:t>出现故障</w:t>
            </w:r>
            <w:r>
              <w:rPr>
                <w:rFonts w:hint="eastAsia" w:ascii="宋体" w:hAnsi="宋体" w:eastAsia="宋体" w:cs="宋体"/>
                <w:color w:val="auto"/>
                <w:sz w:val="21"/>
                <w:szCs w:val="21"/>
                <w:highlight w:val="none"/>
              </w:rPr>
              <w:t>现场，1小时内解决故障</w:t>
            </w:r>
            <w:r>
              <w:rPr>
                <w:rFonts w:hint="eastAsia" w:ascii="宋体" w:hAnsi="宋体" w:eastAsia="宋体" w:cs="宋体"/>
                <w:color w:val="auto"/>
                <w:sz w:val="21"/>
                <w:szCs w:val="21"/>
                <w:highlight w:val="none"/>
                <w:lang w:val="en-US" w:eastAsia="zh-CN"/>
              </w:rPr>
              <w:t>恢复使用</w:t>
            </w:r>
            <w:r>
              <w:rPr>
                <w:rFonts w:hint="eastAsia" w:ascii="宋体" w:hAnsi="宋体" w:eastAsia="宋体" w:cs="宋体"/>
                <w:color w:val="auto"/>
                <w:sz w:val="21"/>
                <w:szCs w:val="21"/>
                <w:highlight w:val="none"/>
              </w:rPr>
              <w:t>；或在48小时内免费提供同机型备用设备直至故障设备维修完成恢复使用。否则院方可自行采取必要的措施，由此产生的风险和费用由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承担。如有特殊情况，</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应立即电话通知院方不能响应的原因，在获得院方同意后，才可推迟响应时间。</w:t>
            </w:r>
          </w:p>
          <w:p w14:paraId="3A7234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3.解决故障时，最大限度保护好数据，做好故障恢复的文档，力争恢复到故障点前的业务状态。对于“系统瘫痪，业务系统不能运转”的故障级别，如果不能于12小时内解决故障，须在 16小时内提出应急方案，确保业务系统的运行。故障解决后 24小时内，提交故障处理报告，说明故障种类、故障原因、故障解决中使用的方法及故障损失等。</w:t>
            </w:r>
          </w:p>
          <w:p w14:paraId="2C88EC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驻场人员对所维护自助设备每半天一次巡查，对巡检中发现的潜在隐患提出改正建议，及时向院方通报，按月提交自助机项目巡检报告，每年配合医院向使用部门发放用户满意度调查表，并对调查表中反映的问题进行整改。</w:t>
            </w:r>
          </w:p>
          <w:p w14:paraId="4546AB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5.驻场人员须是熟练掌握自助机运维技术的专业技术人员，所有工薪、</w:t>
            </w:r>
            <w:r>
              <w:rPr>
                <w:rFonts w:hint="eastAsia" w:ascii="宋体" w:hAnsi="宋体" w:eastAsia="宋体" w:cs="宋体"/>
                <w:color w:val="auto"/>
                <w:sz w:val="21"/>
                <w:szCs w:val="21"/>
                <w:highlight w:val="none"/>
                <w:lang w:val="en-US" w:eastAsia="zh-CN"/>
              </w:rPr>
              <w:t>社会保险</w:t>
            </w:r>
            <w:r>
              <w:rPr>
                <w:rFonts w:hint="eastAsia" w:ascii="宋体" w:hAnsi="宋体" w:eastAsia="宋体" w:cs="宋体"/>
                <w:color w:val="auto"/>
                <w:sz w:val="21"/>
                <w:szCs w:val="21"/>
                <w:highlight w:val="none"/>
              </w:rPr>
              <w:t>费用均由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承担。驻场人员要求计算机相关专业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本科及</w:t>
            </w:r>
            <w:r>
              <w:rPr>
                <w:rFonts w:hint="eastAsia" w:ascii="宋体" w:hAnsi="宋体" w:eastAsia="宋体" w:cs="宋体"/>
                <w:color w:val="auto"/>
                <w:sz w:val="21"/>
                <w:szCs w:val="21"/>
                <w:highlight w:val="none"/>
              </w:rPr>
              <w:t>以上学历，提供</w:t>
            </w:r>
            <w:r>
              <w:rPr>
                <w:rFonts w:hint="eastAsia" w:ascii="宋体" w:hAnsi="宋体" w:eastAsia="宋体" w:cs="宋体"/>
                <w:color w:val="auto"/>
                <w:sz w:val="21"/>
                <w:szCs w:val="21"/>
                <w:highlight w:val="none"/>
                <w:lang w:val="en-US" w:eastAsia="zh-CN"/>
              </w:rPr>
              <w:t>个人</w:t>
            </w:r>
            <w:r>
              <w:rPr>
                <w:rFonts w:hint="eastAsia" w:ascii="宋体" w:hAnsi="宋体" w:eastAsia="宋体" w:cs="宋体"/>
                <w:color w:val="auto"/>
                <w:sz w:val="21"/>
                <w:szCs w:val="21"/>
                <w:highlight w:val="none"/>
              </w:rPr>
              <w:t>简历、学历证书、</w:t>
            </w:r>
            <w:r>
              <w:rPr>
                <w:rFonts w:hint="eastAsia" w:ascii="宋体" w:hAnsi="宋体" w:eastAsia="宋体" w:cs="宋体"/>
                <w:color w:val="auto"/>
                <w:sz w:val="21"/>
                <w:szCs w:val="21"/>
                <w:highlight w:val="none"/>
                <w:lang w:val="en-US" w:eastAsia="zh-CN"/>
              </w:rPr>
              <w:t>近一年内任意一个月的</w:t>
            </w:r>
            <w:r>
              <w:rPr>
                <w:rFonts w:hint="eastAsia" w:ascii="宋体" w:hAnsi="宋体" w:eastAsia="宋体" w:cs="宋体"/>
                <w:color w:val="auto"/>
                <w:sz w:val="21"/>
                <w:szCs w:val="21"/>
                <w:highlight w:val="none"/>
              </w:rPr>
              <w:t>社保缴纳证明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在驻场前应提供驻场人员证明材料交于院方审核，</w:t>
            </w:r>
            <w:r>
              <w:rPr>
                <w:rFonts w:hint="eastAsia" w:ascii="宋体" w:hAnsi="宋体" w:eastAsia="宋体" w:cs="宋体"/>
                <w:color w:val="auto"/>
                <w:sz w:val="21"/>
                <w:szCs w:val="21"/>
                <w:highlight w:val="none"/>
              </w:rPr>
              <w:t>如不符合院方</w:t>
            </w:r>
            <w:r>
              <w:rPr>
                <w:rFonts w:hint="eastAsia" w:ascii="宋体" w:hAnsi="宋体" w:eastAsia="宋体" w:cs="宋体"/>
                <w:color w:val="auto"/>
                <w:sz w:val="21"/>
                <w:szCs w:val="21"/>
                <w:highlight w:val="none"/>
                <w:lang w:val="en-US" w:eastAsia="zh-CN"/>
              </w:rPr>
              <w:t>认可</w:t>
            </w:r>
            <w:r>
              <w:rPr>
                <w:rFonts w:hint="eastAsia" w:ascii="宋体" w:hAnsi="宋体" w:eastAsia="宋体" w:cs="宋体"/>
                <w:color w:val="auto"/>
                <w:sz w:val="21"/>
                <w:szCs w:val="21"/>
                <w:highlight w:val="none"/>
              </w:rPr>
              <w:t>，院方有权要求</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更换人员，在驻场期间如发生人身伤害事故或违法行为与院方无关，由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负责。</w:t>
            </w:r>
          </w:p>
          <w:p w14:paraId="702F5A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6.遇到自助机坐标调整或者办公地点更换，驻场人员应积极配合院方做好设备迁移、安装、调试工作，并主动增加足够多的人手保障服务响应。</w:t>
            </w:r>
          </w:p>
          <w:p w14:paraId="6C5D95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应提供日常更换的备件清单，储备足够的零备件，保证维护服务所使用的替换零部件为原装（厂）配件。</w:t>
            </w:r>
            <w:r>
              <w:rPr>
                <w:rFonts w:hint="eastAsia" w:ascii="宋体" w:hAnsi="宋体" w:eastAsia="宋体" w:cs="宋体"/>
                <w:b/>
                <w:bCs/>
                <w:i/>
                <w:iCs/>
                <w:color w:val="auto"/>
                <w:sz w:val="21"/>
                <w:szCs w:val="21"/>
                <w:highlight w:val="none"/>
                <w:u w:val="single"/>
              </w:rPr>
              <w:t>投标文件中应详细列出备件的名称及其储备数量。（提供</w:t>
            </w:r>
            <w:r>
              <w:rPr>
                <w:rFonts w:hint="eastAsia" w:ascii="宋体" w:hAnsi="宋体" w:eastAsia="宋体" w:cs="宋体"/>
                <w:b/>
                <w:bCs/>
                <w:i/>
                <w:iCs/>
                <w:color w:val="auto"/>
                <w:sz w:val="21"/>
                <w:szCs w:val="21"/>
                <w:highlight w:val="none"/>
                <w:u w:val="single"/>
                <w:lang w:val="en-US" w:eastAsia="zh-CN"/>
              </w:rPr>
              <w:t>详细备品备件清单</w:t>
            </w:r>
            <w:r>
              <w:rPr>
                <w:rFonts w:hint="eastAsia" w:ascii="宋体" w:hAnsi="宋体" w:eastAsia="宋体" w:cs="宋体"/>
                <w:b/>
                <w:bCs/>
                <w:i/>
                <w:iCs/>
                <w:color w:val="auto"/>
                <w:sz w:val="21"/>
                <w:szCs w:val="21"/>
                <w:highlight w:val="none"/>
                <w:u w:val="single"/>
              </w:rPr>
              <w:t>加盖投标人公章，承诺书格式自拟）</w:t>
            </w:r>
          </w:p>
          <w:p w14:paraId="66AD54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8.对于仍在使用的原有自助终端，</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 xml:space="preserve">需要提供同等质量的运维服务，保障设备稳定运行，包括但不限于日常巡检、设备维护、整机及部件故障维修、备件更换、耗材更换、软件升级维护等服务。 </w:t>
            </w:r>
          </w:p>
        </w:tc>
      </w:tr>
      <w:tr w14:paraId="2B10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479DAB6F">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202C1D20">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数据交换与接口对接功能需求</w:t>
            </w:r>
          </w:p>
        </w:tc>
        <w:tc>
          <w:tcPr>
            <w:tcW w:w="3879" w:type="pct"/>
            <w:noWrap w:val="0"/>
            <w:vAlign w:val="center"/>
          </w:tcPr>
          <w:p w14:paraId="6B70C2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w:t>
            </w:r>
            <w:r>
              <w:rPr>
                <w:rFonts w:hint="eastAsia" w:ascii="宋体" w:hAnsi="宋体" w:eastAsia="宋体" w:cs="宋体"/>
                <w:b/>
                <w:bCs/>
                <w:i/>
                <w:iCs/>
                <w:color w:val="auto"/>
                <w:sz w:val="21"/>
                <w:szCs w:val="21"/>
                <w:highlight w:val="none"/>
                <w:u w:val="single"/>
              </w:rPr>
              <w:t>本次项目建设要求硬件设备及软件功能，能够实现与医院各系统及省市医保、各区域信息平台进行对接，实现各系统之间的互联、互通、资源共享。（提供承诺书加盖投标人公章，承诺书格式自拟）</w:t>
            </w:r>
          </w:p>
          <w:p w14:paraId="0AEFDD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2.本次项目包含医院相关系统的接口，需要</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提供接口文档及方案。根据院方实际需求，提供多次免费接口对接服务，涉及</w:t>
            </w:r>
            <w:r>
              <w:rPr>
                <w:rFonts w:hint="eastAsia" w:ascii="宋体" w:hAnsi="宋体" w:eastAsia="宋体" w:cs="宋体"/>
                <w:color w:val="auto"/>
                <w:sz w:val="21"/>
                <w:szCs w:val="21"/>
                <w:highlight w:val="none"/>
                <w:lang w:val="en-US" w:eastAsia="zh-CN"/>
              </w:rPr>
              <w:t>第三方</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自行测算，并包含在投标报价中。 </w:t>
            </w:r>
          </w:p>
          <w:p w14:paraId="163D5A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能够根据国家信创要求，承诺在保持自助机外观及主体物理结构、性能不改变的前提下，进行国产化替代，适配信创软硬件生态。（提供承诺书加盖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p w14:paraId="43C991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系统建设具有可扩展性，能够与其他第三方系统对接，以适应发展需求。</w:t>
            </w:r>
          </w:p>
        </w:tc>
      </w:tr>
      <w:tr w14:paraId="2BDA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4D2E8E77">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6BA7A9EB">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软硬件升级服务</w:t>
            </w:r>
          </w:p>
        </w:tc>
        <w:tc>
          <w:tcPr>
            <w:tcW w:w="3879" w:type="pct"/>
            <w:noWrap w:val="0"/>
            <w:vAlign w:val="center"/>
          </w:tcPr>
          <w:p w14:paraId="2D0CD1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1.根据医院和患者的使用需求，分析应用系统对服务平台性能的要求，对多功能自助服务系统软、硬件进行更新开发与部署，保障应用系统的处理服务性能。 </w:t>
            </w:r>
          </w:p>
          <w:p w14:paraId="5C0531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中的软件发布了任何更新、补丁、版本升级、行业标准升级、型号升级等，供应商经过评估，提供可行的升级计划方案与医院信息部门进行技术交流，征得同意后组织实施工作进行软件免费升级，保证软件为最新、最高版本。主要工作内容包括：更新内容调研、更新方案设计、软件开发、代码编写、功能测试、上线部署。</w:t>
            </w:r>
          </w:p>
          <w:p w14:paraId="55E8A3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3.</w:t>
            </w:r>
            <w:r>
              <w:rPr>
                <w:rFonts w:hint="eastAsia" w:ascii="宋体" w:hAnsi="宋体" w:eastAsia="宋体" w:cs="宋体"/>
                <w:b/>
                <w:bCs/>
                <w:i/>
                <w:iCs/>
                <w:color w:val="auto"/>
                <w:sz w:val="21"/>
                <w:szCs w:val="21"/>
                <w:highlight w:val="none"/>
                <w:u w:val="single"/>
                <w:lang w:val="en-US" w:eastAsia="zh-CN"/>
              </w:rPr>
              <w:t>投标人</w:t>
            </w:r>
            <w:r>
              <w:rPr>
                <w:rFonts w:hint="eastAsia" w:ascii="宋体" w:hAnsi="宋体" w:eastAsia="宋体" w:cs="宋体"/>
                <w:b/>
                <w:bCs/>
                <w:i/>
                <w:iCs/>
                <w:color w:val="auto"/>
                <w:sz w:val="21"/>
                <w:szCs w:val="21"/>
                <w:highlight w:val="none"/>
                <w:u w:val="single"/>
              </w:rPr>
              <w:t>与医院共同开发新增服务项目每年不少于3项。合同期内供应商新开发服务功能，免费提供院方使用。（提供承诺书加盖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tc>
      </w:tr>
      <w:tr w14:paraId="77C6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4C1376A8">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57D8B83D">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超过合同期限后的服务</w:t>
            </w:r>
          </w:p>
        </w:tc>
        <w:tc>
          <w:tcPr>
            <w:tcW w:w="3879" w:type="pct"/>
            <w:noWrap w:val="0"/>
            <w:vAlign w:val="center"/>
          </w:tcPr>
          <w:p w14:paraId="213DDA7D">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超出合同期限后，有关</w:t>
            </w:r>
            <w:r>
              <w:rPr>
                <w:rFonts w:hint="eastAsia" w:cs="Times New Roman"/>
                <w:color w:val="auto"/>
                <w:sz w:val="21"/>
                <w:szCs w:val="22"/>
                <w:highlight w:val="none"/>
                <w:lang w:val="en-US" w:eastAsia="zh-CN" w:bidi="ar-SA"/>
              </w:rPr>
              <w:t>软、硬件升级；软、硬件维护；</w:t>
            </w:r>
            <w:r>
              <w:rPr>
                <w:rFonts w:hint="eastAsia" w:ascii="宋体" w:hAnsi="宋体" w:eastAsia="宋体" w:cs="宋体"/>
                <w:color w:val="auto"/>
                <w:sz w:val="21"/>
                <w:szCs w:val="21"/>
                <w:highlight w:val="none"/>
              </w:rPr>
              <w:t>耗材管理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服务方式、范围等相关服务费用参照合同要求，</w:t>
            </w:r>
            <w:r>
              <w:rPr>
                <w:rFonts w:hint="eastAsia" w:ascii="宋体" w:hAnsi="宋体" w:eastAsia="宋体" w:cs="宋体"/>
                <w:color w:val="auto"/>
                <w:sz w:val="21"/>
                <w:szCs w:val="21"/>
                <w:highlight w:val="none"/>
                <w:lang w:val="en-US" w:eastAsia="zh-CN"/>
              </w:rPr>
              <w:t>双方另签署合同，</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lang w:val="en-US" w:eastAsia="zh-CN"/>
              </w:rPr>
              <w:t>出保后的价格</w:t>
            </w:r>
            <w:r>
              <w:rPr>
                <w:rFonts w:hint="eastAsia" w:ascii="宋体" w:hAnsi="宋体" w:eastAsia="宋体" w:cs="宋体"/>
                <w:color w:val="auto"/>
                <w:sz w:val="21"/>
                <w:szCs w:val="21"/>
                <w:highlight w:val="none"/>
              </w:rPr>
              <w:t xml:space="preserve">为准。 </w:t>
            </w:r>
          </w:p>
        </w:tc>
      </w:tr>
      <w:tr w14:paraId="11A6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724E34C8">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0E8EFE75">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w:t>
            </w:r>
          </w:p>
        </w:tc>
        <w:tc>
          <w:tcPr>
            <w:tcW w:w="3879" w:type="pct"/>
            <w:noWrap w:val="0"/>
            <w:vAlign w:val="center"/>
          </w:tcPr>
          <w:p w14:paraId="5E5AF8C1">
            <w:pPr>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负责为院方相关</w:t>
            </w:r>
            <w:r>
              <w:rPr>
                <w:rFonts w:hint="eastAsia" w:ascii="宋体" w:hAnsi="宋体" w:eastAsia="宋体" w:cs="宋体"/>
                <w:color w:val="auto"/>
                <w:sz w:val="21"/>
                <w:szCs w:val="21"/>
                <w:highlight w:val="none"/>
                <w:lang w:val="en-US" w:eastAsia="zh-CN"/>
              </w:rPr>
              <w:t>科室</w:t>
            </w:r>
            <w:r>
              <w:rPr>
                <w:rFonts w:hint="eastAsia" w:ascii="宋体" w:hAnsi="宋体" w:eastAsia="宋体" w:cs="宋体"/>
                <w:color w:val="auto"/>
                <w:sz w:val="21"/>
                <w:szCs w:val="21"/>
                <w:highlight w:val="none"/>
              </w:rPr>
              <w:t>人员（包括导医、财务、部门管理、信息化处技术人员等）提供免费培训服务。培训方式为现场培训，培训内容包括：系统管理、平台软件等。</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根据上述要求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w:t>
            </w:r>
          </w:p>
        </w:tc>
      </w:tr>
      <w:tr w14:paraId="2EBA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381E222F">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29B8D180">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运营服务</w:t>
            </w:r>
          </w:p>
        </w:tc>
        <w:tc>
          <w:tcPr>
            <w:tcW w:w="3879" w:type="pct"/>
            <w:noWrap w:val="0"/>
            <w:vAlign w:val="center"/>
          </w:tcPr>
          <w:p w14:paraId="5AE7AA55">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rPr>
              <w:t>提供整体的运营方案体系，通过线下、线上的运营宣传推广来提高多功能自助服务机使用率，结合医院的主题风格，利用设计及装潢等方式引导用户主动使用自助机产品，通过智能引导操作流程，降低新用户使用门槛，发挥自助服务应有的价值。</w:t>
            </w:r>
          </w:p>
        </w:tc>
      </w:tr>
    </w:tbl>
    <w:p w14:paraId="160300C6">
      <w:pPr>
        <w:rPr>
          <w:rFonts w:hint="eastAsia" w:ascii="宋体" w:hAnsi="宋体" w:eastAsia="宋体" w:cs="宋体"/>
          <w:b/>
          <w:bCs/>
          <w:color w:val="auto"/>
          <w:kern w:val="36"/>
          <w:sz w:val="21"/>
          <w:szCs w:val="21"/>
          <w:highlight w:val="none"/>
        </w:rPr>
      </w:pPr>
      <w:r>
        <w:rPr>
          <w:rFonts w:hint="eastAsia" w:ascii="宋体" w:hAnsi="宋体" w:eastAsia="宋体" w:cs="宋体"/>
          <w:b/>
          <w:bCs/>
          <w:color w:val="auto"/>
          <w:kern w:val="36"/>
          <w:sz w:val="24"/>
          <w:szCs w:val="24"/>
          <w:highlight w:val="none"/>
          <w:lang w:val="en-US" w:eastAsia="zh-CN"/>
        </w:rPr>
        <w:t>·</w:t>
      </w:r>
      <w:r>
        <w:rPr>
          <w:rFonts w:hint="eastAsia" w:ascii="宋体" w:hAnsi="宋体" w:eastAsia="宋体" w:cs="宋体"/>
          <w:b/>
          <w:bCs/>
          <w:color w:val="auto"/>
          <w:kern w:val="36"/>
          <w:sz w:val="24"/>
          <w:szCs w:val="24"/>
          <w:highlight w:val="none"/>
        </w:rPr>
        <w:br w:type="page"/>
      </w:r>
    </w:p>
    <w:p w14:paraId="699BA212">
      <w:pPr>
        <w:rPr>
          <w:rFonts w:hint="eastAsia" w:ascii="宋体" w:hAnsi="宋体" w:eastAsia="宋体" w:cs="宋体"/>
          <w:b/>
          <w:bCs/>
          <w:color w:val="auto"/>
          <w:kern w:val="36"/>
          <w:sz w:val="24"/>
          <w:szCs w:val="24"/>
          <w:highlight w:val="none"/>
        </w:rPr>
      </w:pPr>
    </w:p>
    <w:p w14:paraId="7EC874F1">
      <w:pPr>
        <w:tabs>
          <w:tab w:val="left" w:pos="3320"/>
          <w:tab w:val="center" w:pos="4596"/>
        </w:tabs>
        <w:spacing w:line="400" w:lineRule="exact"/>
        <w:jc w:val="cente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t>廉洁合作协议</w:t>
      </w:r>
    </w:p>
    <w:p w14:paraId="433090C8">
      <w:pPr>
        <w:adjustRightInd w:val="0"/>
        <w:snapToGrid w:val="0"/>
        <w:spacing w:line="440" w:lineRule="exact"/>
        <w:ind w:left="424" w:leftChars="202" w:right="311" w:rightChars="148" w:firstLine="2"/>
        <w:contextualSpacing/>
        <w:rPr>
          <w:rFonts w:hint="eastAsia" w:ascii="宋体" w:hAnsi="宋体" w:cs="宋体"/>
          <w:color w:val="auto"/>
          <w:kern w:val="0"/>
          <w:sz w:val="24"/>
          <w:highlight w:val="none"/>
        </w:rPr>
      </w:pPr>
    </w:p>
    <w:p w14:paraId="2A18E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b/>
          <w:color w:val="auto"/>
          <w:kern w:val="0"/>
          <w:sz w:val="24"/>
          <w:highlight w:val="none"/>
        </w:rPr>
      </w:pPr>
      <w:r>
        <w:rPr>
          <w:rFonts w:hint="eastAsia" w:ascii="宋体" w:hAnsi="宋体" w:cs="宋体"/>
          <w:color w:val="auto"/>
          <w:kern w:val="0"/>
          <w:sz w:val="24"/>
          <w:highlight w:val="none"/>
        </w:rPr>
        <w:t>甲方名称：</w:t>
      </w:r>
      <w:r>
        <w:rPr>
          <w:rFonts w:hint="eastAsia" w:ascii="宋体" w:hAnsi="宋体" w:cs="宋体"/>
          <w:b/>
          <w:color w:val="auto"/>
          <w:kern w:val="0"/>
          <w:sz w:val="24"/>
          <w:highlight w:val="none"/>
        </w:rPr>
        <w:t>扬州大学附属医院</w:t>
      </w:r>
    </w:p>
    <w:p w14:paraId="3CD14A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hint="eastAsia" w:ascii="宋体" w:hAnsi="宋体" w:cs="宋体"/>
          <w:b/>
          <w:color w:val="auto"/>
          <w:kern w:val="0"/>
          <w:sz w:val="24"/>
          <w:highlight w:val="none"/>
        </w:rPr>
      </w:pPr>
      <w:r>
        <w:rPr>
          <w:rFonts w:hint="eastAsia" w:ascii="宋体" w:hAnsi="宋体" w:cs="宋体"/>
          <w:color w:val="auto"/>
          <w:kern w:val="0"/>
          <w:sz w:val="24"/>
          <w:highlight w:val="none"/>
        </w:rPr>
        <w:t>乙方名称：</w:t>
      </w:r>
    </w:p>
    <w:p w14:paraId="5A187C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b/>
          <w:color w:val="auto"/>
          <w:kern w:val="0"/>
          <w:sz w:val="24"/>
          <w:highlight w:val="none"/>
        </w:rPr>
      </w:pPr>
      <w:r>
        <w:rPr>
          <w:rFonts w:hint="eastAsia" w:ascii="宋体" w:hAnsi="宋体" w:cs="宋体"/>
          <w:color w:val="auto"/>
          <w:kern w:val="0"/>
          <w:sz w:val="24"/>
          <w:highlight w:val="none"/>
        </w:rPr>
        <w:t>丙方：(付款方）</w:t>
      </w:r>
    </w:p>
    <w:p w14:paraId="017D78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在甲乙双方订立、履行合同过程中，为保持廉洁自律的工作作风，防止各种不正当行为的发生，甲乙双方订立协议如下：</w:t>
      </w:r>
    </w:p>
    <w:p w14:paraId="5BC7F1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一、甲乙双方应当自觉遵守国家、地方法律法规以及本协议的约定，在合同的订立、履行过程中廉洁自律。</w:t>
      </w:r>
    </w:p>
    <w:p w14:paraId="4FACEA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二、甲方工作人员严禁进行商业目的的统方，不得以任何形式向乙方索要和收受个人回扣等好处费。</w:t>
      </w:r>
    </w:p>
    <w:p w14:paraId="37BF03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三、甲方工作人员应当保持与乙方的正常业务交往，不得接受乙方的礼金、有价证券和贵重物品，不得在乙方报销任何应由其个人承担的费用。</w:t>
      </w:r>
    </w:p>
    <w:p w14:paraId="4D9626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四、甲方工作人员不得参加可能对公正开展业务有影响的宴请和娱乐活动。如甲方工作人员确因实际情况须参加宴请、进行娱乐活动的，须事先报上一级批准。</w:t>
      </w:r>
    </w:p>
    <w:p w14:paraId="58E590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五、甲方工作人员不得要求或者接受乙方为其住房装修、婚丧嫁娶、家属和子女的工作安排以及出国等提供方便。</w:t>
      </w:r>
    </w:p>
    <w:p w14:paraId="1CE34F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六、乙方不得接受甲方工作人员介绍的家属或者亲友从事与合同相关的业务。</w:t>
      </w:r>
    </w:p>
    <w:p w14:paraId="4E77FA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AF2A9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078879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九、甲方发现乙方有违反本协议或者采用不正当的手段行贿甲方工作人员等不正当竞争行为的，甲方有权解除合同。</w:t>
      </w:r>
    </w:p>
    <w:p w14:paraId="7A2490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十、本廉洁协议作为合同的附件，与合同具有同等法律效力。经协议双方签署后立即生效。</w:t>
      </w:r>
    </w:p>
    <w:p w14:paraId="5FC105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十一、本协议一式陆份，</w:t>
      </w:r>
      <w:r>
        <w:rPr>
          <w:rFonts w:hint="eastAsia" w:ascii="宋体" w:hAnsi="宋体" w:cs="宋体"/>
          <w:color w:val="auto"/>
          <w:kern w:val="0"/>
          <w:sz w:val="24"/>
          <w:szCs w:val="24"/>
          <w:highlight w:val="none"/>
        </w:rPr>
        <w:t>甲乙丙三方各执</w:t>
      </w:r>
      <w:r>
        <w:rPr>
          <w:rFonts w:hint="eastAsia" w:ascii="宋体" w:hAnsi="宋体" w:cs="宋体"/>
          <w:color w:val="auto"/>
          <w:kern w:val="0"/>
          <w:sz w:val="24"/>
          <w:szCs w:val="24"/>
          <w:highlight w:val="none"/>
          <w:u w:val="single"/>
        </w:rPr>
        <w:t>贰</w:t>
      </w:r>
      <w:r>
        <w:rPr>
          <w:rFonts w:hint="eastAsia" w:ascii="宋体" w:hAnsi="宋体" w:cs="宋体"/>
          <w:color w:val="auto"/>
          <w:kern w:val="0"/>
          <w:sz w:val="24"/>
          <w:szCs w:val="24"/>
          <w:highlight w:val="none"/>
        </w:rPr>
        <w:t>份</w:t>
      </w:r>
      <w:r>
        <w:rPr>
          <w:rFonts w:hint="eastAsia" w:ascii="宋体" w:hAnsi="宋体" w:cs="宋体"/>
          <w:color w:val="auto"/>
          <w:kern w:val="0"/>
          <w:sz w:val="24"/>
          <w:highlight w:val="none"/>
        </w:rPr>
        <w:t>，并从签订之日起生效。</w:t>
      </w:r>
    </w:p>
    <w:p w14:paraId="0A8B76C6">
      <w:pPr>
        <w:adjustRightInd w:val="0"/>
        <w:snapToGrid w:val="0"/>
        <w:spacing w:line="300" w:lineRule="exact"/>
        <w:ind w:left="424" w:leftChars="202" w:right="311" w:rightChars="148" w:firstLine="422" w:firstLineChars="176"/>
        <w:contextualSpacing/>
        <w:rPr>
          <w:rFonts w:ascii="宋体" w:hAnsi="宋体" w:cs="宋体"/>
          <w:color w:val="auto"/>
          <w:kern w:val="0"/>
          <w:sz w:val="24"/>
          <w:highlight w:val="none"/>
        </w:rPr>
      </w:pPr>
    </w:p>
    <w:p w14:paraId="26008633">
      <w:pPr>
        <w:adjustRightInd w:val="0"/>
        <w:snapToGrid w:val="0"/>
        <w:spacing w:line="440" w:lineRule="exact"/>
        <w:ind w:left="6094" w:leftChars="204" w:hanging="5666" w:hangingChars="2361"/>
        <w:contextualSpacing/>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 xml:space="preserve">甲方：（盖章）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乙方：（盖章）</w:t>
      </w:r>
    </w:p>
    <w:p w14:paraId="5E9932C4">
      <w:pPr>
        <w:adjustRightInd w:val="0"/>
        <w:snapToGrid w:val="0"/>
        <w:spacing w:line="440" w:lineRule="exact"/>
        <w:ind w:left="6094" w:leftChars="204" w:hanging="5666" w:hangingChars="2361"/>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14:paraId="25A5F8B3">
      <w:pPr>
        <w:adjustRightInd w:val="0"/>
        <w:snapToGrid w:val="0"/>
        <w:spacing w:line="440" w:lineRule="exact"/>
        <w:ind w:left="6094" w:leftChars="204" w:hanging="5666" w:hangingChars="2361"/>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（或授权签约人）：                   （或授权签约人）：</w:t>
      </w:r>
    </w:p>
    <w:p w14:paraId="62685438">
      <w:pPr>
        <w:adjustRightInd w:val="0"/>
        <w:snapToGrid w:val="0"/>
        <w:spacing w:line="440" w:lineRule="exact"/>
        <w:ind w:left="6094" w:leftChars="204" w:hanging="5666" w:hangingChars="2361"/>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经办人：                              经办人：</w:t>
      </w:r>
    </w:p>
    <w:p w14:paraId="16699979">
      <w:pPr>
        <w:pStyle w:val="2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日期:202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年   月   日                日期：202  年   月   日</w:t>
      </w:r>
    </w:p>
    <w:p w14:paraId="5831D069">
      <w:pPr>
        <w:adjustRightInd w:val="0"/>
        <w:spacing w:line="440" w:lineRule="exact"/>
        <w:ind w:firstLine="566" w:firstLineChars="236"/>
        <w:jc w:val="left"/>
        <w:rPr>
          <w:rFonts w:hint="eastAsia" w:cs="宋体"/>
          <w:bCs/>
          <w:color w:val="auto"/>
          <w:sz w:val="24"/>
          <w:szCs w:val="24"/>
          <w:highlight w:val="none"/>
        </w:rPr>
      </w:pPr>
    </w:p>
    <w:p w14:paraId="1C257894">
      <w:pPr>
        <w:adjustRightInd w:val="0"/>
        <w:spacing w:line="440" w:lineRule="exact"/>
        <w:ind w:firstLine="566" w:firstLineChars="236"/>
        <w:jc w:val="left"/>
        <w:rPr>
          <w:b/>
          <w:color w:val="auto"/>
          <w:sz w:val="24"/>
          <w:szCs w:val="24"/>
          <w:highlight w:val="none"/>
        </w:rPr>
      </w:pPr>
      <w:r>
        <w:rPr>
          <w:rFonts w:hint="eastAsia" w:cs="宋体"/>
          <w:bCs/>
          <w:color w:val="auto"/>
          <w:sz w:val="24"/>
          <w:szCs w:val="24"/>
          <w:highlight w:val="none"/>
        </w:rPr>
        <w:t>丙方（盖章）：</w:t>
      </w:r>
      <w:r>
        <w:rPr>
          <w:rFonts w:cs="宋体"/>
          <w:bCs/>
          <w:color w:val="auto"/>
          <w:sz w:val="24"/>
          <w:szCs w:val="24"/>
          <w:highlight w:val="none"/>
        </w:rPr>
        <w:t xml:space="preserve">      </w:t>
      </w:r>
    </w:p>
    <w:p w14:paraId="39529937">
      <w:pPr>
        <w:tabs>
          <w:tab w:val="left" w:pos="-235"/>
        </w:tabs>
        <w:adjustRightInd w:val="0"/>
        <w:spacing w:line="440" w:lineRule="exact"/>
        <w:ind w:firstLine="566" w:firstLineChars="236"/>
        <w:jc w:val="left"/>
        <w:rPr>
          <w:rFonts w:cs="宋体"/>
          <w:bCs/>
          <w:color w:val="auto"/>
          <w:sz w:val="24"/>
          <w:szCs w:val="24"/>
          <w:highlight w:val="none"/>
        </w:rPr>
      </w:pPr>
      <w:r>
        <w:rPr>
          <w:rFonts w:hint="eastAsia" w:cs="宋体"/>
          <w:bCs/>
          <w:color w:val="auto"/>
          <w:sz w:val="24"/>
          <w:szCs w:val="24"/>
          <w:highlight w:val="none"/>
        </w:rPr>
        <w:t>法定代表人或授权代表人：</w:t>
      </w:r>
      <w:r>
        <w:rPr>
          <w:rFonts w:cs="宋体"/>
          <w:bCs/>
          <w:color w:val="auto"/>
          <w:sz w:val="24"/>
          <w:szCs w:val="24"/>
          <w:highlight w:val="none"/>
        </w:rPr>
        <w:t xml:space="preserve">             </w:t>
      </w:r>
    </w:p>
    <w:p w14:paraId="31F8E853">
      <w:pPr>
        <w:tabs>
          <w:tab w:val="left" w:pos="-235"/>
        </w:tabs>
        <w:adjustRightInd w:val="0"/>
        <w:spacing w:line="440" w:lineRule="exact"/>
        <w:ind w:firstLine="566" w:firstLineChars="236"/>
        <w:jc w:val="left"/>
        <w:rPr>
          <w:rFonts w:cs="宋体"/>
          <w:bCs/>
          <w:color w:val="auto"/>
          <w:sz w:val="24"/>
          <w:szCs w:val="24"/>
          <w:highlight w:val="none"/>
        </w:rPr>
      </w:pPr>
      <w:r>
        <w:rPr>
          <w:rFonts w:hint="eastAsia" w:cs="宋体"/>
          <w:bCs/>
          <w:color w:val="auto"/>
          <w:sz w:val="24"/>
          <w:szCs w:val="24"/>
          <w:highlight w:val="none"/>
        </w:rPr>
        <w:t>（签章）</w:t>
      </w:r>
      <w:r>
        <w:rPr>
          <w:rFonts w:cs="宋体"/>
          <w:bCs/>
          <w:color w:val="auto"/>
          <w:sz w:val="24"/>
          <w:szCs w:val="24"/>
          <w:highlight w:val="none"/>
        </w:rPr>
        <w:t xml:space="preserve">                            </w:t>
      </w:r>
    </w:p>
    <w:p w14:paraId="541B1CF1">
      <w:pPr>
        <w:pStyle w:val="22"/>
        <w:spacing w:line="360" w:lineRule="auto"/>
        <w:ind w:firstLine="480" w:firstLineChars="200"/>
        <w:rPr>
          <w:rFonts w:hint="eastAsia" w:cs="宋体"/>
          <w:bCs/>
          <w:color w:val="auto"/>
          <w:sz w:val="24"/>
          <w:szCs w:val="24"/>
          <w:highlight w:val="none"/>
        </w:rPr>
      </w:pPr>
      <w:r>
        <w:rPr>
          <w:rFonts w:hint="eastAsia" w:hAnsi="宋体" w:cs="宋体"/>
          <w:color w:val="auto"/>
          <w:sz w:val="24"/>
          <w:szCs w:val="24"/>
          <w:highlight w:val="none"/>
        </w:rPr>
        <w:t>经办人：</w:t>
      </w:r>
      <w:r>
        <w:rPr>
          <w:rFonts w:cs="宋体"/>
          <w:bCs/>
          <w:color w:val="auto"/>
          <w:sz w:val="24"/>
          <w:szCs w:val="24"/>
          <w:highlight w:val="none"/>
        </w:rPr>
        <w:t xml:space="preserve">    </w:t>
      </w:r>
    </w:p>
    <w:p w14:paraId="7D70A8C3">
      <w:pPr>
        <w:pStyle w:val="22"/>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日期:202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年   月   日</w:t>
      </w:r>
    </w:p>
    <w:p w14:paraId="47C2396A">
      <w:pPr>
        <w:pStyle w:val="312"/>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宋体" w:hAnsi="宋体" w:eastAsia="宋体" w:cs="宋体"/>
          <w:b/>
          <w:bCs/>
          <w:color w:val="auto"/>
          <w:sz w:val="21"/>
          <w:szCs w:val="21"/>
          <w:highlight w:val="none"/>
        </w:rPr>
      </w:pPr>
    </w:p>
    <w:p w14:paraId="098D6349">
      <w:pPr>
        <w:rPr>
          <w:rFonts w:hint="eastAsia"/>
          <w:color w:val="auto"/>
          <w:highlight w:val="none"/>
          <w:lang w:val="en-US" w:eastAsia="zh-CN"/>
        </w:rPr>
      </w:pPr>
      <w:bookmarkStart w:id="120" w:name="_Toc21216"/>
      <w:r>
        <w:rPr>
          <w:rFonts w:hint="eastAsia"/>
          <w:color w:val="auto"/>
          <w:highlight w:val="none"/>
          <w:lang w:val="en-US" w:eastAsia="zh-CN"/>
        </w:rPr>
        <w:br w:type="page"/>
      </w:r>
    </w:p>
    <w:p w14:paraId="034952B1">
      <w:pPr>
        <w:pStyle w:val="3"/>
        <w:bidi w:val="0"/>
        <w:jc w:val="center"/>
        <w:rPr>
          <w:color w:val="auto"/>
          <w:highlight w:val="none"/>
        </w:rPr>
      </w:pPr>
      <w:bookmarkStart w:id="121" w:name="_Toc4048"/>
      <w:r>
        <w:rPr>
          <w:rFonts w:hint="eastAsia"/>
          <w:color w:val="auto"/>
          <w:highlight w:val="none"/>
          <w:lang w:val="en-US" w:eastAsia="zh-CN"/>
        </w:rPr>
        <w:t>第四章 项目需求</w:t>
      </w:r>
      <w:bookmarkEnd w:id="117"/>
      <w:bookmarkEnd w:id="120"/>
      <w:bookmarkEnd w:id="121"/>
    </w:p>
    <w:p w14:paraId="6ECE0D4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bookmarkStart w:id="122" w:name="_Toc497133122"/>
      <w:r>
        <w:rPr>
          <w:rFonts w:hint="eastAsia" w:ascii="宋体" w:hAnsi="宋体" w:eastAsia="宋体" w:cs="宋体"/>
          <w:b/>
          <w:i/>
          <w:iCs/>
          <w:color w:val="auto"/>
          <w:sz w:val="21"/>
          <w:szCs w:val="21"/>
          <w:highlight w:val="none"/>
          <w:u w:val="single"/>
        </w:rPr>
        <w:t>本项目招标文件中所有斜体下划线部分为实质性条款，如不满足，则为无效投标。</w:t>
      </w:r>
    </w:p>
    <w:p w14:paraId="5B86C60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3D1075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智慧一期项目购置的自助服务设备，面临服务内容单一，仍停留在挂号、交费、报告打印等基本功能，已远远满足不了患者日益增长的健康需求。为进一步优化就诊流程设计，缩短就诊环节等候时间，医院拟将门急诊自助挂号、自助打印和病区自助服务项目等需求进行整合，利用自助设备这个必要媒介，通过信息数据收集和自动处理，提供决策支持，减少人工错误发生率；通过系统功能提升后的流程优化，减少医院服务滞后和患者过程损耗；通过自助操作充分尊重自主意愿，增强私密性，提供优质“距离式”服务，从而提高医院服务品质和整体运营效率，建立全新智慧医疗自助服务体系。</w:t>
      </w:r>
    </w:p>
    <w:p w14:paraId="4BFCA75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i w:val="0"/>
          <w:iCs w:val="0"/>
          <w:color w:val="auto"/>
          <w:highlight w:val="none"/>
          <w:u w:val="none"/>
          <w:lang w:val="en-US" w:eastAsia="zh-CN"/>
        </w:rPr>
      </w:pPr>
      <w:r>
        <w:rPr>
          <w:rFonts w:hint="eastAsia" w:ascii="宋体" w:hAnsi="宋体" w:eastAsia="宋体" w:cs="宋体"/>
          <w:i w:val="0"/>
          <w:iCs w:val="0"/>
          <w:color w:val="auto"/>
          <w:highlight w:val="none"/>
          <w:u w:val="none"/>
          <w:lang w:val="en-US" w:eastAsia="zh-CN"/>
        </w:rPr>
        <w:t>本项目采购一批多功能自助机及</w:t>
      </w:r>
      <w:r>
        <w:rPr>
          <w:rFonts w:hint="eastAsia" w:ascii="宋体" w:hAnsi="宋体" w:cs="宋体"/>
          <w:i w:val="0"/>
          <w:iCs w:val="0"/>
          <w:color w:val="auto"/>
          <w:highlight w:val="none"/>
          <w:u w:val="none"/>
          <w:lang w:val="en-US" w:eastAsia="zh-CN"/>
        </w:rPr>
        <w:t>相关配套服务建设</w:t>
      </w:r>
      <w:r>
        <w:rPr>
          <w:rFonts w:hint="eastAsia" w:ascii="宋体" w:hAnsi="宋体" w:eastAsia="宋体" w:cs="宋体"/>
          <w:i w:val="0"/>
          <w:iCs w:val="0"/>
          <w:color w:val="auto"/>
          <w:highlight w:val="none"/>
          <w:u w:val="none"/>
          <w:lang w:val="en-US" w:eastAsia="zh-CN"/>
        </w:rPr>
        <w:t>，主要用于医院门急诊区域自助挂号取号、缴费结算、打印报告等业务需求，助力群众便捷就医</w:t>
      </w:r>
      <w:r>
        <w:rPr>
          <w:rFonts w:hint="eastAsia" w:ascii="宋体" w:hAnsi="宋体" w:cs="宋体"/>
          <w:i w:val="0"/>
          <w:iCs w:val="0"/>
          <w:color w:val="auto"/>
          <w:highlight w:val="none"/>
          <w:u w:val="none"/>
          <w:lang w:val="en-US" w:eastAsia="zh-CN"/>
        </w:rPr>
        <w:t>。</w:t>
      </w:r>
    </w:p>
    <w:p w14:paraId="58A56A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iCs/>
          <w:color w:val="auto"/>
          <w:sz w:val="21"/>
          <w:szCs w:val="21"/>
          <w:highlight w:val="none"/>
          <w:u w:val="single"/>
          <w:lang w:eastAsia="zh-CN"/>
        </w:rPr>
      </w:pPr>
      <w:r>
        <w:rPr>
          <w:rFonts w:hint="eastAsia" w:ascii="宋体" w:hAnsi="宋体" w:cs="宋体"/>
          <w:i w:val="0"/>
          <w:iCs w:val="0"/>
          <w:color w:val="auto"/>
          <w:highlight w:val="none"/>
          <w:u w:val="none"/>
          <w:lang w:val="en-US" w:eastAsia="zh-CN"/>
        </w:rPr>
        <w:t>本项目</w:t>
      </w:r>
      <w:r>
        <w:rPr>
          <w:rFonts w:hint="eastAsia" w:ascii="宋体" w:hAnsi="宋体" w:eastAsia="宋体" w:cs="宋体"/>
          <w:i w:val="0"/>
          <w:iCs w:val="0"/>
          <w:color w:val="auto"/>
          <w:highlight w:val="none"/>
          <w:u w:val="none"/>
          <w:lang w:val="en-US" w:eastAsia="zh-CN"/>
        </w:rPr>
        <w:t>预算金额：750万元，</w:t>
      </w:r>
      <w:r>
        <w:rPr>
          <w:rFonts w:hint="eastAsia" w:ascii="宋体" w:hAnsi="宋体" w:eastAsia="宋体" w:cs="宋体"/>
          <w:b/>
          <w:bCs/>
          <w:i/>
          <w:iCs/>
          <w:color w:val="auto"/>
          <w:highlight w:val="none"/>
          <w:u w:val="single"/>
        </w:rPr>
        <w:t>最高投标限价</w:t>
      </w:r>
      <w:r>
        <w:rPr>
          <w:rFonts w:hint="eastAsia" w:ascii="宋体" w:hAnsi="宋体" w:eastAsia="宋体" w:cs="宋体"/>
          <w:b/>
          <w:bCs/>
          <w:i/>
          <w:iCs/>
          <w:color w:val="auto"/>
          <w:highlight w:val="none"/>
          <w:u w:val="single"/>
          <w:lang w:val="en-US" w:eastAsia="zh-CN"/>
        </w:rPr>
        <w:t>同预算金额，投标报价超过最高限价的作无效投标处理。</w:t>
      </w:r>
    </w:p>
    <w:p w14:paraId="6C5897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合同履行期限：自合同签订之日起</w:t>
      </w:r>
      <w:r>
        <w:rPr>
          <w:rFonts w:hint="eastAsia" w:ascii="宋体" w:hAnsi="宋体" w:cs="宋体"/>
          <w:color w:val="auto"/>
          <w:sz w:val="21"/>
          <w:szCs w:val="21"/>
          <w:highlight w:val="none"/>
          <w:lang w:val="en-US" w:eastAsia="zh-CN"/>
        </w:rPr>
        <w:t>8个月</w:t>
      </w:r>
      <w:r>
        <w:rPr>
          <w:rFonts w:hint="eastAsia" w:ascii="宋体" w:hAnsi="宋体" w:eastAsia="宋体" w:cs="宋体"/>
          <w:color w:val="auto"/>
          <w:sz w:val="21"/>
          <w:szCs w:val="21"/>
          <w:highlight w:val="none"/>
        </w:rPr>
        <w:t>内完成供货、安装、调试、验收工作。</w:t>
      </w:r>
    </w:p>
    <w:p w14:paraId="03A938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运维服务期：自竣工验收合格之日起3年。</w:t>
      </w:r>
    </w:p>
    <w:p w14:paraId="7A1D25D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、项目建设需求</w:t>
      </w:r>
    </w:p>
    <w:p w14:paraId="5F3216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清单</w:t>
      </w:r>
    </w:p>
    <w:tbl>
      <w:tblPr>
        <w:tblStyle w:val="45"/>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22"/>
        <w:gridCol w:w="2697"/>
        <w:gridCol w:w="828"/>
        <w:gridCol w:w="755"/>
        <w:gridCol w:w="2978"/>
      </w:tblGrid>
      <w:tr w14:paraId="352B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362" w:type="pct"/>
            <w:shd w:val="clear" w:color="auto" w:fill="DCDCDC"/>
            <w:noWrap w:val="0"/>
            <w:vAlign w:val="center"/>
          </w:tcPr>
          <w:p w14:paraId="68050D0D">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366" w:type="pct"/>
            <w:shd w:val="clear" w:color="auto" w:fill="DCDCDC"/>
            <w:noWrap w:val="0"/>
            <w:vAlign w:val="center"/>
          </w:tcPr>
          <w:p w14:paraId="4D723647">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内容</w:t>
            </w:r>
          </w:p>
        </w:tc>
        <w:tc>
          <w:tcPr>
            <w:tcW w:w="1587" w:type="pct"/>
            <w:shd w:val="clear" w:color="auto" w:fill="DCDCDC"/>
            <w:noWrap w:val="0"/>
            <w:vAlign w:val="center"/>
          </w:tcPr>
          <w:p w14:paraId="117F2563">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名称</w:t>
            </w:r>
          </w:p>
        </w:tc>
        <w:tc>
          <w:tcPr>
            <w:tcW w:w="487" w:type="pct"/>
            <w:shd w:val="clear" w:color="auto" w:fill="DCDCDC"/>
            <w:noWrap w:val="0"/>
            <w:vAlign w:val="center"/>
          </w:tcPr>
          <w:p w14:paraId="7868B7A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单位</w:t>
            </w:r>
          </w:p>
        </w:tc>
        <w:tc>
          <w:tcPr>
            <w:tcW w:w="444" w:type="pct"/>
            <w:shd w:val="clear" w:color="auto" w:fill="DCDCDC"/>
            <w:noWrap w:val="0"/>
            <w:vAlign w:val="center"/>
          </w:tcPr>
          <w:p w14:paraId="1EC16C9A">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数量</w:t>
            </w:r>
          </w:p>
        </w:tc>
        <w:tc>
          <w:tcPr>
            <w:tcW w:w="1752" w:type="pct"/>
            <w:shd w:val="clear" w:color="auto" w:fill="DCDCDC"/>
            <w:noWrap w:val="0"/>
            <w:vAlign w:val="center"/>
          </w:tcPr>
          <w:p w14:paraId="1AED944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备注</w:t>
            </w:r>
          </w:p>
        </w:tc>
      </w:tr>
      <w:tr w14:paraId="29F5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362" w:type="pct"/>
            <w:vMerge w:val="restart"/>
            <w:shd w:val="clear" w:color="auto" w:fill="FEFEFE"/>
            <w:noWrap w:val="0"/>
            <w:vAlign w:val="center"/>
          </w:tcPr>
          <w:p w14:paraId="0862CD4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66" w:type="pct"/>
            <w:vMerge w:val="restart"/>
            <w:shd w:val="clear" w:color="auto" w:fill="FEFEFE"/>
            <w:noWrap w:val="0"/>
            <w:vAlign w:val="center"/>
          </w:tcPr>
          <w:p w14:paraId="177DD7AD">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硬件</w:t>
            </w:r>
          </w:p>
          <w:p w14:paraId="36308C42">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lang w:val="en-US" w:eastAsia="zh-CN"/>
              </w:rPr>
              <w:t>租赁</w:t>
            </w:r>
          </w:p>
        </w:tc>
        <w:tc>
          <w:tcPr>
            <w:tcW w:w="1587" w:type="pct"/>
            <w:shd w:val="clear" w:color="auto" w:fill="FEFEFE"/>
            <w:noWrap w:val="0"/>
            <w:vAlign w:val="center"/>
          </w:tcPr>
          <w:p w14:paraId="233DAD5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w:t>
            </w:r>
          </w:p>
        </w:tc>
        <w:tc>
          <w:tcPr>
            <w:tcW w:w="487" w:type="pct"/>
            <w:shd w:val="clear" w:color="auto" w:fill="FEFEFE"/>
            <w:noWrap w:val="0"/>
            <w:vAlign w:val="center"/>
          </w:tcPr>
          <w:p w14:paraId="5121009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1577404C">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68</w:t>
            </w:r>
          </w:p>
        </w:tc>
        <w:tc>
          <w:tcPr>
            <w:tcW w:w="1752" w:type="pct"/>
            <w:shd w:val="clear" w:color="auto" w:fill="FEFEFE"/>
            <w:noWrap w:val="0"/>
            <w:vAlign w:val="center"/>
          </w:tcPr>
          <w:p w14:paraId="7336629F">
            <w:pPr>
              <w:pageBreakBefore w:val="0"/>
              <w:kinsoku/>
              <w:overflowPunct/>
              <w:autoSpaceDE/>
              <w:autoSpaceDN/>
              <w:bidi w:val="0"/>
              <w:adjustRightInd w:val="0"/>
              <w:snapToGrid w:val="0"/>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【核心产品】</w:t>
            </w:r>
          </w:p>
          <w:p w14:paraId="4BF87BF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w:t>
            </w:r>
            <w:r>
              <w:rPr>
                <w:rFonts w:hint="eastAsia"/>
                <w:color w:val="auto"/>
                <w:highlight w:val="none"/>
                <w:lang w:val="en-US" w:eastAsia="zh-CN"/>
              </w:rPr>
              <w:t>3</w:t>
            </w:r>
            <w:r>
              <w:rPr>
                <w:rFonts w:hint="eastAsia"/>
                <w:color w:val="auto"/>
                <w:highlight w:val="none"/>
              </w:rPr>
              <w:t>台</w:t>
            </w:r>
          </w:p>
        </w:tc>
      </w:tr>
      <w:tr w14:paraId="0860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1433DA6A">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CFD921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4D6B4E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多功能自助机II</w:t>
            </w:r>
          </w:p>
        </w:tc>
        <w:tc>
          <w:tcPr>
            <w:tcW w:w="487" w:type="pct"/>
            <w:shd w:val="clear" w:color="auto" w:fill="FEFEFE"/>
            <w:noWrap w:val="0"/>
            <w:vAlign w:val="center"/>
          </w:tcPr>
          <w:p w14:paraId="59D9B6E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5B44FC7D">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4</w:t>
            </w:r>
          </w:p>
        </w:tc>
        <w:tc>
          <w:tcPr>
            <w:tcW w:w="1752" w:type="pct"/>
            <w:shd w:val="clear" w:color="auto" w:fill="FEFEFE"/>
            <w:noWrap w:val="0"/>
            <w:vAlign w:val="center"/>
          </w:tcPr>
          <w:p w14:paraId="6796F35E">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rPr>
              <w:t>配现金模块</w:t>
            </w:r>
            <w:r>
              <w:rPr>
                <w:rFonts w:hint="eastAsia"/>
                <w:color w:val="auto"/>
                <w:highlight w:val="none"/>
                <w:lang w:eastAsia="zh-CN"/>
              </w:rPr>
              <w:t>、</w:t>
            </w:r>
            <w:r>
              <w:rPr>
                <w:rFonts w:hint="eastAsia"/>
                <w:color w:val="auto"/>
                <w:highlight w:val="none"/>
                <w:lang w:val="en-US" w:eastAsia="zh-CN"/>
              </w:rPr>
              <w:t>银联模块</w:t>
            </w:r>
          </w:p>
        </w:tc>
      </w:tr>
      <w:tr w14:paraId="06EE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1E62FFB8">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0F4984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C37E995">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无障碍自助服务终端</w:t>
            </w:r>
          </w:p>
        </w:tc>
        <w:tc>
          <w:tcPr>
            <w:tcW w:w="487" w:type="pct"/>
            <w:shd w:val="clear" w:color="auto" w:fill="FEFEFE"/>
            <w:noWrap w:val="0"/>
            <w:vAlign w:val="center"/>
          </w:tcPr>
          <w:p w14:paraId="30B82FB7">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28643472">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2F6698A2">
            <w:pPr>
              <w:pageBreakBefore w:val="0"/>
              <w:kinsoku/>
              <w:overflowPunct/>
              <w:autoSpaceDE/>
              <w:autoSpaceDN/>
              <w:bidi w:val="0"/>
              <w:adjustRightInd w:val="0"/>
              <w:snapToGrid w:val="0"/>
              <w:jc w:val="center"/>
              <w:rPr>
                <w:rFonts w:hint="eastAsia"/>
                <w:color w:val="auto"/>
                <w:highlight w:val="none"/>
              </w:rPr>
            </w:pPr>
          </w:p>
        </w:tc>
      </w:tr>
      <w:tr w14:paraId="5714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1FDC3253">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2518AC31">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0A98FC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w:t>
            </w:r>
          </w:p>
        </w:tc>
        <w:tc>
          <w:tcPr>
            <w:tcW w:w="487" w:type="pct"/>
            <w:shd w:val="clear" w:color="auto" w:fill="FEFEFE"/>
            <w:noWrap w:val="0"/>
            <w:vAlign w:val="center"/>
          </w:tcPr>
          <w:p w14:paraId="603CF72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612F5C1E">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rPr>
              <w:t>4</w:t>
            </w:r>
            <w:r>
              <w:rPr>
                <w:rFonts w:hint="eastAsia"/>
                <w:color w:val="auto"/>
                <w:highlight w:val="none"/>
                <w:lang w:val="en-US" w:eastAsia="zh-CN"/>
              </w:rPr>
              <w:t>4</w:t>
            </w:r>
          </w:p>
        </w:tc>
        <w:tc>
          <w:tcPr>
            <w:tcW w:w="1752" w:type="pct"/>
            <w:shd w:val="clear" w:color="auto" w:fill="FEFEFE"/>
            <w:noWrap w:val="0"/>
            <w:vAlign w:val="center"/>
          </w:tcPr>
          <w:p w14:paraId="4841F09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含同类型备机2台</w:t>
            </w:r>
          </w:p>
        </w:tc>
      </w:tr>
      <w:tr w14:paraId="5C14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1D9F18D">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84BF166">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1BFE0B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住院多功能自助机II</w:t>
            </w:r>
          </w:p>
        </w:tc>
        <w:tc>
          <w:tcPr>
            <w:tcW w:w="487" w:type="pct"/>
            <w:shd w:val="clear" w:color="auto" w:fill="FEFEFE"/>
            <w:noWrap w:val="0"/>
            <w:vAlign w:val="center"/>
          </w:tcPr>
          <w:p w14:paraId="1A593E0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213B1DF8">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8</w:t>
            </w:r>
          </w:p>
        </w:tc>
        <w:tc>
          <w:tcPr>
            <w:tcW w:w="1752" w:type="pct"/>
            <w:shd w:val="clear" w:color="auto" w:fill="FEFEFE"/>
            <w:noWrap w:val="0"/>
            <w:vAlign w:val="center"/>
          </w:tcPr>
          <w:p w14:paraId="64B1F9A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配腕带模块</w:t>
            </w:r>
          </w:p>
        </w:tc>
      </w:tr>
      <w:tr w14:paraId="7A90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3664330">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632441DD">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B71BB76">
            <w:pPr>
              <w:pageBreakBefore w:val="0"/>
              <w:kinsoku/>
              <w:overflowPunct/>
              <w:autoSpaceDE/>
              <w:autoSpaceDN/>
              <w:bidi w:val="0"/>
              <w:adjustRightInd w:val="0"/>
              <w:snapToGrid w:val="0"/>
              <w:ind w:firstLine="210" w:firstLineChars="100"/>
              <w:jc w:val="both"/>
              <w:rPr>
                <w:rFonts w:hint="default" w:eastAsia="宋体"/>
                <w:color w:val="auto"/>
                <w:highlight w:val="none"/>
                <w:lang w:val="en-US" w:eastAsia="zh-CN"/>
              </w:rPr>
            </w:pPr>
            <w:r>
              <w:rPr>
                <w:rFonts w:hint="eastAsia"/>
                <w:color w:val="auto"/>
                <w:highlight w:val="none"/>
                <w:lang w:val="en-US" w:eastAsia="zh-CN"/>
              </w:rPr>
              <w:t>住院多功能自助机</w:t>
            </w:r>
            <w:r>
              <w:rPr>
                <w:rFonts w:hint="eastAsia" w:ascii="微软雅黑" w:hAnsi="微软雅黑" w:eastAsia="微软雅黑" w:cs="微软雅黑"/>
                <w:color w:val="auto"/>
                <w:highlight w:val="none"/>
                <w:lang w:val="en-US" w:eastAsia="zh-CN"/>
              </w:rPr>
              <w:t>Ⅲ</w:t>
            </w:r>
          </w:p>
        </w:tc>
        <w:tc>
          <w:tcPr>
            <w:tcW w:w="487" w:type="pct"/>
            <w:shd w:val="clear" w:color="auto" w:fill="FEFEFE"/>
            <w:noWrap w:val="0"/>
            <w:vAlign w:val="center"/>
          </w:tcPr>
          <w:p w14:paraId="7FC3E14F">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56257E45">
            <w:pPr>
              <w:pageBreakBefore w:val="0"/>
              <w:kinsoku/>
              <w:overflowPunct/>
              <w:autoSpaceDE/>
              <w:autoSpaceDN/>
              <w:bidi w:val="0"/>
              <w:adjustRightInd w:val="0"/>
              <w:snapToGrid w:val="0"/>
              <w:jc w:val="center"/>
              <w:rPr>
                <w:rFonts w:hint="default"/>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5AD1E768">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需配腕带、</w:t>
            </w:r>
            <w:r>
              <w:rPr>
                <w:rFonts w:hint="eastAsia"/>
                <w:color w:val="auto"/>
                <w:highlight w:val="none"/>
              </w:rPr>
              <w:t>现金</w:t>
            </w:r>
            <w:r>
              <w:rPr>
                <w:rFonts w:hint="eastAsia"/>
                <w:color w:val="auto"/>
                <w:highlight w:val="none"/>
                <w:lang w:eastAsia="zh-CN"/>
              </w:rPr>
              <w:t>、</w:t>
            </w:r>
            <w:r>
              <w:rPr>
                <w:rFonts w:hint="eastAsia"/>
                <w:color w:val="auto"/>
                <w:highlight w:val="none"/>
                <w:lang w:val="en-US" w:eastAsia="zh-CN"/>
              </w:rPr>
              <w:t>银联模块</w:t>
            </w:r>
          </w:p>
        </w:tc>
      </w:tr>
      <w:tr w14:paraId="4E1B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69C57CF7">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A5448BA">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6B00ABD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lang w:val="en-US" w:eastAsia="zh-CN"/>
              </w:rPr>
              <w:t>移动</w:t>
            </w:r>
            <w:r>
              <w:rPr>
                <w:rFonts w:hint="eastAsia"/>
                <w:color w:val="auto"/>
                <w:highlight w:val="none"/>
              </w:rPr>
              <w:t>结算终端</w:t>
            </w:r>
          </w:p>
        </w:tc>
        <w:tc>
          <w:tcPr>
            <w:tcW w:w="487" w:type="pct"/>
            <w:shd w:val="clear" w:color="auto" w:fill="FEFEFE"/>
            <w:noWrap w:val="0"/>
            <w:vAlign w:val="center"/>
          </w:tcPr>
          <w:p w14:paraId="7E896F1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25DE0437">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24</w:t>
            </w:r>
          </w:p>
        </w:tc>
        <w:tc>
          <w:tcPr>
            <w:tcW w:w="1752" w:type="pct"/>
            <w:shd w:val="clear" w:color="auto" w:fill="FEFEFE"/>
            <w:noWrap w:val="0"/>
            <w:vAlign w:val="center"/>
          </w:tcPr>
          <w:p w14:paraId="121C1202">
            <w:pPr>
              <w:pageBreakBefore w:val="0"/>
              <w:kinsoku/>
              <w:overflowPunct/>
              <w:autoSpaceDE/>
              <w:autoSpaceDN/>
              <w:bidi w:val="0"/>
              <w:adjustRightInd w:val="0"/>
              <w:snapToGrid w:val="0"/>
              <w:jc w:val="center"/>
              <w:rPr>
                <w:rFonts w:ascii="宋体" w:hAnsi="宋体" w:cs="宋体"/>
                <w:color w:val="auto"/>
                <w:szCs w:val="21"/>
                <w:highlight w:val="none"/>
              </w:rPr>
            </w:pPr>
          </w:p>
        </w:tc>
      </w:tr>
      <w:tr w14:paraId="59D3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6B97AC56">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1DDC9EB4">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EE09BA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自助病案打印盖章终端</w:t>
            </w:r>
          </w:p>
        </w:tc>
        <w:tc>
          <w:tcPr>
            <w:tcW w:w="487" w:type="pct"/>
            <w:shd w:val="clear" w:color="auto" w:fill="FEFEFE"/>
            <w:noWrap w:val="0"/>
            <w:vAlign w:val="center"/>
          </w:tcPr>
          <w:p w14:paraId="1130E32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644C9D2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6B620534">
            <w:pPr>
              <w:pageBreakBefore w:val="0"/>
              <w:kinsoku/>
              <w:overflowPunct/>
              <w:autoSpaceDE/>
              <w:autoSpaceDN/>
              <w:bidi w:val="0"/>
              <w:adjustRightInd w:val="0"/>
              <w:snapToGrid w:val="0"/>
              <w:jc w:val="center"/>
              <w:rPr>
                <w:rFonts w:ascii="宋体" w:hAnsi="宋体" w:cs="宋体"/>
                <w:color w:val="auto"/>
                <w:szCs w:val="21"/>
                <w:highlight w:val="none"/>
              </w:rPr>
            </w:pPr>
          </w:p>
        </w:tc>
      </w:tr>
      <w:tr w14:paraId="6C52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7128E40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BFC6803">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7547871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自助印章机</w:t>
            </w:r>
          </w:p>
        </w:tc>
        <w:tc>
          <w:tcPr>
            <w:tcW w:w="487" w:type="pct"/>
            <w:shd w:val="clear" w:color="auto" w:fill="FEFEFE"/>
            <w:noWrap w:val="0"/>
            <w:vAlign w:val="center"/>
          </w:tcPr>
          <w:p w14:paraId="0C704C0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4E9510A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4A23523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投放</w:t>
            </w:r>
          </w:p>
        </w:tc>
      </w:tr>
      <w:tr w14:paraId="0C1A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068118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85AB8C9">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40288CA">
            <w:pPr>
              <w:pageBreakBefore w:val="0"/>
              <w:kinsoku/>
              <w:overflowPunct/>
              <w:autoSpaceDE/>
              <w:autoSpaceDN/>
              <w:bidi w:val="0"/>
              <w:adjustRightInd w:val="0"/>
              <w:snapToGrid w:val="0"/>
              <w:jc w:val="center"/>
              <w:rPr>
                <w:color w:val="auto"/>
                <w:highlight w:val="none"/>
              </w:rPr>
            </w:pPr>
            <w:r>
              <w:rPr>
                <w:rFonts w:hint="eastAsia"/>
                <w:color w:val="auto"/>
                <w:highlight w:val="none"/>
              </w:rPr>
              <w:t>自助复印机</w:t>
            </w:r>
          </w:p>
        </w:tc>
        <w:tc>
          <w:tcPr>
            <w:tcW w:w="487" w:type="pct"/>
            <w:shd w:val="clear" w:color="auto" w:fill="FEFEFE"/>
            <w:noWrap w:val="0"/>
            <w:vAlign w:val="center"/>
          </w:tcPr>
          <w:p w14:paraId="3F7BB258">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44" w:type="pct"/>
            <w:shd w:val="clear" w:color="auto" w:fill="FEFEFE"/>
            <w:noWrap w:val="0"/>
            <w:vAlign w:val="center"/>
          </w:tcPr>
          <w:p w14:paraId="045DE003">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6</w:t>
            </w:r>
          </w:p>
        </w:tc>
        <w:tc>
          <w:tcPr>
            <w:tcW w:w="1752" w:type="pct"/>
            <w:shd w:val="clear" w:color="auto" w:fill="FEFEFE"/>
            <w:noWrap w:val="0"/>
            <w:vAlign w:val="center"/>
          </w:tcPr>
          <w:p w14:paraId="01359D7F">
            <w:pPr>
              <w:pageBreakBefore w:val="0"/>
              <w:kinsoku/>
              <w:overflowPunct/>
              <w:autoSpaceDE/>
              <w:autoSpaceDN/>
              <w:bidi w:val="0"/>
              <w:adjustRightInd w:val="0"/>
              <w:snapToGrid w:val="0"/>
              <w:jc w:val="center"/>
              <w:rPr>
                <w:color w:val="auto"/>
                <w:highlight w:val="none"/>
              </w:rPr>
            </w:pPr>
            <w:r>
              <w:rPr>
                <w:rFonts w:hint="eastAsia"/>
                <w:color w:val="auto"/>
                <w:highlight w:val="none"/>
              </w:rPr>
              <w:t>投放</w:t>
            </w:r>
          </w:p>
        </w:tc>
      </w:tr>
      <w:tr w14:paraId="7003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restart"/>
            <w:shd w:val="clear" w:color="auto" w:fill="FEFEFE"/>
            <w:noWrap w:val="0"/>
            <w:vAlign w:val="center"/>
          </w:tcPr>
          <w:p w14:paraId="1EC17B9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66" w:type="pct"/>
            <w:vMerge w:val="restart"/>
            <w:shd w:val="clear" w:color="auto" w:fill="FEFEFE"/>
            <w:noWrap w:val="0"/>
            <w:vAlign w:val="center"/>
          </w:tcPr>
          <w:p w14:paraId="6DE0780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配套</w:t>
            </w:r>
            <w:r>
              <w:rPr>
                <w:rFonts w:hint="eastAsia" w:ascii="宋体" w:hAnsi="宋体" w:cs="宋体"/>
                <w:color w:val="auto"/>
                <w:szCs w:val="21"/>
                <w:highlight w:val="none"/>
              </w:rPr>
              <w:t>软件</w:t>
            </w:r>
          </w:p>
        </w:tc>
        <w:tc>
          <w:tcPr>
            <w:tcW w:w="1587" w:type="pct"/>
            <w:shd w:val="clear" w:color="auto" w:fill="FEFEFE"/>
            <w:noWrap w:val="0"/>
            <w:vAlign w:val="center"/>
          </w:tcPr>
          <w:p w14:paraId="7276F83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门急诊自助服务系统软件</w:t>
            </w:r>
          </w:p>
        </w:tc>
        <w:tc>
          <w:tcPr>
            <w:tcW w:w="487" w:type="pct"/>
            <w:shd w:val="clear" w:color="auto" w:fill="FEFEFE"/>
            <w:noWrap w:val="0"/>
            <w:vAlign w:val="center"/>
          </w:tcPr>
          <w:p w14:paraId="3F19FAA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534D591D">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12AC21AA">
            <w:pPr>
              <w:pageBreakBefore w:val="0"/>
              <w:kinsoku/>
              <w:overflowPunct/>
              <w:autoSpaceDE/>
              <w:autoSpaceDN/>
              <w:bidi w:val="0"/>
              <w:adjustRightInd w:val="0"/>
              <w:snapToGrid w:val="0"/>
              <w:jc w:val="center"/>
              <w:rPr>
                <w:rFonts w:ascii="宋体" w:hAnsi="宋体" w:cs="宋体"/>
                <w:color w:val="auto"/>
                <w:szCs w:val="21"/>
                <w:highlight w:val="none"/>
              </w:rPr>
            </w:pPr>
          </w:p>
        </w:tc>
      </w:tr>
      <w:tr w14:paraId="0885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D241E5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69D8D7C0">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874C9C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住院自助服务系统软件</w:t>
            </w:r>
          </w:p>
        </w:tc>
        <w:tc>
          <w:tcPr>
            <w:tcW w:w="487" w:type="pct"/>
            <w:shd w:val="clear" w:color="auto" w:fill="FEFEFE"/>
            <w:noWrap w:val="0"/>
            <w:vAlign w:val="center"/>
          </w:tcPr>
          <w:p w14:paraId="6845AA0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27216CA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p w14:paraId="03C6BAA3">
            <w:pPr>
              <w:pageBreakBefore w:val="0"/>
              <w:kinsoku/>
              <w:overflowPunct/>
              <w:autoSpaceDE/>
              <w:autoSpaceDN/>
              <w:bidi w:val="0"/>
              <w:adjustRightInd w:val="0"/>
              <w:snapToGrid w:val="0"/>
              <w:jc w:val="center"/>
              <w:rPr>
                <w:rFonts w:ascii="宋体" w:hAnsi="宋体" w:cs="宋体"/>
                <w:color w:val="auto"/>
                <w:szCs w:val="21"/>
                <w:highlight w:val="none"/>
              </w:rPr>
            </w:pPr>
          </w:p>
        </w:tc>
        <w:tc>
          <w:tcPr>
            <w:tcW w:w="1752" w:type="pct"/>
            <w:shd w:val="clear" w:color="auto" w:fill="FEFEFE"/>
            <w:noWrap w:val="0"/>
            <w:vAlign w:val="center"/>
          </w:tcPr>
          <w:p w14:paraId="66D4A6E6">
            <w:pPr>
              <w:pageBreakBefore w:val="0"/>
              <w:kinsoku/>
              <w:overflowPunct/>
              <w:autoSpaceDE/>
              <w:autoSpaceDN/>
              <w:bidi w:val="0"/>
              <w:adjustRightInd w:val="0"/>
              <w:snapToGrid w:val="0"/>
              <w:rPr>
                <w:color w:val="auto"/>
                <w:highlight w:val="none"/>
              </w:rPr>
            </w:pPr>
          </w:p>
        </w:tc>
      </w:tr>
      <w:tr w14:paraId="6A21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020DDB4A">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A2870D8">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078A74E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多功能自助打印系统软件</w:t>
            </w:r>
          </w:p>
        </w:tc>
        <w:tc>
          <w:tcPr>
            <w:tcW w:w="487" w:type="pct"/>
            <w:shd w:val="clear" w:color="auto" w:fill="FEFEFE"/>
            <w:noWrap w:val="0"/>
            <w:vAlign w:val="center"/>
          </w:tcPr>
          <w:p w14:paraId="3694F86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0574144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31920C28">
            <w:pPr>
              <w:pageBreakBefore w:val="0"/>
              <w:kinsoku/>
              <w:overflowPunct/>
              <w:autoSpaceDE/>
              <w:autoSpaceDN/>
              <w:bidi w:val="0"/>
              <w:adjustRightInd w:val="0"/>
              <w:snapToGrid w:val="0"/>
              <w:jc w:val="center"/>
              <w:rPr>
                <w:rFonts w:ascii="宋体" w:hAnsi="宋体" w:cs="宋体"/>
                <w:color w:val="auto"/>
                <w:szCs w:val="21"/>
                <w:highlight w:val="none"/>
              </w:rPr>
            </w:pPr>
          </w:p>
        </w:tc>
      </w:tr>
      <w:tr w14:paraId="0F9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6C6EA478">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34EE1B7">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2CA6A9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自助运维管理平台</w:t>
            </w:r>
          </w:p>
        </w:tc>
        <w:tc>
          <w:tcPr>
            <w:tcW w:w="487" w:type="pct"/>
            <w:shd w:val="clear" w:color="auto" w:fill="FEFEFE"/>
            <w:noWrap w:val="0"/>
            <w:vAlign w:val="center"/>
          </w:tcPr>
          <w:p w14:paraId="6772567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636D1AF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58DB017D">
            <w:pPr>
              <w:pageBreakBefore w:val="0"/>
              <w:kinsoku/>
              <w:overflowPunct/>
              <w:autoSpaceDE/>
              <w:autoSpaceDN/>
              <w:bidi w:val="0"/>
              <w:adjustRightInd w:val="0"/>
              <w:snapToGrid w:val="0"/>
              <w:jc w:val="center"/>
              <w:rPr>
                <w:rFonts w:ascii="宋体" w:hAnsi="宋体" w:cs="宋体"/>
                <w:color w:val="auto"/>
                <w:szCs w:val="21"/>
                <w:highlight w:val="none"/>
              </w:rPr>
            </w:pPr>
          </w:p>
        </w:tc>
      </w:tr>
      <w:tr w14:paraId="0F7A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50C3FFFF">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4D609A8">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EF6C65C">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自助系统支付与对账</w:t>
            </w:r>
            <w:r>
              <w:rPr>
                <w:rFonts w:hint="eastAsia" w:ascii="宋体" w:hAnsi="宋体" w:cs="宋体"/>
                <w:color w:val="auto"/>
                <w:sz w:val="21"/>
                <w:szCs w:val="21"/>
                <w:highlight w:val="none"/>
                <w:lang w:val="en-US" w:eastAsia="zh-CN"/>
              </w:rPr>
              <w:t>管理</w:t>
            </w:r>
          </w:p>
        </w:tc>
        <w:tc>
          <w:tcPr>
            <w:tcW w:w="487" w:type="pct"/>
            <w:shd w:val="clear" w:color="auto" w:fill="FEFEFE"/>
            <w:noWrap w:val="0"/>
            <w:vAlign w:val="center"/>
          </w:tcPr>
          <w:p w14:paraId="555FF3DA">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42E3BE05">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464BD4AC">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【核心产品】</w:t>
            </w:r>
          </w:p>
        </w:tc>
      </w:tr>
      <w:tr w14:paraId="5F8C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362" w:type="pct"/>
            <w:vMerge w:val="continue"/>
            <w:shd w:val="clear" w:color="auto" w:fill="FEFEFE"/>
            <w:noWrap w:val="0"/>
            <w:vAlign w:val="center"/>
          </w:tcPr>
          <w:p w14:paraId="67646C9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237D012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FEFC83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掌上医院小程序</w:t>
            </w:r>
          </w:p>
        </w:tc>
        <w:tc>
          <w:tcPr>
            <w:tcW w:w="487" w:type="pct"/>
            <w:shd w:val="clear" w:color="auto" w:fill="FEFEFE"/>
            <w:noWrap w:val="0"/>
            <w:vAlign w:val="center"/>
          </w:tcPr>
          <w:p w14:paraId="1E37738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套</w:t>
            </w:r>
          </w:p>
        </w:tc>
        <w:tc>
          <w:tcPr>
            <w:tcW w:w="444" w:type="pct"/>
            <w:shd w:val="clear" w:color="auto" w:fill="FEFEFE"/>
            <w:noWrap w:val="0"/>
            <w:vAlign w:val="center"/>
          </w:tcPr>
          <w:p w14:paraId="10A3405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1</w:t>
            </w:r>
          </w:p>
        </w:tc>
        <w:tc>
          <w:tcPr>
            <w:tcW w:w="1752" w:type="pct"/>
            <w:shd w:val="clear" w:color="auto" w:fill="FEFEFE"/>
            <w:noWrap w:val="0"/>
            <w:vAlign w:val="center"/>
          </w:tcPr>
          <w:p w14:paraId="25F3960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含门诊、住院功能以及后台管理系统</w:t>
            </w:r>
          </w:p>
        </w:tc>
      </w:tr>
      <w:tr w14:paraId="5BE5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362" w:type="pct"/>
            <w:shd w:val="clear" w:color="auto" w:fill="FEFEFE"/>
            <w:noWrap w:val="0"/>
            <w:vAlign w:val="center"/>
          </w:tcPr>
          <w:p w14:paraId="6774D31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66" w:type="pct"/>
            <w:shd w:val="clear" w:color="auto" w:fill="FEFEFE"/>
            <w:noWrap w:val="0"/>
            <w:vAlign w:val="center"/>
          </w:tcPr>
          <w:p w14:paraId="776CEECD">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耗材</w:t>
            </w:r>
          </w:p>
        </w:tc>
        <w:tc>
          <w:tcPr>
            <w:tcW w:w="1587" w:type="pct"/>
            <w:shd w:val="clear" w:color="auto" w:fill="FEFEFE"/>
            <w:noWrap w:val="0"/>
            <w:vAlign w:val="center"/>
          </w:tcPr>
          <w:p w14:paraId="1FE575F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配套纸张、耗材</w:t>
            </w:r>
          </w:p>
        </w:tc>
        <w:tc>
          <w:tcPr>
            <w:tcW w:w="487" w:type="pct"/>
            <w:shd w:val="clear" w:color="auto" w:fill="FEFEFE"/>
            <w:noWrap w:val="0"/>
            <w:vAlign w:val="center"/>
          </w:tcPr>
          <w:p w14:paraId="32B66A1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4A70465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0A64494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硒鼓、墨盒、报告纸、凭条等耗材</w:t>
            </w:r>
          </w:p>
        </w:tc>
      </w:tr>
      <w:tr w14:paraId="7B2D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restart"/>
            <w:shd w:val="clear" w:color="auto" w:fill="FEFEFE"/>
            <w:noWrap w:val="0"/>
            <w:vAlign w:val="center"/>
          </w:tcPr>
          <w:p w14:paraId="084F2A6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66" w:type="pct"/>
            <w:vMerge w:val="restart"/>
            <w:shd w:val="clear" w:color="auto" w:fill="FEFEFE"/>
            <w:noWrap w:val="0"/>
            <w:vAlign w:val="center"/>
          </w:tcPr>
          <w:p w14:paraId="5E01B4B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服务</w:t>
            </w:r>
          </w:p>
        </w:tc>
        <w:tc>
          <w:tcPr>
            <w:tcW w:w="1587" w:type="pct"/>
            <w:shd w:val="clear" w:color="auto" w:fill="FEFEFE"/>
            <w:noWrap w:val="0"/>
            <w:vAlign w:val="center"/>
          </w:tcPr>
          <w:p w14:paraId="71071FA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487" w:type="pct"/>
            <w:shd w:val="clear" w:color="auto" w:fill="FEFEFE"/>
            <w:noWrap w:val="0"/>
            <w:vAlign w:val="center"/>
          </w:tcPr>
          <w:p w14:paraId="759AB6A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782BCAF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2ACD882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4名现场服务工程师</w:t>
            </w:r>
          </w:p>
        </w:tc>
      </w:tr>
      <w:tr w14:paraId="6394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243893D3">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643CB666">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748D3F1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质保服务</w:t>
            </w:r>
          </w:p>
        </w:tc>
        <w:tc>
          <w:tcPr>
            <w:tcW w:w="487" w:type="pct"/>
            <w:shd w:val="clear" w:color="auto" w:fill="FEFEFE"/>
            <w:noWrap w:val="0"/>
            <w:vAlign w:val="center"/>
          </w:tcPr>
          <w:p w14:paraId="0AC6EBB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4AEE7A3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1FBCAF1E">
            <w:pPr>
              <w:pageBreakBefore w:val="0"/>
              <w:kinsoku/>
              <w:overflowPunct/>
              <w:autoSpaceDE/>
              <w:autoSpaceDN/>
              <w:bidi w:val="0"/>
              <w:adjustRightInd w:val="0"/>
              <w:snapToGrid w:val="0"/>
              <w:jc w:val="center"/>
              <w:rPr>
                <w:rFonts w:ascii="宋体" w:hAnsi="宋体" w:cs="宋体"/>
                <w:color w:val="auto"/>
                <w:szCs w:val="21"/>
                <w:highlight w:val="none"/>
              </w:rPr>
            </w:pPr>
          </w:p>
        </w:tc>
      </w:tr>
      <w:tr w14:paraId="7A15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362" w:type="pct"/>
            <w:vMerge w:val="continue"/>
            <w:shd w:val="clear" w:color="auto" w:fill="FEFEFE"/>
            <w:noWrap w:val="0"/>
            <w:vAlign w:val="center"/>
          </w:tcPr>
          <w:p w14:paraId="5E2E8757">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FF8D665">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78FFAD0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接口对接服务</w:t>
            </w:r>
          </w:p>
        </w:tc>
        <w:tc>
          <w:tcPr>
            <w:tcW w:w="487" w:type="pct"/>
            <w:shd w:val="clear" w:color="auto" w:fill="FEFEFE"/>
            <w:noWrap w:val="0"/>
            <w:vAlign w:val="center"/>
          </w:tcPr>
          <w:p w14:paraId="539D028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10F9764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605E57D0">
            <w:pPr>
              <w:pageBreakBefore w:val="0"/>
              <w:kinsoku/>
              <w:overflowPunct/>
              <w:autoSpaceDE/>
              <w:autoSpaceDN/>
              <w:bidi w:val="0"/>
              <w:adjustRightInd w:val="0"/>
              <w:snapToGrid w:val="0"/>
              <w:jc w:val="center"/>
              <w:rPr>
                <w:rFonts w:ascii="宋体" w:hAnsi="宋体" w:cs="宋体"/>
                <w:color w:val="auto"/>
                <w:szCs w:val="21"/>
                <w:highlight w:val="none"/>
              </w:rPr>
            </w:pPr>
          </w:p>
        </w:tc>
      </w:tr>
    </w:tbl>
    <w:p w14:paraId="7C7FF79A">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4A4661AB">
      <w:pPr>
        <w:pStyle w:val="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硬件</w:t>
      </w:r>
      <w:r>
        <w:rPr>
          <w:rFonts w:hint="eastAsia" w:ascii="宋体" w:hAnsi="宋体" w:eastAsia="宋体" w:cs="宋体"/>
          <w:color w:val="auto"/>
          <w:sz w:val="21"/>
          <w:szCs w:val="21"/>
          <w:highlight w:val="none"/>
        </w:rPr>
        <w:t>设备位置（14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+5备用+</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p w14:paraId="771F29EB">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olor w:val="auto"/>
          <w:highlight w:val="none"/>
        </w:rPr>
        <w:t>多功能自助机I</w:t>
      </w:r>
      <w:r>
        <w:rPr>
          <w:rFonts w:hint="eastAsia" w:ascii="宋体" w:hAnsi="宋体" w:eastAsia="宋体" w:cs="宋体"/>
          <w:color w:val="auto"/>
          <w:sz w:val="21"/>
          <w:szCs w:val="21"/>
          <w:highlight w:val="none"/>
        </w:rPr>
        <w:t>（投放地点：门急诊） （</w:t>
      </w:r>
      <w:r>
        <w:rPr>
          <w:rFonts w:hint="eastAsia" w:ascii="宋体" w:hAnsi="宋体" w:cs="宋体"/>
          <w:color w:val="auto"/>
          <w:sz w:val="21"/>
          <w:szCs w:val="21"/>
          <w:highlight w:val="none"/>
          <w:lang w:val="en-US" w:eastAsia="zh-CN"/>
        </w:rPr>
        <w:t>57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备用）</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003C8AE9">
        <w:tblPrEx>
          <w:tblCellMar>
            <w:top w:w="0" w:type="dxa"/>
            <w:left w:w="108" w:type="dxa"/>
            <w:bottom w:w="0" w:type="dxa"/>
            <w:right w:w="108" w:type="dxa"/>
          </w:tblCellMar>
        </w:tblPrEx>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236E34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5B59EF9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0019ACF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38A4F94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CB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B941">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12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AD9C">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5</w:t>
            </w:r>
          </w:p>
        </w:tc>
      </w:tr>
      <w:tr w14:paraId="62CE0641">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871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门诊1F-A</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669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DD6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6EC8DB96">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44C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急诊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B44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535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389D491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3D8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1F1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EC7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r>
      <w:tr w14:paraId="436AD95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EF2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701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5AD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60D8AA7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F83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门诊4F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9E03">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067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3ED7277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9523">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 -1F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E99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100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6ACE86B4">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34A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5D3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B3C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r>
      <w:tr w14:paraId="6BDCDBF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E2C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E8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5EC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2885A46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49B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DAA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D04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323D0702">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96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美容中心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1DC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5C8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31890C7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3C6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体检中心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89B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83A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256092CA">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1BF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备机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0DD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B4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305E0F2C">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156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合计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3A69">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3</w:t>
            </w:r>
            <w:r>
              <w:rPr>
                <w:rFonts w:hint="eastAsia"/>
                <w:color w:val="auto"/>
                <w:highlight w:val="none"/>
                <w:lang w:val="en-US" w:eastAsia="zh-CN"/>
              </w:rPr>
              <w:t>6</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C802">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2</w:t>
            </w:r>
            <w:r>
              <w:rPr>
                <w:rFonts w:hint="eastAsia"/>
                <w:color w:val="auto"/>
                <w:highlight w:val="none"/>
                <w:lang w:val="en-US" w:eastAsia="zh-CN"/>
              </w:rPr>
              <w:t>3</w:t>
            </w:r>
          </w:p>
        </w:tc>
      </w:tr>
    </w:tbl>
    <w:p w14:paraId="68BEF32E">
      <w:pPr>
        <w:pStyle w:val="7"/>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6B3B3E40">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2.多功能自助机II（投放地点：门急诊）4台</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0ACF22AC">
        <w:tblPrEx>
          <w:tblCellMar>
            <w:top w:w="0" w:type="dxa"/>
            <w:left w:w="108" w:type="dxa"/>
            <w:bottom w:w="0" w:type="dxa"/>
            <w:right w:w="108" w:type="dxa"/>
          </w:tblCellMar>
        </w:tblPrEx>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5C1277C">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2DAC2E08">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C29B54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77382F22">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C83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725E">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2台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052C">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2台</w:t>
            </w:r>
          </w:p>
        </w:tc>
      </w:tr>
      <w:tr w14:paraId="4C8FCBC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8A1">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966">
            <w:pPr>
              <w:pageBreakBefore w:val="0"/>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4台</w:t>
            </w:r>
          </w:p>
        </w:tc>
      </w:tr>
    </w:tbl>
    <w:p w14:paraId="6221D8E8">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eastAsia"/>
          <w:color w:val="auto"/>
          <w:highlight w:val="none"/>
        </w:rPr>
      </w:pPr>
    </w:p>
    <w:p w14:paraId="380AC1E9">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.无障碍自助服务终端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2台</w:t>
      </w:r>
      <w:r>
        <w:rPr>
          <w:rFonts w:hint="eastAsia" w:ascii="宋体" w:hAnsi="宋体" w:cs="宋体"/>
          <w:color w:val="auto"/>
          <w:sz w:val="21"/>
          <w:szCs w:val="21"/>
          <w:highlight w:val="none"/>
          <w:lang w:eastAsia="zh-CN"/>
        </w:rPr>
        <w:t>）</w:t>
      </w:r>
    </w:p>
    <w:tbl>
      <w:tblPr>
        <w:tblStyle w:val="45"/>
        <w:tblW w:w="4998" w:type="pct"/>
        <w:tblInd w:w="0" w:type="dxa"/>
        <w:tblLayout w:type="autofit"/>
        <w:tblCellMar>
          <w:top w:w="0" w:type="dxa"/>
          <w:left w:w="108" w:type="dxa"/>
          <w:bottom w:w="0" w:type="dxa"/>
          <w:right w:w="108" w:type="dxa"/>
        </w:tblCellMar>
      </w:tblPr>
      <w:tblGrid>
        <w:gridCol w:w="2839"/>
        <w:gridCol w:w="2839"/>
        <w:gridCol w:w="2841"/>
      </w:tblGrid>
      <w:tr w14:paraId="3B95A16B">
        <w:tblPrEx>
          <w:tblCellMar>
            <w:top w:w="0" w:type="dxa"/>
            <w:left w:w="108" w:type="dxa"/>
            <w:bottom w:w="0" w:type="dxa"/>
            <w:right w:w="108" w:type="dxa"/>
          </w:tblCellMar>
        </w:tblPrEx>
        <w:trPr>
          <w:trHeight w:val="329" w:hRule="atLeast"/>
        </w:trPr>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033D0AE3">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1C68F8C6">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lang w:val="en-US" w:eastAsia="zh-CN"/>
              </w:rPr>
              <w:t>西区</w:t>
            </w:r>
            <w:r>
              <w:rPr>
                <w:rFonts w:hint="eastAsia"/>
                <w:color w:val="auto"/>
                <w:highlight w:val="none"/>
              </w:rPr>
              <w:t>数量（台）</w:t>
            </w:r>
          </w:p>
        </w:tc>
        <w:tc>
          <w:tcPr>
            <w:tcW w:w="1667"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277AEB2D">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东区</w:t>
            </w:r>
            <w:r>
              <w:rPr>
                <w:rFonts w:hint="eastAsia"/>
                <w:color w:val="auto"/>
                <w:highlight w:val="none"/>
              </w:rPr>
              <w:t>数量（台）</w:t>
            </w:r>
          </w:p>
        </w:tc>
      </w:tr>
      <w:tr w14:paraId="034F3286">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8744">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门诊</w:t>
            </w:r>
            <w:r>
              <w:rPr>
                <w:rFonts w:hint="eastAsia"/>
                <w:color w:val="auto"/>
                <w:highlight w:val="none"/>
                <w:lang w:val="en-US" w:eastAsia="zh-CN"/>
              </w:rPr>
              <w:t>大厅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ECD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1</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2E59">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1</w:t>
            </w:r>
          </w:p>
        </w:tc>
      </w:tr>
      <w:tr w14:paraId="442175D4">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F91D">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3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B1CE">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2台</w:t>
            </w:r>
          </w:p>
        </w:tc>
      </w:tr>
    </w:tbl>
    <w:p w14:paraId="60E60044">
      <w:pPr>
        <w:pStyle w:val="7"/>
        <w:pageBreakBefore w:val="0"/>
        <w:shd w:val="clear"/>
        <w:kinsoku/>
        <w:overflowPunct/>
        <w:autoSpaceDE/>
        <w:autoSpaceDN/>
        <w:bidi w:val="0"/>
        <w:adjustRightInd w:val="0"/>
        <w:snapToGrid w:val="0"/>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5035D12">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color w:val="auto"/>
          <w:highlight w:val="none"/>
        </w:rPr>
        <w:t>多功能自助机I</w:t>
      </w:r>
      <w:r>
        <w:rPr>
          <w:rFonts w:hint="eastAsia" w:ascii="宋体" w:hAnsi="宋体" w:eastAsia="宋体" w:cs="宋体"/>
          <w:color w:val="auto"/>
          <w:sz w:val="21"/>
          <w:szCs w:val="21"/>
          <w:highlight w:val="none"/>
        </w:rPr>
        <w:t>（投放地点：门诊打印区）（</w:t>
      </w:r>
      <w:r>
        <w:rPr>
          <w:rFonts w:hint="eastAsia" w:ascii="宋体" w:hAnsi="宋体" w:cs="宋体"/>
          <w:color w:val="auto"/>
          <w:sz w:val="21"/>
          <w:szCs w:val="21"/>
          <w:highlight w:val="none"/>
          <w:lang w:val="en-US" w:eastAsia="zh-CN"/>
        </w:rPr>
        <w:t>8+1</w:t>
      </w:r>
      <w:r>
        <w:rPr>
          <w:rFonts w:hint="eastAsia" w:ascii="宋体" w:hAnsi="宋体" w:eastAsia="宋体" w:cs="宋体"/>
          <w:color w:val="auto"/>
          <w:sz w:val="21"/>
          <w:szCs w:val="21"/>
          <w:highlight w:val="none"/>
        </w:rPr>
        <w:t>备用）</w:t>
      </w:r>
    </w:p>
    <w:tbl>
      <w:tblPr>
        <w:tblStyle w:val="45"/>
        <w:tblW w:w="5007" w:type="pct"/>
        <w:tblInd w:w="0" w:type="dxa"/>
        <w:tblLayout w:type="autofit"/>
        <w:tblCellMar>
          <w:top w:w="0" w:type="dxa"/>
          <w:left w:w="108" w:type="dxa"/>
          <w:bottom w:w="0" w:type="dxa"/>
          <w:right w:w="108" w:type="dxa"/>
        </w:tblCellMar>
      </w:tblPr>
      <w:tblGrid>
        <w:gridCol w:w="3612"/>
        <w:gridCol w:w="4922"/>
      </w:tblGrid>
      <w:tr w14:paraId="3496F4B3">
        <w:tblPrEx>
          <w:tblCellMar>
            <w:top w:w="0" w:type="dxa"/>
            <w:left w:w="108" w:type="dxa"/>
            <w:bottom w:w="0" w:type="dxa"/>
            <w:right w:w="108" w:type="dxa"/>
          </w:tblCellMar>
        </w:tblPrEx>
        <w:trPr>
          <w:trHeight w:val="329" w:hRule="atLeast"/>
        </w:trPr>
        <w:tc>
          <w:tcPr>
            <w:tcW w:w="361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0181E1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2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5FC4ED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0B9DF5DA">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755440C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西区门诊1F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693915D4">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12705B63">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063EFDD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17A719EE">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388646CE">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67ABAAF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0367A118">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1</w:t>
            </w:r>
          </w:p>
        </w:tc>
      </w:tr>
      <w:tr w14:paraId="7F2195AB">
        <w:tblPrEx>
          <w:tblCellMar>
            <w:top w:w="0" w:type="dxa"/>
            <w:left w:w="108" w:type="dxa"/>
            <w:bottom w:w="0" w:type="dxa"/>
            <w:right w:w="108" w:type="dxa"/>
          </w:tblCellMar>
        </w:tblPrEx>
        <w:trPr>
          <w:trHeight w:val="380"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955">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559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7</w:t>
            </w:r>
          </w:p>
        </w:tc>
      </w:tr>
    </w:tbl>
    <w:p w14:paraId="79C4CEB7">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p>
    <w:p w14:paraId="1925CB5F">
      <w:pPr>
        <w:pStyle w:val="7"/>
        <w:pageBreakBefore w:val="0"/>
        <w:shd w:val="clear"/>
        <w:kinsoku/>
        <w:overflowPunct/>
        <w:autoSpaceDE/>
        <w:autoSpaceDN/>
        <w:bidi w:val="0"/>
        <w:adjustRightInd w:val="0"/>
        <w:snapToGrid w:val="0"/>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color w:val="auto"/>
          <w:highlight w:val="none"/>
        </w:rPr>
        <w:t>住院多功能自助机I</w:t>
      </w:r>
      <w:r>
        <w:rPr>
          <w:rFonts w:hint="eastAsia" w:ascii="宋体" w:hAnsi="宋体" w:cs="宋体"/>
          <w:color w:val="auto"/>
          <w:sz w:val="21"/>
          <w:szCs w:val="21"/>
          <w:highlight w:val="none"/>
          <w:lang w:val="en-US" w:eastAsia="zh-CN"/>
        </w:rPr>
        <w:t>（投放地点：住院病区）（42+2备用）</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3E2587A9">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A4D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E6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7E9031A2">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5B0FBA1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42个病区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5FF0EF9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w:t>
            </w:r>
          </w:p>
        </w:tc>
      </w:tr>
      <w:tr w14:paraId="1C4E0C51">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60C5B6D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37600F5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35976895">
        <w:tblPrEx>
          <w:tblCellMar>
            <w:top w:w="0" w:type="dxa"/>
            <w:left w:w="108" w:type="dxa"/>
            <w:bottom w:w="0" w:type="dxa"/>
            <w:right w:w="108" w:type="dxa"/>
          </w:tblCellMar>
        </w:tblPrEx>
        <w:trPr>
          <w:trHeight w:val="330"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8C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2CBF">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44</w:t>
            </w:r>
          </w:p>
        </w:tc>
      </w:tr>
    </w:tbl>
    <w:p w14:paraId="6C2B142C">
      <w:pPr>
        <w:pStyle w:val="7"/>
        <w:pageBreakBefore w:val="0"/>
        <w:shd w:val="clear"/>
        <w:kinsoku/>
        <w:overflowPunct/>
        <w:autoSpaceDE/>
        <w:autoSpaceDN/>
        <w:bidi w:val="0"/>
        <w:adjustRightInd w:val="0"/>
        <w:snapToGrid w:val="0"/>
        <w:rPr>
          <w:rFonts w:hint="default" w:ascii="宋体" w:hAnsi="宋体" w:cs="宋体"/>
          <w:color w:val="auto"/>
          <w:sz w:val="21"/>
          <w:szCs w:val="21"/>
          <w:highlight w:val="none"/>
          <w:lang w:val="en-US" w:eastAsia="zh-CN"/>
        </w:rPr>
      </w:pPr>
    </w:p>
    <w:p w14:paraId="2AB1D0B0">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eastAsia="zh-CN"/>
        </w:rPr>
      </w:pPr>
      <w:r>
        <w:rPr>
          <w:rFonts w:hint="eastAsia" w:cs="Times New Roman"/>
          <w:color w:val="auto"/>
          <w:sz w:val="21"/>
          <w:szCs w:val="22"/>
          <w:highlight w:val="none"/>
          <w:lang w:val="en-US" w:eastAsia="zh-CN" w:bidi="ar-SA"/>
        </w:rPr>
        <w:t>6</w:t>
      </w:r>
      <w:r>
        <w:rPr>
          <w:rFonts w:hint="eastAsia" w:ascii="Times New Roman" w:hAnsi="Times New Roman" w:eastAsia="宋体" w:cs="Times New Roman"/>
          <w:color w:val="auto"/>
          <w:sz w:val="21"/>
          <w:szCs w:val="22"/>
          <w:highlight w:val="none"/>
          <w:lang w:val="en-US" w:eastAsia="zh-CN" w:bidi="ar-SA"/>
        </w:rPr>
        <w:t>.</w:t>
      </w:r>
      <w:r>
        <w:rPr>
          <w:rFonts w:hint="eastAsia"/>
          <w:color w:val="auto"/>
          <w:highlight w:val="none"/>
        </w:rPr>
        <w:t>住院多功能自助机II</w:t>
      </w:r>
      <w:r>
        <w:rPr>
          <w:rFonts w:hint="eastAsia"/>
          <w:color w:val="auto"/>
          <w:highlight w:val="none"/>
          <w:lang w:eastAsia="zh-CN"/>
        </w:rPr>
        <w:t>（</w:t>
      </w:r>
      <w:r>
        <w:rPr>
          <w:rFonts w:hint="eastAsia"/>
          <w:color w:val="auto"/>
          <w:highlight w:val="none"/>
          <w:lang w:val="en-US" w:eastAsia="zh-CN"/>
        </w:rPr>
        <w:t>投放地点：住院处</w:t>
      </w:r>
      <w:r>
        <w:rPr>
          <w:rFonts w:hint="eastAsia"/>
          <w:color w:val="auto"/>
          <w:highlight w:val="none"/>
          <w:lang w:eastAsia="zh-CN"/>
        </w:rPr>
        <w:t>）（</w:t>
      </w:r>
      <w:r>
        <w:rPr>
          <w:rFonts w:hint="eastAsia"/>
          <w:color w:val="auto"/>
          <w:highlight w:val="none"/>
          <w:lang w:val="en-US" w:eastAsia="zh-CN"/>
        </w:rPr>
        <w:t>8台</w:t>
      </w:r>
      <w:r>
        <w:rPr>
          <w:rFonts w:hint="eastAsia"/>
          <w:color w:val="auto"/>
          <w:highlight w:val="none"/>
          <w:lang w:eastAsia="zh-CN"/>
        </w:rPr>
        <w:t>）</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6FB32AD5">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35A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F44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01D96366">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0C0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3248">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5</w:t>
            </w:r>
          </w:p>
        </w:tc>
      </w:tr>
      <w:tr w14:paraId="7EB6F56B">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9B9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D14E">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3</w:t>
            </w:r>
          </w:p>
        </w:tc>
      </w:tr>
      <w:tr w14:paraId="26537817">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3EEF">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42EA">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8</w:t>
            </w:r>
          </w:p>
        </w:tc>
      </w:tr>
    </w:tbl>
    <w:p w14:paraId="0480FBE1">
      <w:pPr>
        <w:pStyle w:val="7"/>
        <w:pageBreakBefore w:val="0"/>
        <w:numPr>
          <w:ilvl w:val="0"/>
          <w:numId w:val="0"/>
        </w:numPr>
        <w:shd w:val="clear"/>
        <w:kinsoku/>
        <w:overflowPunct/>
        <w:autoSpaceDE/>
        <w:autoSpaceDN/>
        <w:bidi w:val="0"/>
        <w:adjustRightInd w:val="0"/>
        <w:snapToGrid w:val="0"/>
        <w:ind w:leftChars="0"/>
        <w:rPr>
          <w:rFonts w:hint="eastAsia"/>
          <w:color w:val="auto"/>
          <w:highlight w:val="none"/>
          <w:lang w:val="en-US" w:eastAsia="zh-CN"/>
        </w:rPr>
      </w:pPr>
    </w:p>
    <w:p w14:paraId="201EFC4B">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val="en-US" w:eastAsia="zh-CN"/>
        </w:rPr>
      </w:pPr>
      <w:r>
        <w:rPr>
          <w:rFonts w:hint="eastAsia" w:cs="Times New Roman"/>
          <w:color w:val="auto"/>
          <w:sz w:val="21"/>
          <w:szCs w:val="22"/>
          <w:highlight w:val="none"/>
          <w:lang w:val="en-US" w:eastAsia="zh-CN" w:bidi="ar-SA"/>
        </w:rPr>
        <w:t>7</w:t>
      </w:r>
      <w:r>
        <w:rPr>
          <w:rFonts w:hint="eastAsia" w:ascii="Times New Roman" w:hAnsi="Times New Roman" w:eastAsia="宋体" w:cs="Times New Roman"/>
          <w:color w:val="auto"/>
          <w:sz w:val="21"/>
          <w:szCs w:val="22"/>
          <w:highlight w:val="none"/>
          <w:lang w:val="en-US" w:eastAsia="zh-CN" w:bidi="ar-SA"/>
        </w:rPr>
        <w:t>.</w:t>
      </w:r>
      <w:r>
        <w:rPr>
          <w:rFonts w:hint="eastAsia"/>
          <w:color w:val="auto"/>
          <w:highlight w:val="none"/>
          <w:lang w:val="en-US" w:eastAsia="zh-CN"/>
        </w:rPr>
        <w:t>住院多功能自助机Ⅲ（投放地点：住院处）（2台）</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344BD83F">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3AE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19B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2A2A5958">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B760">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D7E2">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767C4E6C">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CD6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D66">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1766183F">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66ED">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EE83">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w:t>
            </w:r>
          </w:p>
        </w:tc>
      </w:tr>
    </w:tbl>
    <w:p w14:paraId="7076B2B2">
      <w:pPr>
        <w:pStyle w:val="7"/>
        <w:pageBreakBefore w:val="0"/>
        <w:numPr>
          <w:ilvl w:val="0"/>
          <w:numId w:val="0"/>
        </w:numPr>
        <w:shd w:val="clear"/>
        <w:kinsoku/>
        <w:overflowPunct/>
        <w:autoSpaceDE/>
        <w:autoSpaceDN/>
        <w:bidi w:val="0"/>
        <w:adjustRightInd w:val="0"/>
        <w:snapToGrid w:val="0"/>
        <w:ind w:leftChars="0"/>
        <w:rPr>
          <w:rFonts w:hint="default" w:ascii="微软雅黑" w:hAnsi="微软雅黑" w:eastAsia="微软雅黑" w:cs="微软雅黑"/>
          <w:color w:val="auto"/>
          <w:highlight w:val="none"/>
          <w:lang w:val="en-US" w:eastAsia="zh-CN"/>
        </w:rPr>
      </w:pPr>
    </w:p>
    <w:p w14:paraId="5494629A">
      <w:pPr>
        <w:pStyle w:val="7"/>
        <w:pageBreakBefore w:val="0"/>
        <w:numPr>
          <w:ilvl w:val="0"/>
          <w:numId w:val="0"/>
        </w:numPr>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rPr>
        <w:t>其他自助设备（26+</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tbl>
      <w:tblPr>
        <w:tblStyle w:val="45"/>
        <w:tblW w:w="4957" w:type="pct"/>
        <w:tblInd w:w="0" w:type="dxa"/>
        <w:tblLayout w:type="autofit"/>
        <w:tblCellMar>
          <w:top w:w="0" w:type="dxa"/>
          <w:left w:w="108" w:type="dxa"/>
          <w:bottom w:w="0" w:type="dxa"/>
          <w:right w:w="108" w:type="dxa"/>
        </w:tblCellMar>
      </w:tblPr>
      <w:tblGrid>
        <w:gridCol w:w="3038"/>
        <w:gridCol w:w="2689"/>
        <w:gridCol w:w="2722"/>
      </w:tblGrid>
      <w:tr w14:paraId="7C29604F">
        <w:tblPrEx>
          <w:tblCellMar>
            <w:top w:w="0" w:type="dxa"/>
            <w:left w:w="108" w:type="dxa"/>
            <w:bottom w:w="0" w:type="dxa"/>
            <w:right w:w="108" w:type="dxa"/>
          </w:tblCellMar>
        </w:tblPrEx>
        <w:trPr>
          <w:trHeight w:val="389" w:hRule="atLeast"/>
        </w:trPr>
        <w:tc>
          <w:tcPr>
            <w:tcW w:w="1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4AF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自助设备</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9A3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位置</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577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数量（台）</w:t>
            </w:r>
          </w:p>
        </w:tc>
      </w:tr>
      <w:tr w14:paraId="49668658">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44D71211">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移动</w:t>
            </w:r>
            <w:r>
              <w:rPr>
                <w:rFonts w:hint="eastAsia"/>
                <w:color w:val="auto"/>
                <w:highlight w:val="none"/>
              </w:rPr>
              <w:t>结算终端</w:t>
            </w:r>
          </w:p>
          <w:p w14:paraId="417DED54">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5573E9D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门诊特需服务</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F14420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59BB84F9">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18D2CEBF">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47AA628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门诊诊区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3FB6871B">
            <w:pPr>
              <w:pageBreakBefore w:val="0"/>
              <w:shd w:val="clear"/>
              <w:kinsoku/>
              <w:overflowPunct/>
              <w:autoSpaceDE/>
              <w:autoSpaceDN/>
              <w:bidi w:val="0"/>
              <w:adjustRightInd w:val="0"/>
              <w:snapToGrid w:val="0"/>
              <w:rPr>
                <w:rFonts w:ascii="宋体" w:hAnsi="宋体" w:cs="宋体"/>
                <w:color w:val="auto"/>
                <w:szCs w:val="21"/>
                <w:highlight w:val="none"/>
              </w:rPr>
            </w:pPr>
            <w:r>
              <w:rPr>
                <w:color w:val="auto"/>
                <w:highlight w:val="none"/>
              </w:rPr>
              <w:t>10</w:t>
            </w:r>
          </w:p>
        </w:tc>
      </w:tr>
      <w:tr w14:paraId="67C7CF38">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50FED3B9">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790AF8A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东西区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2CCA8D9">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12</w:t>
            </w:r>
          </w:p>
        </w:tc>
      </w:tr>
      <w:tr w14:paraId="07B033B0">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41C2FA8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自助病案打印盖章终端</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0DD2494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122BDA6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70125D51">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2F2478A3">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自助印章机（投放）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1D8B938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ACD487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7B18B77E">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7A1D51E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自助复印机（投放）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22ADC705">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门诊1F</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323DF7BA">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47421C60">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40703DCA">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68C145FD">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入院处置中心</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06F0BA65">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2B5E5DB9">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241994F6">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47981B17">
            <w:pPr>
              <w:pageBreakBefore w:val="0"/>
              <w:kinsoku/>
              <w:overflowPunct/>
              <w:autoSpaceDE/>
              <w:autoSpaceDN/>
              <w:bidi w:val="0"/>
              <w:adjustRightInd w:val="0"/>
              <w:snapToGrid w:val="0"/>
              <w:rPr>
                <w:rFonts w:hint="default" w:eastAsia="宋体"/>
                <w:color w:val="auto"/>
                <w:highlight w:val="none"/>
                <w:lang w:val="en-US" w:eastAsia="zh-CN"/>
              </w:rPr>
            </w:pPr>
            <w:r>
              <w:rPr>
                <w:rFonts w:hint="eastAsia"/>
                <w:color w:val="auto"/>
                <w:highlight w:val="none"/>
                <w:lang w:val="en-US" w:eastAsia="zh-CN"/>
              </w:rPr>
              <w:t>东西区行政楼</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9ABAFD1">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2</w:t>
            </w:r>
          </w:p>
        </w:tc>
      </w:tr>
    </w:tbl>
    <w:p w14:paraId="2F7D9CC4">
      <w:pPr>
        <w:pStyle w:val="7"/>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rPr>
      </w:pPr>
    </w:p>
    <w:p w14:paraId="75EC285E">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4BA3D979">
      <w:pPr>
        <w:pStyle w:val="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（三）硬件设备</w:t>
      </w:r>
      <w:r>
        <w:rPr>
          <w:rFonts w:hint="eastAsia" w:ascii="宋体" w:hAnsi="宋体" w:cs="宋体"/>
          <w:b/>
          <w:bCs/>
          <w:color w:val="auto"/>
          <w:sz w:val="21"/>
          <w:szCs w:val="21"/>
          <w:highlight w:val="none"/>
          <w:lang w:val="en-US" w:eastAsia="zh-CN"/>
        </w:rPr>
        <w:t>技术要求</w:t>
      </w:r>
    </w:p>
    <w:p w14:paraId="70D772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提供的设备必须是原装、全新的，型号、性能及指标符合国家及</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文件提出的有关技术、质量、安全标准。</w:t>
      </w:r>
    </w:p>
    <w:tbl>
      <w:tblPr>
        <w:tblStyle w:val="45"/>
        <w:tblW w:w="4998" w:type="pct"/>
        <w:tblInd w:w="0" w:type="dxa"/>
        <w:shd w:val="clear" w:color="auto" w:fill="auto"/>
        <w:tblLayout w:type="fixed"/>
        <w:tblCellMar>
          <w:top w:w="0" w:type="dxa"/>
          <w:left w:w="108" w:type="dxa"/>
          <w:bottom w:w="0" w:type="dxa"/>
          <w:right w:w="108" w:type="dxa"/>
        </w:tblCellMar>
      </w:tblPr>
      <w:tblGrid>
        <w:gridCol w:w="795"/>
        <w:gridCol w:w="881"/>
        <w:gridCol w:w="1470"/>
        <w:gridCol w:w="5373"/>
      </w:tblGrid>
      <w:tr w14:paraId="14D1BDF1">
        <w:tblPrEx>
          <w:tblCellMar>
            <w:top w:w="0" w:type="dxa"/>
            <w:left w:w="108" w:type="dxa"/>
            <w:bottom w:w="0" w:type="dxa"/>
            <w:right w:w="108" w:type="dxa"/>
          </w:tblCellMar>
        </w:tblPrEx>
        <w:trPr>
          <w:trHeight w:val="459" w:hRule="atLeast"/>
          <w:tblHeader/>
        </w:trPr>
        <w:tc>
          <w:tcPr>
            <w:tcW w:w="466" w:type="pct"/>
            <w:tcBorders>
              <w:top w:val="single" w:color="000000" w:sz="4" w:space="0"/>
              <w:left w:val="single" w:color="000000" w:sz="4" w:space="0"/>
              <w:right w:val="single" w:color="000000" w:sz="4" w:space="0"/>
            </w:tcBorders>
            <w:shd w:val="clear" w:color="auto" w:fill="auto"/>
            <w:noWrap w:val="0"/>
            <w:vAlign w:val="center"/>
          </w:tcPr>
          <w:p w14:paraId="59B89B4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192D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F547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B74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r>
      <w:tr w14:paraId="72AC173F">
        <w:tblPrEx>
          <w:tblCellMar>
            <w:top w:w="0" w:type="dxa"/>
            <w:left w:w="108" w:type="dxa"/>
            <w:bottom w:w="0" w:type="dxa"/>
            <w:right w:w="108" w:type="dxa"/>
          </w:tblCellMar>
        </w:tblPrEx>
        <w:trPr>
          <w:trHeight w:val="624" w:hRule="atLeast"/>
        </w:trPr>
        <w:tc>
          <w:tcPr>
            <w:tcW w:w="5000" w:type="pct"/>
            <w:gridSpan w:val="4"/>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5181B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shd w:val="clear" w:color="FFFFFF" w:fill="D9D9D9"/>
              </w:rPr>
            </w:pPr>
            <w:r>
              <w:rPr>
                <w:rFonts w:hint="eastAsia" w:ascii="宋体" w:hAnsi="宋体" w:cs="宋体"/>
                <w:b/>
                <w:bCs/>
                <w:color w:val="auto"/>
                <w:sz w:val="21"/>
                <w:szCs w:val="21"/>
                <w:highlight w:val="none"/>
                <w:shd w:val="clear" w:color="FFFFFF" w:fill="D9D9D9"/>
                <w:lang w:val="en-US" w:eastAsia="zh-CN"/>
              </w:rPr>
              <w:t>硬件产品一：</w:t>
            </w:r>
            <w:r>
              <w:rPr>
                <w:rFonts w:hint="eastAsia" w:ascii="宋体" w:hAnsi="宋体" w:eastAsia="宋体" w:cs="宋体"/>
                <w:b/>
                <w:bCs/>
                <w:color w:val="auto"/>
                <w:sz w:val="21"/>
                <w:szCs w:val="21"/>
                <w:highlight w:val="none"/>
                <w:shd w:val="clear" w:color="FFFFFF" w:fill="D9D9D9"/>
              </w:rPr>
              <w:t>多功能自助机I、住院多功能自助机I</w:t>
            </w:r>
          </w:p>
        </w:tc>
      </w:tr>
      <w:tr w14:paraId="1E88592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49231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6BAC558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4AFDE8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F17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2160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2350730C">
        <w:tblPrEx>
          <w:shd w:val="clear" w:color="auto" w:fill="auto"/>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05C80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8E4F7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30EE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2B99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宽度&lt;720mm；高度&lt;2000mm</w:t>
            </w:r>
          </w:p>
        </w:tc>
      </w:tr>
      <w:tr w14:paraId="00C590D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34B68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189127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D1C9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ED40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BCE3E1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3016F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726D6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D52A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96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4C18D07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CA05A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64F82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5A53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ABD3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bookmarkStart w:id="123" w:name="OLE_LINK10"/>
            <w:bookmarkStart w:id="124" w:name="OLE_LINK9"/>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bookmarkEnd w:id="123"/>
            <w:bookmarkEnd w:id="124"/>
          </w:p>
        </w:tc>
      </w:tr>
      <w:tr w14:paraId="43BC019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83E5C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361C4A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B01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459C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0F2D7D4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BB56F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ACB28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D57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B39D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 SSD固态硬盘</w:t>
            </w:r>
          </w:p>
        </w:tc>
      </w:tr>
      <w:tr w14:paraId="51A43292">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46695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2CD7C4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1AA1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0D5F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2B0326E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F5F0C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A3F9C1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94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EF0C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5A6D94B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05E49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DAF90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FEAA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1161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0C7F548F">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DAF14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FD91E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C298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0F1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1C25A43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CF1F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A7DE6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3CF3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FAA2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3D44BC8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57102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441FC1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FE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8FC7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067F3A8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02160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3B1798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FB95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F9A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正版Windows ≥10，</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系统为正版的</w:t>
            </w:r>
            <w:r>
              <w:rPr>
                <w:rFonts w:hint="eastAsia" w:ascii="宋体" w:hAnsi="宋体" w:eastAsia="宋体" w:cs="宋体"/>
                <w:b/>
                <w:bCs/>
                <w:color w:val="auto"/>
                <w:sz w:val="21"/>
                <w:szCs w:val="21"/>
                <w:highlight w:val="none"/>
              </w:rPr>
              <w:t>证明</w:t>
            </w:r>
            <w:r>
              <w:rPr>
                <w:rFonts w:hint="eastAsia" w:ascii="宋体" w:hAnsi="宋体" w:eastAsia="宋体" w:cs="宋体"/>
                <w:b/>
                <w:bCs/>
                <w:color w:val="auto"/>
                <w:sz w:val="21"/>
                <w:szCs w:val="21"/>
                <w:highlight w:val="none"/>
                <w:lang w:val="en-US" w:eastAsia="zh-CN"/>
              </w:rPr>
              <w:t>材料</w:t>
            </w:r>
          </w:p>
        </w:tc>
      </w:tr>
      <w:tr w14:paraId="1812E198">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5F18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4EDF7D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7D0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E67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19EBD81C">
        <w:tblPrEx>
          <w:tblCellMar>
            <w:top w:w="0" w:type="dxa"/>
            <w:left w:w="108" w:type="dxa"/>
            <w:bottom w:w="0" w:type="dxa"/>
            <w:right w:w="108" w:type="dxa"/>
          </w:tblCellMar>
        </w:tblPrEx>
        <w:trPr>
          <w:trHeight w:val="541"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35083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D53AA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109B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C1C0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支持自助机正面完成凭条、打印纸张等耗材维护工作。</w:t>
            </w:r>
          </w:p>
          <w:p w14:paraId="195858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en-US"/>
              </w:rPr>
              <w:t>提供产品彩页</w:t>
            </w:r>
          </w:p>
        </w:tc>
      </w:tr>
      <w:tr w14:paraId="07E71843">
        <w:tblPrEx>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48A1B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0A92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7F30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80C2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3679DF9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A4033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D803A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982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7171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4241E6F8">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6C552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3A79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335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682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D2E3DF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EB9E0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030D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B133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A834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7C312B8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3C40F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744D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C82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903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7C040C9F">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9324C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CE70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554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46B5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3ADA2D8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453EC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A8D56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1E20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A1B8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29D710F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46928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7C58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2616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96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281F412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54FF2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A0CB9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56BD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A2E1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20757D0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7912E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5F19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189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FFC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18F6A4D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8A9D1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595D0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DF6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E69C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3CF2879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1A1F4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2E3A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5AD3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E76F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5051B44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43C03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0FAC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A71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6E6D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3019D33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3C0F8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C852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93D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63F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6FCB2A3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74F33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02F86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F6E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5912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296960C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9F825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8CA04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D64D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B1DE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70E0172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A9B7B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FCC5E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5C9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AF7F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3EF570A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E7079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0904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E19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9DF2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2062EC4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EDB84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9B64D0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954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DF12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416DF08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0486E4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1C724E6B">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39E4E49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1EE61CB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E10F2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42289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316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02C8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5B0D76A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155BE3A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50704664">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1FDD3B3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p w14:paraId="15D824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3D49DBB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05B10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4A4C8C6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D3CD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95C40">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666A800C">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30DDD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6EDD20A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B4A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1269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5B26A87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5C54FE2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7A1B9C8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7548A5D7">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54BCF820">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B60EB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5F6F0D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980A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2D7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3BD6ED3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6281DEA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p>
          <w:p w14:paraId="5EFE19E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24EC8A0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47A0C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60D302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8A6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1E5AC">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5F0084AE">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33B60D8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5C85ECF1">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7E43EE2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DAB75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5047DD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D326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1FB30">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1C0DDA9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彩色FOV：H62.7°V49°，支持支付宝人脸应用</w:t>
            </w:r>
          </w:p>
        </w:tc>
      </w:tr>
      <w:tr w14:paraId="60AE6559">
        <w:tblPrEx>
          <w:shd w:val="clear" w:color="auto" w:fill="auto"/>
          <w:tblCellMar>
            <w:top w:w="0" w:type="dxa"/>
            <w:left w:w="108" w:type="dxa"/>
            <w:bottom w:w="0" w:type="dxa"/>
            <w:right w:w="108" w:type="dxa"/>
          </w:tblCellMar>
        </w:tblPrEx>
        <w:trPr>
          <w:trHeight w:val="2009"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9E573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0580B4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791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F1B9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b/>
                <w:bCs/>
                <w:color w:val="auto"/>
                <w:highlight w:val="none"/>
              </w:rPr>
              <w:t>医保刷脸支付模块（医保综合业务服务终端）为嵌入式安装，支持支付宝人脸识别功能，提供实体机照片做证明材料，且医保刷脸支付模块取得符合</w:t>
            </w:r>
            <w:r>
              <w:rPr>
                <w:rFonts w:hint="eastAsia"/>
                <w:b/>
                <w:bCs/>
                <w:color w:val="auto"/>
                <w:highlight w:val="none"/>
                <w:lang w:eastAsia="zh-CN"/>
              </w:rPr>
              <w:t>《</w:t>
            </w:r>
            <w:r>
              <w:rPr>
                <w:rFonts w:hint="eastAsia"/>
                <w:b/>
                <w:bCs/>
                <w:color w:val="auto"/>
                <w:highlight w:val="none"/>
              </w:rPr>
              <w:t>医保业务综合服务终端(III类)技术规范》和《医保业务综合服务终端(III类)测试大纲V1.0》检测报告，并提供投标机型第三方测试报告（含CMA标志），且报告中体现投标人</w:t>
            </w:r>
            <w:r>
              <w:rPr>
                <w:rFonts w:hint="eastAsia"/>
                <w:b/>
                <w:bCs/>
                <w:color w:val="auto"/>
                <w:highlight w:val="none"/>
                <w:lang w:val="en-US" w:eastAsia="zh-CN"/>
              </w:rPr>
              <w:t>声明</w:t>
            </w:r>
            <w:r>
              <w:rPr>
                <w:rFonts w:hint="eastAsia"/>
                <w:b/>
                <w:bCs/>
                <w:color w:val="auto"/>
                <w:highlight w:val="none"/>
              </w:rPr>
              <w:t>使用的医保刷脸支付模块（医保综合业务服务终端）型号。</w:t>
            </w:r>
          </w:p>
        </w:tc>
      </w:tr>
      <w:tr w14:paraId="403D238F">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7DA0E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A3FB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AC7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294A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2E9FEE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01DE90D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112B2E1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54C3E39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1DED53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18326B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71878BD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6950AFE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18E81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06FEB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ECD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F2E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268571B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21A52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7D83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A5C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04B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17020E27">
        <w:tblPrEx>
          <w:tblCellMar>
            <w:top w:w="0" w:type="dxa"/>
            <w:left w:w="108" w:type="dxa"/>
            <w:bottom w:w="0" w:type="dxa"/>
            <w:right w:w="108" w:type="dxa"/>
          </w:tblCellMar>
        </w:tblPrEx>
        <w:trPr>
          <w:trHeight w:val="496"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5A99A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0F11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6A4E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49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09C61FFD">
        <w:tblPrEx>
          <w:tblCellMar>
            <w:top w:w="0" w:type="dxa"/>
            <w:left w:w="108" w:type="dxa"/>
            <w:bottom w:w="0" w:type="dxa"/>
            <w:right w:w="108" w:type="dxa"/>
          </w:tblCellMar>
        </w:tblPrEx>
        <w:trPr>
          <w:trHeight w:val="590" w:hRule="atLeast"/>
        </w:trPr>
        <w:tc>
          <w:tcPr>
            <w:tcW w:w="5000" w:type="pct"/>
            <w:gridSpan w:val="4"/>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286E0CC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硬件产品二：</w:t>
            </w:r>
            <w:r>
              <w:rPr>
                <w:rFonts w:hint="eastAsia" w:ascii="宋体" w:hAnsi="宋体" w:eastAsia="宋体" w:cs="宋体"/>
                <w:b/>
                <w:bCs/>
                <w:color w:val="auto"/>
                <w:sz w:val="21"/>
                <w:szCs w:val="21"/>
                <w:highlight w:val="none"/>
                <w:shd w:val="clear" w:color="FFFFFF" w:fill="D9D9D9"/>
              </w:rPr>
              <w:t>多功能自助机II（配现金模块</w:t>
            </w:r>
            <w:r>
              <w:rPr>
                <w:rFonts w:hint="eastAsia" w:ascii="宋体" w:hAnsi="宋体" w:eastAsia="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lang w:val="en-US" w:eastAsia="zh-CN"/>
              </w:rPr>
              <w:t>银联卡读卡卡具</w:t>
            </w:r>
            <w:r>
              <w:rPr>
                <w:rFonts w:hint="eastAsia" w:ascii="宋体" w:hAnsi="宋体" w:eastAsia="宋体" w:cs="宋体"/>
                <w:b/>
                <w:bCs/>
                <w:color w:val="auto"/>
                <w:sz w:val="21"/>
                <w:szCs w:val="21"/>
                <w:highlight w:val="none"/>
                <w:shd w:val="clear" w:color="FFFFFF" w:fill="D9D9D9"/>
              </w:rPr>
              <w:t>）</w:t>
            </w:r>
          </w:p>
        </w:tc>
      </w:tr>
      <w:tr w14:paraId="2BCE7CF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F1FC1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4433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1086F97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0DBE60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681AB6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7F90811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7D7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708E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2F0BD8F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2E5CD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6D4A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2772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647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高度&lt;1900mm</w:t>
            </w:r>
          </w:p>
        </w:tc>
      </w:tr>
      <w:tr w14:paraId="3EE6533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BEE05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13E7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3D8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89A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732C41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95810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30D1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A0C1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A1B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05798BD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CD464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43893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7A11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3001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7C30A47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8DE15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D1F3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7436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A23A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2EBF067D">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F3E28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97FD1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B82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885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r>
              <w:rPr>
                <w:rFonts w:hint="eastAsia" w:ascii="宋体" w:hAnsi="宋体" w:eastAsia="宋体" w:cs="宋体"/>
                <w:color w:val="auto"/>
                <w:sz w:val="21"/>
                <w:szCs w:val="21"/>
                <w:highlight w:val="none"/>
                <w:lang w:val="en-US" w:eastAsia="zh-CN"/>
              </w:rPr>
              <w:t xml:space="preserve">G </w:t>
            </w:r>
            <w:r>
              <w:rPr>
                <w:rFonts w:hint="eastAsia" w:ascii="宋体" w:hAnsi="宋体" w:eastAsia="宋体" w:cs="宋体"/>
                <w:color w:val="auto"/>
                <w:sz w:val="21"/>
                <w:szCs w:val="21"/>
                <w:highlight w:val="none"/>
              </w:rPr>
              <w:t>SSD固态硬盘</w:t>
            </w:r>
          </w:p>
        </w:tc>
      </w:tr>
      <w:tr w14:paraId="10FB4CB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D47B1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040A1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588B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DE29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6B8CCE6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5CDED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A17D1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EBB0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D0D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5E772C7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6487B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A08BF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79D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6A06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7BE0F3D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E827A6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20E165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32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CE82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6602BC67">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F9F1E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8D213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4BFD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5AFC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2AD6E37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E87A2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C3F3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D38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F609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58A3FD77">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D04FA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DF918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AFC0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000F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 ≥10，提供采购证明</w:t>
            </w:r>
          </w:p>
        </w:tc>
      </w:tr>
      <w:tr w14:paraId="11BF4E1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53C6F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4102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D00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F421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76222FE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9E9A6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378FB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B7EB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41E0E">
            <w:pPr>
              <w:keepNext w:val="0"/>
              <w:keepLines w:val="0"/>
              <w:pageBreakBefore w:val="0"/>
              <w:shd w:val="clear" w:color="auto"/>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shd w:val="clear"/>
              </w:rPr>
              <w:t>提供工控主机（微型电脑）</w:t>
            </w:r>
            <w:r>
              <w:rPr>
                <w:rFonts w:hint="eastAsia" w:ascii="宋体" w:hAnsi="宋体" w:eastAsia="宋体" w:cs="宋体"/>
                <w:b/>
                <w:bCs/>
                <w:color w:val="auto"/>
                <w:sz w:val="21"/>
                <w:szCs w:val="21"/>
                <w:highlight w:val="green"/>
                <w:shd w:val="clear"/>
              </w:rPr>
              <w:t>或相应多功能自助机整机</w:t>
            </w:r>
            <w:r>
              <w:rPr>
                <w:rFonts w:hint="eastAsia" w:ascii="宋体" w:hAnsi="宋体" w:eastAsia="宋体" w:cs="宋体"/>
                <w:b/>
                <w:bCs/>
                <w:color w:val="auto"/>
                <w:sz w:val="21"/>
                <w:szCs w:val="21"/>
                <w:highlight w:val="none"/>
                <w:shd w:val="clear"/>
              </w:rPr>
              <w:t>3C认证书，并提供投标机型第三方检测报告（含CMA标志），且报告标注投标人声明的工控主机型号</w:t>
            </w:r>
          </w:p>
        </w:tc>
      </w:tr>
      <w:tr w14:paraId="7A7C6ED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F8C80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EA27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EF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ACD9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61E7A88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61103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A3B7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51D9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3015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≥30"投射式防爆电容屏；防尘、防暴、防刮擦；</w:t>
            </w:r>
          </w:p>
        </w:tc>
      </w:tr>
      <w:tr w14:paraId="0CED56D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ECF56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0ADA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F4E2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2A06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7FBF02A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631E6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574F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EF32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96E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EAEEC5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F7050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B217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19A0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3CB6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29911E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F548AD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AD575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2ED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372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7A15099D">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D6444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C861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E3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F167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60EC747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C24943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3C141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9A71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4A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5E1CA1A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38B15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C80F5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587A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B5D1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05FE704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6C2CE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82480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EF8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DEC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40549703">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6BAE8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6F351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9C6F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社保卡</w:t>
            </w:r>
            <w:r>
              <w:rPr>
                <w:rFonts w:hint="eastAsia" w:ascii="宋体" w:hAnsi="宋体" w:eastAsia="宋体" w:cs="宋体"/>
                <w:color w:val="auto"/>
                <w:sz w:val="21"/>
                <w:szCs w:val="21"/>
                <w:highlight w:val="none"/>
                <w:lang w:val="en-US" w:eastAsia="zh-CN"/>
              </w:rPr>
              <w:t>读卡器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57BA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0AAC9A5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51FC8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E27BC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3F66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银联卡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7579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支持银联卡识读，符合标准PBOC3.0L1标准</w:t>
            </w:r>
          </w:p>
        </w:tc>
      </w:tr>
      <w:tr w14:paraId="2629DFC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F4AB6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D742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4CD5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ED81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0B07D65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B9302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DACC1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密码键盘</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72BE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3A60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优质不锈钢材料，10个数字按键、6个功能按键，按键寿命≥200万次</w:t>
            </w:r>
          </w:p>
        </w:tc>
      </w:tr>
      <w:tr w14:paraId="1AB98D7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A19F8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3B44E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EA77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加密算法</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92F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支持sm2，sm3，sm4算法</w:t>
            </w:r>
          </w:p>
        </w:tc>
      </w:tr>
      <w:tr w14:paraId="6D8513A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F18D5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5E38B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E849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5581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支持RS-232、PS/2、USB2.0接口</w:t>
            </w:r>
          </w:p>
        </w:tc>
      </w:tr>
      <w:tr w14:paraId="71FFAC5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FFC70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F4E04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EBD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安全保护</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B748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键面防水、防尘、防暴、防钻、防拆、防泄漏、防监听、防置换，具备密钥、程序、敏感数据拆封自毁功能，支持系统键盘功能</w:t>
            </w:r>
          </w:p>
        </w:tc>
      </w:tr>
      <w:tr w14:paraId="3132C9A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F7E6D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B5F3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826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3AF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国银联支付终端安全技术规范Q/CUP007》标准取得《中国银联支付终端设备安全认证证书》、符合GM/T0028-2014《密码模块安全技术要求》GM/T0039-2015《密码模块安全检测要求》安全等级第二级要求取得《商用密码产品型号证书》</w:t>
            </w:r>
          </w:p>
        </w:tc>
      </w:tr>
      <w:tr w14:paraId="3955C26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B48413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D7B5D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A64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1FA6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49CFF5D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DA04E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5B56A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419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FBC98">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41D1745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93801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6C86A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06C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B0B8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323EE7F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E4C11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DDD8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194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8A4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62F0B1FE">
        <w:tblPrEx>
          <w:shd w:val="clear" w:color="auto" w:fill="auto"/>
          <w:tblCellMar>
            <w:top w:w="0" w:type="dxa"/>
            <w:left w:w="108" w:type="dxa"/>
            <w:bottom w:w="0" w:type="dxa"/>
            <w:right w:w="108" w:type="dxa"/>
          </w:tblCellMar>
        </w:tblPrEx>
        <w:trPr>
          <w:trHeight w:val="275"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12A33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F561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F193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86A6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32042E5E">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9211A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5821A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408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FCDF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561C0E1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E6A9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B9B6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5DB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2EF7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564F3D9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C7AE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2CDDA3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w:t>
            </w:r>
          </w:p>
          <w:p w14:paraId="2870FDA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6432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F65D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4FDC264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7CBD007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3E983F4A">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771D7B38">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36D3462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EA412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5970B5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684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4C4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61F8C2C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56D1996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7EF52031">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39904F3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3169589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1830145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1DB86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B0779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B086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8071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02AD6B1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383C0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2A70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3B4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CD94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8寸</w:t>
            </w:r>
            <w:r>
              <w:rPr>
                <w:rFonts w:hint="eastAsia" w:ascii="宋体" w:hAnsi="宋体" w:eastAsia="宋体" w:cs="宋体"/>
                <w:color w:val="auto"/>
                <w:sz w:val="21"/>
                <w:szCs w:val="21"/>
                <w:highlight w:val="none"/>
                <w:lang w:eastAsia="zh-CN"/>
              </w:rPr>
              <w:t>；</w:t>
            </w:r>
          </w:p>
          <w:p w14:paraId="0B4CC3E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1280*800</w:t>
            </w:r>
          </w:p>
        </w:tc>
      </w:tr>
      <w:tr w14:paraId="641F99D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8E7F1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26B9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23CC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A82F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767348E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6DD6813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1F9460C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7FFAF2F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45B31E1B">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2F010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1CDE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45B4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4BC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41A2854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20F12C6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492468E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C1404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7FE5D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07C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516F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5F822C3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023D900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1517639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识读景深：0mm-100mm</w:t>
            </w:r>
            <w:r>
              <w:rPr>
                <w:rFonts w:hint="eastAsia" w:ascii="宋体" w:hAnsi="宋体" w:eastAsia="宋体" w:cs="宋体"/>
                <w:color w:val="auto"/>
                <w:sz w:val="21"/>
                <w:szCs w:val="21"/>
                <w:highlight w:val="none"/>
                <w:lang w:eastAsia="zh-CN"/>
              </w:rPr>
              <w:t>；</w:t>
            </w:r>
          </w:p>
        </w:tc>
      </w:tr>
      <w:tr w14:paraId="6979925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AD8DE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C1C87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8383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6520">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0CFCB62A">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60AD23F9">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7BE4A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30D6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44BA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55E1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7A5615F3">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6E69D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2CED2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294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BC8D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442E65B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2A2680D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0BBEADE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61F67FC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348D8FA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727E78C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7CA1AD87">
            <w:pPr>
              <w:keepNext w:val="0"/>
              <w:keepLines w:val="0"/>
              <w:pageBreakBefore w:val="0"/>
              <w:kinsoku/>
              <w:wordWrap/>
              <w:overflowPunct/>
              <w:topLinePunct w:val="0"/>
              <w:autoSpaceDE/>
              <w:autoSpaceDN/>
              <w:bidi w:val="0"/>
              <w:adjustRightInd w:val="0"/>
              <w:snapToGrid w:val="0"/>
              <w:spacing w:line="360" w:lineRule="exact"/>
              <w:ind w:left="0"/>
              <w:rPr>
                <w:rFonts w:hint="eastAsia"/>
                <w:color w:val="auto"/>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59D40EC7">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5F337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D42E0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现金模块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694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鉴别纸币宽度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6D52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62-78mm，多宽度</w:t>
            </w:r>
          </w:p>
        </w:tc>
      </w:tr>
      <w:tr w14:paraId="57B4559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F1887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A75E5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850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纸币方向</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240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四向</w:t>
            </w:r>
          </w:p>
        </w:tc>
      </w:tr>
      <w:tr w14:paraId="5F71959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13C73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613F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FD5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A4E4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r>
      <w:tr w14:paraId="557FDD86">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BF717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E6A83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323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纸币暂存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A7E6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一张</w:t>
            </w:r>
          </w:p>
        </w:tc>
      </w:tr>
      <w:tr w14:paraId="746EFFB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D6393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0008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CDD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049E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自动校准的多光谱介质传感器；安全传感器：交叉通道防抽纸</w:t>
            </w:r>
          </w:p>
        </w:tc>
      </w:tr>
      <w:tr w14:paraId="7C7B18E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D37F3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2AFF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456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097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CCnet、串口（TTL或RS232）、MDB、脉冲</w:t>
            </w:r>
          </w:p>
        </w:tc>
      </w:tr>
      <w:tr w14:paraId="127A06B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100CE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9A19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D361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操作电压</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E6F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12V或24V</w:t>
            </w:r>
          </w:p>
        </w:tc>
      </w:tr>
      <w:tr w14:paraId="02C97C9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011ED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F81F1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9C6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钞箱容量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F47D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≥1000张</w:t>
            </w:r>
          </w:p>
        </w:tc>
      </w:tr>
      <w:tr w14:paraId="5178F1C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50773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1C071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59C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08A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≥2个客户锁</w:t>
            </w:r>
          </w:p>
        </w:tc>
      </w:tr>
      <w:tr w14:paraId="4F634685">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83244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0060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449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硬盘录像机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205C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四路硬盘录像机（≥1T硬盘）+2路针孔摄像头</w:t>
            </w:r>
          </w:p>
        </w:tc>
      </w:tr>
      <w:tr w14:paraId="366DCFA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D0E83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19557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37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C265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52ED18E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1CF4A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629F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BE5E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714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5D21D2F6">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8174D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CB91F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4D7B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E590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36F3F7FD">
        <w:tblPrEx>
          <w:shd w:val="clear" w:color="auto" w:fill="auto"/>
          <w:tblCellMar>
            <w:top w:w="0" w:type="dxa"/>
            <w:left w:w="108" w:type="dxa"/>
            <w:bottom w:w="0" w:type="dxa"/>
            <w:right w:w="108" w:type="dxa"/>
          </w:tblCellMar>
        </w:tblPrEx>
        <w:trPr>
          <w:trHeight w:val="402"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90C88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shd w:val="clear" w:color="FFFFFF" w:fill="D9D9D9"/>
                <w:lang w:val="en-US" w:eastAsia="zh-CN"/>
              </w:rPr>
              <w:t>硬件产品三：</w:t>
            </w:r>
            <w:r>
              <w:rPr>
                <w:rFonts w:hint="eastAsia" w:ascii="宋体" w:hAnsi="宋体" w:eastAsia="宋体" w:cs="宋体"/>
                <w:b/>
                <w:bCs/>
                <w:color w:val="auto"/>
                <w:sz w:val="21"/>
                <w:szCs w:val="21"/>
                <w:highlight w:val="none"/>
                <w:shd w:val="clear" w:color="FFFFFF" w:fill="D9D9D9"/>
                <w:lang w:val="en-US" w:eastAsia="zh-CN"/>
              </w:rPr>
              <w:t>无障碍门诊自助服务终端</w:t>
            </w:r>
          </w:p>
        </w:tc>
      </w:tr>
      <w:tr w14:paraId="054E432B">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7BC1ED">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98234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外观</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A6B49">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机柜含喷油丝印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C4F77D">
            <w:pPr>
              <w:keepNext w:val="0"/>
              <w:keepLines w:val="0"/>
              <w:pageBreakBefore w:val="0"/>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整体设计符合轮椅患者使用高度，操作台面到地面垂直高度不超过850mm，操作界面具备盲文指引，</w:t>
            </w:r>
            <w:r>
              <w:rPr>
                <w:rFonts w:hint="eastAsia" w:ascii="宋体" w:hAnsi="宋体" w:eastAsia="宋体" w:cs="宋体"/>
                <w:i w:val="0"/>
                <w:iCs w:val="0"/>
                <w:color w:val="auto"/>
                <w:sz w:val="21"/>
                <w:szCs w:val="21"/>
                <w:highlight w:val="none"/>
                <w:u w:val="none"/>
                <w:lang w:val="en-US" w:eastAsia="zh-CN"/>
              </w:rPr>
              <w:t>可定制外观配色与LOGO（纯色LOGO)，</w:t>
            </w:r>
            <w:r>
              <w:rPr>
                <w:rStyle w:val="328"/>
                <w:rFonts w:hint="eastAsia" w:ascii="宋体" w:hAnsi="宋体" w:eastAsia="宋体" w:cs="宋体"/>
                <w:b/>
                <w:bCs/>
                <w:color w:val="auto"/>
                <w:sz w:val="21"/>
                <w:szCs w:val="21"/>
                <w:highlight w:val="none"/>
                <w:lang w:val="en-US" w:eastAsia="zh-CN" w:bidi="ar"/>
              </w:rPr>
              <w:t>提供过往实际案例部署照片</w:t>
            </w:r>
          </w:p>
        </w:tc>
      </w:tr>
      <w:tr w14:paraId="1767893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AF3D3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F3B83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主机模块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154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工控主机/电源</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F43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内存≥8GB DDR4；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处理器：</w:t>
            </w: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硬盘≥500GB SSD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正版Windows≥10，</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系统为正版的</w:t>
            </w:r>
            <w:r>
              <w:rPr>
                <w:rFonts w:hint="eastAsia" w:ascii="宋体" w:hAnsi="宋体" w:eastAsia="宋体" w:cs="宋体"/>
                <w:b/>
                <w:bCs/>
                <w:color w:val="auto"/>
                <w:sz w:val="21"/>
                <w:szCs w:val="21"/>
                <w:highlight w:val="none"/>
              </w:rPr>
              <w:t>证明</w:t>
            </w:r>
            <w:r>
              <w:rPr>
                <w:rFonts w:hint="eastAsia" w:ascii="宋体" w:hAnsi="宋体" w:eastAsia="宋体" w:cs="宋体"/>
                <w:b/>
                <w:bCs/>
                <w:color w:val="auto"/>
                <w:sz w:val="21"/>
                <w:szCs w:val="21"/>
                <w:highlight w:val="none"/>
                <w:lang w:val="en-US" w:eastAsia="zh-CN"/>
              </w:rPr>
              <w:t>材料</w:t>
            </w:r>
          </w:p>
        </w:tc>
      </w:tr>
      <w:tr w14:paraId="37DAE20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57850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DC1FA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显示模块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5FC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32寸曲面屏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80FCA">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触摸类型: 十点电容屏 G+G 触摸屏</w:t>
            </w:r>
          </w:p>
          <w:p w14:paraId="38B25EF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透光率 :≥85%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面板尺寸：≥32 inch </w:t>
            </w:r>
          </w:p>
          <w:p w14:paraId="3312F84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分辨率：≥1920*1080 </w:t>
            </w:r>
          </w:p>
          <w:p w14:paraId="34EF7A6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面板亮度：液晶屏≥400cd/m²（Typ.）</w:t>
            </w:r>
          </w:p>
          <w:p w14:paraId="16E8614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曲率：≥ R=1800 </w:t>
            </w:r>
          </w:p>
          <w:p w14:paraId="0250C49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刷新率：≥60Hz </w:t>
            </w:r>
          </w:p>
          <w:p w14:paraId="3E30D039">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对比度：≥4000:1 </w:t>
            </w:r>
          </w:p>
        </w:tc>
      </w:tr>
      <w:tr w14:paraId="6AE8B2E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25492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61CCAA">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91A5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社保卡读卡器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B241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4FF0AFCD">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4C11A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792F4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50E5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F9BE5">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识读模式：CMOS；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识读码值：GM,MICRI QR,MICRO PDF417,QR CODE,DATA MATRIX,CHINESE-SENSIBLE CODE,ETC.,CODE 128,EAN-13,EAN-8,CODE39,CODE93,UPC-A,ETC.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识读精度：≥10mil；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识读景深：0mm-100mm；蜂鸣器提示；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支持电子居民健康卡二维码读取。</w:t>
            </w:r>
          </w:p>
        </w:tc>
      </w:tr>
      <w:tr w14:paraId="7282CFC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CD0B9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E6840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4C2E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8A6A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符合公安部《GA450-2013台式居民身份证阅读器通用技术要求》,支持外国人永久居留证</w:t>
            </w:r>
          </w:p>
          <w:p w14:paraId="1FB2797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阅读距离：0-3cm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读卡速度：&lt;1s</w:t>
            </w:r>
          </w:p>
        </w:tc>
      </w:tr>
      <w:tr w14:paraId="20F234E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7979C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AB3F4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打印模块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6088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凭 条 打 印 机</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（80mm）</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0CBD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打印方式：行式热敏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打印速度：≥150mm/s（Max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纸宽：79.5±0.5mm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有效打印宽度：72mm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纸处理方式：自动切纸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纸仓宽度：≥ 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防堵功能：支持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蜂鸣器：支持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面板热敏打印机，正面开盖维护换纸，定制专属透明盖子，不开盖可查看纸张余量。</w:t>
            </w:r>
          </w:p>
        </w:tc>
      </w:tr>
      <w:tr w14:paraId="327ACC45">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31400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B0711D">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Style w:val="318"/>
                <w:rFonts w:hint="eastAsia" w:ascii="宋体" w:hAnsi="宋体" w:eastAsia="宋体" w:cs="宋体"/>
                <w:color w:val="auto"/>
                <w:sz w:val="21"/>
                <w:szCs w:val="21"/>
                <w:highlight w:val="none"/>
                <w:lang w:val="en-US" w:eastAsia="zh-CN" w:bidi="ar"/>
              </w:rPr>
            </w:pPr>
            <w:r>
              <w:rPr>
                <w:rStyle w:val="318"/>
                <w:rFonts w:hint="eastAsia" w:ascii="宋体" w:hAnsi="宋体" w:eastAsia="宋体" w:cs="宋体"/>
                <w:color w:val="auto"/>
                <w:sz w:val="21"/>
                <w:szCs w:val="21"/>
                <w:highlight w:val="none"/>
                <w:lang w:val="en-US" w:eastAsia="zh-CN" w:bidi="ar"/>
              </w:rPr>
              <w:t>打印</w:t>
            </w:r>
          </w:p>
          <w:p w14:paraId="372D8C7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cs="宋体"/>
                <w:color w:val="auto"/>
                <w:sz w:val="21"/>
                <w:szCs w:val="21"/>
                <w:highlight w:val="green"/>
                <w:lang w:val="en-US" w:eastAsia="zh-CN" w:bidi="ar"/>
              </w:rPr>
              <w:t>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3247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81BB5">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打印速度：最高每分钟≥38页高速打印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月打印负荷≥ 50000页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打印分辨率≥ 600X600dpi物理分辨率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首页打印时间 ≦7.2秒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进纸盒容量 标配纸盒：≥250页，选配：≥500页纸盒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介质类型：普通纸，薄纸，厚纸，加厚纸，再生纸，铜版纸，标签纸，信封，薄信封纸，厚信封纸</w:t>
            </w:r>
          </w:p>
          <w:p w14:paraId="16E19F4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green"/>
              </w:rPr>
              <w:t>支持</w:t>
            </w:r>
            <w:r>
              <w:rPr>
                <w:rFonts w:hint="eastAsia" w:ascii="宋体" w:hAnsi="宋体" w:eastAsia="宋体" w:cs="宋体"/>
                <w:color w:val="auto"/>
                <w:sz w:val="21"/>
                <w:szCs w:val="21"/>
                <w:highlight w:val="green"/>
                <w:lang w:val="en-US" w:eastAsia="zh-CN"/>
              </w:rPr>
              <w:t>国产操作系统</w:t>
            </w:r>
            <w:r>
              <w:rPr>
                <w:rFonts w:hint="eastAsia" w:ascii="宋体" w:hAnsi="宋体" w:eastAsia="宋体" w:cs="宋体"/>
                <w:color w:val="auto"/>
                <w:sz w:val="21"/>
                <w:szCs w:val="21"/>
                <w:highlight w:val="green"/>
              </w:rPr>
              <w:t xml:space="preserve"> </w:t>
            </w:r>
          </w:p>
        </w:tc>
      </w:tr>
      <w:tr w14:paraId="5D6775C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3E15C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172D8EC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Style w:val="318"/>
                <w:rFonts w:hint="eastAsia" w:ascii="宋体" w:hAnsi="宋体" w:eastAsia="宋体" w:cs="宋体"/>
                <w:color w:val="auto"/>
                <w:sz w:val="21"/>
                <w:szCs w:val="21"/>
                <w:highlight w:val="none"/>
                <w:lang w:val="en-US" w:eastAsia="zh-CN" w:bidi="ar"/>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2CB86">
            <w:pPr>
              <w:keepNext w:val="0"/>
              <w:keepLines w:val="0"/>
              <w:pageBreakBefore w:val="0"/>
              <w:kinsoku/>
              <w:wordWrap/>
              <w:overflowPunct/>
              <w:topLinePunct w:val="0"/>
              <w:autoSpaceDE/>
              <w:autoSpaceDN/>
              <w:bidi w:val="0"/>
              <w:adjustRightInd w:val="0"/>
              <w:snapToGrid w:val="0"/>
              <w:spacing w:line="360" w:lineRule="exact"/>
              <w:ind w:left="0"/>
              <w:jc w:val="center"/>
              <w:rPr>
                <w:rStyle w:val="318"/>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5F104">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打印速度：≥25ppm；</w:t>
            </w:r>
          </w:p>
          <w:p w14:paraId="6307109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首页打印时间：≤8s；</w:t>
            </w:r>
          </w:p>
          <w:p w14:paraId="16E08BDB">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分辨率：≥600×1200dpi；</w:t>
            </w:r>
          </w:p>
          <w:p w14:paraId="271979EA">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标准纸盒装纸容量：≥</w:t>
            </w:r>
            <w:r>
              <w:rPr>
                <w:rFonts w:hint="eastAsia" w:ascii="宋体" w:hAnsi="宋体" w:eastAsia="宋体" w:cs="宋体"/>
                <w:i w:val="0"/>
                <w:iCs w:val="0"/>
                <w:color w:val="auto"/>
                <w:sz w:val="21"/>
                <w:szCs w:val="21"/>
                <w:highlight w:val="none"/>
                <w:u w:val="none"/>
                <w:lang w:val="en-US" w:eastAsia="zh-CN"/>
              </w:rPr>
              <w:fldChar w:fldCharType="begin"/>
            </w:r>
            <w:r>
              <w:rPr>
                <w:rFonts w:hint="eastAsia" w:ascii="宋体" w:hAnsi="宋体" w:eastAsia="宋体" w:cs="宋体"/>
                <w:i w:val="0"/>
                <w:iCs w:val="0"/>
                <w:color w:val="auto"/>
                <w:sz w:val="21"/>
                <w:szCs w:val="21"/>
                <w:highlight w:val="none"/>
                <w:u w:val="none"/>
                <w:lang w:val="en-US" w:eastAsia="zh-CN"/>
              </w:rPr>
              <w:instrText xml:space="preserve"> HYPERLINK "mailto:≥0.1LUX@F1.2；" </w:instrText>
            </w:r>
            <w:r>
              <w:rPr>
                <w:rFonts w:hint="eastAsia" w:ascii="宋体" w:hAnsi="宋体" w:eastAsia="宋体" w:cs="宋体"/>
                <w:i w:val="0"/>
                <w:iCs w:val="0"/>
                <w:color w:val="auto"/>
                <w:sz w:val="21"/>
                <w:szCs w:val="21"/>
                <w:highlight w:val="none"/>
                <w:u w:val="none"/>
                <w:lang w:val="en-US" w:eastAsia="zh-CN"/>
              </w:rPr>
              <w:fldChar w:fldCharType="separate"/>
            </w:r>
            <w:r>
              <w:rPr>
                <w:rFonts w:hint="eastAsia" w:ascii="宋体" w:hAnsi="宋体" w:eastAsia="宋体" w:cs="宋体"/>
                <w:i w:val="0"/>
                <w:iCs w:val="0"/>
                <w:color w:val="auto"/>
                <w:sz w:val="21"/>
                <w:szCs w:val="21"/>
                <w:highlight w:val="none"/>
                <w:u w:val="none"/>
                <w:lang w:val="en-US" w:eastAsia="zh-CN"/>
              </w:rPr>
              <w:t>250页；</w:t>
            </w:r>
            <w:r>
              <w:rPr>
                <w:rFonts w:hint="eastAsia" w:ascii="宋体" w:hAnsi="宋体" w:eastAsia="宋体" w:cs="宋体"/>
                <w:i w:val="0"/>
                <w:iCs w:val="0"/>
                <w:color w:val="auto"/>
                <w:sz w:val="21"/>
                <w:szCs w:val="21"/>
                <w:highlight w:val="none"/>
                <w:u w:val="none"/>
                <w:lang w:val="en-US" w:eastAsia="zh-CN"/>
              </w:rPr>
              <w:fldChar w:fldCharType="end"/>
            </w:r>
          </w:p>
          <w:p w14:paraId="7C6E05D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可扩展装纸容量：≥500页；支持windows、麒麟、统信</w:t>
            </w:r>
          </w:p>
          <w:p w14:paraId="5DDEC636">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color w:val="auto"/>
                <w:highlight w:val="none"/>
                <w:lang w:val="en-US" w:eastAsia="zh-CN"/>
              </w:rPr>
            </w:pPr>
            <w:r>
              <w:rPr>
                <w:rFonts w:hint="eastAsia" w:ascii="宋体" w:hAnsi="宋体" w:eastAsia="宋体" w:cs="宋体"/>
                <w:i w:val="0"/>
                <w:iCs w:val="0"/>
                <w:color w:val="auto"/>
                <w:sz w:val="21"/>
                <w:szCs w:val="21"/>
                <w:highlight w:val="none"/>
                <w:u w:val="none"/>
                <w:lang w:val="en-US" w:eastAsia="zh-CN"/>
              </w:rPr>
              <w:t>电源：AC220-240V，50/60Hz；USB和RJ46以太网通讯接口。</w:t>
            </w:r>
          </w:p>
        </w:tc>
      </w:tr>
      <w:tr w14:paraId="0F87B37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C467F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F5669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9147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1430E">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人体靠近感应器</w:t>
            </w:r>
          </w:p>
        </w:tc>
      </w:tr>
      <w:tr w14:paraId="7624EC2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25CAC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9690D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话筒</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EE9B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自动收线电话机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D20C4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top"/>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1.</w:t>
            </w:r>
            <w:r>
              <w:rPr>
                <w:rStyle w:val="313"/>
                <w:rFonts w:hint="eastAsia" w:ascii="宋体" w:hAnsi="宋体" w:eastAsia="宋体" w:cs="宋体"/>
                <w:color w:val="auto"/>
                <w:sz w:val="21"/>
                <w:szCs w:val="21"/>
                <w:highlight w:val="none"/>
                <w:lang w:val="en-US" w:eastAsia="zh-CN" w:bidi="ar"/>
              </w:rPr>
              <w:t>核心功能：自动拨号功能，线缆卡位锁止，自动回收功能等；</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2.</w:t>
            </w:r>
            <w:r>
              <w:rPr>
                <w:rStyle w:val="313"/>
                <w:rFonts w:hint="eastAsia" w:ascii="宋体" w:hAnsi="宋体" w:eastAsia="宋体" w:cs="宋体"/>
                <w:color w:val="auto"/>
                <w:sz w:val="21"/>
                <w:szCs w:val="21"/>
                <w:highlight w:val="none"/>
                <w:lang w:val="en-US" w:eastAsia="zh-CN" w:bidi="ar"/>
              </w:rPr>
              <w:t>防爆功能：使用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材料及钣金结构，机器本身防爆碎，设备内没有漏电打火装置，使用该机器在易燃气体中通话防爆；</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防暴功能：产品外部结构采用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材料，话筒连接线使用不锈钢耐拉线管包裹，接头处结构卡死，具有防止拉扯、暴利破坏功能；</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4.</w:t>
            </w:r>
            <w:r>
              <w:rPr>
                <w:rStyle w:val="313"/>
                <w:rFonts w:hint="eastAsia" w:ascii="宋体" w:hAnsi="宋体" w:eastAsia="宋体" w:cs="宋体"/>
                <w:color w:val="auto"/>
                <w:sz w:val="21"/>
                <w:szCs w:val="21"/>
                <w:highlight w:val="none"/>
                <w:lang w:val="en-US" w:eastAsia="zh-CN" w:bidi="ar"/>
              </w:rPr>
              <w:t>自动收线功能：使用后连接线自动回卷，便于设备整体外形设计，且安全性高；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5.</w:t>
            </w:r>
            <w:r>
              <w:rPr>
                <w:rStyle w:val="313"/>
                <w:rFonts w:hint="eastAsia" w:ascii="宋体" w:hAnsi="宋体" w:eastAsia="宋体" w:cs="宋体"/>
                <w:color w:val="auto"/>
                <w:sz w:val="21"/>
                <w:szCs w:val="21"/>
                <w:highlight w:val="none"/>
                <w:lang w:val="en-US" w:eastAsia="zh-CN" w:bidi="ar"/>
              </w:rPr>
              <w:t>自动拨号功能：</w:t>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秒内不拨号，自动拨打预设号码（号码可依照客户要求更），挂断电话后，电话可感应自动挂断，同时自动锁键盘，同时可通过设定显示通话时间；</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6.</w:t>
            </w:r>
            <w:r>
              <w:rPr>
                <w:rStyle w:val="313"/>
                <w:rFonts w:hint="eastAsia" w:ascii="宋体" w:hAnsi="宋体" w:eastAsia="宋体" w:cs="宋体"/>
                <w:color w:val="auto"/>
                <w:sz w:val="21"/>
                <w:szCs w:val="21"/>
                <w:highlight w:val="none"/>
                <w:lang w:val="en-US" w:eastAsia="zh-CN" w:bidi="ar"/>
              </w:rPr>
              <w:t>锁止功能（可选择取消）：具有多段位锁止功能，听筒拉出后，可在不同长度锁止，不会马上回收，用户使用时不会有拉扯感，使用后拉出一段即可正常回卷；</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7.</w:t>
            </w:r>
            <w:r>
              <w:rPr>
                <w:rStyle w:val="313"/>
                <w:rFonts w:hint="eastAsia" w:ascii="宋体" w:hAnsi="宋体" w:eastAsia="宋体" w:cs="宋体"/>
                <w:color w:val="auto"/>
                <w:sz w:val="21"/>
                <w:szCs w:val="21"/>
                <w:highlight w:val="none"/>
                <w:lang w:val="en-US" w:eastAsia="zh-CN" w:bidi="ar"/>
              </w:rPr>
              <w:t>挂断感应功能：听筒归位后有信号反馈，实现感应挂断，不需要一般电话机的挂断键，同时可满足挂机后自动锁键盘；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8.</w:t>
            </w:r>
            <w:r>
              <w:rPr>
                <w:rStyle w:val="313"/>
                <w:rFonts w:hint="eastAsia" w:ascii="宋体" w:hAnsi="宋体" w:eastAsia="宋体" w:cs="宋体"/>
                <w:color w:val="auto"/>
                <w:sz w:val="21"/>
                <w:szCs w:val="21"/>
                <w:highlight w:val="none"/>
                <w:lang w:val="en-US" w:eastAsia="zh-CN" w:bidi="ar"/>
              </w:rPr>
              <w:t>引导归位功能：话筒与基座存在磁力联系，连接线回卷后话筒会自动归位，合适的磁力，且仅达到引导归位要求，不会增加用户拿起后阻力；</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9.</w:t>
            </w:r>
            <w:r>
              <w:rPr>
                <w:rStyle w:val="313"/>
                <w:rFonts w:hint="eastAsia" w:ascii="宋体" w:hAnsi="宋体" w:eastAsia="宋体" w:cs="宋体"/>
                <w:color w:val="auto"/>
                <w:sz w:val="21"/>
                <w:szCs w:val="21"/>
                <w:highlight w:val="none"/>
                <w:lang w:val="en-US" w:eastAsia="zh-CN" w:bidi="ar"/>
              </w:rPr>
              <w:t>防水功能：听筒具有一定防水能力，将听筒组分别在垂直方向，双侧面</w:t>
            </w:r>
            <w:r>
              <w:rPr>
                <w:rStyle w:val="328"/>
                <w:rFonts w:hint="eastAsia" w:ascii="宋体" w:hAnsi="宋体" w:eastAsia="宋体" w:cs="宋体"/>
                <w:color w:val="auto"/>
                <w:sz w:val="21"/>
                <w:szCs w:val="21"/>
                <w:highlight w:val="none"/>
                <w:lang w:val="en-US" w:eastAsia="zh-CN" w:bidi="ar"/>
              </w:rPr>
              <w:t xml:space="preserve"> 45 </w:t>
            </w:r>
            <w:r>
              <w:rPr>
                <w:rStyle w:val="313"/>
                <w:rFonts w:hint="eastAsia" w:ascii="宋体" w:hAnsi="宋体" w:eastAsia="宋体" w:cs="宋体"/>
                <w:color w:val="auto"/>
                <w:sz w:val="21"/>
                <w:szCs w:val="21"/>
                <w:highlight w:val="none"/>
                <w:lang w:val="en-US" w:eastAsia="zh-CN" w:bidi="ar"/>
              </w:rPr>
              <w:t>度方向，各试验</w:t>
            </w:r>
            <w:r>
              <w:rPr>
                <w:rStyle w:val="328"/>
                <w:rFonts w:hint="eastAsia" w:ascii="宋体" w:hAnsi="宋体" w:eastAsia="宋体" w:cs="宋体"/>
                <w:color w:val="auto"/>
                <w:sz w:val="21"/>
                <w:szCs w:val="21"/>
                <w:highlight w:val="none"/>
                <w:lang w:val="en-US" w:eastAsia="zh-CN" w:bidi="ar"/>
              </w:rPr>
              <w:t xml:space="preserve"> 3min</w:t>
            </w:r>
            <w:r>
              <w:rPr>
                <w:rStyle w:val="313"/>
                <w:rFonts w:hint="eastAsia" w:ascii="宋体" w:hAnsi="宋体" w:eastAsia="宋体" w:cs="宋体"/>
                <w:color w:val="auto"/>
                <w:sz w:val="21"/>
                <w:szCs w:val="21"/>
                <w:highlight w:val="none"/>
                <w:lang w:val="en-US" w:eastAsia="zh-CN" w:bidi="ar"/>
              </w:rPr>
              <w:t>，降水量为</w:t>
            </w:r>
            <w:r>
              <w:rPr>
                <w:rStyle w:val="328"/>
                <w:rFonts w:hint="eastAsia" w:ascii="宋体" w:hAnsi="宋体" w:eastAsia="宋体" w:cs="宋体"/>
                <w:color w:val="auto"/>
                <w:sz w:val="21"/>
                <w:szCs w:val="21"/>
                <w:highlight w:val="none"/>
                <w:lang w:val="en-US" w:eastAsia="zh-CN" w:bidi="ar"/>
              </w:rPr>
              <w:t xml:space="preserve"> 100L/m2 </w:t>
            </w:r>
            <w:r>
              <w:rPr>
                <w:rStyle w:val="313"/>
                <w:rFonts w:hint="eastAsia" w:ascii="宋体" w:hAnsi="宋体" w:eastAsia="宋体" w:cs="宋体"/>
                <w:color w:val="auto"/>
                <w:sz w:val="21"/>
                <w:szCs w:val="21"/>
                <w:highlight w:val="none"/>
                <w:lang w:val="en-US" w:eastAsia="zh-CN" w:bidi="ar"/>
              </w:rPr>
              <w:t>的环境下进行测试，完成后自然环境下放置</w:t>
            </w:r>
            <w:r>
              <w:rPr>
                <w:rStyle w:val="328"/>
                <w:rFonts w:hint="eastAsia" w:ascii="宋体" w:hAnsi="宋体" w:eastAsia="宋体" w:cs="宋体"/>
                <w:color w:val="auto"/>
                <w:sz w:val="21"/>
                <w:szCs w:val="21"/>
                <w:highlight w:val="none"/>
                <w:lang w:val="en-US" w:eastAsia="zh-CN" w:bidi="ar"/>
              </w:rPr>
              <w:t xml:space="preserve"> 30min</w:t>
            </w:r>
            <w:r>
              <w:rPr>
                <w:rStyle w:val="313"/>
                <w:rFonts w:hint="eastAsia" w:ascii="宋体" w:hAnsi="宋体" w:eastAsia="宋体" w:cs="宋体"/>
                <w:color w:val="auto"/>
                <w:sz w:val="21"/>
                <w:szCs w:val="21"/>
                <w:highlight w:val="none"/>
                <w:lang w:val="en-US" w:eastAsia="zh-CN" w:bidi="ar"/>
              </w:rPr>
              <w:t>，可正常使用；（若整机外部结构需达到一定防水要求，需提前告知，需在线孔处增加防水护套）</w:t>
            </w:r>
            <w:r>
              <w:rPr>
                <w:rStyle w:val="313"/>
                <w:rFonts w:hint="eastAsia" w:ascii="宋体" w:hAnsi="宋体" w:cs="宋体"/>
                <w:color w:val="auto"/>
                <w:sz w:val="21"/>
                <w:szCs w:val="21"/>
                <w:highlight w:val="none"/>
                <w:lang w:val="en-US" w:eastAsia="zh-CN" w:bidi="ar"/>
              </w:rPr>
              <w:t>；</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 xml:space="preserve">10. </w:t>
            </w:r>
            <w:r>
              <w:rPr>
                <w:rStyle w:val="313"/>
                <w:rFonts w:hint="eastAsia" w:ascii="宋体" w:hAnsi="宋体" w:eastAsia="宋体" w:cs="宋体"/>
                <w:color w:val="auto"/>
                <w:sz w:val="21"/>
                <w:szCs w:val="21"/>
                <w:highlight w:val="none"/>
                <w:lang w:val="en-US" w:eastAsia="zh-CN" w:bidi="ar"/>
              </w:rPr>
              <w:t>防腐蚀性能：产品采用</w:t>
            </w:r>
            <w:r>
              <w:rPr>
                <w:rStyle w:val="328"/>
                <w:rFonts w:hint="eastAsia" w:ascii="宋体" w:hAnsi="宋体" w:eastAsia="宋体" w:cs="宋体"/>
                <w:color w:val="auto"/>
                <w:sz w:val="21"/>
                <w:szCs w:val="21"/>
                <w:highlight w:val="none"/>
                <w:lang w:val="en-US" w:eastAsia="zh-CN" w:bidi="ar"/>
              </w:rPr>
              <w:t xml:space="preserve"> ABS </w:t>
            </w:r>
            <w:r>
              <w:rPr>
                <w:rStyle w:val="313"/>
                <w:rFonts w:hint="eastAsia" w:ascii="宋体" w:hAnsi="宋体" w:eastAsia="宋体" w:cs="宋体"/>
                <w:color w:val="auto"/>
                <w:sz w:val="21"/>
                <w:szCs w:val="21"/>
                <w:highlight w:val="none"/>
                <w:lang w:val="en-US" w:eastAsia="zh-CN" w:bidi="ar"/>
              </w:rPr>
              <w:t>材料及电解板工艺加工，整体具备优秀的防腐蚀性能，在中性盐雾试验</w:t>
            </w:r>
            <w:r>
              <w:rPr>
                <w:rStyle w:val="328"/>
                <w:rFonts w:hint="eastAsia" w:ascii="宋体" w:hAnsi="宋体" w:eastAsia="宋体" w:cs="宋体"/>
                <w:color w:val="auto"/>
                <w:sz w:val="21"/>
                <w:szCs w:val="21"/>
                <w:highlight w:val="none"/>
                <w:lang w:val="en-US" w:eastAsia="zh-CN" w:bidi="ar"/>
              </w:rPr>
              <w:t xml:space="preserve">(NSS </w:t>
            </w:r>
            <w:r>
              <w:rPr>
                <w:rStyle w:val="313"/>
                <w:rFonts w:hint="eastAsia" w:ascii="宋体" w:hAnsi="宋体" w:eastAsia="宋体" w:cs="宋体"/>
                <w:color w:val="auto"/>
                <w:sz w:val="21"/>
                <w:szCs w:val="21"/>
                <w:highlight w:val="none"/>
                <w:lang w:val="en-US" w:eastAsia="zh-CN" w:bidi="ar"/>
              </w:rPr>
              <w:t>试验</w:t>
            </w:r>
            <w:r>
              <w:rPr>
                <w:rStyle w:val="328"/>
                <w:rFonts w:hint="eastAsia" w:ascii="宋体" w:hAnsi="宋体" w:eastAsia="宋体" w:cs="宋体"/>
                <w:color w:val="auto"/>
                <w:sz w:val="21"/>
                <w:szCs w:val="21"/>
                <w:highlight w:val="none"/>
                <w:lang w:val="en-US" w:eastAsia="zh-CN" w:bidi="ar"/>
              </w:rPr>
              <w:t>)</w:t>
            </w:r>
            <w:r>
              <w:rPr>
                <w:rStyle w:val="313"/>
                <w:rFonts w:hint="eastAsia" w:ascii="宋体" w:hAnsi="宋体" w:eastAsia="宋体" w:cs="宋体"/>
                <w:color w:val="auto"/>
                <w:sz w:val="21"/>
                <w:szCs w:val="21"/>
                <w:highlight w:val="none"/>
                <w:lang w:val="en-US" w:eastAsia="zh-CN" w:bidi="ar"/>
              </w:rPr>
              <w:t>环境下，可通过</w:t>
            </w:r>
            <w:r>
              <w:rPr>
                <w:rStyle w:val="328"/>
                <w:rFonts w:hint="eastAsia" w:ascii="宋体" w:hAnsi="宋体" w:eastAsia="宋体" w:cs="宋体"/>
                <w:color w:val="auto"/>
                <w:sz w:val="21"/>
                <w:szCs w:val="21"/>
                <w:highlight w:val="none"/>
                <w:lang w:val="en-US" w:eastAsia="zh-CN" w:bidi="ar"/>
              </w:rPr>
              <w:t xml:space="preserve"> 72 </w:t>
            </w:r>
            <w:r>
              <w:rPr>
                <w:rStyle w:val="313"/>
                <w:rFonts w:hint="eastAsia" w:ascii="宋体" w:hAnsi="宋体" w:eastAsia="宋体" w:cs="宋体"/>
                <w:color w:val="auto"/>
                <w:sz w:val="21"/>
                <w:szCs w:val="21"/>
                <w:highlight w:val="none"/>
                <w:lang w:val="en-US" w:eastAsia="zh-CN" w:bidi="ar"/>
              </w:rPr>
              <w:t>小时测试，切口面有锈迹，但不会影响整体使用</w:t>
            </w:r>
            <w:r>
              <w:rPr>
                <w:rStyle w:val="313"/>
                <w:rFonts w:hint="eastAsia" w:ascii="宋体" w:hAnsi="宋体" w:cs="宋体"/>
                <w:color w:val="auto"/>
                <w:sz w:val="21"/>
                <w:szCs w:val="21"/>
                <w:highlight w:val="none"/>
                <w:lang w:val="en-US" w:eastAsia="zh-CN" w:bidi="ar"/>
              </w:rPr>
              <w:t>；</w:t>
            </w:r>
          </w:p>
        </w:tc>
      </w:tr>
      <w:tr w14:paraId="557F8FA1">
        <w:tblPrEx>
          <w:shd w:val="clear" w:color="auto" w:fill="auto"/>
          <w:tblCellMar>
            <w:top w:w="0" w:type="dxa"/>
            <w:left w:w="108" w:type="dxa"/>
            <w:bottom w:w="0" w:type="dxa"/>
            <w:right w:w="108" w:type="dxa"/>
          </w:tblCellMar>
        </w:tblPrEx>
        <w:trPr>
          <w:trHeight w:val="59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BFE4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shd w:val="clear" w:color="FFFFFF" w:fill="D9D9D9"/>
                <w:lang w:val="en-US" w:eastAsia="zh-CN"/>
              </w:rPr>
              <w:t>硬件产品四：</w:t>
            </w: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rPr>
              <w:t>住院多功能自助机</w:t>
            </w:r>
            <w:r>
              <w:rPr>
                <w:rFonts w:hint="eastAsia" w:ascii="宋体" w:hAnsi="宋体" w:eastAsia="宋体" w:cs="宋体"/>
                <w:b/>
                <w:bCs/>
                <w:color w:val="auto"/>
                <w:sz w:val="21"/>
                <w:szCs w:val="21"/>
                <w:highlight w:val="green"/>
                <w:shd w:val="clear" w:color="FFFFFF" w:fill="D9D9D9"/>
              </w:rPr>
              <w:t>III</w:t>
            </w:r>
            <w:r>
              <w:rPr>
                <w:rFonts w:hint="eastAsia" w:ascii="宋体" w:hAnsi="宋体" w:cs="宋体"/>
                <w:b/>
                <w:bCs/>
                <w:color w:val="auto"/>
                <w:sz w:val="21"/>
                <w:szCs w:val="21"/>
                <w:highlight w:val="none"/>
                <w:shd w:val="clear" w:color="FFFFFF" w:fill="D9D9D9"/>
                <w:lang w:eastAsia="zh-CN"/>
              </w:rPr>
              <w:t>（</w:t>
            </w:r>
            <w:r>
              <w:rPr>
                <w:rFonts w:hint="eastAsia" w:ascii="宋体" w:hAnsi="宋体" w:cs="宋体"/>
                <w:b/>
                <w:bCs/>
                <w:color w:val="auto"/>
                <w:sz w:val="21"/>
                <w:szCs w:val="21"/>
                <w:highlight w:val="none"/>
                <w:shd w:val="clear" w:color="FFFFFF" w:fill="D9D9D9"/>
                <w:lang w:val="en-US" w:eastAsia="zh-CN"/>
              </w:rPr>
              <w:t>包含增加要求</w:t>
            </w:r>
            <w:r>
              <w:rPr>
                <w:rFonts w:hint="eastAsia" w:ascii="宋体" w:hAnsi="宋体" w:cs="宋体"/>
                <w:b/>
                <w:bCs/>
                <w:color w:val="auto"/>
                <w:sz w:val="21"/>
                <w:szCs w:val="21"/>
                <w:highlight w:val="none"/>
                <w:shd w:val="clear" w:color="FFFFFF" w:fill="D9D9D9"/>
                <w:lang w:eastAsia="zh-CN"/>
              </w:rPr>
              <w:t>）</w:t>
            </w:r>
          </w:p>
        </w:tc>
      </w:tr>
      <w:tr w14:paraId="0B4BD00C">
        <w:tblPrEx>
          <w:tblCellMar>
            <w:top w:w="0" w:type="dxa"/>
            <w:left w:w="108" w:type="dxa"/>
            <w:bottom w:w="0" w:type="dxa"/>
            <w:right w:w="108" w:type="dxa"/>
          </w:tblCellMar>
        </w:tblPrEx>
        <w:trPr>
          <w:trHeight w:val="36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73FC2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D238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85CC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AC1C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1597C15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3B6E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A15B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59D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3E42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宽度&lt;750mm；高度&lt;1800mm</w:t>
            </w:r>
          </w:p>
        </w:tc>
      </w:tr>
      <w:tr w14:paraId="0887222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25E76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D6F1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35E0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628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1B213B9">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C6F28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517D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A80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E38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3890972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57315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94D8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C79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CE06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rPr>
              <w:t xml:space="preserve">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670172B8">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A09B4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D8D1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D342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D429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0638DB58">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A25E8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5973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6E2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5C96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2D5E160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22B0D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CF611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1A4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7707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≥500GSSD固态硬盘</w:t>
            </w:r>
          </w:p>
        </w:tc>
      </w:tr>
      <w:tr w14:paraId="22D93B6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4857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5CC5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FF5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49D5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4DDB213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A90A4D">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6E0E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F2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D68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0B6F68B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CB02E0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BBB00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3DE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7391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32CC62B4">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FE457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0384A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7DAD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753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22A6ECAC">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353DF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BCEC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B32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E97B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43E6FFEA">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9F76C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4C13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979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122F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720D7C1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11F49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B8AB1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461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B2C0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529400E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9EB7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9FC0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D35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D4C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▲提供工控主机（微型电脑）</w:t>
            </w:r>
            <w:r>
              <w:rPr>
                <w:rFonts w:hint="eastAsia" w:ascii="宋体" w:hAnsi="宋体" w:eastAsia="宋体" w:cs="宋体"/>
                <w:b/>
                <w:bCs/>
                <w:color w:val="auto"/>
                <w:sz w:val="21"/>
                <w:szCs w:val="21"/>
                <w:highlight w:val="green"/>
                <w:shd w:val="clear"/>
              </w:rPr>
              <w:t>或相应多功能自助机整机</w:t>
            </w:r>
            <w:r>
              <w:rPr>
                <w:rFonts w:hint="eastAsia" w:ascii="宋体" w:hAnsi="宋体" w:eastAsia="宋体" w:cs="宋体"/>
                <w:b/>
                <w:bCs/>
                <w:color w:val="auto"/>
                <w:sz w:val="21"/>
                <w:szCs w:val="21"/>
                <w:highlight w:val="none"/>
              </w:rPr>
              <w:t>3C认证书，并提供投标机型第三方检测报告（含CMA标志），且报告标注投标人声明的工控主机型号</w:t>
            </w:r>
          </w:p>
        </w:tc>
      </w:tr>
      <w:tr w14:paraId="4DE173B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994B6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6E00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59E4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D532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6E91B82A">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2BC1A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95F4B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4454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FB63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47B995D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0E48B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A152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EC94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E98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2A52BC9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4C149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5C6F6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ED05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B1CB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5F5CC21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84E14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8E0D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F810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9445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DBD732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E2A0B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BADC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7F2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E883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rPr>
              <w:t>1920*1080@60Hz</w:t>
            </w:r>
          </w:p>
        </w:tc>
      </w:tr>
      <w:tr w14:paraId="76996FA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FE569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0DB6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EDD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F579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5DDCFAB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EB91A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23C7E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FE1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055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2B9CC85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15E86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2D4C7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4BD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0C9F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2B909A3C">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0660C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C3C43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E64B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8936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56A45DD5">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628C2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B7D30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EABE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3F2B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6FF499E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5F6A3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61FE5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E745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D0D0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取得《中国公共安全产品认证证书》提供证书。</w:t>
            </w:r>
          </w:p>
        </w:tc>
      </w:tr>
      <w:tr w14:paraId="614560E7">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824EE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EC93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39C5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FC50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74B5C73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BAD35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2120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C71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AB14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30B0463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0C655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A134C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1CF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CBA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065E064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9020F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EFF5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157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8F8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163866F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B0F7D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4D9F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2EC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2D5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32386858">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5FCC1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3B37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299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3B5A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4C393C5B">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51CB8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093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856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4FBE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577DA2B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E1BDE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4C23F5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862F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EBC6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1C1B95C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61BD8F6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36A96B40">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4D4CCA6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51CA70C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18A7B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3AB015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979C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4C5F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0978523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2271DA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41E14395">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0582D9D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0D8CECF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1768531E">
        <w:tblPrEx>
          <w:tblCellMar>
            <w:top w:w="0" w:type="dxa"/>
            <w:left w:w="108" w:type="dxa"/>
            <w:bottom w:w="0" w:type="dxa"/>
            <w:right w:w="108" w:type="dxa"/>
          </w:tblCellMar>
        </w:tblPrEx>
        <w:trPr>
          <w:trHeight w:val="686"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06576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DCB6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DE0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C6C1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331BC63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67E8B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B9AF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6104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7E7F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5A407A9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5DDA5E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5E2A53B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0A54831A">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723EF9B3">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66951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BD73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C40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6EA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122ADF4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210FD9A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43CD796A">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EC746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A548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345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FE3A4">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3F83116F">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35F0036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2FA9512B">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5DFC456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BF2BF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F8CC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A9D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2C174">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w:t>
            </w:r>
          </w:p>
          <w:p w14:paraId="587CB8E4">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平均功耗：小于2瓦；深度图分辨率：1280*800@7FPS 640*400@30FPS；</w:t>
            </w:r>
          </w:p>
          <w:p w14:paraId="66425A2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彩色图分辨率：1280*960@7FPS 640*480@30FPS 320/240@30FPS；深度FOV：H67.9°V45.5°</w:t>
            </w:r>
          </w:p>
          <w:p w14:paraId="4FFD993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61A62AF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005D4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B3879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E36D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33E3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0377112E">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F7D91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48AE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腕带模块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0C81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72A9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203EB25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D11F2A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31E5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5D5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0DF6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不低于152mm/s（max）</w:t>
            </w:r>
          </w:p>
        </w:tc>
      </w:tr>
      <w:tr w14:paraId="16F38E4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49834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21200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AB20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BF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打印宽度：20mm-56mm、腕带最大直径：127mm、腕带厚度:0.08~0.3mm</w:t>
            </w:r>
          </w:p>
        </w:tc>
      </w:tr>
      <w:tr w14:paraId="606D0B3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E1879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A3A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06F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88B7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w:t>
            </w:r>
          </w:p>
        </w:tc>
      </w:tr>
      <w:tr w14:paraId="0F6D0AD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1EFAB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A0977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7EC5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条形码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A8E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一维码、二维码</w:t>
            </w:r>
          </w:p>
        </w:tc>
      </w:tr>
      <w:tr w14:paraId="5201C56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9D0A0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BA2C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C6B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切纸功能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CB35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提供自动切刀模块，实现自动切纸功能。</w:t>
            </w:r>
          </w:p>
        </w:tc>
      </w:tr>
      <w:tr w14:paraId="1C82F01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34480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7C928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C01B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1643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4033FABF">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EC530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0AC089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0DAA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E665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容量：≥200W，输入≥AC200～240V，DC输出≥5V/2A-4A、12V/5A-10A、24V/5A-9A，AC输出200～240V。</w:t>
            </w:r>
          </w:p>
        </w:tc>
      </w:tr>
      <w:tr w14:paraId="29B437F7">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E0622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3B56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5BBD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8EB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03F956C5">
        <w:tblPrEx>
          <w:tblCellMar>
            <w:top w:w="0" w:type="dxa"/>
            <w:left w:w="108" w:type="dxa"/>
            <w:bottom w:w="0" w:type="dxa"/>
            <w:right w:w="108" w:type="dxa"/>
          </w:tblCellMar>
        </w:tblPrEx>
        <w:trPr>
          <w:trHeight w:val="38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CC660">
            <w:pPr>
              <w:keepNext w:val="0"/>
              <w:keepLines w:val="0"/>
              <w:pageBreakBefore w:val="0"/>
              <w:kinsoku/>
              <w:wordWrap/>
              <w:overflowPunct/>
              <w:topLinePunct w:val="0"/>
              <w:autoSpaceDE/>
              <w:autoSpaceDN/>
              <w:bidi w:val="0"/>
              <w:adjustRightInd w:val="0"/>
              <w:snapToGrid w:val="0"/>
              <w:spacing w:line="360" w:lineRule="exact"/>
              <w:ind w:left="0" w:firstLine="2951" w:firstLineChars="14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val="en-US" w:eastAsia="zh-CN"/>
              </w:rPr>
              <w:t>增加要求</w:t>
            </w:r>
          </w:p>
        </w:tc>
      </w:tr>
      <w:tr w14:paraId="6404215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FA856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A2E66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60F9B">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银联卡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CF53F">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shd w:val="clear" w:color="auto"/>
              </w:rPr>
              <w:t>支持银联卡识读，符合标准PBOC3.0L1标准</w:t>
            </w:r>
          </w:p>
        </w:tc>
      </w:tr>
      <w:tr w14:paraId="371423F5">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B22ED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7286231A">
            <w:pPr>
              <w:keepNext w:val="0"/>
              <w:keepLines w:val="0"/>
              <w:pageBreakBefore w:val="0"/>
              <w:tabs>
                <w:tab w:val="left" w:pos="296"/>
              </w:tabs>
              <w:kinsoku/>
              <w:wordWrap/>
              <w:overflowPunct/>
              <w:topLinePunct w:val="0"/>
              <w:autoSpaceDE/>
              <w:autoSpaceDN/>
              <w:bidi w:val="0"/>
              <w:adjustRightInd w:val="0"/>
              <w:snapToGrid w:val="0"/>
              <w:spacing w:line="360" w:lineRule="exact"/>
              <w:ind w:left="0"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现金</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1E774">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鉴别纸币宽度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0C3B0">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62-78mm，多宽度</w:t>
            </w:r>
          </w:p>
        </w:tc>
      </w:tr>
      <w:tr w14:paraId="5A2ED62B">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F749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B0795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F4CB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纸币方向</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2D7C4">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四向</w:t>
            </w:r>
          </w:p>
        </w:tc>
      </w:tr>
      <w:tr w14:paraId="0145673B">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56C3F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605BBB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3EA2E">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B76CE">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≥96%</w:t>
            </w:r>
          </w:p>
        </w:tc>
      </w:tr>
      <w:tr w14:paraId="215E7A6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36DD1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59670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94241">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纸币暂存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BB1BC">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一张</w:t>
            </w:r>
          </w:p>
        </w:tc>
      </w:tr>
      <w:tr w14:paraId="5E7975C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FC41D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E0A4A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C6BAE">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传感器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CF59">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自动校准的多光谱介质传感器；安全传感器：交叉通道防抽纸</w:t>
            </w:r>
          </w:p>
        </w:tc>
      </w:tr>
      <w:tr w14:paraId="0F5105C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CF380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99D8C6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83C7">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协议</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F132B">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CCnet、串口（TTL或RS232）、MDB、脉冲</w:t>
            </w:r>
          </w:p>
        </w:tc>
      </w:tr>
      <w:tr w14:paraId="098FF6F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F5168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C86C98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0BE4C">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操作电压</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B5956">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12V或24V</w:t>
            </w:r>
          </w:p>
        </w:tc>
      </w:tr>
      <w:tr w14:paraId="7028A07B">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B4F92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DB6A6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2F069">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钞箱容量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5129D">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≥1000张</w:t>
            </w:r>
          </w:p>
        </w:tc>
      </w:tr>
      <w:tr w14:paraId="7A11D54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713DF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4A957D8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F65D6">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安全锁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09DCF">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≥2个客户锁</w:t>
            </w:r>
          </w:p>
        </w:tc>
      </w:tr>
      <w:tr w14:paraId="4C87B34A">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A1443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9005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监控</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7B3B8">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硬盘录像机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7788E">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四路硬盘录像机（≥1T硬盘）+2路针孔摄像头</w:t>
            </w:r>
          </w:p>
        </w:tc>
      </w:tr>
      <w:tr w14:paraId="7A31D05E">
        <w:tblPrEx>
          <w:tblCellMar>
            <w:top w:w="0" w:type="dxa"/>
            <w:left w:w="108" w:type="dxa"/>
            <w:bottom w:w="0" w:type="dxa"/>
            <w:right w:w="108" w:type="dxa"/>
          </w:tblCellMar>
        </w:tblPrEx>
        <w:trPr>
          <w:trHeight w:val="610" w:hRule="atLeast"/>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14:paraId="7A522B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硬件产品五：</w:t>
            </w:r>
            <w:r>
              <w:rPr>
                <w:rFonts w:hint="eastAsia" w:ascii="宋体" w:hAnsi="宋体" w:eastAsia="宋体" w:cs="宋体"/>
                <w:b/>
                <w:bCs/>
                <w:color w:val="auto"/>
                <w:sz w:val="21"/>
                <w:szCs w:val="21"/>
                <w:highlight w:val="none"/>
                <w:shd w:val="clear" w:color="FFFFFF" w:fill="D9D9D9"/>
                <w:lang w:val="en-US" w:eastAsia="zh-CN"/>
              </w:rPr>
              <w:t>移动</w:t>
            </w:r>
            <w:r>
              <w:rPr>
                <w:rFonts w:hint="eastAsia" w:ascii="宋体" w:hAnsi="宋体" w:eastAsia="宋体" w:cs="宋体"/>
                <w:b/>
                <w:bCs/>
                <w:color w:val="auto"/>
                <w:sz w:val="21"/>
                <w:szCs w:val="21"/>
                <w:highlight w:val="none"/>
                <w:shd w:val="clear" w:color="FFFFFF" w:fill="D9D9D9"/>
              </w:rPr>
              <w:t>结算终端</w:t>
            </w:r>
          </w:p>
        </w:tc>
      </w:tr>
      <w:tr w14:paraId="26A1390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E095F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FC29A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模块要求</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7AE0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p w14:paraId="1BA83F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408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≥8核A55（4x1.6GHz+4x1.2GHZ）</w:t>
            </w:r>
          </w:p>
        </w:tc>
      </w:tr>
      <w:tr w14:paraId="67EC708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08413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937F8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DF1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3BCB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≥64GB ROM+≥2GB RAM</w:t>
            </w:r>
          </w:p>
        </w:tc>
      </w:tr>
      <w:tr w14:paraId="7D8C609B">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2CDFF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D7D2F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163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接入网络</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9875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医保要求4G/5G VPDN接入方式；通信方式：LTE/UMTS/GSM</w:t>
            </w:r>
          </w:p>
        </w:tc>
      </w:tr>
      <w:tr w14:paraId="798FA028">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702AF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63E5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296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25C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Android</w:t>
            </w:r>
          </w:p>
        </w:tc>
      </w:tr>
      <w:tr w14:paraId="0853E2A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DBF47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E9A95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2C5E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WIFI、蓝牙</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7986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WIFI：2.4G/5G双频支持IEEE 802.11ac/a/b/g/n；支持蓝牙4.2，支持BLE</w:t>
            </w:r>
          </w:p>
        </w:tc>
      </w:tr>
      <w:tr w14:paraId="58FC0B2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E495A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4D71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4F7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233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bookmarkStart w:id="125" w:name="OLE_LINK20"/>
            <w:bookmarkStart w:id="126" w:name="OLE_LINK19"/>
            <w:r>
              <w:rPr>
                <w:rFonts w:hint="eastAsia" w:ascii="宋体" w:hAnsi="宋体" w:eastAsia="宋体" w:cs="宋体"/>
                <w:color w:val="auto"/>
                <w:sz w:val="21"/>
                <w:szCs w:val="21"/>
                <w:highlight w:val="none"/>
              </w:rPr>
              <w:t>≥5.99"HD+</w:t>
            </w:r>
            <w:bookmarkEnd w:id="125"/>
            <w:bookmarkEnd w:id="126"/>
            <w:r>
              <w:rPr>
                <w:rFonts w:hint="eastAsia" w:ascii="宋体" w:hAnsi="宋体" w:eastAsia="宋体" w:cs="宋体"/>
                <w:color w:val="auto"/>
                <w:sz w:val="21"/>
                <w:szCs w:val="21"/>
                <w:highlight w:val="none"/>
              </w:rPr>
              <w:t>，≥1440x720，IPS，多点触控电容屏</w:t>
            </w:r>
          </w:p>
        </w:tc>
      </w:tr>
      <w:tr w14:paraId="085B37D2">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45F89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A702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18B2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8E94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内置加密模块，硬件防拆</w:t>
            </w:r>
          </w:p>
        </w:tc>
      </w:tr>
      <w:tr w14:paraId="4DC76AD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10B54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22D6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475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医保人脸及摄像头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AA7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支持医保人脸</w:t>
            </w:r>
          </w:p>
          <w:p w14:paraId="477FED7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前置：3D结构光或者0.3M FF摄像头</w:t>
            </w:r>
          </w:p>
          <w:p w14:paraId="447CFA8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后置：5M AF或3D结构光</w:t>
            </w:r>
          </w:p>
        </w:tc>
      </w:tr>
      <w:tr w14:paraId="5B09A21A">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28673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A3C6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B14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EA88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内置GPS，支持AGPS</w:t>
            </w:r>
          </w:p>
        </w:tc>
      </w:tr>
      <w:tr w14:paraId="763B254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39773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4FC1A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2302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9EFC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≥90mm/s（7.4V时）</w:t>
            </w:r>
          </w:p>
        </w:tc>
      </w:tr>
      <w:tr w14:paraId="71F676F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72DE7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57F54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EFD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D6CC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取得投标机型符合《医保业务综合服务终端(III类)技术规范》和《医保业务综合服务终端(III类)测试大纲V1.0》的检测报告；</w:t>
            </w:r>
          </w:p>
          <w:p w14:paraId="5D7AD2F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▲取得投标机型无线电发射设备型号核准证，提供复印件加盖投标人公章</w:t>
            </w:r>
          </w:p>
          <w:p w14:paraId="7547D23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▲取得投标机型电信设备进网许可证，提供复印件加盖投标人公章</w:t>
            </w:r>
          </w:p>
        </w:tc>
      </w:tr>
      <w:tr w14:paraId="36E7F594">
        <w:tblPrEx>
          <w:tblCellMar>
            <w:top w:w="0" w:type="dxa"/>
            <w:left w:w="108" w:type="dxa"/>
            <w:bottom w:w="0" w:type="dxa"/>
            <w:right w:w="108" w:type="dxa"/>
          </w:tblCellMar>
        </w:tblPrEx>
        <w:trPr>
          <w:trHeight w:val="620" w:hRule="atLeast"/>
        </w:trPr>
        <w:tc>
          <w:tcPr>
            <w:tcW w:w="5000" w:type="pct"/>
            <w:gridSpan w:val="4"/>
            <w:tcBorders>
              <w:top w:val="single" w:color="auto" w:sz="4" w:space="0"/>
              <w:left w:val="single" w:color="auto" w:sz="4" w:space="0"/>
              <w:right w:val="single" w:color="000000" w:sz="4" w:space="0"/>
            </w:tcBorders>
            <w:shd w:val="clear" w:color="auto" w:fill="auto"/>
            <w:noWrap w:val="0"/>
            <w:vAlign w:val="center"/>
          </w:tcPr>
          <w:p w14:paraId="2A2BB2E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硬件产品六：</w:t>
            </w:r>
            <w:r>
              <w:rPr>
                <w:rFonts w:hint="eastAsia" w:ascii="宋体" w:hAnsi="宋体" w:eastAsia="宋体" w:cs="宋体"/>
                <w:b/>
                <w:bCs/>
                <w:color w:val="auto"/>
                <w:sz w:val="21"/>
                <w:szCs w:val="21"/>
                <w:highlight w:val="none"/>
                <w:shd w:val="clear" w:color="FFFFFF" w:fill="D9D9D9"/>
              </w:rPr>
              <w:t>自助病案打印盖章终端</w:t>
            </w:r>
          </w:p>
        </w:tc>
      </w:tr>
      <w:tr w14:paraId="40B5CC67">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1B93D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2541F4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自助病案打印盖章终端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CDA5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3366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CPU：主频≥3.0 GHz；内存：</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8G DDR4；网卡：双千兆网卡；串口：6个RS232接口；硬盘：≥256G固态硬盘；USB接口：8个USB 3.0,10*USB 2.0接口；防磁防锈防静电；内置散热风扇</w:t>
            </w:r>
          </w:p>
        </w:tc>
      </w:tr>
      <w:tr w14:paraId="27EE211A">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13FB4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8B2BE2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1712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显示触摸屏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CB2A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≥18.5"投射式电容触摸一体屏；触控点位≥10点触摸；响应时间：≤8ms；反应速度：≤16ms；VGA或HDMI接口；比例：16：9；亮度：≥400 cd/m2；对比度：≥1200:1；分辨率：≥1366*768</w:t>
            </w:r>
          </w:p>
        </w:tc>
      </w:tr>
      <w:tr w14:paraId="4992E0D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4C291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B78BC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4456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C546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黑白激光打印；首页出纸时间≤6.5秒；最高分辨率：600 x 600 dpi；最大幅面A4（70克和80克均支持）；标配纸盒≥250张，支持扩展纸盒≥5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0张；月打印负荷：≥75000页</w:t>
            </w:r>
          </w:p>
        </w:tc>
      </w:tr>
      <w:tr w14:paraId="3B9EE1BE">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10331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D30A0C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A7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7A3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使用耐磨损的铜质印章，可自定义盖章位置；内置印油存储，一次充满印油盖章使用次数≥5000次，更换添加印油便捷；盖章传动部件应耐磨损，使用寿命长；盖章数量：1～6个/A4</w:t>
            </w:r>
          </w:p>
        </w:tc>
      </w:tr>
      <w:tr w14:paraId="1B0797BA">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D3EFA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2D854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8D9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A50A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打印方式：行式热敏；打印密度：≥8点/mm；打印速度：≥200mm/s；纸宽：80±0.5mm；有效打印宽度：72mm；打印方向：进纸方向；纸处理方式：自动切纸；防堵功能：支持；蜂鸣器：支持</w:t>
            </w:r>
          </w:p>
        </w:tc>
      </w:tr>
      <w:tr w14:paraId="2564E6B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C7E91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5778D5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983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2EEF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自动装订功能；装订厚度：≥65张A4纸装订；装订数量：≥100枚</w:t>
            </w:r>
          </w:p>
        </w:tc>
      </w:tr>
      <w:tr w14:paraId="45AF553A">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2338F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AD1629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F1B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C5B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≥300万像素，黑白coms一次性存针≥4500枚传感器+彩色coms传感器；识别率≥95%</w:t>
            </w:r>
          </w:p>
        </w:tc>
      </w:tr>
      <w:tr w14:paraId="0B2D48D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C64CE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1A4EB8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0F9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6551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可读居民二代身份证和港澳台证件、外国人居住证；模块符合公安部相关标准</w:t>
            </w:r>
          </w:p>
        </w:tc>
      </w:tr>
    </w:tbl>
    <w:p w14:paraId="5ABE57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1D7E7B9">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软件</w:t>
      </w:r>
      <w:r>
        <w:rPr>
          <w:rFonts w:hint="eastAsia" w:ascii="宋体" w:hAnsi="宋体" w:cs="宋体"/>
          <w:b/>
          <w:bCs/>
          <w:color w:val="auto"/>
          <w:szCs w:val="21"/>
          <w:highlight w:val="none"/>
          <w:lang w:val="en-US" w:eastAsia="zh-CN"/>
        </w:rPr>
        <w:t>功能需求</w:t>
      </w:r>
    </w:p>
    <w:p w14:paraId="4A7B78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门急诊</w:t>
      </w:r>
      <w:r>
        <w:rPr>
          <w:rFonts w:hint="eastAsia" w:ascii="宋体" w:hAnsi="宋体" w:eastAsia="宋体" w:cs="宋体"/>
          <w:b w:val="0"/>
          <w:bCs w:val="0"/>
          <w:color w:val="auto"/>
          <w:szCs w:val="21"/>
          <w:highlight w:val="none"/>
          <w:lang w:val="en-US" w:eastAsia="zh-CN"/>
        </w:rPr>
        <w:t>、住院自助服务</w:t>
      </w:r>
      <w:r>
        <w:rPr>
          <w:rFonts w:hint="eastAsia" w:ascii="宋体" w:hAnsi="宋体" w:eastAsia="宋体" w:cs="宋体"/>
          <w:b w:val="0"/>
          <w:bCs w:val="0"/>
          <w:color w:val="auto"/>
          <w:szCs w:val="21"/>
          <w:highlight w:val="none"/>
        </w:rPr>
        <w:t>系统</w:t>
      </w:r>
      <w:r>
        <w:rPr>
          <w:rFonts w:hint="eastAsia" w:ascii="宋体" w:hAnsi="宋体" w:eastAsia="宋体" w:cs="宋体"/>
          <w:b w:val="0"/>
          <w:bCs w:val="0"/>
          <w:color w:val="auto"/>
          <w:szCs w:val="21"/>
          <w:highlight w:val="none"/>
          <w:lang w:val="en-US" w:eastAsia="zh-CN"/>
        </w:rPr>
        <w:t>软件</w:t>
      </w:r>
      <w:r>
        <w:rPr>
          <w:rFonts w:hint="eastAsia" w:ascii="宋体" w:hAnsi="宋体" w:eastAsia="宋体" w:cs="宋体"/>
          <w:b w:val="0"/>
          <w:bCs w:val="0"/>
          <w:color w:val="auto"/>
          <w:szCs w:val="21"/>
          <w:highlight w:val="none"/>
        </w:rPr>
        <w:t>功能需求</w:t>
      </w:r>
    </w:p>
    <w:p w14:paraId="45332F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多功能自助终端设备系统软件，除了实现预约挂号、缴费、打印、查询等基本服务，还应满足就医流程可视化、适老化等院方提出的智能化服务。</w:t>
      </w:r>
    </w:p>
    <w:p w14:paraId="33E7B4A7">
      <w:pPr>
        <w:pStyle w:val="40"/>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i/>
          <w:iCs/>
          <w:color w:val="auto"/>
          <w:sz w:val="21"/>
          <w:szCs w:val="21"/>
          <w:highlight w:val="none"/>
          <w:u w:val="single"/>
          <w:lang w:val="en-US" w:eastAsia="zh-CN"/>
        </w:rPr>
      </w:pPr>
      <w:r>
        <w:rPr>
          <w:rFonts w:hint="eastAsia" w:ascii="宋体" w:hAnsi="宋体" w:eastAsia="宋体" w:cs="宋体"/>
          <w:b/>
          <w:bCs/>
          <w:i/>
          <w:iCs/>
          <w:color w:val="auto"/>
          <w:sz w:val="21"/>
          <w:szCs w:val="21"/>
          <w:highlight w:val="none"/>
          <w:u w:val="single"/>
          <w:lang w:val="en-US" w:eastAsia="zh-CN"/>
        </w:rPr>
        <w:t>基础要求：</w:t>
      </w:r>
    </w:p>
    <w:p w14:paraId="3E255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cs="宋体"/>
          <w:b/>
          <w:bCs/>
          <w:i/>
          <w:iCs/>
          <w:color w:val="auto"/>
          <w:sz w:val="21"/>
          <w:szCs w:val="21"/>
          <w:highlight w:val="none"/>
          <w:lang w:val="en-US" w:eastAsia="zh-CN" w:bidi="ar-SA"/>
        </w:rPr>
        <w:t>1</w:t>
      </w:r>
      <w:r>
        <w:rPr>
          <w:rFonts w:hint="default" w:ascii="宋体" w:hAnsi="宋体" w:eastAsia="宋体" w:cs="宋体"/>
          <w:b/>
          <w:bCs/>
          <w:i/>
          <w:iCs/>
          <w:color w:val="auto"/>
          <w:sz w:val="21"/>
          <w:szCs w:val="21"/>
          <w:highlight w:val="none"/>
          <w:lang w:val="en-US" w:eastAsia="zh-CN" w:bidi="ar-SA"/>
        </w:rPr>
        <w:t>.</w:t>
      </w:r>
      <w:r>
        <w:rPr>
          <w:rFonts w:hint="eastAsia" w:ascii="宋体" w:hAnsi="宋体" w:eastAsia="宋体" w:cs="宋体"/>
          <w:b/>
          <w:bCs/>
          <w:i/>
          <w:iCs/>
          <w:color w:val="auto"/>
          <w:sz w:val="21"/>
          <w:szCs w:val="21"/>
          <w:highlight w:val="none"/>
          <w:u w:val="single"/>
        </w:rPr>
        <w:t>本次采购的系统，交付使用时需符合国家智慧服务四级、电子病历应用水平六级标准要求，符合互联互通成熟度评测五乙标准要求，三级等保要求。</w:t>
      </w:r>
    </w:p>
    <w:p w14:paraId="7C854672">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cs="宋体"/>
          <w:b/>
          <w:bCs/>
          <w:i/>
          <w:iCs/>
          <w:color w:val="auto"/>
          <w:sz w:val="21"/>
          <w:szCs w:val="21"/>
          <w:highlight w:val="none"/>
          <w:lang w:val="en-US" w:eastAsia="zh-CN" w:bidi="ar-SA"/>
        </w:rPr>
        <w:t>2</w:t>
      </w:r>
      <w:r>
        <w:rPr>
          <w:rFonts w:hint="default" w:ascii="宋体" w:hAnsi="宋体" w:eastAsia="宋体" w:cs="宋体"/>
          <w:b/>
          <w:bCs/>
          <w:i/>
          <w:iCs/>
          <w:color w:val="auto"/>
          <w:sz w:val="21"/>
          <w:szCs w:val="21"/>
          <w:highlight w:val="none"/>
          <w:lang w:val="en-US" w:eastAsia="zh-CN" w:bidi="ar-SA"/>
        </w:rPr>
        <w:t>.</w:t>
      </w:r>
      <w:r>
        <w:rPr>
          <w:rFonts w:hint="eastAsia" w:ascii="宋体" w:hAnsi="宋体" w:eastAsia="宋体" w:cs="宋体"/>
          <w:b/>
          <w:bCs/>
          <w:i/>
          <w:iCs/>
          <w:color w:val="auto"/>
          <w:sz w:val="21"/>
          <w:szCs w:val="21"/>
          <w:highlight w:val="none"/>
          <w:u w:val="single"/>
        </w:rPr>
        <w:t>本次采购的系统，交付使用时需符合国家信创要求。</w:t>
      </w:r>
    </w:p>
    <w:p w14:paraId="7832C605">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cs="宋体"/>
          <w:b/>
          <w:bCs/>
          <w:i/>
          <w:iCs/>
          <w:color w:val="auto"/>
          <w:sz w:val="21"/>
          <w:szCs w:val="21"/>
          <w:highlight w:val="none"/>
          <w:lang w:val="en-US" w:eastAsia="zh-CN" w:bidi="ar-SA"/>
        </w:rPr>
        <w:t>3</w:t>
      </w:r>
      <w:r>
        <w:rPr>
          <w:rFonts w:hint="default" w:ascii="宋体" w:hAnsi="宋体" w:eastAsia="宋体" w:cs="宋体"/>
          <w:b/>
          <w:bCs/>
          <w:i/>
          <w:iCs/>
          <w:color w:val="auto"/>
          <w:sz w:val="21"/>
          <w:szCs w:val="21"/>
          <w:highlight w:val="none"/>
          <w:lang w:val="en-US" w:eastAsia="zh-CN" w:bidi="ar-SA"/>
        </w:rPr>
        <w:t>.</w:t>
      </w:r>
      <w:r>
        <w:rPr>
          <w:rFonts w:hint="eastAsia" w:ascii="宋体" w:hAnsi="宋体" w:eastAsia="宋体" w:cs="宋体"/>
          <w:b/>
          <w:bCs/>
          <w:i/>
          <w:iCs/>
          <w:color w:val="auto"/>
          <w:sz w:val="21"/>
          <w:szCs w:val="21"/>
          <w:highlight w:val="none"/>
          <w:u w:val="single"/>
        </w:rPr>
        <w:t>本次采购的系统，支持C/S或B/S架构，可运行在windows\安卓\鸿蒙\苹果，支持版本自动更新。应通过院内信息平台，根据自助系统业务需求对接第三方系统，接口交互方式应符合医院要求。</w:t>
      </w:r>
    </w:p>
    <w:p w14:paraId="4E7320C3">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left"/>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(提供</w:t>
      </w:r>
      <w:r>
        <w:rPr>
          <w:rFonts w:hint="eastAsia" w:ascii="宋体" w:hAnsi="宋体" w:eastAsia="宋体" w:cs="宋体"/>
          <w:b/>
          <w:bCs/>
          <w:i/>
          <w:iCs/>
          <w:color w:val="auto"/>
          <w:sz w:val="21"/>
          <w:szCs w:val="21"/>
          <w:highlight w:val="none"/>
          <w:u w:val="single"/>
          <w:lang w:val="en-US" w:eastAsia="zh-CN"/>
        </w:rPr>
        <w:t>上述1-3项</w:t>
      </w:r>
      <w:r>
        <w:rPr>
          <w:rFonts w:hint="eastAsia" w:ascii="宋体" w:hAnsi="宋体" w:eastAsia="宋体" w:cs="宋体"/>
          <w:b/>
          <w:bCs/>
          <w:i/>
          <w:iCs/>
          <w:color w:val="auto"/>
          <w:sz w:val="21"/>
          <w:szCs w:val="21"/>
          <w:highlight w:val="none"/>
          <w:u w:val="single"/>
        </w:rPr>
        <w:t>承诺书，承诺书格式自拟，加盖投标人公章）</w:t>
      </w:r>
    </w:p>
    <w:p w14:paraId="45B6B3D1">
      <w:pPr>
        <w:rPr>
          <w:rFonts w:hint="default"/>
          <w:color w:val="auto"/>
          <w:highlight w:val="none"/>
          <w:lang w:val="en-US" w:eastAsia="zh-CN"/>
        </w:rPr>
      </w:pPr>
    </w:p>
    <w:tbl>
      <w:tblPr>
        <w:tblStyle w:val="45"/>
        <w:tblW w:w="8520" w:type="dxa"/>
        <w:tblInd w:w="-112" w:type="dxa"/>
        <w:tblLayout w:type="fixed"/>
        <w:tblCellMar>
          <w:top w:w="0" w:type="dxa"/>
          <w:left w:w="0" w:type="dxa"/>
          <w:bottom w:w="0" w:type="dxa"/>
          <w:right w:w="0" w:type="dxa"/>
        </w:tblCellMar>
      </w:tblPr>
      <w:tblGrid>
        <w:gridCol w:w="982"/>
        <w:gridCol w:w="1260"/>
        <w:gridCol w:w="6278"/>
      </w:tblGrid>
      <w:tr w14:paraId="401BE7E7">
        <w:tblPrEx>
          <w:tblCellMar>
            <w:top w:w="0" w:type="dxa"/>
            <w:left w:w="0" w:type="dxa"/>
            <w:bottom w:w="0" w:type="dxa"/>
            <w:right w:w="0" w:type="dxa"/>
          </w:tblCellMar>
        </w:tblPrEx>
        <w:trPr>
          <w:trHeight w:val="547" w:hRule="atLeast"/>
          <w:tblHead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F005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FEBB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业务功能</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5253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78735328">
        <w:tblPrEx>
          <w:tblCellMar>
            <w:top w:w="0" w:type="dxa"/>
            <w:left w:w="0" w:type="dxa"/>
            <w:bottom w:w="0" w:type="dxa"/>
            <w:right w:w="0" w:type="dxa"/>
          </w:tblCellMar>
        </w:tblPrEx>
        <w:trPr>
          <w:trHeight w:val="532"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BDA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475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43EF">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系统支持患者信息隐私保护，对于部分字符遮掩隐藏处理，保障患者个人隐私安全；应支持多种隐私保护措施，允许设置隐私保护中的内容、字段。</w:t>
            </w:r>
          </w:p>
          <w:p w14:paraId="2976C108">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自助系统核心内容支持中英文双语显示。</w:t>
            </w:r>
          </w:p>
          <w:p w14:paraId="18495EA2">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系统支持管理人员对自动提示信息、票据显示信息等模板进行自定义修改</w:t>
            </w:r>
            <w:r>
              <w:rPr>
                <w:rFonts w:hint="eastAsia" w:ascii="宋体" w:hAnsi="宋体" w:eastAsia="宋体" w:cs="宋体"/>
                <w:color w:val="auto"/>
                <w:sz w:val="21"/>
                <w:szCs w:val="21"/>
                <w:highlight w:val="none"/>
                <w:lang w:eastAsia="zh-CN"/>
              </w:rPr>
              <w:t>。</w:t>
            </w:r>
          </w:p>
          <w:p w14:paraId="15E9713C">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所有功能界面，均支持患者快速返回上一步界面进行信息修改，支持快速跳转主界面</w:t>
            </w:r>
            <w:r>
              <w:rPr>
                <w:rFonts w:hint="eastAsia" w:ascii="宋体" w:hAnsi="宋体" w:eastAsia="宋体" w:cs="宋体"/>
                <w:color w:val="auto"/>
                <w:sz w:val="21"/>
                <w:szCs w:val="21"/>
                <w:highlight w:val="none"/>
                <w:lang w:eastAsia="zh-CN"/>
              </w:rPr>
              <w:t>。</w:t>
            </w:r>
          </w:p>
          <w:p w14:paraId="69F5E69D">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系统界面在患者无操作能够自动退出，退出时间可自定义</w:t>
            </w:r>
            <w:r>
              <w:rPr>
                <w:rFonts w:hint="eastAsia" w:ascii="宋体" w:hAnsi="宋体" w:eastAsia="宋体" w:cs="宋体"/>
                <w:color w:val="auto"/>
                <w:sz w:val="21"/>
                <w:szCs w:val="21"/>
                <w:highlight w:val="none"/>
                <w:lang w:eastAsia="zh-CN"/>
              </w:rPr>
              <w:t>。</w:t>
            </w:r>
          </w:p>
          <w:p w14:paraId="7CB3C448">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自助系统支持对接患者CA，自助机设备支持加装患者CA签名设备（按需，院方提供签名设备）。</w:t>
            </w:r>
          </w:p>
          <w:p w14:paraId="09752BF3">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支持患者完成建档、预约、挂号、充值、结算等操作后，自动打印相应的小票，指引患者进行下一步就医流程</w:t>
            </w:r>
            <w:r>
              <w:rPr>
                <w:rFonts w:hint="eastAsia" w:ascii="宋体" w:hAnsi="宋体" w:eastAsia="宋体" w:cs="宋体"/>
                <w:color w:val="auto"/>
                <w:sz w:val="21"/>
                <w:szCs w:val="21"/>
                <w:highlight w:val="none"/>
                <w:lang w:eastAsia="zh-CN"/>
              </w:rPr>
              <w:t>。</w:t>
            </w:r>
          </w:p>
          <w:p w14:paraId="71A19B94">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老年模式。根据病人ID号查找患者身份证号，判断患者年龄，如果大于60周岁（支持院方自行设定），自动展示老年人模式界面，界面展示信息与非老年模式一样。提供不少于两种利于老年人操作自助系统方法，例如字体变大，功能操作过程中带语音提示等。</w:t>
            </w:r>
          </w:p>
          <w:p w14:paraId="0202D685">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满足自费患者、复合型参保患者在门诊、急诊、住院流程中“先诊疗后付费”就诊模式</w:t>
            </w:r>
            <w:r>
              <w:rPr>
                <w:rFonts w:hint="eastAsia" w:ascii="宋体" w:hAnsi="宋体" w:eastAsia="宋体" w:cs="宋体"/>
                <w:color w:val="auto"/>
                <w:sz w:val="21"/>
                <w:szCs w:val="21"/>
                <w:highlight w:val="none"/>
                <w:lang w:eastAsia="zh-CN"/>
              </w:rPr>
              <w:t>。</w:t>
            </w:r>
          </w:p>
          <w:p w14:paraId="78B06130">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rPr>
              <w:t>▲</w:t>
            </w:r>
            <w:r>
              <w:rPr>
                <w:rFonts w:hint="eastAsia" w:ascii="宋体" w:hAnsi="宋体" w:eastAsia="宋体" w:cs="宋体"/>
                <w:b/>
                <w:bCs/>
                <w:color w:val="auto"/>
                <w:sz w:val="21"/>
                <w:szCs w:val="21"/>
                <w:highlight w:val="none"/>
                <w:shd w:val="clear" w:color="auto"/>
              </w:rPr>
              <w:t>自助服务终端需支持全流程医保人脸无卡就医，并提供演示医保人脸建档、医保人脸挂号、医保人脸医保结算、医保人脸报告打印、医保手持终端出院结算等功能。</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r>
              <w:rPr>
                <w:rFonts w:hint="eastAsia"/>
                <w:b/>
                <w:bCs/>
                <w:color w:val="auto"/>
                <w:highlight w:val="none"/>
                <w:lang w:eastAsia="zh-CN"/>
              </w:rPr>
              <w:t>。</w:t>
            </w:r>
          </w:p>
        </w:tc>
      </w:tr>
      <w:tr w14:paraId="449A8565">
        <w:tblPrEx>
          <w:tblCellMar>
            <w:top w:w="0" w:type="dxa"/>
            <w:left w:w="0" w:type="dxa"/>
            <w:bottom w:w="0" w:type="dxa"/>
            <w:right w:w="0" w:type="dxa"/>
          </w:tblCellMar>
        </w:tblPrEx>
        <w:trPr>
          <w:trHeight w:val="705"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14:paraId="0442CB3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58C6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识别身份</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56F75684">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建档、缴费、挂号、打印、取号、查询时，通过多种方式识别患者实名制身份信息，包括人脸识别（医保/微信/支付宝，后期应支持对接公安人口数据库）、银联卡、实体医保卡、医保电子凭证、身份证（包括电子身份证）、院内就诊条码（一维、二维）、外国人永居证、港澳台居住证、住院腕带（选配）等，支持读卡、扫码和手动输入等方式。</w:t>
            </w:r>
          </w:p>
        </w:tc>
      </w:tr>
      <w:tr w14:paraId="0FBCE701">
        <w:tblPrEx>
          <w:tblCellMar>
            <w:top w:w="0" w:type="dxa"/>
            <w:left w:w="0" w:type="dxa"/>
            <w:bottom w:w="0" w:type="dxa"/>
            <w:right w:w="0" w:type="dxa"/>
          </w:tblCellMar>
        </w:tblPrEx>
        <w:trPr>
          <w:trHeight w:val="588" w:hRule="atLeast"/>
        </w:trPr>
        <w:tc>
          <w:tcPr>
            <w:tcW w:w="982" w:type="dxa"/>
            <w:vMerge w:val="restart"/>
            <w:tcBorders>
              <w:top w:val="single" w:color="000000" w:sz="4" w:space="0"/>
              <w:left w:val="single" w:color="000000" w:sz="4" w:space="0"/>
              <w:right w:val="single" w:color="000000" w:sz="4" w:space="0"/>
            </w:tcBorders>
            <w:noWrap w:val="0"/>
            <w:vAlign w:val="center"/>
          </w:tcPr>
          <w:p w14:paraId="504AFB1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04DC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智慧建档</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121797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支持对接患者主索引库进行统一身份认证与校验，实名身份认证后自助办理院内实名就诊档案，自动获取患者基本信息</w:t>
            </w:r>
            <w:r>
              <w:rPr>
                <w:rFonts w:hint="eastAsia" w:ascii="宋体" w:hAnsi="宋体" w:eastAsia="宋体" w:cs="宋体"/>
                <w:color w:val="auto"/>
                <w:sz w:val="21"/>
                <w:szCs w:val="21"/>
                <w:highlight w:val="none"/>
                <w:lang w:eastAsia="zh-CN"/>
              </w:rPr>
              <w:t>。</w:t>
            </w:r>
          </w:p>
          <w:p w14:paraId="4E26EC23">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支持实名制信息补录与修改，修改关键信息时，具备一致性校验功能。智慧建档内容应符合门诊、住院流程需求，允许急诊自助流程中患者建档内容定制简化。</w:t>
            </w:r>
          </w:p>
        </w:tc>
      </w:tr>
      <w:tr w14:paraId="5BBC16CE">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7D3E93F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1C6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自助修改手机号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824D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支持通过已绑定身份识别介质核实身份后，自助修改预留手机号。</w:t>
            </w:r>
          </w:p>
        </w:tc>
      </w:tr>
      <w:tr w14:paraId="57C5DABD">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23A942F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41D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就诊二维码打印/补打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B7F6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支持通过已绑定身份识别介质核实身份后，可以自助打印就诊二维码。</w:t>
            </w:r>
          </w:p>
        </w:tc>
      </w:tr>
      <w:tr w14:paraId="46F72F5E">
        <w:tblPrEx>
          <w:tblCellMar>
            <w:top w:w="0" w:type="dxa"/>
            <w:left w:w="0" w:type="dxa"/>
            <w:bottom w:w="0" w:type="dxa"/>
            <w:right w:w="0" w:type="dxa"/>
          </w:tblCellMar>
        </w:tblPrEx>
        <w:trPr>
          <w:trHeight w:val="157" w:hRule="atLeast"/>
        </w:trPr>
        <w:tc>
          <w:tcPr>
            <w:tcW w:w="982" w:type="dxa"/>
            <w:vMerge w:val="restart"/>
            <w:tcBorders>
              <w:top w:val="single" w:color="000000" w:sz="4" w:space="0"/>
              <w:left w:val="single" w:color="000000" w:sz="4" w:space="0"/>
              <w:right w:val="single" w:color="000000" w:sz="4" w:space="0"/>
            </w:tcBorders>
            <w:noWrap w:val="0"/>
            <w:vAlign w:val="center"/>
          </w:tcPr>
          <w:p w14:paraId="6257E16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D31F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数据对接</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D0D957A">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根据业务需求，通过信息平台获取第三方系统可用信息。</w:t>
            </w:r>
          </w:p>
        </w:tc>
      </w:tr>
      <w:tr w14:paraId="4A83617F">
        <w:tblPrEx>
          <w:tblCellMar>
            <w:top w:w="0" w:type="dxa"/>
            <w:left w:w="0" w:type="dxa"/>
            <w:bottom w:w="0" w:type="dxa"/>
            <w:right w:w="0" w:type="dxa"/>
          </w:tblCellMar>
        </w:tblPrEx>
        <w:trPr>
          <w:trHeight w:val="157" w:hRule="atLeast"/>
        </w:trPr>
        <w:tc>
          <w:tcPr>
            <w:tcW w:w="982" w:type="dxa"/>
            <w:vMerge w:val="continue"/>
            <w:tcBorders>
              <w:top w:val="single" w:color="000000" w:sz="4" w:space="0"/>
              <w:left w:val="single" w:color="000000" w:sz="4" w:space="0"/>
              <w:right w:val="single" w:color="000000" w:sz="4" w:space="0"/>
            </w:tcBorders>
            <w:noWrap w:val="0"/>
            <w:vAlign w:val="center"/>
          </w:tcPr>
          <w:p w14:paraId="2A9DD73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2B5F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当日挂号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86421A6">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支持通过不同就诊介质实名验证，挂号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并打印挂号凭条</w:t>
            </w:r>
            <w:r>
              <w:rPr>
                <w:rFonts w:hint="eastAsia" w:ascii="宋体" w:hAnsi="宋体" w:eastAsia="宋体" w:cs="宋体"/>
                <w:color w:val="auto"/>
                <w:sz w:val="21"/>
                <w:szCs w:val="21"/>
                <w:highlight w:val="none"/>
                <w:lang w:eastAsia="zh-CN"/>
              </w:rPr>
              <w:t>。</w:t>
            </w:r>
          </w:p>
        </w:tc>
      </w:tr>
      <w:tr w14:paraId="45B3EC53">
        <w:tblPrEx>
          <w:tblCellMar>
            <w:top w:w="0" w:type="dxa"/>
            <w:left w:w="0" w:type="dxa"/>
            <w:bottom w:w="0" w:type="dxa"/>
            <w:right w:w="0" w:type="dxa"/>
          </w:tblCellMar>
        </w:tblPrEx>
        <w:trPr>
          <w:trHeight w:val="168" w:hRule="atLeast"/>
        </w:trPr>
        <w:tc>
          <w:tcPr>
            <w:tcW w:w="982" w:type="dxa"/>
            <w:vMerge w:val="continue"/>
            <w:tcBorders>
              <w:left w:val="single" w:color="000000" w:sz="4" w:space="0"/>
              <w:right w:val="single" w:color="000000" w:sz="4" w:space="0"/>
            </w:tcBorders>
            <w:noWrap w:val="0"/>
            <w:vAlign w:val="center"/>
          </w:tcPr>
          <w:p w14:paraId="0889241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45F24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急诊挂号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462645C">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支持识别急诊分诊单获取患者分诊信息，自助急诊挂号。</w:t>
            </w:r>
          </w:p>
        </w:tc>
      </w:tr>
      <w:tr w14:paraId="4829817A">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60AE994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9C2E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获取科室信息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DE75B1C">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支持对接信息平台接口获取医院各处室名称、层级信息，支持自助系统二次自主定制科室层级排列关系，支持自助系统二次自主定制科室排列先后顺序。</w:t>
            </w:r>
          </w:p>
        </w:tc>
      </w:tr>
      <w:tr w14:paraId="6B14C170">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2A64482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DD2A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获取医生排班信息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E92C12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支持对接信息平台接口获取科室内选定时间内的医生排班信息。</w:t>
            </w:r>
          </w:p>
        </w:tc>
      </w:tr>
      <w:tr w14:paraId="066A610D">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540A6EE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01075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自助退号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429C5B6">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支持患者在自助终端上自助退号，已缴挂号费退款支持原路返回。</w:t>
            </w:r>
          </w:p>
        </w:tc>
      </w:tr>
      <w:tr w14:paraId="0A297E37">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1F40DB8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D6F2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CD12033">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支持对接院内预约平台，预约设定天数内门诊号源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支持中长期预约功能的扩展，支持先诊疗后付费模式。</w:t>
            </w:r>
          </w:p>
        </w:tc>
      </w:tr>
      <w:tr w14:paraId="4EF1F81E">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2578421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00F8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预约取号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1A75CF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支持自费/医保/商保患者进行取号；支持医院各预约渠道使用自助机完成取号与费用补缴（如：医院公众号、小程序、本地挂号平台）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79869B87">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shd w:val="clear" w:color="auto" w:fill="auto"/>
            <w:noWrap w:val="0"/>
            <w:vAlign w:val="center"/>
          </w:tcPr>
          <w:p w14:paraId="1A4B496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59C3F">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自助报到分诊</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DADA3">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支持在医院自助终端上自助报到，进行分诊。</w:t>
            </w:r>
          </w:p>
        </w:tc>
      </w:tr>
      <w:tr w14:paraId="0892899B">
        <w:tblPrEx>
          <w:tblCellMar>
            <w:top w:w="0" w:type="dxa"/>
            <w:left w:w="0" w:type="dxa"/>
            <w:bottom w:w="0" w:type="dxa"/>
            <w:right w:w="0" w:type="dxa"/>
          </w:tblCellMar>
        </w:tblPrEx>
        <w:trPr>
          <w:trHeight w:val="306" w:hRule="atLeast"/>
        </w:trPr>
        <w:tc>
          <w:tcPr>
            <w:tcW w:w="982" w:type="dxa"/>
            <w:vMerge w:val="continue"/>
            <w:tcBorders>
              <w:left w:val="single" w:color="000000" w:sz="4" w:space="0"/>
              <w:bottom w:val="single" w:color="000000" w:sz="4" w:space="0"/>
              <w:right w:val="single" w:color="000000" w:sz="4" w:space="0"/>
            </w:tcBorders>
            <w:noWrap w:val="0"/>
            <w:vAlign w:val="center"/>
          </w:tcPr>
          <w:p w14:paraId="0E9D248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C91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取消预约挂号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21A9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支持在医院自助终端上自助取消预约，并释放号源，已缴挂号费退款支持原路返回。支持对接预约平台黑名单功能。</w:t>
            </w:r>
          </w:p>
        </w:tc>
      </w:tr>
      <w:tr w14:paraId="73E86D4A">
        <w:tblPrEx>
          <w:tblCellMar>
            <w:top w:w="0" w:type="dxa"/>
            <w:left w:w="0" w:type="dxa"/>
            <w:bottom w:w="0" w:type="dxa"/>
            <w:right w:w="0" w:type="dxa"/>
          </w:tblCellMar>
        </w:tblPrEx>
        <w:trPr>
          <w:trHeight w:val="1056"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56151C6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出入院结算系统</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06629">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自助终端入院办理模块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034D">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支持自助查看住院须知与入院流程指引等信息；</w:t>
            </w:r>
          </w:p>
          <w:p w14:paraId="51EE7EFC">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在已有第三方身份识别介质的前提下，支持通过身份证、诊疗卡、医保插件（实体医保卡、医保电子凭证、医保人脸），进行信息补录完成入院登记；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在已有第三方腕带打印模块前提下，支持腕带打印及患者线上腕带二维码扫码打印；</w:t>
            </w:r>
          </w:p>
          <w:p w14:paraId="15B74AB3">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支持使用微信、支付宝，完成住院押金首次充值；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支持打印住院充值凭条；</w:t>
            </w:r>
          </w:p>
        </w:tc>
      </w:tr>
      <w:tr w14:paraId="1A78A7ED">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2E99E3A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7EB5E">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自助终端住院费用补缴模块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8C7E">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使用微信、支付宝、银行卡完成在院患者缴存住院押金；支持患者在自助终端上查询住院充值缴费记录；支持打印住院押金充值费用凭条</w:t>
            </w:r>
            <w:r>
              <w:rPr>
                <w:rFonts w:hint="eastAsia" w:ascii="宋体" w:hAnsi="宋体" w:eastAsia="宋体" w:cs="宋体"/>
                <w:color w:val="auto"/>
                <w:sz w:val="21"/>
                <w:szCs w:val="21"/>
                <w:highlight w:val="none"/>
                <w:lang w:eastAsia="zh-CN"/>
              </w:rPr>
              <w:t>。</w:t>
            </w:r>
          </w:p>
        </w:tc>
      </w:tr>
      <w:tr w14:paraId="4F254B01">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3645452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D0251">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▲自助终端出院结算模块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302A">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支持通过身份证，医保人脸、医保卡、患者住院条码</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lang w:val="en-US" w:eastAsia="zh-CN"/>
              </w:rPr>
              <w:t>含住院腕带</w:t>
            </w:r>
            <w:r>
              <w:rPr>
                <w:rFonts w:hint="eastAsia"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进</w:t>
            </w:r>
            <w:r>
              <w:rPr>
                <w:rFonts w:hint="eastAsia" w:eastAsia="宋体" w:cs="宋体"/>
                <w:b/>
                <w:bCs/>
                <w:color w:val="auto"/>
                <w:sz w:val="21"/>
                <w:szCs w:val="21"/>
                <w:highlight w:val="none"/>
                <w:lang w:val="en-US" w:eastAsia="zh-CN"/>
              </w:rPr>
              <w:t>行</w:t>
            </w:r>
            <w:r>
              <w:rPr>
                <w:rFonts w:hint="eastAsia" w:ascii="宋体" w:hAnsi="宋体" w:eastAsia="宋体" w:cs="宋体"/>
                <w:b/>
                <w:bCs/>
                <w:color w:val="auto"/>
                <w:sz w:val="21"/>
                <w:szCs w:val="21"/>
                <w:highlight w:val="none"/>
              </w:rPr>
              <w:t>结算核身</w:t>
            </w:r>
            <w:r>
              <w:rPr>
                <w:rFonts w:hint="eastAsia"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支持患者自费出院结算，医保出院结算；支持患者自费补缴差额；支持患者结算退费；</w:t>
            </w:r>
          </w:p>
          <w:p w14:paraId="1BD4FE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p>
        </w:tc>
      </w:tr>
      <w:tr w14:paraId="5755B01A">
        <w:tblPrEx>
          <w:tblCellMar>
            <w:top w:w="0" w:type="dxa"/>
            <w:left w:w="0" w:type="dxa"/>
            <w:bottom w:w="0" w:type="dxa"/>
            <w:right w:w="0" w:type="dxa"/>
          </w:tblCellMar>
        </w:tblPrEx>
        <w:trPr>
          <w:trHeight w:val="472" w:hRule="atLeast"/>
        </w:trPr>
        <w:tc>
          <w:tcPr>
            <w:tcW w:w="982" w:type="dxa"/>
            <w:vMerge w:val="continue"/>
            <w:tcBorders>
              <w:left w:val="single" w:color="000000" w:sz="4" w:space="0"/>
              <w:right w:val="single" w:color="000000" w:sz="4" w:space="0"/>
            </w:tcBorders>
            <w:shd w:val="clear" w:color="auto" w:fill="auto"/>
            <w:noWrap w:val="0"/>
            <w:vAlign w:val="center"/>
          </w:tcPr>
          <w:p w14:paraId="3B022BA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3D03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自助终端出院发票模块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42E8A">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支持住院费用清单打印、结算清单打印，医保结算清单打印；支持对接第三方电子发票接口，对住院发票进行查询打印</w:t>
            </w:r>
            <w:r>
              <w:rPr>
                <w:rFonts w:hint="eastAsia" w:ascii="宋体" w:hAnsi="宋体" w:eastAsia="宋体" w:cs="宋体"/>
                <w:color w:val="auto"/>
                <w:sz w:val="21"/>
                <w:szCs w:val="21"/>
                <w:highlight w:val="none"/>
                <w:lang w:eastAsia="zh-CN"/>
              </w:rPr>
              <w:t>。</w:t>
            </w:r>
          </w:p>
        </w:tc>
      </w:tr>
      <w:tr w14:paraId="7DFF738D">
        <w:tblPrEx>
          <w:tblCellMar>
            <w:top w:w="0" w:type="dxa"/>
            <w:left w:w="0" w:type="dxa"/>
            <w:bottom w:w="0" w:type="dxa"/>
            <w:right w:w="0" w:type="dxa"/>
          </w:tblCellMar>
        </w:tblPrEx>
        <w:trPr>
          <w:trHeight w:val="705" w:hRule="atLeast"/>
        </w:trPr>
        <w:tc>
          <w:tcPr>
            <w:tcW w:w="982" w:type="dxa"/>
            <w:vMerge w:val="continue"/>
            <w:tcBorders>
              <w:left w:val="single" w:color="000000" w:sz="4" w:space="0"/>
              <w:right w:val="single" w:color="000000" w:sz="4" w:space="0"/>
            </w:tcBorders>
            <w:shd w:val="clear" w:color="auto" w:fill="auto"/>
            <w:noWrap w:val="0"/>
            <w:vAlign w:val="center"/>
          </w:tcPr>
          <w:p w14:paraId="561DD35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8FD5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自助终端查询及扫码打印模块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408CF">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支持自助打印查询及打印出院小结；支持住院日清单的查询及打印；支持补打住院通知书；支持院前检查报告打印；支持移动端二维码读取方式获取住院清单，打印住院费用清单</w:t>
            </w:r>
            <w:r>
              <w:rPr>
                <w:rFonts w:hint="eastAsia" w:ascii="宋体" w:hAnsi="宋体" w:eastAsia="宋体" w:cs="宋体"/>
                <w:color w:val="auto"/>
                <w:sz w:val="21"/>
                <w:szCs w:val="21"/>
                <w:highlight w:val="none"/>
                <w:lang w:eastAsia="zh-CN"/>
              </w:rPr>
              <w:t>。</w:t>
            </w:r>
          </w:p>
        </w:tc>
      </w:tr>
      <w:tr w14:paraId="3D585483">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71AA436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9031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自助终端出院医保模块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978A9">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支持医保电子凭证、医保人脸、实体医保卡住院医保登记、医保出院结算；</w:t>
            </w:r>
          </w:p>
        </w:tc>
      </w:tr>
      <w:tr w14:paraId="6E618F3F">
        <w:tblPrEx>
          <w:tblCellMar>
            <w:top w:w="0" w:type="dxa"/>
            <w:left w:w="0" w:type="dxa"/>
            <w:bottom w:w="0" w:type="dxa"/>
            <w:right w:w="0" w:type="dxa"/>
          </w:tblCellMar>
        </w:tblPrEx>
        <w:trPr>
          <w:trHeight w:val="472" w:hRule="atLeast"/>
        </w:trPr>
        <w:tc>
          <w:tcPr>
            <w:tcW w:w="982" w:type="dxa"/>
            <w:tcBorders>
              <w:left w:val="single" w:color="000000" w:sz="4" w:space="0"/>
              <w:right w:val="single" w:color="000000" w:sz="4" w:space="0"/>
            </w:tcBorders>
            <w:noWrap w:val="0"/>
            <w:vAlign w:val="center"/>
          </w:tcPr>
          <w:p w14:paraId="267A83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医技预约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04F9D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自助预约时段</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5648F8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统一预约平台进行检查、检验、治疗、日间手术、住院（含预入院）预约，支持患者根据院方规则，自助预约特殊检验、检查、治疗、日间手术项目执行时间，支持住院（含预入院）患者预约住院日期、住院床位、检验、检查、治疗等。</w:t>
            </w:r>
          </w:p>
        </w:tc>
      </w:tr>
      <w:tr w14:paraId="59254EC2">
        <w:tblPrEx>
          <w:tblCellMar>
            <w:top w:w="0" w:type="dxa"/>
            <w:left w:w="0" w:type="dxa"/>
            <w:bottom w:w="0" w:type="dxa"/>
            <w:right w:w="0" w:type="dxa"/>
          </w:tblCellMar>
        </w:tblPrEx>
        <w:trPr>
          <w:trHeight w:val="355" w:hRule="atLeast"/>
        </w:trPr>
        <w:tc>
          <w:tcPr>
            <w:tcW w:w="982" w:type="dxa"/>
            <w:tcBorders>
              <w:left w:val="single" w:color="000000" w:sz="4" w:space="0"/>
              <w:bottom w:val="nil"/>
              <w:right w:val="single" w:color="000000" w:sz="4" w:space="0"/>
            </w:tcBorders>
            <w:noWrap w:val="0"/>
            <w:vAlign w:val="center"/>
          </w:tcPr>
          <w:p w14:paraId="23307A4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C552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修改、取消预约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32E4B9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支持患者根据自身情况修改以上服务项目预约时间，支持自助取消预约。</w:t>
            </w:r>
          </w:p>
        </w:tc>
      </w:tr>
      <w:tr w14:paraId="403AEBFD">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bottom w:val="nil"/>
              <w:right w:val="single" w:color="000000" w:sz="4" w:space="0"/>
            </w:tcBorders>
            <w:noWrap w:val="0"/>
            <w:vAlign w:val="center"/>
          </w:tcPr>
          <w:p w14:paraId="17806B5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支付/结算/对账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CEC5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支付/结算方式</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85A0A8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多种不同类型的</w:t>
            </w:r>
            <w:r>
              <w:rPr>
                <w:rFonts w:hint="eastAsia" w:ascii="宋体" w:hAnsi="宋体" w:eastAsia="宋体" w:cs="宋体"/>
                <w:color w:val="auto"/>
                <w:sz w:val="21"/>
                <w:szCs w:val="21"/>
                <w:highlight w:val="none"/>
              </w:rPr>
              <w:t>支付/结算方式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医保人脸、电子医保凭证、医保卡、支付宝、微信、银行卡、DCEP数字货币、云闪付、现金（选配）。</w:t>
            </w:r>
          </w:p>
        </w:tc>
      </w:tr>
      <w:tr w14:paraId="7F8926F0">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320BBE2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right w:val="single" w:color="000000" w:sz="4" w:space="0"/>
            </w:tcBorders>
            <w:noWrap w:val="0"/>
            <w:vAlign w:val="center"/>
          </w:tcPr>
          <w:p w14:paraId="42DFBA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门急诊支付项目</w:t>
            </w:r>
          </w:p>
        </w:tc>
        <w:tc>
          <w:tcPr>
            <w:tcW w:w="6278" w:type="dxa"/>
            <w:tcBorders>
              <w:top w:val="single" w:color="000000" w:sz="4" w:space="0"/>
              <w:left w:val="single" w:color="000000" w:sz="4" w:space="0"/>
              <w:right w:val="single" w:color="000000" w:sz="4" w:space="0"/>
            </w:tcBorders>
            <w:noWrap/>
            <w:vAlign w:val="center"/>
          </w:tcPr>
          <w:p w14:paraId="4E0F600F">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支持多种不同类型的项目支付：</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检查、检验、处方、体检、停车缴费等。</w:t>
            </w:r>
          </w:p>
        </w:tc>
      </w:tr>
      <w:tr w14:paraId="473EF8B5">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197743D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auto" w:sz="4" w:space="0"/>
            </w:tcBorders>
            <w:noWrap w:val="0"/>
            <w:vAlign w:val="center"/>
          </w:tcPr>
          <w:p w14:paraId="602C8F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支付/结算模式</w:t>
            </w:r>
          </w:p>
        </w:tc>
        <w:tc>
          <w:tcPr>
            <w:tcW w:w="6278" w:type="dxa"/>
            <w:tcBorders>
              <w:top w:val="single" w:color="auto" w:sz="4" w:space="0"/>
              <w:left w:val="single" w:color="auto" w:sz="4" w:space="0"/>
              <w:bottom w:val="single" w:color="000000" w:sz="4" w:space="0"/>
              <w:right w:val="single" w:color="auto" w:sz="4" w:space="0"/>
            </w:tcBorders>
            <w:noWrap/>
            <w:vAlign w:val="center"/>
          </w:tcPr>
          <w:p w14:paraId="5F2684D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支持患者以自费、医保、商保等复合型报销类型实缴结算，退费支持原路返回。</w:t>
            </w:r>
          </w:p>
        </w:tc>
      </w:tr>
      <w:tr w14:paraId="29FFC475">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65E753E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auto" w:sz="4" w:space="0"/>
              <w:left w:val="single" w:color="000000" w:sz="4" w:space="0"/>
              <w:bottom w:val="nil"/>
              <w:right w:val="single" w:color="000000" w:sz="4" w:space="0"/>
            </w:tcBorders>
            <w:noWrap w:val="0"/>
            <w:vAlign w:val="center"/>
          </w:tcPr>
          <w:p w14:paraId="05E8C6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财务对账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19B201A">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支持接入医院统一对账平台进行资金对账；支持门诊、住院财务交易明细对账，包括医保结算、预交金、现金、支付宝、微信、数币、银联等。</w:t>
            </w:r>
          </w:p>
        </w:tc>
      </w:tr>
      <w:tr w14:paraId="5194767F">
        <w:tblPrEx>
          <w:tblCellMar>
            <w:top w:w="0" w:type="dxa"/>
            <w:left w:w="0" w:type="dxa"/>
            <w:bottom w:w="0" w:type="dxa"/>
            <w:right w:w="0" w:type="dxa"/>
          </w:tblCellMar>
        </w:tblPrEx>
        <w:trPr>
          <w:trHeight w:val="282" w:hRule="atLeast"/>
        </w:trPr>
        <w:tc>
          <w:tcPr>
            <w:tcW w:w="982" w:type="dxa"/>
            <w:vMerge w:val="continue"/>
            <w:tcBorders>
              <w:left w:val="single" w:color="000000" w:sz="4" w:space="0"/>
              <w:right w:val="single" w:color="000000" w:sz="4" w:space="0"/>
            </w:tcBorders>
            <w:noWrap w:val="0"/>
            <w:vAlign w:val="center"/>
          </w:tcPr>
          <w:p w14:paraId="465A296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017F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语音提示</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E50612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支持语音引导操作功能，语音提示打印进度，打完提示总打印数量，并提示用户领取报告。</w:t>
            </w:r>
          </w:p>
        </w:tc>
      </w:tr>
      <w:tr w14:paraId="2A337A2D">
        <w:tblPrEx>
          <w:tblCellMar>
            <w:top w:w="0" w:type="dxa"/>
            <w:left w:w="0" w:type="dxa"/>
            <w:bottom w:w="0" w:type="dxa"/>
            <w:right w:w="0" w:type="dxa"/>
          </w:tblCellMar>
        </w:tblPrEx>
        <w:trPr>
          <w:trHeight w:val="355" w:hRule="atLeast"/>
        </w:trPr>
        <w:tc>
          <w:tcPr>
            <w:tcW w:w="982" w:type="dxa"/>
            <w:vMerge w:val="continue"/>
            <w:tcBorders>
              <w:left w:val="single" w:color="000000" w:sz="4" w:space="0"/>
              <w:bottom w:val="single" w:color="000000" w:sz="4" w:space="0"/>
              <w:right w:val="single" w:color="000000" w:sz="4" w:space="0"/>
            </w:tcBorders>
            <w:noWrap w:val="0"/>
            <w:vAlign w:val="center"/>
          </w:tcPr>
          <w:p w14:paraId="47CBA50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F525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隐私保护</w:t>
            </w:r>
          </w:p>
        </w:tc>
        <w:tc>
          <w:tcPr>
            <w:tcW w:w="6278" w:type="dxa"/>
            <w:tcBorders>
              <w:top w:val="single" w:color="000000" w:sz="4" w:space="0"/>
              <w:left w:val="single" w:color="000000" w:sz="4" w:space="0"/>
              <w:bottom w:val="single" w:color="000000" w:sz="4" w:space="0"/>
              <w:right w:val="single" w:color="000000" w:sz="4" w:space="0"/>
            </w:tcBorders>
            <w:noWrap/>
            <w:vAlign w:val="center"/>
          </w:tcPr>
          <w:p w14:paraId="3BA8BD4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支持患者隐私数据保护，根据对接系统要求不同，支持报告文件生成PDF/ODF打印、接口获取数据直接打印等模式，保证用户信息和系统业务的数据安全。</w:t>
            </w:r>
          </w:p>
        </w:tc>
      </w:tr>
      <w:tr w14:paraId="09DC29D2">
        <w:tblPrEx>
          <w:tblCellMar>
            <w:top w:w="0" w:type="dxa"/>
            <w:left w:w="0" w:type="dxa"/>
            <w:bottom w:w="0" w:type="dxa"/>
            <w:right w:w="0" w:type="dxa"/>
          </w:tblCellMar>
        </w:tblPrEx>
        <w:trPr>
          <w:trHeight w:val="472"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6993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综合查询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5A8D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ECB5E5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历次费用明细（分三级汇总）、历史挂号记录、当前费用实际结余情况、检查检验报告单、体检报告单、日间手术排程、退费记录等，支持自动关联不同就诊介质患者信息，支持查看门诊预约挂号须知与门诊流程指引等信息。</w:t>
            </w:r>
          </w:p>
        </w:tc>
      </w:tr>
      <w:tr w14:paraId="5DB78C84">
        <w:tblPrEx>
          <w:tblCellMar>
            <w:top w:w="0" w:type="dxa"/>
            <w:left w:w="0" w:type="dxa"/>
            <w:bottom w:w="0" w:type="dxa"/>
            <w:right w:w="0" w:type="dxa"/>
          </w:tblCellMar>
        </w:tblPrEx>
        <w:trPr>
          <w:trHeight w:val="58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6176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FC3BF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0593F73">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费用明细（分三级汇总）；住院预交金记录，包括充值渠道、充值金额、充值时间、充值结果、账户实际余额等；查看患者实时交易状态、实时账单、当前费用实际结余情况；检查检验报告单；手术日程安排；支持查看住院须知与入院流程指引等信息。</w:t>
            </w:r>
          </w:p>
        </w:tc>
      </w:tr>
      <w:tr w14:paraId="08CBDAC5">
        <w:tblPrEx>
          <w:tblCellMar>
            <w:top w:w="0" w:type="dxa"/>
            <w:left w:w="0" w:type="dxa"/>
            <w:bottom w:w="0" w:type="dxa"/>
            <w:right w:w="0" w:type="dxa"/>
          </w:tblCellMar>
        </w:tblPrEx>
        <w:trPr>
          <w:trHeight w:val="23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657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BBB2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5276318">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支持查询当前门急诊挂号人数、候诊人数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当前医技检查候诊人数</w:t>
            </w:r>
            <w:r>
              <w:rPr>
                <w:rFonts w:hint="eastAsia" w:ascii="宋体" w:hAnsi="宋体" w:eastAsia="宋体" w:cs="宋体"/>
                <w:color w:val="auto"/>
                <w:sz w:val="21"/>
                <w:szCs w:val="21"/>
                <w:highlight w:val="none"/>
                <w:lang w:eastAsia="zh-CN"/>
              </w:rPr>
              <w:t>。</w:t>
            </w:r>
          </w:p>
        </w:tc>
      </w:tr>
      <w:tr w14:paraId="10744360">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D004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86675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医院简介</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C5F552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支持查询医院简介、科室简介、医生简介信息，查看医院、科室、医生的详细信息。</w:t>
            </w:r>
          </w:p>
        </w:tc>
      </w:tr>
      <w:tr w14:paraId="70B87CC8">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FBD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637F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物价查询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DC2522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支持查询药品、治疗、检查检验的公开价格，支持按照拼音首字母，化学名等方式进行查询。</w:t>
            </w:r>
          </w:p>
        </w:tc>
      </w:tr>
      <w:tr w14:paraId="0B433F1E">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2401BE9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患者视角主动服务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D33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上下屏联动</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4BB99A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上下分屏，业务办理过程中点对点操作功能与引导、宣教、释义内容实时联动，并可对一台、一个区域自助机或单独一个业务场景进行配置。</w:t>
            </w:r>
          </w:p>
        </w:tc>
      </w:tr>
      <w:tr w14:paraId="3646953F">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10990BD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3D7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熄屏感知</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62438B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自动分辨患者使用状态，无人使用自动熄屏，所有硬件进入静熄待机状态，节约能耗；有人使用自动唤醒自助机硬件，快速办理业务。</w:t>
            </w:r>
          </w:p>
        </w:tc>
      </w:tr>
      <w:tr w14:paraId="41F09934">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7963A47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D22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熄屏多媒体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657408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大屏展示宣教、宣导内容，支持文字、图文、视频上传及轮循播放。</w:t>
            </w:r>
          </w:p>
        </w:tc>
      </w:tr>
      <w:tr w14:paraId="734ECFB5">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0822F77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05C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业务智能引导</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179B1C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根据患者的不同就诊业务节点进行智能化的引导，减低患者使用门槛，并进行主动推送办理业务。</w:t>
            </w:r>
          </w:p>
        </w:tc>
      </w:tr>
      <w:tr w14:paraId="0BBA09BB">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5BFBCBC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70F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▲待办推送</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D5573ED">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根据院内就诊业务关系智能化的为患者推送下一项或多项就诊环节的就诊业务办理；患者遗留或未办的业务进行集中化的提醒。</w:t>
            </w:r>
          </w:p>
          <w:p w14:paraId="0976E2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p>
        </w:tc>
      </w:tr>
      <w:tr w14:paraId="4A69E966">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noWrap w:val="0"/>
            <w:vAlign w:val="center"/>
          </w:tcPr>
          <w:p w14:paraId="44FC31F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7D382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智能导诊</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76476C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支持通过不同就诊介质点击查询人体图身体部位，引导患者选择病症，精准匹配专家和就诊渠道，并提供快捷通道。</w:t>
            </w:r>
          </w:p>
        </w:tc>
      </w:tr>
      <w:tr w14:paraId="067C49E1">
        <w:tblPrEx>
          <w:tblCellMar>
            <w:top w:w="0" w:type="dxa"/>
            <w:left w:w="0" w:type="dxa"/>
            <w:bottom w:w="0" w:type="dxa"/>
            <w:right w:w="0" w:type="dxa"/>
          </w:tblCellMar>
        </w:tblPrEx>
        <w:trPr>
          <w:trHeight w:val="171" w:hRule="atLeast"/>
        </w:trPr>
        <w:tc>
          <w:tcPr>
            <w:tcW w:w="982" w:type="dxa"/>
            <w:vMerge w:val="continue"/>
            <w:tcBorders>
              <w:left w:val="single" w:color="000000" w:sz="4" w:space="0"/>
              <w:right w:val="single" w:color="000000" w:sz="4" w:space="0"/>
            </w:tcBorders>
            <w:noWrap w:val="0"/>
            <w:vAlign w:val="center"/>
          </w:tcPr>
          <w:p w14:paraId="7C22050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0F29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智能导航</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65A492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支持对接院内智能导航系统，支持打印智慧医疗导诊单。</w:t>
            </w:r>
          </w:p>
        </w:tc>
      </w:tr>
      <w:tr w14:paraId="441B71D2">
        <w:tblPrEx>
          <w:tblCellMar>
            <w:top w:w="0" w:type="dxa"/>
            <w:left w:w="0" w:type="dxa"/>
            <w:bottom w:w="0" w:type="dxa"/>
            <w:right w:w="0" w:type="dxa"/>
          </w:tblCellMar>
        </w:tblPrEx>
        <w:trPr>
          <w:trHeight w:val="1406" w:hRule="atLeast"/>
        </w:trPr>
        <w:tc>
          <w:tcPr>
            <w:tcW w:w="982" w:type="dxa"/>
            <w:vMerge w:val="continue"/>
            <w:tcBorders>
              <w:left w:val="single" w:color="000000" w:sz="4" w:space="0"/>
              <w:right w:val="single" w:color="000000" w:sz="4" w:space="0"/>
            </w:tcBorders>
            <w:noWrap w:val="0"/>
            <w:vAlign w:val="center"/>
          </w:tcPr>
          <w:p w14:paraId="1ADD429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07BC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全流程就诊指引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358A20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支持经过实名制验证后，实时获取本次就诊中患者全部诊疗业务节点。</w:t>
            </w:r>
          </w:p>
          <w:p w14:paraId="6F826E53">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支持将患者不同就诊业务节点以时间轴方式进行列表显示。针对患者遗留或未办的业务进行集中化的提醒，支持语音引导系统操作功能。</w:t>
            </w:r>
          </w:p>
          <w:p w14:paraId="3DDFFA63">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支持通过信息平台，对接HIS、预约挂号、医技预约、叫号系统、各第三方医技系统、院内智能导航系统。</w:t>
            </w:r>
          </w:p>
          <w:p w14:paraId="6E21AFBB">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支持向互联网医院推送最优就诊路径。</w:t>
            </w:r>
          </w:p>
        </w:tc>
      </w:tr>
      <w:tr w14:paraId="613F7175">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4295547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70DE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满意度评价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B17460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支持门诊、住院患者填写满意度问卷调查，支持针对就诊流程中某位医护人员、某个就诊节点进行满意度评价，支持生成满意度报表。支持院内OA系统对接。</w:t>
            </w:r>
          </w:p>
        </w:tc>
      </w:tr>
      <w:tr w14:paraId="7202CA04">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1B94E16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B62D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▲适老助残服务</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6432D7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支持老年/残疾适用版本，支持版本自由切换。从可感知性、可理解性、可操作性等方面实现适老化的布局精简、页面优化、对比度增强的UE设计、交互应用。</w:t>
            </w:r>
          </w:p>
          <w:p w14:paraId="73D1E6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r>
              <w:rPr>
                <w:rFonts w:hint="eastAsia"/>
                <w:b/>
                <w:bCs/>
                <w:color w:val="auto"/>
                <w:highlight w:val="none"/>
                <w:lang w:eastAsia="zh-CN"/>
              </w:rPr>
              <w:t>。</w:t>
            </w:r>
          </w:p>
        </w:tc>
      </w:tr>
      <w:tr w14:paraId="7CED1C6F">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1E6A9D3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98C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▲中英文界面</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13290">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一键切换到英文界面，流程全部信息，全部为英文，提示语言英文</w:t>
            </w:r>
            <w:r>
              <w:rPr>
                <w:rFonts w:hint="eastAsia" w:ascii="宋体" w:hAnsi="宋体" w:eastAsia="宋体" w:cs="宋体"/>
                <w:b/>
                <w:bCs/>
                <w:color w:val="auto"/>
                <w:sz w:val="21"/>
                <w:szCs w:val="21"/>
                <w:highlight w:val="none"/>
                <w:lang w:eastAsia="zh-CN"/>
              </w:rPr>
              <w:t>。</w:t>
            </w:r>
          </w:p>
          <w:p w14:paraId="7D11F7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p>
        </w:tc>
      </w:tr>
      <w:tr w14:paraId="61B98F28">
        <w:tblPrEx>
          <w:tblCellMar>
            <w:top w:w="0" w:type="dxa"/>
            <w:left w:w="0" w:type="dxa"/>
            <w:bottom w:w="0" w:type="dxa"/>
            <w:right w:w="0" w:type="dxa"/>
          </w:tblCellMar>
        </w:tblPrEx>
        <w:trPr>
          <w:trHeight w:val="595" w:hRule="atLeast"/>
        </w:trPr>
        <w:tc>
          <w:tcPr>
            <w:tcW w:w="982" w:type="dxa"/>
            <w:vMerge w:val="continue"/>
            <w:tcBorders>
              <w:left w:val="single" w:color="000000" w:sz="4" w:space="0"/>
              <w:right w:val="single" w:color="000000" w:sz="4" w:space="0"/>
            </w:tcBorders>
            <w:noWrap w:val="0"/>
            <w:vAlign w:val="center"/>
          </w:tcPr>
          <w:p w14:paraId="179A0D6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A617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自助开单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6F23E10">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支持通过实名制认证后，自助开据检验检查项目。</w:t>
            </w:r>
          </w:p>
        </w:tc>
      </w:tr>
      <w:tr w14:paraId="36527227">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auto" w:sz="4" w:space="0"/>
              <w:right w:val="single" w:color="000000" w:sz="4" w:space="0"/>
            </w:tcBorders>
            <w:noWrap w:val="0"/>
            <w:vAlign w:val="center"/>
          </w:tcPr>
          <w:p w14:paraId="0D1FBD7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000000" w:sz="4" w:space="0"/>
            </w:tcBorders>
            <w:noWrap w:val="0"/>
            <w:vAlign w:val="center"/>
          </w:tcPr>
          <w:p w14:paraId="415A74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▲线上线下一体化</w:t>
            </w:r>
          </w:p>
        </w:tc>
        <w:tc>
          <w:tcPr>
            <w:tcW w:w="6278" w:type="dxa"/>
            <w:tcBorders>
              <w:top w:val="single" w:color="000000" w:sz="4" w:space="0"/>
              <w:left w:val="single" w:color="000000" w:sz="4" w:space="0"/>
              <w:bottom w:val="single" w:color="auto" w:sz="4" w:space="0"/>
              <w:right w:val="single" w:color="000000" w:sz="4" w:space="0"/>
            </w:tcBorders>
            <w:noWrap w:val="0"/>
            <w:vAlign w:val="center"/>
          </w:tcPr>
          <w:p w14:paraId="3709DBE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支持界面显示二维码链接，扫描后直接打开线上小程序对应界面，进行对等业务操作。线上线下全面实现患者资料、基础数据、临床数据、财务数据、服务信息实时共享，业务流程互联互通，软件功能同质化、历史数据查询共享。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r>
              <w:rPr>
                <w:rFonts w:hint="eastAsia"/>
                <w:b/>
                <w:bCs/>
                <w:color w:val="auto"/>
                <w:highlight w:val="none"/>
                <w:lang w:eastAsia="zh-CN"/>
              </w:rPr>
              <w:t>。</w:t>
            </w:r>
          </w:p>
        </w:tc>
      </w:tr>
      <w:tr w14:paraId="1C61750D">
        <w:tblPrEx>
          <w:tblCellMar>
            <w:top w:w="0" w:type="dxa"/>
            <w:left w:w="0" w:type="dxa"/>
            <w:bottom w:w="0" w:type="dxa"/>
            <w:right w:w="0" w:type="dxa"/>
          </w:tblCellMar>
        </w:tblPrEx>
        <w:trPr>
          <w:trHeight w:val="439" w:hRule="atLeast"/>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0972A0E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移动结算终端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F7DCA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门诊预约</w:t>
            </w:r>
          </w:p>
          <w:p w14:paraId="3B2ABC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527D8A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支持当日挂号与选择日期预约，识别方式支持医保电子凭证、身份证、医保人脸、手动输入患者识别号</w:t>
            </w:r>
          </w:p>
        </w:tc>
      </w:tr>
      <w:tr w14:paraId="730BBB24">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B9A37A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D5E7A0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业务凭证</w:t>
            </w:r>
          </w:p>
          <w:p w14:paraId="161CA8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461D5C4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支持完成业务办理后打印凭证</w:t>
            </w:r>
          </w:p>
        </w:tc>
      </w:tr>
      <w:tr w14:paraId="518012C8">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7CF41AA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AE5C6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门诊缴费</w:t>
            </w:r>
          </w:p>
          <w:p w14:paraId="1DE3C1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7306612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支持医保电子凭证、医保人脸完成医保结算，自费部分支持微信、支付宝扫码付</w:t>
            </w:r>
          </w:p>
        </w:tc>
      </w:tr>
      <w:tr w14:paraId="518E3FBE">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96F328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9455DA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门诊签到</w:t>
            </w:r>
          </w:p>
          <w:p w14:paraId="4185C9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29314BCD">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支持对接排队系统进行签到，支持对接排队系统接口对特殊患者进行优先就诊插入</w:t>
            </w:r>
          </w:p>
        </w:tc>
      </w:tr>
      <w:tr w14:paraId="50DC00B6">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11DEA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A2957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排队查询</w:t>
            </w:r>
          </w:p>
          <w:p w14:paraId="2B0536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5F1D576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支持对接排队系统查询当前排队情况</w:t>
            </w:r>
          </w:p>
        </w:tc>
      </w:tr>
      <w:tr w14:paraId="264855CF">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6840BD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C125AE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健康宣教</w:t>
            </w:r>
          </w:p>
          <w:p w14:paraId="16F7B3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5028759D">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支持对接院内宣教系统，实现宣教内容播放</w:t>
            </w:r>
          </w:p>
        </w:tc>
      </w:tr>
      <w:tr w14:paraId="67069D85">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71C1923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7565A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住院充值</w:t>
            </w:r>
          </w:p>
          <w:p w14:paraId="1E266E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1EC16A64">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支持支付宝、微信等方式为在院患者缴存住院押金，充值方式支持主扫被扫模式切换</w:t>
            </w:r>
          </w:p>
        </w:tc>
      </w:tr>
      <w:tr w14:paraId="1CB50CCE">
        <w:tblPrEx>
          <w:tblCellMar>
            <w:top w:w="0" w:type="dxa"/>
            <w:left w:w="0" w:type="dxa"/>
            <w:bottom w:w="0" w:type="dxa"/>
            <w:right w:w="0" w:type="dxa"/>
          </w:tblCellMar>
        </w:tblPrEx>
        <w:trPr>
          <w:trHeight w:val="722"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7B0F21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4A306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自费出院结算</w:t>
            </w:r>
          </w:p>
          <w:p w14:paraId="596AE3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74D7B57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支持住院自费退费结算.补缴结算</w:t>
            </w:r>
          </w:p>
        </w:tc>
      </w:tr>
      <w:tr w14:paraId="74E9B4C8">
        <w:tblPrEx>
          <w:tblCellMar>
            <w:top w:w="0" w:type="dxa"/>
            <w:left w:w="0" w:type="dxa"/>
            <w:bottom w:w="0" w:type="dxa"/>
            <w:right w:w="0" w:type="dxa"/>
          </w:tblCellMar>
        </w:tblPrEx>
        <w:trPr>
          <w:trHeight w:val="443"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0C4D8F6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A9DFEC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医保出院结算</w:t>
            </w:r>
          </w:p>
          <w:p w14:paraId="39E1F1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FF1162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支持住院医保、自费退费结算.补缴结算（医保结算支持医保刷脸、医保电子凭证介质）</w:t>
            </w:r>
          </w:p>
        </w:tc>
      </w:tr>
    </w:tbl>
    <w:p w14:paraId="733FB4E9">
      <w:pPr>
        <w:pageBreakBefore w:val="0"/>
        <w:kinsoku/>
        <w:overflowPunct/>
        <w:autoSpaceDE/>
        <w:autoSpaceDN/>
        <w:bidi w:val="0"/>
        <w:adjustRightInd w:val="0"/>
        <w:snapToGrid w:val="0"/>
        <w:rPr>
          <w:rFonts w:hint="default"/>
          <w:color w:val="auto"/>
          <w:highlight w:val="none"/>
          <w:lang w:val="en-US" w:eastAsia="zh-CN"/>
        </w:rPr>
      </w:pPr>
    </w:p>
    <w:p w14:paraId="6772089A">
      <w:pPr>
        <w:pageBreakBefore w:val="0"/>
        <w:kinsoku/>
        <w:overflowPunct/>
        <w:autoSpaceDE/>
        <w:autoSpaceDN/>
        <w:bidi w:val="0"/>
        <w:adjustRightInd w:val="0"/>
        <w:snapToGrid w:val="0"/>
        <w:rPr>
          <w:rFonts w:hint="eastAsia"/>
          <w:color w:val="auto"/>
          <w:highlight w:val="none"/>
        </w:rPr>
      </w:pPr>
    </w:p>
    <w:p w14:paraId="0266B942">
      <w:pPr>
        <w:pStyle w:val="16"/>
        <w:pageBreakBefore w:val="0"/>
        <w:numPr>
          <w:ilvl w:val="0"/>
          <w:numId w:val="18"/>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多功能自助打印系统</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val="en-US" w:eastAsia="zh-CN"/>
        </w:rPr>
        <w:t>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4025864C">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72BE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8330B">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686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579B86BB">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6E7BC69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多功能自助打印系统</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AFA1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一站式打印</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4D8A910">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实名制确认方式，打印检验、超声、心电、病理、药品处方、导诊单、缴费凭条、诊断证明书、门诊病历、电子发票、费用清单、腕带（选配）、催款通知、住院（检查、治疗）申请单、住院押金充值费用凭条、出院小结、线上支付凭条等，支持黑白和彩色（选配）打印，支持补打，设定免费打印次数。</w:t>
            </w:r>
          </w:p>
        </w:tc>
      </w:tr>
    </w:tbl>
    <w:p w14:paraId="3F7A7B24">
      <w:pPr>
        <w:pStyle w:val="16"/>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p>
    <w:p w14:paraId="7A5B20C8">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自助运维管理平台功能需求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4F918432">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217A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033D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D47A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5AE47D35">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1A1906B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运行环境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BCD4C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环境要求</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5234CBC">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自助运维管理平台应支持windows\安卓\鸿蒙\苹果等操作系统，根据医院自身需要进行选配。</w:t>
            </w:r>
          </w:p>
        </w:tc>
      </w:tr>
      <w:tr w14:paraId="5F09AB13">
        <w:tblPrEx>
          <w:tblCellMar>
            <w:top w:w="0" w:type="dxa"/>
            <w:left w:w="108" w:type="dxa"/>
            <w:bottom w:w="0" w:type="dxa"/>
            <w:right w:w="108" w:type="dxa"/>
          </w:tblCellMar>
        </w:tblPrEx>
        <w:trPr>
          <w:trHeight w:val="412"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5F785CA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D6D42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个性化配置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43F8F19">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全局化与个性化业务配置（全院/分院/医联体/门诊/急诊/科室），包括挂号、预约、缴费等业务（科室—专业—专家—号源的业务流程自主配置）；支持节假日自主配置，并应用到自助机的相关业务时间配置中；支持页面风格（皮肤）主题颜色个性化配置。</w:t>
            </w:r>
          </w:p>
        </w:tc>
      </w:tr>
      <w:tr w14:paraId="0981D49D">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15023EF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8C90E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键盘自定义配置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53D232F">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患者建档过程中，录入患者基本信息时，支持多种输入法，如手写，拼音，联想记忆等。</w:t>
            </w:r>
          </w:p>
        </w:tc>
      </w:tr>
      <w:tr w14:paraId="56645738">
        <w:tblPrEx>
          <w:tblCellMar>
            <w:top w:w="0" w:type="dxa"/>
            <w:left w:w="108" w:type="dxa"/>
            <w:bottom w:w="0" w:type="dxa"/>
            <w:right w:w="108" w:type="dxa"/>
          </w:tblCellMar>
        </w:tblPrEx>
        <w:trPr>
          <w:trHeight w:val="405"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4E74EF0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012AF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多语种配置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BD34D8D">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支持中英，简/繁等配置。</w:t>
            </w:r>
          </w:p>
        </w:tc>
      </w:tr>
      <w:tr w14:paraId="33AB0CAE">
        <w:tblPrEx>
          <w:tblCellMar>
            <w:top w:w="0" w:type="dxa"/>
            <w:left w:w="108" w:type="dxa"/>
            <w:bottom w:w="0" w:type="dxa"/>
            <w:right w:w="108" w:type="dxa"/>
          </w:tblCellMar>
        </w:tblPrEx>
        <w:trPr>
          <w:trHeight w:val="52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A40827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BB038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C95543C">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配置自助机所在区域、编号、IP地址、MAC地址、设备型号等信息；配置自助机的硬件参数以及软件参数</w:t>
            </w:r>
            <w:r>
              <w:rPr>
                <w:rFonts w:hint="eastAsia" w:ascii="宋体" w:hAnsi="宋体" w:eastAsia="宋体" w:cs="宋体"/>
                <w:color w:val="auto"/>
                <w:sz w:val="21"/>
                <w:szCs w:val="21"/>
                <w:highlight w:val="none"/>
                <w:lang w:eastAsia="zh-CN"/>
              </w:rPr>
              <w:t>。</w:t>
            </w:r>
          </w:p>
        </w:tc>
      </w:tr>
      <w:tr w14:paraId="270F7FB2">
        <w:tblPrEx>
          <w:tblCellMar>
            <w:top w:w="0" w:type="dxa"/>
            <w:left w:w="108" w:type="dxa"/>
            <w:bottom w:w="0" w:type="dxa"/>
            <w:right w:w="108" w:type="dxa"/>
          </w:tblCellMar>
        </w:tblPrEx>
        <w:trPr>
          <w:trHeight w:val="1004"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0012B98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4DE0A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运行管理</w:t>
            </w:r>
          </w:p>
        </w:tc>
        <w:tc>
          <w:tcPr>
            <w:tcW w:w="6284" w:type="dxa"/>
            <w:tcBorders>
              <w:top w:val="single" w:color="000000" w:sz="4" w:space="0"/>
              <w:left w:val="single" w:color="000000" w:sz="4" w:space="0"/>
              <w:bottom w:val="nil"/>
              <w:right w:val="single" w:color="000000" w:sz="4" w:space="0"/>
            </w:tcBorders>
            <w:noWrap w:val="0"/>
            <w:vAlign w:val="center"/>
          </w:tcPr>
          <w:p w14:paraId="00674BE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自助机的实时监控，支持手机端、PC端、自助端实时查看任意一台自助机实时的交易情况和任一时间段内的交易情况；按照区域显示所有自助机状态，包括正常、预警、告警三个状态；显示该机器上所有硬件模块的工作状态，以及异常内容；显示自助机版本号。</w:t>
            </w:r>
          </w:p>
        </w:tc>
      </w:tr>
      <w:tr w14:paraId="07FF4DBD">
        <w:tblPrEx>
          <w:tblCellMar>
            <w:top w:w="0" w:type="dxa"/>
            <w:left w:w="108" w:type="dxa"/>
            <w:bottom w:w="0" w:type="dxa"/>
            <w:right w:w="108" w:type="dxa"/>
          </w:tblCellMar>
        </w:tblPrEx>
        <w:trPr>
          <w:trHeight w:val="46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82A74D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6126E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远程维护</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6623DE59">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终端自助机支持远程重启，关机，业务暂停，业务开始功能。</w:t>
            </w:r>
          </w:p>
        </w:tc>
      </w:tr>
      <w:tr w14:paraId="4FE50CA6">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09CD1E6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B76EC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8C1ECB4">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实时显示监控服务器CPU、磁盘、内存占用情况，可设置阈值预警；支持院区终端信息监控，异常数据自动上报。</w:t>
            </w:r>
          </w:p>
        </w:tc>
      </w:tr>
      <w:tr w14:paraId="02B86C45">
        <w:tblPrEx>
          <w:tblCellMar>
            <w:top w:w="0" w:type="dxa"/>
            <w:left w:w="108" w:type="dxa"/>
            <w:bottom w:w="0" w:type="dxa"/>
            <w:right w:w="108" w:type="dxa"/>
          </w:tblCellMar>
        </w:tblPrEx>
        <w:trPr>
          <w:trHeight w:val="48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065FB69">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2DCA9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外设监控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B71EF23">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支持对凭条打印机，报告打印机的监控功能和内外网告警提醒。</w:t>
            </w:r>
          </w:p>
        </w:tc>
      </w:tr>
      <w:tr w14:paraId="35CDC6DA">
        <w:tblPrEx>
          <w:tblCellMar>
            <w:top w:w="0" w:type="dxa"/>
            <w:left w:w="108" w:type="dxa"/>
            <w:bottom w:w="0" w:type="dxa"/>
            <w:right w:w="108" w:type="dxa"/>
          </w:tblCellMar>
        </w:tblPrEx>
        <w:trPr>
          <w:trHeight w:val="70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76D3EB6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F13BC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AA77A85">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对医院区域进行增加，删除，修改和查询；支持多院区管理，医联体/多院区内各节点医院业务流程互通，缴费流程互通，数据统计互通。</w:t>
            </w:r>
          </w:p>
        </w:tc>
      </w:tr>
      <w:tr w14:paraId="436B2EBC">
        <w:tblPrEx>
          <w:tblCellMar>
            <w:top w:w="0" w:type="dxa"/>
            <w:left w:w="108" w:type="dxa"/>
            <w:bottom w:w="0" w:type="dxa"/>
            <w:right w:w="108" w:type="dxa"/>
          </w:tblCellMar>
        </w:tblPrEx>
        <w:trPr>
          <w:trHeight w:val="527"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7486B">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78D43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09B524F">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支持自助机自动报修（如缺纸，少纸，故障等）；支持患者/医务人员扫码报修；支持驻场运维人员扫码巡检，并提供日常巡检工作量表格。</w:t>
            </w:r>
          </w:p>
        </w:tc>
      </w:tr>
      <w:tr w14:paraId="49E78579">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2495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138EE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56729F3">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记录自助机维修记录，包括维修部件、故障类型名称、故障时间、维修结束时间等信息；支持运维平台实时自动通过微信公众号推送报修信息，设备故障信息等。</w:t>
            </w:r>
          </w:p>
        </w:tc>
      </w:tr>
      <w:tr w14:paraId="32835CFE">
        <w:tblPrEx>
          <w:tblCellMar>
            <w:top w:w="0" w:type="dxa"/>
            <w:left w:w="108" w:type="dxa"/>
            <w:bottom w:w="0" w:type="dxa"/>
            <w:right w:w="108" w:type="dxa"/>
          </w:tblCellMar>
        </w:tblPrEx>
        <w:trPr>
          <w:trHeight w:val="62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F2BB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14D68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0265954">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查看设备的故障记录明细，包括硬件故障，软件故障，通讯故障，设备编号，故障类型，设备类型，ip，故障时间，故障详述。</w:t>
            </w:r>
          </w:p>
        </w:tc>
      </w:tr>
      <w:tr w14:paraId="52E58B4A">
        <w:tblPrEx>
          <w:tblCellMar>
            <w:top w:w="0" w:type="dxa"/>
            <w:left w:w="108" w:type="dxa"/>
            <w:bottom w:w="0" w:type="dxa"/>
            <w:right w:w="108" w:type="dxa"/>
          </w:tblCellMar>
        </w:tblPrEx>
        <w:trPr>
          <w:trHeight w:val="47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59EC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EA25B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故障率统计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4546B7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按故障类型和时间统计终端的故障次数。</w:t>
            </w:r>
          </w:p>
        </w:tc>
      </w:tr>
      <w:tr w14:paraId="3A19161B">
        <w:tblPrEx>
          <w:tblCellMar>
            <w:top w:w="0" w:type="dxa"/>
            <w:left w:w="108" w:type="dxa"/>
            <w:bottom w:w="0" w:type="dxa"/>
            <w:right w:w="108" w:type="dxa"/>
          </w:tblCellMar>
        </w:tblPrEx>
        <w:trPr>
          <w:trHeight w:val="666"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47E1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ABBF4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5CD51B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查询每次交易记录，包括设备编号、银行、就诊卡号、业务类型、资金类型、金额、支付流水号、自助机交易时间、支付终端号、支付账号、支付时间等</w:t>
            </w:r>
            <w:r>
              <w:rPr>
                <w:rFonts w:hint="eastAsia" w:ascii="宋体" w:hAnsi="宋体" w:eastAsia="宋体" w:cs="宋体"/>
                <w:color w:val="auto"/>
                <w:sz w:val="21"/>
                <w:szCs w:val="21"/>
                <w:highlight w:val="none"/>
                <w:lang w:eastAsia="zh-CN"/>
              </w:rPr>
              <w:t>。</w:t>
            </w:r>
          </w:p>
        </w:tc>
      </w:tr>
      <w:tr w14:paraId="4129927C">
        <w:tblPrEx>
          <w:tblCellMar>
            <w:top w:w="0" w:type="dxa"/>
            <w:left w:w="108" w:type="dxa"/>
            <w:bottom w:w="0" w:type="dxa"/>
            <w:right w:w="108" w:type="dxa"/>
          </w:tblCellMar>
        </w:tblPrEx>
        <w:trPr>
          <w:trHeight w:val="112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90E1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0853B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医保结算明细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483444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结算记录，包括设备编号、银行、就诊卡号、业务类型、资金类型、金额、支付流水号、自助机交易时间、支付终端号、支付账号、支付时间、第三方订单号、订单状态、科室、医生、患者姓名、手机号、身份证、余额支付、医保支付、地区编码、退款金额、退款时间等。</w:t>
            </w:r>
          </w:p>
        </w:tc>
      </w:tr>
      <w:tr w14:paraId="68CF8F85">
        <w:tblPrEx>
          <w:tblCellMar>
            <w:top w:w="0" w:type="dxa"/>
            <w:left w:w="108" w:type="dxa"/>
            <w:bottom w:w="0" w:type="dxa"/>
            <w:right w:w="108" w:type="dxa"/>
          </w:tblCellMar>
        </w:tblPrEx>
        <w:trPr>
          <w:trHeight w:val="805"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BF4F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AD40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管理员驾驶仓</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0F600CA">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门诊/住院业务数据实时统计、监控，生成电子看板；支持对全院终端运维情况数据实时统计、监控，生成电子看板；具有自助服务使用数据分析能力，能够有效指导医院对点位安排、设备数量、人流动线等进行合理规划，促进智慧化管理运营决策支持。</w:t>
            </w:r>
          </w:p>
        </w:tc>
      </w:tr>
      <w:tr w14:paraId="15977A3B">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BDB6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AB5D2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工作量统计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40783B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统计每台终端运行至今数据，包括挂号、预约、缴费数量，缴费金额，不同项目打印张数等，支持患者个人相关数据统计。</w:t>
            </w:r>
          </w:p>
        </w:tc>
      </w:tr>
      <w:tr w14:paraId="4FAB18FC">
        <w:tblPrEx>
          <w:tblCellMar>
            <w:top w:w="0" w:type="dxa"/>
            <w:left w:w="108" w:type="dxa"/>
            <w:bottom w:w="0" w:type="dxa"/>
            <w:right w:w="108" w:type="dxa"/>
          </w:tblCellMar>
        </w:tblPrEx>
        <w:trPr>
          <w:trHeight w:val="408"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90F1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EC068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0FB6D84">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支持对全院支付交易业务数据实时统计，监控，生成电子看板；统计每台设备银行卡，微信，支付宝，现金交易笔数和金额，支持权限管理</w:t>
            </w:r>
            <w:r>
              <w:rPr>
                <w:rFonts w:hint="eastAsia" w:ascii="宋体" w:hAnsi="宋体" w:eastAsia="宋体" w:cs="宋体"/>
                <w:color w:val="auto"/>
                <w:sz w:val="21"/>
                <w:szCs w:val="21"/>
                <w:highlight w:val="none"/>
                <w:lang w:eastAsia="zh-CN"/>
              </w:rPr>
              <w:t>。</w:t>
            </w:r>
          </w:p>
        </w:tc>
      </w:tr>
      <w:tr w14:paraId="3E0B274C">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80A0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433C6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9A23C8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可统计门诊/住院满意度调查结果；可对门诊/住院满意度调查结果生成分析图表。</w:t>
            </w:r>
          </w:p>
        </w:tc>
      </w:tr>
      <w:tr w14:paraId="754AAD29">
        <w:tblPrEx>
          <w:tblCellMar>
            <w:top w:w="0" w:type="dxa"/>
            <w:left w:w="108" w:type="dxa"/>
            <w:bottom w:w="0" w:type="dxa"/>
            <w:right w:w="108" w:type="dxa"/>
          </w:tblCellMar>
        </w:tblPrEx>
        <w:trPr>
          <w:trHeight w:val="408"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7DEB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BE26E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角色管理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2119A50">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对系统角色进行增加，删除，修改以及分配角色菜单权限</w:t>
            </w:r>
          </w:p>
        </w:tc>
      </w:tr>
      <w:tr w14:paraId="1BC6270C">
        <w:tblPrEx>
          <w:tblCellMar>
            <w:top w:w="0" w:type="dxa"/>
            <w:left w:w="108" w:type="dxa"/>
            <w:bottom w:w="0" w:type="dxa"/>
            <w:right w:w="108" w:type="dxa"/>
          </w:tblCellMar>
        </w:tblPrEx>
        <w:trPr>
          <w:trHeight w:val="34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3563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DDB32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E12D807">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对系统用户进行增加，删除，修改以及分配角色</w:t>
            </w:r>
          </w:p>
        </w:tc>
      </w:tr>
    </w:tbl>
    <w:p w14:paraId="790AFF91">
      <w:pPr>
        <w:pageBreakBefore w:val="0"/>
        <w:kinsoku/>
        <w:overflowPunct/>
        <w:autoSpaceDE/>
        <w:autoSpaceDN/>
        <w:bidi w:val="0"/>
        <w:adjustRightInd w:val="0"/>
        <w:snapToGrid w:val="0"/>
        <w:rPr>
          <w:rFonts w:hint="eastAsia"/>
          <w:color w:val="auto"/>
          <w:highlight w:val="none"/>
        </w:rPr>
      </w:pPr>
    </w:p>
    <w:p w14:paraId="14258B71">
      <w:pPr>
        <w:pageBreakBefore w:val="0"/>
        <w:kinsoku/>
        <w:overflowPunct/>
        <w:autoSpaceDE/>
        <w:autoSpaceDN/>
        <w:bidi w:val="0"/>
        <w:adjustRightInd w:val="0"/>
        <w:snapToGrid w:val="0"/>
        <w:rPr>
          <w:rFonts w:hint="eastAsia"/>
          <w:color w:val="auto"/>
          <w:highlight w:val="none"/>
        </w:rPr>
      </w:pPr>
    </w:p>
    <w:p w14:paraId="50B76EFB">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自助系统支付与对账功能需求</w:t>
      </w:r>
    </w:p>
    <w:tbl>
      <w:tblPr>
        <w:tblStyle w:val="45"/>
        <w:tblW w:w="8438" w:type="dxa"/>
        <w:jc w:val="center"/>
        <w:tblLayout w:type="fixed"/>
        <w:tblCellMar>
          <w:top w:w="0" w:type="dxa"/>
          <w:left w:w="108" w:type="dxa"/>
          <w:bottom w:w="0" w:type="dxa"/>
          <w:right w:w="108" w:type="dxa"/>
        </w:tblCellMar>
      </w:tblPr>
      <w:tblGrid>
        <w:gridCol w:w="903"/>
        <w:gridCol w:w="1211"/>
        <w:gridCol w:w="6324"/>
      </w:tblGrid>
      <w:tr w14:paraId="405B0961">
        <w:tblPrEx>
          <w:tblCellMar>
            <w:top w:w="0" w:type="dxa"/>
            <w:left w:w="108" w:type="dxa"/>
            <w:bottom w:w="0" w:type="dxa"/>
            <w:right w:w="108" w:type="dxa"/>
          </w:tblCellMar>
        </w:tblPrEx>
        <w:trPr>
          <w:trHeight w:val="630" w:hRule="atLeast"/>
          <w:tblHeader/>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BFC4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EFD8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3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3D96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bookmarkStart w:id="127" w:name="OLE_LINK6"/>
            <w:bookmarkStart w:id="128" w:name="OLE_LINK5"/>
            <w:r>
              <w:rPr>
                <w:rFonts w:hint="eastAsia" w:ascii="宋体" w:hAnsi="宋体" w:eastAsia="宋体" w:cs="宋体"/>
                <w:b/>
                <w:bCs/>
                <w:color w:val="auto"/>
                <w:sz w:val="21"/>
                <w:szCs w:val="21"/>
                <w:highlight w:val="none"/>
              </w:rPr>
              <w:t>功能</w:t>
            </w:r>
            <w:bookmarkEnd w:id="127"/>
            <w:bookmarkEnd w:id="128"/>
            <w:r>
              <w:rPr>
                <w:rFonts w:hint="eastAsia" w:ascii="宋体" w:hAnsi="宋体" w:eastAsia="宋体" w:cs="宋体"/>
                <w:b/>
                <w:bCs/>
                <w:color w:val="auto"/>
                <w:sz w:val="21"/>
                <w:szCs w:val="21"/>
                <w:highlight w:val="none"/>
              </w:rPr>
              <w:t>描述</w:t>
            </w:r>
          </w:p>
        </w:tc>
      </w:tr>
      <w:tr w14:paraId="1A861017">
        <w:tblPrEx>
          <w:tblCellMar>
            <w:top w:w="0" w:type="dxa"/>
            <w:left w:w="108" w:type="dxa"/>
            <w:bottom w:w="0" w:type="dxa"/>
            <w:right w:w="108" w:type="dxa"/>
          </w:tblCellMar>
        </w:tblPrEx>
        <w:trPr>
          <w:trHeight w:val="630"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738C991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5188E52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1C7236A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7C3FFB3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29CB525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65539D58">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0E8A753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05B65FE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w:t>
            </w:r>
          </w:p>
          <w:p w14:paraId="2EF9A26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7C7B14D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C5272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统一接口</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3FBB77E6">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统一支付平台系统需支持对接医院所有收支业务，统一规范医院各支付通道接口，为医院各支付业务提供统一的支付接口、退费接口和统一的账单接口。</w:t>
            </w:r>
          </w:p>
        </w:tc>
      </w:tr>
      <w:tr w14:paraId="5231BA90">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63DFCAD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B992E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0F0B7782">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兼容多个支付平台，支持银行卡，支付宝，微信，人脸，数币，云闪付等多个支付平台；多场景支付平台，同时支持线上，线下，窗口等多支付场景。</w:t>
            </w:r>
          </w:p>
        </w:tc>
      </w:tr>
      <w:tr w14:paraId="7B9E8262">
        <w:tblPrEx>
          <w:tblCellMar>
            <w:top w:w="0" w:type="dxa"/>
            <w:left w:w="108" w:type="dxa"/>
            <w:bottom w:w="0" w:type="dxa"/>
            <w:right w:w="108" w:type="dxa"/>
          </w:tblCellMar>
        </w:tblPrEx>
        <w:trPr>
          <w:trHeight w:val="428" w:hRule="atLeast"/>
          <w:jc w:val="center"/>
        </w:trPr>
        <w:tc>
          <w:tcPr>
            <w:tcW w:w="903" w:type="dxa"/>
            <w:vMerge w:val="continue"/>
            <w:tcBorders>
              <w:left w:val="single" w:color="000000" w:sz="4" w:space="0"/>
              <w:right w:val="single" w:color="000000" w:sz="4" w:space="0"/>
            </w:tcBorders>
            <w:noWrap/>
            <w:vAlign w:val="center"/>
          </w:tcPr>
          <w:p w14:paraId="080CBC6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BF0FB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接口自动检测</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12C9190F">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支付开关及接口检测，能自由控制开关各类支付方式，能自动测试各类支持接口。</w:t>
            </w:r>
          </w:p>
        </w:tc>
      </w:tr>
      <w:tr w14:paraId="01105220">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0B74D9B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1E1A3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43018BF1">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支付密钥转化工具，支持转化支付宝、微信密钥，客户提供的相关文件格式不匹配时，可使用此工具自动转化为系统兼容格式。</w:t>
            </w:r>
          </w:p>
        </w:tc>
      </w:tr>
      <w:tr w14:paraId="15DDBC56">
        <w:tblPrEx>
          <w:tblCellMar>
            <w:top w:w="0" w:type="dxa"/>
            <w:left w:w="108" w:type="dxa"/>
            <w:bottom w:w="0" w:type="dxa"/>
            <w:right w:w="108" w:type="dxa"/>
          </w:tblCellMar>
        </w:tblPrEx>
        <w:trPr>
          <w:trHeight w:val="567" w:hRule="atLeast"/>
          <w:jc w:val="center"/>
        </w:trPr>
        <w:tc>
          <w:tcPr>
            <w:tcW w:w="903" w:type="dxa"/>
            <w:vMerge w:val="continue"/>
            <w:tcBorders>
              <w:left w:val="single" w:color="000000" w:sz="4" w:space="0"/>
              <w:right w:val="single" w:color="000000" w:sz="4" w:space="0"/>
            </w:tcBorders>
            <w:noWrap/>
            <w:vAlign w:val="center"/>
          </w:tcPr>
          <w:p w14:paraId="33E7078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C5569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支付安全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364C4CBB">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建立健全支付安全系统，确保院内支付环境及资金安全，对业务订单实现全流程监管记录，确保各类订单的可追溯性。</w:t>
            </w:r>
          </w:p>
        </w:tc>
      </w:tr>
      <w:tr w14:paraId="5E06BE16">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5C510C0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902AF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应用号配置</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7377C0D3">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支持一个应用号关联多个支付渠道和多个支付商户号，当应用号完成关联后，可应用于一站式智能终端、线上智慧医院平台、医院窗口等多个支付场景。</w:t>
            </w:r>
          </w:p>
        </w:tc>
      </w:tr>
      <w:tr w14:paraId="45E9FF98">
        <w:tblPrEx>
          <w:tblCellMar>
            <w:top w:w="0" w:type="dxa"/>
            <w:left w:w="108" w:type="dxa"/>
            <w:bottom w:w="0" w:type="dxa"/>
            <w:right w:w="108" w:type="dxa"/>
          </w:tblCellMar>
        </w:tblPrEx>
        <w:trPr>
          <w:trHeight w:val="383"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0D3618F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6BD5295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对账功能</w:t>
            </w:r>
          </w:p>
          <w:p w14:paraId="693145C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4F1ADC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已有对账平台对接</w:t>
            </w:r>
          </w:p>
        </w:tc>
        <w:tc>
          <w:tcPr>
            <w:tcW w:w="6324" w:type="dxa"/>
            <w:tcBorders>
              <w:top w:val="single" w:color="000000" w:sz="4" w:space="0"/>
              <w:left w:val="single" w:color="000000" w:sz="4" w:space="0"/>
              <w:bottom w:val="nil"/>
              <w:right w:val="single" w:color="000000" w:sz="4" w:space="0"/>
            </w:tcBorders>
            <w:noWrap w:val="0"/>
            <w:vAlign w:val="center"/>
          </w:tcPr>
          <w:p w14:paraId="7FE319B9">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支持对接院内已有对账平台，将自助系统财务数据推送至对账平台。</w:t>
            </w:r>
          </w:p>
        </w:tc>
      </w:tr>
      <w:tr w14:paraId="1357ACBF">
        <w:tblPrEx>
          <w:tblCellMar>
            <w:top w:w="0" w:type="dxa"/>
            <w:left w:w="108" w:type="dxa"/>
            <w:bottom w:w="0" w:type="dxa"/>
            <w:right w:w="108" w:type="dxa"/>
          </w:tblCellMar>
        </w:tblPrEx>
        <w:trPr>
          <w:trHeight w:val="383" w:hRule="atLeast"/>
          <w:jc w:val="center"/>
        </w:trPr>
        <w:tc>
          <w:tcPr>
            <w:tcW w:w="903" w:type="dxa"/>
            <w:vMerge w:val="continue"/>
            <w:tcBorders>
              <w:left w:val="single" w:color="000000" w:sz="4" w:space="0"/>
              <w:right w:val="single" w:color="000000" w:sz="4" w:space="0"/>
            </w:tcBorders>
            <w:noWrap/>
            <w:vAlign w:val="center"/>
          </w:tcPr>
          <w:p w14:paraId="1EB9FB4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1DDD48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对账平台（备用）</w:t>
            </w:r>
          </w:p>
        </w:tc>
        <w:tc>
          <w:tcPr>
            <w:tcW w:w="6324" w:type="dxa"/>
            <w:tcBorders>
              <w:top w:val="single" w:color="000000" w:sz="4" w:space="0"/>
              <w:left w:val="single" w:color="000000" w:sz="4" w:space="0"/>
              <w:bottom w:val="nil"/>
              <w:right w:val="single" w:color="000000" w:sz="4" w:space="0"/>
            </w:tcBorders>
            <w:noWrap w:val="0"/>
            <w:vAlign w:val="center"/>
          </w:tcPr>
          <w:p w14:paraId="2D19D87E">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多院区多平台对账：支持多院区对账（如本院，分院），支持多支付平台对账，如本地医保，异地医保，银联商务等。</w:t>
            </w:r>
          </w:p>
          <w:p w14:paraId="6875B6BF">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多账户对账：支持多商户号对账，如门诊和住院商户号不统一，医院和体检商户号不统一，医院和社区商户号不统一等。</w:t>
            </w:r>
          </w:p>
          <w:p w14:paraId="0714FB84">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多支付场景对账：支持小程序，自助机，窗口，诊间等多支持场景对账。</w:t>
            </w:r>
          </w:p>
          <w:p w14:paraId="04DEE0B4">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多支付方式对账：支持微信，支付宝，银联，数币，人脸等对账。</w:t>
            </w:r>
          </w:p>
          <w:p w14:paraId="4DDCD8ED">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三方对账：支持业务类型（如挂号、缴费、住院、体检等）进行三方对账。</w:t>
            </w:r>
          </w:p>
        </w:tc>
      </w:tr>
      <w:tr w14:paraId="0C9E1DE5">
        <w:tblPrEx>
          <w:tblCellMar>
            <w:top w:w="0" w:type="dxa"/>
            <w:left w:w="108" w:type="dxa"/>
            <w:bottom w:w="0" w:type="dxa"/>
            <w:right w:w="108" w:type="dxa"/>
          </w:tblCellMar>
        </w:tblPrEx>
        <w:trPr>
          <w:trHeight w:val="3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369E982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C728A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统计报表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68203445">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支持自动生成多种对账报表，并且支持根据医院的实际需求进行定制报表；能统计各类支付记录，监控记录支付轨迹。</w:t>
            </w:r>
          </w:p>
        </w:tc>
      </w:tr>
    </w:tbl>
    <w:p w14:paraId="6963EA42">
      <w:pPr>
        <w:pageBreakBefore w:val="0"/>
        <w:kinsoku/>
        <w:overflowPunct/>
        <w:autoSpaceDE/>
        <w:autoSpaceDN/>
        <w:bidi w:val="0"/>
        <w:adjustRightInd w:val="0"/>
        <w:snapToGrid w:val="0"/>
        <w:rPr>
          <w:rFonts w:hint="eastAsia"/>
          <w:color w:val="auto"/>
          <w:highlight w:val="none"/>
        </w:rPr>
      </w:pPr>
    </w:p>
    <w:p w14:paraId="758EA1C7">
      <w:pP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掌上医院</w:t>
      </w:r>
      <w:r>
        <w:rPr>
          <w:rFonts w:hint="eastAsia" w:ascii="宋体" w:hAnsi="宋体" w:eastAsia="宋体" w:cs="宋体"/>
          <w:color w:val="auto"/>
          <w:sz w:val="21"/>
          <w:szCs w:val="21"/>
          <w:highlight w:val="none"/>
        </w:rPr>
        <w:t>小程序</w:t>
      </w:r>
      <w:r>
        <w:rPr>
          <w:rFonts w:hint="eastAsia" w:ascii="宋体" w:hAnsi="宋体" w:eastAsia="宋体" w:cs="宋体"/>
          <w:color w:val="auto"/>
          <w:szCs w:val="21"/>
          <w:highlight w:val="none"/>
        </w:rPr>
        <w:t>功能需求</w:t>
      </w:r>
    </w:p>
    <w:tbl>
      <w:tblPr>
        <w:tblStyle w:val="45"/>
        <w:tblW w:w="5132" w:type="pct"/>
        <w:jc w:val="center"/>
        <w:shd w:val="clear" w:color="auto" w:fill="auto"/>
        <w:tblLayout w:type="fixed"/>
        <w:tblCellMar>
          <w:top w:w="0" w:type="dxa"/>
          <w:left w:w="0" w:type="dxa"/>
          <w:bottom w:w="0" w:type="dxa"/>
          <w:right w:w="0" w:type="dxa"/>
        </w:tblCellMar>
      </w:tblPr>
      <w:tblGrid>
        <w:gridCol w:w="935"/>
        <w:gridCol w:w="1398"/>
        <w:gridCol w:w="6203"/>
      </w:tblGrid>
      <w:tr w14:paraId="6A1A1DA6">
        <w:tblPrEx>
          <w:shd w:val="clear" w:color="auto" w:fill="auto"/>
          <w:tblCellMar>
            <w:top w:w="0" w:type="dxa"/>
            <w:left w:w="0" w:type="dxa"/>
            <w:bottom w:w="0" w:type="dxa"/>
            <w:right w:w="0" w:type="dxa"/>
          </w:tblCellMar>
        </w:tblPrEx>
        <w:trPr>
          <w:trHeight w:val="683" w:hRule="atLeast"/>
          <w:tblHeader/>
          <w:jc w:val="center"/>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AA7AB">
            <w:pPr>
              <w:keepNext w:val="0"/>
              <w:keepLines w:val="0"/>
              <w:pageBreakBefore w:val="0"/>
              <w:kinsoku/>
              <w:overflowPunct/>
              <w:autoSpaceDE/>
              <w:autoSpaceDN/>
              <w:bidi w:val="0"/>
              <w:adjustRightInd w:val="0"/>
              <w:snapToGrid w:val="0"/>
              <w:spacing w:line="360" w:lineRule="exact"/>
              <w:ind w:left="0" w:firstLine="0"/>
              <w:jc w:val="center"/>
              <w:rPr>
                <w:rFonts w:hint="eastAsia" w:eastAsia="宋体"/>
                <w:b/>
                <w:bCs/>
                <w:color w:val="auto"/>
                <w:highlight w:val="none"/>
                <w:lang w:eastAsia="zh-CN"/>
              </w:rPr>
            </w:pPr>
            <w:r>
              <w:rPr>
                <w:rFonts w:hint="eastAsia"/>
                <w:b/>
                <w:bCs/>
                <w:color w:val="auto"/>
                <w:highlight w:val="none"/>
                <w:lang w:val="en-US" w:eastAsia="zh-CN"/>
              </w:rPr>
              <w:t>模块</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760A4">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lang w:val="en-US" w:eastAsia="zh-CN"/>
              </w:rPr>
              <w:t>业务</w:t>
            </w:r>
            <w:r>
              <w:rPr>
                <w:rFonts w:hint="eastAsia"/>
                <w:b/>
                <w:bCs/>
                <w:color w:val="auto"/>
                <w:highlight w:val="none"/>
              </w:rPr>
              <w:t>功能</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5BD94">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rPr>
              <w:t>功能描述</w:t>
            </w:r>
          </w:p>
        </w:tc>
      </w:tr>
      <w:tr w14:paraId="7A70B1CA">
        <w:tblPrEx>
          <w:tblCellMar>
            <w:top w:w="0" w:type="dxa"/>
            <w:left w:w="0" w:type="dxa"/>
            <w:bottom w:w="0" w:type="dxa"/>
            <w:right w:w="0" w:type="dxa"/>
          </w:tblCellMar>
        </w:tblPrEx>
        <w:trPr>
          <w:trHeight w:val="49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8759C">
            <w:pPr>
              <w:keepNext w:val="0"/>
              <w:keepLines w:val="0"/>
              <w:pageBreakBefore w:val="0"/>
              <w:kinsoku/>
              <w:overflowPunct/>
              <w:autoSpaceDE/>
              <w:autoSpaceDN/>
              <w:bidi w:val="0"/>
              <w:adjustRightInd w:val="0"/>
              <w:snapToGrid w:val="0"/>
              <w:spacing w:line="360" w:lineRule="exact"/>
              <w:ind w:left="0" w:firstLine="0"/>
              <w:jc w:val="left"/>
              <w:rPr>
                <w:color w:val="auto"/>
                <w:highlight w:val="none"/>
              </w:rPr>
            </w:pPr>
            <w:r>
              <w:rPr>
                <w:rFonts w:hint="eastAsia"/>
                <w:b/>
                <w:bCs/>
                <w:color w:val="auto"/>
                <w:highlight w:val="none"/>
              </w:rPr>
              <w:t>线上小程序应支持在微信、支付宝运行</w:t>
            </w:r>
          </w:p>
        </w:tc>
      </w:tr>
      <w:tr w14:paraId="791D70CB">
        <w:tblPrEx>
          <w:shd w:val="clear" w:color="auto" w:fill="auto"/>
          <w:tblCellMar>
            <w:top w:w="0" w:type="dxa"/>
            <w:left w:w="0" w:type="dxa"/>
            <w:bottom w:w="0" w:type="dxa"/>
            <w:right w:w="0" w:type="dxa"/>
          </w:tblCellMar>
        </w:tblPrEx>
        <w:trPr>
          <w:trHeight w:val="359"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45BB8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门急诊管理</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DD0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就诊人管理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44FD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居民健康卡、医保电子凭证、电子卡等多种类型的卡；支持添加成人、儿童为就诊人，可设为默认、信息维护、解绑等；支持对接HIS完成就诊人信息的准确性验证，实现就诊人与院内就诊患者主索引记录的关联功能，能关联同一患者的多种身份介质（身份证、医保卡、电子健康卡）；确保通过公众号平台操作的业务记录能够顺畅的回写到院内HIS系统中，院内产生的业务记录（如挂号记录、交费记录、报告记录、住院记录）也能顺利的同步到公众号平台中；关联功能不需要用户自己操作，平台系统自动配合完成关联操作；支持管理员后台人工维护就诊人信息。</w:t>
            </w:r>
          </w:p>
        </w:tc>
      </w:tr>
      <w:tr w14:paraId="3D33C3C8">
        <w:tblPrEx>
          <w:tblCellMar>
            <w:top w:w="0" w:type="dxa"/>
            <w:left w:w="0" w:type="dxa"/>
            <w:bottom w:w="0" w:type="dxa"/>
            <w:right w:w="0" w:type="dxa"/>
          </w:tblCellMar>
        </w:tblPrEx>
        <w:trPr>
          <w:trHeight w:val="75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066AD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73D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唯一身份标识管理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231B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按照患者姓名、证件类型、证件号、手机号等信息进行统一管理，支持患者在各个院区建档信息统一查询管理；建立患者在平台中的唯一主索引信息，支持患者在不同的终端进行业务办理时，只需要通过授权完成身份的认证，无需多次注册。</w:t>
            </w:r>
          </w:p>
        </w:tc>
      </w:tr>
      <w:tr w14:paraId="4E42D57C">
        <w:tblPrEx>
          <w:tblCellMar>
            <w:top w:w="0" w:type="dxa"/>
            <w:left w:w="0" w:type="dxa"/>
            <w:bottom w:w="0" w:type="dxa"/>
            <w:right w:w="0" w:type="dxa"/>
          </w:tblCellMar>
        </w:tblPrEx>
        <w:trPr>
          <w:trHeight w:val="48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D81DD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EBA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就诊卡管理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070B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支持患者凭有效证件信息在线建档，并自动生成电子就诊卡，支持按照证件类型、证件号、姓名、手机号等信息查询该就诊人名下绑定的所有就诊卡信息查询。</w:t>
            </w:r>
          </w:p>
        </w:tc>
      </w:tr>
      <w:tr w14:paraId="0C794F1A">
        <w:tblPrEx>
          <w:tblCellMar>
            <w:top w:w="0" w:type="dxa"/>
            <w:left w:w="0" w:type="dxa"/>
            <w:bottom w:w="0" w:type="dxa"/>
            <w:right w:w="0" w:type="dxa"/>
          </w:tblCellMar>
        </w:tblPrEx>
        <w:trPr>
          <w:trHeight w:val="41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2E329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CA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人脸核身</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680D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支持使用线上人脸核身，确保患者的身份有效性。</w:t>
            </w:r>
          </w:p>
        </w:tc>
      </w:tr>
      <w:tr w14:paraId="67F717DF">
        <w:tblPrEx>
          <w:tblCellMar>
            <w:top w:w="0" w:type="dxa"/>
            <w:left w:w="0" w:type="dxa"/>
            <w:bottom w:w="0" w:type="dxa"/>
            <w:right w:w="0" w:type="dxa"/>
          </w:tblCellMar>
        </w:tblPrEx>
        <w:trPr>
          <w:trHeight w:val="80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BCC278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1D7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C845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为患者提供当日及当日后X天的号源信息，支持按照对应科室、分时段预约挂号，支持帮助关联其他就诊人预约挂号，支持线上多种方式支付挂号费，并进行医保分解，支持在可取消预约的时间内，在线取消预约退款，支持线上查看挂号记录。</w:t>
            </w:r>
          </w:p>
        </w:tc>
      </w:tr>
      <w:tr w14:paraId="13C5900F">
        <w:tblPrEx>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F1579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2FE2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智能导诊</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B8DBA">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ascii="宋体" w:hAnsi="宋体" w:cs="宋体"/>
                <w:color w:val="auto"/>
                <w:highlight w:val="none"/>
              </w:rPr>
              <w:t>人体图导诊系统，通过手动选择人体图中的部位及该部位可能对应的病灶情况，按照线上业务的操作逻辑及UI显示样式，引导患者进行线上挂号。</w:t>
            </w:r>
          </w:p>
        </w:tc>
      </w:tr>
      <w:tr w14:paraId="24352F26">
        <w:tblPrEx>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27558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BE8D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在线缴费</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D7A6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预约挂号未支付时，患者可以在线上进行取号并支付挂号费用，并进行医保分解。</w:t>
            </w:r>
          </w:p>
        </w:tc>
      </w:tr>
      <w:tr w14:paraId="3FC7FF89">
        <w:tblPrEx>
          <w:tblCellMar>
            <w:top w:w="0" w:type="dxa"/>
            <w:left w:w="0" w:type="dxa"/>
            <w:bottom w:w="0" w:type="dxa"/>
            <w:right w:w="0" w:type="dxa"/>
          </w:tblCellMar>
        </w:tblPrEx>
        <w:trPr>
          <w:trHeight w:val="46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F19C0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A765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线上报到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2D4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支持患者线上报到，患者在</w:t>
            </w:r>
            <w:r>
              <w:rPr>
                <w:rFonts w:hint="eastAsia"/>
                <w:color w:val="auto"/>
                <w:highlight w:val="none"/>
                <w:lang w:val="en-US" w:eastAsia="zh-CN"/>
              </w:rPr>
              <w:t>就诊诊区20米</w:t>
            </w:r>
            <w:r>
              <w:rPr>
                <w:rFonts w:hint="eastAsia"/>
                <w:color w:val="auto"/>
                <w:highlight w:val="none"/>
              </w:rPr>
              <w:t>范围内，可通过手机完成线上报到，支持患者查看即将就诊的诊室地址信息，支持患者查看当前叫号数和等待人数。</w:t>
            </w:r>
          </w:p>
        </w:tc>
      </w:tr>
      <w:tr w14:paraId="05581DC3">
        <w:tblPrEx>
          <w:tblCellMar>
            <w:top w:w="0" w:type="dxa"/>
            <w:left w:w="0" w:type="dxa"/>
            <w:bottom w:w="0" w:type="dxa"/>
            <w:right w:w="0" w:type="dxa"/>
          </w:tblCellMar>
        </w:tblPrEx>
        <w:trPr>
          <w:trHeight w:val="63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80591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4D5B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诊间支付</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CAB0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支持患者在医院就诊过程中产生的费用进行线上支付，患者可以查看未支付、已支付的信息，支持批量选择未支付的项目进行合并支付，患者支付时支持使用线下扫码等多种支付方式，并进行医保分解。</w:t>
            </w:r>
          </w:p>
        </w:tc>
      </w:tr>
      <w:tr w14:paraId="661A0BAB">
        <w:tblPrEx>
          <w:tblCellMar>
            <w:top w:w="0" w:type="dxa"/>
            <w:left w:w="0" w:type="dxa"/>
            <w:bottom w:w="0" w:type="dxa"/>
            <w:right w:w="0" w:type="dxa"/>
          </w:tblCellMar>
        </w:tblPrEx>
        <w:trPr>
          <w:trHeight w:val="46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4333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BF01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支付方式</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ECD3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支持处方单扫码付、自助机扫码付、当面付等功能；支持未成功缴费原路退回；支持对接电子发票；支持商保对接支付；支持医保卡脱卡支付</w:t>
            </w:r>
            <w:r>
              <w:rPr>
                <w:rFonts w:hint="eastAsia"/>
                <w:color w:val="auto"/>
                <w:highlight w:val="none"/>
              </w:rPr>
              <w:t>，支持使用电子货币支付，支持先诊疗后付费服务模式。</w:t>
            </w:r>
          </w:p>
        </w:tc>
      </w:tr>
      <w:tr w14:paraId="3F2BA164">
        <w:tblPrEx>
          <w:tblCellMar>
            <w:top w:w="0" w:type="dxa"/>
            <w:left w:w="0" w:type="dxa"/>
            <w:bottom w:w="0" w:type="dxa"/>
            <w:right w:w="0" w:type="dxa"/>
          </w:tblCellMar>
        </w:tblPrEx>
        <w:trPr>
          <w:trHeight w:val="34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CD72E3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E3C5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综合查询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0523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支持患者便捷查询功能，包括医院介绍、科室介绍、专家介绍、药品查询、物价查询、院内交易记录查询、院内预约挂号记录查询等</w:t>
            </w:r>
            <w:r>
              <w:rPr>
                <w:rFonts w:hint="eastAsia"/>
                <w:color w:val="auto"/>
                <w:highlight w:val="none"/>
                <w:lang w:eastAsia="zh-CN"/>
              </w:rPr>
              <w:t>。</w:t>
            </w:r>
          </w:p>
        </w:tc>
      </w:tr>
      <w:tr w14:paraId="5C1BBF66">
        <w:tblPrEx>
          <w:shd w:val="clear" w:color="auto" w:fill="auto"/>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00B85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15A7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自助开单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AE61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支持线上自助开据检验检查项目。</w:t>
            </w:r>
          </w:p>
        </w:tc>
      </w:tr>
      <w:tr w14:paraId="4B032875">
        <w:tblPrEx>
          <w:tblCellMar>
            <w:top w:w="0" w:type="dxa"/>
            <w:left w:w="0" w:type="dxa"/>
            <w:bottom w:w="0" w:type="dxa"/>
            <w:right w:w="0" w:type="dxa"/>
          </w:tblCellMar>
        </w:tblPrEx>
        <w:trPr>
          <w:trHeight w:val="390"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17305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住院管理</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0E5D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住院登记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4E1B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支持用户输入住院相关信息完成住院预登记。</w:t>
            </w:r>
          </w:p>
        </w:tc>
      </w:tr>
      <w:tr w14:paraId="07CE534D">
        <w:tblPrEx>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17E10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D9A3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住院预交金充值</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B612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支持患者进行住院费用的预交金缴纳，支持患者住院预交金的余额查询，并进行在线充值，并将充值结果推送至患者手机。</w:t>
            </w:r>
          </w:p>
        </w:tc>
      </w:tr>
      <w:tr w14:paraId="5D7E4DC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6B7F7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249E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住院充值记录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AFFDE">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支持患者查询自己住院预交金充值记录。</w:t>
            </w:r>
          </w:p>
        </w:tc>
      </w:tr>
      <w:tr w14:paraId="5182891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3C396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6D20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住院一日清单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0CB0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支持患者查看每日住院费用清单及明细。</w:t>
            </w:r>
          </w:p>
        </w:tc>
      </w:tr>
      <w:tr w14:paraId="6CFEDE27">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721E1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4F11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移动端住院患者卡管理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EC3B">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支持患者所有业务卡类型卡管理</w:t>
            </w:r>
            <w:r>
              <w:rPr>
                <w:rFonts w:hint="eastAsia" w:eastAsia="宋体" w:cs="宋体"/>
                <w:color w:val="auto"/>
                <w:sz w:val="21"/>
                <w:szCs w:val="21"/>
                <w:highlight w:val="none"/>
                <w:lang w:eastAsia="zh-CN"/>
              </w:rPr>
              <w:t>。</w:t>
            </w:r>
          </w:p>
        </w:tc>
      </w:tr>
      <w:tr w14:paraId="6234EB2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8D765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33BD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移动端院前查询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D140">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支持患者查看院前检查项目状态、项目科室位置信息、检查注意事项查询</w:t>
            </w:r>
            <w:r>
              <w:rPr>
                <w:rFonts w:hint="eastAsia" w:eastAsia="宋体" w:cs="宋体"/>
                <w:color w:val="auto"/>
                <w:sz w:val="21"/>
                <w:szCs w:val="21"/>
                <w:highlight w:val="none"/>
                <w:lang w:eastAsia="zh-CN"/>
              </w:rPr>
              <w:t>。</w:t>
            </w:r>
          </w:p>
        </w:tc>
      </w:tr>
      <w:tr w14:paraId="1C1F7F1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C8EE5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D46E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移动端入院登记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E2CF">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default" w:eastAsia="宋体"/>
                <w:color w:val="auto"/>
                <w:highlight w:val="none"/>
              </w:rPr>
            </w:pPr>
            <w:r>
              <w:rPr>
                <w:rFonts w:hint="eastAsia" w:eastAsia="宋体" w:cs="宋体"/>
                <w:color w:val="auto"/>
                <w:sz w:val="21"/>
                <w:szCs w:val="21"/>
                <w:highlight w:val="none"/>
              </w:rPr>
              <w:t>患者可在线填写个人信息进行住院信息登记，支持入院登记首缴流程的接入</w:t>
            </w:r>
            <w:r>
              <w:rPr>
                <w:rFonts w:hint="eastAsia" w:eastAsia="宋体" w:cs="宋体"/>
                <w:color w:val="auto"/>
                <w:sz w:val="21"/>
                <w:szCs w:val="21"/>
                <w:highlight w:val="none"/>
                <w:lang w:eastAsia="zh-CN"/>
              </w:rPr>
              <w:t>。</w:t>
            </w:r>
          </w:p>
        </w:tc>
      </w:tr>
      <w:tr w14:paraId="306F55C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E3251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23B4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移动端住院首缴</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E91">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支持患者线上办理入院登记的住院首缴</w:t>
            </w:r>
          </w:p>
        </w:tc>
      </w:tr>
      <w:tr w14:paraId="79D576F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EF8D0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0CD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移动端住院充值</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8DE2">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支持患者线上完成住院的押金充值</w:t>
            </w:r>
          </w:p>
        </w:tc>
      </w:tr>
      <w:tr w14:paraId="2F07D04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565D5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240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移动端预交金记录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87D">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支持患者自助查询预交金的记录</w:t>
            </w:r>
          </w:p>
        </w:tc>
      </w:tr>
      <w:tr w14:paraId="74950DBA">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153E5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B8FB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移动端日清单查询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988F">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患者可实时查询每日住院清单明细</w:t>
            </w:r>
          </w:p>
        </w:tc>
      </w:tr>
      <w:tr w14:paraId="6301FF9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69032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FE14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移动端检查报告查询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733D">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患者可实时查询住院检查报告</w:t>
            </w:r>
          </w:p>
        </w:tc>
      </w:tr>
      <w:tr w14:paraId="01405657">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A90F1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690C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移动端检验报告查询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AC7">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患者可实时查询住院检验报告</w:t>
            </w:r>
          </w:p>
        </w:tc>
      </w:tr>
      <w:tr w14:paraId="1031B53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7417ED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C4C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移动端出院自费结算</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94D5">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支持患者住院费用线上自费出院结算；</w:t>
            </w:r>
          </w:p>
        </w:tc>
      </w:tr>
      <w:tr w14:paraId="7E84D94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D5141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F082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移动端住院记录查询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FEE8">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支持患者查询历次的住院记录，包并支持住院记录的明细查询</w:t>
            </w:r>
          </w:p>
        </w:tc>
      </w:tr>
      <w:tr w14:paraId="03EC4E9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1C93A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FC23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移动端出院小结</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966B">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支持查看出院小结信息，可包括入院时间、入院诊断、治疗经过等信息</w:t>
            </w:r>
          </w:p>
        </w:tc>
      </w:tr>
      <w:tr w14:paraId="60A8BC8A">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C751B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323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移动端住院须知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5FCD">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支持医院住院须知的查询</w:t>
            </w:r>
          </w:p>
        </w:tc>
      </w:tr>
      <w:tr w14:paraId="1C49287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3CFC4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8C2B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w:t>
            </w:r>
            <w:r>
              <w:rPr>
                <w:rFonts w:hint="eastAsia" w:ascii="Times New Roman" w:hAnsi="Times New Roman" w:eastAsia="宋体" w:cs="Times New Roman"/>
                <w:b/>
                <w:bCs/>
                <w:color w:val="auto"/>
                <w:sz w:val="21"/>
                <w:szCs w:val="22"/>
                <w:highlight w:val="none"/>
              </w:rPr>
              <w:t>移动端医保结算</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2544">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b/>
                <w:bCs/>
                <w:color w:val="auto"/>
                <w:highlight w:val="none"/>
              </w:rPr>
            </w:pPr>
            <w:r>
              <w:rPr>
                <w:rFonts w:hint="eastAsia" w:eastAsia="宋体" w:cs="宋体"/>
                <w:b/>
                <w:bCs/>
                <w:color w:val="auto"/>
                <w:sz w:val="21"/>
                <w:szCs w:val="21"/>
                <w:highlight w:val="none"/>
              </w:rPr>
              <w:t>支持患者线上办理医保出院结算，医保结算取决于接口支持范围</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rPr>
              <w:t>提供</w:t>
            </w:r>
            <w:r>
              <w:rPr>
                <w:rFonts w:hint="eastAsia" w:eastAsia="宋体" w:cs="宋体"/>
                <w:b/>
                <w:bCs/>
                <w:color w:val="auto"/>
                <w:sz w:val="21"/>
                <w:szCs w:val="21"/>
                <w:highlight w:val="none"/>
                <w:lang w:val="en-US" w:eastAsia="zh-CN"/>
              </w:rPr>
              <w:t>实际操作</w:t>
            </w:r>
            <w:r>
              <w:rPr>
                <w:rFonts w:hint="eastAsia" w:eastAsia="宋体" w:cs="宋体"/>
                <w:b/>
                <w:bCs/>
                <w:color w:val="auto"/>
                <w:sz w:val="21"/>
                <w:szCs w:val="21"/>
                <w:highlight w:val="none"/>
              </w:rPr>
              <w:t>演示视频</w:t>
            </w:r>
          </w:p>
        </w:tc>
      </w:tr>
      <w:tr w14:paraId="3080EF6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28934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50E5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移动端发票查看及下载</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43C5">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支持对接第三方电子发票接口查询缴费后产生的电子发票，并支持下载。</w:t>
            </w:r>
          </w:p>
        </w:tc>
      </w:tr>
      <w:tr w14:paraId="7AAC5EC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2707D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5D98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住院点餐</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29F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支持患者院内在线点餐，并可查看订单记录。</w:t>
            </w:r>
          </w:p>
        </w:tc>
      </w:tr>
      <w:tr w14:paraId="27E97892">
        <w:tblPrEx>
          <w:tblCellMar>
            <w:top w:w="0" w:type="dxa"/>
            <w:left w:w="0" w:type="dxa"/>
            <w:bottom w:w="0" w:type="dxa"/>
            <w:right w:w="0" w:type="dxa"/>
          </w:tblCellMar>
        </w:tblPrEx>
        <w:trPr>
          <w:trHeight w:val="28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171EE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3A55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病案配送</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64C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支持在线预约病案复印，申请病案邮寄或自提，在线支付费用，线上查看订单，生成相关报表。</w:t>
            </w:r>
          </w:p>
        </w:tc>
      </w:tr>
      <w:tr w14:paraId="39FD47B0">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E1B44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E599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住院陪护证</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87D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支持住院陪护人员在线申请电子陪护证。</w:t>
            </w:r>
          </w:p>
        </w:tc>
      </w:tr>
      <w:tr w14:paraId="7AFD1739">
        <w:tblPrEx>
          <w:shd w:val="clear" w:color="auto" w:fill="auto"/>
          <w:tblCellMar>
            <w:top w:w="0" w:type="dxa"/>
            <w:left w:w="0" w:type="dxa"/>
            <w:bottom w:w="0" w:type="dxa"/>
            <w:right w:w="0" w:type="dxa"/>
          </w:tblCellMar>
        </w:tblPrEx>
        <w:trPr>
          <w:trHeight w:val="306"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C9EF1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就诊全流程指引</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CF2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▲就诊指引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0BD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支持实名制验证后，实时获取本次就诊中患者全部诊疗业务节点。</w:t>
            </w:r>
          </w:p>
          <w:p w14:paraId="07FE4C99">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支持将患者不同就诊业务节点以时间轴方式进行列表显示。针对患者遗留或未办的业务进行集中化的提醒，支持语音引导系统操作功能。</w:t>
            </w:r>
          </w:p>
          <w:p w14:paraId="2C1531D6">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支持通过信息平台，对接H</w:t>
            </w:r>
            <w:r>
              <w:rPr>
                <w:b/>
                <w:bCs/>
                <w:color w:val="auto"/>
                <w:highlight w:val="none"/>
              </w:rPr>
              <w:t>IS</w:t>
            </w:r>
            <w:r>
              <w:rPr>
                <w:rFonts w:hint="eastAsia"/>
                <w:b/>
                <w:bCs/>
                <w:color w:val="auto"/>
                <w:highlight w:val="none"/>
              </w:rPr>
              <w:t>、预约挂号、医技预约、叫号系统、各第三方医技系统、院内智能导航系统。</w:t>
            </w:r>
          </w:p>
          <w:p w14:paraId="5E8BFDF4">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需提供基于人工智能算力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并自动提供导航指引服务。</w:t>
            </w:r>
          </w:p>
          <w:p w14:paraId="6D275016">
            <w:pPr>
              <w:pStyle w:val="296"/>
              <w:keepNext w:val="0"/>
              <w:keepLines w:val="0"/>
              <w:pageBreakBefore w:val="0"/>
              <w:numPr>
                <w:ilvl w:val="0"/>
                <w:numId w:val="0"/>
              </w:numPr>
              <w:kinsoku/>
              <w:overflowPunct/>
              <w:autoSpaceDE/>
              <w:autoSpaceDN/>
              <w:bidi w:val="0"/>
              <w:adjustRightInd w:val="0"/>
              <w:snapToGrid w:val="0"/>
              <w:spacing w:line="360" w:lineRule="exact"/>
              <w:ind w:leftChars="0"/>
              <w:jc w:val="left"/>
              <w:rPr>
                <w:b/>
                <w:bCs/>
                <w:color w:val="auto"/>
                <w:highlight w:val="none"/>
              </w:rPr>
            </w:pPr>
            <w:r>
              <w:rPr>
                <w:rFonts w:hint="eastAsia"/>
                <w:b/>
                <w:bCs/>
                <w:color w:val="auto"/>
                <w:highlight w:val="none"/>
              </w:rPr>
              <w:t>针对上述</w:t>
            </w:r>
            <w:r>
              <w:rPr>
                <w:rFonts w:hint="eastAsia"/>
                <w:b/>
                <w:bCs/>
                <w:color w:val="auto"/>
                <w:highlight w:val="none"/>
                <w:lang w:val="en-US" w:eastAsia="zh-CN"/>
              </w:rPr>
              <w:t>35-38</w:t>
            </w:r>
            <w:r>
              <w:rPr>
                <w:rFonts w:hint="eastAsia"/>
                <w:b/>
                <w:bCs/>
                <w:color w:val="auto"/>
                <w:highlight w:val="none"/>
              </w:rPr>
              <w:t>项</w:t>
            </w:r>
            <w:r>
              <w:rPr>
                <w:rFonts w:hint="eastAsia"/>
                <w:b/>
                <w:bCs/>
                <w:color w:val="auto"/>
                <w:highlight w:val="none"/>
                <w:lang w:val="en-US" w:eastAsia="zh-CN"/>
              </w:rPr>
              <w:t>逐项</w:t>
            </w:r>
            <w:r>
              <w:rPr>
                <w:rFonts w:hint="eastAsia" w:eastAsia="宋体" w:cs="宋体"/>
                <w:b/>
                <w:bCs/>
                <w:color w:val="auto"/>
                <w:sz w:val="21"/>
                <w:szCs w:val="21"/>
                <w:highlight w:val="none"/>
              </w:rPr>
              <w:t>提供</w:t>
            </w:r>
            <w:r>
              <w:rPr>
                <w:rFonts w:hint="eastAsia" w:eastAsia="宋体" w:cs="宋体"/>
                <w:b/>
                <w:bCs/>
                <w:color w:val="auto"/>
                <w:sz w:val="21"/>
                <w:szCs w:val="21"/>
                <w:highlight w:val="none"/>
                <w:lang w:val="en-US" w:eastAsia="zh-CN"/>
              </w:rPr>
              <w:t>实际操作</w:t>
            </w:r>
            <w:r>
              <w:rPr>
                <w:rFonts w:hint="eastAsia" w:eastAsia="宋体" w:cs="宋体"/>
                <w:b/>
                <w:bCs/>
                <w:color w:val="auto"/>
                <w:sz w:val="21"/>
                <w:szCs w:val="21"/>
                <w:highlight w:val="none"/>
              </w:rPr>
              <w:t>演示视频</w:t>
            </w:r>
            <w:r>
              <w:rPr>
                <w:rFonts w:hint="eastAsia"/>
                <w:b/>
                <w:bCs/>
                <w:color w:val="auto"/>
                <w:highlight w:val="none"/>
              </w:rPr>
              <w:t xml:space="preserve">。 </w:t>
            </w:r>
          </w:p>
        </w:tc>
      </w:tr>
      <w:tr w14:paraId="3F4114C8">
        <w:tblPrEx>
          <w:shd w:val="clear" w:color="auto" w:fill="auto"/>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B16C0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359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建档成功提醒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D09F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患者完善个人信息，建档成功后向患者发送建档成功消息。</w:t>
            </w:r>
          </w:p>
        </w:tc>
      </w:tr>
      <w:tr w14:paraId="79147FE7">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A286C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268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预约挂号快捷入口</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9453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提供挂号信息快捷查询入口，点击后跳转至预约挂号</w:t>
            </w:r>
          </w:p>
        </w:tc>
      </w:tr>
      <w:tr w14:paraId="2EB1A9A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5E28A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6CB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曾就诊医生</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E3722">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展示患者近期就诊过的医生信息，帮助患者快速选择医生</w:t>
            </w:r>
          </w:p>
        </w:tc>
      </w:tr>
      <w:tr w14:paraId="005CB62D">
        <w:tblPrEx>
          <w:tblCellMar>
            <w:top w:w="0" w:type="dxa"/>
            <w:left w:w="0" w:type="dxa"/>
            <w:bottom w:w="0" w:type="dxa"/>
            <w:right w:w="0" w:type="dxa"/>
          </w:tblCellMar>
        </w:tblPrEx>
        <w:trPr>
          <w:trHeight w:val="33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5D95A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998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预约记录查询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88C1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展示患者预约信息，方便患者提前查看预约信息、就诊须知等，同时支持线上取消预约的便捷操作。</w:t>
            </w:r>
          </w:p>
        </w:tc>
      </w:tr>
      <w:tr w14:paraId="3A7B4B8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957BB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2B3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2BB5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预约挂号成功后，提醒患者预约挂号成功及时取号就诊</w:t>
            </w:r>
          </w:p>
        </w:tc>
      </w:tr>
      <w:tr w14:paraId="275F4CD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D748E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CA9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就诊前一天提醒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2DE5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患者就诊前一天，发送就诊提醒。</w:t>
            </w:r>
          </w:p>
        </w:tc>
      </w:tr>
      <w:tr w14:paraId="626A0AE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E5CC7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6AE1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停诊消息通知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3CBEA">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及时为患者推送医生调停诊信息，并告知处理方法（文字说明）</w:t>
            </w:r>
          </w:p>
        </w:tc>
      </w:tr>
      <w:tr w14:paraId="287544B4">
        <w:tblPrEx>
          <w:shd w:val="clear" w:color="auto" w:fill="auto"/>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2714C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437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挂号快捷入口</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30B4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点击跳转至当日挂号</w:t>
            </w:r>
            <w:r>
              <w:rPr>
                <w:rFonts w:hint="eastAsia"/>
                <w:color w:val="auto"/>
                <w:highlight w:val="none"/>
                <w:lang w:eastAsia="zh-CN"/>
              </w:rPr>
              <w:t>。</w:t>
            </w:r>
          </w:p>
        </w:tc>
      </w:tr>
      <w:tr w14:paraId="4A5B0DD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63431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9C3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7CAA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挂号成功后，提醒患者挂号成功及时签到就诊</w:t>
            </w:r>
            <w:r>
              <w:rPr>
                <w:rFonts w:hint="eastAsia"/>
                <w:color w:val="auto"/>
                <w:highlight w:val="none"/>
                <w:lang w:eastAsia="zh-CN"/>
              </w:rPr>
              <w:t>。</w:t>
            </w:r>
          </w:p>
        </w:tc>
      </w:tr>
      <w:tr w14:paraId="5DB0463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AD77D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D61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就诊位置指引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E03E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点击跳转至导航系统，支持为患者提供来院导航及院内位置导航</w:t>
            </w:r>
            <w:r>
              <w:rPr>
                <w:rFonts w:hint="eastAsia"/>
                <w:color w:val="auto"/>
                <w:highlight w:val="none"/>
                <w:lang w:eastAsia="zh-CN"/>
              </w:rPr>
              <w:t>。</w:t>
            </w:r>
          </w:p>
        </w:tc>
      </w:tr>
      <w:tr w14:paraId="4C5F8B8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76D6E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546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诊前提醒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4EEB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预约就诊时间前</w:t>
            </w:r>
            <w:r>
              <w:rPr>
                <w:rFonts w:hint="eastAsia"/>
                <w:color w:val="auto"/>
                <w:highlight w:val="none"/>
                <w:lang w:val="en-US" w:eastAsia="zh-CN"/>
              </w:rPr>
              <w:t>至少</w:t>
            </w:r>
            <w:r>
              <w:rPr>
                <w:rFonts w:hint="eastAsia"/>
                <w:color w:val="auto"/>
                <w:highlight w:val="none"/>
              </w:rPr>
              <w:t>1个小时给患者发送预约挂号提醒，告知患者及时取号就诊</w:t>
            </w:r>
            <w:r>
              <w:rPr>
                <w:rFonts w:hint="eastAsia"/>
                <w:color w:val="auto"/>
                <w:highlight w:val="none"/>
                <w:lang w:eastAsia="zh-CN"/>
              </w:rPr>
              <w:t>。</w:t>
            </w:r>
          </w:p>
        </w:tc>
      </w:tr>
      <w:tr w14:paraId="6EC38A77">
        <w:tblPrEx>
          <w:tblCellMar>
            <w:top w:w="0" w:type="dxa"/>
            <w:left w:w="0" w:type="dxa"/>
            <w:bottom w:w="0" w:type="dxa"/>
            <w:right w:w="0" w:type="dxa"/>
          </w:tblCellMar>
        </w:tblPrEx>
        <w:trPr>
          <w:trHeight w:val="44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33F68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6E4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在线取号提醒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4178C1A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提醒患者可以进行取号，点击后跳转至候诊队列查询页面；针对预约挂号没有进行缴费的记录，点击后跳转至取号页面，先缴费后自动取号</w:t>
            </w:r>
            <w:r>
              <w:rPr>
                <w:rFonts w:hint="eastAsia"/>
                <w:color w:val="auto"/>
                <w:highlight w:val="none"/>
                <w:lang w:eastAsia="zh-CN"/>
              </w:rPr>
              <w:t>。</w:t>
            </w:r>
          </w:p>
        </w:tc>
      </w:tr>
      <w:tr w14:paraId="2B0D02FD">
        <w:tblPrEx>
          <w:tblCellMar>
            <w:top w:w="0" w:type="dxa"/>
            <w:left w:w="0" w:type="dxa"/>
            <w:bottom w:w="0" w:type="dxa"/>
            <w:right w:w="0" w:type="dxa"/>
          </w:tblCellMar>
        </w:tblPrEx>
        <w:trPr>
          <w:trHeight w:val="44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DC391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B4F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在线签到提醒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7A6B070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根据患者的定位信息，自动完成在线签到，并向患者发送签到信息，提醒患者已完成签到，及时候诊</w:t>
            </w:r>
            <w:r>
              <w:rPr>
                <w:rFonts w:hint="eastAsia"/>
                <w:color w:val="auto"/>
                <w:highlight w:val="none"/>
                <w:lang w:eastAsia="zh-CN"/>
              </w:rPr>
              <w:t>。</w:t>
            </w:r>
          </w:p>
        </w:tc>
      </w:tr>
      <w:tr w14:paraId="3C9D1105">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FE0CA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817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B35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可查询当前患者的已排队的候诊信息</w:t>
            </w:r>
            <w:r>
              <w:rPr>
                <w:rFonts w:hint="eastAsia"/>
                <w:color w:val="auto"/>
                <w:highlight w:val="none"/>
                <w:lang w:eastAsia="zh-CN"/>
              </w:rPr>
              <w:t>。</w:t>
            </w:r>
          </w:p>
        </w:tc>
      </w:tr>
      <w:tr w14:paraId="4FA1428D">
        <w:tblPrEx>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72969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DCD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0E95179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就诊前5分钟提醒患者到候诊区及时报到就诊；当患者前还剩余3人时，提醒患者及时就诊消息。</w:t>
            </w:r>
          </w:p>
        </w:tc>
      </w:tr>
      <w:tr w14:paraId="65BC2E46">
        <w:tblPrEx>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E59B3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E8D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过号提醒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05B8E251">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2F1F661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06D00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DC6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待缴费提醒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025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根据医生的开单信息，实时推送待缴费信息，提醒患者进行缴费</w:t>
            </w:r>
            <w:r>
              <w:rPr>
                <w:rFonts w:hint="eastAsia"/>
                <w:color w:val="auto"/>
                <w:highlight w:val="none"/>
                <w:lang w:eastAsia="zh-CN"/>
              </w:rPr>
              <w:t>。</w:t>
            </w:r>
          </w:p>
        </w:tc>
      </w:tr>
      <w:tr w14:paraId="698B77A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C517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BC4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缴费须知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1E81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点击后可查询缴费须知</w:t>
            </w:r>
            <w:r>
              <w:rPr>
                <w:rFonts w:hint="eastAsia"/>
                <w:color w:val="auto"/>
                <w:highlight w:val="none"/>
                <w:lang w:eastAsia="zh-CN"/>
              </w:rPr>
              <w:t>。</w:t>
            </w:r>
          </w:p>
        </w:tc>
      </w:tr>
      <w:tr w14:paraId="297CAA0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3239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F4A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5A96A">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提醒患者缴费成功或失败，及时进行取药排队或做检查排队</w:t>
            </w:r>
            <w:r>
              <w:rPr>
                <w:rFonts w:hint="eastAsia"/>
                <w:color w:val="auto"/>
                <w:highlight w:val="none"/>
                <w:lang w:eastAsia="zh-CN"/>
              </w:rPr>
              <w:t>。</w:t>
            </w:r>
          </w:p>
        </w:tc>
      </w:tr>
      <w:tr w14:paraId="368EC06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D76C9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4C3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历史缴费记录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C851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点击后可查询历史缴费信息</w:t>
            </w:r>
            <w:r>
              <w:rPr>
                <w:rFonts w:hint="eastAsia"/>
                <w:color w:val="auto"/>
                <w:highlight w:val="none"/>
                <w:lang w:eastAsia="zh-CN"/>
              </w:rPr>
              <w:t>。</w:t>
            </w:r>
          </w:p>
        </w:tc>
      </w:tr>
      <w:tr w14:paraId="58B1A249">
        <w:tblPrEx>
          <w:tblCellMar>
            <w:top w:w="0" w:type="dxa"/>
            <w:left w:w="0" w:type="dxa"/>
            <w:bottom w:w="0" w:type="dxa"/>
            <w:right w:w="0" w:type="dxa"/>
          </w:tblCellMar>
        </w:tblPrEx>
        <w:trPr>
          <w:trHeight w:val="41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CDC7D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38B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导诊单查询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836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给患者推送导诊单，患者点击后可查看缴费的检查项目、检验项目、取药信息等，同时可以查看检查、检验项目的检查地址和注意事项以及取药地址等信息</w:t>
            </w:r>
            <w:r>
              <w:rPr>
                <w:rFonts w:hint="eastAsia"/>
                <w:color w:val="auto"/>
                <w:highlight w:val="none"/>
                <w:lang w:eastAsia="zh-CN"/>
              </w:rPr>
              <w:t>。</w:t>
            </w:r>
          </w:p>
        </w:tc>
      </w:tr>
      <w:tr w14:paraId="17AF8B59">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905F3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33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检查信息</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25AC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根据患者缴费信息，点击后可查询待检查信息</w:t>
            </w:r>
            <w:r>
              <w:rPr>
                <w:rFonts w:hint="eastAsia"/>
                <w:color w:val="auto"/>
                <w:highlight w:val="none"/>
                <w:lang w:eastAsia="zh-CN"/>
              </w:rPr>
              <w:t>。</w:t>
            </w:r>
          </w:p>
        </w:tc>
      </w:tr>
      <w:tr w14:paraId="7EC2FCBC">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2CE2C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CB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B6521">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点击后进行检查预约、改预约</w:t>
            </w:r>
            <w:r>
              <w:rPr>
                <w:rFonts w:hint="eastAsia"/>
                <w:color w:val="auto"/>
                <w:highlight w:val="none"/>
                <w:lang w:eastAsia="zh-CN"/>
              </w:rPr>
              <w:t>。</w:t>
            </w:r>
          </w:p>
        </w:tc>
      </w:tr>
      <w:tr w14:paraId="31A7FBF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F8FF5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597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检查预约成功提醒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6763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预约成功后，提醒患者已预约检查信息，及时检查排队</w:t>
            </w:r>
            <w:r>
              <w:rPr>
                <w:rFonts w:hint="eastAsia"/>
                <w:color w:val="auto"/>
                <w:highlight w:val="none"/>
                <w:lang w:eastAsia="zh-CN"/>
              </w:rPr>
              <w:t>。</w:t>
            </w:r>
          </w:p>
        </w:tc>
      </w:tr>
      <w:tr w14:paraId="7307A7A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88ED6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9E2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检查到检</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64CC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根据患者的检查项目、位置、检查时间，完成签到入队</w:t>
            </w:r>
            <w:r>
              <w:rPr>
                <w:rFonts w:hint="eastAsia"/>
                <w:color w:val="auto"/>
                <w:highlight w:val="none"/>
                <w:lang w:eastAsia="zh-CN"/>
              </w:rPr>
              <w:t>。</w:t>
            </w:r>
          </w:p>
        </w:tc>
      </w:tr>
      <w:tr w14:paraId="3AB1B1D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13939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7277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检查注意事项提醒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1499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可查询检查项目及其对应的注意事项内容</w:t>
            </w:r>
            <w:r>
              <w:rPr>
                <w:rFonts w:hint="eastAsia"/>
                <w:color w:val="auto"/>
                <w:highlight w:val="none"/>
                <w:lang w:eastAsia="zh-CN"/>
              </w:rPr>
              <w:t>。</w:t>
            </w:r>
          </w:p>
        </w:tc>
      </w:tr>
      <w:tr w14:paraId="7C9BE8E2">
        <w:tblPrEx>
          <w:shd w:val="clear" w:color="auto" w:fill="auto"/>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726D3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B58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检查位置指引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03C8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对接院内导航系统，点击跳转至院内导航，引导患者在什么地方检查</w:t>
            </w:r>
            <w:r>
              <w:rPr>
                <w:rFonts w:hint="eastAsia"/>
                <w:color w:val="auto"/>
                <w:highlight w:val="none"/>
                <w:lang w:eastAsia="zh-CN"/>
              </w:rPr>
              <w:t>。</w:t>
            </w:r>
          </w:p>
        </w:tc>
      </w:tr>
      <w:tr w14:paraId="2826C37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775C8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F66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检查排队信息查询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4E4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点击后可查询检查排队的信息</w:t>
            </w:r>
            <w:r>
              <w:rPr>
                <w:rFonts w:hint="eastAsia"/>
                <w:color w:val="auto"/>
                <w:highlight w:val="none"/>
                <w:lang w:eastAsia="zh-CN"/>
              </w:rPr>
              <w:t>。</w:t>
            </w:r>
          </w:p>
        </w:tc>
      </w:tr>
      <w:tr w14:paraId="0B1F3FC0">
        <w:tblPrEx>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AEFCB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F45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待检查提醒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849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在距离检查排队人数还剩3人时，向患者发送即将检查消息提醒</w:t>
            </w:r>
            <w:r>
              <w:rPr>
                <w:rFonts w:hint="eastAsia"/>
                <w:color w:val="auto"/>
                <w:highlight w:val="none"/>
                <w:lang w:eastAsia="zh-CN"/>
              </w:rPr>
              <w:t>。</w:t>
            </w:r>
          </w:p>
        </w:tc>
      </w:tr>
      <w:tr w14:paraId="2BE8DE67">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CE646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ECD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检查过号提醒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EB70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及时向患者发送过号提醒，告知处理方法（文字说明）</w:t>
            </w:r>
            <w:r>
              <w:rPr>
                <w:rFonts w:hint="eastAsia"/>
                <w:color w:val="auto"/>
                <w:highlight w:val="none"/>
                <w:lang w:eastAsia="zh-CN"/>
              </w:rPr>
              <w:t>。</w:t>
            </w:r>
          </w:p>
        </w:tc>
      </w:tr>
      <w:tr w14:paraId="293AB4C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644A6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E12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出报告提醒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F1D4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推送出报告通知给患者，提醒患者及时查看报告信息。</w:t>
            </w:r>
          </w:p>
        </w:tc>
      </w:tr>
      <w:tr w14:paraId="00ABA29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05B34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AAC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6CCA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点击后查看各类报告结果，获取报告详情及原始检查图像</w:t>
            </w:r>
            <w:r>
              <w:rPr>
                <w:rFonts w:hint="eastAsia"/>
                <w:color w:val="auto"/>
                <w:highlight w:val="none"/>
                <w:lang w:eastAsia="zh-CN"/>
              </w:rPr>
              <w:t>。</w:t>
            </w:r>
          </w:p>
        </w:tc>
      </w:tr>
      <w:tr w14:paraId="16184FB1">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BA6D5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5B2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报告打印指引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681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院内导航，根据患者的信息，指引患者到窗口或自助机进行报告打印</w:t>
            </w:r>
            <w:r>
              <w:rPr>
                <w:rFonts w:hint="eastAsia"/>
                <w:color w:val="auto"/>
                <w:highlight w:val="none"/>
                <w:lang w:eastAsia="zh-CN"/>
              </w:rPr>
              <w:t>。</w:t>
            </w:r>
          </w:p>
        </w:tc>
      </w:tr>
      <w:tr w14:paraId="106C32C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AF47F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762E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设备故障通知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09B0A">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在检查检验设备故障时，向患者推送检查检验设备故障引起的预约变化通知</w:t>
            </w:r>
            <w:r>
              <w:rPr>
                <w:rFonts w:hint="eastAsia"/>
                <w:color w:val="auto"/>
                <w:highlight w:val="none"/>
                <w:lang w:eastAsia="zh-CN"/>
              </w:rPr>
              <w:t>。</w:t>
            </w:r>
          </w:p>
        </w:tc>
      </w:tr>
      <w:tr w14:paraId="553FBE96">
        <w:tblPrEx>
          <w:tblCellMar>
            <w:top w:w="0" w:type="dxa"/>
            <w:left w:w="0" w:type="dxa"/>
            <w:bottom w:w="0" w:type="dxa"/>
            <w:right w:w="0" w:type="dxa"/>
          </w:tblCellMar>
        </w:tblPrEx>
        <w:trPr>
          <w:trHeight w:val="41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0BDC5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880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B1C4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当患者当天最后一份检查或检验报告出来时，在推送报告结果时，标记出当天最后一份报告，提醒患者当日最后一份报告结果已出，是否需要回诊，如果需要，请及时进行回诊排队</w:t>
            </w:r>
            <w:r>
              <w:rPr>
                <w:rFonts w:hint="eastAsia"/>
                <w:color w:val="auto"/>
                <w:highlight w:val="none"/>
                <w:lang w:eastAsia="zh-CN"/>
              </w:rPr>
              <w:t>。</w:t>
            </w:r>
          </w:p>
        </w:tc>
      </w:tr>
      <w:tr w14:paraId="049382D4">
        <w:tblPrEx>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C882CF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73C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BE2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点击后进行回诊排队</w:t>
            </w:r>
            <w:r>
              <w:rPr>
                <w:rFonts w:hint="eastAsia"/>
                <w:color w:val="auto"/>
                <w:highlight w:val="none"/>
                <w:lang w:eastAsia="zh-CN"/>
              </w:rPr>
              <w:t>。</w:t>
            </w:r>
          </w:p>
        </w:tc>
      </w:tr>
      <w:tr w14:paraId="25B2344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5CB7A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267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回诊签到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EAFE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排队成功后提醒患者及时就诊</w:t>
            </w:r>
            <w:r>
              <w:rPr>
                <w:rFonts w:hint="eastAsia"/>
                <w:color w:val="auto"/>
                <w:highlight w:val="none"/>
                <w:lang w:eastAsia="zh-CN"/>
              </w:rPr>
              <w:t>。</w:t>
            </w:r>
          </w:p>
        </w:tc>
      </w:tr>
      <w:tr w14:paraId="25015C6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CBCCE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6CF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11A5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可查询当前的排队信息</w:t>
            </w:r>
            <w:r>
              <w:rPr>
                <w:rFonts w:hint="eastAsia"/>
                <w:color w:val="auto"/>
                <w:highlight w:val="none"/>
                <w:lang w:eastAsia="zh-CN"/>
              </w:rPr>
              <w:t>。</w:t>
            </w:r>
          </w:p>
        </w:tc>
      </w:tr>
      <w:tr w14:paraId="06F5F02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14704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F6E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回诊导航</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2F6B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跳转至院内导航</w:t>
            </w:r>
            <w:r>
              <w:rPr>
                <w:rFonts w:hint="eastAsia"/>
                <w:color w:val="auto"/>
                <w:highlight w:val="none"/>
                <w:lang w:eastAsia="zh-CN"/>
              </w:rPr>
              <w:t>。</w:t>
            </w:r>
          </w:p>
        </w:tc>
      </w:tr>
      <w:tr w14:paraId="03D9CC9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75A56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D3E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回诊过号提醒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11E3D3E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4B5A929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5F3AA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AE7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取药签到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52A2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自动签到，根据患者的处方信息、位置，自动完成签到入队</w:t>
            </w:r>
            <w:r>
              <w:rPr>
                <w:rFonts w:hint="eastAsia"/>
                <w:color w:val="auto"/>
                <w:highlight w:val="none"/>
                <w:lang w:eastAsia="zh-CN"/>
              </w:rPr>
              <w:t>。</w:t>
            </w:r>
          </w:p>
        </w:tc>
      </w:tr>
      <w:tr w14:paraId="59EDE98A">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CE9C3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B32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取药排队信息查询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EBC9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点击后可查询排队的信息</w:t>
            </w:r>
            <w:r>
              <w:rPr>
                <w:rFonts w:hint="eastAsia"/>
                <w:color w:val="auto"/>
                <w:highlight w:val="none"/>
                <w:lang w:eastAsia="zh-CN"/>
              </w:rPr>
              <w:t>。</w:t>
            </w:r>
          </w:p>
        </w:tc>
      </w:tr>
      <w:tr w14:paraId="75C0864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C1BF6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D8E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取药须知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F31A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点击后显示药房的取药须知</w:t>
            </w:r>
            <w:r>
              <w:rPr>
                <w:rFonts w:hint="eastAsia"/>
                <w:color w:val="auto"/>
                <w:highlight w:val="none"/>
                <w:lang w:eastAsia="zh-CN"/>
              </w:rPr>
              <w:t>。</w:t>
            </w:r>
          </w:p>
        </w:tc>
      </w:tr>
      <w:tr w14:paraId="058C7EE3">
        <w:tblPrEx>
          <w:tblCellMar>
            <w:top w:w="0" w:type="dxa"/>
            <w:left w:w="0" w:type="dxa"/>
            <w:bottom w:w="0" w:type="dxa"/>
            <w:right w:w="0" w:type="dxa"/>
          </w:tblCellMar>
        </w:tblPrEx>
        <w:trPr>
          <w:trHeight w:val="38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6F7A1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E019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用药指导提醒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C085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患者取药成功后，实时推送患者取药信息，处方信息、患者用药信息、药品说明书等内容，为患者实时推送用药提醒，告知患者药品的用法用量及注意事项。</w:t>
            </w:r>
          </w:p>
        </w:tc>
      </w:tr>
      <w:tr w14:paraId="6F94C799">
        <w:tblPrEx>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A9D3E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18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发票查询</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3204A8C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点击后可查看当前的发票信息进行下载，院内导航指引患者到财务窗口或自助机进行发票打印</w:t>
            </w:r>
            <w:r>
              <w:rPr>
                <w:rFonts w:hint="eastAsia"/>
                <w:color w:val="auto"/>
                <w:highlight w:val="none"/>
                <w:lang w:eastAsia="zh-CN"/>
              </w:rPr>
              <w:t>。</w:t>
            </w:r>
          </w:p>
        </w:tc>
      </w:tr>
      <w:tr w14:paraId="1A8186F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73200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F8F9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复诊提醒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632C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根据患者需要复诊的就诊记录，向患者推送复诊提醒</w:t>
            </w:r>
            <w:r>
              <w:rPr>
                <w:rFonts w:hint="eastAsia"/>
                <w:color w:val="auto"/>
                <w:highlight w:val="none"/>
                <w:lang w:eastAsia="zh-CN"/>
              </w:rPr>
              <w:t>。</w:t>
            </w:r>
          </w:p>
        </w:tc>
      </w:tr>
      <w:tr w14:paraId="4CEC971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32268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BDE1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生活指导提醒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A21A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向患者推送与其疾病相关的生活指导提醒</w:t>
            </w:r>
            <w:r>
              <w:rPr>
                <w:rFonts w:hint="eastAsia"/>
                <w:color w:val="auto"/>
                <w:highlight w:val="none"/>
                <w:lang w:eastAsia="zh-CN"/>
              </w:rPr>
              <w:t>。</w:t>
            </w:r>
          </w:p>
        </w:tc>
      </w:tr>
      <w:tr w14:paraId="6879FBC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E649C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5B08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健康宣教提醒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5ACF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向患者推送与其疾病相关的健康宣教信息</w:t>
            </w:r>
            <w:r>
              <w:rPr>
                <w:rFonts w:hint="eastAsia"/>
                <w:color w:val="auto"/>
                <w:highlight w:val="none"/>
                <w:lang w:eastAsia="zh-CN"/>
              </w:rPr>
              <w:t>。</w:t>
            </w:r>
          </w:p>
        </w:tc>
      </w:tr>
      <w:tr w14:paraId="6B1FF19B">
        <w:tblPrEx>
          <w:tblCellMar>
            <w:top w:w="0" w:type="dxa"/>
            <w:left w:w="0" w:type="dxa"/>
            <w:bottom w:w="0" w:type="dxa"/>
            <w:right w:w="0" w:type="dxa"/>
          </w:tblCellMar>
        </w:tblPrEx>
        <w:trPr>
          <w:trHeight w:val="424"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5D032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医院管理</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1436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医院信息</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3A75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支持维护医院简介信息和医院LOGO图片以及医院宣传图片，可查看医院介绍信息；科室介绍信息；医生介绍信息；特色专科介绍信息；显示医院动态。</w:t>
            </w:r>
          </w:p>
        </w:tc>
      </w:tr>
      <w:tr w14:paraId="1ACD0594">
        <w:tblPrEx>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895DE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1AB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科室排序</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8167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支持科室分类排序，医院按照自己的实际业务需求将热门科室置于最醒目位置</w:t>
            </w:r>
            <w:r>
              <w:rPr>
                <w:rFonts w:hint="eastAsia"/>
                <w:color w:val="auto"/>
                <w:highlight w:val="none"/>
                <w:lang w:eastAsia="zh-CN"/>
              </w:rPr>
              <w:t>。</w:t>
            </w:r>
          </w:p>
        </w:tc>
      </w:tr>
      <w:tr w14:paraId="61E73E10">
        <w:tblPrEx>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44EA8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06EF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用户信息</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DFB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支持显示和修改用户基本信息，可修改关联手机号。</w:t>
            </w:r>
          </w:p>
        </w:tc>
      </w:tr>
      <w:tr w14:paraId="25B9D84A">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21FCD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C27A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满意度</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003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就诊结束后，支持</w:t>
            </w:r>
            <w:r>
              <w:rPr>
                <w:rFonts w:hint="eastAsia"/>
                <w:color w:val="auto"/>
                <w:highlight w:val="none"/>
              </w:rPr>
              <w:t>对接第三方</w:t>
            </w:r>
            <w:r>
              <w:rPr>
                <w:color w:val="auto"/>
                <w:highlight w:val="none"/>
              </w:rPr>
              <w:t>系统</w:t>
            </w:r>
            <w:r>
              <w:rPr>
                <w:color w:val="auto"/>
                <w:spacing w:val="-2"/>
                <w:highlight w:val="none"/>
              </w:rPr>
              <w:t>，患者可反馈对此次的就诊满意情况。</w:t>
            </w:r>
          </w:p>
        </w:tc>
      </w:tr>
      <w:tr w14:paraId="5E31212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04C1E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FECC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来院筛查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6EA8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患者在线填写来院筛查问卷。问卷模板支持按医院需求配置；支持在预约挂号流程中插入来院筛查问卷填写。</w:t>
            </w:r>
          </w:p>
        </w:tc>
      </w:tr>
      <w:tr w14:paraId="2329E7E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14CD9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FA11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关注医生</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18B0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用户可添加关注医生，关注后可通过“我的关注”快捷预约挂号此医生。</w:t>
            </w:r>
          </w:p>
        </w:tc>
      </w:tr>
      <w:tr w14:paraId="5260987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CFD38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DA96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健康百科</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D90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支持患者在线查看健康百科，包括疾病介绍、中成药介绍、西药介绍、急救知识、检验单解读等。</w:t>
            </w:r>
          </w:p>
        </w:tc>
      </w:tr>
      <w:tr w14:paraId="25272FE5">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DF6E2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AF7F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就医指南</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BADE">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支持患者在线查看就医指南，包括门诊就医指南、门诊检查指南（CR检查流程、CT检查流程、MR检查流程等）、急诊指南、门诊检验须知、体检指南、门诊楼层索引、挂号服务等。</w:t>
            </w:r>
          </w:p>
        </w:tc>
      </w:tr>
      <w:tr w14:paraId="14D890BC">
        <w:tblPrEx>
          <w:shd w:val="clear" w:color="auto" w:fill="auto"/>
          <w:tblCellMar>
            <w:top w:w="0" w:type="dxa"/>
            <w:left w:w="0" w:type="dxa"/>
            <w:bottom w:w="0" w:type="dxa"/>
            <w:right w:w="0" w:type="dxa"/>
          </w:tblCellMar>
        </w:tblPrEx>
        <w:trPr>
          <w:trHeight w:val="38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A6918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0ADD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常见问题答疑</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61D6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支持用户在线查看常见问题答疑</w:t>
            </w:r>
            <w:r>
              <w:rPr>
                <w:rFonts w:hint="eastAsia"/>
                <w:color w:val="auto"/>
                <w:highlight w:val="none"/>
                <w:lang w:eastAsia="zh-CN"/>
              </w:rPr>
              <w:t>。</w:t>
            </w:r>
          </w:p>
        </w:tc>
      </w:tr>
      <w:tr w14:paraId="52AD63D1">
        <w:tblPrEx>
          <w:tblCellMar>
            <w:top w:w="0" w:type="dxa"/>
            <w:left w:w="0" w:type="dxa"/>
            <w:bottom w:w="0" w:type="dxa"/>
            <w:right w:w="0" w:type="dxa"/>
          </w:tblCellMar>
        </w:tblPrEx>
        <w:trPr>
          <w:trHeight w:val="31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50A07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5A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基础数据管理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B12E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支持对科室、医生基本信息的维护；支持对所有查询记录生成统计报表。</w:t>
            </w:r>
          </w:p>
        </w:tc>
      </w:tr>
    </w:tbl>
    <w:p w14:paraId="35C0B7A8">
      <w:pPr>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rPr>
      </w:pPr>
    </w:p>
    <w:p w14:paraId="33813A3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、运维服务需求</w:t>
      </w:r>
    </w:p>
    <w:p w14:paraId="700DF0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提供3年自助服务项目全套运维管理服务，提供并建立完整的运维服务保障体系及应急保障体系。</w:t>
      </w:r>
    </w:p>
    <w:tbl>
      <w:tblPr>
        <w:tblStyle w:val="330"/>
        <w:tblW w:w="502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1"/>
        <w:gridCol w:w="1150"/>
        <w:gridCol w:w="6424"/>
      </w:tblGrid>
      <w:tr w14:paraId="5B9B0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blHeader/>
        </w:trPr>
        <w:tc>
          <w:tcPr>
            <w:tcW w:w="473" w:type="pct"/>
            <w:noWrap w:val="0"/>
            <w:vAlign w:val="center"/>
          </w:tcPr>
          <w:p w14:paraId="772822D6">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87" w:type="pct"/>
            <w:noWrap w:val="0"/>
            <w:vAlign w:val="center"/>
          </w:tcPr>
          <w:p w14:paraId="651B4EBE">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项目</w:t>
            </w:r>
          </w:p>
        </w:tc>
        <w:tc>
          <w:tcPr>
            <w:tcW w:w="3839" w:type="pct"/>
            <w:noWrap w:val="0"/>
            <w:vAlign w:val="center"/>
          </w:tcPr>
          <w:p w14:paraId="29AB6054">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要求</w:t>
            </w:r>
          </w:p>
        </w:tc>
      </w:tr>
      <w:tr w14:paraId="0EFD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027DDFB4">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bidi="ar-SA"/>
              </w:rPr>
            </w:pPr>
          </w:p>
        </w:tc>
        <w:tc>
          <w:tcPr>
            <w:tcW w:w="687" w:type="pct"/>
            <w:noWrap w:val="0"/>
            <w:vAlign w:val="center"/>
          </w:tcPr>
          <w:p w14:paraId="0F254A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打印耗材</w:t>
            </w:r>
          </w:p>
        </w:tc>
        <w:tc>
          <w:tcPr>
            <w:tcW w:w="3839" w:type="pct"/>
            <w:noWrap w:val="0"/>
            <w:vAlign w:val="center"/>
          </w:tcPr>
          <w:p w14:paraId="3EE5D1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为医院提供自助设备所有耗材维护及管理服务。打印设备所涉及的</w:t>
            </w:r>
            <w:r>
              <w:rPr>
                <w:rFonts w:hint="eastAsia" w:ascii="宋体" w:hAnsi="宋体" w:eastAsia="宋体" w:cs="宋体"/>
                <w:color w:val="auto"/>
                <w:kern w:val="0"/>
                <w:sz w:val="21"/>
                <w:szCs w:val="21"/>
                <w:highlight w:val="none"/>
              </w:rPr>
              <w:t>硒鼓、墨盒、报告纸、凭条等耗材</w:t>
            </w:r>
            <w:r>
              <w:rPr>
                <w:rFonts w:hint="eastAsia" w:ascii="宋体" w:hAnsi="宋体" w:eastAsia="宋体" w:cs="宋体"/>
                <w:color w:val="auto"/>
                <w:sz w:val="21"/>
                <w:szCs w:val="21"/>
                <w:highlight w:val="none"/>
              </w:rPr>
              <w:t>均由供应商提供，所有耗材须提供品牌、规格、型号。</w:t>
            </w:r>
          </w:p>
          <w:p w14:paraId="77EACA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2.打印质量：打印/复印结果应为实心黑线，字迹清楚，达到无背景、重影、断点和模糊等；无直径或长度在 2mm 以上的脏污；无因漏印而导致的内容不明。</w:t>
            </w:r>
          </w:p>
        </w:tc>
      </w:tr>
      <w:tr w14:paraId="7E4BA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6B395EE3">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6BE32120">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驻场服务</w:t>
            </w:r>
          </w:p>
        </w:tc>
        <w:tc>
          <w:tcPr>
            <w:tcW w:w="3839" w:type="pct"/>
            <w:noWrap w:val="0"/>
            <w:vAlign w:val="center"/>
          </w:tcPr>
          <w:p w14:paraId="0B96AA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i/>
                <w:iCs/>
                <w:color w:val="auto"/>
                <w:sz w:val="21"/>
                <w:szCs w:val="21"/>
                <w:highlight w:val="none"/>
                <w:u w:val="single"/>
              </w:rPr>
              <w:t>提供驻场工程师4人，</w:t>
            </w:r>
            <w:r>
              <w:rPr>
                <w:rFonts w:hint="eastAsia" w:ascii="宋体" w:hAnsi="宋体" w:eastAsia="宋体" w:cs="宋体"/>
                <w:b/>
                <w:bCs/>
                <w:i/>
                <w:iCs/>
                <w:color w:val="auto"/>
                <w:sz w:val="21"/>
                <w:szCs w:val="21"/>
                <w:highlight w:val="none"/>
                <w:u w:val="single"/>
                <w:lang w:val="en-US" w:eastAsia="zh-CN"/>
              </w:rPr>
              <w:t>服务时间：</w:t>
            </w:r>
            <w:r>
              <w:rPr>
                <w:rFonts w:hint="eastAsia" w:ascii="宋体" w:hAnsi="宋体" w:eastAsia="宋体" w:cs="宋体"/>
                <w:b/>
                <w:bCs/>
                <w:i/>
                <w:iCs/>
                <w:color w:val="auto"/>
                <w:sz w:val="21"/>
                <w:szCs w:val="21"/>
                <w:highlight w:val="none"/>
                <w:u w:val="single"/>
              </w:rPr>
              <w:t>7*8小时</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3年</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两院区驻场服务（跟院方作息时间同步），7*24小时3年上门服务，无论在保修期内还是保修期外，驻场工程师必须至院方指定地点上门维修设备。驻场工程师须具有丰富的硬件维修经验及客户沟通反馈能力，能够为本次项目的自助机提供日常巡检、系统维护、耗材更换、故障处理、软件升级维护、协助查对账务等服务。（提供承诺书加盖投标人公章，承诺书格式自拟）</w:t>
            </w:r>
          </w:p>
          <w:p w14:paraId="0321EA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2.设备发生故障时，应在接到院方通知后 10分钟内</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，30分钟内到达</w:t>
            </w:r>
            <w:r>
              <w:rPr>
                <w:rFonts w:hint="eastAsia" w:ascii="宋体" w:hAnsi="宋体" w:eastAsia="宋体" w:cs="宋体"/>
                <w:color w:val="auto"/>
                <w:sz w:val="21"/>
                <w:szCs w:val="21"/>
                <w:highlight w:val="none"/>
                <w:lang w:val="en-US" w:eastAsia="zh-CN"/>
              </w:rPr>
              <w:t>出现故障</w:t>
            </w:r>
            <w:r>
              <w:rPr>
                <w:rFonts w:hint="eastAsia" w:ascii="宋体" w:hAnsi="宋体" w:eastAsia="宋体" w:cs="宋体"/>
                <w:color w:val="auto"/>
                <w:sz w:val="21"/>
                <w:szCs w:val="21"/>
                <w:highlight w:val="none"/>
              </w:rPr>
              <w:t>现场，1小时内解决故障</w:t>
            </w:r>
            <w:r>
              <w:rPr>
                <w:rFonts w:hint="eastAsia" w:ascii="宋体" w:hAnsi="宋体" w:eastAsia="宋体" w:cs="宋体"/>
                <w:color w:val="auto"/>
                <w:sz w:val="21"/>
                <w:szCs w:val="21"/>
                <w:highlight w:val="none"/>
                <w:lang w:val="en-US" w:eastAsia="zh-CN"/>
              </w:rPr>
              <w:t>恢复使用</w:t>
            </w:r>
            <w:r>
              <w:rPr>
                <w:rFonts w:hint="eastAsia" w:ascii="宋体" w:hAnsi="宋体" w:eastAsia="宋体" w:cs="宋体"/>
                <w:color w:val="auto"/>
                <w:sz w:val="21"/>
                <w:szCs w:val="21"/>
                <w:highlight w:val="none"/>
              </w:rPr>
              <w:t>；或在48小时内免费提供同机型备用设备直至故障设备维修完成恢复使用。否则院方可自行采取必要的措施，由此产生的风险和费用由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承担。如有特殊情况，</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应立即电话通知院方不能响应的原因，在获得院方同意后，才可推迟响应时间。</w:t>
            </w:r>
          </w:p>
          <w:p w14:paraId="126118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3.解决故障时，最大限度保护好数据，做好故障恢复的文档，力争恢复到故障点前的业务状态。对于“系统瘫痪，业务系统不能运转”的故障级别，如果不能于12小时内解决故障，须在 16小时内提出应急方案，确保业务系统的运行。故障解决后 24小时内，提交故障处理报告，说明故障种类、故障原因、故障解决中使用的方法及故障损失等。</w:t>
            </w:r>
          </w:p>
          <w:p w14:paraId="673D03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驻场人员对所维护自助设备每半天一次巡查，对巡检中发现的潜在隐患提出改正建议，及时向院方通报，按月提交自助机项目巡检报告，每年配合医院向使用部门发放用户满意度调查表，并对调查表中反映的问题进行整改。</w:t>
            </w:r>
          </w:p>
          <w:p w14:paraId="6E9E8C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5.驻场人员须是熟练掌握自助机运维技术的专业技术人员，所有工薪、</w:t>
            </w:r>
            <w:r>
              <w:rPr>
                <w:rFonts w:hint="eastAsia" w:ascii="宋体" w:hAnsi="宋体" w:eastAsia="宋体" w:cs="宋体"/>
                <w:color w:val="auto"/>
                <w:sz w:val="21"/>
                <w:szCs w:val="21"/>
                <w:highlight w:val="none"/>
                <w:lang w:val="en-US" w:eastAsia="zh-CN"/>
              </w:rPr>
              <w:t>社会保险</w:t>
            </w:r>
            <w:r>
              <w:rPr>
                <w:rFonts w:hint="eastAsia" w:ascii="宋体" w:hAnsi="宋体" w:eastAsia="宋体" w:cs="宋体"/>
                <w:color w:val="auto"/>
                <w:sz w:val="21"/>
                <w:szCs w:val="21"/>
                <w:highlight w:val="none"/>
              </w:rPr>
              <w:t>费用均由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承担。驻场人员要求计算机相关专业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本科及</w:t>
            </w:r>
            <w:r>
              <w:rPr>
                <w:rFonts w:hint="eastAsia" w:ascii="宋体" w:hAnsi="宋体" w:eastAsia="宋体" w:cs="宋体"/>
                <w:color w:val="auto"/>
                <w:sz w:val="21"/>
                <w:szCs w:val="21"/>
                <w:highlight w:val="none"/>
              </w:rPr>
              <w:t>以上学历，提供</w:t>
            </w:r>
            <w:r>
              <w:rPr>
                <w:rFonts w:hint="eastAsia" w:ascii="宋体" w:hAnsi="宋体" w:eastAsia="宋体" w:cs="宋体"/>
                <w:color w:val="auto"/>
                <w:sz w:val="21"/>
                <w:szCs w:val="21"/>
                <w:highlight w:val="none"/>
                <w:lang w:val="en-US" w:eastAsia="zh-CN"/>
              </w:rPr>
              <w:t>个人</w:t>
            </w:r>
            <w:r>
              <w:rPr>
                <w:rFonts w:hint="eastAsia" w:ascii="宋体" w:hAnsi="宋体" w:eastAsia="宋体" w:cs="宋体"/>
                <w:color w:val="auto"/>
                <w:sz w:val="21"/>
                <w:szCs w:val="21"/>
                <w:highlight w:val="none"/>
              </w:rPr>
              <w:t>简历、学历证书、</w:t>
            </w:r>
            <w:r>
              <w:rPr>
                <w:rFonts w:hint="eastAsia" w:ascii="宋体" w:hAnsi="宋体" w:eastAsia="宋体" w:cs="宋体"/>
                <w:color w:val="auto"/>
                <w:sz w:val="21"/>
                <w:szCs w:val="21"/>
                <w:highlight w:val="none"/>
                <w:lang w:val="en-US" w:eastAsia="zh-CN"/>
              </w:rPr>
              <w:t>近一年内任意一个月的</w:t>
            </w:r>
            <w:r>
              <w:rPr>
                <w:rFonts w:hint="eastAsia" w:ascii="宋体" w:hAnsi="宋体" w:eastAsia="宋体" w:cs="宋体"/>
                <w:color w:val="auto"/>
                <w:sz w:val="21"/>
                <w:szCs w:val="21"/>
                <w:highlight w:val="none"/>
              </w:rPr>
              <w:t>社保缴纳证明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在驻场前应提供驻场人员证明材料交于院方审核，</w:t>
            </w:r>
            <w:r>
              <w:rPr>
                <w:rFonts w:hint="eastAsia" w:ascii="宋体" w:hAnsi="宋体" w:eastAsia="宋体" w:cs="宋体"/>
                <w:color w:val="auto"/>
                <w:sz w:val="21"/>
                <w:szCs w:val="21"/>
                <w:highlight w:val="none"/>
              </w:rPr>
              <w:t>如不符合院方</w:t>
            </w:r>
            <w:r>
              <w:rPr>
                <w:rFonts w:hint="eastAsia" w:ascii="宋体" w:hAnsi="宋体" w:eastAsia="宋体" w:cs="宋体"/>
                <w:color w:val="auto"/>
                <w:sz w:val="21"/>
                <w:szCs w:val="21"/>
                <w:highlight w:val="none"/>
                <w:lang w:val="en-US" w:eastAsia="zh-CN"/>
              </w:rPr>
              <w:t>认可</w:t>
            </w:r>
            <w:r>
              <w:rPr>
                <w:rFonts w:hint="eastAsia" w:ascii="宋体" w:hAnsi="宋体" w:eastAsia="宋体" w:cs="宋体"/>
                <w:color w:val="auto"/>
                <w:sz w:val="21"/>
                <w:szCs w:val="21"/>
                <w:highlight w:val="none"/>
              </w:rPr>
              <w:t>，院方有权要求</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更换人员，在驻场期间如发生人身伤害事故或违法行为与院方无关，由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负责。</w:t>
            </w:r>
          </w:p>
          <w:p w14:paraId="23D822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6.遇到自助机坐标调整或者办公地点更换，驻场人员应积极配合院方做好设备迁移、安装、调试工作，并主动增加足够多的人手保障服务响应。</w:t>
            </w:r>
          </w:p>
          <w:p w14:paraId="7B9A2F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应提供日常更换的备件清单，储备足够的零备件，保证维护服务所使用的替换零部件为原装（厂）配件</w:t>
            </w:r>
            <w:r>
              <w:rPr>
                <w:rFonts w:hint="eastAsia" w:ascii="宋体" w:hAnsi="宋体" w:eastAsia="宋体" w:cs="宋体"/>
                <w:b w:val="0"/>
                <w:bCs w:val="0"/>
                <w:color w:val="auto"/>
                <w:sz w:val="21"/>
                <w:szCs w:val="21"/>
                <w:highlight w:val="none"/>
              </w:rPr>
              <w:t>。</w:t>
            </w:r>
            <w:r>
              <w:rPr>
                <w:rFonts w:hint="eastAsia" w:ascii="宋体" w:hAnsi="宋体" w:eastAsia="宋体" w:cs="宋体"/>
                <w:b/>
                <w:bCs/>
                <w:i/>
                <w:iCs/>
                <w:color w:val="auto"/>
                <w:sz w:val="21"/>
                <w:szCs w:val="21"/>
                <w:highlight w:val="none"/>
                <w:u w:val="single"/>
              </w:rPr>
              <w:t>投标文件中应详细列出备件的名称及其储备数量。（提供</w:t>
            </w:r>
            <w:r>
              <w:rPr>
                <w:rFonts w:hint="eastAsia" w:ascii="宋体" w:hAnsi="宋体" w:eastAsia="宋体" w:cs="宋体"/>
                <w:b/>
                <w:bCs/>
                <w:i/>
                <w:iCs/>
                <w:color w:val="auto"/>
                <w:sz w:val="21"/>
                <w:szCs w:val="21"/>
                <w:highlight w:val="none"/>
                <w:u w:val="single"/>
                <w:lang w:val="en-US" w:eastAsia="zh-CN"/>
              </w:rPr>
              <w:t>详细备品备件清单</w:t>
            </w:r>
            <w:r>
              <w:rPr>
                <w:rFonts w:hint="eastAsia" w:ascii="宋体" w:hAnsi="宋体" w:eastAsia="宋体" w:cs="宋体"/>
                <w:b/>
                <w:bCs/>
                <w:i/>
                <w:iCs/>
                <w:color w:val="auto"/>
                <w:sz w:val="21"/>
                <w:szCs w:val="21"/>
                <w:highlight w:val="none"/>
                <w:u w:val="single"/>
              </w:rPr>
              <w:t>加盖投标人公章，承诺书格式自拟）</w:t>
            </w:r>
          </w:p>
          <w:p w14:paraId="3A85AA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8.对于仍在使用的原有自助终端，</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 xml:space="preserve">需要提供同等质量的运维服务，保障设备稳定运行，包括但不限于日常巡检、设备维护、整机及部件故障维修、备件更换、耗材更换、软件升级维护等服务。 </w:t>
            </w:r>
          </w:p>
        </w:tc>
      </w:tr>
      <w:tr w14:paraId="3FF3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5A526C82">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413D8C32">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数据交换与接口对接功能需求</w:t>
            </w:r>
          </w:p>
        </w:tc>
        <w:tc>
          <w:tcPr>
            <w:tcW w:w="3839" w:type="pct"/>
            <w:noWrap w:val="0"/>
            <w:vAlign w:val="center"/>
          </w:tcPr>
          <w:p w14:paraId="13631D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bCs/>
                <w:i/>
                <w:iCs/>
                <w:color w:val="auto"/>
                <w:sz w:val="21"/>
                <w:szCs w:val="21"/>
                <w:highlight w:val="none"/>
                <w:u w:val="single"/>
              </w:rPr>
              <w:t>本次项目建设要求硬件设备及软件功能，能够实现与医院各系统及省市医保、各区域信息平台进行对接，实现各系统之间的互联、互通、资源共享。（提供承诺书加盖投标人公章，承诺书格式自拟）</w:t>
            </w:r>
          </w:p>
          <w:p w14:paraId="66B9F1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2.本次项目包含医院相关系统的接口，需要</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提供接口文档及方案。根据院方实际需求，提供多次免费接口对接服务，涉及</w:t>
            </w:r>
            <w:r>
              <w:rPr>
                <w:rFonts w:hint="eastAsia" w:ascii="宋体" w:hAnsi="宋体" w:eastAsia="宋体" w:cs="宋体"/>
                <w:color w:val="auto"/>
                <w:sz w:val="21"/>
                <w:szCs w:val="21"/>
                <w:highlight w:val="none"/>
                <w:lang w:val="en-US" w:eastAsia="zh-CN"/>
              </w:rPr>
              <w:t>第三方</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自行测算，并包含在投标报价中。 </w:t>
            </w:r>
          </w:p>
          <w:p w14:paraId="3294CCD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能够根据国家信创要求，承诺在保持自助机外观及主体物理结构、性能不改变的前提下，进行国产化替代，适配信创软硬件生态。（提供承诺书加盖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p w14:paraId="5AD12A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系统建设具有可扩展性，能够与其他第三方系统对接，以适应发展需求。</w:t>
            </w:r>
          </w:p>
        </w:tc>
      </w:tr>
      <w:tr w14:paraId="45BE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00018605">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52E1E2F9">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软硬件升级服务</w:t>
            </w:r>
          </w:p>
        </w:tc>
        <w:tc>
          <w:tcPr>
            <w:tcW w:w="3839" w:type="pct"/>
            <w:noWrap w:val="0"/>
            <w:vAlign w:val="center"/>
          </w:tcPr>
          <w:p w14:paraId="5EF631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1.根据医院和患者的使用需求，分析应用系统对服务平台性能的要求，对多功能自助服务系统软、硬件进行更新开发与部署，保障应用系统的处理服务性能。 </w:t>
            </w:r>
          </w:p>
          <w:p w14:paraId="294A11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中的软件发布了任何更新、补丁、版本升级、行业标准升级、型号升级等，供应商经过评估，提供可行的升级计划方案与医院信息部门进行技术交流，征得同意后组织实施工作进行软件免费升级，保证软件为最新、最高版本。主要工作内容包括：更新内容调研、更新方案设计、软件开发、代码编写、功能测试、上线部署。</w:t>
            </w:r>
          </w:p>
          <w:p w14:paraId="002894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w:t>
            </w:r>
            <w:r>
              <w:rPr>
                <w:rFonts w:hint="eastAsia" w:ascii="宋体" w:hAnsi="宋体" w:eastAsia="宋体" w:cs="宋体"/>
                <w:b/>
                <w:bCs/>
                <w:i/>
                <w:iCs/>
                <w:color w:val="auto"/>
                <w:sz w:val="21"/>
                <w:szCs w:val="21"/>
                <w:highlight w:val="none"/>
                <w:u w:val="single"/>
                <w:lang w:val="en-US" w:eastAsia="zh-CN"/>
              </w:rPr>
              <w:t>投标人</w:t>
            </w:r>
            <w:r>
              <w:rPr>
                <w:rFonts w:hint="eastAsia" w:ascii="宋体" w:hAnsi="宋体" w:eastAsia="宋体" w:cs="宋体"/>
                <w:b/>
                <w:bCs/>
                <w:i/>
                <w:iCs/>
                <w:color w:val="auto"/>
                <w:sz w:val="21"/>
                <w:szCs w:val="21"/>
                <w:highlight w:val="none"/>
                <w:u w:val="single"/>
              </w:rPr>
              <w:t>与医院共同开发新增服务项目每年不少于3项。合同期内供应商新开发服务功能，免费提供院方使用。（提供承诺书加盖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tc>
      </w:tr>
      <w:tr w14:paraId="5D4B1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3105FEF0">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2CD44167">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超过合同期限后的服务</w:t>
            </w:r>
          </w:p>
        </w:tc>
        <w:tc>
          <w:tcPr>
            <w:tcW w:w="3839" w:type="pct"/>
            <w:noWrap w:val="0"/>
            <w:vAlign w:val="center"/>
          </w:tcPr>
          <w:p w14:paraId="2F0ADA2B">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超出合同期限后，有关</w:t>
            </w:r>
            <w:r>
              <w:rPr>
                <w:rFonts w:hint="eastAsia" w:cs="Times New Roman"/>
                <w:color w:val="auto"/>
                <w:sz w:val="21"/>
                <w:szCs w:val="22"/>
                <w:highlight w:val="none"/>
                <w:lang w:val="en-US" w:eastAsia="zh-CN" w:bidi="ar-SA"/>
              </w:rPr>
              <w:t>软、硬件升级；软、硬件维护；</w:t>
            </w:r>
            <w:r>
              <w:rPr>
                <w:rFonts w:hint="eastAsia" w:ascii="宋体" w:hAnsi="宋体" w:eastAsia="宋体" w:cs="宋体"/>
                <w:color w:val="auto"/>
                <w:sz w:val="21"/>
                <w:szCs w:val="21"/>
                <w:highlight w:val="none"/>
              </w:rPr>
              <w:t>耗材管理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服务方式、范围等相关服务费用参照合同要求，</w:t>
            </w:r>
            <w:r>
              <w:rPr>
                <w:rFonts w:hint="eastAsia" w:ascii="宋体" w:hAnsi="宋体" w:eastAsia="宋体" w:cs="宋体"/>
                <w:color w:val="auto"/>
                <w:sz w:val="21"/>
                <w:szCs w:val="21"/>
                <w:highlight w:val="none"/>
                <w:lang w:val="en-US" w:eastAsia="zh-CN"/>
              </w:rPr>
              <w:t>双方另签署合同，</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lang w:val="en-US" w:eastAsia="zh-CN"/>
              </w:rPr>
              <w:t>出保后的价格</w:t>
            </w:r>
            <w:r>
              <w:rPr>
                <w:rFonts w:hint="eastAsia" w:ascii="宋体" w:hAnsi="宋体" w:eastAsia="宋体" w:cs="宋体"/>
                <w:color w:val="auto"/>
                <w:sz w:val="21"/>
                <w:szCs w:val="21"/>
                <w:highlight w:val="none"/>
              </w:rPr>
              <w:t xml:space="preserve">为准。 </w:t>
            </w:r>
          </w:p>
        </w:tc>
      </w:tr>
      <w:tr w14:paraId="2E05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32BFA18B">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5646C0E4">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w:t>
            </w:r>
          </w:p>
        </w:tc>
        <w:tc>
          <w:tcPr>
            <w:tcW w:w="3839" w:type="pct"/>
            <w:noWrap w:val="0"/>
            <w:vAlign w:val="center"/>
          </w:tcPr>
          <w:p w14:paraId="3AF08DA8">
            <w:pPr>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负责为院方相关</w:t>
            </w:r>
            <w:r>
              <w:rPr>
                <w:rFonts w:hint="eastAsia" w:ascii="宋体" w:hAnsi="宋体" w:eastAsia="宋体" w:cs="宋体"/>
                <w:color w:val="auto"/>
                <w:sz w:val="21"/>
                <w:szCs w:val="21"/>
                <w:highlight w:val="none"/>
                <w:lang w:val="en-US" w:eastAsia="zh-CN"/>
              </w:rPr>
              <w:t>科室</w:t>
            </w:r>
            <w:r>
              <w:rPr>
                <w:rFonts w:hint="eastAsia" w:ascii="宋体" w:hAnsi="宋体" w:eastAsia="宋体" w:cs="宋体"/>
                <w:color w:val="auto"/>
                <w:sz w:val="21"/>
                <w:szCs w:val="21"/>
                <w:highlight w:val="none"/>
              </w:rPr>
              <w:t>人员（包括导医、财务、部门管理、信息化处技术人员等）提供免费培训服务。培训方式为现场培训，培训内容包括：系统管理、平台软件等。</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根据上述要求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w:t>
            </w:r>
          </w:p>
        </w:tc>
      </w:tr>
      <w:tr w14:paraId="6BAB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7D043DB4">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1D138229">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运营服务</w:t>
            </w:r>
          </w:p>
        </w:tc>
        <w:tc>
          <w:tcPr>
            <w:tcW w:w="3839" w:type="pct"/>
            <w:noWrap w:val="0"/>
            <w:vAlign w:val="center"/>
          </w:tcPr>
          <w:p w14:paraId="106F8763">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rPr>
              <w:t>提供整体的运营方案体系，通过线下、线上的运营宣传推广来提高多功能自助服务机使用率，结合医院的主题风格，利用设计及装潢等方式引导用户主动使用自助机产品，通过智能引导操作流程，降低新用户使用门槛，发挥自助服务应有的价值。</w:t>
            </w:r>
          </w:p>
        </w:tc>
      </w:tr>
    </w:tbl>
    <w:p w14:paraId="10DB60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96A589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四、投标报价要求</w:t>
      </w:r>
    </w:p>
    <w:p w14:paraId="1B50545E">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bookmarkStart w:id="129" w:name="_Toc27307"/>
      <w:r>
        <w:rPr>
          <w:rFonts w:hint="eastAsia" w:ascii="宋体" w:hAnsi="宋体" w:eastAsia="宋体" w:cs="宋体"/>
          <w:color w:val="auto"/>
          <w:sz w:val="21"/>
          <w:szCs w:val="21"/>
          <w:highlight w:val="none"/>
        </w:rPr>
        <w:t>本项目为交钥匙项目，投标报价应含所有采购供货及需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非故意损坏维修费及其它一切与本项目相关的衍生费用。</w:t>
      </w:r>
    </w:p>
    <w:p w14:paraId="2CF770CB">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投标人须提供软件免费升级；免费接口开发；承担与所涉及的第三方系统接口对接费用</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本项目运维期内</w:t>
      </w:r>
      <w:r>
        <w:rPr>
          <w:rFonts w:hint="eastAsia" w:ascii="宋体" w:hAnsi="宋体" w:eastAsia="宋体" w:cs="宋体"/>
          <w:color w:val="auto"/>
          <w:sz w:val="21"/>
          <w:szCs w:val="21"/>
          <w:highlight w:val="none"/>
          <w:lang w:val="en-US" w:eastAsia="zh-CN"/>
        </w:rPr>
        <w:t>所有配套纸张、耗材免费提供</w:t>
      </w:r>
      <w:r>
        <w:rPr>
          <w:rFonts w:hint="eastAsia" w:ascii="宋体" w:hAnsi="宋体" w:cs="宋体"/>
          <w:color w:val="auto"/>
          <w:sz w:val="21"/>
          <w:szCs w:val="21"/>
          <w:highlight w:val="none"/>
          <w:lang w:val="en-US" w:eastAsia="zh-CN"/>
        </w:rPr>
        <w:t>（行政楼2台自助复印机耗材、纸张医院自行承担）</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运维</w:t>
      </w:r>
      <w:r>
        <w:rPr>
          <w:rFonts w:hint="eastAsia" w:ascii="宋体" w:hAnsi="宋体" w:eastAsia="宋体" w:cs="宋体"/>
          <w:color w:val="auto"/>
          <w:sz w:val="21"/>
          <w:szCs w:val="21"/>
          <w:highlight w:val="none"/>
          <w:lang w:val="en-US" w:eastAsia="zh-CN"/>
        </w:rPr>
        <w:t>期结束后进入维保期，所有配套耗材费用折算到相对应打印纸张费用上，需对维保费及打印纸张进行报价。</w:t>
      </w:r>
    </w:p>
    <w:p w14:paraId="0347EBB6">
      <w:pPr>
        <w:keepNext w:val="0"/>
        <w:keepLines w:val="0"/>
        <w:pageBreakBefore w:val="0"/>
        <w:widowControl w:val="0"/>
        <w:numPr>
          <w:ilvl w:val="0"/>
          <w:numId w:val="35"/>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演示视频</w:t>
      </w:r>
      <w:r>
        <w:rPr>
          <w:rFonts w:hint="eastAsia" w:ascii="宋体" w:hAnsi="宋体" w:cs="宋体"/>
          <w:b/>
          <w:bCs/>
          <w:color w:val="auto"/>
          <w:sz w:val="21"/>
          <w:szCs w:val="21"/>
          <w:highlight w:val="none"/>
          <w:lang w:val="en-US" w:eastAsia="zh-CN"/>
        </w:rPr>
        <w:t>要求</w:t>
      </w:r>
    </w:p>
    <w:p w14:paraId="2FEAC3D4">
      <w:pPr>
        <w:keepNext w:val="0"/>
        <w:keepLines w:val="0"/>
        <w:pageBreakBefore w:val="0"/>
        <w:widowControl w:val="0"/>
        <w:numPr>
          <w:ilvl w:val="0"/>
          <w:numId w:val="36"/>
        </w:numPr>
        <w:kinsoku/>
        <w:wordWrap/>
        <w:overflowPunct/>
        <w:topLinePunct w:val="0"/>
        <w:autoSpaceDE/>
        <w:autoSpaceDN/>
        <w:bidi w:val="0"/>
        <w:spacing w:line="360" w:lineRule="auto"/>
        <w:ind w:firstLine="420" w:firstLineChars="200"/>
        <w:contextualSpacing/>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投标人须将演示内容自行制作视频文件进行功能演示（视频画面品质清晰），演示视频将作为投标文件的组成部分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视频时长总计不超过15分钟。演示内容如下：详见第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w:t>
      </w:r>
      <w:r>
        <w:rPr>
          <w:rFonts w:hint="eastAsia" w:ascii="宋体" w:hAnsi="宋体" w:cs="宋体"/>
          <w:color w:val="auto"/>
          <w:sz w:val="21"/>
          <w:szCs w:val="21"/>
          <w:highlight w:val="none"/>
          <w:lang w:val="en-US" w:eastAsia="zh-CN"/>
        </w:rPr>
        <w:t>项目需求。</w:t>
      </w:r>
    </w:p>
    <w:p w14:paraId="174023E3">
      <w:pPr>
        <w:keepNext w:val="0"/>
        <w:keepLines w:val="0"/>
        <w:pageBreakBefore w:val="0"/>
        <w:widowControl w:val="0"/>
        <w:numPr>
          <w:ilvl w:val="0"/>
          <w:numId w:val="36"/>
        </w:numPr>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将演示视频存放在U盘内（须确保视频可正常打开），将U盘密封包装（注明投标人名称、项目名称），在投标截止时间前与投标文件一同递交。</w:t>
      </w:r>
    </w:p>
    <w:p w14:paraId="3677BB56">
      <w:pPr>
        <w:keepNext w:val="0"/>
        <w:keepLines w:val="0"/>
        <w:pageBreakBefore w:val="0"/>
        <w:widowControl w:val="0"/>
        <w:numPr>
          <w:ilvl w:val="0"/>
          <w:numId w:val="35"/>
        </w:numPr>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rPr>
        <w:br w:type="page"/>
      </w:r>
    </w:p>
    <w:p w14:paraId="06740D7A">
      <w:pPr>
        <w:pStyle w:val="3"/>
        <w:bidi w:val="0"/>
        <w:jc w:val="center"/>
        <w:rPr>
          <w:color w:val="auto"/>
          <w:highlight w:val="none"/>
        </w:rPr>
      </w:pPr>
      <w:bookmarkStart w:id="130" w:name="_Toc21138"/>
      <w:r>
        <w:rPr>
          <w:rFonts w:hint="eastAsia"/>
          <w:color w:val="auto"/>
          <w:highlight w:val="none"/>
        </w:rPr>
        <w:t>第五章 评标方法及评标标准</w:t>
      </w:r>
      <w:bookmarkEnd w:id="122"/>
      <w:bookmarkEnd w:id="129"/>
      <w:bookmarkEnd w:id="130"/>
    </w:p>
    <w:p w14:paraId="2B59ABFF">
      <w:pPr>
        <w:pStyle w:val="284"/>
        <w:keepNext w:val="0"/>
        <w:keepLines w:val="0"/>
        <w:pageBreakBefore w:val="0"/>
        <w:widowControl w:val="0"/>
        <w:kinsoku/>
        <w:wordWrap/>
        <w:overflowPunct/>
        <w:topLinePunct w:val="0"/>
        <w:autoSpaceDE/>
        <w:autoSpaceDN/>
        <w:bidi w:val="0"/>
        <w:adjustRightInd w:val="0"/>
        <w:snapToGrid w:val="0"/>
        <w:spacing w:before="0" w:after="0"/>
        <w:ind w:left="0" w:firstLine="422" w:firstLineChars="200"/>
        <w:textAlignment w:val="auto"/>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14:paraId="7F95B160">
      <w:pPr>
        <w:pStyle w:val="284"/>
        <w:keepNext w:val="0"/>
        <w:keepLines w:val="0"/>
        <w:pageBreakBefore w:val="0"/>
        <w:widowControl w:val="0"/>
        <w:kinsoku/>
        <w:wordWrap/>
        <w:overflowPunct/>
        <w:topLinePunct w:val="0"/>
        <w:autoSpaceDE/>
        <w:autoSpaceDN/>
        <w:bidi w:val="0"/>
        <w:adjustRightInd w:val="0"/>
        <w:snapToGrid w:val="0"/>
        <w:spacing w:before="0" w:after="0"/>
        <w:ind w:left="0"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本项目采用综合评分法，评委会将对确定为实质性响应</w:t>
      </w:r>
      <w:r>
        <w:rPr>
          <w:rFonts w:hint="eastAsia" w:ascii="Times New Roman" w:hAnsi="Times New Roman"/>
          <w:color w:val="auto"/>
          <w:sz w:val="21"/>
          <w:szCs w:val="21"/>
          <w:highlight w:val="none"/>
        </w:rPr>
        <w:t>招标文件</w:t>
      </w:r>
      <w:r>
        <w:rPr>
          <w:rFonts w:hint="eastAsia" w:ascii="Times New Roman" w:hAnsi="Times New Roman"/>
          <w:color w:val="auto"/>
          <w:sz w:val="21"/>
          <w:szCs w:val="21"/>
          <w:highlight w:val="none"/>
          <w:lang w:val="en-US" w:eastAsia="zh-CN"/>
        </w:rPr>
        <w:t>要求的</w:t>
      </w:r>
      <w:r>
        <w:rPr>
          <w:rFonts w:hint="eastAsia" w:ascii="Times New Roman" w:hAnsi="Times New Roman"/>
          <w:color w:val="auto"/>
          <w:sz w:val="21"/>
          <w:szCs w:val="21"/>
          <w:highlight w:val="none"/>
        </w:rPr>
        <w:t>投标文件</w:t>
      </w:r>
      <w:r>
        <w:rPr>
          <w:rFonts w:hint="eastAsia" w:ascii="Times New Roman" w:hAnsi="Times New Roman"/>
          <w:color w:val="auto"/>
          <w:sz w:val="21"/>
          <w:szCs w:val="21"/>
          <w:highlight w:val="none"/>
          <w:lang w:val="en-US" w:eastAsia="zh-CN"/>
        </w:rPr>
        <w:t>进行评价和比较。评审结果按综合得分由高到低顺序排列。得分相同的，按</w:t>
      </w:r>
      <w:r>
        <w:rPr>
          <w:rFonts w:hint="eastAsia" w:ascii="Times New Roman" w:hAnsi="Times New Roman"/>
          <w:color w:val="auto"/>
          <w:sz w:val="21"/>
          <w:szCs w:val="21"/>
          <w:highlight w:val="none"/>
        </w:rPr>
        <w:t>投标报价</w:t>
      </w:r>
      <w:r>
        <w:rPr>
          <w:rFonts w:hint="eastAsia" w:ascii="Times New Roman" w:hAnsi="Times New Roman"/>
          <w:color w:val="auto"/>
          <w:sz w:val="21"/>
          <w:szCs w:val="21"/>
          <w:highlight w:val="none"/>
          <w:lang w:val="en-US" w:eastAsia="zh-CN"/>
        </w:rPr>
        <w:t>由低到高顺序排列。得分且报价相同的并列，</w:t>
      </w:r>
      <w:r>
        <w:rPr>
          <w:rFonts w:hint="eastAsia" w:ascii="Times New Roman" w:hAnsi="Times New Roman"/>
          <w:color w:val="auto"/>
          <w:sz w:val="21"/>
          <w:szCs w:val="21"/>
          <w:highlight w:val="none"/>
        </w:rPr>
        <w:t>投标文件</w:t>
      </w:r>
      <w:r>
        <w:rPr>
          <w:rFonts w:hint="eastAsia" w:ascii="Times New Roman" w:hAnsi="Times New Roman"/>
          <w:color w:val="auto"/>
          <w:sz w:val="21"/>
          <w:szCs w:val="21"/>
          <w:highlight w:val="none"/>
          <w:lang w:val="en-US" w:eastAsia="zh-CN"/>
        </w:rPr>
        <w:t>满足</w:t>
      </w:r>
      <w:r>
        <w:rPr>
          <w:rFonts w:hint="eastAsia" w:ascii="Times New Roman" w:hAnsi="Times New Roman"/>
          <w:color w:val="auto"/>
          <w:sz w:val="21"/>
          <w:szCs w:val="21"/>
          <w:highlight w:val="none"/>
        </w:rPr>
        <w:t>招标文件</w:t>
      </w:r>
      <w:r>
        <w:rPr>
          <w:rFonts w:hint="eastAsia" w:ascii="Times New Roman" w:hAnsi="Times New Roman"/>
          <w:color w:val="auto"/>
          <w:sz w:val="21"/>
          <w:szCs w:val="21"/>
          <w:highlight w:val="none"/>
          <w:lang w:val="en-US" w:eastAsia="zh-CN"/>
        </w:rPr>
        <w:t>全部实质性要求，且按照评审因素的量化指标评审得分最高的前三名投标单位为中标候选人。</w:t>
      </w:r>
    </w:p>
    <w:p w14:paraId="31989539">
      <w:pPr>
        <w:pStyle w:val="284"/>
        <w:keepNext w:val="0"/>
        <w:keepLines w:val="0"/>
        <w:pageBreakBefore w:val="0"/>
        <w:widowControl w:val="0"/>
        <w:kinsoku/>
        <w:wordWrap/>
        <w:overflowPunct/>
        <w:topLinePunct w:val="0"/>
        <w:autoSpaceDE/>
        <w:autoSpaceDN/>
        <w:bidi w:val="0"/>
        <w:adjustRightInd w:val="0"/>
        <w:snapToGrid w:val="0"/>
        <w:spacing w:before="0" w:after="0"/>
        <w:ind w:left="0"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确定中标人的原则：采购人按照评委会的书面评标报告中的中标候选人排序，确定排名第一的为中标人。当排名第一的中标候选人放弃成交、因不可抗力提出不能履行合同或者因其他原因被取消成交资格的，采购人可以确定排名第二的中标候选人为中标人；排名第二的中标候选人因同样的原因不能签订合同的，采购人可以确定排名第三的中标候选人为中标人；以此类推，直至选出合格的中标人。有效中标候选人不足三家的，本项目终止采购。</w:t>
      </w:r>
    </w:p>
    <w:p w14:paraId="20F5CF98">
      <w:pPr>
        <w:pStyle w:val="284"/>
        <w:pageBreakBefore w:val="0"/>
        <w:kinsoku/>
        <w:overflowPunct/>
        <w:autoSpaceDE/>
        <w:autoSpaceDN/>
        <w:bidi w:val="0"/>
        <w:adjustRightInd w:val="0"/>
        <w:snapToGrid w:val="0"/>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lang w:val="en-US" w:eastAsia="zh-CN"/>
        </w:rPr>
        <w:t>二</w:t>
      </w:r>
      <w:r>
        <w:rPr>
          <w:rFonts w:hint="eastAsia" w:ascii="Times New Roman" w:hAnsi="Times New Roman"/>
          <w:b/>
          <w:color w:val="auto"/>
          <w:sz w:val="21"/>
          <w:szCs w:val="21"/>
          <w:highlight w:val="none"/>
        </w:rPr>
        <w:t>、评标标准</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840"/>
        <w:gridCol w:w="6566"/>
      </w:tblGrid>
      <w:tr w14:paraId="5A4E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588742F3">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
                <w:color w:val="auto"/>
                <w:sz w:val="21"/>
                <w:szCs w:val="21"/>
                <w:highlight w:val="none"/>
              </w:rPr>
            </w:pPr>
            <w:bookmarkStart w:id="131" w:name="_Toc497133123"/>
            <w:r>
              <w:rPr>
                <w:rFonts w:hint="eastAsia" w:ascii="宋体" w:hAnsi="宋体" w:eastAsia="宋体" w:cs="宋体"/>
                <w:b/>
                <w:color w:val="auto"/>
                <w:sz w:val="21"/>
                <w:szCs w:val="21"/>
                <w:highlight w:val="none"/>
              </w:rPr>
              <w:t>评审因素</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70741F9E">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7F5904DB">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7CFF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3C917ED6">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w:t>
            </w:r>
          </w:p>
          <w:p w14:paraId="691327FF">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64954F7">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noWrap w:val="0"/>
            <w:vAlign w:val="top"/>
          </w:tcPr>
          <w:p w14:paraId="5B815052">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采用低价优先法计算，即满足招标文件要求且投标价格最低的投标报价为评标基准价，其价格分为满分。</w:t>
            </w:r>
          </w:p>
          <w:p w14:paraId="70A21A9F">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其他投标人的价格分统一按照下列公式计算：</w:t>
            </w:r>
          </w:p>
          <w:p w14:paraId="5E8FC99E">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×100%，结果保留两位有效小数。</w:t>
            </w:r>
          </w:p>
        </w:tc>
      </w:tr>
      <w:tr w14:paraId="325F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tcBorders>
              <w:top w:val="single" w:color="auto" w:sz="4" w:space="0"/>
              <w:left w:val="single" w:color="auto" w:sz="4" w:space="0"/>
              <w:right w:val="single" w:color="auto" w:sz="4" w:space="0"/>
            </w:tcBorders>
            <w:noWrap w:val="0"/>
            <w:vAlign w:val="center"/>
          </w:tcPr>
          <w:p w14:paraId="32AE5A55">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技术指标</w:t>
            </w:r>
          </w:p>
          <w:p w14:paraId="6A073FE6">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响应程度</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0C6B09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15分</w:t>
            </w:r>
          </w:p>
        </w:tc>
        <w:tc>
          <w:tcPr>
            <w:tcW w:w="3853" w:type="pct"/>
            <w:tcBorders>
              <w:top w:val="single" w:color="auto" w:sz="4" w:space="0"/>
              <w:left w:val="single" w:color="auto" w:sz="4" w:space="0"/>
              <w:bottom w:val="single" w:color="auto" w:sz="4" w:space="0"/>
              <w:right w:val="single" w:color="auto" w:sz="4" w:space="0"/>
            </w:tcBorders>
            <w:noWrap w:val="0"/>
            <w:vAlign w:val="top"/>
          </w:tcPr>
          <w:p w14:paraId="34C269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硬件技术要求的响应度：</w:t>
            </w:r>
          </w:p>
          <w:p w14:paraId="19594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全部满足或优于第四章项目需求的得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5DBEC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标注“</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”的重要技术指标，每负偏离一项、未提供或未按要求提供佐证材料的扣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ADCF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其余为一般技术指标，总计负偏离项数：1~5项，扣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分，总计负偏离项数：6~10项，扣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分，总计负偏离项数：≥</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扣完为止。</w:t>
            </w:r>
          </w:p>
          <w:p w14:paraId="334F1FF9">
            <w:pPr>
              <w:pStyle w:val="3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说明：</w:t>
            </w:r>
          </w:p>
          <w:p w14:paraId="615E8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1.对采购需求中标注“▲”的重要指标，须提供第三方检验报告或者技术支持资料（如如厂家技术白皮书或厂家公开发行的宣传彩页等）</w:t>
            </w:r>
            <w:r>
              <w:rPr>
                <w:rFonts w:hint="eastAsia" w:ascii="宋体" w:hAnsi="宋体" w:cs="宋体"/>
                <w:b/>
                <w:bCs/>
                <w:color w:val="auto"/>
                <w:kern w:val="0"/>
                <w:sz w:val="21"/>
                <w:szCs w:val="21"/>
                <w:highlight w:val="none"/>
                <w:lang w:val="en-US" w:eastAsia="zh-CN" w:bidi="ar-SA"/>
              </w:rPr>
              <w:t>加盖投标人公章</w:t>
            </w:r>
            <w:r>
              <w:rPr>
                <w:rFonts w:hint="eastAsia" w:ascii="宋体" w:hAnsi="宋体" w:eastAsia="宋体" w:cs="宋体"/>
                <w:b/>
                <w:bCs/>
                <w:color w:val="auto"/>
                <w:kern w:val="0"/>
                <w:sz w:val="21"/>
                <w:szCs w:val="21"/>
                <w:highlight w:val="none"/>
                <w:lang w:val="en-US" w:eastAsia="zh-CN" w:bidi="ar-SA"/>
              </w:rPr>
              <w:t>，并同时须在《技术参数响应及偏离表》中逐条应答，未按要求提供证明材料并逐条应答的视为负偏离，评审时不予认可。若重要指标的负偏离项数≥4项，则视为无法实现关键技术指标功能，【硬件技术要求的响应度】单项评审项不得分。</w:t>
            </w:r>
          </w:p>
          <w:p w14:paraId="413B1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2.不带“▲”的技术指标须</w:t>
            </w:r>
            <w:r>
              <w:rPr>
                <w:rFonts w:hint="eastAsia" w:ascii="宋体" w:hAnsi="宋体" w:cs="宋体"/>
                <w:b/>
                <w:bCs/>
                <w:color w:val="auto"/>
                <w:kern w:val="0"/>
                <w:sz w:val="21"/>
                <w:szCs w:val="21"/>
                <w:highlight w:val="none"/>
                <w:lang w:val="en-US" w:eastAsia="zh-CN" w:bidi="ar-SA"/>
              </w:rPr>
              <w:t>提供相应证明材料并</w:t>
            </w:r>
            <w:r>
              <w:rPr>
                <w:rFonts w:hint="eastAsia" w:ascii="宋体" w:hAnsi="宋体" w:eastAsia="宋体" w:cs="宋体"/>
                <w:b/>
                <w:bCs/>
                <w:color w:val="auto"/>
                <w:kern w:val="0"/>
                <w:sz w:val="21"/>
                <w:szCs w:val="21"/>
                <w:highlight w:val="none"/>
                <w:lang w:val="en-US" w:eastAsia="zh-CN" w:bidi="ar-SA"/>
              </w:rPr>
              <w:t>在《技术参数响应及偏离表》中逐条应答，列明所投标产品详细技术特性说明偏离情况，未按要求应答的，视为负偏离。</w:t>
            </w:r>
            <w:r>
              <w:rPr>
                <w:rFonts w:hint="eastAsia" w:ascii="宋体" w:hAnsi="宋体" w:cs="宋体"/>
                <w:b/>
                <w:bCs/>
                <w:color w:val="auto"/>
                <w:kern w:val="0"/>
                <w:sz w:val="21"/>
                <w:szCs w:val="21"/>
                <w:highlight w:val="none"/>
                <w:lang w:val="en-US" w:eastAsia="zh-CN" w:bidi="ar-SA"/>
              </w:rPr>
              <w:t>（技术指标未列明提供证明材料的无须提供但仍应</w:t>
            </w:r>
            <w:r>
              <w:rPr>
                <w:rFonts w:hint="eastAsia" w:ascii="宋体" w:hAnsi="宋体" w:eastAsia="宋体" w:cs="宋体"/>
                <w:b/>
                <w:bCs/>
                <w:color w:val="auto"/>
                <w:kern w:val="0"/>
                <w:sz w:val="21"/>
                <w:szCs w:val="21"/>
                <w:highlight w:val="none"/>
                <w:lang w:val="en-US" w:eastAsia="zh-CN" w:bidi="ar-SA"/>
              </w:rPr>
              <w:t>在《技术参数响应及偏离表》中逐条应答</w:t>
            </w:r>
            <w:r>
              <w:rPr>
                <w:rFonts w:hint="eastAsia" w:ascii="宋体" w:hAnsi="宋体" w:cs="宋体"/>
                <w:b/>
                <w:bCs/>
                <w:color w:val="auto"/>
                <w:kern w:val="0"/>
                <w:sz w:val="21"/>
                <w:szCs w:val="21"/>
                <w:highlight w:val="none"/>
                <w:lang w:val="en-US" w:eastAsia="zh-CN" w:bidi="ar-SA"/>
              </w:rPr>
              <w:t>）</w:t>
            </w:r>
          </w:p>
          <w:p w14:paraId="39572F84">
            <w:pPr>
              <w:pStyle w:val="4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cs="宋体"/>
                <w:b/>
                <w:bCs/>
                <w:color w:val="auto"/>
                <w:kern w:val="0"/>
                <w:sz w:val="21"/>
                <w:szCs w:val="21"/>
                <w:highlight w:val="none"/>
                <w:lang w:val="en-US" w:eastAsia="zh-CN" w:bidi="ar-SA"/>
              </w:rPr>
              <w:t>3.</w:t>
            </w:r>
            <w:r>
              <w:rPr>
                <w:rFonts w:hint="eastAsia" w:ascii="宋体" w:eastAsia="宋体" w:cs="宋体"/>
                <w:b/>
                <w:bCs/>
                <w:color w:val="auto"/>
                <w:kern w:val="0"/>
                <w:sz w:val="21"/>
                <w:szCs w:val="21"/>
                <w:highlight w:val="none"/>
                <w:lang w:val="en-US" w:eastAsia="zh-CN" w:bidi="ar-SA"/>
              </w:rPr>
              <w:t>设备（</w:t>
            </w:r>
            <w:r>
              <w:rPr>
                <w:rFonts w:hint="eastAsia" w:ascii="宋体" w:hAnsi="宋体" w:eastAsia="宋体" w:cs="宋体"/>
                <w:b/>
                <w:bCs/>
                <w:color w:val="auto"/>
                <w:kern w:val="0"/>
                <w:sz w:val="21"/>
                <w:szCs w:val="21"/>
                <w:highlight w:val="none"/>
                <w:lang w:val="en-US" w:eastAsia="zh-CN" w:bidi="ar-SA"/>
              </w:rPr>
              <w:t>平台</w:t>
            </w:r>
            <w:r>
              <w:rPr>
                <w:rFonts w:hint="eastAsia" w:asci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交付验收时，招标人将对技术要求的具体描述进行逐一核实验收，如发现虚假应标，给招标人造成损失的由投标人承担一切责任。</w:t>
            </w:r>
          </w:p>
        </w:tc>
      </w:tr>
      <w:tr w14:paraId="0569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Borders>
              <w:left w:val="single" w:color="auto" w:sz="4" w:space="0"/>
              <w:bottom w:val="single" w:color="auto" w:sz="4" w:space="0"/>
              <w:right w:val="single" w:color="auto" w:sz="4" w:space="0"/>
            </w:tcBorders>
            <w:noWrap w:val="0"/>
            <w:vAlign w:val="center"/>
          </w:tcPr>
          <w:p w14:paraId="77E90356">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678B8E">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0F0D7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软件技术要求的响应度：</w:t>
            </w:r>
          </w:p>
          <w:p w14:paraId="60C40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全部满足或优于第四章项目需求的得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p w14:paraId="25B1F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标注“</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”的重要技术指标，每负偏离一项、未提供或未按要求提供佐证材料的扣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D896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其余为一般技术指标，总计负偏离项数：1~5项，扣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分，总计负偏离项数：6~10项，扣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分，总计负偏离项数：≥</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扣完为止。</w:t>
            </w:r>
          </w:p>
          <w:p w14:paraId="1A5CB0CB">
            <w:pPr>
              <w:pStyle w:val="3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说明：</w:t>
            </w:r>
          </w:p>
          <w:p w14:paraId="318BD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1.对采购需求中标注“▲”的重要指标，应按招标文件要求提供相应证明材料，并同时在《技术参数响应及偏离表》中逐条应答，未按要求提供证明材料并应答的，视为负偏离。若重要指标的负偏离项数≥</w:t>
            </w:r>
            <w:r>
              <w:rPr>
                <w:rFonts w:hint="eastAsia" w:ascii="宋体" w:hAnsi="宋体" w:cs="宋体"/>
                <w:b/>
                <w:bCs/>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val="en-US" w:eastAsia="zh-CN" w:bidi="ar-SA"/>
              </w:rPr>
              <w:t>项，则视为无法实现关键技术指标功能，【软件技术要求的响应度】</w:t>
            </w:r>
            <w:r>
              <w:rPr>
                <w:rFonts w:hint="eastAsia" w:ascii="宋体" w:hAnsi="宋体" w:cs="宋体"/>
                <w:b/>
                <w:bCs/>
                <w:color w:val="auto"/>
                <w:kern w:val="0"/>
                <w:sz w:val="21"/>
                <w:szCs w:val="21"/>
                <w:highlight w:val="none"/>
                <w:lang w:val="en-US" w:eastAsia="zh-CN" w:bidi="ar-SA"/>
              </w:rPr>
              <w:t>单项</w:t>
            </w:r>
            <w:r>
              <w:rPr>
                <w:rFonts w:hint="eastAsia" w:ascii="宋体" w:hAnsi="宋体" w:eastAsia="宋体" w:cs="宋体"/>
                <w:b/>
                <w:bCs/>
                <w:color w:val="auto"/>
                <w:kern w:val="0"/>
                <w:sz w:val="21"/>
                <w:szCs w:val="21"/>
                <w:highlight w:val="none"/>
                <w:lang w:val="en-US" w:eastAsia="zh-CN" w:bidi="ar-SA"/>
              </w:rPr>
              <w:t>评审项不得分。</w:t>
            </w:r>
          </w:p>
          <w:p w14:paraId="11D5C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.不带“▲”的技术指标须在《技术参数响应及偏离表》中逐条应答，列明所投标产品详细技术特性说明偏离情况，未按要求应答的，视为负偏离。</w:t>
            </w:r>
          </w:p>
          <w:p w14:paraId="001DAA9E">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highlight w:val="none"/>
              </w:rPr>
            </w:pPr>
            <w:r>
              <w:rPr>
                <w:rFonts w:hint="eastAsia" w:ascii="宋体" w:eastAsia="宋体" w:cs="宋体"/>
                <w:b/>
                <w:bCs/>
                <w:color w:val="auto"/>
                <w:kern w:val="0"/>
                <w:sz w:val="21"/>
                <w:szCs w:val="21"/>
                <w:highlight w:val="none"/>
                <w:lang w:val="en-US" w:eastAsia="zh-CN" w:bidi="ar-SA"/>
              </w:rPr>
              <w:t>3</w:t>
            </w:r>
            <w:r>
              <w:rPr>
                <w:rFonts w:hint="eastAsia" w:ascii="宋体" w:hAnsi="宋体" w:eastAsia="宋体" w:cs="宋体"/>
                <w:b/>
                <w:bCs/>
                <w:color w:val="auto"/>
                <w:kern w:val="0"/>
                <w:sz w:val="21"/>
                <w:szCs w:val="21"/>
                <w:highlight w:val="none"/>
                <w:lang w:val="en-US" w:eastAsia="zh-CN" w:bidi="ar-SA"/>
              </w:rPr>
              <w:t>.</w:t>
            </w:r>
            <w:r>
              <w:rPr>
                <w:rFonts w:hint="eastAsia" w:ascii="宋体" w:eastAsia="宋体" w:cs="宋体"/>
                <w:b/>
                <w:bCs/>
                <w:color w:val="auto"/>
                <w:kern w:val="0"/>
                <w:sz w:val="21"/>
                <w:szCs w:val="21"/>
                <w:highlight w:val="none"/>
                <w:lang w:val="en-US" w:eastAsia="zh-CN" w:bidi="ar-SA"/>
              </w:rPr>
              <w:t>设备（</w:t>
            </w:r>
            <w:r>
              <w:rPr>
                <w:rFonts w:hint="eastAsia" w:ascii="宋体" w:hAnsi="宋体" w:eastAsia="宋体" w:cs="宋体"/>
                <w:b/>
                <w:bCs/>
                <w:color w:val="auto"/>
                <w:kern w:val="0"/>
                <w:sz w:val="21"/>
                <w:szCs w:val="21"/>
                <w:highlight w:val="none"/>
                <w:lang w:val="en-US" w:eastAsia="zh-CN" w:bidi="ar-SA"/>
              </w:rPr>
              <w:t>平台</w:t>
            </w:r>
            <w:r>
              <w:rPr>
                <w:rFonts w:hint="eastAsia" w:asci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交付验收时，招标人将对技术要求的具体描述进行逐一核实验收，如发现虚假应标，给招标人造成损失的由投标人承担一切责任。</w:t>
            </w:r>
          </w:p>
        </w:tc>
      </w:tr>
      <w:tr w14:paraId="226B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7C8F6E4A">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总体设计方案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FF0642">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1C1CC7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根据投标人针对本项目提供的总体设计方案进行综合评分，包括项目背景、需求分析、架构设计等内容：</w:t>
            </w:r>
          </w:p>
          <w:p w14:paraId="60DD0A59">
            <w:pPr>
              <w:keepNext w:val="0"/>
              <w:keepLines w:val="0"/>
              <w:pageBreakBefore w:val="0"/>
              <w:numPr>
                <w:ilvl w:val="0"/>
                <w:numId w:val="37"/>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投标人根据以上各项要求提供的总体设计方案内容全面详实、可操作性强的得5分；</w:t>
            </w:r>
          </w:p>
          <w:p w14:paraId="1EBB7357">
            <w:pPr>
              <w:keepNext w:val="0"/>
              <w:keepLines w:val="0"/>
              <w:pageBreakBefore w:val="0"/>
              <w:numPr>
                <w:ilvl w:val="0"/>
                <w:numId w:val="37"/>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投标人根据以上各项要求提供的总体设计方案内容全面、可操作性较强的得3分；</w:t>
            </w:r>
          </w:p>
          <w:p w14:paraId="5DC634DE">
            <w:pPr>
              <w:keepNext w:val="0"/>
              <w:keepLines w:val="0"/>
              <w:pageBreakBefore w:val="0"/>
              <w:numPr>
                <w:ilvl w:val="0"/>
                <w:numId w:val="37"/>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投标人根据以上各项要求提供的总体设计方案内容简单、阐述不完整、</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可操作性</w:t>
            </w:r>
            <w:r>
              <w:rPr>
                <w:rFonts w:hint="eastAsia" w:ascii="宋体" w:hAnsi="宋体" w:eastAsia="宋体" w:cs="宋体"/>
                <w:color w:val="auto"/>
                <w:kern w:val="0"/>
                <w:sz w:val="21"/>
                <w:szCs w:val="21"/>
                <w:highlight w:val="none"/>
                <w:lang w:val="en-US" w:eastAsia="zh-CN"/>
              </w:rPr>
              <w:t>不强</w:t>
            </w:r>
            <w:r>
              <w:rPr>
                <w:rFonts w:hint="eastAsia" w:ascii="宋体" w:hAnsi="宋体" w:eastAsia="宋体" w:cs="宋体"/>
                <w:color w:val="auto"/>
                <w:kern w:val="0"/>
                <w:sz w:val="21"/>
                <w:szCs w:val="21"/>
                <w:highlight w:val="none"/>
              </w:rPr>
              <w:t>的得1分；</w:t>
            </w:r>
          </w:p>
          <w:p w14:paraId="2AAF9AA0">
            <w:pPr>
              <w:keepNext w:val="0"/>
              <w:keepLines w:val="0"/>
              <w:pageBreakBefore w:val="0"/>
              <w:widowControl w:val="0"/>
              <w:numPr>
                <w:ilvl w:val="0"/>
                <w:numId w:val="37"/>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投标人提供的总体设计方案不合理或未提供方案的本项不得分。</w:t>
            </w:r>
          </w:p>
        </w:tc>
      </w:tr>
      <w:tr w14:paraId="77CF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2DFD81E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p>
          <w:p w14:paraId="02AA1C9D">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实施</w:t>
            </w:r>
          </w:p>
          <w:p w14:paraId="620FE05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A70774">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0118A3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根据投标人针对本项目采购需求提供的实施方案进行综合评分，包括项目管理方法、质量保障体系、组织架构、项目故障解决措施等内容：</w:t>
            </w:r>
          </w:p>
          <w:p w14:paraId="7F4FB0A2">
            <w:pPr>
              <w:keepNext w:val="0"/>
              <w:keepLines w:val="0"/>
              <w:pageBreakBefore w:val="0"/>
              <w:numPr>
                <w:ilvl w:val="0"/>
                <w:numId w:val="38"/>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投标人提供的实施方案包含以上各项内容的要求、可操作性强的得5分</w:t>
            </w:r>
            <w:r>
              <w:rPr>
                <w:rFonts w:hint="eastAsia" w:ascii="宋体" w:hAnsi="宋体" w:eastAsia="宋体" w:cs="宋体"/>
                <w:color w:val="auto"/>
                <w:kern w:val="0"/>
                <w:sz w:val="21"/>
                <w:szCs w:val="21"/>
                <w:highlight w:val="none"/>
                <w:lang w:eastAsia="zh-CN"/>
              </w:rPr>
              <w:t>；</w:t>
            </w:r>
          </w:p>
          <w:p w14:paraId="3E01143E">
            <w:pPr>
              <w:keepNext w:val="0"/>
              <w:keepLines w:val="0"/>
              <w:pageBreakBefore w:val="0"/>
              <w:numPr>
                <w:ilvl w:val="0"/>
                <w:numId w:val="38"/>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投标人提供的实施方案仅包含以上部分内容要求、可操作性较强的得3分</w:t>
            </w:r>
            <w:r>
              <w:rPr>
                <w:rFonts w:hint="eastAsia" w:ascii="宋体" w:hAnsi="宋体" w:eastAsia="宋体" w:cs="宋体"/>
                <w:color w:val="auto"/>
                <w:kern w:val="0"/>
                <w:sz w:val="21"/>
                <w:szCs w:val="21"/>
                <w:highlight w:val="none"/>
                <w:lang w:eastAsia="zh-CN"/>
              </w:rPr>
              <w:t>；</w:t>
            </w:r>
          </w:p>
          <w:p w14:paraId="2B15B74A">
            <w:pPr>
              <w:keepNext w:val="0"/>
              <w:keepLines w:val="0"/>
              <w:pageBreakBefore w:val="0"/>
              <w:numPr>
                <w:ilvl w:val="0"/>
                <w:numId w:val="38"/>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投标人提供的实施方案阐述简短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7EF3691C">
            <w:pPr>
              <w:keepNext w:val="0"/>
              <w:keepLines w:val="0"/>
              <w:pageBreakBefore w:val="0"/>
              <w:widowControl w:val="0"/>
              <w:numPr>
                <w:ilvl w:val="0"/>
                <w:numId w:val="38"/>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投标人提供的实施方案不合理或未提供方案的本项不得分</w:t>
            </w:r>
            <w:r>
              <w:rPr>
                <w:rFonts w:hint="eastAsia" w:ascii="宋体" w:hAnsi="宋体" w:eastAsia="宋体" w:cs="宋体"/>
                <w:color w:val="auto"/>
                <w:kern w:val="0"/>
                <w:sz w:val="21"/>
                <w:szCs w:val="21"/>
                <w:highlight w:val="none"/>
                <w:lang w:bidi="ar"/>
              </w:rPr>
              <w:t>。</w:t>
            </w:r>
          </w:p>
        </w:tc>
      </w:tr>
      <w:tr w14:paraId="2ECD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294100BB">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w:t>
            </w:r>
          </w:p>
          <w:p w14:paraId="65769CF9">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保障</w:t>
            </w:r>
          </w:p>
          <w:p w14:paraId="55670DAE">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措施</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B85ECF">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4675B33">
            <w:pPr>
              <w:keepNext w:val="0"/>
              <w:keepLines w:val="0"/>
              <w:pageBreakBefore w:val="0"/>
              <w:widowControl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根据投标人针对本项目采购需求提供的质量保障措施进行综合评</w:t>
            </w:r>
            <w:r>
              <w:rPr>
                <w:rFonts w:hint="eastAsia" w:ascii="宋体" w:hAnsi="宋体" w:eastAsia="宋体" w:cs="宋体"/>
                <w:b/>
                <w:bCs/>
                <w:color w:val="auto"/>
                <w:kern w:val="0"/>
                <w:sz w:val="21"/>
                <w:szCs w:val="21"/>
                <w:highlight w:val="none"/>
                <w:lang w:val="en-US" w:eastAsia="zh-CN"/>
              </w:rPr>
              <w:t>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包括</w:t>
            </w:r>
            <w:r>
              <w:rPr>
                <w:rFonts w:hint="eastAsia" w:ascii="宋体" w:hAnsi="宋体" w:eastAsia="宋体" w:cs="宋体"/>
                <w:b/>
                <w:bCs/>
                <w:color w:val="auto"/>
                <w:kern w:val="0"/>
                <w:sz w:val="21"/>
                <w:szCs w:val="21"/>
                <w:highlight w:val="none"/>
              </w:rPr>
              <w:t>对项目核心风险点进行分析，合理化建议及解决方案和应对措施</w:t>
            </w:r>
            <w:r>
              <w:rPr>
                <w:rFonts w:hint="eastAsia" w:ascii="宋体" w:hAnsi="宋体" w:eastAsia="宋体" w:cs="宋体"/>
                <w:b/>
                <w:bCs/>
                <w:color w:val="auto"/>
                <w:kern w:val="0"/>
                <w:sz w:val="21"/>
                <w:szCs w:val="21"/>
                <w:highlight w:val="none"/>
                <w:lang w:val="en-US" w:eastAsia="zh-CN"/>
              </w:rPr>
              <w:t>等内容</w:t>
            </w:r>
            <w:r>
              <w:rPr>
                <w:rFonts w:hint="eastAsia" w:ascii="宋体" w:hAnsi="宋体" w:eastAsia="宋体" w:cs="宋体"/>
                <w:b/>
                <w:bCs/>
                <w:color w:val="auto"/>
                <w:kern w:val="0"/>
                <w:sz w:val="21"/>
                <w:szCs w:val="21"/>
                <w:highlight w:val="none"/>
              </w:rPr>
              <w:t>：</w:t>
            </w:r>
          </w:p>
          <w:p w14:paraId="156BF355">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投标人充分了解采购人的实际情况和需求，针对项目核心风险点进行分析，并提出具有针对性的合理化建议及切实可行的解决方案和应对措施，服务响应措施；对</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实际情况和未来发展有针对性的设计及合理化建议的得5分；</w:t>
            </w:r>
          </w:p>
          <w:p w14:paraId="72F8AC79">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投标人根据对采购人的项目实际情况和需求了解，对项目核心风险点进行分析，提出的合理化建议及解决方案和应对措施针对性较好，质量保障措施比较详细；合理化建议一般的得3分；</w:t>
            </w:r>
          </w:p>
          <w:p w14:paraId="034CF15B">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投标人根据对采购人的项目实际情况和需求了解，对项目核心风险点进行分析，提出的合理化建议及解决方案和应对措施针对性不够，质量保障措施及合理化建议不够具体的得1分；</w:t>
            </w:r>
          </w:p>
          <w:p w14:paraId="6845405E">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kern w:val="0"/>
                <w:sz w:val="21"/>
                <w:szCs w:val="21"/>
                <w:highlight w:val="none"/>
                <w:lang w:val="en-US" w:eastAsia="zh-CN"/>
              </w:rPr>
              <w:t>质量保证措施</w:t>
            </w:r>
            <w:r>
              <w:rPr>
                <w:rFonts w:hint="eastAsia" w:ascii="宋体" w:hAnsi="宋体" w:eastAsia="宋体" w:cs="宋体"/>
                <w:color w:val="auto"/>
                <w:kern w:val="0"/>
                <w:sz w:val="21"/>
                <w:szCs w:val="21"/>
                <w:highlight w:val="none"/>
              </w:rPr>
              <w:t>不合理或未提供</w:t>
            </w:r>
            <w:r>
              <w:rPr>
                <w:rFonts w:hint="eastAsia" w:ascii="宋体" w:hAnsi="宋体" w:eastAsia="宋体" w:cs="宋体"/>
                <w:color w:val="auto"/>
                <w:kern w:val="0"/>
                <w:sz w:val="21"/>
                <w:szCs w:val="21"/>
                <w:highlight w:val="none"/>
                <w:lang w:val="en-US" w:eastAsia="zh-CN"/>
              </w:rPr>
              <w:t>措施</w:t>
            </w:r>
            <w:r>
              <w:rPr>
                <w:rFonts w:hint="eastAsia" w:ascii="宋体" w:hAnsi="宋体" w:eastAsia="宋体" w:cs="宋体"/>
                <w:color w:val="auto"/>
                <w:kern w:val="0"/>
                <w:sz w:val="21"/>
                <w:szCs w:val="21"/>
                <w:highlight w:val="none"/>
              </w:rPr>
              <w:t>的本项不得分</w:t>
            </w:r>
            <w:r>
              <w:rPr>
                <w:rFonts w:hint="eastAsia" w:ascii="宋体" w:hAnsi="宋体" w:eastAsia="宋体" w:cs="宋体"/>
                <w:color w:val="auto"/>
                <w:kern w:val="0"/>
                <w:sz w:val="21"/>
                <w:szCs w:val="21"/>
                <w:highlight w:val="none"/>
                <w:lang w:bidi="ar"/>
              </w:rPr>
              <w:t>。</w:t>
            </w:r>
          </w:p>
        </w:tc>
      </w:tr>
      <w:tr w14:paraId="3CF1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632495C9">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B73112">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793044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根据投标人针对本项目提供的售后服务进行综合评分，包括售后服务、响应时间、人员配备情况、</w:t>
            </w: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bCs/>
                <w:color w:val="auto"/>
                <w:kern w:val="0"/>
                <w:sz w:val="21"/>
                <w:szCs w:val="21"/>
                <w:highlight w:val="none"/>
              </w:rPr>
              <w:t>培训</w:t>
            </w:r>
            <w:r>
              <w:rPr>
                <w:rFonts w:hint="eastAsia" w:ascii="宋体" w:hAnsi="宋体" w:eastAsia="宋体" w:cs="宋体"/>
                <w:b/>
                <w:bCs/>
                <w:color w:val="auto"/>
                <w:kern w:val="0"/>
                <w:sz w:val="21"/>
                <w:szCs w:val="21"/>
                <w:highlight w:val="none"/>
                <w:lang w:val="en-US" w:eastAsia="zh-CN"/>
              </w:rPr>
              <w:t>计划</w:t>
            </w:r>
            <w:r>
              <w:rPr>
                <w:rFonts w:hint="eastAsia" w:ascii="宋体" w:hAnsi="宋体" w:cs="宋体"/>
                <w:b/>
                <w:bCs/>
                <w:color w:val="auto"/>
                <w:kern w:val="0"/>
                <w:sz w:val="21"/>
                <w:szCs w:val="21"/>
                <w:highlight w:val="none"/>
                <w:lang w:val="en-US" w:eastAsia="zh-CN"/>
              </w:rPr>
              <w:t>、应急预案方案（提供软、硬件安装、使用、运维过程中出现问题的应急情况预案）</w:t>
            </w:r>
            <w:r>
              <w:rPr>
                <w:rFonts w:hint="eastAsia" w:ascii="宋体" w:hAnsi="宋体" w:eastAsia="宋体" w:cs="宋体"/>
                <w:b/>
                <w:bCs/>
                <w:color w:val="auto"/>
                <w:kern w:val="0"/>
                <w:sz w:val="21"/>
                <w:szCs w:val="21"/>
                <w:highlight w:val="none"/>
              </w:rPr>
              <w:t>等内容：</w:t>
            </w:r>
          </w:p>
          <w:p w14:paraId="397F72AC">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包含以上各项内容的要求、可操作性强的得5分</w:t>
            </w:r>
            <w:r>
              <w:rPr>
                <w:rFonts w:hint="eastAsia" w:ascii="宋体" w:hAnsi="宋体" w:eastAsia="宋体" w:cs="宋体"/>
                <w:color w:val="auto"/>
                <w:kern w:val="0"/>
                <w:sz w:val="21"/>
                <w:szCs w:val="21"/>
                <w:highlight w:val="none"/>
                <w:lang w:eastAsia="zh-CN"/>
              </w:rPr>
              <w:t>；</w:t>
            </w:r>
          </w:p>
          <w:p w14:paraId="15271F17">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仅包含以上部分内容要求、可操作性较强的得3分</w:t>
            </w:r>
            <w:r>
              <w:rPr>
                <w:rFonts w:hint="eastAsia" w:ascii="宋体" w:hAnsi="宋体" w:eastAsia="宋体" w:cs="宋体"/>
                <w:color w:val="auto"/>
                <w:kern w:val="0"/>
                <w:sz w:val="21"/>
                <w:szCs w:val="21"/>
                <w:highlight w:val="none"/>
                <w:lang w:eastAsia="zh-CN"/>
              </w:rPr>
              <w:t>；</w:t>
            </w:r>
          </w:p>
          <w:p w14:paraId="671FBC54">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638DAF05">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不合理或未提供方案的本项不得分</w:t>
            </w:r>
            <w:r>
              <w:rPr>
                <w:rFonts w:hint="eastAsia" w:ascii="宋体" w:hAnsi="宋体" w:eastAsia="宋体" w:cs="宋体"/>
                <w:color w:val="auto"/>
                <w:kern w:val="0"/>
                <w:sz w:val="21"/>
                <w:szCs w:val="21"/>
                <w:highlight w:val="none"/>
                <w:lang w:bidi="ar"/>
              </w:rPr>
              <w:t>。</w:t>
            </w:r>
          </w:p>
        </w:tc>
      </w:tr>
      <w:tr w14:paraId="1523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7FB6A815">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运维服务方案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74EB">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F0F6161">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根据投标人</w:t>
            </w:r>
            <w:r>
              <w:rPr>
                <w:rFonts w:hint="eastAsia" w:ascii="宋体" w:hAnsi="宋体" w:eastAsia="宋体" w:cs="宋体"/>
                <w:b/>
                <w:bCs/>
                <w:color w:val="auto"/>
                <w:kern w:val="0"/>
                <w:sz w:val="21"/>
                <w:szCs w:val="21"/>
                <w:highlight w:val="none"/>
                <w:lang w:val="en-US" w:eastAsia="zh-CN"/>
              </w:rPr>
              <w:t>针对本项目</w:t>
            </w:r>
            <w:r>
              <w:rPr>
                <w:rFonts w:hint="eastAsia" w:ascii="宋体" w:hAnsi="宋体" w:eastAsia="宋体" w:cs="宋体"/>
                <w:b/>
                <w:bCs/>
                <w:color w:val="auto"/>
                <w:kern w:val="0"/>
                <w:sz w:val="21"/>
                <w:szCs w:val="21"/>
                <w:highlight w:val="none"/>
              </w:rPr>
              <w:t>提供的运维服务方案</w:t>
            </w:r>
            <w:r>
              <w:rPr>
                <w:rFonts w:hint="eastAsia" w:ascii="宋体" w:hAnsi="宋体" w:eastAsia="宋体" w:cs="宋体"/>
                <w:b/>
                <w:bCs/>
                <w:color w:val="auto"/>
                <w:kern w:val="0"/>
                <w:sz w:val="21"/>
                <w:szCs w:val="21"/>
                <w:highlight w:val="none"/>
                <w:lang w:val="en-US" w:eastAsia="zh-CN"/>
              </w:rPr>
              <w:t>进行综合评分，包括</w:t>
            </w:r>
            <w:r>
              <w:rPr>
                <w:rFonts w:hint="eastAsia" w:ascii="宋体" w:hAnsi="宋体" w:eastAsia="宋体" w:cs="宋体"/>
                <w:b/>
                <w:bCs/>
                <w:color w:val="auto"/>
                <w:kern w:val="0"/>
                <w:sz w:val="21"/>
                <w:szCs w:val="21"/>
                <w:highlight w:val="none"/>
              </w:rPr>
              <w:t>完备</w:t>
            </w:r>
            <w:r>
              <w:rPr>
                <w:rFonts w:hint="eastAsia" w:ascii="宋体" w:hAnsi="宋体" w:eastAsia="宋体" w:cs="宋体"/>
                <w:b/>
                <w:bCs/>
                <w:color w:val="auto"/>
                <w:kern w:val="0"/>
                <w:sz w:val="21"/>
                <w:szCs w:val="21"/>
                <w:highlight w:val="none"/>
                <w:lang w:val="en-US" w:eastAsia="zh-CN"/>
              </w:rPr>
              <w:t>运维服务制度</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运维</w:t>
            </w:r>
            <w:r>
              <w:rPr>
                <w:rFonts w:hint="eastAsia" w:ascii="宋体" w:hAnsi="宋体" w:eastAsia="宋体" w:cs="宋体"/>
                <w:b/>
                <w:bCs/>
                <w:color w:val="auto"/>
                <w:kern w:val="0"/>
                <w:sz w:val="21"/>
                <w:szCs w:val="21"/>
                <w:highlight w:val="none"/>
              </w:rPr>
              <w:t>服务能力、</w:t>
            </w:r>
            <w:r>
              <w:rPr>
                <w:rFonts w:hint="eastAsia" w:ascii="宋体" w:hAnsi="宋体" w:eastAsia="宋体" w:cs="宋体"/>
                <w:b/>
                <w:bCs/>
                <w:color w:val="auto"/>
                <w:kern w:val="0"/>
                <w:sz w:val="21"/>
                <w:szCs w:val="21"/>
                <w:highlight w:val="none"/>
                <w:lang w:val="en-US" w:eastAsia="zh-CN"/>
              </w:rPr>
              <w:t>运维团队配备、</w:t>
            </w:r>
            <w:r>
              <w:rPr>
                <w:rFonts w:hint="eastAsia" w:ascii="宋体" w:hAnsi="宋体" w:eastAsia="宋体" w:cs="宋体"/>
                <w:b/>
                <w:bCs/>
                <w:color w:val="auto"/>
                <w:kern w:val="0"/>
                <w:sz w:val="21"/>
                <w:szCs w:val="21"/>
                <w:highlight w:val="none"/>
              </w:rPr>
              <w:t>运维</w:t>
            </w:r>
            <w:r>
              <w:rPr>
                <w:rFonts w:hint="eastAsia" w:ascii="宋体" w:hAnsi="宋体" w:eastAsia="宋体" w:cs="宋体"/>
                <w:b/>
                <w:bCs/>
                <w:color w:val="auto"/>
                <w:kern w:val="0"/>
                <w:sz w:val="21"/>
                <w:szCs w:val="21"/>
                <w:highlight w:val="none"/>
                <w:lang w:val="en-US" w:eastAsia="zh-CN"/>
              </w:rPr>
              <w:t>配置</w:t>
            </w:r>
            <w:r>
              <w:rPr>
                <w:rFonts w:hint="eastAsia" w:ascii="宋体" w:hAnsi="宋体" w:eastAsia="宋体" w:cs="宋体"/>
                <w:b/>
                <w:bCs/>
                <w:color w:val="auto"/>
                <w:kern w:val="0"/>
                <w:sz w:val="21"/>
                <w:szCs w:val="21"/>
                <w:highlight w:val="none"/>
              </w:rPr>
              <w:t>工具、</w:t>
            </w:r>
            <w:r>
              <w:rPr>
                <w:rFonts w:hint="eastAsia" w:ascii="宋体" w:hAnsi="宋体" w:eastAsia="宋体" w:cs="宋体"/>
                <w:b/>
                <w:bCs/>
                <w:color w:val="auto"/>
                <w:kern w:val="0"/>
                <w:sz w:val="21"/>
                <w:szCs w:val="21"/>
                <w:highlight w:val="none"/>
                <w:lang w:val="en-US" w:eastAsia="zh-CN"/>
              </w:rPr>
              <w:t>提供运维期内的增值</w:t>
            </w:r>
            <w:r>
              <w:rPr>
                <w:rFonts w:hint="eastAsia" w:ascii="宋体" w:hAnsi="宋体" w:eastAsia="宋体" w:cs="宋体"/>
                <w:b/>
                <w:bCs/>
                <w:color w:val="auto"/>
                <w:kern w:val="0"/>
                <w:sz w:val="21"/>
                <w:szCs w:val="21"/>
                <w:highlight w:val="none"/>
              </w:rPr>
              <w:t>服务承诺、预防性维护计划、耗材配套计划</w:t>
            </w:r>
            <w:r>
              <w:rPr>
                <w:rFonts w:hint="eastAsia" w:ascii="宋体" w:hAnsi="宋体" w:eastAsia="宋体" w:cs="宋体"/>
                <w:b/>
                <w:bCs/>
                <w:color w:val="auto"/>
                <w:kern w:val="0"/>
                <w:sz w:val="21"/>
                <w:szCs w:val="21"/>
                <w:highlight w:val="none"/>
                <w:lang w:val="en-US" w:eastAsia="zh-CN"/>
              </w:rPr>
              <w:t>等内容：</w:t>
            </w:r>
          </w:p>
          <w:p w14:paraId="5120383D">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包含以上各项内容的要求、可操作性强的得5分</w:t>
            </w:r>
            <w:r>
              <w:rPr>
                <w:rFonts w:hint="eastAsia" w:ascii="宋体" w:hAnsi="宋体" w:eastAsia="宋体" w:cs="宋体"/>
                <w:color w:val="auto"/>
                <w:kern w:val="0"/>
                <w:sz w:val="21"/>
                <w:szCs w:val="21"/>
                <w:highlight w:val="none"/>
                <w:lang w:eastAsia="zh-CN"/>
              </w:rPr>
              <w:t>；</w:t>
            </w:r>
          </w:p>
          <w:p w14:paraId="480ECB7A">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仅包含以上部分内容要求、可操作性较强的得3分</w:t>
            </w:r>
            <w:r>
              <w:rPr>
                <w:rFonts w:hint="eastAsia" w:ascii="宋体" w:hAnsi="宋体" w:eastAsia="宋体" w:cs="宋体"/>
                <w:color w:val="auto"/>
                <w:kern w:val="0"/>
                <w:sz w:val="21"/>
                <w:szCs w:val="21"/>
                <w:highlight w:val="none"/>
                <w:lang w:eastAsia="zh-CN"/>
              </w:rPr>
              <w:t>；</w:t>
            </w:r>
          </w:p>
          <w:p w14:paraId="0AB7EE87">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09825510">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不合理或未提供方案的本项不得分</w:t>
            </w:r>
            <w:r>
              <w:rPr>
                <w:rFonts w:hint="eastAsia" w:ascii="宋体" w:hAnsi="宋体" w:eastAsia="宋体" w:cs="宋体"/>
                <w:color w:val="auto"/>
                <w:kern w:val="0"/>
                <w:sz w:val="21"/>
                <w:szCs w:val="21"/>
                <w:highlight w:val="none"/>
                <w:lang w:bidi="ar"/>
              </w:rPr>
              <w:t>。</w:t>
            </w:r>
          </w:p>
        </w:tc>
      </w:tr>
      <w:tr w14:paraId="718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42F584B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信息安全保障措施</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80E36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DE813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根据投标人</w:t>
            </w:r>
            <w:r>
              <w:rPr>
                <w:rFonts w:hint="eastAsia" w:ascii="宋体" w:hAnsi="宋体" w:eastAsia="宋体" w:cs="宋体"/>
                <w:b/>
                <w:bCs/>
                <w:color w:val="auto"/>
                <w:kern w:val="0"/>
                <w:sz w:val="21"/>
                <w:szCs w:val="21"/>
                <w:highlight w:val="none"/>
                <w:lang w:val="en-US" w:eastAsia="zh-CN"/>
              </w:rPr>
              <w:t>针对本项目</w:t>
            </w:r>
            <w:r>
              <w:rPr>
                <w:rFonts w:hint="eastAsia" w:ascii="宋体" w:hAnsi="宋体" w:eastAsia="宋体" w:cs="宋体"/>
                <w:b/>
                <w:bCs/>
                <w:color w:val="auto"/>
                <w:kern w:val="0"/>
                <w:sz w:val="21"/>
                <w:szCs w:val="21"/>
                <w:highlight w:val="none"/>
              </w:rPr>
              <w:t>提供的信息安全</w:t>
            </w:r>
            <w:r>
              <w:rPr>
                <w:rFonts w:hint="eastAsia" w:ascii="宋体" w:hAnsi="宋体" w:eastAsia="宋体" w:cs="宋体"/>
                <w:b/>
                <w:bCs/>
                <w:color w:val="auto"/>
                <w:kern w:val="0"/>
                <w:sz w:val="21"/>
                <w:szCs w:val="21"/>
                <w:highlight w:val="none"/>
                <w:lang w:val="en-US" w:eastAsia="zh-CN"/>
              </w:rPr>
              <w:t>措施进行综合评分，包括软件应用无高危漏洞、信息安全管理制度、信息安全集成服务、人员权限管理等内容：</w:t>
            </w:r>
          </w:p>
          <w:p w14:paraId="6FC634CA">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投标人提供的信息安全保障措施包含以上各项内容的要求、可操作性强的得5分</w:t>
            </w:r>
            <w:r>
              <w:rPr>
                <w:rFonts w:hint="eastAsia" w:ascii="宋体" w:hAnsi="宋体" w:eastAsia="宋体" w:cs="宋体"/>
                <w:color w:val="auto"/>
                <w:kern w:val="0"/>
                <w:sz w:val="21"/>
                <w:szCs w:val="21"/>
                <w:highlight w:val="none"/>
                <w:lang w:eastAsia="zh-CN"/>
              </w:rPr>
              <w:t>；</w:t>
            </w:r>
          </w:p>
          <w:p w14:paraId="4165004B">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投标人提供的信息安全保障措施仅包含以上部分内容要求、可操作性较强的得3分</w:t>
            </w:r>
            <w:r>
              <w:rPr>
                <w:rFonts w:hint="eastAsia" w:ascii="宋体" w:hAnsi="宋体" w:eastAsia="宋体" w:cs="宋体"/>
                <w:color w:val="auto"/>
                <w:kern w:val="0"/>
                <w:sz w:val="21"/>
                <w:szCs w:val="21"/>
                <w:highlight w:val="none"/>
                <w:lang w:eastAsia="zh-CN"/>
              </w:rPr>
              <w:t>；</w:t>
            </w:r>
          </w:p>
          <w:p w14:paraId="0527E56C">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投标人提供的信息安全保障措施阐述简短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21E6DC88">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投标人提供的信息安全保障措施不合理或未提供方案的本项不得分</w:t>
            </w:r>
            <w:r>
              <w:rPr>
                <w:rFonts w:hint="eastAsia" w:ascii="宋体" w:hAnsi="宋体" w:eastAsia="宋体" w:cs="宋体"/>
                <w:color w:val="auto"/>
                <w:kern w:val="0"/>
                <w:sz w:val="21"/>
                <w:szCs w:val="21"/>
                <w:highlight w:val="none"/>
                <w:lang w:bidi="ar"/>
              </w:rPr>
              <w:t>。</w:t>
            </w:r>
          </w:p>
        </w:tc>
      </w:tr>
      <w:tr w14:paraId="3D22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136062D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业绩</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7C2CB4D">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4分</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0534DB8F">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投标人自2022年1月1日以来（以合同签订时间为准）具有</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业绩的，每提供一个得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其中有协助医院通过关于医院智慧服务分级评估3级及以上案例合同的</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分。本项满分得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D55408D">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相关业绩的有效合同（有效合同</w:t>
            </w:r>
            <w:r>
              <w:rPr>
                <w:rFonts w:hint="eastAsia" w:ascii="宋体" w:hAnsi="宋体" w:eastAsia="宋体" w:cs="宋体"/>
                <w:b/>
                <w:bCs/>
                <w:color w:val="auto"/>
                <w:sz w:val="21"/>
                <w:szCs w:val="21"/>
                <w:highlight w:val="none"/>
              </w:rPr>
              <w:t>至少包含</w:t>
            </w:r>
            <w:r>
              <w:rPr>
                <w:rFonts w:hint="eastAsia" w:ascii="宋体" w:hAnsi="宋体" w:eastAsia="宋体" w:cs="宋体"/>
                <w:b/>
                <w:bCs/>
                <w:color w:val="auto"/>
                <w:sz w:val="21"/>
                <w:szCs w:val="21"/>
                <w:highlight w:val="none"/>
                <w:lang w:val="en-US" w:eastAsia="zh-CN"/>
              </w:rPr>
              <w:t>合同</w:t>
            </w:r>
            <w:r>
              <w:rPr>
                <w:rFonts w:hint="eastAsia" w:ascii="宋体" w:hAnsi="宋体" w:eastAsia="宋体" w:cs="宋体"/>
                <w:b/>
                <w:bCs/>
                <w:color w:val="auto"/>
                <w:sz w:val="21"/>
                <w:szCs w:val="21"/>
                <w:highlight w:val="none"/>
              </w:rPr>
              <w:t>签订时间、合同双方名称、合同内容、合同总价</w:t>
            </w:r>
            <w:r>
              <w:rPr>
                <w:rFonts w:hint="eastAsia" w:ascii="宋体" w:hAnsi="宋体" w:eastAsia="宋体" w:cs="宋体"/>
                <w:b/>
                <w:bCs/>
                <w:color w:val="auto"/>
                <w:sz w:val="21"/>
                <w:szCs w:val="21"/>
                <w:highlight w:val="none"/>
                <w:lang w:val="en-US" w:eastAsia="zh-CN"/>
              </w:rPr>
              <w:t>）及通过关于医院智慧服务分级评估的证明材料，复印件加盖投标人公章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提供信息</w:t>
            </w:r>
            <w:r>
              <w:rPr>
                <w:rFonts w:hint="eastAsia" w:ascii="宋体" w:hAnsi="宋体" w:eastAsia="宋体" w:cs="宋体"/>
                <w:b/>
                <w:bCs/>
                <w:color w:val="auto"/>
                <w:sz w:val="21"/>
                <w:szCs w:val="21"/>
                <w:highlight w:val="none"/>
              </w:rPr>
              <w:t>不完整</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不全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内容不清晰无法辨认的均不</w:t>
            </w:r>
            <w:r>
              <w:rPr>
                <w:rFonts w:hint="eastAsia" w:ascii="宋体" w:hAnsi="宋体" w:eastAsia="宋体" w:cs="宋体"/>
                <w:b/>
                <w:color w:val="auto"/>
                <w:sz w:val="21"/>
                <w:szCs w:val="21"/>
                <w:highlight w:val="none"/>
              </w:rPr>
              <w:t>得分</w:t>
            </w:r>
            <w:r>
              <w:rPr>
                <w:rFonts w:hint="eastAsia" w:ascii="宋体" w:hAnsi="宋体" w:eastAsia="宋体" w:cs="宋体"/>
                <w:b/>
                <w:color w:val="auto"/>
                <w:sz w:val="21"/>
                <w:szCs w:val="21"/>
                <w:highlight w:val="none"/>
                <w:lang w:eastAsia="zh-CN"/>
              </w:rPr>
              <w:t>。</w:t>
            </w:r>
          </w:p>
        </w:tc>
      </w:tr>
      <w:tr w14:paraId="487E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0F3C337D">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产品资质</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62A4E49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21F1842D">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投标人具有与本项目实施内容</w:t>
            </w:r>
            <w:r>
              <w:rPr>
                <w:rFonts w:hint="eastAsia" w:ascii="宋体" w:hAnsi="宋体" w:eastAsia="宋体" w:cs="宋体"/>
                <w:color w:val="auto"/>
                <w:sz w:val="21"/>
                <w:szCs w:val="21"/>
                <w:highlight w:val="none"/>
                <w:lang w:val="en-US" w:eastAsia="zh-CN"/>
              </w:rPr>
              <w:t>【软件技术部分】</w:t>
            </w:r>
            <w:r>
              <w:rPr>
                <w:rFonts w:hint="eastAsia" w:ascii="宋体" w:hAnsi="宋体" w:eastAsia="宋体" w:cs="宋体"/>
                <w:color w:val="auto"/>
                <w:sz w:val="21"/>
                <w:szCs w:val="21"/>
                <w:highlight w:val="none"/>
                <w:lang w:val="en-US"/>
              </w:rPr>
              <w:t>相关的</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val="en-US"/>
              </w:rPr>
              <w:t>软件著作权登记证书，每提供一个得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rPr>
              <w:t>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w:t>
            </w:r>
          </w:p>
          <w:p w14:paraId="417D1B10">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提供有效证书及证书关键信息，</w:t>
            </w:r>
            <w:r>
              <w:rPr>
                <w:rFonts w:hint="eastAsia" w:ascii="宋体" w:hAnsi="宋体" w:eastAsia="宋体" w:cs="宋体"/>
                <w:b/>
                <w:bCs/>
                <w:color w:val="auto"/>
                <w:sz w:val="21"/>
                <w:szCs w:val="21"/>
                <w:highlight w:val="none"/>
                <w:lang w:val="en-US" w:eastAsia="zh-CN"/>
              </w:rPr>
              <w:t>复印件加盖投标人公章</w:t>
            </w:r>
            <w:r>
              <w:rPr>
                <w:rFonts w:hint="eastAsia" w:ascii="宋体" w:hAnsi="宋体" w:eastAsia="宋体" w:cs="宋体"/>
                <w:b/>
                <w:bCs/>
                <w:color w:val="auto"/>
                <w:sz w:val="21"/>
                <w:szCs w:val="21"/>
                <w:highlight w:val="none"/>
                <w:lang w:val="en-US"/>
              </w:rPr>
              <w:t>，未提供或</w:t>
            </w:r>
            <w:r>
              <w:rPr>
                <w:rFonts w:hint="eastAsia" w:ascii="宋体" w:hAnsi="宋体" w:cs="宋体"/>
                <w:b/>
                <w:bCs/>
                <w:color w:val="auto"/>
                <w:spacing w:val="-1"/>
                <w:sz w:val="21"/>
                <w:szCs w:val="21"/>
                <w:highlight w:val="none"/>
                <w:lang w:val="en-US" w:eastAsia="zh-CN"/>
              </w:rPr>
              <w:t>未按要求提供</w:t>
            </w:r>
            <w:r>
              <w:rPr>
                <w:rFonts w:hint="eastAsia" w:ascii="宋体" w:hAnsi="宋体" w:eastAsia="宋体" w:cs="宋体"/>
                <w:b/>
                <w:bCs/>
                <w:color w:val="auto"/>
                <w:sz w:val="21"/>
                <w:szCs w:val="21"/>
                <w:highlight w:val="none"/>
                <w:lang w:val="en-US"/>
              </w:rPr>
              <w:t>不得分。</w:t>
            </w:r>
          </w:p>
        </w:tc>
      </w:tr>
      <w:tr w14:paraId="374E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CC934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535769F0">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实力</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8684EF">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2C0F28">
            <w:pPr>
              <w:keepNext w:val="0"/>
              <w:keepLines w:val="0"/>
              <w:pageBreakBefore w:val="0"/>
              <w:shd w:val="clear"/>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1、投标人具有有效的</w:t>
            </w:r>
            <w:r>
              <w:rPr>
                <w:rFonts w:hint="eastAsia" w:ascii="宋体" w:hAnsi="宋体" w:eastAsia="宋体" w:cs="宋体"/>
                <w:color w:val="auto"/>
                <w:sz w:val="21"/>
                <w:szCs w:val="21"/>
                <w:highlight w:val="green"/>
                <w:lang w:val="en-US" w:eastAsia="zh-CN"/>
              </w:rPr>
              <w:t>信息安全服务资质认证</w:t>
            </w:r>
            <w:r>
              <w:rPr>
                <w:rFonts w:hint="eastAsia" w:ascii="宋体" w:hAnsi="宋体" w:eastAsia="宋体" w:cs="宋体"/>
                <w:color w:val="auto"/>
                <w:sz w:val="21"/>
                <w:szCs w:val="21"/>
                <w:highlight w:val="none"/>
              </w:rPr>
              <w:t>的得0.5分；</w:t>
            </w:r>
          </w:p>
          <w:p w14:paraId="37BFEB34">
            <w:pPr>
              <w:keepNext w:val="0"/>
              <w:keepLines w:val="0"/>
              <w:pageBreakBefore w:val="0"/>
              <w:shd w:val="clear"/>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2、投标人具有有效的信息技术服务管理体系认证证书的得0.5分；</w:t>
            </w:r>
          </w:p>
          <w:p w14:paraId="2AB77586">
            <w:pPr>
              <w:keepNext w:val="0"/>
              <w:keepLines w:val="0"/>
              <w:pageBreakBefore w:val="0"/>
              <w:shd w:val="clear"/>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3、投标人具有有效的业务连续性管理体系认证证书的得0.5分；</w:t>
            </w:r>
          </w:p>
          <w:p w14:paraId="6101E36B">
            <w:pPr>
              <w:keepNext w:val="0"/>
              <w:keepLines w:val="0"/>
              <w:pageBreakBefore w:val="0"/>
              <w:shd w:val="clear"/>
              <w:kinsoku/>
              <w:wordWrap/>
              <w:overflowPunct/>
              <w:topLinePunct w:val="0"/>
              <w:autoSpaceDE/>
              <w:autoSpaceDN/>
              <w:bidi w:val="0"/>
              <w:adjustRightInd w:val="0"/>
              <w:snapToGrid w:val="0"/>
              <w:spacing w:line="400" w:lineRule="exact"/>
              <w:ind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4、投标人具有ITSS运行维护三级及以上认证证书且在有效期内的得0.5分</w:t>
            </w:r>
            <w:r>
              <w:rPr>
                <w:rFonts w:hint="eastAsia" w:ascii="宋体" w:hAnsi="宋体" w:cs="宋体"/>
                <w:color w:val="auto"/>
                <w:sz w:val="21"/>
                <w:szCs w:val="21"/>
                <w:highlight w:val="none"/>
                <w:lang w:eastAsia="zh-CN"/>
              </w:rPr>
              <w:t>；</w:t>
            </w:r>
          </w:p>
          <w:p w14:paraId="705BA233">
            <w:pPr>
              <w:pStyle w:val="40"/>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position w:val="0"/>
                <w:sz w:val="21"/>
                <w:szCs w:val="21"/>
                <w:highlight w:val="none"/>
                <w:lang w:val="en-US" w:eastAsia="zh-CN" w:bidi="ar-SA"/>
              </w:rPr>
              <w:t>提供有效证书复印件加盖投标人公章，未提供或未按要求提供不得分。</w:t>
            </w:r>
          </w:p>
        </w:tc>
      </w:tr>
      <w:tr w14:paraId="2F58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3113AF33">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服务能力</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327B7516">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1分</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62DC57D1">
            <w:pPr>
              <w:pStyle w:val="238"/>
              <w:keepNext w:val="0"/>
              <w:keepLines w:val="0"/>
              <w:pageBreakBefore w:val="0"/>
              <w:kinsoku/>
              <w:wordWrap/>
              <w:overflowPunct/>
              <w:topLinePunct w:val="0"/>
              <w:autoSpaceDE/>
              <w:autoSpaceDN/>
              <w:bidi w:val="0"/>
              <w:adjustRightInd w:val="0"/>
              <w:snapToGrid w:val="0"/>
              <w:spacing w:before="0" w:after="0" w:line="400" w:lineRule="exact"/>
              <w:ind w:right="0" w:firstLine="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投标人获得国家卫健委评选的“国家三级公立医院绩效考核”A++级医院颁发的表彰证书，范围包括但不限于优秀合作商或优秀服务人员等，满足要求的得1分。</w:t>
            </w:r>
          </w:p>
          <w:p w14:paraId="76CF3E2A">
            <w:pPr>
              <w:pStyle w:val="238"/>
              <w:keepNext w:val="0"/>
              <w:keepLines w:val="0"/>
              <w:pageBreakBefore w:val="0"/>
              <w:kinsoku/>
              <w:wordWrap/>
              <w:overflowPunct/>
              <w:topLinePunct w:val="0"/>
              <w:autoSpaceDE/>
              <w:autoSpaceDN/>
              <w:bidi w:val="0"/>
              <w:adjustRightInd w:val="0"/>
              <w:snapToGrid w:val="0"/>
              <w:spacing w:before="0" w:after="0" w:line="400" w:lineRule="exact"/>
              <w:ind w:right="0" w:firstLine="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pacing w:val="-1"/>
                <w:sz w:val="21"/>
                <w:szCs w:val="21"/>
                <w:highlight w:val="none"/>
              </w:rPr>
              <w:t>提供证明材料复印件加盖投标人公章，未提供或</w:t>
            </w:r>
            <w:r>
              <w:rPr>
                <w:rFonts w:hint="eastAsia" w:ascii="宋体" w:hAnsi="宋体" w:cs="宋体"/>
                <w:b/>
                <w:bCs/>
                <w:color w:val="auto"/>
                <w:spacing w:val="-1"/>
                <w:sz w:val="21"/>
                <w:szCs w:val="21"/>
                <w:highlight w:val="none"/>
                <w:lang w:val="en-US" w:eastAsia="zh-CN"/>
              </w:rPr>
              <w:t>未按要求提供</w:t>
            </w:r>
            <w:r>
              <w:rPr>
                <w:rFonts w:hint="eastAsia" w:ascii="宋体" w:hAnsi="宋体" w:eastAsia="宋体" w:cs="宋体"/>
                <w:b/>
                <w:bCs/>
                <w:color w:val="auto"/>
                <w:spacing w:val="-1"/>
                <w:sz w:val="21"/>
                <w:szCs w:val="21"/>
                <w:highlight w:val="none"/>
              </w:rPr>
              <w:t>不得分。</w:t>
            </w:r>
          </w:p>
        </w:tc>
      </w:tr>
    </w:tbl>
    <w:p w14:paraId="4A2921CB">
      <w:pPr>
        <w:spacing w:line="360" w:lineRule="auto"/>
        <w:ind w:firstLine="422"/>
        <w:rPr>
          <w:rFonts w:hint="eastAsia" w:ascii="宋体" w:hAnsi="宋体" w:eastAsia="宋体" w:cs="宋体"/>
          <w:b/>
          <w:bCs w:val="0"/>
          <w:color w:val="auto"/>
          <w:szCs w:val="21"/>
          <w:highlight w:val="none"/>
        </w:rPr>
      </w:pPr>
      <w:r>
        <w:rPr>
          <w:rFonts w:hint="eastAsia" w:ascii="宋体" w:hAnsi="宋体"/>
          <w:b/>
          <w:bCs w:val="0"/>
          <w:color w:val="auto"/>
          <w:szCs w:val="21"/>
          <w:lang w:val="en-US" w:eastAsia="zh-CN"/>
        </w:rPr>
        <w:t>注：</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异常低价投标（响应）</w:t>
      </w:r>
    </w:p>
    <w:p w14:paraId="0D5AB460">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 xml:space="preserve">1.1 </w:t>
      </w:r>
      <w:r>
        <w:rPr>
          <w:rFonts w:hint="eastAsia" w:ascii="宋体" w:hAnsi="宋体" w:eastAsia="宋体" w:cs="宋体"/>
          <w:b/>
          <w:bCs w:val="0"/>
          <w:color w:val="auto"/>
          <w:szCs w:val="21"/>
          <w:highlight w:val="none"/>
        </w:rPr>
        <w:t>投标（响应）报价低于采购项目预算50%的，即投标（响应）报价&lt;采购项目预算×50%；</w:t>
      </w:r>
    </w:p>
    <w:p w14:paraId="10449AB4">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 xml:space="preserve">1.2 </w:t>
      </w:r>
      <w:r>
        <w:rPr>
          <w:rFonts w:hint="eastAsia" w:ascii="宋体" w:hAnsi="宋体" w:eastAsia="宋体" w:cs="宋体"/>
          <w:b/>
          <w:bCs w:val="0"/>
          <w:color w:val="auto"/>
          <w:szCs w:val="21"/>
          <w:highlight w:val="none"/>
        </w:rPr>
        <w:t>投标（响应）报价低于采购项目最高限价45%的，即投标（响应）报价&lt;采购项目最高限价×45%；</w:t>
      </w:r>
    </w:p>
    <w:p w14:paraId="57DE2461">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 xml:space="preserve">1.3 </w:t>
      </w:r>
      <w:r>
        <w:rPr>
          <w:rFonts w:hint="eastAsia" w:ascii="宋体" w:hAnsi="宋体" w:eastAsia="宋体" w:cs="宋体"/>
          <w:b/>
          <w:bCs w:val="0"/>
          <w:color w:val="auto"/>
          <w:szCs w:val="21"/>
          <w:highlight w:val="none"/>
        </w:rPr>
        <w:t>评审委员会认定的供应商报价过低、有可能影响产品质量或者不能诚信履约的其他情形。</w:t>
      </w:r>
    </w:p>
    <w:p w14:paraId="36BBE21A">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1.4</w:t>
      </w:r>
      <w:r>
        <w:rPr>
          <w:rFonts w:hint="eastAsia" w:ascii="宋体" w:hAnsi="宋体" w:eastAsia="宋体" w:cs="宋体"/>
          <w:b/>
          <w:bCs w:val="0"/>
          <w:color w:val="auto"/>
          <w:szCs w:val="21"/>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F1AC783">
      <w:pPr>
        <w:pageBreakBefore w:val="0"/>
        <w:kinsoku/>
        <w:overflowPunct/>
        <w:autoSpaceDE/>
        <w:autoSpaceDN/>
        <w:bidi w:val="0"/>
        <w:adjustRightInd w:val="0"/>
        <w:snapToGrid w:val="0"/>
        <w:rPr>
          <w:color w:val="auto"/>
          <w:sz w:val="36"/>
          <w:highlight w:val="none"/>
        </w:rPr>
      </w:pPr>
      <w:r>
        <w:rPr>
          <w:rFonts w:hint="eastAsia"/>
          <w:color w:val="auto"/>
          <w:sz w:val="36"/>
          <w:highlight w:val="none"/>
        </w:rPr>
        <w:br w:type="page" w:clear="all"/>
      </w:r>
    </w:p>
    <w:p w14:paraId="0CCAE965">
      <w:pPr>
        <w:pStyle w:val="3"/>
        <w:bidi w:val="0"/>
        <w:jc w:val="center"/>
        <w:rPr>
          <w:color w:val="auto"/>
          <w:highlight w:val="none"/>
        </w:rPr>
      </w:pPr>
      <w:bookmarkStart w:id="132" w:name="_Toc29181"/>
      <w:bookmarkStart w:id="133" w:name="_Toc19107"/>
      <w:r>
        <w:rPr>
          <w:rFonts w:hint="eastAsia"/>
          <w:color w:val="auto"/>
          <w:highlight w:val="none"/>
        </w:rPr>
        <w:t>第六章 投标文件格式</w:t>
      </w:r>
      <w:bookmarkEnd w:id="131"/>
      <w:bookmarkEnd w:id="132"/>
      <w:bookmarkEnd w:id="133"/>
    </w:p>
    <w:p w14:paraId="79C500BB">
      <w:pPr>
        <w:pageBreakBefore w:val="0"/>
        <w:kinsoku/>
        <w:overflowPunct/>
        <w:autoSpaceDE/>
        <w:autoSpaceDN/>
        <w:bidi w:val="0"/>
        <w:adjustRightInd w:val="0"/>
        <w:snapToGrid w:val="0"/>
        <w:spacing w:line="360" w:lineRule="auto"/>
        <w:ind w:firstLine="723"/>
        <w:jc w:val="center"/>
        <w:rPr>
          <w:b/>
          <w:color w:val="auto"/>
          <w:sz w:val="36"/>
          <w:highlight w:val="none"/>
        </w:rPr>
      </w:pPr>
    </w:p>
    <w:p w14:paraId="4B843C68">
      <w:pPr>
        <w:pageBreakBefore w:val="0"/>
        <w:kinsoku/>
        <w:overflowPunct/>
        <w:autoSpaceDE/>
        <w:autoSpaceDN/>
        <w:bidi w:val="0"/>
        <w:adjustRightInd w:val="0"/>
        <w:snapToGrid w:val="0"/>
        <w:spacing w:line="360" w:lineRule="auto"/>
        <w:ind w:firstLine="422"/>
        <w:jc w:val="center"/>
        <w:rPr>
          <w:rFonts w:hint="eastAsia" w:eastAsia="宋体"/>
          <w:b/>
          <w:color w:val="auto"/>
          <w:szCs w:val="21"/>
          <w:highlight w:val="none"/>
          <w:lang w:eastAsia="zh-CN"/>
        </w:rPr>
      </w:pPr>
      <w:r>
        <w:rPr>
          <w:rFonts w:hint="eastAsia"/>
          <w:b/>
          <w:color w:val="auto"/>
          <w:szCs w:val="21"/>
          <w:highlight w:val="none"/>
          <w:lang w:eastAsia="zh-CN"/>
        </w:rPr>
        <w:t>（</w:t>
      </w:r>
      <w:r>
        <w:rPr>
          <w:rFonts w:hint="eastAsia"/>
          <w:b/>
          <w:color w:val="auto"/>
          <w:szCs w:val="21"/>
          <w:highlight w:val="none"/>
          <w:lang w:val="en-US" w:eastAsia="zh-CN"/>
        </w:rPr>
        <w:t>正本/副本</w:t>
      </w:r>
      <w:r>
        <w:rPr>
          <w:rFonts w:hint="eastAsia"/>
          <w:b/>
          <w:color w:val="auto"/>
          <w:szCs w:val="21"/>
          <w:highlight w:val="none"/>
          <w:lang w:eastAsia="zh-CN"/>
        </w:rPr>
        <w:t>）</w:t>
      </w:r>
    </w:p>
    <w:p w14:paraId="72EF5F3A">
      <w:pPr>
        <w:pageBreakBefore w:val="0"/>
        <w:kinsoku/>
        <w:overflowPunct/>
        <w:autoSpaceDE/>
        <w:autoSpaceDN/>
        <w:bidi w:val="0"/>
        <w:adjustRightInd w:val="0"/>
        <w:snapToGrid w:val="0"/>
        <w:spacing w:line="360" w:lineRule="auto"/>
        <w:ind w:firstLine="442"/>
        <w:jc w:val="center"/>
        <w:rPr>
          <w:b/>
          <w:color w:val="auto"/>
          <w:sz w:val="22"/>
          <w:szCs w:val="21"/>
          <w:highlight w:val="none"/>
        </w:rPr>
      </w:pPr>
    </w:p>
    <w:p w14:paraId="15C85E6D">
      <w:pPr>
        <w:pageBreakBefore w:val="0"/>
        <w:kinsoku/>
        <w:overflowPunct/>
        <w:autoSpaceDE/>
        <w:autoSpaceDN/>
        <w:bidi w:val="0"/>
        <w:adjustRightInd w:val="0"/>
        <w:snapToGrid w:val="0"/>
        <w:spacing w:line="360" w:lineRule="auto"/>
        <w:jc w:val="center"/>
        <w:rPr>
          <w:b/>
          <w:color w:val="auto"/>
          <w:sz w:val="72"/>
          <w:highlight w:val="none"/>
        </w:rPr>
      </w:pPr>
      <w:r>
        <w:rPr>
          <w:rFonts w:hint="eastAsia"/>
          <w:b/>
          <w:color w:val="auto"/>
          <w:sz w:val="72"/>
          <w:highlight w:val="none"/>
        </w:rPr>
        <w:t>投  标  文  件</w:t>
      </w:r>
    </w:p>
    <w:p w14:paraId="7EF00A20">
      <w:pPr>
        <w:pageBreakBefore w:val="0"/>
        <w:kinsoku/>
        <w:overflowPunct/>
        <w:autoSpaceDE/>
        <w:autoSpaceDN/>
        <w:bidi w:val="0"/>
        <w:adjustRightInd w:val="0"/>
        <w:snapToGrid w:val="0"/>
        <w:spacing w:line="360" w:lineRule="auto"/>
        <w:ind w:firstLine="1446"/>
        <w:jc w:val="center"/>
        <w:rPr>
          <w:b/>
          <w:color w:val="auto"/>
          <w:sz w:val="72"/>
          <w:highlight w:val="none"/>
        </w:rPr>
      </w:pPr>
    </w:p>
    <w:p w14:paraId="4CC48DDA">
      <w:pPr>
        <w:pageBreakBefore w:val="0"/>
        <w:kinsoku/>
        <w:overflowPunct/>
        <w:autoSpaceDE/>
        <w:autoSpaceDN/>
        <w:bidi w:val="0"/>
        <w:adjustRightInd w:val="0"/>
        <w:snapToGrid w:val="0"/>
        <w:spacing w:line="360" w:lineRule="auto"/>
        <w:ind w:firstLine="723"/>
        <w:jc w:val="center"/>
        <w:rPr>
          <w:b/>
          <w:color w:val="auto"/>
          <w:sz w:val="36"/>
          <w:highlight w:val="none"/>
        </w:rPr>
      </w:pPr>
    </w:p>
    <w:p w14:paraId="1F2AA7E3">
      <w:pPr>
        <w:pageBreakBefore w:val="0"/>
        <w:kinsoku/>
        <w:overflowPunct/>
        <w:autoSpaceDE/>
        <w:autoSpaceDN/>
        <w:bidi w:val="0"/>
        <w:adjustRightInd w:val="0"/>
        <w:snapToGrid w:val="0"/>
        <w:spacing w:line="360" w:lineRule="auto"/>
        <w:ind w:firstLine="723"/>
        <w:jc w:val="center"/>
        <w:rPr>
          <w:b/>
          <w:color w:val="auto"/>
          <w:sz w:val="36"/>
          <w:highlight w:val="none"/>
        </w:rPr>
      </w:pPr>
    </w:p>
    <w:p w14:paraId="0304DD6D">
      <w:pPr>
        <w:pageBreakBefore w:val="0"/>
        <w:kinsoku/>
        <w:overflowPunct/>
        <w:autoSpaceDE/>
        <w:autoSpaceDN/>
        <w:bidi w:val="0"/>
        <w:adjustRightInd w:val="0"/>
        <w:snapToGrid w:val="0"/>
        <w:spacing w:line="360" w:lineRule="auto"/>
        <w:ind w:firstLine="723"/>
        <w:jc w:val="center"/>
        <w:rPr>
          <w:b/>
          <w:color w:val="auto"/>
          <w:sz w:val="36"/>
          <w:highlight w:val="none"/>
        </w:rPr>
      </w:pPr>
    </w:p>
    <w:p w14:paraId="126ABADF">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default"/>
          <w:color w:val="auto"/>
          <w:sz w:val="36"/>
          <w:szCs w:val="36"/>
          <w:highlight w:val="none"/>
          <w:u w:val="single"/>
          <w:lang w:val="en-US" w:eastAsia="zh-CN"/>
        </w:rPr>
      </w:pPr>
      <w:r>
        <w:rPr>
          <w:rFonts w:hint="eastAsia"/>
          <w:b/>
          <w:color w:val="auto"/>
          <w:sz w:val="36"/>
          <w:highlight w:val="none"/>
        </w:rPr>
        <w:t>项 目 名 称：</w:t>
      </w:r>
      <w:r>
        <w:rPr>
          <w:rFonts w:hint="eastAsia"/>
          <w:b/>
          <w:color w:val="auto"/>
          <w:sz w:val="36"/>
          <w:highlight w:val="none"/>
          <w:u w:val="single"/>
        </w:rPr>
        <w:t xml:space="preserve">               </w:t>
      </w:r>
    </w:p>
    <w:p w14:paraId="1FC7443D">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b/>
          <w:color w:val="auto"/>
          <w:sz w:val="36"/>
          <w:highlight w:val="none"/>
          <w:u w:val="single"/>
        </w:rPr>
      </w:pPr>
      <w:r>
        <w:rPr>
          <w:rFonts w:hint="eastAsia"/>
          <w:b/>
          <w:color w:val="auto"/>
          <w:sz w:val="36"/>
          <w:highlight w:val="none"/>
          <w:lang w:val="en-US" w:eastAsia="zh-CN"/>
        </w:rPr>
        <w:t xml:space="preserve">项 目 </w:t>
      </w:r>
      <w:r>
        <w:rPr>
          <w:rFonts w:hint="eastAsia"/>
          <w:b/>
          <w:color w:val="auto"/>
          <w:sz w:val="36"/>
          <w:highlight w:val="none"/>
        </w:rPr>
        <w:t>编</w:t>
      </w:r>
      <w:r>
        <w:rPr>
          <w:rFonts w:hint="eastAsia"/>
          <w:b/>
          <w:color w:val="auto"/>
          <w:sz w:val="36"/>
          <w:highlight w:val="none"/>
          <w:lang w:val="en-US" w:eastAsia="zh-CN"/>
        </w:rPr>
        <w:t xml:space="preserve"> </w:t>
      </w:r>
      <w:r>
        <w:rPr>
          <w:rFonts w:hint="eastAsia"/>
          <w:b/>
          <w:color w:val="auto"/>
          <w:sz w:val="36"/>
          <w:highlight w:val="none"/>
        </w:rPr>
        <w:t>号：</w:t>
      </w:r>
      <w:r>
        <w:rPr>
          <w:rFonts w:hint="eastAsia"/>
          <w:b/>
          <w:color w:val="auto"/>
          <w:sz w:val="36"/>
          <w:highlight w:val="none"/>
          <w:u w:val="single"/>
        </w:rPr>
        <w:t xml:space="preserve">               </w:t>
      </w:r>
    </w:p>
    <w:p w14:paraId="40D5A62D">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b/>
          <w:color w:val="auto"/>
          <w:sz w:val="36"/>
          <w:highlight w:val="none"/>
          <w:u w:val="single"/>
        </w:rPr>
      </w:pPr>
      <w:r>
        <w:rPr>
          <w:rFonts w:hint="eastAsia"/>
          <w:b/>
          <w:color w:val="auto"/>
          <w:sz w:val="36"/>
          <w:highlight w:val="none"/>
        </w:rPr>
        <w:t>投标人名称 ：</w:t>
      </w:r>
      <w:r>
        <w:rPr>
          <w:rFonts w:hint="eastAsia"/>
          <w:b/>
          <w:color w:val="auto"/>
          <w:sz w:val="36"/>
          <w:highlight w:val="none"/>
          <w:u w:val="single"/>
        </w:rPr>
        <w:t xml:space="preserve">               </w:t>
      </w:r>
    </w:p>
    <w:p w14:paraId="2292E41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b/>
          <w:color w:val="auto"/>
          <w:sz w:val="36"/>
          <w:highlight w:val="none"/>
        </w:rPr>
      </w:pPr>
      <w:r>
        <w:rPr>
          <w:rFonts w:hint="eastAsia"/>
          <w:b/>
          <w:color w:val="auto"/>
          <w:sz w:val="36"/>
          <w:highlight w:val="none"/>
        </w:rPr>
        <w:t>日      期 ：</w:t>
      </w:r>
      <w:r>
        <w:rPr>
          <w:rFonts w:hint="eastAsia"/>
          <w:b/>
          <w:color w:val="auto"/>
          <w:sz w:val="36"/>
          <w:highlight w:val="none"/>
          <w:u w:val="single"/>
        </w:rPr>
        <w:t xml:space="preserve">               </w:t>
      </w:r>
    </w:p>
    <w:p w14:paraId="52F0BA86">
      <w:pPr>
        <w:pageBreakBefore w:val="0"/>
        <w:kinsoku/>
        <w:overflowPunct/>
        <w:autoSpaceDE/>
        <w:autoSpaceDN/>
        <w:bidi w:val="0"/>
        <w:adjustRightInd w:val="0"/>
        <w:snapToGrid w:val="0"/>
        <w:spacing w:line="360" w:lineRule="auto"/>
        <w:ind w:firstLine="480"/>
        <w:rPr>
          <w:color w:val="auto"/>
          <w:sz w:val="24"/>
          <w:highlight w:val="none"/>
        </w:rPr>
      </w:pPr>
    </w:p>
    <w:p w14:paraId="7103B28D">
      <w:pPr>
        <w:pageBreakBefore w:val="0"/>
        <w:kinsoku/>
        <w:overflowPunct/>
        <w:autoSpaceDE/>
        <w:autoSpaceDN/>
        <w:bidi w:val="0"/>
        <w:adjustRightInd w:val="0"/>
        <w:snapToGrid w:val="0"/>
        <w:spacing w:line="360" w:lineRule="auto"/>
        <w:ind w:firstLine="480"/>
        <w:rPr>
          <w:color w:val="auto"/>
          <w:sz w:val="24"/>
          <w:highlight w:val="none"/>
        </w:rPr>
      </w:pPr>
    </w:p>
    <w:p w14:paraId="6B3D20A0">
      <w:pPr>
        <w:pageBreakBefore w:val="0"/>
        <w:kinsoku/>
        <w:overflowPunct/>
        <w:autoSpaceDE/>
        <w:autoSpaceDN/>
        <w:bidi w:val="0"/>
        <w:adjustRightInd w:val="0"/>
        <w:snapToGrid w:val="0"/>
        <w:spacing w:line="360" w:lineRule="auto"/>
        <w:ind w:firstLine="562"/>
        <w:rPr>
          <w:b/>
          <w:bCs/>
          <w:color w:val="auto"/>
          <w:sz w:val="28"/>
          <w:szCs w:val="28"/>
          <w:highlight w:val="none"/>
        </w:rPr>
      </w:pPr>
      <w:r>
        <w:rPr>
          <w:rFonts w:hint="eastAsia" w:cs="宋体"/>
          <w:b/>
          <w:bCs/>
          <w:color w:val="auto"/>
          <w:sz w:val="28"/>
          <w:szCs w:val="28"/>
          <w:highlight w:val="none"/>
          <w:lang w:val="zh-CN"/>
        </w:rPr>
        <w:t>说明：</w:t>
      </w:r>
    </w:p>
    <w:p w14:paraId="2521236E">
      <w:pPr>
        <w:pageBreakBefore w:val="0"/>
        <w:kinsoku/>
        <w:overflowPunct/>
        <w:autoSpaceDE/>
        <w:autoSpaceDN/>
        <w:bidi w:val="0"/>
        <w:adjustRightInd w:val="0"/>
        <w:snapToGrid w:val="0"/>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14:paraId="7DDB781A">
      <w:pPr>
        <w:pageBreakBefore w:val="0"/>
        <w:kinsoku/>
        <w:overflowPunct/>
        <w:autoSpaceDE/>
        <w:autoSpaceDN/>
        <w:bidi w:val="0"/>
        <w:adjustRightInd w:val="0"/>
        <w:snapToGrid w:val="0"/>
        <w:spacing w:line="360" w:lineRule="auto"/>
        <w:ind w:firstLine="480"/>
        <w:jc w:val="center"/>
        <w:rPr>
          <w:b/>
          <w:color w:val="auto"/>
          <w:szCs w:val="21"/>
          <w:highlight w:val="none"/>
        </w:rPr>
      </w:pPr>
      <w:r>
        <w:rPr>
          <w:rFonts w:hint="eastAsia"/>
          <w:color w:val="auto"/>
          <w:sz w:val="24"/>
          <w:highlight w:val="none"/>
        </w:rPr>
        <w:br w:type="page" w:clear="all"/>
      </w:r>
      <w:r>
        <w:rPr>
          <w:rFonts w:hint="eastAsia"/>
          <w:b/>
          <w:color w:val="auto"/>
          <w:szCs w:val="21"/>
          <w:highlight w:val="none"/>
        </w:rPr>
        <w:t>评分索引表</w:t>
      </w:r>
    </w:p>
    <w:tbl>
      <w:tblPr>
        <w:tblStyle w:val="45"/>
        <w:tblW w:w="47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2"/>
        <w:gridCol w:w="3510"/>
      </w:tblGrid>
      <w:tr w14:paraId="78B8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val="0"/>
          </w:tcPr>
          <w:p w14:paraId="05314FE5">
            <w:pPr>
              <w:pStyle w:val="231"/>
              <w:pageBreakBefore w:val="0"/>
              <w:shd w:val="clear" w:color="auto" w:fill="FFFFFF"/>
              <w:kinsoku/>
              <w:overflowPunct/>
              <w:autoSpaceDE/>
              <w:autoSpaceDN/>
              <w:bidi w:val="0"/>
              <w:adjustRightInd w:val="0"/>
              <w:snapToGrid w:val="0"/>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2149" w:type="pct"/>
            <w:tcBorders>
              <w:top w:val="single" w:color="auto" w:sz="4" w:space="0"/>
              <w:left w:val="single" w:color="auto" w:sz="4" w:space="0"/>
              <w:bottom w:val="single" w:color="auto" w:sz="4" w:space="0"/>
              <w:right w:val="single" w:color="auto" w:sz="4" w:space="0"/>
            </w:tcBorders>
            <w:noWrap w:val="0"/>
          </w:tcPr>
          <w:p w14:paraId="09B3664B">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14:paraId="429D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850" w:type="pct"/>
            <w:tcBorders>
              <w:top w:val="single" w:color="auto" w:sz="4" w:space="0"/>
              <w:left w:val="single" w:color="auto" w:sz="4" w:space="0"/>
              <w:bottom w:val="single" w:color="auto" w:sz="4" w:space="0"/>
              <w:right w:val="single" w:color="auto" w:sz="4" w:space="0"/>
            </w:tcBorders>
            <w:noWrap w:val="0"/>
          </w:tcPr>
          <w:p w14:paraId="4507EB65">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3A475910">
            <w:pPr>
              <w:pageBreakBefore w:val="0"/>
              <w:kinsoku/>
              <w:overflowPunct/>
              <w:autoSpaceDE/>
              <w:autoSpaceDN/>
              <w:bidi w:val="0"/>
              <w:adjustRightInd w:val="0"/>
              <w:snapToGrid w:val="0"/>
              <w:spacing w:line="360" w:lineRule="auto"/>
              <w:ind w:firstLine="482"/>
              <w:rPr>
                <w:b/>
                <w:color w:val="auto"/>
                <w:sz w:val="24"/>
                <w:highlight w:val="none"/>
                <w:lang w:bidi="en-US"/>
              </w:rPr>
            </w:pPr>
          </w:p>
        </w:tc>
      </w:tr>
      <w:tr w14:paraId="0A15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6162B7BB">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r>
      <w:tr w14:paraId="184F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val="0"/>
          </w:tcPr>
          <w:p w14:paraId="16A00876">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6C4B2B21">
            <w:pPr>
              <w:pageBreakBefore w:val="0"/>
              <w:kinsoku/>
              <w:overflowPunct/>
              <w:autoSpaceDE/>
              <w:autoSpaceDN/>
              <w:bidi w:val="0"/>
              <w:adjustRightInd w:val="0"/>
              <w:snapToGrid w:val="0"/>
              <w:spacing w:line="360" w:lineRule="auto"/>
              <w:rPr>
                <w:color w:val="auto"/>
                <w:highlight w:val="none"/>
              </w:rPr>
            </w:pPr>
          </w:p>
        </w:tc>
      </w:tr>
      <w:tr w14:paraId="229E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val="0"/>
          </w:tcPr>
          <w:p w14:paraId="71BD74CC">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1542F04F">
            <w:pPr>
              <w:pageBreakBefore w:val="0"/>
              <w:kinsoku/>
              <w:overflowPunct/>
              <w:autoSpaceDE/>
              <w:autoSpaceDN/>
              <w:bidi w:val="0"/>
              <w:adjustRightInd w:val="0"/>
              <w:snapToGrid w:val="0"/>
              <w:spacing w:line="360" w:lineRule="auto"/>
              <w:rPr>
                <w:color w:val="auto"/>
                <w:highlight w:val="none"/>
              </w:rPr>
            </w:pPr>
          </w:p>
        </w:tc>
      </w:tr>
      <w:tr w14:paraId="52D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val="0"/>
          </w:tcPr>
          <w:p w14:paraId="3D44436A">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3B980476">
            <w:pPr>
              <w:pageBreakBefore w:val="0"/>
              <w:kinsoku/>
              <w:overflowPunct/>
              <w:autoSpaceDE/>
              <w:autoSpaceDN/>
              <w:bidi w:val="0"/>
              <w:adjustRightInd w:val="0"/>
              <w:snapToGrid w:val="0"/>
              <w:spacing w:line="360" w:lineRule="auto"/>
              <w:rPr>
                <w:color w:val="auto"/>
                <w:highlight w:val="none"/>
              </w:rPr>
            </w:pPr>
          </w:p>
        </w:tc>
      </w:tr>
      <w:tr w14:paraId="3DFB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val="0"/>
          </w:tcPr>
          <w:p w14:paraId="7E6C4412">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661B628D">
            <w:pPr>
              <w:pageBreakBefore w:val="0"/>
              <w:kinsoku/>
              <w:overflowPunct/>
              <w:autoSpaceDE/>
              <w:autoSpaceDN/>
              <w:bidi w:val="0"/>
              <w:adjustRightInd w:val="0"/>
              <w:snapToGrid w:val="0"/>
              <w:spacing w:line="360" w:lineRule="auto"/>
              <w:rPr>
                <w:color w:val="auto"/>
                <w:highlight w:val="none"/>
              </w:rPr>
            </w:pPr>
          </w:p>
        </w:tc>
      </w:tr>
      <w:tr w14:paraId="6F7F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val="0"/>
          </w:tcPr>
          <w:p w14:paraId="161BB14A">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76BD0211">
            <w:pPr>
              <w:pageBreakBefore w:val="0"/>
              <w:kinsoku/>
              <w:overflowPunct/>
              <w:autoSpaceDE/>
              <w:autoSpaceDN/>
              <w:bidi w:val="0"/>
              <w:adjustRightInd w:val="0"/>
              <w:snapToGrid w:val="0"/>
              <w:spacing w:line="360" w:lineRule="auto"/>
              <w:rPr>
                <w:color w:val="auto"/>
                <w:highlight w:val="none"/>
              </w:rPr>
            </w:pPr>
          </w:p>
        </w:tc>
      </w:tr>
      <w:tr w14:paraId="4D93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09333ABB">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r>
      <w:tr w14:paraId="45DB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50" w:type="pct"/>
            <w:tcBorders>
              <w:top w:val="single" w:color="auto" w:sz="4" w:space="0"/>
              <w:left w:val="single" w:color="auto" w:sz="4" w:space="0"/>
              <w:bottom w:val="single" w:color="auto" w:sz="4" w:space="0"/>
              <w:right w:val="single" w:color="auto" w:sz="4" w:space="0"/>
            </w:tcBorders>
            <w:noWrap w:val="0"/>
          </w:tcPr>
          <w:p w14:paraId="499EBC56">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13541DC7">
            <w:pPr>
              <w:pageBreakBefore w:val="0"/>
              <w:kinsoku/>
              <w:overflowPunct/>
              <w:autoSpaceDE/>
              <w:autoSpaceDN/>
              <w:bidi w:val="0"/>
              <w:adjustRightInd w:val="0"/>
              <w:snapToGrid w:val="0"/>
              <w:spacing w:line="360" w:lineRule="auto"/>
              <w:rPr>
                <w:color w:val="auto"/>
                <w:highlight w:val="none"/>
              </w:rPr>
            </w:pPr>
          </w:p>
        </w:tc>
      </w:tr>
      <w:tr w14:paraId="7C7A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850" w:type="pct"/>
            <w:tcBorders>
              <w:top w:val="single" w:color="auto" w:sz="4" w:space="0"/>
              <w:left w:val="single" w:color="auto" w:sz="4" w:space="0"/>
              <w:bottom w:val="single" w:color="auto" w:sz="4" w:space="0"/>
              <w:right w:val="single" w:color="auto" w:sz="4" w:space="0"/>
            </w:tcBorders>
            <w:noWrap w:val="0"/>
          </w:tcPr>
          <w:p w14:paraId="090959CE">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72F81446">
            <w:pPr>
              <w:pageBreakBefore w:val="0"/>
              <w:kinsoku/>
              <w:overflowPunct/>
              <w:autoSpaceDE/>
              <w:autoSpaceDN/>
              <w:bidi w:val="0"/>
              <w:adjustRightInd w:val="0"/>
              <w:snapToGrid w:val="0"/>
              <w:spacing w:line="360" w:lineRule="auto"/>
              <w:rPr>
                <w:color w:val="auto"/>
                <w:highlight w:val="none"/>
              </w:rPr>
            </w:pPr>
          </w:p>
        </w:tc>
      </w:tr>
      <w:tr w14:paraId="2133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850" w:type="pct"/>
            <w:tcBorders>
              <w:top w:val="single" w:color="auto" w:sz="4" w:space="0"/>
              <w:left w:val="single" w:color="auto" w:sz="4" w:space="0"/>
              <w:bottom w:val="single" w:color="auto" w:sz="4" w:space="0"/>
              <w:right w:val="single" w:color="auto" w:sz="4" w:space="0"/>
            </w:tcBorders>
            <w:noWrap w:val="0"/>
          </w:tcPr>
          <w:p w14:paraId="790064C9">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2011DA13">
            <w:pPr>
              <w:pageBreakBefore w:val="0"/>
              <w:kinsoku/>
              <w:overflowPunct/>
              <w:autoSpaceDE/>
              <w:autoSpaceDN/>
              <w:bidi w:val="0"/>
              <w:adjustRightInd w:val="0"/>
              <w:snapToGrid w:val="0"/>
              <w:spacing w:line="360" w:lineRule="auto"/>
              <w:rPr>
                <w:color w:val="auto"/>
                <w:highlight w:val="none"/>
              </w:rPr>
            </w:pPr>
          </w:p>
        </w:tc>
      </w:tr>
      <w:tr w14:paraId="70C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850" w:type="pct"/>
            <w:tcBorders>
              <w:top w:val="single" w:color="auto" w:sz="4" w:space="0"/>
              <w:left w:val="single" w:color="auto" w:sz="4" w:space="0"/>
              <w:bottom w:val="single" w:color="auto" w:sz="4" w:space="0"/>
              <w:right w:val="single" w:color="auto" w:sz="4" w:space="0"/>
            </w:tcBorders>
            <w:noWrap w:val="0"/>
          </w:tcPr>
          <w:p w14:paraId="06CCB6D2">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695982CE">
            <w:pPr>
              <w:pageBreakBefore w:val="0"/>
              <w:kinsoku/>
              <w:overflowPunct/>
              <w:autoSpaceDE/>
              <w:autoSpaceDN/>
              <w:bidi w:val="0"/>
              <w:adjustRightInd w:val="0"/>
              <w:snapToGrid w:val="0"/>
              <w:spacing w:line="360" w:lineRule="auto"/>
              <w:rPr>
                <w:color w:val="auto"/>
                <w:highlight w:val="none"/>
              </w:rPr>
            </w:pPr>
          </w:p>
        </w:tc>
      </w:tr>
      <w:tr w14:paraId="7A16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850" w:type="pct"/>
            <w:tcBorders>
              <w:top w:val="single" w:color="auto" w:sz="4" w:space="0"/>
              <w:left w:val="single" w:color="auto" w:sz="4" w:space="0"/>
              <w:bottom w:val="single" w:color="auto" w:sz="4" w:space="0"/>
              <w:right w:val="single" w:color="auto" w:sz="4" w:space="0"/>
            </w:tcBorders>
            <w:noWrap w:val="0"/>
          </w:tcPr>
          <w:p w14:paraId="7DDBC36B">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14C9F0FE">
            <w:pPr>
              <w:pageBreakBefore w:val="0"/>
              <w:kinsoku/>
              <w:overflowPunct/>
              <w:autoSpaceDE/>
              <w:autoSpaceDN/>
              <w:bidi w:val="0"/>
              <w:adjustRightInd w:val="0"/>
              <w:snapToGrid w:val="0"/>
              <w:spacing w:line="360" w:lineRule="auto"/>
              <w:rPr>
                <w:color w:val="auto"/>
                <w:highlight w:val="none"/>
              </w:rPr>
            </w:pPr>
          </w:p>
        </w:tc>
      </w:tr>
      <w:tr w14:paraId="2519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49D31122">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color w:val="auto"/>
                <w:sz w:val="21"/>
                <w:szCs w:val="22"/>
                <w:highlight w:val="none"/>
              </w:rPr>
            </w:pPr>
          </w:p>
        </w:tc>
      </w:tr>
      <w:tr w14:paraId="2737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val="0"/>
          </w:tcPr>
          <w:p w14:paraId="0F1EAB09">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bCs/>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4523B350">
            <w:pPr>
              <w:pageBreakBefore w:val="0"/>
              <w:kinsoku/>
              <w:overflowPunct/>
              <w:autoSpaceDE/>
              <w:autoSpaceDN/>
              <w:bidi w:val="0"/>
              <w:adjustRightInd w:val="0"/>
              <w:snapToGrid w:val="0"/>
              <w:spacing w:line="360" w:lineRule="auto"/>
              <w:rPr>
                <w:color w:val="auto"/>
                <w:highlight w:val="none"/>
              </w:rPr>
            </w:pPr>
          </w:p>
        </w:tc>
      </w:tr>
      <w:tr w14:paraId="3F73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val="0"/>
          </w:tcPr>
          <w:p w14:paraId="7E2AA151">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2E4089B4">
            <w:pPr>
              <w:pageBreakBefore w:val="0"/>
              <w:kinsoku/>
              <w:overflowPunct/>
              <w:autoSpaceDE/>
              <w:autoSpaceDN/>
              <w:bidi w:val="0"/>
              <w:adjustRightInd w:val="0"/>
              <w:snapToGrid w:val="0"/>
              <w:spacing w:line="360" w:lineRule="auto"/>
              <w:rPr>
                <w:color w:val="auto"/>
                <w:highlight w:val="none"/>
              </w:rPr>
            </w:pPr>
          </w:p>
        </w:tc>
      </w:tr>
      <w:tr w14:paraId="6A02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val="0"/>
          </w:tcPr>
          <w:p w14:paraId="00F42432">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bCs/>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35D2C797">
            <w:pPr>
              <w:pageBreakBefore w:val="0"/>
              <w:kinsoku/>
              <w:overflowPunct/>
              <w:autoSpaceDE/>
              <w:autoSpaceDN/>
              <w:bidi w:val="0"/>
              <w:adjustRightInd w:val="0"/>
              <w:snapToGrid w:val="0"/>
              <w:spacing w:line="360" w:lineRule="auto"/>
              <w:rPr>
                <w:color w:val="auto"/>
                <w:highlight w:val="none"/>
              </w:rPr>
            </w:pPr>
          </w:p>
        </w:tc>
      </w:tr>
      <w:tr w14:paraId="1AF2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3BB9B594">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color w:val="auto"/>
                <w:sz w:val="21"/>
                <w:szCs w:val="22"/>
                <w:highlight w:val="none"/>
              </w:rPr>
            </w:pPr>
          </w:p>
        </w:tc>
      </w:tr>
      <w:tr w14:paraId="0EB6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0" w:type="pct"/>
            <w:tcBorders>
              <w:top w:val="single" w:color="auto" w:sz="4" w:space="0"/>
              <w:left w:val="single" w:color="auto" w:sz="4" w:space="0"/>
              <w:bottom w:val="single" w:color="auto" w:sz="4" w:space="0"/>
              <w:right w:val="single" w:color="auto" w:sz="4" w:space="0"/>
            </w:tcBorders>
            <w:noWrap w:val="0"/>
          </w:tcPr>
          <w:p w14:paraId="1720AEB4">
            <w:pPr>
              <w:pStyle w:val="231"/>
              <w:pageBreakBefore w:val="0"/>
              <w:shd w:val="clear" w:color="auto" w:fill="FFFFFF"/>
              <w:kinsoku/>
              <w:overflowPunct/>
              <w:autoSpaceDE/>
              <w:autoSpaceDN/>
              <w:bidi w:val="0"/>
              <w:adjustRightInd w:val="0"/>
              <w:snapToGrid w:val="0"/>
              <w:spacing w:line="360" w:lineRule="auto"/>
              <w:ind w:firstLine="420"/>
              <w:rPr>
                <w:rFonts w:ascii="Times New Roman" w:hAnsi="Times New Roman"/>
                <w:color w:val="auto"/>
                <w:sz w:val="21"/>
                <w:szCs w:val="21"/>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40B71116">
            <w:pPr>
              <w:pageBreakBefore w:val="0"/>
              <w:kinsoku/>
              <w:overflowPunct/>
              <w:autoSpaceDE/>
              <w:autoSpaceDN/>
              <w:bidi w:val="0"/>
              <w:adjustRightInd w:val="0"/>
              <w:snapToGrid w:val="0"/>
              <w:spacing w:line="360" w:lineRule="auto"/>
              <w:rPr>
                <w:color w:val="auto"/>
                <w:highlight w:val="none"/>
              </w:rPr>
            </w:pPr>
          </w:p>
        </w:tc>
      </w:tr>
      <w:tr w14:paraId="784C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50" w:type="pct"/>
            <w:tcBorders>
              <w:top w:val="single" w:color="auto" w:sz="4" w:space="0"/>
              <w:left w:val="single" w:color="auto" w:sz="4" w:space="0"/>
              <w:bottom w:val="single" w:color="auto" w:sz="4" w:space="0"/>
              <w:right w:val="single" w:color="auto" w:sz="4" w:space="0"/>
            </w:tcBorders>
            <w:noWrap w:val="0"/>
          </w:tcPr>
          <w:p w14:paraId="2CB2CCB9">
            <w:pPr>
              <w:pStyle w:val="231"/>
              <w:pageBreakBefore w:val="0"/>
              <w:shd w:val="clear" w:color="auto" w:fill="FFFFFF"/>
              <w:kinsoku/>
              <w:overflowPunct/>
              <w:autoSpaceDE/>
              <w:autoSpaceDN/>
              <w:bidi w:val="0"/>
              <w:adjustRightInd w:val="0"/>
              <w:snapToGrid w:val="0"/>
              <w:spacing w:line="360" w:lineRule="auto"/>
              <w:ind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50930B4D">
            <w:pPr>
              <w:pageBreakBefore w:val="0"/>
              <w:kinsoku/>
              <w:overflowPunct/>
              <w:autoSpaceDE/>
              <w:autoSpaceDN/>
              <w:bidi w:val="0"/>
              <w:adjustRightInd w:val="0"/>
              <w:snapToGrid w:val="0"/>
              <w:spacing w:line="360" w:lineRule="auto"/>
              <w:rPr>
                <w:color w:val="auto"/>
                <w:highlight w:val="none"/>
              </w:rPr>
            </w:pPr>
          </w:p>
        </w:tc>
      </w:tr>
    </w:tbl>
    <w:p w14:paraId="14A887BF">
      <w:pPr>
        <w:pageBreakBefore w:val="0"/>
        <w:kinsoku/>
        <w:overflowPunct/>
        <w:autoSpaceDE/>
        <w:autoSpaceDN/>
        <w:bidi w:val="0"/>
        <w:adjustRightInd w:val="0"/>
        <w:snapToGrid w:val="0"/>
        <w:spacing w:line="360" w:lineRule="auto"/>
        <w:rPr>
          <w:color w:val="auto"/>
          <w:highlight w:val="none"/>
        </w:rPr>
      </w:pPr>
    </w:p>
    <w:p w14:paraId="1BF0322F">
      <w:pPr>
        <w:pageBreakBefore w:val="0"/>
        <w:kinsoku/>
        <w:overflowPunct/>
        <w:autoSpaceDE/>
        <w:autoSpaceDN/>
        <w:bidi w:val="0"/>
        <w:adjustRightInd w:val="0"/>
        <w:snapToGrid w:val="0"/>
        <w:spacing w:line="360" w:lineRule="auto"/>
        <w:ind w:firstLine="723"/>
        <w:jc w:val="center"/>
        <w:rPr>
          <w:rFonts w:hint="eastAsia"/>
          <w:b/>
          <w:bCs/>
          <w:color w:val="auto"/>
          <w:szCs w:val="21"/>
          <w:highlight w:val="none"/>
        </w:rPr>
      </w:pPr>
      <w:r>
        <w:rPr>
          <w:rFonts w:hint="eastAsia"/>
          <w:b/>
          <w:color w:val="auto"/>
          <w:sz w:val="36"/>
          <w:highlight w:val="none"/>
          <w:u w:val="single"/>
        </w:rPr>
        <w:br w:type="page" w:clear="all"/>
      </w:r>
      <w:r>
        <w:rPr>
          <w:rFonts w:hint="eastAsia"/>
          <w:b/>
          <w:bCs/>
          <w:color w:val="auto"/>
          <w:szCs w:val="21"/>
          <w:highlight w:val="none"/>
        </w:rPr>
        <w:t>投标主要文件目录</w:t>
      </w:r>
    </w:p>
    <w:p w14:paraId="6E40AF55">
      <w:pPr>
        <w:pageBreakBefore w:val="0"/>
        <w:kinsoku/>
        <w:overflowPunct/>
        <w:autoSpaceDE/>
        <w:autoSpaceDN/>
        <w:bidi w:val="0"/>
        <w:adjustRightInd w:val="0"/>
        <w:snapToGrid w:val="0"/>
        <w:spacing w:line="360" w:lineRule="auto"/>
        <w:ind w:firstLine="723"/>
        <w:jc w:val="center"/>
        <w:rPr>
          <w:rFonts w:hint="eastAsia"/>
          <w:b/>
          <w:bCs/>
          <w:color w:val="auto"/>
          <w:szCs w:val="21"/>
          <w:highlight w:val="none"/>
        </w:rPr>
      </w:pPr>
    </w:p>
    <w:p w14:paraId="69F9344C">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一、资格性和符合性检查响应对照表</w:t>
      </w:r>
    </w:p>
    <w:p w14:paraId="1E419B29">
      <w:pPr>
        <w:pageBreakBefore w:val="0"/>
        <w:kinsoku/>
        <w:overflowPunct/>
        <w:autoSpaceDE/>
        <w:autoSpaceDN/>
        <w:bidi w:val="0"/>
        <w:adjustRightInd w:val="0"/>
        <w:snapToGrid w:val="0"/>
        <w:spacing w:line="360" w:lineRule="auto"/>
        <w:ind w:firstLine="420"/>
        <w:rPr>
          <w:rFonts w:cs="宋体"/>
          <w:color w:val="auto"/>
          <w:szCs w:val="21"/>
          <w:highlight w:val="none"/>
        </w:rPr>
      </w:pPr>
    </w:p>
    <w:p w14:paraId="6A2337F9">
      <w:pPr>
        <w:pageBreakBefore w:val="0"/>
        <w:kinsoku/>
        <w:overflowPunct/>
        <w:autoSpaceDE/>
        <w:autoSpaceDN/>
        <w:bidi w:val="0"/>
        <w:adjustRightInd w:val="0"/>
        <w:snapToGrid w:val="0"/>
        <w:spacing w:line="360" w:lineRule="auto"/>
        <w:ind w:firstLine="422"/>
        <w:rPr>
          <w:rFonts w:cs="宋体"/>
          <w:bCs/>
          <w:color w:val="auto"/>
          <w:szCs w:val="21"/>
          <w:highlight w:val="none"/>
        </w:rPr>
      </w:pPr>
      <w:r>
        <w:rPr>
          <w:rFonts w:hint="eastAsia" w:cs="宋体"/>
          <w:b/>
          <w:bCs/>
          <w:color w:val="auto"/>
          <w:szCs w:val="21"/>
          <w:highlight w:val="none"/>
        </w:rPr>
        <w:t>二</w:t>
      </w:r>
      <w:r>
        <w:rPr>
          <w:rFonts w:hint="eastAsia" w:cs="宋体"/>
          <w:color w:val="auto"/>
          <w:szCs w:val="21"/>
          <w:highlight w:val="none"/>
        </w:rPr>
        <w:t>、</w:t>
      </w:r>
      <w:r>
        <w:rPr>
          <w:rFonts w:hint="eastAsia" w:cs="宋体"/>
          <w:bCs/>
          <w:color w:val="auto"/>
          <w:szCs w:val="21"/>
          <w:highlight w:val="none"/>
        </w:rPr>
        <w:t>资信证明文件</w:t>
      </w:r>
    </w:p>
    <w:p w14:paraId="4AA1E277">
      <w:pPr>
        <w:pageBreakBefore w:val="0"/>
        <w:kinsoku/>
        <w:overflowPunct/>
        <w:autoSpaceDE/>
        <w:autoSpaceDN/>
        <w:bidi w:val="0"/>
        <w:adjustRightInd w:val="0"/>
        <w:snapToGrid w:val="0"/>
        <w:spacing w:line="360" w:lineRule="auto"/>
        <w:ind w:firstLine="480"/>
        <w:rPr>
          <w:rFonts w:cs="宋体"/>
          <w:bCs/>
          <w:color w:val="auto"/>
          <w:sz w:val="24"/>
          <w:szCs w:val="24"/>
          <w:highlight w:val="none"/>
        </w:rPr>
      </w:pPr>
    </w:p>
    <w:p w14:paraId="5A97313E">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三、开标一览表</w:t>
      </w:r>
    </w:p>
    <w:p w14:paraId="03C0F98F">
      <w:pPr>
        <w:pageBreakBefore w:val="0"/>
        <w:kinsoku/>
        <w:overflowPunct/>
        <w:autoSpaceDE/>
        <w:autoSpaceDN/>
        <w:bidi w:val="0"/>
        <w:adjustRightInd w:val="0"/>
        <w:snapToGrid w:val="0"/>
        <w:spacing w:line="360" w:lineRule="auto"/>
        <w:ind w:firstLine="420"/>
        <w:rPr>
          <w:rFonts w:cs="宋体"/>
          <w:color w:val="auto"/>
          <w:szCs w:val="21"/>
          <w:highlight w:val="none"/>
        </w:rPr>
      </w:pPr>
    </w:p>
    <w:p w14:paraId="00DE555B">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四</w:t>
      </w:r>
      <w:r>
        <w:rPr>
          <w:rFonts w:hint="eastAsia" w:cs="宋体"/>
          <w:b/>
          <w:bCs/>
          <w:color w:val="auto"/>
          <w:szCs w:val="21"/>
          <w:highlight w:val="none"/>
        </w:rPr>
        <w:t>、</w:t>
      </w:r>
      <w:r>
        <w:rPr>
          <w:rFonts w:hint="eastAsia" w:cs="宋体"/>
          <w:color w:val="auto"/>
          <w:szCs w:val="21"/>
          <w:highlight w:val="none"/>
        </w:rPr>
        <w:t>投标配置与分项报价表</w:t>
      </w:r>
    </w:p>
    <w:p w14:paraId="7A13DCCA">
      <w:pPr>
        <w:pageBreakBefore w:val="0"/>
        <w:kinsoku/>
        <w:overflowPunct/>
        <w:autoSpaceDE/>
        <w:autoSpaceDN/>
        <w:bidi w:val="0"/>
        <w:adjustRightInd w:val="0"/>
        <w:snapToGrid w:val="0"/>
        <w:spacing w:line="360" w:lineRule="auto"/>
        <w:rPr>
          <w:rFonts w:cs="宋体"/>
          <w:color w:val="auto"/>
          <w:szCs w:val="21"/>
          <w:highlight w:val="none"/>
        </w:rPr>
      </w:pPr>
    </w:p>
    <w:p w14:paraId="4B51C7DB">
      <w:pPr>
        <w:pageBreakBefore w:val="0"/>
        <w:numPr>
          <w:ilvl w:val="0"/>
          <w:numId w:val="43"/>
        </w:numPr>
        <w:kinsoku/>
        <w:overflowPunct/>
        <w:autoSpaceDE/>
        <w:autoSpaceDN/>
        <w:bidi w:val="0"/>
        <w:adjustRightInd w:val="0"/>
        <w:snapToGrid w:val="0"/>
        <w:spacing w:line="360" w:lineRule="auto"/>
        <w:ind w:firstLine="420"/>
        <w:rPr>
          <w:rFonts w:hint="eastAsia" w:cs="宋体"/>
          <w:color w:val="auto"/>
          <w:szCs w:val="21"/>
          <w:highlight w:val="none"/>
        </w:rPr>
      </w:pPr>
      <w:r>
        <w:rPr>
          <w:rFonts w:hint="eastAsia" w:cs="宋体"/>
          <w:color w:val="auto"/>
          <w:szCs w:val="21"/>
          <w:highlight w:val="none"/>
        </w:rPr>
        <w:t>供货一览表</w:t>
      </w:r>
    </w:p>
    <w:p w14:paraId="0A782271">
      <w:pPr>
        <w:pageBreakBefore w:val="0"/>
        <w:numPr>
          <w:ilvl w:val="0"/>
          <w:numId w:val="0"/>
        </w:numPr>
        <w:kinsoku/>
        <w:overflowPunct/>
        <w:autoSpaceDE/>
        <w:autoSpaceDN/>
        <w:bidi w:val="0"/>
        <w:adjustRightInd w:val="0"/>
        <w:snapToGrid w:val="0"/>
        <w:spacing w:line="360" w:lineRule="auto"/>
        <w:rPr>
          <w:rFonts w:hint="eastAsia" w:cs="宋体"/>
          <w:color w:val="auto"/>
          <w:szCs w:val="21"/>
          <w:highlight w:val="none"/>
        </w:rPr>
      </w:pPr>
    </w:p>
    <w:p w14:paraId="023ABA94">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lang w:val="en-US" w:eastAsia="zh-CN"/>
        </w:rPr>
        <w:t>六、</w:t>
      </w:r>
      <w:r>
        <w:rPr>
          <w:rFonts w:hint="eastAsia" w:cs="宋体"/>
          <w:color w:val="auto"/>
          <w:szCs w:val="21"/>
          <w:highlight w:val="none"/>
        </w:rPr>
        <w:t>技术参数响应及偏离表</w:t>
      </w:r>
    </w:p>
    <w:p w14:paraId="309AD4BF">
      <w:pPr>
        <w:pageBreakBefore w:val="0"/>
        <w:kinsoku/>
        <w:overflowPunct/>
        <w:autoSpaceDE/>
        <w:autoSpaceDN/>
        <w:bidi w:val="0"/>
        <w:adjustRightInd w:val="0"/>
        <w:snapToGrid w:val="0"/>
        <w:spacing w:line="360" w:lineRule="auto"/>
        <w:ind w:firstLine="420"/>
        <w:rPr>
          <w:rFonts w:cs="宋体"/>
          <w:color w:val="auto"/>
          <w:szCs w:val="21"/>
          <w:highlight w:val="none"/>
        </w:rPr>
      </w:pPr>
    </w:p>
    <w:p w14:paraId="408CC36C">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lang w:val="en-US" w:eastAsia="zh-CN"/>
        </w:rPr>
        <w:t>七</w:t>
      </w:r>
      <w:r>
        <w:rPr>
          <w:rFonts w:hint="eastAsia" w:cs="宋体"/>
          <w:color w:val="auto"/>
          <w:szCs w:val="21"/>
          <w:highlight w:val="none"/>
        </w:rPr>
        <w:t>、商务条款响应及偏离表</w:t>
      </w:r>
    </w:p>
    <w:p w14:paraId="05A1D751">
      <w:pPr>
        <w:pageBreakBefore w:val="0"/>
        <w:kinsoku/>
        <w:overflowPunct/>
        <w:autoSpaceDE/>
        <w:autoSpaceDN/>
        <w:bidi w:val="0"/>
        <w:adjustRightInd w:val="0"/>
        <w:snapToGrid w:val="0"/>
        <w:spacing w:line="360" w:lineRule="auto"/>
        <w:rPr>
          <w:rFonts w:cs="宋体"/>
          <w:color w:val="auto"/>
          <w:szCs w:val="21"/>
          <w:highlight w:val="none"/>
        </w:rPr>
      </w:pPr>
    </w:p>
    <w:p w14:paraId="3A375954">
      <w:pPr>
        <w:pageBreakBefore w:val="0"/>
        <w:numPr>
          <w:ilvl w:val="0"/>
          <w:numId w:val="0"/>
        </w:numPr>
        <w:kinsoku/>
        <w:overflowPunct/>
        <w:autoSpaceDE/>
        <w:autoSpaceDN/>
        <w:bidi w:val="0"/>
        <w:adjustRightInd w:val="0"/>
        <w:snapToGrid w:val="0"/>
        <w:spacing w:line="360" w:lineRule="auto"/>
        <w:ind w:firstLine="420" w:firstLineChars="0"/>
        <w:rPr>
          <w:rFonts w:hint="eastAsia" w:cs="宋体"/>
          <w:color w:val="auto"/>
          <w:szCs w:val="21"/>
          <w:highlight w:val="none"/>
        </w:rPr>
      </w:pPr>
      <w:r>
        <w:rPr>
          <w:rFonts w:hint="eastAsia" w:cs="宋体"/>
          <w:color w:val="auto"/>
          <w:sz w:val="21"/>
          <w:szCs w:val="21"/>
          <w:highlight w:val="none"/>
          <w:lang w:val="en-US" w:eastAsia="zh-CN" w:bidi="ar-SA"/>
        </w:rPr>
        <w:t>八</w:t>
      </w:r>
      <w:r>
        <w:rPr>
          <w:rFonts w:hint="eastAsia" w:ascii="Times New Roman" w:hAnsi="Times New Roman" w:eastAsia="宋体" w:cs="宋体"/>
          <w:color w:val="auto"/>
          <w:sz w:val="21"/>
          <w:szCs w:val="21"/>
          <w:highlight w:val="none"/>
          <w:lang w:val="en-US" w:eastAsia="zh-CN" w:bidi="ar-SA"/>
        </w:rPr>
        <w:t>、</w:t>
      </w:r>
      <w:r>
        <w:rPr>
          <w:rFonts w:hint="eastAsia" w:cs="宋体"/>
          <w:color w:val="auto"/>
          <w:szCs w:val="21"/>
          <w:highlight w:val="none"/>
        </w:rPr>
        <w:t>拟投入人员一览表</w:t>
      </w:r>
    </w:p>
    <w:p w14:paraId="54A9C3E7">
      <w:pPr>
        <w:pageBreakBefore w:val="0"/>
        <w:numPr>
          <w:ilvl w:val="0"/>
          <w:numId w:val="0"/>
        </w:numPr>
        <w:kinsoku/>
        <w:overflowPunct/>
        <w:autoSpaceDE/>
        <w:autoSpaceDN/>
        <w:bidi w:val="0"/>
        <w:adjustRightInd w:val="0"/>
        <w:snapToGrid w:val="0"/>
        <w:spacing w:line="360" w:lineRule="auto"/>
        <w:rPr>
          <w:rFonts w:hint="eastAsia" w:cs="宋体"/>
          <w:color w:val="auto"/>
          <w:szCs w:val="21"/>
          <w:highlight w:val="none"/>
        </w:rPr>
      </w:pPr>
    </w:p>
    <w:p w14:paraId="58FD01B8">
      <w:pPr>
        <w:pageBreakBefore w:val="0"/>
        <w:numPr>
          <w:ilvl w:val="0"/>
          <w:numId w:val="0"/>
        </w:numPr>
        <w:kinsoku/>
        <w:overflowPunct/>
        <w:autoSpaceDE/>
        <w:autoSpaceDN/>
        <w:bidi w:val="0"/>
        <w:adjustRightInd w:val="0"/>
        <w:snapToGrid w:val="0"/>
        <w:spacing w:line="360" w:lineRule="auto"/>
        <w:ind w:firstLine="420" w:firstLineChars="0"/>
        <w:rPr>
          <w:rFonts w:cs="宋体"/>
          <w:color w:val="auto"/>
          <w:szCs w:val="21"/>
          <w:highlight w:val="none"/>
        </w:rPr>
      </w:pPr>
      <w:r>
        <w:rPr>
          <w:rFonts w:hint="eastAsia" w:cs="宋体"/>
          <w:color w:val="auto"/>
          <w:sz w:val="21"/>
          <w:szCs w:val="21"/>
          <w:highlight w:val="none"/>
          <w:lang w:val="en-US" w:eastAsia="zh-CN" w:bidi="ar-SA"/>
        </w:rPr>
        <w:t>九</w:t>
      </w:r>
      <w:r>
        <w:rPr>
          <w:rFonts w:hint="eastAsia" w:ascii="Times New Roman" w:hAnsi="Times New Roman" w:eastAsia="宋体" w:cs="宋体"/>
          <w:color w:val="auto"/>
          <w:sz w:val="21"/>
          <w:szCs w:val="21"/>
          <w:highlight w:val="none"/>
          <w:lang w:val="en-US" w:eastAsia="zh-CN" w:bidi="ar-SA"/>
        </w:rPr>
        <w:t>、</w:t>
      </w:r>
      <w:r>
        <w:rPr>
          <w:rFonts w:hint="eastAsia" w:cs="宋体"/>
          <w:color w:val="auto"/>
          <w:szCs w:val="21"/>
          <w:highlight w:val="none"/>
        </w:rPr>
        <w:t>......</w:t>
      </w:r>
    </w:p>
    <w:p w14:paraId="2DBAEA2C">
      <w:pPr>
        <w:pageBreakBefore w:val="0"/>
        <w:kinsoku/>
        <w:overflowPunct/>
        <w:autoSpaceDE/>
        <w:autoSpaceDN/>
        <w:bidi w:val="0"/>
        <w:adjustRightInd w:val="0"/>
        <w:snapToGrid w:val="0"/>
        <w:spacing w:line="360" w:lineRule="auto"/>
        <w:ind w:firstLine="442"/>
        <w:jc w:val="left"/>
        <w:rPr>
          <w:b/>
          <w:color w:val="auto"/>
          <w:sz w:val="22"/>
          <w:szCs w:val="21"/>
          <w:highlight w:val="none"/>
        </w:rPr>
      </w:pPr>
    </w:p>
    <w:p w14:paraId="287F28B1">
      <w:pPr>
        <w:pageBreakBefore w:val="0"/>
        <w:kinsoku/>
        <w:overflowPunct/>
        <w:autoSpaceDE/>
        <w:autoSpaceDN/>
        <w:bidi w:val="0"/>
        <w:adjustRightInd w:val="0"/>
        <w:snapToGrid w:val="0"/>
        <w:spacing w:line="360" w:lineRule="auto"/>
        <w:ind w:firstLine="422"/>
        <w:jc w:val="left"/>
        <w:rPr>
          <w:b/>
          <w:color w:val="auto"/>
          <w:szCs w:val="21"/>
          <w:highlight w:val="none"/>
        </w:rPr>
      </w:pPr>
    </w:p>
    <w:p w14:paraId="698695C3">
      <w:pPr>
        <w:pageBreakBefore w:val="0"/>
        <w:kinsoku/>
        <w:overflowPunct/>
        <w:autoSpaceDE/>
        <w:autoSpaceDN/>
        <w:bidi w:val="0"/>
        <w:adjustRightInd w:val="0"/>
        <w:snapToGrid w:val="0"/>
        <w:spacing w:line="360" w:lineRule="auto"/>
        <w:ind w:firstLine="422"/>
        <w:jc w:val="left"/>
        <w:rPr>
          <w:b/>
          <w:color w:val="auto"/>
          <w:szCs w:val="21"/>
          <w:highlight w:val="none"/>
        </w:rPr>
      </w:pPr>
    </w:p>
    <w:p w14:paraId="5D5FDB31">
      <w:pPr>
        <w:pageBreakBefore w:val="0"/>
        <w:kinsoku/>
        <w:overflowPunct/>
        <w:autoSpaceDE/>
        <w:autoSpaceDN/>
        <w:bidi w:val="0"/>
        <w:adjustRightInd w:val="0"/>
        <w:snapToGrid w:val="0"/>
        <w:spacing w:line="360" w:lineRule="auto"/>
        <w:ind w:firstLine="422"/>
        <w:jc w:val="left"/>
        <w:rPr>
          <w:b/>
          <w:color w:val="auto"/>
          <w:szCs w:val="21"/>
          <w:highlight w:val="none"/>
        </w:rPr>
      </w:pPr>
    </w:p>
    <w:p w14:paraId="0995C57E">
      <w:pPr>
        <w:pageBreakBefore w:val="0"/>
        <w:kinsoku/>
        <w:overflowPunct/>
        <w:autoSpaceDE/>
        <w:autoSpaceDN/>
        <w:bidi w:val="0"/>
        <w:adjustRightInd w:val="0"/>
        <w:snapToGrid w:val="0"/>
        <w:spacing w:line="360" w:lineRule="auto"/>
        <w:ind w:firstLine="422"/>
        <w:jc w:val="left"/>
        <w:rPr>
          <w:b/>
          <w:color w:val="auto"/>
          <w:szCs w:val="21"/>
          <w:highlight w:val="none"/>
        </w:rPr>
      </w:pPr>
    </w:p>
    <w:p w14:paraId="16B47798">
      <w:pPr>
        <w:pageBreakBefore w:val="0"/>
        <w:kinsoku/>
        <w:overflowPunct/>
        <w:autoSpaceDE/>
        <w:autoSpaceDN/>
        <w:bidi w:val="0"/>
        <w:adjustRightInd w:val="0"/>
        <w:snapToGrid w:val="0"/>
        <w:spacing w:line="360" w:lineRule="auto"/>
        <w:ind w:firstLine="422"/>
        <w:jc w:val="left"/>
        <w:rPr>
          <w:b/>
          <w:color w:val="auto"/>
          <w:szCs w:val="21"/>
          <w:highlight w:val="none"/>
        </w:rPr>
      </w:pPr>
    </w:p>
    <w:p w14:paraId="310B8CA1">
      <w:pPr>
        <w:pageBreakBefore w:val="0"/>
        <w:kinsoku/>
        <w:overflowPunct/>
        <w:autoSpaceDE/>
        <w:autoSpaceDN/>
        <w:bidi w:val="0"/>
        <w:adjustRightInd w:val="0"/>
        <w:snapToGrid w:val="0"/>
        <w:spacing w:line="360" w:lineRule="auto"/>
        <w:ind w:firstLine="422"/>
        <w:jc w:val="left"/>
        <w:rPr>
          <w:b/>
          <w:color w:val="auto"/>
          <w:szCs w:val="21"/>
          <w:highlight w:val="none"/>
        </w:rPr>
      </w:pPr>
    </w:p>
    <w:p w14:paraId="329992C0">
      <w:pPr>
        <w:pageBreakBefore w:val="0"/>
        <w:kinsoku/>
        <w:overflowPunct/>
        <w:autoSpaceDE/>
        <w:autoSpaceDN/>
        <w:bidi w:val="0"/>
        <w:adjustRightInd w:val="0"/>
        <w:snapToGrid w:val="0"/>
        <w:spacing w:line="360" w:lineRule="auto"/>
        <w:ind w:firstLine="422"/>
        <w:jc w:val="left"/>
        <w:rPr>
          <w:b/>
          <w:color w:val="auto"/>
          <w:szCs w:val="21"/>
          <w:highlight w:val="none"/>
        </w:rPr>
      </w:pPr>
    </w:p>
    <w:p w14:paraId="2DC65B43">
      <w:pPr>
        <w:pageBreakBefore w:val="0"/>
        <w:kinsoku/>
        <w:overflowPunct/>
        <w:autoSpaceDE/>
        <w:autoSpaceDN/>
        <w:bidi w:val="0"/>
        <w:adjustRightInd w:val="0"/>
        <w:snapToGrid w:val="0"/>
        <w:spacing w:line="360" w:lineRule="auto"/>
        <w:ind w:firstLine="422"/>
        <w:jc w:val="left"/>
        <w:rPr>
          <w:b/>
          <w:color w:val="auto"/>
          <w:szCs w:val="21"/>
          <w:highlight w:val="none"/>
        </w:rPr>
      </w:pPr>
    </w:p>
    <w:p w14:paraId="5FE239CB">
      <w:pPr>
        <w:pageBreakBefore w:val="0"/>
        <w:kinsoku/>
        <w:overflowPunct/>
        <w:autoSpaceDE/>
        <w:autoSpaceDN/>
        <w:bidi w:val="0"/>
        <w:adjustRightInd w:val="0"/>
        <w:snapToGrid w:val="0"/>
        <w:spacing w:line="360" w:lineRule="auto"/>
        <w:ind w:firstLine="422"/>
        <w:jc w:val="left"/>
        <w:rPr>
          <w:b/>
          <w:color w:val="auto"/>
          <w:szCs w:val="21"/>
          <w:highlight w:val="none"/>
        </w:rPr>
      </w:pPr>
    </w:p>
    <w:p w14:paraId="76E3BF79">
      <w:pPr>
        <w:pageBreakBefore w:val="0"/>
        <w:kinsoku/>
        <w:overflowPunct/>
        <w:autoSpaceDE/>
        <w:autoSpaceDN/>
        <w:bidi w:val="0"/>
        <w:adjustRightInd w:val="0"/>
        <w:snapToGrid w:val="0"/>
        <w:spacing w:line="360" w:lineRule="auto"/>
        <w:ind w:firstLine="422"/>
        <w:jc w:val="left"/>
        <w:rPr>
          <w:b/>
          <w:color w:val="auto"/>
          <w:szCs w:val="21"/>
          <w:highlight w:val="none"/>
        </w:rPr>
      </w:pPr>
    </w:p>
    <w:p w14:paraId="257E2248">
      <w:pPr>
        <w:pageBreakBefore w:val="0"/>
        <w:kinsoku/>
        <w:overflowPunct/>
        <w:autoSpaceDE/>
        <w:autoSpaceDN/>
        <w:bidi w:val="0"/>
        <w:adjustRightInd w:val="0"/>
        <w:snapToGrid w:val="0"/>
        <w:spacing w:line="360" w:lineRule="auto"/>
        <w:ind w:firstLine="422"/>
        <w:jc w:val="left"/>
        <w:rPr>
          <w:b/>
          <w:color w:val="auto"/>
          <w:szCs w:val="21"/>
          <w:highlight w:val="none"/>
        </w:rPr>
      </w:pPr>
    </w:p>
    <w:p w14:paraId="012BA2D0">
      <w:pPr>
        <w:pageBreakBefore w:val="0"/>
        <w:kinsoku/>
        <w:overflowPunct/>
        <w:autoSpaceDE/>
        <w:autoSpaceDN/>
        <w:bidi w:val="0"/>
        <w:adjustRightInd w:val="0"/>
        <w:snapToGrid w:val="0"/>
        <w:spacing w:line="360" w:lineRule="auto"/>
        <w:ind w:firstLine="422"/>
        <w:jc w:val="left"/>
        <w:rPr>
          <w:b/>
          <w:color w:val="auto"/>
          <w:szCs w:val="21"/>
          <w:highlight w:val="none"/>
        </w:rPr>
      </w:pPr>
    </w:p>
    <w:p w14:paraId="4423EBEC">
      <w:pPr>
        <w:pageBreakBefore w:val="0"/>
        <w:kinsoku/>
        <w:overflowPunct/>
        <w:autoSpaceDE/>
        <w:autoSpaceDN/>
        <w:bidi w:val="0"/>
        <w:adjustRightInd w:val="0"/>
        <w:snapToGrid w:val="0"/>
        <w:rPr>
          <w:b/>
          <w:bCs/>
          <w:color w:val="auto"/>
          <w:highlight w:val="none"/>
        </w:rPr>
      </w:pPr>
      <w:r>
        <w:rPr>
          <w:b/>
          <w:color w:val="auto"/>
          <w:szCs w:val="21"/>
          <w:highlight w:val="none"/>
        </w:rPr>
        <w:br w:type="page" w:clear="all"/>
      </w:r>
    </w:p>
    <w:p w14:paraId="6895B540">
      <w:pPr>
        <w:pageBreakBefore w:val="0"/>
        <w:kinsoku/>
        <w:overflowPunct/>
        <w:autoSpaceDE/>
        <w:autoSpaceDN/>
        <w:bidi w:val="0"/>
        <w:adjustRightInd w:val="0"/>
        <w:snapToGrid w:val="0"/>
        <w:spacing w:line="360" w:lineRule="auto"/>
        <w:ind w:firstLine="422"/>
        <w:jc w:val="left"/>
        <w:rPr>
          <w:b/>
          <w:bCs/>
          <w:color w:val="auto"/>
          <w:highlight w:val="none"/>
        </w:rPr>
      </w:pPr>
    </w:p>
    <w:p w14:paraId="368FDA04">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rPr>
        <w:t>一、资格性和符合性检查响应对照表</w:t>
      </w:r>
    </w:p>
    <w:p w14:paraId="7CEFED81">
      <w:pPr>
        <w:pageBreakBefore w:val="0"/>
        <w:kinsoku/>
        <w:overflowPunct/>
        <w:autoSpaceDE/>
        <w:autoSpaceDN/>
        <w:bidi w:val="0"/>
        <w:adjustRightInd w:val="0"/>
        <w:snapToGrid w:val="0"/>
        <w:spacing w:line="360" w:lineRule="auto"/>
        <w:ind w:right="210" w:firstLine="420"/>
        <w:rPr>
          <w:color w:val="auto"/>
          <w:szCs w:val="21"/>
          <w:highlight w:val="none"/>
        </w:rPr>
      </w:pPr>
      <w:r>
        <w:rPr>
          <w:rFonts w:hint="eastAsia"/>
          <w:color w:val="auto"/>
          <w:szCs w:val="21"/>
          <w:highlight w:val="none"/>
        </w:rPr>
        <w:t>投标人名称（公章）：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6615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0EA1E10">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304D7223">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61B89B">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是否响应</w:t>
            </w:r>
          </w:p>
          <w:p w14:paraId="3CDB6B68">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65A71417">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投标文件中的</w:t>
            </w:r>
          </w:p>
          <w:p w14:paraId="3042145F">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页码位置</w:t>
            </w:r>
          </w:p>
        </w:tc>
      </w:tr>
      <w:tr w14:paraId="63F3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EDA12FF">
            <w:pPr>
              <w:pageBreakBefore w:val="0"/>
              <w:kinsoku/>
              <w:overflowPunct/>
              <w:autoSpaceDE/>
              <w:autoSpaceDN/>
              <w:bidi w:val="0"/>
              <w:adjustRightInd w:val="0"/>
              <w:snapToGrid w:val="0"/>
              <w:spacing w:line="360" w:lineRule="auto"/>
              <w:rPr>
                <w:b/>
                <w:i/>
                <w:color w:val="auto"/>
                <w:szCs w:val="21"/>
                <w:highlight w:val="none"/>
                <w:u w:val="single"/>
              </w:rPr>
            </w:pPr>
            <w:r>
              <w:rPr>
                <w:rFonts w:hint="eastAsia"/>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1EDBDF96">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A38673">
            <w:pPr>
              <w:pageBreakBefore w:val="0"/>
              <w:kinsoku/>
              <w:overflowPunct/>
              <w:autoSpaceDE/>
              <w:autoSpaceDN/>
              <w:bidi w:val="0"/>
              <w:adjustRightInd w:val="0"/>
              <w:snapToGrid w:val="0"/>
              <w:spacing w:line="360" w:lineRule="auto"/>
              <w:ind w:firstLine="422"/>
              <w:rPr>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1D7C2C2A">
            <w:pPr>
              <w:pageBreakBefore w:val="0"/>
              <w:kinsoku/>
              <w:overflowPunct/>
              <w:autoSpaceDE/>
              <w:autoSpaceDN/>
              <w:bidi w:val="0"/>
              <w:adjustRightInd w:val="0"/>
              <w:snapToGrid w:val="0"/>
              <w:spacing w:line="360" w:lineRule="auto"/>
              <w:ind w:firstLine="422"/>
              <w:rPr>
                <w:b/>
                <w:color w:val="auto"/>
                <w:szCs w:val="21"/>
                <w:highlight w:val="none"/>
              </w:rPr>
            </w:pPr>
          </w:p>
        </w:tc>
      </w:tr>
      <w:tr w14:paraId="1906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1B2D4539">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76BB57F9">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608F0B">
            <w:pPr>
              <w:pageBreakBefore w:val="0"/>
              <w:kinsoku/>
              <w:overflowPunct/>
              <w:autoSpaceDE/>
              <w:autoSpaceDN/>
              <w:bidi w:val="0"/>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FE25A4B">
            <w:pPr>
              <w:pageBreakBefore w:val="0"/>
              <w:kinsoku/>
              <w:overflowPunct/>
              <w:autoSpaceDE/>
              <w:autoSpaceDN/>
              <w:bidi w:val="0"/>
              <w:adjustRightInd w:val="0"/>
              <w:snapToGrid w:val="0"/>
              <w:spacing w:line="360" w:lineRule="auto"/>
              <w:rPr>
                <w:color w:val="auto"/>
                <w:szCs w:val="21"/>
                <w:highlight w:val="none"/>
              </w:rPr>
            </w:pPr>
          </w:p>
        </w:tc>
      </w:tr>
      <w:tr w14:paraId="655B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6E20F59">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0A9F9A70">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546ED5">
            <w:pPr>
              <w:pageBreakBefore w:val="0"/>
              <w:kinsoku/>
              <w:overflowPunct/>
              <w:autoSpaceDE/>
              <w:autoSpaceDN/>
              <w:bidi w:val="0"/>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F077D38">
            <w:pPr>
              <w:pageBreakBefore w:val="0"/>
              <w:kinsoku/>
              <w:overflowPunct/>
              <w:autoSpaceDE/>
              <w:autoSpaceDN/>
              <w:bidi w:val="0"/>
              <w:adjustRightInd w:val="0"/>
              <w:snapToGrid w:val="0"/>
              <w:spacing w:line="360" w:lineRule="auto"/>
              <w:rPr>
                <w:color w:val="auto"/>
                <w:szCs w:val="21"/>
                <w:highlight w:val="none"/>
              </w:rPr>
            </w:pPr>
          </w:p>
        </w:tc>
      </w:tr>
      <w:tr w14:paraId="323D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CA1CD10">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0FD82072">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51E6B7">
            <w:pPr>
              <w:pageBreakBefore w:val="0"/>
              <w:kinsoku/>
              <w:overflowPunct/>
              <w:autoSpaceDE/>
              <w:autoSpaceDN/>
              <w:bidi w:val="0"/>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E7C4517">
            <w:pPr>
              <w:pageBreakBefore w:val="0"/>
              <w:kinsoku/>
              <w:overflowPunct/>
              <w:autoSpaceDE/>
              <w:autoSpaceDN/>
              <w:bidi w:val="0"/>
              <w:adjustRightInd w:val="0"/>
              <w:snapToGrid w:val="0"/>
              <w:spacing w:line="360" w:lineRule="auto"/>
              <w:rPr>
                <w:color w:val="auto"/>
                <w:szCs w:val="21"/>
                <w:highlight w:val="none"/>
              </w:rPr>
            </w:pPr>
          </w:p>
        </w:tc>
      </w:tr>
      <w:tr w14:paraId="175F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711128B">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5C4FD20D">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615E4C">
            <w:pPr>
              <w:pageBreakBefore w:val="0"/>
              <w:kinsoku/>
              <w:overflowPunct/>
              <w:autoSpaceDE/>
              <w:autoSpaceDN/>
              <w:bidi w:val="0"/>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7EC1D320">
            <w:pPr>
              <w:pageBreakBefore w:val="0"/>
              <w:kinsoku/>
              <w:overflowPunct/>
              <w:autoSpaceDE/>
              <w:autoSpaceDN/>
              <w:bidi w:val="0"/>
              <w:adjustRightInd w:val="0"/>
              <w:snapToGrid w:val="0"/>
              <w:spacing w:line="360" w:lineRule="auto"/>
              <w:rPr>
                <w:color w:val="auto"/>
                <w:highlight w:val="none"/>
              </w:rPr>
            </w:pPr>
          </w:p>
        </w:tc>
      </w:tr>
      <w:tr w14:paraId="0687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855D6DB">
            <w:pPr>
              <w:pageBreakBefore w:val="0"/>
              <w:kinsoku/>
              <w:overflowPunct/>
              <w:autoSpaceDE/>
              <w:autoSpaceDN/>
              <w:bidi w:val="0"/>
              <w:adjustRightInd w:val="0"/>
              <w:snapToGrid w:val="0"/>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0"/>
            <w:vAlign w:val="center"/>
          </w:tcPr>
          <w:p w14:paraId="55CA766C">
            <w:pPr>
              <w:pageBreakBefore w:val="0"/>
              <w:kinsoku/>
              <w:overflowPunct/>
              <w:autoSpaceDE/>
              <w:autoSpaceDN/>
              <w:bidi w:val="0"/>
              <w:adjustRightInd w:val="0"/>
              <w:snapToGrid w:val="0"/>
              <w:spacing w:line="360" w:lineRule="auto"/>
              <w:jc w:val="center"/>
              <w:rPr>
                <w:i/>
                <w:iCs/>
                <w:color w:val="auto"/>
                <w:szCs w:val="21"/>
                <w:highlight w:val="none"/>
                <w:u w:val="single"/>
              </w:rPr>
            </w:pPr>
            <w:r>
              <w:rPr>
                <w:rFonts w:hint="eastAsia"/>
                <w:i/>
                <w:iCs/>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0AB628">
            <w:pPr>
              <w:pageBreakBefore w:val="0"/>
              <w:kinsoku/>
              <w:overflowPunct/>
              <w:autoSpaceDE/>
              <w:autoSpaceDN/>
              <w:bidi w:val="0"/>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AAB0C77">
            <w:pPr>
              <w:pageBreakBefore w:val="0"/>
              <w:kinsoku/>
              <w:overflowPunct/>
              <w:autoSpaceDE/>
              <w:autoSpaceDN/>
              <w:bidi w:val="0"/>
              <w:adjustRightInd w:val="0"/>
              <w:snapToGrid w:val="0"/>
              <w:spacing w:line="360" w:lineRule="auto"/>
              <w:rPr>
                <w:color w:val="auto"/>
                <w:highlight w:val="none"/>
              </w:rPr>
            </w:pPr>
          </w:p>
        </w:tc>
      </w:tr>
      <w:tr w14:paraId="5E66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7E4BC24">
            <w:pPr>
              <w:pageBreakBefore w:val="0"/>
              <w:kinsoku/>
              <w:overflowPunct/>
              <w:autoSpaceDE/>
              <w:autoSpaceDN/>
              <w:bidi w:val="0"/>
              <w:adjustRightInd w:val="0"/>
              <w:snapToGrid w:val="0"/>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0"/>
            <w:vAlign w:val="center"/>
          </w:tcPr>
          <w:p w14:paraId="14158987">
            <w:pPr>
              <w:pageBreakBefore w:val="0"/>
              <w:kinsoku/>
              <w:overflowPunct/>
              <w:autoSpaceDE/>
              <w:autoSpaceDN/>
              <w:bidi w:val="0"/>
              <w:adjustRightInd w:val="0"/>
              <w:snapToGrid w:val="0"/>
              <w:spacing w:line="360" w:lineRule="auto"/>
              <w:rPr>
                <w:i/>
                <w:iCs/>
                <w:color w:val="auto"/>
                <w:szCs w:val="21"/>
                <w:highlight w:val="none"/>
                <w:u w:val="single"/>
              </w:rPr>
            </w:pPr>
            <w:r>
              <w:rPr>
                <w:rFonts w:hint="eastAsia"/>
                <w:i/>
                <w:iCs/>
                <w:color w:val="auto"/>
                <w:szCs w:val="21"/>
                <w:highlight w:val="none"/>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7A5E29">
            <w:pPr>
              <w:pageBreakBefore w:val="0"/>
              <w:kinsoku/>
              <w:overflowPunct/>
              <w:autoSpaceDE/>
              <w:autoSpaceDN/>
              <w:bidi w:val="0"/>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7D81EB6C">
            <w:pPr>
              <w:pageBreakBefore w:val="0"/>
              <w:kinsoku/>
              <w:overflowPunct/>
              <w:autoSpaceDE/>
              <w:autoSpaceDN/>
              <w:bidi w:val="0"/>
              <w:adjustRightInd w:val="0"/>
              <w:snapToGrid w:val="0"/>
              <w:spacing w:line="360" w:lineRule="auto"/>
              <w:rPr>
                <w:color w:val="auto"/>
                <w:highlight w:val="none"/>
              </w:rPr>
            </w:pPr>
          </w:p>
        </w:tc>
      </w:tr>
    </w:tbl>
    <w:p w14:paraId="4FBBFA5A">
      <w:pPr>
        <w:pageBreakBefore w:val="0"/>
        <w:kinsoku/>
        <w:overflowPunct/>
        <w:autoSpaceDE/>
        <w:autoSpaceDN/>
        <w:bidi w:val="0"/>
        <w:adjustRightInd w:val="0"/>
        <w:snapToGrid w:val="0"/>
        <w:spacing w:line="360" w:lineRule="auto"/>
        <w:ind w:firstLine="640"/>
        <w:rPr>
          <w:color w:val="auto"/>
          <w:szCs w:val="21"/>
          <w:highlight w:val="none"/>
        </w:rPr>
      </w:pPr>
      <w:r>
        <w:rPr>
          <w:rFonts w:hint="eastAsia"/>
          <w:color w:val="auto"/>
          <w:sz w:val="32"/>
          <w:szCs w:val="32"/>
          <w:highlight w:val="none"/>
        </w:rPr>
        <w:t xml:space="preserve">             </w:t>
      </w:r>
      <w:r>
        <w:rPr>
          <w:rFonts w:hint="eastAsia"/>
          <w:color w:val="auto"/>
          <w:szCs w:val="21"/>
          <w:highlight w:val="none"/>
        </w:rPr>
        <w:t xml:space="preserve"> </w:t>
      </w:r>
    </w:p>
    <w:p w14:paraId="681B641E">
      <w:pPr>
        <w:pageBreakBefore w:val="0"/>
        <w:kinsoku/>
        <w:overflowPunct/>
        <w:autoSpaceDE/>
        <w:autoSpaceDN/>
        <w:bidi w:val="0"/>
        <w:adjustRightInd w:val="0"/>
        <w:snapToGrid w:val="0"/>
        <w:spacing w:line="360" w:lineRule="auto"/>
        <w:ind w:firstLine="440"/>
        <w:rPr>
          <w:color w:val="auto"/>
          <w:sz w:val="22"/>
          <w:szCs w:val="21"/>
          <w:highlight w:val="none"/>
        </w:rPr>
      </w:pPr>
    </w:p>
    <w:p w14:paraId="3397CF1E">
      <w:pPr>
        <w:pageBreakBefore w:val="0"/>
        <w:kinsoku/>
        <w:overflowPunct/>
        <w:autoSpaceDE/>
        <w:autoSpaceDN/>
        <w:bidi w:val="0"/>
        <w:adjustRightInd w:val="0"/>
        <w:snapToGrid w:val="0"/>
        <w:spacing w:line="360" w:lineRule="auto"/>
        <w:rPr>
          <w:color w:val="auto"/>
          <w:szCs w:val="21"/>
          <w:highlight w:val="none"/>
        </w:rPr>
      </w:pPr>
    </w:p>
    <w:p w14:paraId="2982084B">
      <w:pPr>
        <w:pageBreakBefore w:val="0"/>
        <w:kinsoku/>
        <w:overflowPunct/>
        <w:autoSpaceDE/>
        <w:autoSpaceDN/>
        <w:bidi w:val="0"/>
        <w:adjustRightInd w:val="0"/>
        <w:snapToGrid w:val="0"/>
        <w:spacing w:line="360" w:lineRule="auto"/>
        <w:rPr>
          <w:color w:val="auto"/>
          <w:szCs w:val="21"/>
          <w:highlight w:val="none"/>
        </w:rPr>
      </w:pPr>
    </w:p>
    <w:p w14:paraId="27B6FDF1">
      <w:pPr>
        <w:pageBreakBefore w:val="0"/>
        <w:kinsoku/>
        <w:overflowPunct/>
        <w:autoSpaceDE/>
        <w:autoSpaceDN/>
        <w:bidi w:val="0"/>
        <w:adjustRightInd w:val="0"/>
        <w:snapToGrid w:val="0"/>
        <w:spacing w:line="360" w:lineRule="auto"/>
        <w:rPr>
          <w:color w:val="auto"/>
          <w:szCs w:val="21"/>
          <w:highlight w:val="none"/>
        </w:rPr>
      </w:pPr>
    </w:p>
    <w:p w14:paraId="3A95E4D2">
      <w:pPr>
        <w:pageBreakBefore w:val="0"/>
        <w:kinsoku/>
        <w:overflowPunct/>
        <w:autoSpaceDE/>
        <w:autoSpaceDN/>
        <w:bidi w:val="0"/>
        <w:adjustRightInd w:val="0"/>
        <w:snapToGrid w:val="0"/>
        <w:spacing w:line="360" w:lineRule="auto"/>
        <w:rPr>
          <w:color w:val="auto"/>
          <w:szCs w:val="21"/>
          <w:highlight w:val="none"/>
        </w:rPr>
      </w:pPr>
    </w:p>
    <w:p w14:paraId="10E62CBA">
      <w:pPr>
        <w:pageBreakBefore w:val="0"/>
        <w:kinsoku/>
        <w:overflowPunct/>
        <w:autoSpaceDE/>
        <w:autoSpaceDN/>
        <w:bidi w:val="0"/>
        <w:adjustRightInd w:val="0"/>
        <w:snapToGrid w:val="0"/>
        <w:spacing w:line="360" w:lineRule="auto"/>
        <w:rPr>
          <w:color w:val="auto"/>
          <w:szCs w:val="21"/>
          <w:highlight w:val="none"/>
        </w:rPr>
      </w:pPr>
    </w:p>
    <w:p w14:paraId="1FC7C73F">
      <w:pPr>
        <w:pageBreakBefore w:val="0"/>
        <w:kinsoku/>
        <w:overflowPunct/>
        <w:autoSpaceDE/>
        <w:autoSpaceDN/>
        <w:bidi w:val="0"/>
        <w:adjustRightInd w:val="0"/>
        <w:snapToGrid w:val="0"/>
        <w:spacing w:line="360" w:lineRule="auto"/>
        <w:rPr>
          <w:color w:val="auto"/>
          <w:szCs w:val="21"/>
          <w:highlight w:val="none"/>
        </w:rPr>
      </w:pPr>
    </w:p>
    <w:p w14:paraId="6202D146">
      <w:pPr>
        <w:pageBreakBefore w:val="0"/>
        <w:kinsoku/>
        <w:overflowPunct/>
        <w:autoSpaceDE/>
        <w:autoSpaceDN/>
        <w:bidi w:val="0"/>
        <w:adjustRightInd w:val="0"/>
        <w:snapToGrid w:val="0"/>
        <w:spacing w:line="360" w:lineRule="auto"/>
        <w:rPr>
          <w:color w:val="auto"/>
          <w:szCs w:val="21"/>
          <w:highlight w:val="none"/>
        </w:rPr>
      </w:pPr>
    </w:p>
    <w:p w14:paraId="339BC441">
      <w:pPr>
        <w:pageBreakBefore w:val="0"/>
        <w:kinsoku/>
        <w:overflowPunct/>
        <w:autoSpaceDE/>
        <w:autoSpaceDN/>
        <w:bidi w:val="0"/>
        <w:adjustRightInd w:val="0"/>
        <w:snapToGrid w:val="0"/>
        <w:spacing w:line="360" w:lineRule="auto"/>
        <w:rPr>
          <w:color w:val="auto"/>
          <w:szCs w:val="21"/>
          <w:highlight w:val="none"/>
        </w:rPr>
      </w:pPr>
    </w:p>
    <w:p w14:paraId="1F38FBA8">
      <w:pPr>
        <w:pageBreakBefore w:val="0"/>
        <w:kinsoku/>
        <w:overflowPunct/>
        <w:autoSpaceDE/>
        <w:autoSpaceDN/>
        <w:bidi w:val="0"/>
        <w:adjustRightInd w:val="0"/>
        <w:snapToGrid w:val="0"/>
        <w:spacing w:line="360" w:lineRule="auto"/>
        <w:ind w:left="2943" w:firstLine="422"/>
        <w:rPr>
          <w:b/>
          <w:bCs/>
          <w:color w:val="auto"/>
          <w:szCs w:val="21"/>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3ADE1581">
      <w:pPr>
        <w:pageBreakBefore w:val="0"/>
        <w:kinsoku/>
        <w:overflowPunct/>
        <w:autoSpaceDE/>
        <w:autoSpaceDN/>
        <w:bidi w:val="0"/>
        <w:adjustRightInd w:val="0"/>
        <w:snapToGrid w:val="0"/>
        <w:spacing w:line="360" w:lineRule="auto"/>
        <w:ind w:left="2943" w:firstLine="422"/>
        <w:rPr>
          <w:b/>
          <w:bCs/>
          <w:color w:val="auto"/>
          <w:szCs w:val="21"/>
          <w:highlight w:val="none"/>
        </w:rPr>
      </w:pPr>
      <w:r>
        <w:rPr>
          <w:rFonts w:hint="eastAsia"/>
          <w:b/>
          <w:bCs/>
          <w:color w:val="auto"/>
          <w:szCs w:val="21"/>
          <w:highlight w:val="none"/>
        </w:rPr>
        <w:t>二、资信证明文件要求</w:t>
      </w:r>
    </w:p>
    <w:p w14:paraId="73B425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符合相关法律法规规定的条件</w:t>
      </w:r>
      <w:r>
        <w:rPr>
          <w:rFonts w:hint="eastAsia" w:ascii="宋体" w:hAnsi="宋体" w:eastAsia="宋体" w:cs="宋体"/>
          <w:color w:val="auto"/>
          <w:sz w:val="21"/>
          <w:szCs w:val="21"/>
          <w:highlight w:val="none"/>
        </w:rPr>
        <w:t>，并提供下列材料：</w:t>
      </w:r>
    </w:p>
    <w:p w14:paraId="7274CF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i/>
          <w:iCs/>
          <w:color w:val="auto"/>
          <w:sz w:val="21"/>
          <w:szCs w:val="21"/>
          <w:highlight w:val="none"/>
          <w:u w:val="single"/>
          <w:lang w:eastAsia="zh-CN"/>
        </w:rPr>
      </w:pPr>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7D2780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1.2</w:t>
      </w:r>
      <w:r>
        <w:rPr>
          <w:rFonts w:hint="eastAsia" w:ascii="宋体" w:hAnsi="宋体" w:eastAsia="宋体" w:cs="宋体"/>
          <w:i/>
          <w:iCs/>
          <w:color w:val="auto"/>
          <w:sz w:val="21"/>
          <w:szCs w:val="21"/>
          <w:highlight w:val="none"/>
          <w:u w:val="single"/>
          <w:lang w:val="en-US" w:eastAsia="zh-CN"/>
        </w:rPr>
        <w:t xml:space="preserve"> 2023年度或2024年度</w:t>
      </w:r>
      <w:r>
        <w:rPr>
          <w:rFonts w:hint="eastAsia" w:ascii="宋体" w:hAnsi="宋体" w:eastAsia="宋体" w:cs="宋体"/>
          <w:i/>
          <w:iCs/>
          <w:color w:val="auto"/>
          <w:sz w:val="21"/>
          <w:szCs w:val="21"/>
          <w:highlight w:val="none"/>
          <w:u w:val="single"/>
        </w:rPr>
        <w:t>的财务状况报告</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559F0F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1.3</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响应</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依法享受缓缴、免缴税收、社会保障资金的提供证明材料。）</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0BB115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1.4</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450427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1.5</w:t>
      </w:r>
      <w:r>
        <w:rPr>
          <w:rFonts w:hint="eastAsia" w:ascii="宋体" w:hAnsi="宋体" w:eastAsia="宋体" w:cs="宋体"/>
          <w:i/>
          <w:iCs/>
          <w:color w:val="auto"/>
          <w:sz w:val="21"/>
          <w:szCs w:val="21"/>
          <w:highlight w:val="none"/>
          <w:u w:val="single"/>
        </w:rPr>
        <w:t>参加采购活动前3年内在经营活动中没有重大违法记录的书面声明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2E9467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1.6</w:t>
      </w:r>
      <w:r>
        <w:rPr>
          <w:rFonts w:hint="eastAsia" w:ascii="宋体" w:hAnsi="宋体" w:eastAsia="宋体" w:cs="宋体"/>
          <w:i/>
          <w:iCs/>
          <w:color w:val="auto"/>
          <w:sz w:val="21"/>
          <w:szCs w:val="21"/>
          <w:highlight w:val="none"/>
          <w:u w:val="single"/>
        </w:rPr>
        <w:t>供应商信用承诺函</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279DDE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i/>
          <w:iCs/>
          <w:color w:val="auto"/>
          <w:sz w:val="21"/>
          <w:szCs w:val="21"/>
          <w:highlight w:val="none"/>
          <w:u w:val="single"/>
          <w:lang w:val="en-US" w:eastAsia="zh-CN"/>
        </w:rPr>
        <w:t>1.7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文件中无需提供证明材料）</w:t>
      </w:r>
    </w:p>
    <w:p w14:paraId="6DCC33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2.本项目的特定资格要求：</w:t>
      </w:r>
      <w:r>
        <w:rPr>
          <w:rFonts w:hint="eastAsia" w:ascii="宋体" w:hAnsi="宋体" w:eastAsia="宋体" w:cs="宋体"/>
          <w:i/>
          <w:iCs/>
          <w:color w:val="auto"/>
          <w:kern w:val="2"/>
          <w:sz w:val="21"/>
          <w:szCs w:val="21"/>
          <w:highlight w:val="none"/>
          <w:u w:val="single"/>
          <w:lang w:val="en-US" w:eastAsia="zh-CN" w:bidi="ar-SA"/>
        </w:rPr>
        <w:t>无</w:t>
      </w:r>
      <w:r>
        <w:rPr>
          <w:rFonts w:hint="eastAsia" w:ascii="宋体" w:hAnsi="宋体" w:eastAsia="宋体" w:cs="宋体"/>
          <w:color w:val="auto"/>
          <w:kern w:val="2"/>
          <w:sz w:val="21"/>
          <w:szCs w:val="21"/>
          <w:highlight w:val="none"/>
          <w:lang w:val="en-US" w:eastAsia="zh-CN" w:bidi="ar-SA"/>
        </w:rPr>
        <w:t>；</w:t>
      </w:r>
    </w:p>
    <w:p w14:paraId="031791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拒绝下述供应商参加本次采购活动：</w:t>
      </w:r>
    </w:p>
    <w:p w14:paraId="5F907FD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供应商单位负责人为同一人或者存在直接控股、管理关系的不同供应商，不得参加同一合同项下的政府采购活动。</w:t>
      </w:r>
    </w:p>
    <w:p w14:paraId="46E249F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凡为采购项目提供整体设计、规范编制或者项目管理、监理、检测等服务的供应商，不得再参加该项目的其他采购活动。</w:t>
      </w:r>
    </w:p>
    <w:p w14:paraId="104BBAD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供应商被“信用中国”网站（www.creditchina.gov.cn）、“中国政府采购网"（www.ccgp.gov.cn）列入失信被执行人、重大税收违法案件当事人名单、政府采购严重违法失信行为记录名单。</w:t>
      </w:r>
    </w:p>
    <w:p w14:paraId="1237E457">
      <w:pPr>
        <w:keepNext w:val="0"/>
        <w:keepLines w:val="0"/>
        <w:pageBreakBefore w:val="0"/>
        <w:widowControl w:val="0"/>
        <w:kinsoku/>
        <w:wordWrap/>
        <w:overflowPunct/>
        <w:topLinePunct w:val="0"/>
        <w:autoSpaceDE/>
        <w:autoSpaceDN/>
        <w:bidi w:val="0"/>
        <w:adjustRightInd/>
        <w:snapToGrid/>
        <w:spacing w:line="360" w:lineRule="auto"/>
        <w:ind w:right="312" w:firstLine="420"/>
        <w:textAlignment w:val="auto"/>
        <w:rPr>
          <w:rFonts w:hint="eastAsia" w:ascii="宋体" w:hAnsi="宋体" w:eastAsia="宋体" w:cs="宋体"/>
          <w:color w:val="auto"/>
          <w:szCs w:val="21"/>
          <w:highlight w:val="none"/>
        </w:rPr>
      </w:pPr>
    </w:p>
    <w:p w14:paraId="24E96539">
      <w:pPr>
        <w:pStyle w:val="25"/>
        <w:rPr>
          <w:rFonts w:hint="eastAsia" w:ascii="宋体" w:hAnsi="宋体" w:eastAsia="宋体" w:cs="宋体"/>
          <w:color w:val="auto"/>
          <w:szCs w:val="21"/>
          <w:highlight w:val="none"/>
        </w:rPr>
      </w:pPr>
    </w:p>
    <w:p w14:paraId="44BDE076">
      <w:pPr>
        <w:pStyle w:val="25"/>
        <w:rPr>
          <w:rFonts w:hint="eastAsia" w:ascii="宋体" w:hAnsi="宋体" w:eastAsia="宋体" w:cs="宋体"/>
          <w:color w:val="auto"/>
          <w:szCs w:val="21"/>
          <w:highlight w:val="none"/>
        </w:rPr>
      </w:pPr>
    </w:p>
    <w:p w14:paraId="435FC158">
      <w:pPr>
        <w:keepNext w:val="0"/>
        <w:keepLines w:val="0"/>
        <w:pageBreakBefore w:val="0"/>
        <w:widowControl w:val="0"/>
        <w:kinsoku/>
        <w:wordWrap/>
        <w:overflowPunct/>
        <w:topLinePunct w:val="0"/>
        <w:autoSpaceDE/>
        <w:autoSpaceDN/>
        <w:bidi w:val="0"/>
        <w:adjustRightInd/>
        <w:snapToGrid/>
        <w:spacing w:line="360" w:lineRule="auto"/>
        <w:ind w:right="312"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备注：投标文件的正本和副本中均须提供上述资格证明文件。资格证明文件须清晰可辨，若有缺失或不清晰，将导致投标被拒绝且不允许在开标后补正。</w:t>
      </w:r>
    </w:p>
    <w:p w14:paraId="1941CF4B">
      <w:pPr>
        <w:pageBreakBefore w:val="0"/>
        <w:kinsoku/>
        <w:overflowPunct/>
        <w:autoSpaceDE/>
        <w:autoSpaceDN/>
        <w:bidi w:val="0"/>
        <w:adjustRightInd w:val="0"/>
        <w:snapToGrid w:val="0"/>
        <w:spacing w:line="360" w:lineRule="auto"/>
        <w:ind w:firstLine="422"/>
        <w:jc w:val="center"/>
        <w:rPr>
          <w:b/>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511B1C32">
      <w:pPr>
        <w:pageBreakBefore w:val="0"/>
        <w:kinsoku/>
        <w:overflowPunct/>
        <w:autoSpaceDE/>
        <w:autoSpaceDN/>
        <w:bidi w:val="0"/>
        <w:adjustRightInd w:val="0"/>
        <w:snapToGrid w:val="0"/>
        <w:spacing w:line="360" w:lineRule="auto"/>
        <w:ind w:firstLine="422"/>
        <w:rPr>
          <w:b/>
          <w:bCs/>
          <w:color w:val="auto"/>
          <w:szCs w:val="21"/>
          <w:highlight w:val="none"/>
        </w:rPr>
      </w:pPr>
      <w:r>
        <w:rPr>
          <w:rFonts w:hint="eastAsia"/>
          <w:b/>
          <w:bCs/>
          <w:color w:val="auto"/>
          <w:szCs w:val="21"/>
          <w:highlight w:val="none"/>
        </w:rPr>
        <w:t>（四）相关格式：</w:t>
      </w:r>
    </w:p>
    <w:p w14:paraId="32BC998F">
      <w:pPr>
        <w:pageBreakBefore w:val="0"/>
        <w:kinsoku/>
        <w:overflowPunct/>
        <w:autoSpaceDE/>
        <w:autoSpaceDN/>
        <w:bidi w:val="0"/>
        <w:adjustRightInd w:val="0"/>
        <w:snapToGrid w:val="0"/>
        <w:spacing w:line="360" w:lineRule="auto"/>
        <w:ind w:firstLine="422"/>
        <w:jc w:val="center"/>
        <w:rPr>
          <w:b/>
          <w:bCs/>
          <w:color w:val="auto"/>
          <w:szCs w:val="21"/>
          <w:highlight w:val="none"/>
        </w:rPr>
      </w:pPr>
      <w:r>
        <w:rPr>
          <w:rFonts w:hint="eastAsia"/>
          <w:b/>
          <w:bCs/>
          <w:color w:val="auto"/>
          <w:szCs w:val="21"/>
          <w:highlight w:val="none"/>
        </w:rPr>
        <w:t>1、投标函格式</w:t>
      </w:r>
    </w:p>
    <w:p w14:paraId="67D69B83">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致：江苏苏维工程管理有限公司</w:t>
      </w:r>
    </w:p>
    <w:p w14:paraId="6E789839">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根据贵方的</w:t>
      </w:r>
      <w:r>
        <w:rPr>
          <w:rFonts w:hint="eastAsia" w:ascii="Times New Roman" w:hAnsi="Times New Roman"/>
          <w:color w:val="auto"/>
          <w:sz w:val="21"/>
          <w:szCs w:val="21"/>
          <w:highlight w:val="none"/>
          <w:lang w:eastAsia="zh-CN"/>
        </w:rPr>
        <w:t>YDFYSW-20250701</w:t>
      </w:r>
      <w:r>
        <w:rPr>
          <w:rFonts w:hint="eastAsia" w:ascii="Times New Roman" w:hAnsi="Times New Roman"/>
          <w:color w:val="auto"/>
          <w:sz w:val="21"/>
          <w:szCs w:val="21"/>
          <w:highlight w:val="none"/>
        </w:rPr>
        <w:t>号招标文件，正式授权下述签字人_________________（姓名）代表我方______________（投标人的名称），全权处理本次项目投标的有关事宜。</w:t>
      </w:r>
    </w:p>
    <w:p w14:paraId="45D85D40">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据此函，__________签字人兹宣布同意如下：</w:t>
      </w:r>
    </w:p>
    <w:p w14:paraId="307616EF">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1.按招标文件规定的各项要求，向买方提供所需货物与服务。</w:t>
      </w:r>
    </w:p>
    <w:p w14:paraId="5E870360">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2.我们完全理解贵方不一定将合同授予最低报价的投标人。</w:t>
      </w:r>
    </w:p>
    <w:p w14:paraId="128646D8">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3.我们已详细审核全部招标文件及其有效补充文件，我们知道必须放弃提出含糊不清或误解问题的权利。</w:t>
      </w:r>
    </w:p>
    <w:p w14:paraId="48DEA806">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4.我们同意从规定的开标日期起遵循本投标文件，并在规定的投标有效期期满之前均具有约束力。</w:t>
      </w:r>
    </w:p>
    <w:p w14:paraId="24717C04">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5.同意向贵方提供贵方可能另外要求的与投标有关的任何证据或资料，并保证我方已提供和将要提供的文件是真实的、准确的。</w:t>
      </w:r>
    </w:p>
    <w:p w14:paraId="2C84E06F">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6.一旦我方中标，我方将根据招标文件的规定，严格履行合同的责任和义务,并保证在招标文件规定的时间完成项目，交付买方验收、使用。</w:t>
      </w:r>
    </w:p>
    <w:p w14:paraId="3749DBB1">
      <w:pPr>
        <w:pStyle w:val="284"/>
        <w:pageBreakBefore w:val="0"/>
        <w:kinsoku/>
        <w:overflowPunct/>
        <w:autoSpaceDE/>
        <w:autoSpaceDN/>
        <w:bidi w:val="0"/>
        <w:adjustRightInd w:val="0"/>
        <w:snapToGrid w:val="0"/>
        <w:spacing w:before="0" w:after="0"/>
        <w:ind w:left="425" w:firstLine="105"/>
        <w:rPr>
          <w:rFonts w:ascii="Times New Roman" w:hAnsi="Times New Roman"/>
          <w:color w:val="auto"/>
          <w:sz w:val="21"/>
          <w:szCs w:val="21"/>
          <w:highlight w:val="none"/>
        </w:rPr>
      </w:pPr>
      <w:r>
        <w:rPr>
          <w:rFonts w:hint="eastAsia" w:ascii="Times New Roman" w:hAnsi="Times New Roman"/>
          <w:color w:val="auto"/>
          <w:sz w:val="21"/>
          <w:szCs w:val="21"/>
          <w:highlight w:val="none"/>
        </w:rPr>
        <w:t>7.与本投标有关的正式通讯地址为：</w:t>
      </w:r>
    </w:p>
    <w:p w14:paraId="65050B24">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地 址：</w:t>
      </w:r>
    </w:p>
    <w:p w14:paraId="44BE66D7">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邮 编：</w:t>
      </w:r>
    </w:p>
    <w:p w14:paraId="2F0368EA">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电 话： </w:t>
      </w:r>
    </w:p>
    <w:p w14:paraId="558B0B08">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传 真： </w:t>
      </w:r>
    </w:p>
    <w:p w14:paraId="1FC29770">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投标人开户行：</w:t>
      </w:r>
    </w:p>
    <w:p w14:paraId="0C1F63F0">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账 户： </w:t>
      </w:r>
    </w:p>
    <w:p w14:paraId="1E5DEB57">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行 号：</w:t>
      </w:r>
    </w:p>
    <w:p w14:paraId="1836EAF8">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法定代表人或授权代表（签字）： </w:t>
      </w:r>
    </w:p>
    <w:p w14:paraId="4DBF35D4">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投标人名称（公章）： </w:t>
      </w:r>
    </w:p>
    <w:p w14:paraId="0EFFAC7F">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日 期：________年____月____日</w:t>
      </w:r>
    </w:p>
    <w:p w14:paraId="7CB80D4C">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p>
    <w:p w14:paraId="19E818B3">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p>
    <w:p w14:paraId="13A19CCC">
      <w:pPr>
        <w:pageBreakBefore w:val="0"/>
        <w:kinsoku/>
        <w:overflowPunct/>
        <w:autoSpaceDE/>
        <w:autoSpaceDN/>
        <w:bidi w:val="0"/>
        <w:adjustRightInd w:val="0"/>
        <w:snapToGrid w:val="0"/>
        <w:rPr>
          <w:b/>
          <w:bCs/>
          <w:color w:val="auto"/>
          <w:highlight w:val="none"/>
        </w:rPr>
      </w:pPr>
      <w:r>
        <w:rPr>
          <w:rFonts w:hint="eastAsia"/>
          <w:b/>
          <w:bCs/>
          <w:color w:val="auto"/>
          <w:szCs w:val="21"/>
          <w:highlight w:val="none"/>
        </w:rPr>
        <w:br w:type="page" w:clear="all"/>
      </w:r>
    </w:p>
    <w:p w14:paraId="7B870029">
      <w:pPr>
        <w:pageBreakBefore w:val="0"/>
        <w:kinsoku/>
        <w:overflowPunct/>
        <w:autoSpaceDE/>
        <w:autoSpaceDN/>
        <w:bidi w:val="0"/>
        <w:adjustRightInd w:val="0"/>
        <w:snapToGrid w:val="0"/>
        <w:spacing w:line="360" w:lineRule="auto"/>
        <w:ind w:firstLine="422"/>
        <w:jc w:val="center"/>
        <w:rPr>
          <w:rFonts w:hint="eastAsia"/>
          <w:b/>
          <w:bCs/>
          <w:color w:val="auto"/>
          <w:highlight w:val="none"/>
        </w:rPr>
      </w:pPr>
      <w:r>
        <w:rPr>
          <w:rFonts w:hint="eastAsia"/>
          <w:b/>
          <w:bCs/>
          <w:color w:val="auto"/>
          <w:szCs w:val="21"/>
          <w:highlight w:val="none"/>
        </w:rPr>
        <w:t>2、资 格 声 明</w:t>
      </w:r>
    </w:p>
    <w:p w14:paraId="231711A8">
      <w:pPr>
        <w:pageBreakBefore w:val="0"/>
        <w:kinsoku/>
        <w:overflowPunct/>
        <w:autoSpaceDE/>
        <w:autoSpaceDN/>
        <w:bidi w:val="0"/>
        <w:adjustRightInd w:val="0"/>
        <w:snapToGrid w:val="0"/>
        <w:spacing w:line="360" w:lineRule="auto"/>
        <w:ind w:firstLine="420"/>
        <w:jc w:val="left"/>
        <w:rPr>
          <w:b/>
          <w:bCs/>
          <w:color w:val="auto"/>
          <w:szCs w:val="21"/>
          <w:highlight w:val="none"/>
        </w:rPr>
      </w:pPr>
      <w:r>
        <w:rPr>
          <w:rFonts w:hint="eastAsia"/>
          <w:color w:val="auto"/>
          <w:szCs w:val="21"/>
          <w:highlight w:val="none"/>
        </w:rPr>
        <w:t>1、名称及其它情况：</w:t>
      </w:r>
    </w:p>
    <w:p w14:paraId="0B2B9CB3">
      <w:pPr>
        <w:pageBreakBefore w:val="0"/>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（1）投标人名称：</w:t>
      </w:r>
      <w:r>
        <w:rPr>
          <w:rFonts w:hint="eastAsia"/>
          <w:color w:val="auto"/>
          <w:szCs w:val="21"/>
          <w:highlight w:val="none"/>
          <w:u w:val="single"/>
        </w:rPr>
        <w:t xml:space="preserve">                            </w:t>
      </w:r>
    </w:p>
    <w:p w14:paraId="2B1A89E2">
      <w:pPr>
        <w:pageBreakBefore w:val="0"/>
        <w:tabs>
          <w:tab w:val="left" w:pos="4530"/>
        </w:tabs>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（2）地址：</w:t>
      </w:r>
      <w:r>
        <w:rPr>
          <w:rFonts w:hint="eastAsia"/>
          <w:color w:val="auto"/>
          <w:szCs w:val="21"/>
          <w:highlight w:val="none"/>
          <w:u w:val="single"/>
        </w:rPr>
        <w:t xml:space="preserve">                           </w:t>
      </w:r>
      <w:r>
        <w:rPr>
          <w:rFonts w:hint="eastAsia"/>
          <w:color w:val="auto"/>
          <w:szCs w:val="21"/>
          <w:highlight w:val="none"/>
        </w:rPr>
        <w:tab/>
      </w:r>
      <w:r>
        <w:rPr>
          <w:rFonts w:hint="eastAsia"/>
          <w:color w:val="auto"/>
          <w:szCs w:val="21"/>
          <w:highlight w:val="none"/>
        </w:rPr>
        <w:t>邮编：</w:t>
      </w:r>
      <w:r>
        <w:rPr>
          <w:rFonts w:hint="eastAsia"/>
          <w:color w:val="auto"/>
          <w:szCs w:val="21"/>
          <w:highlight w:val="none"/>
          <w:u w:val="single"/>
        </w:rPr>
        <w:t xml:space="preserve">                  </w:t>
      </w:r>
      <w:r>
        <w:rPr>
          <w:rFonts w:hint="eastAsia"/>
          <w:color w:val="auto"/>
          <w:szCs w:val="21"/>
          <w:highlight w:val="none"/>
        </w:rPr>
        <w:t xml:space="preserve"> </w:t>
      </w:r>
    </w:p>
    <w:p w14:paraId="462408BE">
      <w:pPr>
        <w:pageBreakBefore w:val="0"/>
        <w:tabs>
          <w:tab w:val="left" w:pos="600"/>
          <w:tab w:val="left" w:pos="4320"/>
        </w:tabs>
        <w:kinsoku/>
        <w:overflowPunct/>
        <w:autoSpaceDE/>
        <w:autoSpaceDN/>
        <w:bidi w:val="0"/>
        <w:adjustRightInd w:val="0"/>
        <w:snapToGrid w:val="0"/>
        <w:spacing w:line="360" w:lineRule="auto"/>
        <w:ind w:firstLine="420"/>
        <w:rPr>
          <w:color w:val="auto"/>
          <w:szCs w:val="21"/>
          <w:highlight w:val="none"/>
        </w:rPr>
      </w:pPr>
      <w:r>
        <w:rPr>
          <w:rFonts w:hint="eastAsia"/>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传真：</w:t>
      </w:r>
      <w:r>
        <w:rPr>
          <w:rFonts w:hint="eastAsia"/>
          <w:color w:val="auto"/>
          <w:szCs w:val="21"/>
          <w:highlight w:val="none"/>
          <w:u w:val="single"/>
        </w:rPr>
        <w:t xml:space="preserve">                  </w:t>
      </w:r>
    </w:p>
    <w:p w14:paraId="1CABA50E">
      <w:pPr>
        <w:pageBreakBefore w:val="0"/>
        <w:kinsoku/>
        <w:overflowPunct/>
        <w:autoSpaceDE/>
        <w:autoSpaceDN/>
        <w:bidi w:val="0"/>
        <w:adjustRightInd w:val="0"/>
        <w:snapToGrid w:val="0"/>
        <w:spacing w:line="360" w:lineRule="auto"/>
        <w:ind w:firstLine="315"/>
        <w:rPr>
          <w:color w:val="auto"/>
          <w:szCs w:val="21"/>
          <w:highlight w:val="none"/>
          <w:u w:val="single"/>
        </w:rPr>
      </w:pPr>
      <w:r>
        <w:rPr>
          <w:rFonts w:hint="eastAsia"/>
          <w:color w:val="auto"/>
          <w:szCs w:val="21"/>
          <w:highlight w:val="none"/>
        </w:rPr>
        <w:t>（3）成立和/或注册日期：</w:t>
      </w:r>
      <w:r>
        <w:rPr>
          <w:rFonts w:hint="eastAsia"/>
          <w:color w:val="auto"/>
          <w:szCs w:val="21"/>
          <w:highlight w:val="none"/>
          <w:u w:val="single"/>
        </w:rPr>
        <w:t xml:space="preserve">                        </w:t>
      </w:r>
      <w:r>
        <w:rPr>
          <w:rFonts w:hint="eastAsia"/>
          <w:color w:val="auto"/>
          <w:szCs w:val="21"/>
          <w:highlight w:val="none"/>
        </w:rPr>
        <w:t xml:space="preserve"> </w:t>
      </w:r>
    </w:p>
    <w:p w14:paraId="1F4A2432">
      <w:pPr>
        <w:pageBreakBefore w:val="0"/>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（4）法定代表人：</w:t>
      </w:r>
      <w:r>
        <w:rPr>
          <w:rFonts w:hint="eastAsia"/>
          <w:color w:val="auto"/>
          <w:szCs w:val="21"/>
          <w:highlight w:val="none"/>
          <w:u w:val="single"/>
        </w:rPr>
        <w:t xml:space="preserve">                    </w:t>
      </w:r>
    </w:p>
    <w:p w14:paraId="1342E21C">
      <w:pPr>
        <w:pageBreakBefore w:val="0"/>
        <w:kinsoku/>
        <w:overflowPunct/>
        <w:autoSpaceDE/>
        <w:autoSpaceDN/>
        <w:bidi w:val="0"/>
        <w:adjustRightInd w:val="0"/>
        <w:snapToGrid w:val="0"/>
        <w:spacing w:line="360" w:lineRule="auto"/>
        <w:ind w:firstLine="315"/>
        <w:rPr>
          <w:color w:val="auto"/>
          <w:szCs w:val="21"/>
          <w:highlight w:val="none"/>
          <w:u w:val="single"/>
        </w:rPr>
      </w:pPr>
      <w:r>
        <w:rPr>
          <w:rFonts w:hint="eastAsia"/>
          <w:color w:val="auto"/>
          <w:szCs w:val="21"/>
          <w:highlight w:val="none"/>
        </w:rPr>
        <w:t>（5）实收资本：</w:t>
      </w:r>
      <w:r>
        <w:rPr>
          <w:rFonts w:hint="eastAsia"/>
          <w:color w:val="auto"/>
          <w:szCs w:val="21"/>
          <w:highlight w:val="none"/>
          <w:u w:val="single"/>
        </w:rPr>
        <w:t xml:space="preserve">                                 </w:t>
      </w:r>
    </w:p>
    <w:p w14:paraId="0813F763">
      <w:pPr>
        <w:pageBreakBefore w:val="0"/>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（6）近期资产负债表：（到</w:t>
      </w:r>
      <w:r>
        <w:rPr>
          <w:rFonts w:hint="eastAsia"/>
          <w:color w:val="auto"/>
          <w:szCs w:val="21"/>
          <w:highlight w:val="none"/>
          <w:u w:val="single"/>
        </w:rPr>
        <w:t>20  年12月31日</w:t>
      </w:r>
      <w:r>
        <w:rPr>
          <w:rFonts w:hint="eastAsia"/>
          <w:color w:val="auto"/>
          <w:szCs w:val="21"/>
          <w:highlight w:val="none"/>
        </w:rPr>
        <w:t>）</w:t>
      </w:r>
    </w:p>
    <w:p w14:paraId="0E39BB2F">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&lt;1&gt; 固定资产：</w:t>
      </w:r>
      <w:r>
        <w:rPr>
          <w:rFonts w:hint="eastAsia"/>
          <w:color w:val="auto"/>
          <w:highlight w:val="none"/>
          <w:u w:val="single"/>
        </w:rPr>
        <w:t xml:space="preserve">                          </w:t>
      </w:r>
    </w:p>
    <w:p w14:paraId="5D21D64F">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&lt;2&gt; 流动资金：</w:t>
      </w:r>
      <w:r>
        <w:rPr>
          <w:rFonts w:hint="eastAsia"/>
          <w:color w:val="auto"/>
          <w:highlight w:val="none"/>
          <w:u w:val="single"/>
        </w:rPr>
        <w:t xml:space="preserve">                          </w:t>
      </w:r>
    </w:p>
    <w:p w14:paraId="0DB615C5">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&lt;3&gt; 长期负债：</w:t>
      </w:r>
      <w:r>
        <w:rPr>
          <w:rFonts w:hint="eastAsia"/>
          <w:color w:val="auto"/>
          <w:highlight w:val="none"/>
          <w:u w:val="single"/>
        </w:rPr>
        <w:t xml:space="preserve">                          </w:t>
      </w:r>
    </w:p>
    <w:p w14:paraId="3263FB97">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&lt;4&gt; 短期负债：</w:t>
      </w:r>
      <w:r>
        <w:rPr>
          <w:rFonts w:hint="eastAsia"/>
          <w:color w:val="auto"/>
          <w:highlight w:val="none"/>
          <w:u w:val="single"/>
        </w:rPr>
        <w:t xml:space="preserve">                          </w:t>
      </w:r>
    </w:p>
    <w:p w14:paraId="17B3BDCB">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2、近三年同类投标货物和服务的主要销售业绩（无有效联系人、联系方式和合同复印件的视为未填报本项目）：</w:t>
      </w:r>
    </w:p>
    <w:tbl>
      <w:tblPr>
        <w:tblStyle w:val="45"/>
        <w:tblW w:w="0" w:type="auto"/>
        <w:tblInd w:w="0" w:type="dxa"/>
        <w:tblLayout w:type="fixed"/>
        <w:tblCellMar>
          <w:top w:w="0" w:type="dxa"/>
          <w:left w:w="108" w:type="dxa"/>
          <w:bottom w:w="0" w:type="dxa"/>
          <w:right w:w="108" w:type="dxa"/>
        </w:tblCellMar>
      </w:tblPr>
      <w:tblGrid>
        <w:gridCol w:w="4271"/>
        <w:gridCol w:w="4251"/>
      </w:tblGrid>
      <w:tr w14:paraId="40312C3F">
        <w:tblPrEx>
          <w:tblCellMar>
            <w:top w:w="0" w:type="dxa"/>
            <w:left w:w="108" w:type="dxa"/>
            <w:bottom w:w="0" w:type="dxa"/>
            <w:right w:w="108" w:type="dxa"/>
          </w:tblCellMar>
        </w:tblPrEx>
        <w:tc>
          <w:tcPr>
            <w:tcW w:w="4271" w:type="dxa"/>
            <w:noWrap w:val="0"/>
          </w:tcPr>
          <w:p w14:paraId="6A8748B3">
            <w:pPr>
              <w:pageBreakBefore w:val="0"/>
              <w:kinsoku/>
              <w:overflowPunct/>
              <w:autoSpaceDE/>
              <w:autoSpaceDN/>
              <w:bidi w:val="0"/>
              <w:adjustRightInd w:val="0"/>
              <w:snapToGrid w:val="0"/>
              <w:spacing w:line="360" w:lineRule="auto"/>
              <w:rPr>
                <w:color w:val="auto"/>
                <w:highlight w:val="none"/>
                <w:u w:val="single"/>
              </w:rPr>
            </w:pPr>
            <w:r>
              <w:rPr>
                <w:rFonts w:hint="eastAsia"/>
                <w:color w:val="auto"/>
                <w:highlight w:val="none"/>
                <w:u w:val="single"/>
              </w:rPr>
              <w:t>甲方名称、联系人、联系方式</w:t>
            </w:r>
          </w:p>
        </w:tc>
        <w:tc>
          <w:tcPr>
            <w:tcW w:w="4251" w:type="dxa"/>
            <w:noWrap w:val="0"/>
          </w:tcPr>
          <w:p w14:paraId="7C24BEC7">
            <w:pPr>
              <w:pageBreakBefore w:val="0"/>
              <w:kinsoku/>
              <w:overflowPunct/>
              <w:autoSpaceDE/>
              <w:autoSpaceDN/>
              <w:bidi w:val="0"/>
              <w:adjustRightInd w:val="0"/>
              <w:snapToGrid w:val="0"/>
              <w:spacing w:line="360" w:lineRule="auto"/>
              <w:jc w:val="center"/>
              <w:rPr>
                <w:color w:val="auto"/>
                <w:highlight w:val="none"/>
                <w:u w:val="single"/>
              </w:rPr>
            </w:pPr>
            <w:r>
              <w:rPr>
                <w:rFonts w:hint="eastAsia"/>
                <w:color w:val="auto"/>
                <w:highlight w:val="none"/>
                <w:u w:val="single"/>
              </w:rPr>
              <w:t>项   目   名   称</w:t>
            </w:r>
          </w:p>
        </w:tc>
      </w:tr>
      <w:tr w14:paraId="32F32BEC">
        <w:tblPrEx>
          <w:tblCellMar>
            <w:top w:w="0" w:type="dxa"/>
            <w:left w:w="108" w:type="dxa"/>
            <w:bottom w:w="0" w:type="dxa"/>
            <w:right w:w="108" w:type="dxa"/>
          </w:tblCellMar>
        </w:tblPrEx>
        <w:tc>
          <w:tcPr>
            <w:tcW w:w="4271" w:type="dxa"/>
            <w:noWrap w:val="0"/>
          </w:tcPr>
          <w:p w14:paraId="2AB2482C">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c>
          <w:tcPr>
            <w:tcW w:w="4251" w:type="dxa"/>
            <w:noWrap w:val="0"/>
          </w:tcPr>
          <w:p w14:paraId="560EAF56">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r>
      <w:tr w14:paraId="7EBDD55C">
        <w:tblPrEx>
          <w:tblCellMar>
            <w:top w:w="0" w:type="dxa"/>
            <w:left w:w="108" w:type="dxa"/>
            <w:bottom w:w="0" w:type="dxa"/>
            <w:right w:w="108" w:type="dxa"/>
          </w:tblCellMar>
        </w:tblPrEx>
        <w:tc>
          <w:tcPr>
            <w:tcW w:w="4271" w:type="dxa"/>
            <w:noWrap w:val="0"/>
          </w:tcPr>
          <w:p w14:paraId="237A1543">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c>
          <w:tcPr>
            <w:tcW w:w="4251" w:type="dxa"/>
            <w:noWrap w:val="0"/>
          </w:tcPr>
          <w:p w14:paraId="42CCF9EB">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r>
    </w:tbl>
    <w:p w14:paraId="4473B278">
      <w:pPr>
        <w:pageBreakBefore w:val="0"/>
        <w:kinsoku/>
        <w:overflowPunct/>
        <w:autoSpaceDE/>
        <w:autoSpaceDN/>
        <w:bidi w:val="0"/>
        <w:adjustRightInd w:val="0"/>
        <w:snapToGrid w:val="0"/>
        <w:spacing w:line="360" w:lineRule="auto"/>
        <w:rPr>
          <w:color w:val="auto"/>
          <w:highlight w:val="none"/>
        </w:rPr>
      </w:pPr>
    </w:p>
    <w:p w14:paraId="14419297">
      <w:pPr>
        <w:pageBreakBefore w:val="0"/>
        <w:kinsoku/>
        <w:overflowPunct/>
        <w:autoSpaceDE/>
        <w:autoSpaceDN/>
        <w:bidi w:val="0"/>
        <w:adjustRightInd w:val="0"/>
        <w:snapToGrid w:val="0"/>
        <w:spacing w:line="360" w:lineRule="auto"/>
        <w:ind w:left="105" w:firstLine="315"/>
        <w:rPr>
          <w:color w:val="auto"/>
          <w:sz w:val="22"/>
          <w:highlight w:val="none"/>
        </w:rPr>
      </w:pPr>
      <w:r>
        <w:rPr>
          <w:rFonts w:hint="eastAsia"/>
          <w:color w:val="auto"/>
          <w:highlight w:val="none"/>
        </w:rPr>
        <w:t>3、本次招标要求的其他资格文件以及投标人认为需要声明的其他情况：</w:t>
      </w:r>
      <w:r>
        <w:rPr>
          <w:rFonts w:hint="eastAsia"/>
          <w:color w:val="auto"/>
          <w:highlight w:val="none"/>
          <w:u w:val="single"/>
        </w:rPr>
        <w:t xml:space="preserve">                         </w:t>
      </w:r>
    </w:p>
    <w:p w14:paraId="030283C4">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兹证明上述声明是真实的、正确的，并提供了全部能提供的资料和数据，我们同意遵照贵方要求出示有关证明文件，如有虚假，自愿丧失中标资格，一年内退出</w:t>
      </w:r>
      <w:r>
        <w:rPr>
          <w:rFonts w:hint="eastAsia"/>
          <w:color w:val="auto"/>
          <w:highlight w:val="none"/>
          <w:lang w:val="en-US" w:eastAsia="zh-CN"/>
        </w:rPr>
        <w:t>采购人</w:t>
      </w:r>
      <w:r>
        <w:rPr>
          <w:rFonts w:hint="eastAsia"/>
          <w:color w:val="auto"/>
          <w:highlight w:val="none"/>
        </w:rPr>
        <w:t>采购市场。</w:t>
      </w:r>
    </w:p>
    <w:p w14:paraId="62552F4E">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rPr>
        <w:t>投标人名称（公章）：</w:t>
      </w:r>
      <w:r>
        <w:rPr>
          <w:rFonts w:hint="eastAsia"/>
          <w:color w:val="auto"/>
          <w:highlight w:val="none"/>
          <w:u w:val="single"/>
        </w:rPr>
        <w:t xml:space="preserve">                         </w:t>
      </w:r>
    </w:p>
    <w:p w14:paraId="09CBFEE1">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rPr>
        <w:t>法定代表人或授权代表（签字）：</w:t>
      </w:r>
      <w:r>
        <w:rPr>
          <w:rFonts w:hint="eastAsia"/>
          <w:color w:val="auto"/>
          <w:highlight w:val="none"/>
          <w:u w:val="single"/>
        </w:rPr>
        <w:t xml:space="preserve">                          </w:t>
      </w:r>
    </w:p>
    <w:p w14:paraId="69D05579">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        </w:t>
      </w:r>
    </w:p>
    <w:p w14:paraId="03FCE4BE">
      <w:pPr>
        <w:pageBreakBefore w:val="0"/>
        <w:kinsoku/>
        <w:overflowPunct/>
        <w:autoSpaceDE/>
        <w:autoSpaceDN/>
        <w:bidi w:val="0"/>
        <w:adjustRightInd w:val="0"/>
        <w:snapToGrid w:val="0"/>
        <w:spacing w:line="360" w:lineRule="auto"/>
        <w:ind w:firstLine="422"/>
        <w:rPr>
          <w:b/>
          <w:bCs/>
          <w:color w:val="auto"/>
          <w:highlight w:val="none"/>
        </w:rPr>
      </w:pPr>
      <w:r>
        <w:rPr>
          <w:rFonts w:hint="eastAsia"/>
          <w:b/>
          <w:bCs/>
          <w:color w:val="auto"/>
          <w:highlight w:val="none"/>
        </w:rPr>
        <w:t>（注：资格声明为格式文件,请勿修改，否则将导致投标文件无效。）</w:t>
      </w:r>
    </w:p>
    <w:p w14:paraId="0B2ED2ED">
      <w:pPr>
        <w:pStyle w:val="303"/>
        <w:pageBreakBefore w:val="0"/>
        <w:kinsoku/>
        <w:overflowPunct/>
        <w:autoSpaceDE/>
        <w:autoSpaceDN/>
        <w:bidi w:val="0"/>
        <w:adjustRightInd w:val="0"/>
        <w:snapToGrid w:val="0"/>
        <w:spacing w:line="360" w:lineRule="auto"/>
        <w:ind w:firstLine="0"/>
        <w:rPr>
          <w:b/>
          <w:color w:val="auto"/>
          <w:sz w:val="21"/>
          <w:szCs w:val="21"/>
          <w:highlight w:val="none"/>
        </w:rPr>
      </w:pPr>
    </w:p>
    <w:p w14:paraId="3BBDBC51">
      <w:pPr>
        <w:pStyle w:val="303"/>
        <w:pageBreakBefore w:val="0"/>
        <w:kinsoku/>
        <w:overflowPunct/>
        <w:autoSpaceDE/>
        <w:autoSpaceDN/>
        <w:bidi w:val="0"/>
        <w:adjustRightInd w:val="0"/>
        <w:snapToGrid w:val="0"/>
        <w:spacing w:line="360" w:lineRule="auto"/>
        <w:ind w:firstLine="422"/>
        <w:jc w:val="center"/>
        <w:rPr>
          <w:b/>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066D7A29">
      <w:pPr>
        <w:pStyle w:val="303"/>
        <w:pageBreakBefore w:val="0"/>
        <w:kinsoku/>
        <w:overflowPunct/>
        <w:autoSpaceDE/>
        <w:autoSpaceDN/>
        <w:bidi w:val="0"/>
        <w:adjustRightInd w:val="0"/>
        <w:snapToGrid w:val="0"/>
        <w:spacing w:line="360" w:lineRule="auto"/>
        <w:ind w:firstLine="422"/>
        <w:jc w:val="center"/>
        <w:rPr>
          <w:b/>
          <w:color w:val="auto"/>
          <w:sz w:val="21"/>
          <w:szCs w:val="21"/>
          <w:highlight w:val="none"/>
        </w:rPr>
      </w:pPr>
      <w:r>
        <w:rPr>
          <w:rFonts w:hint="eastAsia"/>
          <w:b/>
          <w:color w:val="auto"/>
          <w:sz w:val="21"/>
          <w:szCs w:val="21"/>
          <w:highlight w:val="none"/>
        </w:rPr>
        <w:t>3、法人授权书</w:t>
      </w:r>
    </w:p>
    <w:p w14:paraId="70CBE1D2">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本授权书声明：</w:t>
      </w:r>
      <w:r>
        <w:rPr>
          <w:color w:val="auto"/>
          <w:sz w:val="21"/>
          <w:szCs w:val="21"/>
          <w:highlight w:val="none"/>
        </w:rPr>
        <w:t>________________</w:t>
      </w:r>
      <w:r>
        <w:rPr>
          <w:rFonts w:hint="eastAsia"/>
          <w:color w:val="auto"/>
          <w:sz w:val="21"/>
          <w:szCs w:val="21"/>
          <w:highlight w:val="none"/>
        </w:rPr>
        <w:t>（投标人名称）授权</w:t>
      </w:r>
      <w:r>
        <w:rPr>
          <w:color w:val="auto"/>
          <w:sz w:val="21"/>
          <w:szCs w:val="21"/>
          <w:highlight w:val="none"/>
        </w:rPr>
        <w:t>________________</w:t>
      </w:r>
      <w:r>
        <w:rPr>
          <w:rFonts w:hint="eastAsia"/>
          <w:color w:val="auto"/>
          <w:sz w:val="21"/>
          <w:szCs w:val="21"/>
          <w:highlight w:val="none"/>
        </w:rPr>
        <w:t>（被授权人的姓名）为采购人就</w:t>
      </w:r>
      <w:r>
        <w:rPr>
          <w:rFonts w:hint="eastAsia"/>
          <w:color w:val="auto"/>
          <w:sz w:val="21"/>
          <w:szCs w:val="21"/>
          <w:highlight w:val="none"/>
          <w:lang w:eastAsia="zh-CN"/>
        </w:rPr>
        <w:t>YDFYSW-20250701</w:t>
      </w:r>
      <w:r>
        <w:rPr>
          <w:rFonts w:hint="eastAsia"/>
          <w:color w:val="auto"/>
          <w:sz w:val="21"/>
          <w:szCs w:val="21"/>
          <w:highlight w:val="none"/>
        </w:rPr>
        <w:t>号</w:t>
      </w:r>
      <w:r>
        <w:rPr>
          <w:rFonts w:hint="eastAsia"/>
          <w:color w:val="auto"/>
          <w:sz w:val="21"/>
          <w:szCs w:val="21"/>
          <w:highlight w:val="none"/>
          <w:lang w:eastAsia="zh-CN"/>
        </w:rPr>
        <w:t>扬州大学附属医院智慧医疗（自助）服务体系建设项目</w:t>
      </w:r>
      <w:r>
        <w:rPr>
          <w:rFonts w:hint="eastAsia"/>
          <w:color w:val="auto"/>
          <w:sz w:val="21"/>
          <w:szCs w:val="21"/>
          <w:highlight w:val="none"/>
        </w:rPr>
        <w:t>采购活动的合法代理人，以本公司名义全权处理一切与该项目采购有关的事务。</w:t>
      </w:r>
    </w:p>
    <w:p w14:paraId="15C2515E">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本授权书于</w:t>
      </w:r>
      <w:r>
        <w:rPr>
          <w:color w:val="auto"/>
          <w:sz w:val="21"/>
          <w:szCs w:val="21"/>
          <w:highlight w:val="none"/>
        </w:rPr>
        <w:t>______</w:t>
      </w:r>
      <w:r>
        <w:rPr>
          <w:rFonts w:hint="eastAsia"/>
          <w:color w:val="auto"/>
          <w:sz w:val="21"/>
          <w:szCs w:val="21"/>
          <w:highlight w:val="none"/>
        </w:rPr>
        <w:t>年</w:t>
      </w:r>
      <w:r>
        <w:rPr>
          <w:color w:val="auto"/>
          <w:sz w:val="21"/>
          <w:szCs w:val="21"/>
          <w:highlight w:val="none"/>
        </w:rPr>
        <w:t>____</w:t>
      </w:r>
      <w:r>
        <w:rPr>
          <w:rFonts w:hint="eastAsia"/>
          <w:color w:val="auto"/>
          <w:sz w:val="21"/>
          <w:szCs w:val="21"/>
          <w:highlight w:val="none"/>
        </w:rPr>
        <w:t>月</w:t>
      </w:r>
      <w:r>
        <w:rPr>
          <w:color w:val="auto"/>
          <w:sz w:val="21"/>
          <w:szCs w:val="21"/>
          <w:highlight w:val="none"/>
        </w:rPr>
        <w:t>____</w:t>
      </w:r>
      <w:r>
        <w:rPr>
          <w:rFonts w:hint="eastAsia"/>
          <w:color w:val="auto"/>
          <w:sz w:val="21"/>
          <w:szCs w:val="21"/>
          <w:highlight w:val="none"/>
        </w:rPr>
        <w:t>日起生效，特此声明。</w:t>
      </w:r>
    </w:p>
    <w:p w14:paraId="136DA328">
      <w:pPr>
        <w:pStyle w:val="303"/>
        <w:pageBreakBefore w:val="0"/>
        <w:kinsoku/>
        <w:overflowPunct/>
        <w:autoSpaceDE/>
        <w:autoSpaceDN/>
        <w:bidi w:val="0"/>
        <w:adjustRightInd w:val="0"/>
        <w:snapToGrid w:val="0"/>
        <w:spacing w:line="360" w:lineRule="auto"/>
        <w:ind w:firstLine="0"/>
        <w:rPr>
          <w:color w:val="auto"/>
          <w:sz w:val="21"/>
          <w:szCs w:val="21"/>
          <w:highlight w:val="none"/>
        </w:rPr>
      </w:pPr>
      <w:r>
        <w:rPr>
          <w:color w:val="auto"/>
          <w:sz w:val="21"/>
          <w:szCs w:val="21"/>
          <w:highlight w:val="none"/>
        </w:rPr>
        <w:t xml:space="preserve">    </w:t>
      </w:r>
    </w:p>
    <w:p w14:paraId="5D554808">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w:t>
      </w:r>
      <w:r>
        <w:rPr>
          <w:rFonts w:hint="eastAsia"/>
          <w:color w:val="auto"/>
          <w:sz w:val="21"/>
          <w:szCs w:val="21"/>
          <w:highlight w:val="none"/>
          <w:u w:val="single"/>
        </w:rPr>
        <w:t xml:space="preserve">         </w:t>
      </w:r>
      <w:r>
        <w:rPr>
          <w:color w:val="auto"/>
          <w:sz w:val="21"/>
          <w:szCs w:val="21"/>
          <w:highlight w:val="none"/>
        </w:rPr>
        <w:t>__</w:t>
      </w:r>
      <w:r>
        <w:rPr>
          <w:rFonts w:hint="eastAsia"/>
          <w:color w:val="auto"/>
          <w:sz w:val="21"/>
          <w:szCs w:val="21"/>
          <w:highlight w:val="none"/>
        </w:rPr>
        <w:t xml:space="preserve">     </w:t>
      </w:r>
    </w:p>
    <w:p w14:paraId="6CBCB3B6">
      <w:pPr>
        <w:pStyle w:val="303"/>
        <w:pageBreakBefore w:val="0"/>
        <w:kinsoku/>
        <w:overflowPunct/>
        <w:autoSpaceDE/>
        <w:autoSpaceDN/>
        <w:bidi w:val="0"/>
        <w:adjustRightInd w:val="0"/>
        <w:snapToGrid w:val="0"/>
        <w:spacing w:line="360" w:lineRule="auto"/>
        <w:ind w:firstLine="420"/>
        <w:rPr>
          <w:color w:val="auto"/>
          <w:sz w:val="21"/>
          <w:szCs w:val="21"/>
          <w:highlight w:val="none"/>
          <w:u w:val="single"/>
        </w:rPr>
      </w:pPr>
      <w:r>
        <w:rPr>
          <w:rFonts w:hint="eastAsia"/>
          <w:color w:val="auto"/>
          <w:sz w:val="21"/>
          <w:szCs w:val="21"/>
          <w:highlight w:val="none"/>
        </w:rPr>
        <w:t>联系电话（手机）：</w:t>
      </w:r>
      <w:r>
        <w:rPr>
          <w:rFonts w:hint="eastAsia"/>
          <w:color w:val="auto"/>
          <w:sz w:val="21"/>
          <w:szCs w:val="21"/>
          <w:highlight w:val="none"/>
          <w:u w:val="single"/>
        </w:rPr>
        <w:t xml:space="preserve">                             </w:t>
      </w:r>
    </w:p>
    <w:p w14:paraId="6060D00B">
      <w:pPr>
        <w:pStyle w:val="303"/>
        <w:pageBreakBefore w:val="0"/>
        <w:kinsoku/>
        <w:overflowPunct/>
        <w:autoSpaceDE/>
        <w:autoSpaceDN/>
        <w:bidi w:val="0"/>
        <w:adjustRightInd w:val="0"/>
        <w:snapToGrid w:val="0"/>
        <w:spacing w:line="360" w:lineRule="auto"/>
        <w:ind w:firstLine="0"/>
        <w:rPr>
          <w:color w:val="auto"/>
          <w:sz w:val="21"/>
          <w:szCs w:val="21"/>
          <w:highlight w:val="none"/>
        </w:rPr>
      </w:pPr>
      <w:r>
        <w:rPr>
          <w:color w:val="auto"/>
          <w:sz w:val="21"/>
          <w:szCs w:val="21"/>
          <w:highlight w:val="none"/>
        </w:rPr>
        <w:t xml:space="preserve">    </w:t>
      </w:r>
      <w:r>
        <w:rPr>
          <w:rFonts w:hint="eastAsia"/>
          <w:color w:val="auto"/>
          <w:sz w:val="21"/>
          <w:szCs w:val="21"/>
          <w:highlight w:val="none"/>
        </w:rPr>
        <w:t>单位名称：</w:t>
      </w:r>
      <w:r>
        <w:rPr>
          <w:color w:val="auto"/>
          <w:sz w:val="21"/>
          <w:szCs w:val="21"/>
          <w:highlight w:val="none"/>
        </w:rPr>
        <w:t>____________________________________</w:t>
      </w:r>
    </w:p>
    <w:p w14:paraId="52FE48EF">
      <w:pPr>
        <w:pStyle w:val="303"/>
        <w:pageBreakBefore w:val="0"/>
        <w:kinsoku/>
        <w:overflowPunct/>
        <w:autoSpaceDE/>
        <w:autoSpaceDN/>
        <w:bidi w:val="0"/>
        <w:adjustRightInd w:val="0"/>
        <w:snapToGrid w:val="0"/>
        <w:spacing w:line="360" w:lineRule="auto"/>
        <w:ind w:firstLine="0"/>
        <w:rPr>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授权单位盖章：</w:t>
      </w:r>
      <w:r>
        <w:rPr>
          <w:color w:val="auto"/>
          <w:sz w:val="21"/>
          <w:szCs w:val="21"/>
          <w:highlight w:val="none"/>
        </w:rPr>
        <w:t>_________________________________</w:t>
      </w:r>
    </w:p>
    <w:p w14:paraId="40E29A65">
      <w:pPr>
        <w:pStyle w:val="303"/>
        <w:pageBreakBefore w:val="0"/>
        <w:kinsoku/>
        <w:overflowPunct/>
        <w:autoSpaceDE/>
        <w:autoSpaceDN/>
        <w:bidi w:val="0"/>
        <w:adjustRightInd w:val="0"/>
        <w:snapToGrid w:val="0"/>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14:paraId="6B40B63A">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14:paraId="2349B33F">
      <w:pPr>
        <w:pageBreakBefore w:val="0"/>
        <w:kinsoku/>
        <w:overflowPunct/>
        <w:autoSpaceDE/>
        <w:autoSpaceDN/>
        <w:bidi w:val="0"/>
        <w:adjustRightInd w:val="0"/>
        <w:snapToGrid w:val="0"/>
        <w:spacing w:line="360" w:lineRule="auto"/>
        <w:rPr>
          <w:bCs/>
          <w:color w:val="auto"/>
          <w:szCs w:val="21"/>
          <w:highlight w:val="none"/>
        </w:rPr>
      </w:pPr>
    </w:p>
    <w:p w14:paraId="1F4FA00E">
      <w:pPr>
        <w:pageBreakBefore w:val="0"/>
        <w:kinsoku/>
        <w:overflowPunct/>
        <w:autoSpaceDE/>
        <w:autoSpaceDN/>
        <w:bidi w:val="0"/>
        <w:adjustRightInd w:val="0"/>
        <w:snapToGrid w:val="0"/>
        <w:spacing w:line="360" w:lineRule="auto"/>
        <w:ind w:firstLine="480"/>
        <w:rPr>
          <w:bCs/>
          <w:color w:val="auto"/>
          <w:sz w:val="24"/>
          <w:highlight w:val="none"/>
        </w:rPr>
      </w:pPr>
    </w:p>
    <w:p w14:paraId="03DAB877">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i/>
          <w:iCs/>
          <w:color w:val="auto"/>
          <w:kern w:val="2"/>
          <w:sz w:val="21"/>
          <w:szCs w:val="21"/>
          <w:highlight w:val="none"/>
          <w:u w:val="single"/>
          <w:lang w:val="en-US" w:eastAsia="zh-CN" w:bidi="ar-SA"/>
        </w:rPr>
        <w:t>提供法定代表人身份证正、反面，被授权人身份证正、反面及投标人为其缴纳的近三个月内任意一个月的社保证明材料，复印件加盖投标人公章。</w:t>
      </w:r>
    </w:p>
    <w:p w14:paraId="2F0F1B3C">
      <w:pPr>
        <w:pStyle w:val="4"/>
        <w:numPr>
          <w:ilvl w:val="1"/>
          <w:numId w:val="0"/>
        </w:numPr>
        <w:ind w:left="284" w:leftChars="0"/>
        <w:rPr>
          <w:rFonts w:hint="eastAsia"/>
          <w:color w:val="auto"/>
          <w:highlight w:val="none"/>
        </w:rPr>
      </w:pPr>
    </w:p>
    <w:p w14:paraId="28051474">
      <w:pPr>
        <w:pStyle w:val="4"/>
        <w:numPr>
          <w:ilvl w:val="1"/>
          <w:numId w:val="0"/>
        </w:numPr>
        <w:ind w:left="284" w:leftChars="0"/>
        <w:rPr>
          <w:color w:val="auto"/>
          <w:highlight w:val="none"/>
        </w:rPr>
      </w:pPr>
    </w:p>
    <w:p w14:paraId="1E48DFF1">
      <w:pPr>
        <w:pageBreakBefore w:val="0"/>
        <w:kinsoku/>
        <w:overflowPunct/>
        <w:autoSpaceDE/>
        <w:autoSpaceDN/>
        <w:bidi w:val="0"/>
        <w:adjustRightInd w:val="0"/>
        <w:snapToGrid w:val="0"/>
        <w:spacing w:line="360" w:lineRule="auto"/>
        <w:ind w:firstLine="480"/>
        <w:rPr>
          <w:bCs/>
          <w:color w:val="auto"/>
          <w:sz w:val="24"/>
          <w:highlight w:val="none"/>
        </w:rPr>
      </w:pPr>
    </w:p>
    <w:p w14:paraId="563EE688">
      <w:pPr>
        <w:pageBreakBefore w:val="0"/>
        <w:kinsoku/>
        <w:overflowPunct/>
        <w:autoSpaceDE/>
        <w:autoSpaceDN/>
        <w:bidi w:val="0"/>
        <w:adjustRightInd w:val="0"/>
        <w:snapToGrid w:val="0"/>
        <w:spacing w:line="360" w:lineRule="auto"/>
        <w:ind w:firstLine="480"/>
        <w:rPr>
          <w:bCs/>
          <w:color w:val="auto"/>
          <w:sz w:val="24"/>
          <w:highlight w:val="none"/>
        </w:rPr>
      </w:pPr>
    </w:p>
    <w:p w14:paraId="120E8F23">
      <w:pPr>
        <w:pageBreakBefore w:val="0"/>
        <w:kinsoku/>
        <w:overflowPunct/>
        <w:autoSpaceDE/>
        <w:autoSpaceDN/>
        <w:bidi w:val="0"/>
        <w:adjustRightInd w:val="0"/>
        <w:snapToGrid w:val="0"/>
        <w:spacing w:line="360" w:lineRule="auto"/>
        <w:ind w:firstLine="480"/>
        <w:rPr>
          <w:bCs/>
          <w:color w:val="auto"/>
          <w:sz w:val="24"/>
          <w:highlight w:val="none"/>
        </w:rPr>
      </w:pPr>
    </w:p>
    <w:p w14:paraId="0A636466">
      <w:pPr>
        <w:pageBreakBefore w:val="0"/>
        <w:kinsoku/>
        <w:overflowPunct/>
        <w:autoSpaceDE/>
        <w:autoSpaceDN/>
        <w:bidi w:val="0"/>
        <w:adjustRightInd w:val="0"/>
        <w:snapToGrid w:val="0"/>
        <w:spacing w:line="360" w:lineRule="auto"/>
        <w:ind w:firstLine="480"/>
        <w:rPr>
          <w:bCs/>
          <w:color w:val="auto"/>
          <w:sz w:val="24"/>
          <w:highlight w:val="none"/>
        </w:rPr>
      </w:pPr>
    </w:p>
    <w:p w14:paraId="7ED5FD53">
      <w:pPr>
        <w:pageBreakBefore w:val="0"/>
        <w:kinsoku/>
        <w:overflowPunct/>
        <w:autoSpaceDE/>
        <w:autoSpaceDN/>
        <w:bidi w:val="0"/>
        <w:adjustRightInd w:val="0"/>
        <w:snapToGrid w:val="0"/>
        <w:spacing w:line="360" w:lineRule="auto"/>
        <w:ind w:firstLine="480"/>
        <w:rPr>
          <w:bCs/>
          <w:color w:val="auto"/>
          <w:sz w:val="24"/>
          <w:highlight w:val="none"/>
        </w:rPr>
      </w:pPr>
    </w:p>
    <w:p w14:paraId="0D164D5B">
      <w:pPr>
        <w:pageBreakBefore w:val="0"/>
        <w:kinsoku/>
        <w:overflowPunct/>
        <w:autoSpaceDE/>
        <w:autoSpaceDN/>
        <w:bidi w:val="0"/>
        <w:adjustRightInd w:val="0"/>
        <w:snapToGrid w:val="0"/>
        <w:spacing w:line="360" w:lineRule="auto"/>
        <w:ind w:firstLine="480"/>
        <w:rPr>
          <w:bCs/>
          <w:color w:val="auto"/>
          <w:sz w:val="24"/>
          <w:highlight w:val="none"/>
        </w:rPr>
      </w:pPr>
    </w:p>
    <w:p w14:paraId="27F0A170">
      <w:pPr>
        <w:pageBreakBefore w:val="0"/>
        <w:kinsoku/>
        <w:overflowPunct/>
        <w:autoSpaceDE/>
        <w:autoSpaceDN/>
        <w:bidi w:val="0"/>
        <w:adjustRightInd w:val="0"/>
        <w:snapToGrid w:val="0"/>
        <w:spacing w:line="360" w:lineRule="auto"/>
        <w:ind w:firstLine="480"/>
        <w:rPr>
          <w:bCs/>
          <w:color w:val="auto"/>
          <w:sz w:val="24"/>
          <w:highlight w:val="none"/>
        </w:rPr>
      </w:pPr>
    </w:p>
    <w:p w14:paraId="4D5FE475">
      <w:pPr>
        <w:pageBreakBefore w:val="0"/>
        <w:kinsoku/>
        <w:overflowPunct/>
        <w:autoSpaceDE/>
        <w:autoSpaceDN/>
        <w:bidi w:val="0"/>
        <w:adjustRightInd w:val="0"/>
        <w:snapToGrid w:val="0"/>
        <w:spacing w:line="360" w:lineRule="auto"/>
        <w:ind w:firstLine="480"/>
        <w:rPr>
          <w:bCs/>
          <w:color w:val="auto"/>
          <w:sz w:val="24"/>
          <w:highlight w:val="none"/>
        </w:rPr>
      </w:pPr>
    </w:p>
    <w:p w14:paraId="5D32973F">
      <w:pPr>
        <w:pageBreakBefore w:val="0"/>
        <w:kinsoku/>
        <w:overflowPunct/>
        <w:autoSpaceDE/>
        <w:autoSpaceDN/>
        <w:bidi w:val="0"/>
        <w:adjustRightInd w:val="0"/>
        <w:snapToGrid w:val="0"/>
        <w:spacing w:line="360" w:lineRule="auto"/>
        <w:ind w:firstLine="480"/>
        <w:rPr>
          <w:bCs/>
          <w:color w:val="auto"/>
          <w:sz w:val="24"/>
          <w:highlight w:val="none"/>
        </w:rPr>
      </w:pPr>
    </w:p>
    <w:p w14:paraId="7E6474D6">
      <w:pPr>
        <w:pageBreakBefore w:val="0"/>
        <w:kinsoku/>
        <w:overflowPunct/>
        <w:autoSpaceDE/>
        <w:autoSpaceDN/>
        <w:bidi w:val="0"/>
        <w:adjustRightInd w:val="0"/>
        <w:snapToGrid w:val="0"/>
        <w:spacing w:line="360" w:lineRule="auto"/>
        <w:ind w:firstLine="480"/>
        <w:rPr>
          <w:bCs/>
          <w:color w:val="auto"/>
          <w:sz w:val="24"/>
          <w:highlight w:val="none"/>
        </w:rPr>
      </w:pPr>
    </w:p>
    <w:p w14:paraId="63ADF5DB">
      <w:pPr>
        <w:pageBreakBefore w:val="0"/>
        <w:kinsoku/>
        <w:overflowPunct/>
        <w:autoSpaceDE/>
        <w:autoSpaceDN/>
        <w:bidi w:val="0"/>
        <w:adjustRightInd w:val="0"/>
        <w:snapToGrid w:val="0"/>
        <w:spacing w:line="360" w:lineRule="auto"/>
        <w:ind w:firstLine="480"/>
        <w:rPr>
          <w:bCs/>
          <w:color w:val="auto"/>
          <w:sz w:val="24"/>
          <w:highlight w:val="none"/>
        </w:rPr>
      </w:pPr>
    </w:p>
    <w:p w14:paraId="5639AD1A">
      <w:pPr>
        <w:pageBreakBefore w:val="0"/>
        <w:kinsoku/>
        <w:overflowPunct/>
        <w:autoSpaceDE/>
        <w:autoSpaceDN/>
        <w:bidi w:val="0"/>
        <w:adjustRightInd w:val="0"/>
        <w:snapToGrid w:val="0"/>
        <w:spacing w:line="360" w:lineRule="auto"/>
        <w:ind w:firstLine="480"/>
        <w:rPr>
          <w:bCs/>
          <w:color w:val="auto"/>
          <w:sz w:val="24"/>
          <w:highlight w:val="none"/>
        </w:rPr>
      </w:pPr>
    </w:p>
    <w:p w14:paraId="6BB627A2">
      <w:pPr>
        <w:pageBreakBefore w:val="0"/>
        <w:kinsoku/>
        <w:overflowPunct/>
        <w:autoSpaceDE/>
        <w:autoSpaceDN/>
        <w:bidi w:val="0"/>
        <w:adjustRightInd w:val="0"/>
        <w:snapToGrid w:val="0"/>
        <w:spacing w:line="360" w:lineRule="auto"/>
        <w:ind w:firstLine="480"/>
        <w:rPr>
          <w:bCs/>
          <w:color w:val="auto"/>
          <w:sz w:val="24"/>
          <w:highlight w:val="none"/>
        </w:rPr>
      </w:pPr>
    </w:p>
    <w:p w14:paraId="44013593">
      <w:pPr>
        <w:pageBreakBefore w:val="0"/>
        <w:kinsoku/>
        <w:overflowPunct/>
        <w:autoSpaceDE/>
        <w:autoSpaceDN/>
        <w:bidi w:val="0"/>
        <w:adjustRightInd w:val="0"/>
        <w:snapToGrid w:val="0"/>
        <w:spacing w:line="360" w:lineRule="auto"/>
        <w:rPr>
          <w:color w:val="auto"/>
          <w:szCs w:val="21"/>
          <w:highlight w:val="none"/>
        </w:rPr>
      </w:pPr>
    </w:p>
    <w:p w14:paraId="086C292F">
      <w:pPr>
        <w:pageBreakBefore w:val="0"/>
        <w:kinsoku/>
        <w:overflowPunct/>
        <w:autoSpaceDE/>
        <w:autoSpaceDN/>
        <w:bidi w:val="0"/>
        <w:adjustRightInd w:val="0"/>
        <w:snapToGrid w:val="0"/>
        <w:spacing w:line="360" w:lineRule="auto"/>
        <w:ind w:firstLine="422"/>
        <w:rPr>
          <w:b/>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32FE49E0">
      <w:pPr>
        <w:pageBreakBefore w:val="0"/>
        <w:kinsoku/>
        <w:overflowPunct/>
        <w:autoSpaceDE/>
        <w:autoSpaceDN/>
        <w:bidi w:val="0"/>
        <w:adjustRightInd w:val="0"/>
        <w:snapToGrid w:val="0"/>
        <w:spacing w:line="360" w:lineRule="auto"/>
        <w:ind w:firstLine="422"/>
        <w:rPr>
          <w:b/>
          <w:bCs/>
          <w:color w:val="auto"/>
          <w:szCs w:val="21"/>
          <w:highlight w:val="none"/>
        </w:rPr>
      </w:pPr>
      <w:r>
        <w:rPr>
          <w:rFonts w:hint="eastAsia"/>
          <w:b/>
          <w:bCs/>
          <w:color w:val="auto"/>
          <w:szCs w:val="21"/>
          <w:highlight w:val="none"/>
        </w:rPr>
        <w:t>4、参加本次政府采购活动前 3 年内在经营活动中没有重大违法记录的书面声明</w:t>
      </w:r>
    </w:p>
    <w:p w14:paraId="3FB084FA">
      <w:pPr>
        <w:pageBreakBefore w:val="0"/>
        <w:kinsoku/>
        <w:overflowPunct/>
        <w:autoSpaceDE/>
        <w:autoSpaceDN/>
        <w:bidi w:val="0"/>
        <w:adjustRightInd w:val="0"/>
        <w:snapToGrid w:val="0"/>
        <w:spacing w:line="360" w:lineRule="auto"/>
        <w:rPr>
          <w:color w:val="auto"/>
          <w:szCs w:val="21"/>
          <w:highlight w:val="none"/>
        </w:rPr>
      </w:pPr>
    </w:p>
    <w:p w14:paraId="4EC8260A">
      <w:pPr>
        <w:pageBreakBefore w:val="0"/>
        <w:kinsoku/>
        <w:overflowPunct/>
        <w:autoSpaceDE/>
        <w:autoSpaceDN/>
        <w:bidi w:val="0"/>
        <w:adjustRightInd w:val="0"/>
        <w:snapToGrid w:val="0"/>
        <w:spacing w:line="360" w:lineRule="auto"/>
        <w:ind w:firstLine="422"/>
        <w:jc w:val="center"/>
        <w:rPr>
          <w:b/>
          <w:bCs/>
          <w:color w:val="auto"/>
          <w:szCs w:val="21"/>
          <w:highlight w:val="none"/>
        </w:rPr>
      </w:pPr>
      <w:r>
        <w:rPr>
          <w:rFonts w:hint="eastAsia"/>
          <w:b/>
          <w:bCs/>
          <w:color w:val="auto"/>
          <w:szCs w:val="21"/>
          <w:highlight w:val="none"/>
        </w:rPr>
        <w:t>声  明</w:t>
      </w:r>
    </w:p>
    <w:p w14:paraId="2DCD51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14:paraId="2447DFDC">
      <w:pPr>
        <w:pageBreakBefore w:val="0"/>
        <w:kinsoku/>
        <w:overflowPunct/>
        <w:autoSpaceDE/>
        <w:autoSpaceDN/>
        <w:bidi w:val="0"/>
        <w:adjustRightInd w:val="0"/>
        <w:snapToGrid w:val="0"/>
        <w:spacing w:line="360" w:lineRule="auto"/>
        <w:rPr>
          <w:bCs/>
          <w:color w:val="auto"/>
          <w:szCs w:val="21"/>
          <w:highlight w:val="none"/>
        </w:rPr>
      </w:pPr>
      <w:r>
        <w:rPr>
          <w:rFonts w:hint="eastAsia"/>
          <w:bCs/>
          <w:color w:val="auto"/>
          <w:szCs w:val="21"/>
          <w:highlight w:val="none"/>
        </w:rPr>
        <w:t xml:space="preserve">                               投标人名称（公章）：</w:t>
      </w:r>
    </w:p>
    <w:p w14:paraId="1B46CC9E">
      <w:pPr>
        <w:pageBreakBefore w:val="0"/>
        <w:kinsoku/>
        <w:overflowPunct/>
        <w:autoSpaceDE/>
        <w:autoSpaceDN/>
        <w:bidi w:val="0"/>
        <w:adjustRightInd w:val="0"/>
        <w:snapToGrid w:val="0"/>
        <w:spacing w:line="360" w:lineRule="auto"/>
        <w:rPr>
          <w:bCs/>
          <w:color w:val="auto"/>
          <w:szCs w:val="21"/>
          <w:highlight w:val="none"/>
        </w:rPr>
      </w:pPr>
      <w:r>
        <w:rPr>
          <w:rFonts w:hint="eastAsia"/>
          <w:bCs/>
          <w:color w:val="auto"/>
          <w:szCs w:val="21"/>
          <w:highlight w:val="none"/>
        </w:rPr>
        <w:t xml:space="preserve">                               法定代表人或授权代表（签字）：</w:t>
      </w:r>
    </w:p>
    <w:p w14:paraId="45E41C6F">
      <w:pPr>
        <w:pageBreakBefore w:val="0"/>
        <w:kinsoku/>
        <w:overflowPunct/>
        <w:autoSpaceDE/>
        <w:autoSpaceDN/>
        <w:bidi w:val="0"/>
        <w:adjustRightInd w:val="0"/>
        <w:snapToGrid w:val="0"/>
        <w:spacing w:line="360" w:lineRule="auto"/>
        <w:rPr>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bCs/>
          <w:color w:val="auto"/>
          <w:szCs w:val="21"/>
          <w:highlight w:val="none"/>
        </w:rPr>
        <w:t xml:space="preserve">                               日期：</w:t>
      </w:r>
      <w:r>
        <w:rPr>
          <w:rFonts w:hint="eastAsia"/>
          <w:bCs/>
          <w:color w:val="auto"/>
          <w:szCs w:val="21"/>
          <w:highlight w:val="none"/>
          <w:u w:val="single"/>
        </w:rPr>
        <w:t xml:space="preserve">    </w:t>
      </w:r>
      <w:r>
        <w:rPr>
          <w:rFonts w:hint="eastAsia"/>
          <w:bCs/>
          <w:color w:val="auto"/>
          <w:szCs w:val="21"/>
          <w:highlight w:val="none"/>
        </w:rPr>
        <w:t>年</w:t>
      </w:r>
      <w:r>
        <w:rPr>
          <w:rFonts w:hint="eastAsia"/>
          <w:bCs/>
          <w:color w:val="auto"/>
          <w:szCs w:val="21"/>
          <w:highlight w:val="none"/>
          <w:u w:val="single"/>
        </w:rPr>
        <w:t xml:space="preserve">    </w:t>
      </w:r>
      <w:r>
        <w:rPr>
          <w:rFonts w:hint="eastAsia"/>
          <w:bCs/>
          <w:color w:val="auto"/>
          <w:szCs w:val="21"/>
          <w:highlight w:val="none"/>
        </w:rPr>
        <w:t>月</w:t>
      </w:r>
      <w:r>
        <w:rPr>
          <w:rFonts w:hint="eastAsia"/>
          <w:bCs/>
          <w:color w:val="auto"/>
          <w:szCs w:val="21"/>
          <w:highlight w:val="none"/>
          <w:u w:val="single"/>
        </w:rPr>
        <w:t xml:space="preserve">    </w:t>
      </w:r>
      <w:r>
        <w:rPr>
          <w:rFonts w:hint="eastAsia"/>
          <w:bCs/>
          <w:color w:val="auto"/>
          <w:szCs w:val="21"/>
          <w:highlight w:val="none"/>
        </w:rPr>
        <w:t>日</w:t>
      </w:r>
    </w:p>
    <w:p w14:paraId="55172A7F">
      <w:pPr>
        <w:pageBreakBefore w:val="0"/>
        <w:kinsoku/>
        <w:overflowPunct/>
        <w:autoSpaceDE/>
        <w:autoSpaceDN/>
        <w:bidi w:val="0"/>
        <w:adjustRightInd w:val="0"/>
        <w:snapToGrid w:val="0"/>
        <w:spacing w:line="360" w:lineRule="auto"/>
        <w:ind w:firstLine="422"/>
        <w:jc w:val="center"/>
        <w:rPr>
          <w:rFonts w:cs="宋体"/>
          <w:b/>
          <w:color w:val="auto"/>
          <w:szCs w:val="21"/>
          <w:highlight w:val="none"/>
        </w:rPr>
      </w:pPr>
      <w:r>
        <w:rPr>
          <w:rFonts w:hint="eastAsia" w:cs="宋体"/>
          <w:b/>
          <w:color w:val="auto"/>
          <w:szCs w:val="21"/>
          <w:highlight w:val="none"/>
        </w:rPr>
        <w:t>5、供应商信用承诺书</w:t>
      </w:r>
    </w:p>
    <w:p w14:paraId="232728D0">
      <w:pPr>
        <w:pageBreakBefore w:val="0"/>
        <w:kinsoku/>
        <w:overflowPunct/>
        <w:autoSpaceDE/>
        <w:autoSpaceDN/>
        <w:bidi w:val="0"/>
        <w:adjustRightInd w:val="0"/>
        <w:snapToGrid w:val="0"/>
        <w:spacing w:line="360" w:lineRule="auto"/>
        <w:rPr>
          <w:color w:val="auto"/>
          <w:szCs w:val="32"/>
          <w:highlight w:val="none"/>
        </w:rPr>
      </w:pPr>
    </w:p>
    <w:p w14:paraId="48ADEDFE">
      <w:pPr>
        <w:pageBreakBefore w:val="0"/>
        <w:kinsoku/>
        <w:overflowPunct/>
        <w:autoSpaceDE/>
        <w:autoSpaceDN/>
        <w:bidi w:val="0"/>
        <w:adjustRightInd w:val="0"/>
        <w:snapToGrid w:val="0"/>
        <w:spacing w:line="360" w:lineRule="auto"/>
        <w:rPr>
          <w:rFonts w:cs="宋体"/>
          <w:color w:val="auto"/>
          <w:szCs w:val="32"/>
          <w:highlight w:val="none"/>
        </w:rPr>
      </w:pPr>
      <w:r>
        <w:rPr>
          <w:rFonts w:hint="eastAsia" w:cs="宋体"/>
          <w:color w:val="auto"/>
          <w:szCs w:val="32"/>
          <w:highlight w:val="none"/>
        </w:rPr>
        <w:t>承诺主体名称：</w:t>
      </w:r>
    </w:p>
    <w:p w14:paraId="234B81EC">
      <w:pPr>
        <w:pageBreakBefore w:val="0"/>
        <w:kinsoku/>
        <w:overflowPunct/>
        <w:autoSpaceDE/>
        <w:autoSpaceDN/>
        <w:bidi w:val="0"/>
        <w:adjustRightInd w:val="0"/>
        <w:snapToGrid w:val="0"/>
        <w:spacing w:line="360" w:lineRule="auto"/>
        <w:rPr>
          <w:rFonts w:cs="宋体"/>
          <w:color w:val="auto"/>
          <w:szCs w:val="32"/>
          <w:highlight w:val="none"/>
        </w:rPr>
      </w:pPr>
      <w:r>
        <w:rPr>
          <w:rFonts w:hint="eastAsia" w:cs="宋体"/>
          <w:color w:val="auto"/>
          <w:szCs w:val="32"/>
          <w:highlight w:val="none"/>
        </w:rPr>
        <w:t>统一社会信用代码：</w:t>
      </w:r>
    </w:p>
    <w:p w14:paraId="1E37E7C1">
      <w:pPr>
        <w:pageBreakBefore w:val="0"/>
        <w:kinsoku/>
        <w:overflowPunct/>
        <w:autoSpaceDE/>
        <w:autoSpaceDN/>
        <w:bidi w:val="0"/>
        <w:adjustRightInd w:val="0"/>
        <w:snapToGrid w:val="0"/>
        <w:spacing w:line="360" w:lineRule="auto"/>
        <w:rPr>
          <w:rFonts w:cs="宋体"/>
          <w:color w:val="auto"/>
          <w:szCs w:val="32"/>
          <w:highlight w:val="none"/>
        </w:rPr>
      </w:pPr>
    </w:p>
    <w:p w14:paraId="227A8648">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034FE023">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一、对提供给注册登记部门、行业管理部门、司法部门、行业组织以及在政府采购活动中提交的所有资料的合法性、真实性、准确性和有效性负责；</w:t>
      </w:r>
    </w:p>
    <w:p w14:paraId="45F41BFB">
      <w:pPr>
        <w:pageBreakBefore w:val="0"/>
        <w:kinsoku/>
        <w:overflowPunct/>
        <w:autoSpaceDE/>
        <w:autoSpaceDN/>
        <w:bidi w:val="0"/>
        <w:adjustRightInd w:val="0"/>
        <w:snapToGrid w:val="0"/>
        <w:spacing w:line="360" w:lineRule="auto"/>
        <w:ind w:firstLine="420"/>
        <w:rPr>
          <w:rFonts w:hint="eastAsia" w:eastAsia="宋体" w:cs="宋体"/>
          <w:color w:val="auto"/>
          <w:szCs w:val="32"/>
          <w:highlight w:val="none"/>
          <w:lang w:eastAsia="zh-CN"/>
        </w:rPr>
      </w:pPr>
      <w:r>
        <w:rPr>
          <w:rFonts w:hint="eastAsia" w:cs="宋体"/>
          <w:color w:val="auto"/>
          <w:szCs w:val="32"/>
          <w:highlight w:val="none"/>
        </w:rPr>
        <w:t>二、严格按照国家法律、法规和规章开展采购活动，全面履行应尽的责任和义务，全面做到履约守信，具备《中华人民共和国政府采购法》第二十二条第一款规定的条件</w:t>
      </w:r>
      <w:r>
        <w:rPr>
          <w:rFonts w:hint="eastAsia" w:cs="宋体"/>
          <w:color w:val="auto"/>
          <w:szCs w:val="32"/>
          <w:highlight w:val="none"/>
          <w:lang w:eastAsia="zh-CN"/>
        </w:rPr>
        <w:t>；</w:t>
      </w:r>
    </w:p>
    <w:p w14:paraId="0CEE68D1">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三、严格依法开展生产经营活动，主动接受行业监管，自愿接受依法开展的日常检查；违法失信经营后将自愿接受约束和惩戒，并依法承担相应责任；</w:t>
      </w:r>
    </w:p>
    <w:p w14:paraId="15C117D9">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四、自觉接受行政管理部门、行业组织、社会公众、新闻舆论的监督；</w:t>
      </w:r>
    </w:p>
    <w:p w14:paraId="49CD914F">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五、自觉做到自我约束、自我管理，不制假售假、商标侵权、虚假宣传、违约毁约、恶意逃债、偷税漏税、垄断和不正当竞争，维护经营者、消费者的合法权益；</w:t>
      </w:r>
    </w:p>
    <w:p w14:paraId="4C6C264D">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六、提出政府采购质疑和投诉坚持依法依规、诚实信用原则，在全国范围12个月内没有三次以上查无实据的政府采购投诉；</w:t>
      </w:r>
    </w:p>
    <w:p w14:paraId="5D82F2CC">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七、严格遵守信用信息公示相关规定，向社会公示信用信息；</w:t>
      </w:r>
    </w:p>
    <w:p w14:paraId="0296EDDF">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八、在“信用中国”和“中国政府采购网”网站中无违法违规、较重或严重失信记录；</w:t>
      </w:r>
    </w:p>
    <w:p w14:paraId="454E64B7">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17D67424">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十、本承诺书自签订之日起生效。</w:t>
      </w:r>
    </w:p>
    <w:p w14:paraId="346B851E">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 （注：法定代表人或负责人、主体名称发生变更的应当重新做出承诺。）</w:t>
      </w:r>
    </w:p>
    <w:p w14:paraId="55568BF3">
      <w:pPr>
        <w:pageBreakBefore w:val="0"/>
        <w:kinsoku/>
        <w:overflowPunct/>
        <w:autoSpaceDE/>
        <w:autoSpaceDN/>
        <w:bidi w:val="0"/>
        <w:adjustRightInd w:val="0"/>
        <w:snapToGrid w:val="0"/>
        <w:spacing w:line="360" w:lineRule="auto"/>
        <w:rPr>
          <w:rFonts w:cs="宋体"/>
          <w:color w:val="auto"/>
          <w:szCs w:val="32"/>
          <w:highlight w:val="none"/>
        </w:rPr>
      </w:pPr>
    </w:p>
    <w:p w14:paraId="12677048">
      <w:pPr>
        <w:pageBreakBefore w:val="0"/>
        <w:kinsoku/>
        <w:overflowPunct/>
        <w:autoSpaceDE/>
        <w:autoSpaceDN/>
        <w:bidi w:val="0"/>
        <w:adjustRightInd w:val="0"/>
        <w:snapToGrid w:val="0"/>
        <w:spacing w:line="360" w:lineRule="auto"/>
        <w:jc w:val="center"/>
        <w:rPr>
          <w:rFonts w:cs="宋体"/>
          <w:color w:val="auto"/>
          <w:szCs w:val="32"/>
          <w:highlight w:val="none"/>
        </w:rPr>
      </w:pPr>
      <w:r>
        <w:rPr>
          <w:rFonts w:hint="eastAsia" w:cs="宋体"/>
          <w:color w:val="auto"/>
          <w:szCs w:val="32"/>
          <w:highlight w:val="none"/>
        </w:rPr>
        <w:t xml:space="preserve">　　　　　　　　　　         投标人名称（公章）           </w:t>
      </w:r>
    </w:p>
    <w:p w14:paraId="7C6B88A4">
      <w:pPr>
        <w:pageBreakBefore w:val="0"/>
        <w:kinsoku/>
        <w:overflowPunct/>
        <w:autoSpaceDE/>
        <w:autoSpaceDN/>
        <w:bidi w:val="0"/>
        <w:adjustRightInd w:val="0"/>
        <w:snapToGrid w:val="0"/>
        <w:spacing w:line="360" w:lineRule="auto"/>
        <w:jc w:val="center"/>
        <w:rPr>
          <w:rFonts w:cs="宋体"/>
          <w:color w:val="auto"/>
          <w:szCs w:val="32"/>
          <w:highlight w:val="none"/>
        </w:rPr>
      </w:pPr>
      <w:r>
        <w:rPr>
          <w:rFonts w:hint="eastAsia" w:cs="宋体"/>
          <w:color w:val="auto"/>
          <w:szCs w:val="32"/>
          <w:highlight w:val="none"/>
        </w:rPr>
        <w:t xml:space="preserve">　　　　　　　　　   </w:t>
      </w:r>
      <w:r>
        <w:rPr>
          <w:rFonts w:hint="eastAsia"/>
          <w:bCs/>
          <w:color w:val="auto"/>
          <w:szCs w:val="21"/>
          <w:highlight w:val="none"/>
        </w:rPr>
        <w:t>法定代表人或授权代表（签字）：</w:t>
      </w:r>
    </w:p>
    <w:p w14:paraId="3D39ABDA">
      <w:pPr>
        <w:pageBreakBefore w:val="0"/>
        <w:kinsoku/>
        <w:overflowPunct/>
        <w:autoSpaceDE/>
        <w:autoSpaceDN/>
        <w:bidi w:val="0"/>
        <w:adjustRightInd w:val="0"/>
        <w:snapToGrid w:val="0"/>
        <w:spacing w:line="360" w:lineRule="auto"/>
        <w:jc w:val="right"/>
        <w:rPr>
          <w:rFonts w:hint="eastAsia" w:eastAsia="宋体"/>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cs="宋体"/>
          <w:color w:val="auto"/>
          <w:szCs w:val="32"/>
          <w:highlight w:val="none"/>
        </w:rPr>
        <w:t xml:space="preserve">　　　　　　　　　      　年    月    </w:t>
      </w:r>
      <w:r>
        <w:rPr>
          <w:rFonts w:hint="eastAsia" w:cs="宋体"/>
          <w:color w:val="auto"/>
          <w:szCs w:val="32"/>
          <w:highlight w:val="none"/>
          <w:lang w:val="en-US" w:eastAsia="zh-CN"/>
        </w:rPr>
        <w:t>日</w:t>
      </w:r>
    </w:p>
    <w:p w14:paraId="2C25E54E">
      <w:pPr>
        <w:pageBreakBefore w:val="0"/>
        <w:numPr>
          <w:ilvl w:val="0"/>
          <w:numId w:val="44"/>
        </w:numPr>
        <w:kinsoku/>
        <w:overflowPunct/>
        <w:autoSpaceDE/>
        <w:autoSpaceDN/>
        <w:bidi w:val="0"/>
        <w:adjustRightInd w:val="0"/>
        <w:snapToGrid w:val="0"/>
        <w:spacing w:line="360" w:lineRule="auto"/>
        <w:ind w:firstLine="422"/>
        <w:jc w:val="center"/>
        <w:rPr>
          <w:rFonts w:cs="宋体"/>
          <w:color w:val="auto"/>
          <w:szCs w:val="21"/>
          <w:highlight w:val="none"/>
        </w:rPr>
      </w:pPr>
      <w:r>
        <w:rPr>
          <w:rFonts w:hint="eastAsia"/>
          <w:b/>
          <w:color w:val="auto"/>
          <w:szCs w:val="21"/>
          <w:highlight w:val="none"/>
        </w:rPr>
        <w:t>开标一览表</w:t>
      </w:r>
    </w:p>
    <w:p w14:paraId="0C2617F1">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lang w:val="en-US" w:eastAsia="zh-CN"/>
        </w:rPr>
        <w:t>投</w:t>
      </w:r>
      <w:r>
        <w:rPr>
          <w:rFonts w:hint="eastAsia" w:cs="宋体"/>
          <w:color w:val="auto"/>
          <w:szCs w:val="21"/>
          <w:highlight w:val="none"/>
        </w:rPr>
        <w:t>标人名称（公章）：</w:t>
      </w:r>
    </w:p>
    <w:p w14:paraId="3F87657B">
      <w:pPr>
        <w:pageBreakBefore w:val="0"/>
        <w:kinsoku/>
        <w:overflowPunct/>
        <w:autoSpaceDE/>
        <w:autoSpaceDN/>
        <w:bidi w:val="0"/>
        <w:adjustRightInd w:val="0"/>
        <w:snapToGrid w:val="0"/>
        <w:spacing w:line="360" w:lineRule="auto"/>
        <w:ind w:firstLine="420"/>
        <w:rPr>
          <w:rFonts w:hint="eastAsia" w:eastAsia="宋体" w:cs="宋体"/>
          <w:color w:val="auto"/>
          <w:szCs w:val="21"/>
          <w:highlight w:val="none"/>
          <w:lang w:eastAsia="zh-CN"/>
        </w:rPr>
      </w:pPr>
      <w:r>
        <w:rPr>
          <w:rFonts w:hint="eastAsia" w:cs="宋体"/>
          <w:color w:val="auto"/>
          <w:szCs w:val="21"/>
          <w:highlight w:val="none"/>
        </w:rPr>
        <w:t>项目名称：</w:t>
      </w:r>
      <w:r>
        <w:rPr>
          <w:rFonts w:hint="eastAsia" w:cs="宋体"/>
          <w:color w:val="auto"/>
          <w:szCs w:val="21"/>
          <w:highlight w:val="none"/>
          <w:lang w:eastAsia="zh-CN"/>
        </w:rPr>
        <w:t>扬州大学附属医院智慧医疗（自助）服务体系建设项目</w:t>
      </w:r>
    </w:p>
    <w:p w14:paraId="7914481A">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项目编号：</w:t>
      </w:r>
      <w:r>
        <w:rPr>
          <w:rFonts w:hint="eastAsia" w:cs="宋体"/>
          <w:color w:val="auto"/>
          <w:szCs w:val="21"/>
          <w:highlight w:val="none"/>
          <w:lang w:eastAsia="zh-CN"/>
        </w:rPr>
        <w:t>YDFYSW-20250701</w:t>
      </w:r>
      <w:r>
        <w:rPr>
          <w:rFonts w:hint="eastAsia" w:cs="宋体"/>
          <w:color w:val="auto"/>
          <w:szCs w:val="21"/>
          <w:highlight w:val="none"/>
        </w:rPr>
        <w:t xml:space="preserve">号     </w:t>
      </w:r>
    </w:p>
    <w:tbl>
      <w:tblPr>
        <w:tblStyle w:val="45"/>
        <w:tblpPr w:leftFromText="180" w:rightFromText="180" w:vertAnchor="text" w:horzAnchor="page" w:tblpX="1918" w:tblpY="10"/>
        <w:tblW w:w="478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76"/>
        <w:gridCol w:w="5285"/>
      </w:tblGrid>
      <w:tr w14:paraId="7EA54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02" w:hRule="atLeast"/>
        </w:trPr>
        <w:tc>
          <w:tcPr>
            <w:tcW w:w="1762" w:type="pct"/>
            <w:shd w:val="clear" w:color="auto" w:fill="auto"/>
            <w:noWrap w:val="0"/>
            <w:vAlign w:val="center"/>
          </w:tcPr>
          <w:p w14:paraId="122B4274">
            <w:pPr>
              <w:pageBreakBefore w:val="0"/>
              <w:kinsoku/>
              <w:overflowPunct/>
              <w:autoSpaceDE/>
              <w:autoSpaceDN/>
              <w:bidi w:val="0"/>
              <w:adjustRightInd w:val="0"/>
              <w:snapToGrid w:val="0"/>
              <w:jc w:val="center"/>
              <w:rPr>
                <w:color w:val="auto"/>
                <w:highlight w:val="none"/>
              </w:rPr>
            </w:pPr>
            <w:r>
              <w:rPr>
                <w:rFonts w:hint="eastAsia"/>
                <w:color w:val="auto"/>
                <w:highlight w:val="none"/>
              </w:rPr>
              <w:t>投标服务或产品名称</w:t>
            </w:r>
          </w:p>
        </w:tc>
        <w:tc>
          <w:tcPr>
            <w:tcW w:w="3237" w:type="pct"/>
            <w:shd w:val="clear" w:color="auto" w:fill="auto"/>
            <w:noWrap w:val="0"/>
            <w:vAlign w:val="center"/>
          </w:tcPr>
          <w:p w14:paraId="12892F43">
            <w:pPr>
              <w:pageBreakBefore w:val="0"/>
              <w:kinsoku/>
              <w:overflowPunct/>
              <w:autoSpaceDE/>
              <w:autoSpaceDN/>
              <w:bidi w:val="0"/>
              <w:adjustRightInd w:val="0"/>
              <w:snapToGrid w:val="0"/>
              <w:jc w:val="center"/>
              <w:rPr>
                <w:color w:val="auto"/>
                <w:highlight w:val="none"/>
              </w:rPr>
            </w:pPr>
            <w:r>
              <w:rPr>
                <w:rFonts w:hint="eastAsia"/>
                <w:color w:val="auto"/>
                <w:highlight w:val="none"/>
              </w:rPr>
              <w:t>投标报价（元）</w:t>
            </w:r>
          </w:p>
        </w:tc>
      </w:tr>
      <w:tr w14:paraId="17BFF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708" w:hRule="atLeast"/>
        </w:trPr>
        <w:tc>
          <w:tcPr>
            <w:tcW w:w="1762" w:type="pct"/>
            <w:shd w:val="clear" w:color="auto" w:fill="auto"/>
            <w:noWrap w:val="0"/>
            <w:vAlign w:val="center"/>
          </w:tcPr>
          <w:p w14:paraId="4B765314">
            <w:pPr>
              <w:pageBreakBefore w:val="0"/>
              <w:kinsoku/>
              <w:overflowPunct/>
              <w:autoSpaceDE/>
              <w:autoSpaceDN/>
              <w:bidi w:val="0"/>
              <w:adjustRightInd w:val="0"/>
              <w:snapToGrid w:val="0"/>
              <w:jc w:val="center"/>
              <w:rPr>
                <w:rFonts w:hint="default"/>
                <w:color w:val="auto"/>
                <w:highlight w:val="none"/>
                <w:lang w:val="en-US" w:eastAsia="zh-CN"/>
              </w:rPr>
            </w:pPr>
            <w:r>
              <w:rPr>
                <w:rFonts w:hint="default"/>
                <w:color w:val="auto"/>
                <w:highlight w:val="none"/>
                <w:lang w:val="en-US" w:eastAsia="zh-CN"/>
              </w:rPr>
              <w:t>自助服务体系建设项目</w:t>
            </w:r>
          </w:p>
        </w:tc>
        <w:tc>
          <w:tcPr>
            <w:tcW w:w="3237" w:type="pct"/>
            <w:shd w:val="clear" w:color="auto" w:fill="auto"/>
            <w:noWrap w:val="0"/>
            <w:vAlign w:val="center"/>
          </w:tcPr>
          <w:p w14:paraId="162DB4ED">
            <w:pPr>
              <w:pageBreakBefore w:val="0"/>
              <w:kinsoku/>
              <w:overflowPunct/>
              <w:autoSpaceDE/>
              <w:autoSpaceDN/>
              <w:bidi w:val="0"/>
              <w:adjustRightInd w:val="0"/>
              <w:snapToGrid w:val="0"/>
              <w:rPr>
                <w:color w:val="auto"/>
                <w:highlight w:val="none"/>
              </w:rPr>
            </w:pPr>
            <w:r>
              <w:rPr>
                <w:rFonts w:hint="eastAsia"/>
                <w:color w:val="auto"/>
                <w:highlight w:val="none"/>
              </w:rPr>
              <w:t xml:space="preserve">大写：                    </w:t>
            </w:r>
          </w:p>
          <w:p w14:paraId="354A4CC7">
            <w:pPr>
              <w:pageBreakBefore w:val="0"/>
              <w:kinsoku/>
              <w:overflowPunct/>
              <w:autoSpaceDE/>
              <w:autoSpaceDN/>
              <w:bidi w:val="0"/>
              <w:adjustRightInd w:val="0"/>
              <w:snapToGrid w:val="0"/>
              <w:rPr>
                <w:color w:val="auto"/>
                <w:highlight w:val="none"/>
              </w:rPr>
            </w:pPr>
            <w:r>
              <w:rPr>
                <w:rFonts w:hint="eastAsia"/>
                <w:color w:val="auto"/>
                <w:highlight w:val="none"/>
              </w:rPr>
              <w:t xml:space="preserve">小写：                          </w:t>
            </w:r>
          </w:p>
        </w:tc>
      </w:tr>
      <w:tr w14:paraId="12DDC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95" w:hRule="atLeast"/>
        </w:trPr>
        <w:tc>
          <w:tcPr>
            <w:tcW w:w="1762" w:type="pct"/>
            <w:shd w:val="clear" w:color="auto" w:fill="auto"/>
            <w:noWrap w:val="0"/>
            <w:vAlign w:val="center"/>
          </w:tcPr>
          <w:p w14:paraId="609E89FC">
            <w:pPr>
              <w:pageBreakBefore w:val="0"/>
              <w:kinsoku/>
              <w:overflowPunct/>
              <w:autoSpaceDE/>
              <w:autoSpaceDN/>
              <w:bidi w:val="0"/>
              <w:adjustRightInd w:val="0"/>
              <w:snapToGrid w:val="0"/>
              <w:jc w:val="center"/>
              <w:rPr>
                <w:rFonts w:hint="default"/>
                <w:color w:val="auto"/>
                <w:highlight w:val="none"/>
                <w:lang w:val="en-US" w:eastAsia="zh-CN"/>
              </w:rPr>
            </w:pPr>
            <w:r>
              <w:rPr>
                <w:rFonts w:hint="eastAsia"/>
                <w:color w:val="auto"/>
                <w:highlight w:val="none"/>
                <w:lang w:val="en-US" w:eastAsia="zh-CN"/>
              </w:rPr>
              <w:t>备注</w:t>
            </w:r>
          </w:p>
        </w:tc>
        <w:tc>
          <w:tcPr>
            <w:tcW w:w="3237" w:type="pct"/>
            <w:shd w:val="clear" w:color="auto" w:fill="auto"/>
            <w:noWrap w:val="0"/>
            <w:vAlign w:val="center"/>
          </w:tcPr>
          <w:p w14:paraId="121DE024">
            <w:pPr>
              <w:pageBreakBefore w:val="0"/>
              <w:kinsoku/>
              <w:overflowPunct/>
              <w:autoSpaceDE/>
              <w:autoSpaceDN/>
              <w:bidi w:val="0"/>
              <w:adjustRightInd w:val="0"/>
              <w:snapToGrid w:val="0"/>
              <w:rPr>
                <w:rFonts w:hint="eastAsia"/>
                <w:color w:val="auto"/>
                <w:highlight w:val="none"/>
              </w:rPr>
            </w:pPr>
          </w:p>
        </w:tc>
      </w:tr>
    </w:tbl>
    <w:p w14:paraId="4C0FF7F8">
      <w:pPr>
        <w:pageBreakBefore w:val="0"/>
        <w:kinsoku/>
        <w:overflowPunct/>
        <w:autoSpaceDE/>
        <w:autoSpaceDN/>
        <w:bidi w:val="0"/>
        <w:adjustRightInd w:val="0"/>
        <w:snapToGrid w:val="0"/>
        <w:spacing w:line="360" w:lineRule="auto"/>
        <w:ind w:firstLine="420"/>
        <w:rPr>
          <w:rFonts w:hint="eastAsia" w:cs="宋体"/>
          <w:color w:val="auto"/>
          <w:szCs w:val="21"/>
          <w:highlight w:val="none"/>
        </w:rPr>
      </w:pPr>
    </w:p>
    <w:p w14:paraId="5AFD3EC7">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5C5BB93B">
      <w:pPr>
        <w:pageBreakBefore w:val="0"/>
        <w:kinsoku/>
        <w:overflowPunct/>
        <w:autoSpaceDE/>
        <w:autoSpaceDN/>
        <w:bidi w:val="0"/>
        <w:adjustRightInd w:val="0"/>
        <w:snapToGrid w:val="0"/>
        <w:spacing w:line="360" w:lineRule="auto"/>
        <w:ind w:firstLine="420"/>
        <w:rPr>
          <w:rFonts w:cs="宋体"/>
          <w:color w:val="auto"/>
          <w:szCs w:val="21"/>
          <w:highlight w:val="none"/>
        </w:rPr>
      </w:pPr>
    </w:p>
    <w:p w14:paraId="75385460">
      <w:pPr>
        <w:pageBreakBefore w:val="0"/>
        <w:kinsoku/>
        <w:overflowPunct/>
        <w:autoSpaceDE/>
        <w:autoSpaceDN/>
        <w:bidi w:val="0"/>
        <w:adjustRightInd w:val="0"/>
        <w:snapToGrid w:val="0"/>
        <w:spacing w:line="360" w:lineRule="auto"/>
        <w:ind w:firstLine="420"/>
        <w:rPr>
          <w:rFonts w:cs="宋体"/>
          <w:color w:val="auto"/>
          <w:szCs w:val="21"/>
          <w:highlight w:val="none"/>
        </w:rPr>
      </w:pPr>
    </w:p>
    <w:p w14:paraId="18F647F2">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18416EAC">
      <w:pPr>
        <w:pageBreakBefore w:val="0"/>
        <w:kinsoku/>
        <w:overflowPunct/>
        <w:autoSpaceDE/>
        <w:autoSpaceDN/>
        <w:bidi w:val="0"/>
        <w:adjustRightInd w:val="0"/>
        <w:snapToGrid w:val="0"/>
        <w:spacing w:line="360" w:lineRule="auto"/>
        <w:ind w:firstLine="420"/>
        <w:rPr>
          <w:rFonts w:cs="宋体"/>
          <w:color w:val="auto"/>
          <w:szCs w:val="21"/>
          <w:highlight w:val="none"/>
        </w:rPr>
      </w:pPr>
    </w:p>
    <w:p w14:paraId="58D2B18C">
      <w:pPr>
        <w:pageBreakBefore w:val="0"/>
        <w:kinsoku/>
        <w:overflowPunct/>
        <w:autoSpaceDE/>
        <w:autoSpaceDN/>
        <w:bidi w:val="0"/>
        <w:adjustRightInd w:val="0"/>
        <w:snapToGrid w:val="0"/>
        <w:spacing w:line="360" w:lineRule="auto"/>
        <w:ind w:firstLine="420"/>
        <w:rPr>
          <w:rFonts w:cs="宋体"/>
          <w:color w:val="auto"/>
          <w:szCs w:val="21"/>
          <w:highlight w:val="none"/>
        </w:rPr>
      </w:pPr>
    </w:p>
    <w:p w14:paraId="289BD4A1">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60F66E98">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 xml:space="preserve">            </w:t>
      </w:r>
    </w:p>
    <w:p w14:paraId="25839911">
      <w:pPr>
        <w:pageBreakBefore w:val="0"/>
        <w:kinsoku/>
        <w:overflowPunct/>
        <w:autoSpaceDE/>
        <w:autoSpaceDN/>
        <w:bidi w:val="0"/>
        <w:adjustRightInd w:val="0"/>
        <w:snapToGrid w:val="0"/>
        <w:spacing w:line="360" w:lineRule="auto"/>
        <w:ind w:firstLine="420"/>
        <w:rPr>
          <w:rFonts w:cs="宋体"/>
          <w:color w:val="auto"/>
          <w:szCs w:val="21"/>
          <w:highlight w:val="none"/>
        </w:rPr>
      </w:pPr>
    </w:p>
    <w:p w14:paraId="07CAACFA">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填写说明：</w:t>
      </w:r>
    </w:p>
    <w:p w14:paraId="2FA6BDA7">
      <w:pPr>
        <w:pageBreakBefore w:val="0"/>
        <w:numPr>
          <w:ilvl w:val="0"/>
          <w:numId w:val="45"/>
        </w:numPr>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开标一览表除了装订在投标文件中以外，还需要提供一份单独密封的开标一览表，单独密封的开标一览表仅是为方便唱标所用，如未提供，不构成投标文件的完整性偏离。</w:t>
      </w:r>
    </w:p>
    <w:p w14:paraId="50AA180F">
      <w:pPr>
        <w:pageBreakBefore w:val="0"/>
        <w:kinsoku/>
        <w:overflowPunct/>
        <w:autoSpaceDE/>
        <w:autoSpaceDN/>
        <w:bidi w:val="0"/>
        <w:adjustRightInd w:val="0"/>
        <w:snapToGrid w:val="0"/>
        <w:spacing w:line="360" w:lineRule="auto"/>
        <w:rPr>
          <w:rFonts w:cs="宋体"/>
          <w:color w:val="auto"/>
          <w:szCs w:val="21"/>
          <w:highlight w:val="none"/>
        </w:rPr>
      </w:pPr>
    </w:p>
    <w:p w14:paraId="5AB6D50E">
      <w:pPr>
        <w:pageBreakBefore w:val="0"/>
        <w:kinsoku/>
        <w:overflowPunct/>
        <w:autoSpaceDE/>
        <w:autoSpaceDN/>
        <w:bidi w:val="0"/>
        <w:adjustRightInd w:val="0"/>
        <w:snapToGrid w:val="0"/>
        <w:spacing w:line="360" w:lineRule="auto"/>
        <w:ind w:firstLine="420"/>
        <w:rPr>
          <w:rFonts w:cs="宋体"/>
          <w:color w:val="auto"/>
          <w:szCs w:val="21"/>
          <w:highlight w:val="none"/>
        </w:rPr>
      </w:pPr>
    </w:p>
    <w:p w14:paraId="0A1D1B7F">
      <w:pPr>
        <w:pageBreakBefore w:val="0"/>
        <w:kinsoku/>
        <w:overflowPunct/>
        <w:autoSpaceDE/>
        <w:autoSpaceDN/>
        <w:bidi w:val="0"/>
        <w:adjustRightInd w:val="0"/>
        <w:snapToGrid w:val="0"/>
        <w:spacing w:line="360" w:lineRule="auto"/>
        <w:ind w:firstLine="420"/>
        <w:rPr>
          <w:rFonts w:cs="宋体"/>
          <w:color w:val="auto"/>
          <w:szCs w:val="21"/>
          <w:highlight w:val="none"/>
        </w:rPr>
      </w:pPr>
    </w:p>
    <w:p w14:paraId="41B4AB6A">
      <w:pPr>
        <w:pageBreakBefore w:val="0"/>
        <w:kinsoku/>
        <w:overflowPunct/>
        <w:autoSpaceDE/>
        <w:autoSpaceDN/>
        <w:bidi w:val="0"/>
        <w:adjustRightInd w:val="0"/>
        <w:snapToGrid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color w:val="auto"/>
          <w:highlight w:val="none"/>
        </w:rPr>
        <w:t xml:space="preserve">           </w:t>
      </w:r>
    </w:p>
    <w:p w14:paraId="6554DF3B">
      <w:pPr>
        <w:pageBreakBefore w:val="0"/>
        <w:numPr>
          <w:ilvl w:val="0"/>
          <w:numId w:val="44"/>
        </w:numPr>
        <w:kinsoku/>
        <w:overflowPunct/>
        <w:autoSpaceDE/>
        <w:autoSpaceDN/>
        <w:bidi w:val="0"/>
        <w:adjustRightInd w:val="0"/>
        <w:snapToGrid w:val="0"/>
        <w:ind w:left="0" w:leftChars="0" w:firstLine="422" w:firstLineChars="0"/>
        <w:jc w:val="center"/>
        <w:rPr>
          <w:rFonts w:hint="eastAsia"/>
          <w:b/>
          <w:color w:val="auto"/>
          <w:szCs w:val="21"/>
          <w:highlight w:val="none"/>
        </w:rPr>
      </w:pPr>
      <w:r>
        <w:rPr>
          <w:rFonts w:hint="eastAsia"/>
          <w:b/>
          <w:color w:val="auto"/>
          <w:szCs w:val="21"/>
          <w:highlight w:val="none"/>
        </w:rPr>
        <w:t>投标配置及分项报价表</w:t>
      </w:r>
    </w:p>
    <w:p w14:paraId="13481138">
      <w:pPr>
        <w:rPr>
          <w:rFonts w:hint="eastAsia"/>
          <w:b/>
          <w:bCs/>
          <w:color w:val="auto"/>
          <w:highlight w:val="none"/>
          <w:lang w:val="en-US" w:eastAsia="zh-CN"/>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789"/>
        <w:gridCol w:w="827"/>
        <w:gridCol w:w="840"/>
        <w:gridCol w:w="1239"/>
        <w:gridCol w:w="1285"/>
        <w:gridCol w:w="1745"/>
      </w:tblGrid>
      <w:tr w14:paraId="1477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66" w:type="pct"/>
            <w:noWrap w:val="0"/>
            <w:vAlign w:val="center"/>
          </w:tcPr>
          <w:p w14:paraId="4FB6B624">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50" w:type="pct"/>
            <w:noWrap w:val="0"/>
            <w:vAlign w:val="center"/>
          </w:tcPr>
          <w:p w14:paraId="221BCE6C">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485" w:type="pct"/>
            <w:noWrap w:val="0"/>
            <w:vAlign w:val="center"/>
          </w:tcPr>
          <w:p w14:paraId="3DA64C35">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493" w:type="pct"/>
            <w:noWrap w:val="0"/>
            <w:vAlign w:val="center"/>
          </w:tcPr>
          <w:p w14:paraId="0590AD99">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727" w:type="pct"/>
            <w:noWrap w:val="0"/>
            <w:vAlign w:val="center"/>
          </w:tcPr>
          <w:p w14:paraId="52283A18">
            <w:pPr>
              <w:adjustRightInd w:val="0"/>
              <w:spacing w:line="320" w:lineRule="exact"/>
              <w:contextualSpacing/>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p w14:paraId="69C3F29D">
            <w:pPr>
              <w:adjustRightInd w:val="0"/>
              <w:spacing w:line="320" w:lineRule="exact"/>
              <w:contextualSpacing/>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（含税）</w:t>
            </w:r>
          </w:p>
        </w:tc>
        <w:tc>
          <w:tcPr>
            <w:tcW w:w="754" w:type="pct"/>
            <w:noWrap w:val="0"/>
            <w:vAlign w:val="center"/>
          </w:tcPr>
          <w:p w14:paraId="254B3EC1">
            <w:pPr>
              <w:adjustRightInd w:val="0"/>
              <w:spacing w:line="320" w:lineRule="exact"/>
              <w:contextualSpacing/>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总价</w:t>
            </w:r>
            <w:r>
              <w:rPr>
                <w:rFonts w:hint="eastAsia" w:ascii="宋体" w:hAnsi="宋体" w:eastAsia="宋体" w:cs="宋体"/>
                <w:b/>
                <w:color w:val="auto"/>
                <w:sz w:val="21"/>
                <w:szCs w:val="21"/>
                <w:highlight w:val="none"/>
              </w:rPr>
              <w:t>/元</w:t>
            </w:r>
          </w:p>
          <w:p w14:paraId="7552E479">
            <w:pPr>
              <w:adjustRightInd w:val="0"/>
              <w:spacing w:line="320" w:lineRule="exact"/>
              <w:contextualSpacing/>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（含税）</w:t>
            </w:r>
          </w:p>
        </w:tc>
        <w:tc>
          <w:tcPr>
            <w:tcW w:w="1023" w:type="pct"/>
            <w:noWrap w:val="0"/>
            <w:vAlign w:val="center"/>
          </w:tcPr>
          <w:p w14:paraId="58DA7ACA">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14:paraId="6CAE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66" w:type="pct"/>
            <w:noWrap w:val="0"/>
            <w:vAlign w:val="center"/>
          </w:tcPr>
          <w:p w14:paraId="729494EC">
            <w:pPr>
              <w:adjustRightInd w:val="0"/>
              <w:spacing w:line="400" w:lineRule="exact"/>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50" w:type="pct"/>
            <w:noWrap w:val="0"/>
            <w:vAlign w:val="center"/>
          </w:tcPr>
          <w:p w14:paraId="16D0AA11">
            <w:pPr>
              <w:adjustRightInd w:val="0"/>
              <w:spacing w:line="400" w:lineRule="exact"/>
              <w:contextualSpacing/>
              <w:jc w:val="center"/>
              <w:rPr>
                <w:rFonts w:hint="eastAsia" w:ascii="宋体" w:hAnsi="宋体" w:eastAsia="宋体" w:cs="宋体"/>
                <w:color w:val="auto"/>
                <w:sz w:val="21"/>
                <w:szCs w:val="21"/>
                <w:highlight w:val="none"/>
              </w:rPr>
            </w:pPr>
          </w:p>
        </w:tc>
        <w:tc>
          <w:tcPr>
            <w:tcW w:w="485" w:type="pct"/>
            <w:noWrap w:val="0"/>
            <w:vAlign w:val="center"/>
          </w:tcPr>
          <w:p w14:paraId="35C8FB6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93" w:type="pct"/>
            <w:noWrap w:val="0"/>
            <w:vAlign w:val="center"/>
          </w:tcPr>
          <w:p w14:paraId="428F620E">
            <w:pPr>
              <w:adjustRightInd w:val="0"/>
              <w:spacing w:line="400" w:lineRule="exact"/>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727" w:type="pct"/>
            <w:noWrap w:val="0"/>
            <w:vAlign w:val="center"/>
          </w:tcPr>
          <w:p w14:paraId="69071F97">
            <w:pPr>
              <w:adjustRightInd w:val="0"/>
              <w:spacing w:line="400" w:lineRule="exact"/>
              <w:contextualSpacing/>
              <w:jc w:val="center"/>
              <w:rPr>
                <w:rFonts w:hint="eastAsia" w:ascii="宋体" w:hAnsi="宋体" w:eastAsia="宋体" w:cs="宋体"/>
                <w:color w:val="auto"/>
                <w:sz w:val="21"/>
                <w:szCs w:val="21"/>
                <w:highlight w:val="none"/>
                <w:lang w:val="en-US" w:eastAsia="zh-CN"/>
              </w:rPr>
            </w:pPr>
          </w:p>
        </w:tc>
        <w:tc>
          <w:tcPr>
            <w:tcW w:w="754" w:type="pct"/>
            <w:noWrap w:val="0"/>
            <w:vAlign w:val="center"/>
          </w:tcPr>
          <w:p w14:paraId="7C92E04A">
            <w:pPr>
              <w:adjustRightInd w:val="0"/>
              <w:spacing w:line="400" w:lineRule="exact"/>
              <w:contextualSpacing/>
              <w:jc w:val="center"/>
              <w:rPr>
                <w:rFonts w:hint="eastAsia" w:ascii="宋体" w:hAnsi="宋体" w:eastAsia="宋体" w:cs="宋体"/>
                <w:color w:val="auto"/>
                <w:sz w:val="21"/>
                <w:szCs w:val="21"/>
                <w:highlight w:val="none"/>
                <w:lang w:val="en-US" w:eastAsia="zh-CN"/>
              </w:rPr>
            </w:pPr>
          </w:p>
        </w:tc>
        <w:tc>
          <w:tcPr>
            <w:tcW w:w="1023" w:type="pct"/>
            <w:noWrap w:val="0"/>
            <w:vAlign w:val="center"/>
          </w:tcPr>
          <w:p w14:paraId="0C59ABAD">
            <w:pPr>
              <w:adjustRightInd w:val="0"/>
              <w:spacing w:line="400" w:lineRule="exact"/>
              <w:contextualSpacing/>
              <w:jc w:val="center"/>
              <w:rPr>
                <w:rFonts w:hint="eastAsia" w:ascii="宋体" w:hAnsi="宋体" w:eastAsia="宋体" w:cs="宋体"/>
                <w:color w:val="auto"/>
                <w:sz w:val="21"/>
                <w:szCs w:val="21"/>
                <w:highlight w:val="none"/>
              </w:rPr>
            </w:pPr>
          </w:p>
        </w:tc>
      </w:tr>
      <w:tr w14:paraId="5D36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66" w:type="pct"/>
            <w:noWrap w:val="0"/>
            <w:vAlign w:val="center"/>
          </w:tcPr>
          <w:p w14:paraId="46A15848">
            <w:pPr>
              <w:adjustRightInd w:val="0"/>
              <w:spacing w:line="400" w:lineRule="exact"/>
              <w:contextualSpacing/>
              <w:jc w:val="center"/>
              <w:rPr>
                <w:rFonts w:hint="eastAsia" w:ascii="宋体" w:hAnsi="宋体" w:eastAsia="宋体" w:cs="宋体"/>
                <w:color w:val="auto"/>
                <w:sz w:val="21"/>
                <w:szCs w:val="21"/>
                <w:highlight w:val="none"/>
              </w:rPr>
            </w:pPr>
          </w:p>
        </w:tc>
        <w:tc>
          <w:tcPr>
            <w:tcW w:w="1050" w:type="pct"/>
            <w:noWrap w:val="0"/>
            <w:vAlign w:val="center"/>
          </w:tcPr>
          <w:p w14:paraId="4E809BE7">
            <w:pPr>
              <w:adjustRightInd w:val="0"/>
              <w:spacing w:line="400" w:lineRule="exact"/>
              <w:contextualSpacing/>
              <w:jc w:val="center"/>
              <w:rPr>
                <w:rFonts w:hint="eastAsia" w:ascii="宋体" w:hAnsi="宋体" w:eastAsia="宋体" w:cs="宋体"/>
                <w:color w:val="auto"/>
                <w:sz w:val="21"/>
                <w:szCs w:val="21"/>
                <w:highlight w:val="none"/>
              </w:rPr>
            </w:pPr>
          </w:p>
        </w:tc>
        <w:tc>
          <w:tcPr>
            <w:tcW w:w="485" w:type="pct"/>
            <w:noWrap w:val="0"/>
            <w:vAlign w:val="center"/>
          </w:tcPr>
          <w:p w14:paraId="3EC7309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93" w:type="pct"/>
            <w:noWrap w:val="0"/>
            <w:vAlign w:val="center"/>
          </w:tcPr>
          <w:p w14:paraId="76EB8637">
            <w:pPr>
              <w:adjustRightInd w:val="0"/>
              <w:spacing w:line="400" w:lineRule="exact"/>
              <w:contextualSpacing/>
              <w:jc w:val="center"/>
              <w:rPr>
                <w:rFonts w:hint="eastAsia" w:ascii="宋体" w:hAnsi="宋体" w:eastAsia="宋体" w:cs="宋体"/>
                <w:color w:val="auto"/>
                <w:sz w:val="21"/>
                <w:szCs w:val="21"/>
                <w:highlight w:val="none"/>
              </w:rPr>
            </w:pPr>
          </w:p>
        </w:tc>
        <w:tc>
          <w:tcPr>
            <w:tcW w:w="727" w:type="pct"/>
            <w:noWrap w:val="0"/>
            <w:vAlign w:val="center"/>
          </w:tcPr>
          <w:p w14:paraId="0F1AA0EE">
            <w:pPr>
              <w:adjustRightInd w:val="0"/>
              <w:spacing w:line="400" w:lineRule="exact"/>
              <w:contextualSpacing/>
              <w:jc w:val="center"/>
              <w:rPr>
                <w:rFonts w:hint="eastAsia" w:ascii="宋体" w:hAnsi="宋体" w:eastAsia="宋体" w:cs="宋体"/>
                <w:color w:val="auto"/>
                <w:sz w:val="21"/>
                <w:szCs w:val="21"/>
                <w:highlight w:val="none"/>
              </w:rPr>
            </w:pPr>
          </w:p>
        </w:tc>
        <w:tc>
          <w:tcPr>
            <w:tcW w:w="754" w:type="pct"/>
            <w:noWrap w:val="0"/>
            <w:vAlign w:val="center"/>
          </w:tcPr>
          <w:p w14:paraId="3932061A">
            <w:pPr>
              <w:adjustRightInd w:val="0"/>
              <w:spacing w:line="400" w:lineRule="exact"/>
              <w:contextualSpacing/>
              <w:jc w:val="center"/>
              <w:rPr>
                <w:rFonts w:hint="eastAsia" w:ascii="宋体" w:hAnsi="宋体" w:eastAsia="宋体" w:cs="宋体"/>
                <w:color w:val="auto"/>
                <w:sz w:val="21"/>
                <w:szCs w:val="21"/>
                <w:highlight w:val="none"/>
              </w:rPr>
            </w:pPr>
          </w:p>
        </w:tc>
        <w:tc>
          <w:tcPr>
            <w:tcW w:w="1023" w:type="pct"/>
            <w:noWrap w:val="0"/>
            <w:vAlign w:val="center"/>
          </w:tcPr>
          <w:p w14:paraId="315A2502">
            <w:pPr>
              <w:adjustRightInd w:val="0"/>
              <w:spacing w:line="400" w:lineRule="exact"/>
              <w:contextualSpacing/>
              <w:jc w:val="center"/>
              <w:rPr>
                <w:rFonts w:hint="eastAsia" w:ascii="宋体" w:hAnsi="宋体" w:eastAsia="宋体" w:cs="宋体"/>
                <w:color w:val="auto"/>
                <w:sz w:val="21"/>
                <w:szCs w:val="21"/>
                <w:highlight w:val="none"/>
              </w:rPr>
            </w:pPr>
          </w:p>
        </w:tc>
      </w:tr>
      <w:tr w14:paraId="2E30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66" w:type="pct"/>
            <w:noWrap w:val="0"/>
            <w:vAlign w:val="center"/>
          </w:tcPr>
          <w:p w14:paraId="0937E1B5">
            <w:pPr>
              <w:adjustRightInd w:val="0"/>
              <w:spacing w:line="400" w:lineRule="exact"/>
              <w:contextualSpacing/>
              <w:jc w:val="center"/>
              <w:rPr>
                <w:rFonts w:hint="eastAsia" w:ascii="宋体" w:hAnsi="宋体" w:eastAsia="宋体" w:cs="宋体"/>
                <w:color w:val="auto"/>
                <w:sz w:val="21"/>
                <w:szCs w:val="21"/>
                <w:highlight w:val="none"/>
                <w:lang w:val="en-US" w:eastAsia="zh-CN"/>
              </w:rPr>
            </w:pPr>
          </w:p>
        </w:tc>
        <w:tc>
          <w:tcPr>
            <w:tcW w:w="1050" w:type="pct"/>
            <w:noWrap w:val="0"/>
            <w:vAlign w:val="center"/>
          </w:tcPr>
          <w:p w14:paraId="4BF27A25">
            <w:pPr>
              <w:adjustRightInd w:val="0"/>
              <w:spacing w:line="400" w:lineRule="exact"/>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85" w:type="pct"/>
            <w:noWrap w:val="0"/>
            <w:vAlign w:val="center"/>
          </w:tcPr>
          <w:p w14:paraId="057092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93" w:type="pct"/>
            <w:noWrap w:val="0"/>
            <w:vAlign w:val="center"/>
          </w:tcPr>
          <w:p w14:paraId="63CFAC1A">
            <w:pPr>
              <w:adjustRightInd w:val="0"/>
              <w:spacing w:line="400" w:lineRule="exact"/>
              <w:contextualSpacing/>
              <w:jc w:val="center"/>
              <w:rPr>
                <w:rFonts w:hint="eastAsia" w:ascii="宋体" w:hAnsi="宋体" w:eastAsia="宋体" w:cs="宋体"/>
                <w:color w:val="auto"/>
                <w:sz w:val="21"/>
                <w:szCs w:val="21"/>
                <w:highlight w:val="none"/>
              </w:rPr>
            </w:pPr>
          </w:p>
        </w:tc>
        <w:tc>
          <w:tcPr>
            <w:tcW w:w="727" w:type="pct"/>
            <w:noWrap w:val="0"/>
            <w:vAlign w:val="center"/>
          </w:tcPr>
          <w:p w14:paraId="5854142B">
            <w:pPr>
              <w:adjustRightInd w:val="0"/>
              <w:spacing w:line="400" w:lineRule="exact"/>
              <w:contextualSpacing/>
              <w:jc w:val="center"/>
              <w:rPr>
                <w:rFonts w:hint="eastAsia" w:ascii="宋体" w:hAnsi="宋体" w:eastAsia="宋体" w:cs="宋体"/>
                <w:color w:val="auto"/>
                <w:sz w:val="21"/>
                <w:szCs w:val="21"/>
                <w:highlight w:val="none"/>
              </w:rPr>
            </w:pPr>
          </w:p>
        </w:tc>
        <w:tc>
          <w:tcPr>
            <w:tcW w:w="754" w:type="pct"/>
            <w:noWrap w:val="0"/>
            <w:vAlign w:val="center"/>
          </w:tcPr>
          <w:p w14:paraId="3016EEF7">
            <w:pPr>
              <w:adjustRightInd w:val="0"/>
              <w:spacing w:line="400" w:lineRule="exact"/>
              <w:contextualSpacing/>
              <w:jc w:val="center"/>
              <w:rPr>
                <w:rFonts w:hint="eastAsia" w:ascii="宋体" w:hAnsi="宋体" w:eastAsia="宋体" w:cs="宋体"/>
                <w:color w:val="auto"/>
                <w:sz w:val="21"/>
                <w:szCs w:val="21"/>
                <w:highlight w:val="none"/>
              </w:rPr>
            </w:pPr>
          </w:p>
        </w:tc>
        <w:tc>
          <w:tcPr>
            <w:tcW w:w="1023" w:type="pct"/>
            <w:noWrap w:val="0"/>
            <w:vAlign w:val="center"/>
          </w:tcPr>
          <w:p w14:paraId="33C7D66A">
            <w:pPr>
              <w:adjustRightInd w:val="0"/>
              <w:spacing w:line="400" w:lineRule="exact"/>
              <w:contextualSpacing/>
              <w:jc w:val="center"/>
              <w:rPr>
                <w:rFonts w:hint="eastAsia" w:ascii="宋体" w:hAnsi="宋体" w:eastAsia="宋体" w:cs="宋体"/>
                <w:color w:val="auto"/>
                <w:sz w:val="21"/>
                <w:szCs w:val="21"/>
                <w:highlight w:val="none"/>
              </w:rPr>
            </w:pPr>
          </w:p>
        </w:tc>
      </w:tr>
      <w:tr w14:paraId="5B6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6" w:type="pct"/>
            <w:gridSpan w:val="2"/>
            <w:noWrap w:val="0"/>
            <w:vAlign w:val="center"/>
          </w:tcPr>
          <w:p w14:paraId="325023CC">
            <w:pPr>
              <w:adjustRightInd w:val="0"/>
              <w:spacing w:line="400" w:lineRule="exact"/>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合计（元）</w:t>
            </w:r>
          </w:p>
        </w:tc>
        <w:tc>
          <w:tcPr>
            <w:tcW w:w="3483" w:type="pct"/>
            <w:gridSpan w:val="5"/>
            <w:noWrap w:val="0"/>
            <w:vAlign w:val="center"/>
          </w:tcPr>
          <w:p w14:paraId="42FE690C">
            <w:pPr>
              <w:adjustRightInd w:val="0"/>
              <w:spacing w:line="400" w:lineRule="exact"/>
              <w:contextualSpacing/>
              <w:jc w:val="center"/>
              <w:rPr>
                <w:rFonts w:hint="eastAsia" w:ascii="宋体" w:hAnsi="宋体" w:eastAsia="宋体" w:cs="宋体"/>
                <w:color w:val="auto"/>
                <w:sz w:val="21"/>
                <w:szCs w:val="21"/>
                <w:highlight w:val="none"/>
              </w:rPr>
            </w:pPr>
          </w:p>
        </w:tc>
      </w:tr>
    </w:tbl>
    <w:p w14:paraId="1959EBC1">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5621468C">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12CCF799">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1096AB00">
      <w:pPr>
        <w:pageBreakBefore w:val="0"/>
        <w:kinsoku/>
        <w:overflowPunct/>
        <w:autoSpaceDE/>
        <w:autoSpaceDN/>
        <w:bidi w:val="0"/>
        <w:adjustRightInd w:val="0"/>
        <w:snapToGrid w:val="0"/>
        <w:spacing w:line="360" w:lineRule="auto"/>
        <w:ind w:firstLine="420"/>
        <w:rPr>
          <w:rFonts w:hint="eastAsia" w:cs="宋体"/>
          <w:color w:val="auto"/>
          <w:szCs w:val="21"/>
          <w:highlight w:val="none"/>
        </w:rPr>
      </w:pPr>
    </w:p>
    <w:p w14:paraId="152E13CB">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76A4C6C5">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8D670FC">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2F048BD4">
      <w:pPr>
        <w:rPr>
          <w:rFonts w:hint="eastAsia"/>
          <w:color w:val="auto"/>
          <w:highlight w:val="none"/>
          <w:lang w:val="en-US" w:eastAsia="zh-CN"/>
        </w:rPr>
      </w:pPr>
    </w:p>
    <w:p w14:paraId="00B8789A">
      <w:pPr>
        <w:pageBreakBefore w:val="0"/>
        <w:kinsoku/>
        <w:overflowPunct/>
        <w:autoSpaceDE/>
        <w:autoSpaceDN/>
        <w:bidi w:val="0"/>
        <w:adjustRightInd w:val="0"/>
        <w:snapToGrid w:val="0"/>
        <w:rPr>
          <w:b/>
          <w:bCs/>
          <w:color w:val="auto"/>
          <w:highlight w:val="none"/>
        </w:rPr>
      </w:pPr>
      <w:r>
        <w:rPr>
          <w:rFonts w:hint="eastAsia"/>
          <w:b/>
          <w:bCs/>
          <w:i/>
          <w:iCs/>
          <w:color w:val="auto"/>
          <w:highlight w:val="none"/>
          <w:u w:val="single"/>
        </w:rPr>
        <w:t>各投投标人需提供电子版文件，电子版中需额外提供一份与投标人在投标文件中针对本项目的分项报价表一致的excel格式的报价表。</w:t>
      </w:r>
    </w:p>
    <w:p w14:paraId="6DB88D87">
      <w:pPr>
        <w:rPr>
          <w:rFonts w:hint="eastAsia"/>
          <w:color w:val="auto"/>
          <w:highlight w:val="none"/>
          <w:lang w:val="en-US" w:eastAsia="zh-CN"/>
        </w:rPr>
      </w:pPr>
      <w:r>
        <w:rPr>
          <w:rFonts w:hint="eastAsia"/>
          <w:color w:val="auto"/>
          <w:highlight w:val="none"/>
          <w:lang w:val="en-US" w:eastAsia="zh-CN"/>
        </w:rPr>
        <w:br w:type="page"/>
      </w:r>
    </w:p>
    <w:p w14:paraId="6635042E">
      <w:pPr>
        <w:pageBreakBefore w:val="0"/>
        <w:numPr>
          <w:ilvl w:val="0"/>
          <w:numId w:val="0"/>
        </w:numPr>
        <w:kinsoku/>
        <w:overflowPunct/>
        <w:autoSpaceDE/>
        <w:autoSpaceDN/>
        <w:bidi w:val="0"/>
        <w:adjustRightInd w:val="0"/>
        <w:snapToGrid w:val="0"/>
        <w:ind w:left="422" w:leftChars="0"/>
        <w:jc w:val="both"/>
        <w:rPr>
          <w:rFonts w:hint="eastAsia"/>
          <w:b/>
          <w:bCs/>
          <w:color w:val="auto"/>
          <w:highlight w:val="none"/>
          <w:lang w:val="en-US" w:eastAsia="zh-CN"/>
        </w:rPr>
      </w:pPr>
    </w:p>
    <w:p w14:paraId="543DB242">
      <w:pPr>
        <w:pageBreakBefore w:val="0"/>
        <w:numPr>
          <w:ilvl w:val="0"/>
          <w:numId w:val="0"/>
        </w:numPr>
        <w:kinsoku/>
        <w:overflowPunct/>
        <w:autoSpaceDE/>
        <w:autoSpaceDN/>
        <w:bidi w:val="0"/>
        <w:adjustRightInd w:val="0"/>
        <w:snapToGrid w:val="0"/>
        <w:ind w:left="422" w:leftChars="0"/>
        <w:jc w:val="center"/>
        <w:rPr>
          <w:rFonts w:hint="default"/>
          <w:b/>
          <w:bCs/>
          <w:color w:val="auto"/>
          <w:szCs w:val="21"/>
          <w:highlight w:val="none"/>
          <w:lang w:val="en-US"/>
        </w:rPr>
      </w:pPr>
      <w:r>
        <w:rPr>
          <w:rFonts w:hint="eastAsia"/>
          <w:b/>
          <w:bCs/>
          <w:color w:val="auto"/>
          <w:highlight w:val="none"/>
          <w:lang w:val="en-US" w:eastAsia="zh-CN"/>
        </w:rPr>
        <w:t>（一）自助服务体系建设费用分项报价表</w:t>
      </w:r>
    </w:p>
    <w:tbl>
      <w:tblPr>
        <w:tblStyle w:val="45"/>
        <w:tblW w:w="4997" w:type="pct"/>
        <w:tblInd w:w="0" w:type="dxa"/>
        <w:tblLayout w:type="autofit"/>
        <w:tblCellMar>
          <w:top w:w="0" w:type="dxa"/>
          <w:left w:w="108" w:type="dxa"/>
          <w:bottom w:w="0" w:type="dxa"/>
          <w:right w:w="108" w:type="dxa"/>
        </w:tblCellMar>
      </w:tblPr>
      <w:tblGrid>
        <w:gridCol w:w="480"/>
        <w:gridCol w:w="2478"/>
        <w:gridCol w:w="438"/>
        <w:gridCol w:w="710"/>
        <w:gridCol w:w="876"/>
        <w:gridCol w:w="874"/>
        <w:gridCol w:w="869"/>
        <w:gridCol w:w="3"/>
        <w:gridCol w:w="2"/>
        <w:gridCol w:w="864"/>
        <w:gridCol w:w="3"/>
        <w:gridCol w:w="2"/>
        <w:gridCol w:w="918"/>
      </w:tblGrid>
      <w:tr w14:paraId="06ECF44A">
        <w:tblPrEx>
          <w:tblCellMar>
            <w:top w:w="0" w:type="dxa"/>
            <w:left w:w="108" w:type="dxa"/>
            <w:bottom w:w="0" w:type="dxa"/>
            <w:right w:w="108" w:type="dxa"/>
          </w:tblCellMar>
        </w:tblPrEx>
        <w:trPr>
          <w:trHeight w:val="684"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E3E8">
            <w:pPr>
              <w:pageBreakBefore w:val="0"/>
              <w:kinsoku/>
              <w:overflowPunct/>
              <w:autoSpaceDE/>
              <w:autoSpaceDN/>
              <w:bidi w:val="0"/>
              <w:adjustRightInd w:val="0"/>
              <w:snapToGrid w:val="0"/>
              <w:rPr>
                <w:color w:val="auto"/>
                <w:highlight w:val="none"/>
              </w:rPr>
            </w:pPr>
            <w:r>
              <w:rPr>
                <w:rFonts w:hint="eastAsia"/>
                <w:color w:val="auto"/>
                <w:highlight w:val="none"/>
              </w:rPr>
              <w:t>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3DAE">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1ADC">
            <w:pPr>
              <w:pageBreakBefore w:val="0"/>
              <w:kinsoku/>
              <w:overflowPunct/>
              <w:autoSpaceDE/>
              <w:autoSpaceDN/>
              <w:bidi w:val="0"/>
              <w:adjustRightInd w:val="0"/>
              <w:snapToGrid w:val="0"/>
              <w:rPr>
                <w:color w:val="auto"/>
                <w:highlight w:val="none"/>
              </w:rPr>
            </w:pPr>
            <w:r>
              <w:rPr>
                <w:rFonts w:hint="eastAsia"/>
                <w:color w:val="auto"/>
                <w:highlight w:val="none"/>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FE86">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356A">
            <w:pPr>
              <w:pageBreakBefore w:val="0"/>
              <w:kinsoku/>
              <w:overflowPunct/>
              <w:autoSpaceDE/>
              <w:autoSpaceDN/>
              <w:bidi w:val="0"/>
              <w:adjustRightInd w:val="0"/>
              <w:snapToGrid w:val="0"/>
              <w:rPr>
                <w:color w:val="auto"/>
                <w:highlight w:val="none"/>
              </w:rPr>
            </w:pPr>
            <w:r>
              <w:rPr>
                <w:rFonts w:hint="eastAsia"/>
                <w:color w:val="auto"/>
                <w:highlight w:val="none"/>
              </w:rPr>
              <w:t>单价/元</w:t>
            </w:r>
            <w:r>
              <w:rPr>
                <w:color w:val="auto"/>
                <w:highlight w:val="none"/>
              </w:rPr>
              <w:t>/</w:t>
            </w:r>
            <w:r>
              <w:rPr>
                <w:rFonts w:hint="eastAsia"/>
                <w:color w:val="auto"/>
                <w:highlight w:val="none"/>
              </w:rPr>
              <w:t>月</w:t>
            </w:r>
            <w:r>
              <w:rPr>
                <w:rFonts w:hint="eastAsia"/>
                <w:color w:val="auto"/>
                <w:highlight w:val="none"/>
              </w:rPr>
              <w:br w:type="textWrapping"/>
            </w:r>
            <w:r>
              <w:rPr>
                <w:rFonts w:hint="eastAsia"/>
                <w:color w:val="auto"/>
                <w:highlight w:val="none"/>
              </w:rPr>
              <w:t>（不含税）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EB56">
            <w:pPr>
              <w:pageBreakBefore w:val="0"/>
              <w:kinsoku/>
              <w:overflowPunct/>
              <w:autoSpaceDE/>
              <w:autoSpaceDN/>
              <w:bidi w:val="0"/>
              <w:adjustRightInd w:val="0"/>
              <w:snapToGrid w:val="0"/>
              <w:rPr>
                <w:color w:val="auto"/>
                <w:highlight w:val="none"/>
              </w:rPr>
            </w:pPr>
            <w:r>
              <w:rPr>
                <w:rFonts w:hint="eastAsia"/>
                <w:color w:val="auto"/>
                <w:highlight w:val="none"/>
              </w:rPr>
              <w:t>单价/元/月</w:t>
            </w:r>
            <w:r>
              <w:rPr>
                <w:rFonts w:hint="eastAsia"/>
                <w:color w:val="auto"/>
                <w:highlight w:val="none"/>
              </w:rPr>
              <w:br w:type="textWrapping"/>
            </w:r>
            <w:r>
              <w:rPr>
                <w:rFonts w:hint="eastAsia"/>
                <w:color w:val="auto"/>
                <w:highlight w:val="none"/>
              </w:rPr>
              <w:t>（含税）</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162F">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（不含税）</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07265">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（含税）</w:t>
            </w:r>
          </w:p>
        </w:tc>
        <w:tc>
          <w:tcPr>
            <w:tcW w:w="5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4DA1D">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2433470D">
        <w:tblPrEx>
          <w:tblCellMar>
            <w:top w:w="0" w:type="dxa"/>
            <w:left w:w="108" w:type="dxa"/>
            <w:bottom w:w="0" w:type="dxa"/>
            <w:right w:w="108" w:type="dxa"/>
          </w:tblCellMar>
        </w:tblPrEx>
        <w:trPr>
          <w:trHeight w:val="442"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111C30E">
            <w:pPr>
              <w:pageBreakBefore w:val="0"/>
              <w:kinsoku/>
              <w:overflowPunct/>
              <w:autoSpaceDE/>
              <w:autoSpaceDN/>
              <w:bidi w:val="0"/>
              <w:adjustRightInd w:val="0"/>
              <w:snapToGrid w:val="0"/>
              <w:jc w:val="both"/>
              <w:rPr>
                <w:color w:val="auto"/>
                <w:highlight w:val="none"/>
              </w:rPr>
            </w:pPr>
            <w:r>
              <w:rPr>
                <w:rFonts w:hint="eastAsia" w:ascii="宋体" w:hAnsi="宋体" w:cs="宋体"/>
                <w:color w:val="auto"/>
                <w:szCs w:val="21"/>
                <w:highlight w:val="none"/>
              </w:rPr>
              <w:t>硬件</w:t>
            </w:r>
            <w:r>
              <w:rPr>
                <w:rFonts w:hint="eastAsia" w:ascii="宋体" w:hAnsi="宋体" w:cs="宋体"/>
                <w:color w:val="auto"/>
                <w:szCs w:val="21"/>
                <w:highlight w:val="none"/>
                <w:lang w:val="en-US" w:eastAsia="zh-CN"/>
              </w:rPr>
              <w:t>设备</w:t>
            </w:r>
          </w:p>
        </w:tc>
      </w:tr>
      <w:tr w14:paraId="732B0196">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8D07">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6532">
            <w:pPr>
              <w:pageBreakBefore w:val="0"/>
              <w:kinsoku/>
              <w:overflowPunct/>
              <w:autoSpaceDE/>
              <w:autoSpaceDN/>
              <w:bidi w:val="0"/>
              <w:adjustRightInd w:val="0"/>
              <w:snapToGrid w:val="0"/>
              <w:jc w:val="center"/>
              <w:rPr>
                <w:color w:val="auto"/>
                <w:highlight w:val="none"/>
              </w:rPr>
            </w:pPr>
            <w:r>
              <w:rPr>
                <w:rFonts w:hint="eastAsia"/>
                <w:color w:val="auto"/>
                <w:highlight w:val="none"/>
              </w:rPr>
              <w:t>多功能自助机I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51C8">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1EEB">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B818">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9668">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E1801">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CFE18">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41B7E">
            <w:pPr>
              <w:pageBreakBefore w:val="0"/>
              <w:kinsoku/>
              <w:overflowPunct/>
              <w:autoSpaceDE/>
              <w:autoSpaceDN/>
              <w:bidi w:val="0"/>
              <w:adjustRightInd w:val="0"/>
              <w:snapToGrid w:val="0"/>
              <w:rPr>
                <w:color w:val="auto"/>
                <w:highlight w:val="none"/>
              </w:rPr>
            </w:pPr>
          </w:p>
        </w:tc>
      </w:tr>
      <w:tr w14:paraId="67D4C0BB">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1740">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2FE6">
            <w:pPr>
              <w:pageBreakBefore w:val="0"/>
              <w:kinsoku/>
              <w:overflowPunct/>
              <w:autoSpaceDE/>
              <w:autoSpaceDN/>
              <w:bidi w:val="0"/>
              <w:adjustRightInd w:val="0"/>
              <w:snapToGrid w:val="0"/>
              <w:jc w:val="center"/>
              <w:rPr>
                <w:color w:val="auto"/>
                <w:highlight w:val="none"/>
              </w:rPr>
            </w:pPr>
            <w:r>
              <w:rPr>
                <w:rFonts w:hint="eastAsia"/>
                <w:color w:val="auto"/>
                <w:highlight w:val="none"/>
              </w:rPr>
              <w:t>多功能自助机II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6A1E">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8CFD">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897B">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F1F4">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74056">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39B87">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2E9E5">
            <w:pPr>
              <w:pageBreakBefore w:val="0"/>
              <w:kinsoku/>
              <w:overflowPunct/>
              <w:autoSpaceDE/>
              <w:autoSpaceDN/>
              <w:bidi w:val="0"/>
              <w:adjustRightInd w:val="0"/>
              <w:snapToGrid w:val="0"/>
              <w:rPr>
                <w:color w:val="auto"/>
                <w:highlight w:val="none"/>
              </w:rPr>
            </w:pPr>
          </w:p>
        </w:tc>
      </w:tr>
      <w:tr w14:paraId="3A811AC4">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27B7">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F443">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无障碍自助服务终端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53A1">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666D">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8F65">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A406">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1646E">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1E05E">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49A9F">
            <w:pPr>
              <w:pageBreakBefore w:val="0"/>
              <w:kinsoku/>
              <w:overflowPunct/>
              <w:autoSpaceDE/>
              <w:autoSpaceDN/>
              <w:bidi w:val="0"/>
              <w:adjustRightInd w:val="0"/>
              <w:snapToGrid w:val="0"/>
              <w:rPr>
                <w:color w:val="auto"/>
                <w:highlight w:val="none"/>
              </w:rPr>
            </w:pPr>
          </w:p>
        </w:tc>
      </w:tr>
      <w:tr w14:paraId="2FE1B561">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AD41">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D741">
            <w:pPr>
              <w:pageBreakBefore w:val="0"/>
              <w:kinsoku/>
              <w:overflowPunct/>
              <w:autoSpaceDE/>
              <w:autoSpaceDN/>
              <w:bidi w:val="0"/>
              <w:adjustRightInd w:val="0"/>
              <w:snapToGrid w:val="0"/>
              <w:jc w:val="center"/>
              <w:rPr>
                <w:color w:val="auto"/>
                <w:highlight w:val="none"/>
              </w:rPr>
            </w:pPr>
            <w:r>
              <w:rPr>
                <w:rFonts w:hint="eastAsia"/>
                <w:color w:val="auto"/>
                <w:highlight w:val="none"/>
              </w:rPr>
              <w:t>住院多功能自助机I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E178">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9B2D">
            <w:pPr>
              <w:pageBreakBefore w:val="0"/>
              <w:kinsoku/>
              <w:overflowPunct/>
              <w:autoSpaceDE/>
              <w:autoSpaceDN/>
              <w:bidi w:val="0"/>
              <w:adjustRightInd w:val="0"/>
              <w:snapToGrid w:val="0"/>
              <w:jc w:val="center"/>
              <w:rPr>
                <w:color w:val="auto"/>
                <w:highlight w:val="none"/>
              </w:rPr>
            </w:pPr>
            <w:r>
              <w:rPr>
                <w:rFonts w:hint="eastAsia"/>
                <w:color w:val="auto"/>
                <w:highlight w:val="none"/>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52B6">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4C08">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EA3C">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B5902">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90C01">
            <w:pPr>
              <w:pageBreakBefore w:val="0"/>
              <w:kinsoku/>
              <w:overflowPunct/>
              <w:autoSpaceDE/>
              <w:autoSpaceDN/>
              <w:bidi w:val="0"/>
              <w:adjustRightInd w:val="0"/>
              <w:snapToGrid w:val="0"/>
              <w:rPr>
                <w:color w:val="auto"/>
                <w:highlight w:val="none"/>
              </w:rPr>
            </w:pPr>
          </w:p>
        </w:tc>
      </w:tr>
      <w:tr w14:paraId="2913A4A4">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52A5">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2192">
            <w:pPr>
              <w:pageBreakBefore w:val="0"/>
              <w:kinsoku/>
              <w:overflowPunct/>
              <w:autoSpaceDE/>
              <w:autoSpaceDN/>
              <w:bidi w:val="0"/>
              <w:adjustRightInd w:val="0"/>
              <w:snapToGrid w:val="0"/>
              <w:jc w:val="center"/>
              <w:rPr>
                <w:color w:val="auto"/>
                <w:highlight w:val="none"/>
              </w:rPr>
            </w:pPr>
            <w:r>
              <w:rPr>
                <w:rFonts w:hint="eastAsia"/>
                <w:color w:val="auto"/>
                <w:highlight w:val="none"/>
              </w:rPr>
              <w:t>住院多功能自助机II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30F6">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775A">
            <w:pPr>
              <w:pageBreakBefore w:val="0"/>
              <w:kinsoku/>
              <w:overflowPunct/>
              <w:autoSpaceDE/>
              <w:autoSpaceDN/>
              <w:bidi w:val="0"/>
              <w:adjustRightInd w:val="0"/>
              <w:snapToGrid w:val="0"/>
              <w:jc w:val="center"/>
              <w:rPr>
                <w:color w:val="auto"/>
                <w:highlight w:val="none"/>
              </w:rPr>
            </w:pPr>
            <w:r>
              <w:rPr>
                <w:rFonts w:hint="eastAsia"/>
                <w:color w:val="auto"/>
                <w:highlight w:val="none"/>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4676">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CB2E">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0A0A0">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9D5D9">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D6386">
            <w:pPr>
              <w:pageBreakBefore w:val="0"/>
              <w:kinsoku/>
              <w:overflowPunct/>
              <w:autoSpaceDE/>
              <w:autoSpaceDN/>
              <w:bidi w:val="0"/>
              <w:adjustRightInd w:val="0"/>
              <w:snapToGrid w:val="0"/>
              <w:rPr>
                <w:color w:val="auto"/>
                <w:highlight w:val="none"/>
              </w:rPr>
            </w:pPr>
          </w:p>
        </w:tc>
      </w:tr>
      <w:tr w14:paraId="4F73FB9F">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D2E2">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E536">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移动</w:t>
            </w:r>
            <w:r>
              <w:rPr>
                <w:rFonts w:hint="eastAsia"/>
                <w:color w:val="auto"/>
                <w:highlight w:val="none"/>
              </w:rPr>
              <w:t>结算终端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D8C1">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5484">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F824">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5F76">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860F5">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47FB7">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5E9B1">
            <w:pPr>
              <w:pageBreakBefore w:val="0"/>
              <w:kinsoku/>
              <w:overflowPunct/>
              <w:autoSpaceDE/>
              <w:autoSpaceDN/>
              <w:bidi w:val="0"/>
              <w:adjustRightInd w:val="0"/>
              <w:snapToGrid w:val="0"/>
              <w:rPr>
                <w:color w:val="auto"/>
                <w:highlight w:val="none"/>
              </w:rPr>
            </w:pPr>
          </w:p>
        </w:tc>
      </w:tr>
      <w:tr w14:paraId="5CAA1B0F">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CF80">
            <w:pPr>
              <w:pageBreakBefore w:val="0"/>
              <w:numPr>
                <w:ilvl w:val="0"/>
                <w:numId w:val="46"/>
              </w:numPr>
              <w:kinsoku/>
              <w:overflowPunct/>
              <w:autoSpaceDE/>
              <w:autoSpaceDN/>
              <w:bidi w:val="0"/>
              <w:adjustRightInd w:val="0"/>
              <w:snapToGrid w:val="0"/>
              <w:ind w:left="425" w:leftChars="0" w:hanging="425" w:firstLineChars="0"/>
              <w:rPr>
                <w:rFonts w:hint="eastAsia" w:eastAsia="宋体"/>
                <w:color w:val="auto"/>
                <w:highlight w:val="none"/>
                <w:lang w:eastAsia="zh-CN"/>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F556">
            <w:pPr>
              <w:pageBreakBefore w:val="0"/>
              <w:kinsoku/>
              <w:overflowPunct/>
              <w:autoSpaceDE/>
              <w:autoSpaceDN/>
              <w:bidi w:val="0"/>
              <w:adjustRightInd w:val="0"/>
              <w:snapToGrid w:val="0"/>
              <w:jc w:val="center"/>
              <w:rPr>
                <w:color w:val="auto"/>
                <w:highlight w:val="none"/>
              </w:rPr>
            </w:pPr>
            <w:r>
              <w:rPr>
                <w:rFonts w:hint="eastAsia"/>
                <w:color w:val="auto"/>
                <w:highlight w:val="none"/>
              </w:rPr>
              <w:t>自助病案打印盖章终端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712F">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00C4">
            <w:pPr>
              <w:pageBreakBefore w:val="0"/>
              <w:kinsoku/>
              <w:overflowPunct/>
              <w:autoSpaceDE/>
              <w:autoSpaceDN/>
              <w:bidi w:val="0"/>
              <w:adjustRightInd w:val="0"/>
              <w:snapToGrid w:val="0"/>
              <w:jc w:val="center"/>
              <w:rPr>
                <w:color w:val="auto"/>
                <w:highlight w:val="none"/>
              </w:rPr>
            </w:pPr>
            <w:r>
              <w:rPr>
                <w:rFonts w:hint="eastAsia"/>
                <w:color w:val="auto"/>
                <w:highlight w:val="none"/>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DD66">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609E">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35B7E">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71DB4">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7DF2">
            <w:pPr>
              <w:pageBreakBefore w:val="0"/>
              <w:kinsoku/>
              <w:overflowPunct/>
              <w:autoSpaceDE/>
              <w:autoSpaceDN/>
              <w:bidi w:val="0"/>
              <w:adjustRightInd w:val="0"/>
              <w:snapToGrid w:val="0"/>
              <w:rPr>
                <w:color w:val="auto"/>
                <w:highlight w:val="none"/>
              </w:rPr>
            </w:pPr>
          </w:p>
        </w:tc>
      </w:tr>
      <w:tr w14:paraId="5CEDFCE8">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871F">
            <w:pPr>
              <w:pageBreakBefore w:val="0"/>
              <w:numPr>
                <w:ilvl w:val="0"/>
                <w:numId w:val="46"/>
              </w:numPr>
              <w:kinsoku/>
              <w:overflowPunct/>
              <w:autoSpaceDE/>
              <w:autoSpaceDN/>
              <w:bidi w:val="0"/>
              <w:adjustRightInd w:val="0"/>
              <w:snapToGrid w:val="0"/>
              <w:ind w:left="425" w:leftChars="0" w:hanging="425" w:firstLineChars="0"/>
              <w:rPr>
                <w:rFonts w:hint="eastAsia" w:eastAsia="宋体"/>
                <w:color w:val="auto"/>
                <w:highlight w:val="none"/>
                <w:lang w:val="en-US" w:eastAsia="zh-CN"/>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942E">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自助印章机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F891">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FBC4">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DA4D">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F3B2">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E69C">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7DA04">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15CE6">
            <w:pPr>
              <w:pageBreakBefore w:val="0"/>
              <w:kinsoku/>
              <w:overflowPunct/>
              <w:autoSpaceDE/>
              <w:autoSpaceDN/>
              <w:bidi w:val="0"/>
              <w:adjustRightInd w:val="0"/>
              <w:snapToGrid w:val="0"/>
              <w:rPr>
                <w:color w:val="auto"/>
                <w:highlight w:val="none"/>
              </w:rPr>
            </w:pPr>
          </w:p>
        </w:tc>
      </w:tr>
      <w:tr w14:paraId="0584A819">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D6F4">
            <w:pPr>
              <w:pageBreakBefore w:val="0"/>
              <w:numPr>
                <w:ilvl w:val="0"/>
                <w:numId w:val="46"/>
              </w:numPr>
              <w:kinsoku/>
              <w:overflowPunct/>
              <w:autoSpaceDE/>
              <w:autoSpaceDN/>
              <w:bidi w:val="0"/>
              <w:adjustRightInd w:val="0"/>
              <w:snapToGrid w:val="0"/>
              <w:ind w:left="425" w:leftChars="0" w:hanging="425" w:firstLineChars="0"/>
              <w:rPr>
                <w:rFonts w:hint="eastAsia" w:eastAsia="宋体"/>
                <w:color w:val="auto"/>
                <w:highlight w:val="none"/>
                <w:lang w:val="en-US" w:eastAsia="zh-CN"/>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91AA">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自助复印机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8E52">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82DD">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E4CD">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FCC2">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45A4F">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A8647">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4320F">
            <w:pPr>
              <w:pageBreakBefore w:val="0"/>
              <w:kinsoku/>
              <w:overflowPunct/>
              <w:autoSpaceDE/>
              <w:autoSpaceDN/>
              <w:bidi w:val="0"/>
              <w:adjustRightInd w:val="0"/>
              <w:snapToGrid w:val="0"/>
              <w:rPr>
                <w:color w:val="auto"/>
                <w:highlight w:val="none"/>
              </w:rPr>
            </w:pPr>
          </w:p>
        </w:tc>
      </w:tr>
      <w:tr w14:paraId="1CDAB64A">
        <w:tblPrEx>
          <w:tblCellMar>
            <w:top w:w="0" w:type="dxa"/>
            <w:left w:w="108" w:type="dxa"/>
            <w:bottom w:w="0" w:type="dxa"/>
            <w:right w:w="108" w:type="dxa"/>
          </w:tblCellMar>
        </w:tblPrEx>
        <w:trPr>
          <w:trHeight w:val="410" w:hRule="exac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0172889">
            <w:pPr>
              <w:pageBreakBefore w:val="0"/>
              <w:numPr>
                <w:ilvl w:val="0"/>
                <w:numId w:val="0"/>
              </w:numPr>
              <w:kinsoku/>
              <w:overflowPunct/>
              <w:autoSpaceDE/>
              <w:autoSpaceDN/>
              <w:bidi w:val="0"/>
              <w:adjustRightInd w:val="0"/>
              <w:snapToGrid w:val="0"/>
              <w:ind w:leftChars="0"/>
              <w:rPr>
                <w:rFonts w:hint="default" w:eastAsia="宋体"/>
                <w:color w:val="auto"/>
                <w:highlight w:val="none"/>
                <w:lang w:val="en-US" w:eastAsia="zh-CN"/>
              </w:rPr>
            </w:pPr>
            <w:r>
              <w:rPr>
                <w:rFonts w:hint="eastAsia"/>
                <w:color w:val="auto"/>
                <w:highlight w:val="none"/>
                <w:lang w:val="en-US" w:eastAsia="zh-CN"/>
              </w:rPr>
              <w:t>配套软件</w:t>
            </w:r>
          </w:p>
        </w:tc>
      </w:tr>
      <w:tr w14:paraId="7E45C367">
        <w:tblPrEx>
          <w:tblCellMar>
            <w:top w:w="0" w:type="dxa"/>
            <w:left w:w="108" w:type="dxa"/>
            <w:bottom w:w="0" w:type="dxa"/>
            <w:right w:w="108" w:type="dxa"/>
          </w:tblCellMar>
        </w:tblPrEx>
        <w:trPr>
          <w:trHeight w:val="1137"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7F89">
            <w:pPr>
              <w:pageBreakBefore w:val="0"/>
              <w:numPr>
                <w:ilvl w:val="0"/>
                <w:numId w:val="0"/>
              </w:numPr>
              <w:kinsoku/>
              <w:overflowPunct/>
              <w:autoSpaceDE/>
              <w:autoSpaceDN/>
              <w:bidi w:val="0"/>
              <w:adjustRightInd w:val="0"/>
              <w:snapToGrid w:val="0"/>
              <w:ind w:leftChars="0"/>
              <w:jc w:val="both"/>
              <w:rPr>
                <w:color w:val="auto"/>
                <w:highlight w:val="none"/>
              </w:rPr>
            </w:pPr>
            <w:r>
              <w:rPr>
                <w:rFonts w:hint="eastAsia"/>
                <w:color w:val="auto"/>
                <w:highlight w:val="none"/>
              </w:rPr>
              <w:t>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C87C">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CDA2">
            <w:pPr>
              <w:pageBreakBefore w:val="0"/>
              <w:kinsoku/>
              <w:overflowPunct/>
              <w:autoSpaceDE/>
              <w:autoSpaceDN/>
              <w:bidi w:val="0"/>
              <w:adjustRightInd w:val="0"/>
              <w:snapToGrid w:val="0"/>
              <w:rPr>
                <w:color w:val="auto"/>
                <w:highlight w:val="none"/>
              </w:rPr>
            </w:pPr>
            <w:r>
              <w:rPr>
                <w:rFonts w:hint="eastAsia"/>
                <w:color w:val="auto"/>
                <w:highlight w:val="none"/>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0579">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8BBE">
            <w:pPr>
              <w:pageBreakBefore w:val="0"/>
              <w:kinsoku/>
              <w:overflowPunct/>
              <w:autoSpaceDE/>
              <w:autoSpaceDN/>
              <w:bidi w:val="0"/>
              <w:adjustRightInd w:val="0"/>
              <w:snapToGrid w:val="0"/>
              <w:rPr>
                <w:color w:val="auto"/>
                <w:highlight w:val="none"/>
              </w:rPr>
            </w:pPr>
            <w:r>
              <w:rPr>
                <w:rFonts w:hint="eastAsia"/>
                <w:color w:val="auto"/>
                <w:highlight w:val="none"/>
              </w:rPr>
              <w:t>单价/元</w:t>
            </w:r>
            <w:r>
              <w:rPr>
                <w:color w:val="auto"/>
                <w:highlight w:val="none"/>
              </w:rPr>
              <w:t>/</w:t>
            </w:r>
            <w:r>
              <w:rPr>
                <w:rFonts w:hint="eastAsia"/>
                <w:color w:val="auto"/>
                <w:highlight w:val="none"/>
              </w:rPr>
              <w:t>月</w:t>
            </w:r>
            <w:r>
              <w:rPr>
                <w:rFonts w:hint="eastAsia"/>
                <w:color w:val="auto"/>
                <w:highlight w:val="none"/>
              </w:rPr>
              <w:br w:type="textWrapping"/>
            </w:r>
            <w:r>
              <w:rPr>
                <w:rFonts w:hint="eastAsia"/>
                <w:color w:val="auto"/>
                <w:highlight w:val="none"/>
              </w:rPr>
              <w:t>（不含税）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9B5D">
            <w:pPr>
              <w:pageBreakBefore w:val="0"/>
              <w:kinsoku/>
              <w:overflowPunct/>
              <w:autoSpaceDE/>
              <w:autoSpaceDN/>
              <w:bidi w:val="0"/>
              <w:adjustRightInd w:val="0"/>
              <w:snapToGrid w:val="0"/>
              <w:rPr>
                <w:color w:val="auto"/>
                <w:highlight w:val="none"/>
              </w:rPr>
            </w:pPr>
            <w:r>
              <w:rPr>
                <w:rFonts w:hint="eastAsia"/>
                <w:color w:val="auto"/>
                <w:highlight w:val="none"/>
              </w:rPr>
              <w:t>单价/元/月</w:t>
            </w:r>
            <w:r>
              <w:rPr>
                <w:rFonts w:hint="eastAsia"/>
                <w:color w:val="auto"/>
                <w:highlight w:val="none"/>
              </w:rPr>
              <w:br w:type="textWrapping"/>
            </w:r>
            <w:r>
              <w:rPr>
                <w:rFonts w:hint="eastAsia"/>
                <w:color w:val="auto"/>
                <w:highlight w:val="none"/>
              </w:rPr>
              <w:t>（含税）</w:t>
            </w: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EAF3D">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（不含税）</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95C7E">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（含税）</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E6AE">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743E75AE">
        <w:tblPrEx>
          <w:tblCellMar>
            <w:top w:w="0" w:type="dxa"/>
            <w:left w:w="108" w:type="dxa"/>
            <w:bottom w:w="0" w:type="dxa"/>
            <w:right w:w="108" w:type="dxa"/>
          </w:tblCellMar>
        </w:tblPrEx>
        <w:trPr>
          <w:trHeight w:val="541"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5B62">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35D3EB8">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门急诊自助服务系统软件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531D">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F042">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217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0EE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4847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FFF9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182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5794C47">
        <w:tblPrEx>
          <w:tblCellMar>
            <w:top w:w="0" w:type="dxa"/>
            <w:left w:w="108" w:type="dxa"/>
            <w:bottom w:w="0" w:type="dxa"/>
            <w:right w:w="108" w:type="dxa"/>
          </w:tblCellMar>
        </w:tblPrEx>
        <w:trPr>
          <w:trHeight w:val="410"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55A6">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6AD113F7">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住院自助服务系统软件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2617">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1C9B">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p w14:paraId="2995A470">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34D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288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BA16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14B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F820">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4ADDF0A5">
        <w:tblPrEx>
          <w:tblCellMar>
            <w:top w:w="0" w:type="dxa"/>
            <w:left w:w="108" w:type="dxa"/>
            <w:bottom w:w="0" w:type="dxa"/>
            <w:right w:w="108" w:type="dxa"/>
          </w:tblCellMar>
        </w:tblPrEx>
        <w:trPr>
          <w:trHeight w:val="565"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CC9A">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6A1D80F">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多功能自助打印系统软件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0F70">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4B0C">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8A4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444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CC97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A92A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515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1E94B1C7">
        <w:tblPrEx>
          <w:tblCellMar>
            <w:top w:w="0" w:type="dxa"/>
            <w:left w:w="108" w:type="dxa"/>
            <w:bottom w:w="0" w:type="dxa"/>
            <w:right w:w="108" w:type="dxa"/>
          </w:tblCellMar>
        </w:tblPrEx>
        <w:trPr>
          <w:trHeight w:val="410"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508D">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7480FA7">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自助运维管理平台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81CE">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C3B0">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ACF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48C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D8DB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2BF8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863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13B1615">
        <w:tblPrEx>
          <w:tblCellMar>
            <w:top w:w="0" w:type="dxa"/>
            <w:left w:w="108" w:type="dxa"/>
            <w:bottom w:w="0" w:type="dxa"/>
            <w:right w:w="108" w:type="dxa"/>
          </w:tblCellMar>
        </w:tblPrEx>
        <w:trPr>
          <w:trHeight w:val="609"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C1E9">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28DB7A1C">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rPr>
              <w:t>自助系统支付与对账</w:t>
            </w:r>
            <w:r>
              <w:rPr>
                <w:rFonts w:hint="eastAsia"/>
                <w:color w:val="auto"/>
                <w:highlight w:val="none"/>
                <w:lang w:val="en-US" w:eastAsia="zh-CN"/>
              </w:rPr>
              <w:t>管理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56FA">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3E26">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2B6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F02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C2A6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349E9">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5BC0">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0B02D654">
        <w:tblPrEx>
          <w:tblCellMar>
            <w:top w:w="0" w:type="dxa"/>
            <w:left w:w="108" w:type="dxa"/>
            <w:bottom w:w="0" w:type="dxa"/>
            <w:right w:w="108" w:type="dxa"/>
          </w:tblCellMar>
        </w:tblPrEx>
        <w:trPr>
          <w:trHeight w:val="410"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8EED">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1C94EAEE">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掌上医院小程序</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7E52">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olor w:val="auto"/>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CAE8">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CA9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438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C5C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3EB6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EDA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7B66F950">
        <w:tblPrEx>
          <w:tblCellMar>
            <w:top w:w="0" w:type="dxa"/>
            <w:left w:w="108" w:type="dxa"/>
            <w:bottom w:w="0" w:type="dxa"/>
            <w:right w:w="108" w:type="dxa"/>
          </w:tblCellMar>
        </w:tblPrEx>
        <w:trPr>
          <w:trHeight w:val="505"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E8586CA">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default" w:eastAsia="宋体"/>
                <w:color w:val="auto"/>
                <w:highlight w:val="none"/>
                <w:lang w:val="en-US" w:eastAsia="zh-CN"/>
              </w:rPr>
            </w:pPr>
            <w:r>
              <w:rPr>
                <w:rFonts w:hint="eastAsia"/>
                <w:color w:val="auto"/>
                <w:highlight w:val="none"/>
                <w:lang w:val="en-US" w:eastAsia="zh-CN"/>
              </w:rPr>
              <w:t>配套服务</w:t>
            </w:r>
          </w:p>
        </w:tc>
      </w:tr>
      <w:tr w14:paraId="0AE3839D">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88C2">
            <w:pPr>
              <w:pageBreakBefore w:val="0"/>
              <w:numPr>
                <w:ilvl w:val="0"/>
                <w:numId w:val="0"/>
              </w:numPr>
              <w:kinsoku/>
              <w:overflowPunct/>
              <w:autoSpaceDE/>
              <w:autoSpaceDN/>
              <w:bidi w:val="0"/>
              <w:adjustRightInd w:val="0"/>
              <w:snapToGrid w:val="0"/>
              <w:ind w:left="0" w:leftChars="0" w:firstLine="0" w:firstLineChars="0"/>
              <w:jc w:val="both"/>
              <w:rPr>
                <w:color w:val="auto"/>
                <w:highlight w:val="none"/>
              </w:rPr>
            </w:pPr>
            <w:r>
              <w:rPr>
                <w:rFonts w:hint="eastAsia"/>
                <w:color w:val="auto"/>
                <w:highlight w:val="none"/>
              </w:rPr>
              <w:t>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E38E">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B92F">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B493">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6A98">
            <w:pPr>
              <w:pageBreakBefore w:val="0"/>
              <w:kinsoku/>
              <w:overflowPunct/>
              <w:autoSpaceDE/>
              <w:autoSpaceDN/>
              <w:bidi w:val="0"/>
              <w:adjustRightInd w:val="0"/>
              <w:snapToGrid w:val="0"/>
              <w:rPr>
                <w:color w:val="auto"/>
                <w:highlight w:val="none"/>
              </w:rPr>
            </w:pPr>
            <w:r>
              <w:rPr>
                <w:rFonts w:hint="eastAsia"/>
                <w:color w:val="auto"/>
                <w:highlight w:val="none"/>
              </w:rPr>
              <w:t>单价/元（不含税）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2257">
            <w:pPr>
              <w:pageBreakBefore w:val="0"/>
              <w:kinsoku/>
              <w:overflowPunct/>
              <w:autoSpaceDE/>
              <w:autoSpaceDN/>
              <w:bidi w:val="0"/>
              <w:adjustRightInd w:val="0"/>
              <w:snapToGrid w:val="0"/>
              <w:rPr>
                <w:color w:val="auto"/>
                <w:highlight w:val="none"/>
              </w:rPr>
            </w:pPr>
            <w:r>
              <w:rPr>
                <w:rFonts w:hint="eastAsia"/>
                <w:color w:val="auto"/>
                <w:highlight w:val="none"/>
              </w:rPr>
              <w:t>单价/元（含税）</w:t>
            </w: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591D7">
            <w:pPr>
              <w:pageBreakBefore w:val="0"/>
              <w:kinsoku/>
              <w:overflowPunct/>
              <w:autoSpaceDE/>
              <w:autoSpaceDN/>
              <w:bidi w:val="0"/>
              <w:adjustRightInd w:val="0"/>
              <w:snapToGrid w:val="0"/>
              <w:rPr>
                <w:color w:val="auto"/>
                <w:highlight w:val="none"/>
              </w:rPr>
            </w:pPr>
            <w:r>
              <w:rPr>
                <w:rFonts w:hint="eastAsia"/>
                <w:color w:val="auto"/>
                <w:highlight w:val="none"/>
              </w:rPr>
              <w:t>合计/元（不含税）</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151F8">
            <w:pPr>
              <w:pageBreakBefore w:val="0"/>
              <w:kinsoku/>
              <w:overflowPunct/>
              <w:autoSpaceDE/>
              <w:autoSpaceDN/>
              <w:bidi w:val="0"/>
              <w:adjustRightInd w:val="0"/>
              <w:snapToGrid w:val="0"/>
              <w:rPr>
                <w:color w:val="auto"/>
                <w:highlight w:val="none"/>
              </w:rPr>
            </w:pPr>
            <w:r>
              <w:rPr>
                <w:rFonts w:hint="eastAsia"/>
                <w:color w:val="auto"/>
                <w:highlight w:val="none"/>
              </w:rPr>
              <w:t>合计/元（含税）</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F7A">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1E9652BE">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95B2">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087D">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8DF8">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ascii="宋体" w:hAnsi="宋体" w:cs="宋体"/>
                <w:color w:val="auto"/>
                <w:szCs w:val="21"/>
                <w:highlight w:val="none"/>
              </w:rPr>
              <w:t>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0DE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EC6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5B8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AC10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4678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763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BA12F61">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685B">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1EC6">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ascii="宋体" w:hAnsi="宋体" w:cs="宋体"/>
                <w:color w:val="auto"/>
                <w:szCs w:val="21"/>
                <w:highlight w:val="none"/>
              </w:rPr>
              <w:t>质保服务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6361">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rPr>
              <w:t>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785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A407">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F50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022C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36D0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D9B7">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AAEB310">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5B72">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B828">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ascii="宋体" w:hAnsi="宋体" w:cs="宋体"/>
                <w:color w:val="auto"/>
                <w:szCs w:val="21"/>
                <w:highlight w:val="none"/>
              </w:rPr>
              <w:t>接口对接服务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788E">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5B4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2AC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20D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533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5EE7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695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0CB8F584">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C2DA0">
            <w:pPr>
              <w:pageBreakBefore w:val="0"/>
              <w:kinsoku/>
              <w:overflowPunct/>
              <w:autoSpaceDE/>
              <w:autoSpaceDN/>
              <w:bidi w:val="0"/>
              <w:adjustRightInd w:val="0"/>
              <w:snapToGrid w:val="0"/>
              <w:rPr>
                <w:color w:val="auto"/>
                <w:highlight w:val="none"/>
              </w:rPr>
            </w:pPr>
            <w:r>
              <w:rPr>
                <w:rFonts w:hint="eastAsia"/>
                <w:color w:val="auto"/>
                <w:highlight w:val="none"/>
              </w:rPr>
              <w:t>投标报价（不含税）</w:t>
            </w:r>
          </w:p>
        </w:tc>
        <w:tc>
          <w:tcPr>
            <w:tcW w:w="258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91B237">
            <w:pPr>
              <w:pageBreakBefore w:val="0"/>
              <w:kinsoku/>
              <w:overflowPunct/>
              <w:autoSpaceDE/>
              <w:autoSpaceDN/>
              <w:bidi w:val="0"/>
              <w:adjustRightInd w:val="0"/>
              <w:snapToGrid w:val="0"/>
              <w:rPr>
                <w:color w:val="auto"/>
                <w:highlight w:val="none"/>
              </w:rPr>
            </w:pPr>
          </w:p>
        </w:tc>
      </w:tr>
      <w:tr w14:paraId="16587863">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B7694">
            <w:pPr>
              <w:pageBreakBefore w:val="0"/>
              <w:kinsoku/>
              <w:overflowPunct/>
              <w:autoSpaceDE/>
              <w:autoSpaceDN/>
              <w:bidi w:val="0"/>
              <w:adjustRightInd w:val="0"/>
              <w:snapToGrid w:val="0"/>
              <w:rPr>
                <w:color w:val="auto"/>
                <w:highlight w:val="none"/>
              </w:rPr>
            </w:pPr>
            <w:r>
              <w:rPr>
                <w:rFonts w:hint="eastAsia"/>
                <w:color w:val="auto"/>
                <w:highlight w:val="none"/>
              </w:rPr>
              <w:t>投标报价（含税）</w:t>
            </w:r>
          </w:p>
        </w:tc>
        <w:tc>
          <w:tcPr>
            <w:tcW w:w="258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22B0B0">
            <w:pPr>
              <w:pageBreakBefore w:val="0"/>
              <w:kinsoku/>
              <w:overflowPunct/>
              <w:autoSpaceDE/>
              <w:autoSpaceDN/>
              <w:bidi w:val="0"/>
              <w:adjustRightInd w:val="0"/>
              <w:snapToGrid w:val="0"/>
              <w:rPr>
                <w:color w:val="auto"/>
                <w:highlight w:val="none"/>
              </w:rPr>
            </w:pPr>
          </w:p>
        </w:tc>
      </w:tr>
      <w:tr w14:paraId="39F30EDF">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F10D2">
            <w:pPr>
              <w:pageBreakBefore w:val="0"/>
              <w:kinsoku/>
              <w:overflowPunct/>
              <w:autoSpaceDE/>
              <w:autoSpaceDN/>
              <w:bidi w:val="0"/>
              <w:adjustRightInd w:val="0"/>
              <w:snapToGrid w:val="0"/>
              <w:rPr>
                <w:rFonts w:hint="default" w:eastAsia="宋体"/>
                <w:color w:val="auto"/>
                <w:highlight w:val="none"/>
                <w:lang w:val="en-US" w:eastAsia="zh-CN"/>
              </w:rPr>
            </w:pPr>
            <w:r>
              <w:rPr>
                <w:rFonts w:hint="eastAsia"/>
                <w:color w:val="auto"/>
                <w:highlight w:val="none"/>
                <w:lang w:val="en-US" w:eastAsia="zh-CN"/>
              </w:rPr>
              <w:t>运维管理服务</w:t>
            </w:r>
          </w:p>
        </w:tc>
        <w:tc>
          <w:tcPr>
            <w:tcW w:w="258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4456">
            <w:pPr>
              <w:pageBreakBefore w:val="0"/>
              <w:kinsoku/>
              <w:overflowPunct/>
              <w:autoSpaceDE/>
              <w:autoSpaceDN/>
              <w:bidi w:val="0"/>
              <w:adjustRightInd w:val="0"/>
              <w:snapToGrid w:val="0"/>
              <w:rPr>
                <w:color w:val="auto"/>
                <w:highlight w:val="none"/>
              </w:rPr>
            </w:pPr>
            <w:r>
              <w:rPr>
                <w:rFonts w:hint="eastAsia"/>
                <w:color w:val="auto"/>
                <w:highlight w:val="none"/>
              </w:rPr>
              <w:t>3年</w:t>
            </w:r>
          </w:p>
        </w:tc>
      </w:tr>
    </w:tbl>
    <w:p w14:paraId="0802A848">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7536EBC6">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r>
        <w:rPr>
          <w:rFonts w:hint="eastAsia" w:cs="宋体"/>
          <w:color w:val="auto"/>
          <w:szCs w:val="21"/>
          <w:highlight w:val="none"/>
          <w:lang w:val="en-US" w:eastAsia="zh-CN"/>
        </w:rPr>
        <w:t>注：服务期内所有配套纸张、耗材等内容不再额外支付费用。</w:t>
      </w:r>
    </w:p>
    <w:p w14:paraId="06EAD29B">
      <w:pPr>
        <w:pageBreakBefore w:val="0"/>
        <w:kinsoku/>
        <w:overflowPunct/>
        <w:autoSpaceDE/>
        <w:autoSpaceDN/>
        <w:bidi w:val="0"/>
        <w:adjustRightInd w:val="0"/>
        <w:snapToGrid w:val="0"/>
        <w:spacing w:line="360" w:lineRule="auto"/>
        <w:ind w:firstLine="420"/>
        <w:rPr>
          <w:rFonts w:hint="eastAsia" w:cs="宋体"/>
          <w:color w:val="auto"/>
          <w:szCs w:val="21"/>
          <w:highlight w:val="none"/>
        </w:rPr>
      </w:pPr>
    </w:p>
    <w:p w14:paraId="148D6A9D">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162666BB">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8611F81">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5BC8691F">
      <w:pPr>
        <w:rPr>
          <w:rFonts w:hint="eastAsia"/>
          <w:color w:val="auto"/>
          <w:highlight w:val="none"/>
          <w:lang w:val="en-US" w:eastAsia="zh-CN"/>
        </w:rPr>
      </w:pPr>
    </w:p>
    <w:p w14:paraId="3A711FB9">
      <w:pPr>
        <w:pageBreakBefore w:val="0"/>
        <w:kinsoku/>
        <w:overflowPunct/>
        <w:autoSpaceDE/>
        <w:autoSpaceDN/>
        <w:bidi w:val="0"/>
        <w:adjustRightInd w:val="0"/>
        <w:snapToGrid w:val="0"/>
        <w:rPr>
          <w:b/>
          <w:bCs/>
          <w:i/>
          <w:iCs/>
          <w:color w:val="auto"/>
          <w:highlight w:val="none"/>
          <w:u w:val="single"/>
        </w:rPr>
      </w:pPr>
      <w:r>
        <w:rPr>
          <w:rFonts w:hint="eastAsia"/>
          <w:b/>
          <w:bCs/>
          <w:i/>
          <w:iCs/>
          <w:color w:val="auto"/>
          <w:highlight w:val="none"/>
          <w:u w:val="single"/>
          <w:lang w:val="en-US" w:eastAsia="zh-CN"/>
        </w:rPr>
        <w:t>1、</w:t>
      </w:r>
      <w:r>
        <w:rPr>
          <w:rFonts w:hint="eastAsia"/>
          <w:b/>
          <w:bCs/>
          <w:i/>
          <w:iCs/>
          <w:color w:val="auto"/>
          <w:highlight w:val="none"/>
          <w:u w:val="single"/>
        </w:rPr>
        <w:t>各投投标人需提供电子版文件，电子版中需额外提供一份与投标人在投标文件中针对本项目的分项报价表一致的excel格式的报价表。</w:t>
      </w:r>
    </w:p>
    <w:p w14:paraId="36A736E2">
      <w:pPr>
        <w:rPr>
          <w:rFonts w:hint="eastAsia"/>
          <w:b/>
          <w:bCs/>
          <w:i/>
          <w:iCs/>
          <w:color w:val="auto"/>
          <w:highlight w:val="none"/>
          <w:u w:val="single"/>
          <w:lang w:val="en-US" w:eastAsia="zh-CN"/>
        </w:rPr>
      </w:pPr>
      <w:r>
        <w:rPr>
          <w:rFonts w:hint="eastAsia"/>
          <w:b/>
          <w:bCs/>
          <w:i/>
          <w:iCs/>
          <w:color w:val="auto"/>
          <w:highlight w:val="none"/>
          <w:u w:val="single"/>
          <w:lang w:val="en-US" w:eastAsia="zh-CN"/>
        </w:rPr>
        <w:t>2、分项报价表严禁总价让利。</w:t>
      </w:r>
    </w:p>
    <w:p w14:paraId="1A776858">
      <w:pPr>
        <w:rPr>
          <w:rFonts w:hint="eastAsia"/>
          <w:color w:val="auto"/>
          <w:highlight w:val="none"/>
          <w:lang w:val="en-US" w:eastAsia="zh-CN"/>
        </w:rPr>
      </w:pPr>
      <w:r>
        <w:rPr>
          <w:rFonts w:hint="eastAsia"/>
          <w:b/>
          <w:bCs/>
          <w:i/>
          <w:iCs/>
          <w:color w:val="auto"/>
          <w:highlight w:val="none"/>
          <w:u w:val="single"/>
          <w:lang w:val="en-US" w:eastAsia="zh-CN"/>
        </w:rPr>
        <w:t>3、分项报价表中所列明的项目不接受“免费”或“赠与”，也不得进行“零元”报价。</w:t>
      </w:r>
      <w:r>
        <w:rPr>
          <w:rFonts w:hint="eastAsia"/>
          <w:color w:val="auto"/>
          <w:highlight w:val="none"/>
          <w:lang w:val="en-US" w:eastAsia="zh-CN"/>
        </w:rPr>
        <w:br w:type="page"/>
      </w:r>
    </w:p>
    <w:p w14:paraId="05FEFE94">
      <w:pPr>
        <w:pageBreakBefore w:val="0"/>
        <w:kinsoku/>
        <w:overflowPunct/>
        <w:autoSpaceDE/>
        <w:autoSpaceDN/>
        <w:bidi w:val="0"/>
        <w:adjustRightInd w:val="0"/>
        <w:snapToGrid w:val="0"/>
        <w:spacing w:line="360" w:lineRule="auto"/>
        <w:ind w:firstLine="420"/>
        <w:jc w:val="center"/>
        <w:rPr>
          <w:rFonts w:hint="default" w:cs="宋体"/>
          <w:b/>
          <w:bCs/>
          <w:color w:val="auto"/>
          <w:szCs w:val="21"/>
          <w:highlight w:val="none"/>
          <w:lang w:val="en-US" w:eastAsia="zh-CN"/>
        </w:rPr>
      </w:pPr>
      <w:r>
        <w:rPr>
          <w:rFonts w:hint="eastAsia"/>
          <w:b/>
          <w:bCs/>
          <w:color w:val="auto"/>
          <w:highlight w:val="none"/>
          <w:lang w:val="en-US" w:eastAsia="zh-CN"/>
        </w:rPr>
        <w:t>（二）维保期管理服务费用（每年）分项报价表</w:t>
      </w:r>
    </w:p>
    <w:tbl>
      <w:tblPr>
        <w:tblStyle w:val="45"/>
        <w:tblW w:w="4997" w:type="pct"/>
        <w:tblInd w:w="0" w:type="dxa"/>
        <w:tblLayout w:type="autofit"/>
        <w:tblCellMar>
          <w:top w:w="0" w:type="dxa"/>
          <w:left w:w="108" w:type="dxa"/>
          <w:bottom w:w="0" w:type="dxa"/>
          <w:right w:w="108" w:type="dxa"/>
        </w:tblCellMar>
      </w:tblPr>
      <w:tblGrid>
        <w:gridCol w:w="461"/>
        <w:gridCol w:w="2477"/>
        <w:gridCol w:w="508"/>
        <w:gridCol w:w="661"/>
        <w:gridCol w:w="876"/>
        <w:gridCol w:w="874"/>
        <w:gridCol w:w="876"/>
        <w:gridCol w:w="903"/>
        <w:gridCol w:w="881"/>
      </w:tblGrid>
      <w:tr w14:paraId="1C35438B">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C8D3">
            <w:pPr>
              <w:pageBreakBefore w:val="0"/>
              <w:numPr>
                <w:ilvl w:val="0"/>
                <w:numId w:val="0"/>
              </w:numPr>
              <w:kinsoku/>
              <w:overflowPunct/>
              <w:autoSpaceDE/>
              <w:autoSpaceDN/>
              <w:bidi w:val="0"/>
              <w:adjustRightInd w:val="0"/>
              <w:snapToGrid w:val="0"/>
              <w:ind w:left="0" w:leftChars="0" w:firstLine="0" w:firstLineChars="0"/>
              <w:jc w:val="both"/>
              <w:rPr>
                <w:color w:val="auto"/>
                <w:highlight w:val="none"/>
              </w:rPr>
            </w:pPr>
            <w:r>
              <w:rPr>
                <w:rFonts w:hint="eastAsia"/>
                <w:color w:val="auto"/>
                <w:highlight w:val="none"/>
              </w:rPr>
              <w:t>序号</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80D5">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项目</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E1EC">
            <w:pPr>
              <w:pageBreakBefore w:val="0"/>
              <w:kinsoku/>
              <w:overflowPunct/>
              <w:autoSpaceDE/>
              <w:autoSpaceDN/>
              <w:bidi w:val="0"/>
              <w:adjustRightInd w:val="0"/>
              <w:snapToGrid w:val="0"/>
              <w:rPr>
                <w:color w:val="auto"/>
                <w:highlight w:val="none"/>
              </w:rPr>
            </w:pPr>
            <w:r>
              <w:rPr>
                <w:rFonts w:hint="eastAsia"/>
                <w:color w:val="auto"/>
                <w:highlight w:val="none"/>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4C7B">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B69B">
            <w:pPr>
              <w:pageBreakBefore w:val="0"/>
              <w:kinsoku/>
              <w:overflowPunct/>
              <w:autoSpaceDE/>
              <w:autoSpaceDN/>
              <w:bidi w:val="0"/>
              <w:adjustRightInd w:val="0"/>
              <w:snapToGrid w:val="0"/>
              <w:rPr>
                <w:color w:val="auto"/>
                <w:highlight w:val="none"/>
              </w:rPr>
            </w:pPr>
            <w:r>
              <w:rPr>
                <w:rFonts w:hint="eastAsia"/>
                <w:color w:val="auto"/>
                <w:highlight w:val="none"/>
              </w:rPr>
              <w:t>单价/元（不含税）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887D">
            <w:pPr>
              <w:pageBreakBefore w:val="0"/>
              <w:kinsoku/>
              <w:overflowPunct/>
              <w:autoSpaceDE/>
              <w:autoSpaceDN/>
              <w:bidi w:val="0"/>
              <w:adjustRightInd w:val="0"/>
              <w:snapToGrid w:val="0"/>
              <w:rPr>
                <w:color w:val="auto"/>
                <w:highlight w:val="none"/>
              </w:rPr>
            </w:pPr>
            <w:r>
              <w:rPr>
                <w:rFonts w:hint="eastAsia"/>
                <w:color w:val="auto"/>
                <w:highlight w:val="none"/>
              </w:rPr>
              <w:t>单价/元（含税）</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C000">
            <w:pPr>
              <w:pageBreakBefore w:val="0"/>
              <w:kinsoku/>
              <w:overflowPunct/>
              <w:autoSpaceDE/>
              <w:autoSpaceDN/>
              <w:bidi w:val="0"/>
              <w:adjustRightInd w:val="0"/>
              <w:snapToGrid w:val="0"/>
              <w:rPr>
                <w:color w:val="auto"/>
                <w:highlight w:val="none"/>
              </w:rPr>
            </w:pPr>
            <w:r>
              <w:rPr>
                <w:rFonts w:hint="eastAsia"/>
                <w:color w:val="auto"/>
                <w:highlight w:val="none"/>
              </w:rPr>
              <w:t>合计/元（不含税）</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AF96">
            <w:pPr>
              <w:pageBreakBefore w:val="0"/>
              <w:kinsoku/>
              <w:overflowPunct/>
              <w:autoSpaceDE/>
              <w:autoSpaceDN/>
              <w:bidi w:val="0"/>
              <w:adjustRightInd w:val="0"/>
              <w:snapToGrid w:val="0"/>
              <w:rPr>
                <w:color w:val="auto"/>
                <w:highlight w:val="none"/>
              </w:rPr>
            </w:pPr>
            <w:r>
              <w:rPr>
                <w:rFonts w:hint="eastAsia"/>
                <w:color w:val="auto"/>
                <w:highlight w:val="none"/>
              </w:rPr>
              <w:t>合计/元（含税）</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6146">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0B80F952">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BEF4">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0F31">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color w:val="auto"/>
                <w:highlight w:val="none"/>
              </w:rPr>
              <w:t>黑白打印</w:t>
            </w:r>
            <w:r>
              <w:rPr>
                <w:rFonts w:hint="eastAsia"/>
                <w:color w:val="auto"/>
                <w:highlight w:val="none"/>
                <w:lang w:val="en-US" w:eastAsia="zh-CN"/>
              </w:rPr>
              <w:t>纸</w:t>
            </w:r>
            <w:r>
              <w:rPr>
                <w:rFonts w:hint="eastAsia"/>
                <w:color w:val="auto"/>
                <w:highlight w:val="none"/>
                <w:lang w:eastAsia="zh-CN"/>
              </w:rPr>
              <w:t>（A</w:t>
            </w:r>
            <w:r>
              <w:rPr>
                <w:rFonts w:hint="eastAsia"/>
                <w:color w:val="auto"/>
                <w:highlight w:val="none"/>
                <w:lang w:val="en-US" w:eastAsia="zh-CN"/>
              </w:rPr>
              <w:t>4，</w:t>
            </w:r>
            <w:r>
              <w:rPr>
                <w:rFonts w:hint="eastAsia"/>
                <w:color w:val="auto"/>
                <w:highlight w:val="none"/>
              </w:rPr>
              <w:t>8</w:t>
            </w:r>
            <w:r>
              <w:rPr>
                <w:color w:val="auto"/>
                <w:highlight w:val="none"/>
              </w:rPr>
              <w:t>0</w:t>
            </w:r>
            <w:r>
              <w:rPr>
                <w:rFonts w:hint="eastAsia"/>
                <w:color w:val="auto"/>
                <w:highlight w:val="none"/>
              </w:rPr>
              <w:t>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D9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30DA">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3FD0">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194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F7E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A52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132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F7AB321">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06A0">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FE20">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黑白打印</w:t>
            </w:r>
            <w:r>
              <w:rPr>
                <w:rFonts w:hint="eastAsia"/>
                <w:color w:val="auto"/>
                <w:highlight w:val="none"/>
                <w:lang w:val="en-US" w:eastAsia="zh-CN"/>
              </w:rPr>
              <w:t>纸</w:t>
            </w:r>
            <w:r>
              <w:rPr>
                <w:rFonts w:hint="eastAsia"/>
                <w:color w:val="auto"/>
                <w:highlight w:val="none"/>
                <w:lang w:eastAsia="zh-CN"/>
              </w:rPr>
              <w:t>（A5，</w:t>
            </w:r>
            <w:r>
              <w:rPr>
                <w:rFonts w:hint="eastAsia"/>
                <w:color w:val="auto"/>
                <w:highlight w:val="none"/>
              </w:rPr>
              <w:t>8</w:t>
            </w:r>
            <w:r>
              <w:rPr>
                <w:color w:val="auto"/>
                <w:highlight w:val="none"/>
              </w:rPr>
              <w:t>0</w:t>
            </w:r>
            <w:r>
              <w:rPr>
                <w:rFonts w:hint="eastAsia"/>
                <w:color w:val="auto"/>
                <w:highlight w:val="none"/>
              </w:rPr>
              <w:t>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A9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35ED">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6000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0FC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018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DB3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F48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D59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40686199">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1BC4">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F043">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黑白打印</w:t>
            </w:r>
            <w:r>
              <w:rPr>
                <w:rFonts w:hint="eastAsia"/>
                <w:color w:val="auto"/>
                <w:highlight w:val="none"/>
                <w:lang w:val="en-US" w:eastAsia="zh-CN"/>
              </w:rPr>
              <w:t>纸</w:t>
            </w:r>
            <w:r>
              <w:rPr>
                <w:rFonts w:hint="eastAsia"/>
                <w:color w:val="auto"/>
                <w:highlight w:val="none"/>
                <w:lang w:eastAsia="zh-CN"/>
              </w:rPr>
              <w:t>16K，</w:t>
            </w:r>
            <w:r>
              <w:rPr>
                <w:rFonts w:hint="eastAsia"/>
                <w:color w:val="auto"/>
                <w:highlight w:val="none"/>
              </w:rPr>
              <w:t>8</w:t>
            </w:r>
            <w:r>
              <w:rPr>
                <w:color w:val="auto"/>
                <w:highlight w:val="none"/>
              </w:rPr>
              <w:t>0</w:t>
            </w:r>
            <w:r>
              <w:rPr>
                <w:rFonts w:hint="eastAsia"/>
                <w:color w:val="auto"/>
                <w:highlight w:val="none"/>
              </w:rPr>
              <w:t>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26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B0BC">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4000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F10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92E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55E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AE47">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928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4D29EBEB">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EF48">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B017">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color w:val="auto"/>
                <w:highlight w:val="none"/>
              </w:rPr>
              <w:t>彩色打印</w:t>
            </w:r>
            <w:r>
              <w:rPr>
                <w:rFonts w:hint="eastAsia"/>
                <w:color w:val="auto"/>
                <w:highlight w:val="none"/>
                <w:lang w:val="en-US" w:eastAsia="zh-CN"/>
              </w:rPr>
              <w:t>纸</w:t>
            </w:r>
            <w:r>
              <w:rPr>
                <w:rFonts w:hint="eastAsia"/>
                <w:color w:val="auto"/>
                <w:highlight w:val="none"/>
              </w:rPr>
              <w:t xml:space="preserve"> </w:t>
            </w:r>
            <w:r>
              <w:rPr>
                <w:rFonts w:hint="eastAsia"/>
                <w:color w:val="auto"/>
                <w:highlight w:val="none"/>
                <w:lang w:eastAsia="zh-CN"/>
              </w:rPr>
              <w:t>（A</w:t>
            </w:r>
            <w:r>
              <w:rPr>
                <w:rFonts w:hint="eastAsia"/>
                <w:color w:val="auto"/>
                <w:highlight w:val="none"/>
                <w:lang w:val="en-US" w:eastAsia="zh-CN"/>
              </w:rPr>
              <w:t>4，</w:t>
            </w:r>
            <w:r>
              <w:rPr>
                <w:rFonts w:hint="eastAsia"/>
                <w:color w:val="auto"/>
                <w:highlight w:val="none"/>
              </w:rPr>
              <w:t>80克）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0B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5777">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D57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738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C209">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540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043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8293C5E">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16A4">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CC78">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olor w:val="auto"/>
                <w:highlight w:val="none"/>
              </w:rPr>
              <w:t>凭条打印</w:t>
            </w:r>
            <w:r>
              <w:rPr>
                <w:rFonts w:hint="eastAsia"/>
                <w:color w:val="auto"/>
                <w:highlight w:val="none"/>
                <w:lang w:val="en-US" w:eastAsia="zh-CN"/>
              </w:rPr>
              <w:t>纸（长度39米）80mm*80mm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86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2FA8">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2万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349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4C9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F25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921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822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3F445D1">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669E">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E0F5">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color w:val="auto"/>
                <w:highlight w:val="none"/>
              </w:rPr>
              <w:t>腕带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D7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9D5E">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12万根</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591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3D6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389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8F4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584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72828B19">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485A">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6F71">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s="Times New Roman"/>
                <w:color w:val="auto"/>
                <w:sz w:val="21"/>
                <w:szCs w:val="22"/>
                <w:highlight w:val="none"/>
                <w:lang w:val="en-US" w:eastAsia="zh-CN" w:bidi="ar-SA"/>
              </w:rPr>
              <w:t>软、硬件升级维护</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06D2">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s="Times New Roman"/>
                <w:color w:val="auto"/>
                <w:sz w:val="21"/>
                <w:szCs w:val="22"/>
                <w:highlight w:val="none"/>
                <w:lang w:val="en-US" w:eastAsia="zh-CN" w:bidi="ar-SA"/>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A0D7">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highlight w:val="none"/>
                <w:lang w:val="en-US" w:eastAsia="zh-CN"/>
              </w:rPr>
            </w:pPr>
            <w:r>
              <w:rPr>
                <w:rFonts w:hint="eastAsia"/>
                <w:color w:val="auto"/>
                <w:highlight w:val="none"/>
                <w:lang w:val="en-US" w:eastAsia="zh-CN"/>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FA4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9AE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D53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1F4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7DB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42AFAC8">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CD4F">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A46F">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F5C6">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s="Times New Roman"/>
                <w:color w:val="auto"/>
                <w:sz w:val="21"/>
                <w:szCs w:val="22"/>
                <w:highlight w:val="none"/>
                <w:lang w:val="en-US" w:eastAsia="zh-CN" w:bidi="ar-SA"/>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4641">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4人</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D6C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DDA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BD5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8E6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0FC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78B68A64">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644F5">
            <w:pPr>
              <w:pageBreakBefore w:val="0"/>
              <w:kinsoku/>
              <w:overflowPunct/>
              <w:autoSpaceDE/>
              <w:autoSpaceDN/>
              <w:bidi w:val="0"/>
              <w:adjustRightInd w:val="0"/>
              <w:snapToGrid w:val="0"/>
              <w:rPr>
                <w:color w:val="auto"/>
                <w:highlight w:val="none"/>
              </w:rPr>
            </w:pPr>
            <w:r>
              <w:rPr>
                <w:rFonts w:hint="eastAsia"/>
                <w:color w:val="auto"/>
                <w:highlight w:val="none"/>
              </w:rPr>
              <w:t>投标报价（不含税）</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87E24">
            <w:pPr>
              <w:pageBreakBefore w:val="0"/>
              <w:kinsoku/>
              <w:overflowPunct/>
              <w:autoSpaceDE/>
              <w:autoSpaceDN/>
              <w:bidi w:val="0"/>
              <w:adjustRightInd w:val="0"/>
              <w:snapToGrid w:val="0"/>
              <w:rPr>
                <w:color w:val="auto"/>
                <w:highlight w:val="none"/>
              </w:rPr>
            </w:pPr>
          </w:p>
        </w:tc>
      </w:tr>
      <w:tr w14:paraId="31B97C28">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85473">
            <w:pPr>
              <w:pageBreakBefore w:val="0"/>
              <w:kinsoku/>
              <w:overflowPunct/>
              <w:autoSpaceDE/>
              <w:autoSpaceDN/>
              <w:bidi w:val="0"/>
              <w:adjustRightInd w:val="0"/>
              <w:snapToGrid w:val="0"/>
              <w:rPr>
                <w:color w:val="auto"/>
                <w:highlight w:val="none"/>
              </w:rPr>
            </w:pPr>
            <w:r>
              <w:rPr>
                <w:rFonts w:hint="eastAsia"/>
                <w:color w:val="auto"/>
                <w:highlight w:val="none"/>
              </w:rPr>
              <w:t>投标报价（含税）</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9989B">
            <w:pPr>
              <w:pageBreakBefore w:val="0"/>
              <w:kinsoku/>
              <w:overflowPunct/>
              <w:autoSpaceDE/>
              <w:autoSpaceDN/>
              <w:bidi w:val="0"/>
              <w:adjustRightInd w:val="0"/>
              <w:snapToGrid w:val="0"/>
              <w:rPr>
                <w:color w:val="auto"/>
                <w:highlight w:val="none"/>
              </w:rPr>
            </w:pPr>
          </w:p>
        </w:tc>
      </w:tr>
    </w:tbl>
    <w:p w14:paraId="13F147C1">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5CB6E52D">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r>
        <w:rPr>
          <w:rFonts w:hint="eastAsia" w:cs="宋体"/>
          <w:color w:val="auto"/>
          <w:szCs w:val="21"/>
          <w:highlight w:val="none"/>
          <w:lang w:val="en-US" w:eastAsia="zh-CN"/>
        </w:rPr>
        <w:t>注：维保期所有配套纸张按实结算，所有配套耗材费用将折算到相对应打印纸张费用上。</w:t>
      </w:r>
    </w:p>
    <w:p w14:paraId="59C50738">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6DBA79AA">
      <w:pPr>
        <w:pageBreakBefore w:val="0"/>
        <w:kinsoku/>
        <w:overflowPunct/>
        <w:autoSpaceDE/>
        <w:autoSpaceDN/>
        <w:bidi w:val="0"/>
        <w:adjustRightInd w:val="0"/>
        <w:snapToGrid w:val="0"/>
        <w:spacing w:line="360" w:lineRule="auto"/>
        <w:ind w:firstLine="420"/>
        <w:rPr>
          <w:rFonts w:hint="default" w:cs="宋体"/>
          <w:color w:val="auto"/>
          <w:szCs w:val="21"/>
          <w:highlight w:val="none"/>
          <w:lang w:val="en-US" w:eastAsia="zh-CN"/>
        </w:rPr>
      </w:pPr>
    </w:p>
    <w:p w14:paraId="200524A7">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3F306ECA">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7CFFB49">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446EEC1F">
      <w:pPr>
        <w:pageBreakBefore w:val="0"/>
        <w:kinsoku/>
        <w:overflowPunct/>
        <w:autoSpaceDE/>
        <w:autoSpaceDN/>
        <w:bidi w:val="0"/>
        <w:adjustRightInd w:val="0"/>
        <w:snapToGrid w:val="0"/>
        <w:spacing w:line="360" w:lineRule="auto"/>
        <w:ind w:firstLine="422"/>
        <w:rPr>
          <w:rFonts w:hint="eastAsia" w:cs="宋体"/>
          <w:b/>
          <w:color w:val="auto"/>
          <w:szCs w:val="21"/>
          <w:highlight w:val="none"/>
        </w:rPr>
      </w:pPr>
    </w:p>
    <w:p w14:paraId="18467280">
      <w:pPr>
        <w:pageBreakBefore w:val="0"/>
        <w:kinsoku/>
        <w:overflowPunct/>
        <w:autoSpaceDE/>
        <w:autoSpaceDN/>
        <w:bidi w:val="0"/>
        <w:adjustRightInd w:val="0"/>
        <w:snapToGrid w:val="0"/>
        <w:rPr>
          <w:b/>
          <w:bCs/>
          <w:i/>
          <w:iCs/>
          <w:color w:val="auto"/>
          <w:highlight w:val="none"/>
          <w:u w:val="single"/>
        </w:rPr>
      </w:pPr>
      <w:r>
        <w:rPr>
          <w:rFonts w:hint="eastAsia"/>
          <w:b/>
          <w:bCs/>
          <w:i/>
          <w:iCs/>
          <w:color w:val="auto"/>
          <w:highlight w:val="none"/>
          <w:u w:val="single"/>
          <w:lang w:val="en-US" w:eastAsia="zh-CN"/>
        </w:rPr>
        <w:t>1、</w:t>
      </w:r>
      <w:r>
        <w:rPr>
          <w:rFonts w:hint="eastAsia"/>
          <w:b/>
          <w:bCs/>
          <w:i/>
          <w:iCs/>
          <w:color w:val="auto"/>
          <w:highlight w:val="none"/>
          <w:u w:val="single"/>
        </w:rPr>
        <w:t>各投投标人需提供电子版文件，电子版中需额外提供一份与投标人在投标文件中针对本项目的分项报价表一致的excel格式的报价表。</w:t>
      </w:r>
    </w:p>
    <w:p w14:paraId="215720D4">
      <w:pPr>
        <w:rPr>
          <w:rFonts w:hint="eastAsia"/>
          <w:b/>
          <w:bCs/>
          <w:i/>
          <w:iCs/>
          <w:color w:val="auto"/>
          <w:highlight w:val="none"/>
          <w:u w:val="single"/>
          <w:lang w:val="en-US" w:eastAsia="zh-CN"/>
        </w:rPr>
      </w:pPr>
      <w:r>
        <w:rPr>
          <w:rFonts w:hint="eastAsia"/>
          <w:b/>
          <w:bCs/>
          <w:i/>
          <w:iCs/>
          <w:color w:val="auto"/>
          <w:highlight w:val="none"/>
          <w:u w:val="single"/>
          <w:lang w:val="en-US" w:eastAsia="zh-CN"/>
        </w:rPr>
        <w:t>2、分项报价表严禁总价让利。</w:t>
      </w:r>
    </w:p>
    <w:p w14:paraId="0001224B">
      <w:pPr>
        <w:pageBreakBefore w:val="0"/>
        <w:kinsoku/>
        <w:overflowPunct/>
        <w:autoSpaceDE/>
        <w:autoSpaceDN/>
        <w:bidi w:val="0"/>
        <w:adjustRightInd w:val="0"/>
        <w:snapToGrid w:val="0"/>
        <w:rPr>
          <w:rFonts w:cs="宋体"/>
          <w:b/>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b/>
          <w:bCs/>
          <w:i/>
          <w:iCs/>
          <w:color w:val="auto"/>
          <w:highlight w:val="none"/>
          <w:u w:val="single"/>
          <w:lang w:val="en-US" w:eastAsia="zh-CN"/>
        </w:rPr>
        <w:t>3、分项报价表中所列明的项目不接受“免费”或“赠与”，也不得进行“零元”报价。</w:t>
      </w:r>
      <w:r>
        <w:rPr>
          <w:rFonts w:hint="eastAsia" w:cs="宋体"/>
          <w:b/>
          <w:color w:val="auto"/>
          <w:szCs w:val="21"/>
          <w:highlight w:val="none"/>
        </w:rPr>
        <w:br w:type="page" w:clear="all"/>
      </w:r>
    </w:p>
    <w:p w14:paraId="3130AD61">
      <w:pPr>
        <w:pageBreakBefore w:val="0"/>
        <w:kinsoku/>
        <w:overflowPunct/>
        <w:autoSpaceDE/>
        <w:autoSpaceDN/>
        <w:bidi w:val="0"/>
        <w:adjustRightInd w:val="0"/>
        <w:snapToGrid w:val="0"/>
        <w:spacing w:line="360" w:lineRule="auto"/>
        <w:ind w:firstLine="422"/>
        <w:jc w:val="center"/>
        <w:rPr>
          <w:rFonts w:hint="eastAsia"/>
          <w:b/>
          <w:color w:val="auto"/>
          <w:szCs w:val="21"/>
          <w:highlight w:val="none"/>
        </w:rPr>
      </w:pPr>
      <w:r>
        <w:rPr>
          <w:rFonts w:hint="eastAsia"/>
          <w:b/>
          <w:color w:val="auto"/>
          <w:szCs w:val="21"/>
          <w:highlight w:val="none"/>
          <w:lang w:val="en-US" w:eastAsia="zh-CN"/>
        </w:rPr>
        <w:t>五</w:t>
      </w:r>
      <w:r>
        <w:rPr>
          <w:rFonts w:hint="eastAsia"/>
          <w:b/>
          <w:color w:val="auto"/>
          <w:szCs w:val="21"/>
          <w:highlight w:val="none"/>
        </w:rPr>
        <w:t>、供货一览表</w:t>
      </w:r>
    </w:p>
    <w:p w14:paraId="1B0684E4">
      <w:pPr>
        <w:spacing w:after="312" w:after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投标人全称（加盖公章）：</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882"/>
        <w:gridCol w:w="1532"/>
        <w:gridCol w:w="1635"/>
        <w:gridCol w:w="1159"/>
      </w:tblGrid>
      <w:tr w14:paraId="3BE3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5558C588">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773F5D2F">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品牌及型号</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06D20A3B">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C5545C6">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FAB709A">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交货期</w:t>
            </w:r>
          </w:p>
        </w:tc>
      </w:tr>
      <w:tr w14:paraId="0368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46739A64">
            <w:pPr>
              <w:adjustRightInd w:val="0"/>
              <w:snapToGrid w:val="0"/>
              <w:spacing w:after="200" w:line="220" w:lineRule="atLeast"/>
              <w:jc w:val="center"/>
              <w:rPr>
                <w:rFonts w:hint="eastAsia" w:ascii="宋体" w:hAnsi="宋体" w:eastAsia="宋体" w:cs="宋体"/>
                <w:color w:val="auto"/>
                <w:highlight w:val="none"/>
                <w:lang w:eastAsia="zh-CN"/>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0EDC88DF">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65E3F1C7">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4A99893A">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16C1F726">
            <w:pPr>
              <w:adjustRightInd w:val="0"/>
              <w:snapToGrid w:val="0"/>
              <w:spacing w:after="200" w:line="220" w:lineRule="atLeast"/>
              <w:jc w:val="center"/>
              <w:rPr>
                <w:rFonts w:hint="eastAsia" w:ascii="宋体" w:hAnsi="宋体" w:eastAsia="宋体" w:cs="宋体"/>
                <w:color w:val="auto"/>
                <w:highlight w:val="none"/>
              </w:rPr>
            </w:pPr>
          </w:p>
        </w:tc>
      </w:tr>
      <w:tr w14:paraId="049E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531C4E39">
            <w:pPr>
              <w:adjustRightInd w:val="0"/>
              <w:snapToGrid w:val="0"/>
              <w:spacing w:after="200" w:line="220" w:lineRule="atLeast"/>
              <w:jc w:val="center"/>
              <w:rPr>
                <w:rFonts w:hint="eastAsia" w:ascii="宋体" w:hAnsi="宋体" w:eastAsia="宋体" w:cs="宋体"/>
                <w:color w:val="auto"/>
                <w:highlight w:val="none"/>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6D0B7B3F">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140B79C2">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70B29A27">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3F0547C6">
            <w:pPr>
              <w:adjustRightInd w:val="0"/>
              <w:snapToGrid w:val="0"/>
              <w:spacing w:after="200" w:line="220" w:lineRule="atLeast"/>
              <w:jc w:val="center"/>
              <w:rPr>
                <w:rFonts w:hint="eastAsia" w:ascii="宋体" w:hAnsi="宋体" w:eastAsia="宋体" w:cs="宋体"/>
                <w:color w:val="auto"/>
                <w:highlight w:val="none"/>
              </w:rPr>
            </w:pPr>
          </w:p>
        </w:tc>
      </w:tr>
      <w:tr w14:paraId="66C3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4ADD6E61">
            <w:pPr>
              <w:adjustRightInd w:val="0"/>
              <w:snapToGrid w:val="0"/>
              <w:spacing w:after="200" w:line="220" w:lineRule="atLeast"/>
              <w:jc w:val="center"/>
              <w:rPr>
                <w:rFonts w:hint="eastAsia" w:ascii="宋体" w:hAnsi="宋体" w:eastAsia="宋体" w:cs="宋体"/>
                <w:color w:val="auto"/>
                <w:highlight w:val="none"/>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23C635B9">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57B2094A">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7BBC1632">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78DBB199">
            <w:pPr>
              <w:adjustRightInd w:val="0"/>
              <w:snapToGrid w:val="0"/>
              <w:spacing w:after="200" w:line="220" w:lineRule="atLeast"/>
              <w:jc w:val="center"/>
              <w:rPr>
                <w:rFonts w:hint="eastAsia" w:ascii="宋体" w:hAnsi="宋体" w:eastAsia="宋体" w:cs="宋体"/>
                <w:color w:val="auto"/>
                <w:highlight w:val="none"/>
              </w:rPr>
            </w:pPr>
          </w:p>
        </w:tc>
      </w:tr>
      <w:tr w14:paraId="272A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0B988992">
            <w:pPr>
              <w:adjustRightInd w:val="0"/>
              <w:snapToGrid w:val="0"/>
              <w:spacing w:after="200" w:line="220" w:lineRule="atLeast"/>
              <w:jc w:val="center"/>
              <w:rPr>
                <w:rFonts w:hint="eastAsia" w:ascii="宋体" w:hAnsi="宋体" w:eastAsia="宋体" w:cs="宋体"/>
                <w:color w:val="auto"/>
                <w:highlight w:val="none"/>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54B99A79">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11779E69">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0AE72D0D">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5299F1CF">
            <w:pPr>
              <w:adjustRightInd w:val="0"/>
              <w:snapToGrid w:val="0"/>
              <w:spacing w:after="200" w:line="220" w:lineRule="atLeast"/>
              <w:jc w:val="center"/>
              <w:rPr>
                <w:rFonts w:hint="eastAsia" w:ascii="宋体" w:hAnsi="宋体" w:eastAsia="宋体" w:cs="宋体"/>
                <w:color w:val="auto"/>
                <w:highlight w:val="none"/>
              </w:rPr>
            </w:pPr>
          </w:p>
        </w:tc>
      </w:tr>
    </w:tbl>
    <w:p w14:paraId="667CD37D">
      <w:pPr>
        <w:rPr>
          <w:rFonts w:hint="eastAsia" w:ascii="宋体" w:hAnsi="宋体" w:eastAsia="宋体" w:cs="宋体"/>
          <w:color w:val="auto"/>
          <w:highlight w:val="none"/>
        </w:rPr>
      </w:pPr>
    </w:p>
    <w:p w14:paraId="4F905123">
      <w:pPr>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w:t>
      </w:r>
    </w:p>
    <w:p w14:paraId="21478265">
      <w:pPr>
        <w:rPr>
          <w:rFonts w:hint="eastAsia" w:ascii="宋体" w:hAnsi="宋体" w:eastAsia="宋体" w:cs="宋体"/>
          <w:color w:val="auto"/>
          <w:kern w:val="0"/>
          <w:sz w:val="24"/>
          <w:szCs w:val="24"/>
          <w:highlight w:val="none"/>
        </w:rPr>
      </w:pPr>
    </w:p>
    <w:p w14:paraId="246EDB2E">
      <w:pPr>
        <w:jc w:val="left"/>
        <w:rPr>
          <w:rFonts w:hint="eastAsia" w:ascii="宋体" w:hAnsi="宋体" w:eastAsia="宋体" w:cs="宋体"/>
          <w:color w:val="auto"/>
          <w:sz w:val="24"/>
          <w:szCs w:val="24"/>
          <w:highlight w:val="none"/>
        </w:rPr>
      </w:pPr>
    </w:p>
    <w:p w14:paraId="56C919B6">
      <w:pPr>
        <w:jc w:val="right"/>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p>
    <w:p w14:paraId="631DC72F">
      <w:pPr>
        <w:rPr>
          <w:rFonts w:hint="eastAsia"/>
          <w:b/>
          <w:color w:val="auto"/>
          <w:szCs w:val="21"/>
          <w:highlight w:val="none"/>
          <w:lang w:val="en-US" w:eastAsia="zh-CN"/>
        </w:rPr>
      </w:pPr>
    </w:p>
    <w:p w14:paraId="129F32A8">
      <w:pPr>
        <w:rPr>
          <w:rFonts w:hint="eastAsia"/>
          <w:b/>
          <w:color w:val="auto"/>
          <w:szCs w:val="21"/>
          <w:highlight w:val="none"/>
          <w:lang w:val="en-US" w:eastAsia="zh-CN"/>
        </w:rPr>
      </w:pPr>
      <w:r>
        <w:rPr>
          <w:rFonts w:hint="eastAsia"/>
          <w:b/>
          <w:color w:val="auto"/>
          <w:szCs w:val="21"/>
          <w:highlight w:val="none"/>
          <w:lang w:val="en-US" w:eastAsia="zh-CN"/>
        </w:rPr>
        <w:br w:type="page"/>
      </w:r>
    </w:p>
    <w:p w14:paraId="19B47894">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lang w:val="en-US" w:eastAsia="zh-CN"/>
        </w:rPr>
        <w:t>六、</w:t>
      </w:r>
      <w:r>
        <w:rPr>
          <w:rFonts w:hint="eastAsia"/>
          <w:b/>
          <w:color w:val="auto"/>
          <w:szCs w:val="21"/>
          <w:highlight w:val="none"/>
        </w:rPr>
        <w:t>技术参数响应及偏离表</w:t>
      </w:r>
    </w:p>
    <w:p w14:paraId="51BF62AB">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623"/>
        <w:gridCol w:w="2623"/>
        <w:gridCol w:w="1243"/>
        <w:gridCol w:w="1102"/>
      </w:tblGrid>
      <w:tr w14:paraId="27F7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6" w:type="pct"/>
            <w:tcBorders>
              <w:top w:val="single" w:color="auto" w:sz="4" w:space="0"/>
              <w:left w:val="single" w:color="auto" w:sz="4" w:space="0"/>
              <w:bottom w:val="single" w:color="auto" w:sz="4" w:space="0"/>
              <w:right w:val="single" w:color="auto" w:sz="4" w:space="0"/>
            </w:tcBorders>
            <w:noWrap w:val="0"/>
            <w:vAlign w:val="center"/>
          </w:tcPr>
          <w:p w14:paraId="21B7D12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序号</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5EC85449">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招标要求</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69A32D4A">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投标响应</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259829D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超出、符合或偏离</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5A85231E">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原因</w:t>
            </w:r>
          </w:p>
        </w:tc>
      </w:tr>
      <w:tr w14:paraId="679F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4D346449">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3798573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41828D0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6F3D2582">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565F53D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24D2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47B8BFC6">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2AE3718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4234EDDF">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15D5CDC8">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6746E41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05B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1F592EF4">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004AD9D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3C61A8C3">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431E3E96">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40D722C1">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6D6F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13CE3FB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6F084BB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34CC4A40">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2818DD6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5672599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1C6D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7D200B8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08CFA125">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65804C06">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374F260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786FD0E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6D20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3CE5DA09">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77D03218">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6E31833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331C5AF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47855DF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56D2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44119C35">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5A40A16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222F925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2E644170">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1BE73031">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78C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5A9C17D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0F55D0A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5D1A611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153562A2">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1C0E9A44">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bl>
    <w:p w14:paraId="0FB1A055">
      <w:pPr>
        <w:pageBreakBefore w:val="0"/>
        <w:kinsoku/>
        <w:overflowPunct/>
        <w:autoSpaceDE/>
        <w:autoSpaceDN/>
        <w:bidi w:val="0"/>
        <w:adjustRightInd w:val="0"/>
        <w:snapToGrid w:val="0"/>
        <w:spacing w:line="360" w:lineRule="auto"/>
        <w:rPr>
          <w:rFonts w:cs="宋体"/>
          <w:color w:val="auto"/>
          <w:szCs w:val="21"/>
          <w:highlight w:val="none"/>
        </w:rPr>
      </w:pPr>
    </w:p>
    <w:p w14:paraId="2FDE3173">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08EB4688">
      <w:pPr>
        <w:pageBreakBefore w:val="0"/>
        <w:kinsoku/>
        <w:overflowPunct/>
        <w:autoSpaceDE/>
        <w:autoSpaceDN/>
        <w:bidi w:val="0"/>
        <w:adjustRightInd w:val="0"/>
        <w:snapToGrid w:val="0"/>
        <w:spacing w:line="360" w:lineRule="auto"/>
        <w:rPr>
          <w:rFonts w:cs="宋体"/>
          <w:color w:val="auto"/>
          <w:szCs w:val="21"/>
          <w:highlight w:val="none"/>
        </w:rPr>
      </w:pPr>
    </w:p>
    <w:p w14:paraId="0E470039">
      <w:pPr>
        <w:pageBreakBefore w:val="0"/>
        <w:kinsoku/>
        <w:overflowPunct/>
        <w:autoSpaceDE/>
        <w:autoSpaceDN/>
        <w:bidi w:val="0"/>
        <w:adjustRightInd w:val="0"/>
        <w:snapToGrid w:val="0"/>
        <w:spacing w:line="360" w:lineRule="auto"/>
        <w:rPr>
          <w:rFonts w:cs="宋体"/>
          <w:color w:val="auto"/>
          <w:szCs w:val="21"/>
          <w:highlight w:val="none"/>
        </w:rPr>
      </w:pPr>
    </w:p>
    <w:p w14:paraId="314A4C0B">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注：1、按照基本技术要求详细填列。</w:t>
      </w:r>
    </w:p>
    <w:p w14:paraId="679951F9">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2、行数不够，可自行添加。</w:t>
      </w:r>
    </w:p>
    <w:p w14:paraId="040D1F13">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0E9E100E">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40BD32AF">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741CE3BE">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2CEC2D33">
      <w:pPr>
        <w:pageBreakBefore w:val="0"/>
        <w:kinsoku/>
        <w:overflowPunct/>
        <w:autoSpaceDE/>
        <w:autoSpaceDN/>
        <w:bidi w:val="0"/>
        <w:adjustRightInd w:val="0"/>
        <w:snapToGrid w:val="0"/>
        <w:spacing w:line="360" w:lineRule="auto"/>
        <w:ind w:firstLine="422"/>
        <w:jc w:val="center"/>
        <w:rPr>
          <w:rFonts w:cs="宋体"/>
          <w:b/>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7919053E">
      <w:pPr>
        <w:pageBreakBefore w:val="0"/>
        <w:kinsoku/>
        <w:overflowPunct/>
        <w:autoSpaceDE/>
        <w:autoSpaceDN/>
        <w:bidi w:val="0"/>
        <w:adjustRightInd w:val="0"/>
        <w:snapToGrid w:val="0"/>
        <w:spacing w:line="360" w:lineRule="auto"/>
        <w:ind w:firstLine="422"/>
        <w:jc w:val="center"/>
        <w:rPr>
          <w:rFonts w:cs="宋体"/>
          <w:b/>
          <w:color w:val="auto"/>
          <w:szCs w:val="21"/>
          <w:highlight w:val="none"/>
        </w:rPr>
      </w:pPr>
      <w:r>
        <w:rPr>
          <w:rFonts w:hint="eastAsia" w:cs="宋体"/>
          <w:b/>
          <w:color w:val="auto"/>
          <w:szCs w:val="21"/>
          <w:highlight w:val="none"/>
          <w:lang w:val="en-US" w:eastAsia="zh-CN"/>
        </w:rPr>
        <w:t>七</w:t>
      </w:r>
      <w:r>
        <w:rPr>
          <w:rFonts w:hint="eastAsia" w:cs="宋体"/>
          <w:b/>
          <w:color w:val="auto"/>
          <w:szCs w:val="21"/>
          <w:highlight w:val="none"/>
        </w:rPr>
        <w:t>、商务条款响应及偏离表</w:t>
      </w:r>
    </w:p>
    <w:p w14:paraId="02A5AF9A">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6"/>
        <w:gridCol w:w="2698"/>
        <w:gridCol w:w="1259"/>
        <w:gridCol w:w="3019"/>
      </w:tblGrid>
      <w:tr w14:paraId="5A391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59837F58">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项目</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4C56EBCC">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招标文件要求</w:t>
            </w:r>
          </w:p>
        </w:tc>
        <w:tc>
          <w:tcPr>
            <w:tcW w:w="738" w:type="pct"/>
            <w:tcBorders>
              <w:top w:val="single" w:color="auto" w:sz="4" w:space="0"/>
              <w:left w:val="single" w:color="auto" w:sz="4" w:space="0"/>
              <w:bottom w:val="single" w:color="auto" w:sz="4" w:space="0"/>
              <w:right w:val="single" w:color="auto" w:sz="4" w:space="0"/>
            </w:tcBorders>
            <w:noWrap w:val="0"/>
            <w:vAlign w:val="center"/>
          </w:tcPr>
          <w:p w14:paraId="274A7ECC">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noWrap w:val="0"/>
            <w:vAlign w:val="center"/>
          </w:tcPr>
          <w:p w14:paraId="3E7B2B95">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投标人的承诺或说明</w:t>
            </w:r>
          </w:p>
        </w:tc>
      </w:tr>
      <w:tr w14:paraId="0407D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77B91D7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质保期</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24E93648">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180C9A6B">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1C815180">
            <w:pPr>
              <w:pageBreakBefore w:val="0"/>
              <w:kinsoku/>
              <w:overflowPunct/>
              <w:autoSpaceDE/>
              <w:autoSpaceDN/>
              <w:bidi w:val="0"/>
              <w:adjustRightInd w:val="0"/>
              <w:snapToGrid w:val="0"/>
              <w:spacing w:line="360" w:lineRule="auto"/>
              <w:jc w:val="center"/>
              <w:rPr>
                <w:rFonts w:cs="宋体"/>
                <w:color w:val="auto"/>
                <w:szCs w:val="21"/>
                <w:highlight w:val="none"/>
              </w:rPr>
            </w:pPr>
          </w:p>
        </w:tc>
      </w:tr>
      <w:tr w14:paraId="4AE5C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7DF468CD">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售后技术服务要求</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50086FBC">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154AD364">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00B7DB74">
            <w:pPr>
              <w:pageBreakBefore w:val="0"/>
              <w:kinsoku/>
              <w:overflowPunct/>
              <w:autoSpaceDE/>
              <w:autoSpaceDN/>
              <w:bidi w:val="0"/>
              <w:adjustRightInd w:val="0"/>
              <w:snapToGrid w:val="0"/>
              <w:spacing w:line="360" w:lineRule="auto"/>
              <w:jc w:val="center"/>
              <w:rPr>
                <w:rFonts w:cs="宋体"/>
                <w:color w:val="auto"/>
                <w:szCs w:val="21"/>
                <w:highlight w:val="none"/>
              </w:rPr>
            </w:pPr>
          </w:p>
        </w:tc>
      </w:tr>
      <w:tr w14:paraId="113ED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1D012BC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交货时间</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1A467A7A">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DB035F1">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15648017">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r>
      <w:tr w14:paraId="6EEDF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24130CFF">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交货方式</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541FF1E5">
            <w:pPr>
              <w:pageBreakBefore w:val="0"/>
              <w:kinsoku/>
              <w:overflowPunct/>
              <w:autoSpaceDE/>
              <w:autoSpaceDN/>
              <w:bidi w:val="0"/>
              <w:adjustRightInd w:val="0"/>
              <w:snapToGrid w:val="0"/>
              <w:spacing w:line="360" w:lineRule="auto"/>
              <w:jc w:val="center"/>
              <w:rPr>
                <w:rFonts w:cs="宋体"/>
                <w:color w:val="auto"/>
                <w:szCs w:val="21"/>
                <w:highlight w:val="none"/>
              </w:rPr>
            </w:pPr>
          </w:p>
          <w:p w14:paraId="37B41A0D">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23CC3A4">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0792F4B1">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r>
      <w:tr w14:paraId="21B2F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4A69E696">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交货地点</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3FB3FFB7">
            <w:pPr>
              <w:pageBreakBefore w:val="0"/>
              <w:kinsoku/>
              <w:overflowPunct/>
              <w:autoSpaceDE/>
              <w:autoSpaceDN/>
              <w:bidi w:val="0"/>
              <w:adjustRightInd w:val="0"/>
              <w:snapToGrid w:val="0"/>
              <w:spacing w:line="360" w:lineRule="auto"/>
              <w:jc w:val="center"/>
              <w:rPr>
                <w:rFonts w:cs="宋体"/>
                <w:color w:val="auto"/>
                <w:szCs w:val="21"/>
                <w:highlight w:val="none"/>
              </w:rPr>
            </w:pPr>
          </w:p>
          <w:p w14:paraId="02BB6887">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771AFBFF">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6E1239B8">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r>
      <w:tr w14:paraId="56E49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2DF5E50E">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付款方式</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0C2F1A4B">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DD612ED">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68F618DC">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r>
      <w:tr w14:paraId="297AA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40BC46A2">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投标货币</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3FB93E3B">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p w14:paraId="373C43BF">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B4F9EB4">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08BD21B1">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r>
      <w:tr w14:paraId="0617A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4401569F">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备品备件及耗材等要求</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0681CEAB">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A87E13D">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634D94FE">
            <w:pPr>
              <w:pageBreakBefore w:val="0"/>
              <w:kinsoku/>
              <w:overflowPunct/>
              <w:autoSpaceDE/>
              <w:autoSpaceDN/>
              <w:bidi w:val="0"/>
              <w:adjustRightInd w:val="0"/>
              <w:snapToGrid w:val="0"/>
              <w:spacing w:line="360" w:lineRule="auto"/>
              <w:jc w:val="center"/>
              <w:rPr>
                <w:rFonts w:cs="宋体"/>
                <w:color w:val="auto"/>
                <w:szCs w:val="21"/>
                <w:highlight w:val="none"/>
              </w:rPr>
            </w:pPr>
          </w:p>
        </w:tc>
      </w:tr>
      <w:tr w14:paraId="50132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3A88CF32">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其他</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50E8B3DD">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470C3E0">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31981637">
            <w:pPr>
              <w:pageBreakBefore w:val="0"/>
              <w:kinsoku/>
              <w:overflowPunct/>
              <w:autoSpaceDE/>
              <w:autoSpaceDN/>
              <w:bidi w:val="0"/>
              <w:adjustRightInd w:val="0"/>
              <w:snapToGrid w:val="0"/>
              <w:spacing w:line="360" w:lineRule="auto"/>
              <w:jc w:val="center"/>
              <w:rPr>
                <w:rFonts w:cs="宋体"/>
                <w:color w:val="auto"/>
                <w:szCs w:val="21"/>
                <w:highlight w:val="none"/>
              </w:rPr>
            </w:pPr>
          </w:p>
        </w:tc>
      </w:tr>
    </w:tbl>
    <w:p w14:paraId="7C0615A7">
      <w:pPr>
        <w:pageBreakBefore w:val="0"/>
        <w:kinsoku/>
        <w:overflowPunct/>
        <w:autoSpaceDE/>
        <w:autoSpaceDN/>
        <w:bidi w:val="0"/>
        <w:adjustRightInd w:val="0"/>
        <w:snapToGrid w:val="0"/>
        <w:spacing w:line="360" w:lineRule="auto"/>
        <w:rPr>
          <w:rFonts w:hint="eastAsia" w:cs="宋体"/>
          <w:color w:val="auto"/>
          <w:szCs w:val="21"/>
          <w:highlight w:val="none"/>
        </w:rPr>
      </w:pPr>
    </w:p>
    <w:p w14:paraId="1CB37131">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2FBC2925">
      <w:pPr>
        <w:pageBreakBefore w:val="0"/>
        <w:kinsoku/>
        <w:overflowPunct/>
        <w:autoSpaceDE/>
        <w:autoSpaceDN/>
        <w:bidi w:val="0"/>
        <w:adjustRightInd w:val="0"/>
        <w:snapToGrid w:val="0"/>
        <w:spacing w:line="360" w:lineRule="auto"/>
        <w:rPr>
          <w:rFonts w:cs="宋体"/>
          <w:color w:val="auto"/>
          <w:highlight w:val="none"/>
        </w:rPr>
      </w:pPr>
    </w:p>
    <w:p w14:paraId="60C50D3D">
      <w:pPr>
        <w:pageBreakBefore w:val="0"/>
        <w:kinsoku/>
        <w:overflowPunct/>
        <w:autoSpaceDE/>
        <w:autoSpaceDN/>
        <w:bidi w:val="0"/>
        <w:adjustRightInd w:val="0"/>
        <w:snapToGrid w:val="0"/>
        <w:spacing w:line="360" w:lineRule="auto"/>
        <w:rPr>
          <w:rFonts w:cs="宋体"/>
          <w:color w:val="auto"/>
          <w:highlight w:val="none"/>
        </w:rPr>
      </w:pPr>
    </w:p>
    <w:p w14:paraId="0E62B3EC">
      <w:pPr>
        <w:pageBreakBefore w:val="0"/>
        <w:kinsoku/>
        <w:overflowPunct/>
        <w:autoSpaceDE/>
        <w:autoSpaceDN/>
        <w:bidi w:val="0"/>
        <w:adjustRightInd w:val="0"/>
        <w:snapToGrid w:val="0"/>
        <w:spacing w:line="360" w:lineRule="auto"/>
        <w:rPr>
          <w:rFonts w:cs="宋体"/>
          <w:color w:val="auto"/>
          <w:highlight w:val="none"/>
        </w:rPr>
      </w:pPr>
    </w:p>
    <w:p w14:paraId="07E38C2F">
      <w:pPr>
        <w:pageBreakBefore w:val="0"/>
        <w:kinsoku/>
        <w:overflowPunct/>
        <w:autoSpaceDE/>
        <w:autoSpaceDN/>
        <w:bidi w:val="0"/>
        <w:adjustRightInd w:val="0"/>
        <w:snapToGrid w:val="0"/>
        <w:spacing w:line="360" w:lineRule="auto"/>
        <w:rPr>
          <w:rFonts w:cs="宋体"/>
          <w:color w:val="auto"/>
          <w:highlight w:val="none"/>
        </w:rPr>
      </w:pPr>
    </w:p>
    <w:p w14:paraId="07F8A7FE">
      <w:pPr>
        <w:pageBreakBefore w:val="0"/>
        <w:kinsoku/>
        <w:overflowPunct/>
        <w:autoSpaceDE/>
        <w:autoSpaceDN/>
        <w:bidi w:val="0"/>
        <w:adjustRightInd w:val="0"/>
        <w:snapToGrid w:val="0"/>
        <w:spacing w:line="360" w:lineRule="auto"/>
        <w:rPr>
          <w:rFonts w:cs="宋体"/>
          <w:color w:val="auto"/>
          <w:highlight w:val="none"/>
        </w:rPr>
      </w:pPr>
    </w:p>
    <w:p w14:paraId="3BC179E9">
      <w:pPr>
        <w:pageBreakBefore w:val="0"/>
        <w:kinsoku/>
        <w:overflowPunct/>
        <w:autoSpaceDE/>
        <w:autoSpaceDN/>
        <w:bidi w:val="0"/>
        <w:adjustRightInd w:val="0"/>
        <w:snapToGrid w:val="0"/>
        <w:spacing w:line="360" w:lineRule="auto"/>
        <w:rPr>
          <w:rFonts w:cs="宋体"/>
          <w:color w:val="auto"/>
          <w:highlight w:val="none"/>
        </w:rPr>
      </w:pPr>
    </w:p>
    <w:p w14:paraId="487A5C92">
      <w:pPr>
        <w:rPr>
          <w:rFonts w:hint="eastAsia" w:ascii="宋体" w:hAnsi="宋体" w:cs="宋体"/>
          <w:b/>
          <w:bCs/>
          <w:color w:val="auto"/>
          <w:sz w:val="32"/>
          <w:szCs w:val="44"/>
          <w:highlight w:val="none"/>
        </w:rPr>
      </w:pPr>
      <w:r>
        <w:rPr>
          <w:rFonts w:hint="eastAsia" w:ascii="宋体" w:hAnsi="宋体" w:cs="宋体"/>
          <w:b/>
          <w:bCs/>
          <w:color w:val="auto"/>
          <w:sz w:val="32"/>
          <w:szCs w:val="44"/>
          <w:highlight w:val="none"/>
        </w:rPr>
        <w:br w:type="page"/>
      </w:r>
    </w:p>
    <w:p w14:paraId="3A13D513">
      <w:pPr>
        <w:pageBreakBefore w:val="0"/>
        <w:kinsoku/>
        <w:overflowPunct/>
        <w:autoSpaceDE/>
        <w:autoSpaceDN/>
        <w:bidi w:val="0"/>
        <w:adjustRightInd w:val="0"/>
        <w:snapToGrid w:val="0"/>
        <w:spacing w:line="360" w:lineRule="auto"/>
        <w:ind w:firstLine="422"/>
        <w:jc w:val="center"/>
        <w:rPr>
          <w:rFonts w:hint="eastAsia" w:eastAsia="宋体"/>
          <w:b/>
          <w:color w:val="auto"/>
          <w:szCs w:val="21"/>
          <w:highlight w:val="none"/>
          <w:lang w:val="en-US" w:eastAsia="zh-CN"/>
        </w:rPr>
      </w:pPr>
      <w:r>
        <w:rPr>
          <w:rFonts w:hint="eastAsia" w:eastAsia="宋体"/>
          <w:b/>
          <w:color w:val="auto"/>
          <w:szCs w:val="21"/>
          <w:highlight w:val="none"/>
          <w:lang w:val="en-US" w:eastAsia="zh-CN"/>
        </w:rPr>
        <w:t>八、拟投入人员一览表</w:t>
      </w:r>
    </w:p>
    <w:p w14:paraId="1F1348FF">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743"/>
        <w:gridCol w:w="744"/>
        <w:gridCol w:w="801"/>
        <w:gridCol w:w="727"/>
        <w:gridCol w:w="1365"/>
        <w:gridCol w:w="855"/>
        <w:gridCol w:w="1573"/>
        <w:gridCol w:w="871"/>
      </w:tblGrid>
      <w:tr w14:paraId="37B3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676" w:type="dxa"/>
            <w:vAlign w:val="center"/>
          </w:tcPr>
          <w:p w14:paraId="3B7211B1">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3" w:type="dxa"/>
            <w:vAlign w:val="center"/>
          </w:tcPr>
          <w:p w14:paraId="296E68BB">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岗位</w:t>
            </w:r>
          </w:p>
        </w:tc>
        <w:tc>
          <w:tcPr>
            <w:tcW w:w="744" w:type="dxa"/>
            <w:vAlign w:val="center"/>
          </w:tcPr>
          <w:p w14:paraId="66C748CB">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801" w:type="dxa"/>
            <w:vAlign w:val="center"/>
          </w:tcPr>
          <w:p w14:paraId="2D29BBF8">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727" w:type="dxa"/>
            <w:vAlign w:val="center"/>
          </w:tcPr>
          <w:p w14:paraId="4A999EC0">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365" w:type="dxa"/>
            <w:vAlign w:val="center"/>
          </w:tcPr>
          <w:p w14:paraId="586B1CC0">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出生年月</w:t>
            </w:r>
          </w:p>
        </w:tc>
        <w:tc>
          <w:tcPr>
            <w:tcW w:w="855" w:type="dxa"/>
            <w:vAlign w:val="center"/>
          </w:tcPr>
          <w:p w14:paraId="02A8FD81">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573" w:type="dxa"/>
            <w:vAlign w:val="center"/>
          </w:tcPr>
          <w:p w14:paraId="6B8116EB">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证书及编号</w:t>
            </w:r>
          </w:p>
        </w:tc>
        <w:tc>
          <w:tcPr>
            <w:tcW w:w="871" w:type="dxa"/>
            <w:vAlign w:val="center"/>
          </w:tcPr>
          <w:p w14:paraId="160D70D0">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B71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6D194C66">
            <w:pPr>
              <w:spacing w:line="360" w:lineRule="auto"/>
              <w:ind w:right="-2"/>
              <w:jc w:val="center"/>
              <w:rPr>
                <w:rFonts w:hint="eastAsia" w:ascii="宋体" w:hAnsi="宋体" w:cs="宋体"/>
                <w:color w:val="auto"/>
                <w:szCs w:val="21"/>
                <w:highlight w:val="none"/>
              </w:rPr>
            </w:pPr>
          </w:p>
        </w:tc>
        <w:tc>
          <w:tcPr>
            <w:tcW w:w="743" w:type="dxa"/>
            <w:vAlign w:val="center"/>
          </w:tcPr>
          <w:p w14:paraId="0F388B73">
            <w:pPr>
              <w:spacing w:line="360" w:lineRule="auto"/>
              <w:ind w:right="-2"/>
              <w:jc w:val="center"/>
              <w:rPr>
                <w:rFonts w:hint="eastAsia" w:ascii="宋体" w:hAnsi="宋体" w:cs="宋体"/>
                <w:color w:val="auto"/>
                <w:szCs w:val="21"/>
                <w:highlight w:val="none"/>
              </w:rPr>
            </w:pPr>
          </w:p>
        </w:tc>
        <w:tc>
          <w:tcPr>
            <w:tcW w:w="744" w:type="dxa"/>
            <w:vAlign w:val="center"/>
          </w:tcPr>
          <w:p w14:paraId="2DA4E634">
            <w:pPr>
              <w:spacing w:line="360" w:lineRule="auto"/>
              <w:ind w:right="-2"/>
              <w:jc w:val="center"/>
              <w:rPr>
                <w:rFonts w:hint="eastAsia" w:ascii="宋体" w:hAnsi="宋体" w:cs="宋体"/>
                <w:color w:val="auto"/>
                <w:szCs w:val="21"/>
                <w:highlight w:val="none"/>
              </w:rPr>
            </w:pPr>
          </w:p>
        </w:tc>
        <w:tc>
          <w:tcPr>
            <w:tcW w:w="801" w:type="dxa"/>
            <w:vAlign w:val="center"/>
          </w:tcPr>
          <w:p w14:paraId="1B6CED36">
            <w:pPr>
              <w:spacing w:line="360" w:lineRule="auto"/>
              <w:ind w:right="-2"/>
              <w:jc w:val="center"/>
              <w:rPr>
                <w:rFonts w:hint="eastAsia" w:ascii="宋体" w:hAnsi="宋体" w:cs="宋体"/>
                <w:color w:val="auto"/>
                <w:szCs w:val="21"/>
                <w:highlight w:val="none"/>
              </w:rPr>
            </w:pPr>
          </w:p>
        </w:tc>
        <w:tc>
          <w:tcPr>
            <w:tcW w:w="727" w:type="dxa"/>
            <w:vAlign w:val="center"/>
          </w:tcPr>
          <w:p w14:paraId="194B990D">
            <w:pPr>
              <w:spacing w:line="360" w:lineRule="auto"/>
              <w:ind w:right="-2"/>
              <w:jc w:val="center"/>
              <w:rPr>
                <w:rFonts w:hint="eastAsia" w:ascii="宋体" w:hAnsi="宋体" w:cs="宋体"/>
                <w:color w:val="auto"/>
                <w:szCs w:val="21"/>
                <w:highlight w:val="none"/>
              </w:rPr>
            </w:pPr>
          </w:p>
        </w:tc>
        <w:tc>
          <w:tcPr>
            <w:tcW w:w="1365" w:type="dxa"/>
            <w:vAlign w:val="center"/>
          </w:tcPr>
          <w:p w14:paraId="2E07A5DC">
            <w:pPr>
              <w:spacing w:line="360" w:lineRule="auto"/>
              <w:ind w:right="-2"/>
              <w:jc w:val="center"/>
              <w:rPr>
                <w:rFonts w:hint="eastAsia" w:ascii="宋体" w:hAnsi="宋体" w:cs="宋体"/>
                <w:color w:val="auto"/>
                <w:szCs w:val="21"/>
                <w:highlight w:val="none"/>
              </w:rPr>
            </w:pPr>
          </w:p>
        </w:tc>
        <w:tc>
          <w:tcPr>
            <w:tcW w:w="855" w:type="dxa"/>
            <w:vAlign w:val="center"/>
          </w:tcPr>
          <w:p w14:paraId="67A2F6C2">
            <w:pPr>
              <w:spacing w:line="360" w:lineRule="auto"/>
              <w:ind w:right="-2"/>
              <w:jc w:val="center"/>
              <w:rPr>
                <w:rFonts w:hint="eastAsia" w:ascii="宋体" w:hAnsi="宋体" w:cs="宋体"/>
                <w:color w:val="auto"/>
                <w:szCs w:val="21"/>
                <w:highlight w:val="none"/>
              </w:rPr>
            </w:pPr>
          </w:p>
        </w:tc>
        <w:tc>
          <w:tcPr>
            <w:tcW w:w="1573" w:type="dxa"/>
            <w:vAlign w:val="center"/>
          </w:tcPr>
          <w:p w14:paraId="3A241F9D">
            <w:pPr>
              <w:spacing w:line="360" w:lineRule="auto"/>
              <w:ind w:right="-2"/>
              <w:jc w:val="center"/>
              <w:rPr>
                <w:rFonts w:hint="eastAsia" w:ascii="宋体" w:hAnsi="宋体" w:cs="宋体"/>
                <w:color w:val="auto"/>
                <w:szCs w:val="21"/>
                <w:highlight w:val="none"/>
              </w:rPr>
            </w:pPr>
          </w:p>
        </w:tc>
        <w:tc>
          <w:tcPr>
            <w:tcW w:w="871" w:type="dxa"/>
            <w:vAlign w:val="center"/>
          </w:tcPr>
          <w:p w14:paraId="5E104C06">
            <w:pPr>
              <w:spacing w:line="360" w:lineRule="auto"/>
              <w:ind w:right="-2"/>
              <w:jc w:val="center"/>
              <w:rPr>
                <w:rFonts w:hint="eastAsia" w:ascii="宋体" w:hAnsi="宋体" w:cs="宋体"/>
                <w:color w:val="auto"/>
                <w:szCs w:val="21"/>
                <w:highlight w:val="none"/>
              </w:rPr>
            </w:pPr>
          </w:p>
        </w:tc>
      </w:tr>
      <w:tr w14:paraId="7CDC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7028ECD6">
            <w:pPr>
              <w:spacing w:line="360" w:lineRule="auto"/>
              <w:ind w:right="-2"/>
              <w:jc w:val="center"/>
              <w:rPr>
                <w:rFonts w:hint="eastAsia" w:ascii="宋体" w:hAnsi="宋体" w:cs="宋体"/>
                <w:color w:val="auto"/>
                <w:szCs w:val="21"/>
                <w:highlight w:val="none"/>
              </w:rPr>
            </w:pPr>
          </w:p>
        </w:tc>
        <w:tc>
          <w:tcPr>
            <w:tcW w:w="743" w:type="dxa"/>
            <w:vAlign w:val="center"/>
          </w:tcPr>
          <w:p w14:paraId="6C1ECFC3">
            <w:pPr>
              <w:spacing w:line="360" w:lineRule="auto"/>
              <w:ind w:right="-2"/>
              <w:jc w:val="center"/>
              <w:rPr>
                <w:rFonts w:hint="eastAsia" w:ascii="宋体" w:hAnsi="宋体" w:cs="宋体"/>
                <w:color w:val="auto"/>
                <w:szCs w:val="21"/>
                <w:highlight w:val="none"/>
              </w:rPr>
            </w:pPr>
          </w:p>
        </w:tc>
        <w:tc>
          <w:tcPr>
            <w:tcW w:w="744" w:type="dxa"/>
            <w:vAlign w:val="center"/>
          </w:tcPr>
          <w:p w14:paraId="58BF3E70">
            <w:pPr>
              <w:spacing w:line="360" w:lineRule="auto"/>
              <w:ind w:right="-2"/>
              <w:jc w:val="center"/>
              <w:rPr>
                <w:rFonts w:hint="eastAsia" w:ascii="宋体" w:hAnsi="宋体" w:cs="宋体"/>
                <w:color w:val="auto"/>
                <w:szCs w:val="21"/>
                <w:highlight w:val="none"/>
              </w:rPr>
            </w:pPr>
          </w:p>
        </w:tc>
        <w:tc>
          <w:tcPr>
            <w:tcW w:w="801" w:type="dxa"/>
            <w:vAlign w:val="center"/>
          </w:tcPr>
          <w:p w14:paraId="08D93C16">
            <w:pPr>
              <w:spacing w:line="360" w:lineRule="auto"/>
              <w:ind w:right="-2"/>
              <w:jc w:val="center"/>
              <w:rPr>
                <w:rFonts w:hint="eastAsia" w:ascii="宋体" w:hAnsi="宋体" w:cs="宋体"/>
                <w:color w:val="auto"/>
                <w:szCs w:val="21"/>
                <w:highlight w:val="none"/>
              </w:rPr>
            </w:pPr>
          </w:p>
        </w:tc>
        <w:tc>
          <w:tcPr>
            <w:tcW w:w="727" w:type="dxa"/>
            <w:vAlign w:val="center"/>
          </w:tcPr>
          <w:p w14:paraId="77C77E1F">
            <w:pPr>
              <w:spacing w:line="360" w:lineRule="auto"/>
              <w:ind w:right="-2"/>
              <w:jc w:val="center"/>
              <w:rPr>
                <w:rFonts w:hint="eastAsia" w:ascii="宋体" w:hAnsi="宋体" w:cs="宋体"/>
                <w:color w:val="auto"/>
                <w:szCs w:val="21"/>
                <w:highlight w:val="none"/>
              </w:rPr>
            </w:pPr>
          </w:p>
        </w:tc>
        <w:tc>
          <w:tcPr>
            <w:tcW w:w="1365" w:type="dxa"/>
            <w:vAlign w:val="center"/>
          </w:tcPr>
          <w:p w14:paraId="31B4ADC4">
            <w:pPr>
              <w:spacing w:line="360" w:lineRule="auto"/>
              <w:ind w:right="-2"/>
              <w:jc w:val="center"/>
              <w:rPr>
                <w:rFonts w:hint="eastAsia" w:ascii="宋体" w:hAnsi="宋体" w:cs="宋体"/>
                <w:color w:val="auto"/>
                <w:szCs w:val="21"/>
                <w:highlight w:val="none"/>
              </w:rPr>
            </w:pPr>
          </w:p>
        </w:tc>
        <w:tc>
          <w:tcPr>
            <w:tcW w:w="855" w:type="dxa"/>
            <w:vAlign w:val="center"/>
          </w:tcPr>
          <w:p w14:paraId="332C49E9">
            <w:pPr>
              <w:spacing w:line="360" w:lineRule="auto"/>
              <w:ind w:right="-2"/>
              <w:jc w:val="center"/>
              <w:rPr>
                <w:rFonts w:hint="eastAsia" w:ascii="宋体" w:hAnsi="宋体" w:cs="宋体"/>
                <w:color w:val="auto"/>
                <w:szCs w:val="21"/>
                <w:highlight w:val="none"/>
              </w:rPr>
            </w:pPr>
          </w:p>
        </w:tc>
        <w:tc>
          <w:tcPr>
            <w:tcW w:w="1573" w:type="dxa"/>
            <w:vAlign w:val="center"/>
          </w:tcPr>
          <w:p w14:paraId="2CC32D3F">
            <w:pPr>
              <w:spacing w:line="360" w:lineRule="auto"/>
              <w:ind w:right="-2"/>
              <w:jc w:val="center"/>
              <w:rPr>
                <w:rFonts w:hint="eastAsia" w:ascii="宋体" w:hAnsi="宋体" w:cs="宋体"/>
                <w:color w:val="auto"/>
                <w:szCs w:val="21"/>
                <w:highlight w:val="none"/>
              </w:rPr>
            </w:pPr>
          </w:p>
        </w:tc>
        <w:tc>
          <w:tcPr>
            <w:tcW w:w="871" w:type="dxa"/>
            <w:vAlign w:val="center"/>
          </w:tcPr>
          <w:p w14:paraId="616C92A6">
            <w:pPr>
              <w:spacing w:line="360" w:lineRule="auto"/>
              <w:ind w:right="-2"/>
              <w:jc w:val="center"/>
              <w:rPr>
                <w:rFonts w:hint="eastAsia" w:ascii="宋体" w:hAnsi="宋体" w:cs="宋体"/>
                <w:color w:val="auto"/>
                <w:szCs w:val="21"/>
                <w:highlight w:val="none"/>
              </w:rPr>
            </w:pPr>
          </w:p>
        </w:tc>
      </w:tr>
      <w:tr w14:paraId="0F22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1F16B566">
            <w:pPr>
              <w:spacing w:line="360" w:lineRule="auto"/>
              <w:ind w:right="-2"/>
              <w:jc w:val="center"/>
              <w:rPr>
                <w:rFonts w:hint="eastAsia" w:ascii="宋体" w:hAnsi="宋体" w:cs="宋体"/>
                <w:color w:val="auto"/>
                <w:szCs w:val="21"/>
                <w:highlight w:val="none"/>
              </w:rPr>
            </w:pPr>
          </w:p>
        </w:tc>
        <w:tc>
          <w:tcPr>
            <w:tcW w:w="743" w:type="dxa"/>
            <w:vAlign w:val="center"/>
          </w:tcPr>
          <w:p w14:paraId="2871426D">
            <w:pPr>
              <w:spacing w:line="360" w:lineRule="auto"/>
              <w:ind w:right="-2"/>
              <w:jc w:val="center"/>
              <w:rPr>
                <w:rFonts w:hint="eastAsia" w:ascii="宋体" w:hAnsi="宋体" w:cs="宋体"/>
                <w:color w:val="auto"/>
                <w:szCs w:val="21"/>
                <w:highlight w:val="none"/>
              </w:rPr>
            </w:pPr>
          </w:p>
        </w:tc>
        <w:tc>
          <w:tcPr>
            <w:tcW w:w="744" w:type="dxa"/>
            <w:vAlign w:val="center"/>
          </w:tcPr>
          <w:p w14:paraId="56772A34">
            <w:pPr>
              <w:spacing w:line="360" w:lineRule="auto"/>
              <w:ind w:right="-2"/>
              <w:jc w:val="center"/>
              <w:rPr>
                <w:rFonts w:hint="eastAsia" w:ascii="宋体" w:hAnsi="宋体" w:cs="宋体"/>
                <w:color w:val="auto"/>
                <w:szCs w:val="21"/>
                <w:highlight w:val="none"/>
              </w:rPr>
            </w:pPr>
          </w:p>
        </w:tc>
        <w:tc>
          <w:tcPr>
            <w:tcW w:w="801" w:type="dxa"/>
            <w:vAlign w:val="center"/>
          </w:tcPr>
          <w:p w14:paraId="6F11DD13">
            <w:pPr>
              <w:spacing w:line="360" w:lineRule="auto"/>
              <w:ind w:right="-2"/>
              <w:jc w:val="center"/>
              <w:rPr>
                <w:rFonts w:hint="eastAsia" w:ascii="宋体" w:hAnsi="宋体" w:cs="宋体"/>
                <w:color w:val="auto"/>
                <w:szCs w:val="21"/>
                <w:highlight w:val="none"/>
              </w:rPr>
            </w:pPr>
          </w:p>
        </w:tc>
        <w:tc>
          <w:tcPr>
            <w:tcW w:w="727" w:type="dxa"/>
            <w:vAlign w:val="center"/>
          </w:tcPr>
          <w:p w14:paraId="5BF76A21">
            <w:pPr>
              <w:spacing w:line="360" w:lineRule="auto"/>
              <w:ind w:right="-2"/>
              <w:jc w:val="center"/>
              <w:rPr>
                <w:rFonts w:hint="eastAsia" w:ascii="宋体" w:hAnsi="宋体" w:cs="宋体"/>
                <w:color w:val="auto"/>
                <w:szCs w:val="21"/>
                <w:highlight w:val="none"/>
              </w:rPr>
            </w:pPr>
          </w:p>
        </w:tc>
        <w:tc>
          <w:tcPr>
            <w:tcW w:w="1365" w:type="dxa"/>
            <w:vAlign w:val="center"/>
          </w:tcPr>
          <w:p w14:paraId="1F640039">
            <w:pPr>
              <w:spacing w:line="360" w:lineRule="auto"/>
              <w:ind w:right="-2"/>
              <w:jc w:val="center"/>
              <w:rPr>
                <w:rFonts w:hint="eastAsia" w:ascii="宋体" w:hAnsi="宋体" w:cs="宋体"/>
                <w:color w:val="auto"/>
                <w:szCs w:val="21"/>
                <w:highlight w:val="none"/>
              </w:rPr>
            </w:pPr>
          </w:p>
        </w:tc>
        <w:tc>
          <w:tcPr>
            <w:tcW w:w="855" w:type="dxa"/>
            <w:vAlign w:val="center"/>
          </w:tcPr>
          <w:p w14:paraId="65D4F2E3">
            <w:pPr>
              <w:spacing w:line="360" w:lineRule="auto"/>
              <w:ind w:right="-2"/>
              <w:jc w:val="center"/>
              <w:rPr>
                <w:rFonts w:hint="eastAsia" w:ascii="宋体" w:hAnsi="宋体" w:cs="宋体"/>
                <w:color w:val="auto"/>
                <w:szCs w:val="21"/>
                <w:highlight w:val="none"/>
              </w:rPr>
            </w:pPr>
          </w:p>
        </w:tc>
        <w:tc>
          <w:tcPr>
            <w:tcW w:w="1573" w:type="dxa"/>
            <w:vAlign w:val="center"/>
          </w:tcPr>
          <w:p w14:paraId="56785DE5">
            <w:pPr>
              <w:spacing w:line="360" w:lineRule="auto"/>
              <w:ind w:right="-2"/>
              <w:jc w:val="center"/>
              <w:rPr>
                <w:rFonts w:hint="eastAsia" w:ascii="宋体" w:hAnsi="宋体" w:cs="宋体"/>
                <w:color w:val="auto"/>
                <w:szCs w:val="21"/>
                <w:highlight w:val="none"/>
              </w:rPr>
            </w:pPr>
          </w:p>
        </w:tc>
        <w:tc>
          <w:tcPr>
            <w:tcW w:w="871" w:type="dxa"/>
            <w:vAlign w:val="center"/>
          </w:tcPr>
          <w:p w14:paraId="602D629B">
            <w:pPr>
              <w:spacing w:line="360" w:lineRule="auto"/>
              <w:ind w:right="-2"/>
              <w:jc w:val="center"/>
              <w:rPr>
                <w:rFonts w:hint="eastAsia" w:ascii="宋体" w:hAnsi="宋体" w:cs="宋体"/>
                <w:color w:val="auto"/>
                <w:szCs w:val="21"/>
                <w:highlight w:val="none"/>
              </w:rPr>
            </w:pPr>
          </w:p>
        </w:tc>
      </w:tr>
      <w:tr w14:paraId="63DAD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1FF80C31">
            <w:pPr>
              <w:spacing w:line="360" w:lineRule="auto"/>
              <w:ind w:right="-2"/>
              <w:jc w:val="center"/>
              <w:rPr>
                <w:rFonts w:hint="eastAsia" w:ascii="宋体" w:hAnsi="宋体" w:cs="宋体"/>
                <w:color w:val="auto"/>
                <w:szCs w:val="21"/>
                <w:highlight w:val="none"/>
              </w:rPr>
            </w:pPr>
          </w:p>
        </w:tc>
        <w:tc>
          <w:tcPr>
            <w:tcW w:w="743" w:type="dxa"/>
            <w:vAlign w:val="center"/>
          </w:tcPr>
          <w:p w14:paraId="770744AE">
            <w:pPr>
              <w:spacing w:line="360" w:lineRule="auto"/>
              <w:ind w:right="-2"/>
              <w:jc w:val="center"/>
              <w:rPr>
                <w:rFonts w:hint="eastAsia" w:ascii="宋体" w:hAnsi="宋体" w:cs="宋体"/>
                <w:color w:val="auto"/>
                <w:szCs w:val="21"/>
                <w:highlight w:val="none"/>
              </w:rPr>
            </w:pPr>
          </w:p>
        </w:tc>
        <w:tc>
          <w:tcPr>
            <w:tcW w:w="744" w:type="dxa"/>
            <w:vAlign w:val="center"/>
          </w:tcPr>
          <w:p w14:paraId="6B9EDA56">
            <w:pPr>
              <w:spacing w:line="360" w:lineRule="auto"/>
              <w:ind w:right="-2"/>
              <w:jc w:val="center"/>
              <w:rPr>
                <w:rFonts w:hint="eastAsia" w:ascii="宋体" w:hAnsi="宋体" w:cs="宋体"/>
                <w:color w:val="auto"/>
                <w:szCs w:val="21"/>
                <w:highlight w:val="none"/>
              </w:rPr>
            </w:pPr>
          </w:p>
        </w:tc>
        <w:tc>
          <w:tcPr>
            <w:tcW w:w="801" w:type="dxa"/>
            <w:vAlign w:val="center"/>
          </w:tcPr>
          <w:p w14:paraId="1BDB2C93">
            <w:pPr>
              <w:spacing w:line="360" w:lineRule="auto"/>
              <w:ind w:right="-2"/>
              <w:jc w:val="center"/>
              <w:rPr>
                <w:rFonts w:hint="eastAsia" w:ascii="宋体" w:hAnsi="宋体" w:cs="宋体"/>
                <w:color w:val="auto"/>
                <w:szCs w:val="21"/>
                <w:highlight w:val="none"/>
              </w:rPr>
            </w:pPr>
          </w:p>
        </w:tc>
        <w:tc>
          <w:tcPr>
            <w:tcW w:w="727" w:type="dxa"/>
            <w:vAlign w:val="center"/>
          </w:tcPr>
          <w:p w14:paraId="54558302">
            <w:pPr>
              <w:spacing w:line="360" w:lineRule="auto"/>
              <w:ind w:right="-2"/>
              <w:jc w:val="center"/>
              <w:rPr>
                <w:rFonts w:hint="eastAsia" w:ascii="宋体" w:hAnsi="宋体" w:cs="宋体"/>
                <w:color w:val="auto"/>
                <w:szCs w:val="21"/>
                <w:highlight w:val="none"/>
              </w:rPr>
            </w:pPr>
          </w:p>
        </w:tc>
        <w:tc>
          <w:tcPr>
            <w:tcW w:w="1365" w:type="dxa"/>
            <w:vAlign w:val="center"/>
          </w:tcPr>
          <w:p w14:paraId="39FD005D">
            <w:pPr>
              <w:spacing w:line="360" w:lineRule="auto"/>
              <w:ind w:right="-2"/>
              <w:jc w:val="center"/>
              <w:rPr>
                <w:rFonts w:hint="eastAsia" w:ascii="宋体" w:hAnsi="宋体" w:cs="宋体"/>
                <w:color w:val="auto"/>
                <w:szCs w:val="21"/>
                <w:highlight w:val="none"/>
              </w:rPr>
            </w:pPr>
          </w:p>
        </w:tc>
        <w:tc>
          <w:tcPr>
            <w:tcW w:w="855" w:type="dxa"/>
            <w:vAlign w:val="center"/>
          </w:tcPr>
          <w:p w14:paraId="3EFBCF5D">
            <w:pPr>
              <w:spacing w:line="360" w:lineRule="auto"/>
              <w:ind w:right="-2"/>
              <w:jc w:val="center"/>
              <w:rPr>
                <w:rFonts w:hint="eastAsia" w:ascii="宋体" w:hAnsi="宋体" w:cs="宋体"/>
                <w:color w:val="auto"/>
                <w:szCs w:val="21"/>
                <w:highlight w:val="none"/>
              </w:rPr>
            </w:pPr>
          </w:p>
        </w:tc>
        <w:tc>
          <w:tcPr>
            <w:tcW w:w="1573" w:type="dxa"/>
            <w:vAlign w:val="center"/>
          </w:tcPr>
          <w:p w14:paraId="7A7FFC4F">
            <w:pPr>
              <w:spacing w:line="360" w:lineRule="auto"/>
              <w:ind w:right="-2"/>
              <w:jc w:val="center"/>
              <w:rPr>
                <w:rFonts w:hint="eastAsia" w:ascii="宋体" w:hAnsi="宋体" w:cs="宋体"/>
                <w:color w:val="auto"/>
                <w:szCs w:val="21"/>
                <w:highlight w:val="none"/>
              </w:rPr>
            </w:pPr>
          </w:p>
        </w:tc>
        <w:tc>
          <w:tcPr>
            <w:tcW w:w="871" w:type="dxa"/>
            <w:vAlign w:val="center"/>
          </w:tcPr>
          <w:p w14:paraId="0B3BC5EE">
            <w:pPr>
              <w:spacing w:line="360" w:lineRule="auto"/>
              <w:ind w:right="-2"/>
              <w:jc w:val="center"/>
              <w:rPr>
                <w:rFonts w:hint="eastAsia" w:ascii="宋体" w:hAnsi="宋体" w:cs="宋体"/>
                <w:color w:val="auto"/>
                <w:szCs w:val="21"/>
                <w:highlight w:val="none"/>
              </w:rPr>
            </w:pPr>
          </w:p>
        </w:tc>
      </w:tr>
      <w:tr w14:paraId="6987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1C20E986">
            <w:pPr>
              <w:spacing w:line="360" w:lineRule="auto"/>
              <w:ind w:right="-2"/>
              <w:jc w:val="center"/>
              <w:rPr>
                <w:rFonts w:hint="eastAsia" w:ascii="宋体" w:hAnsi="宋体" w:cs="宋体"/>
                <w:color w:val="auto"/>
                <w:szCs w:val="21"/>
                <w:highlight w:val="none"/>
              </w:rPr>
            </w:pPr>
          </w:p>
        </w:tc>
        <w:tc>
          <w:tcPr>
            <w:tcW w:w="743" w:type="dxa"/>
            <w:vAlign w:val="center"/>
          </w:tcPr>
          <w:p w14:paraId="1B8FC18B">
            <w:pPr>
              <w:spacing w:line="360" w:lineRule="auto"/>
              <w:ind w:right="-2"/>
              <w:jc w:val="center"/>
              <w:rPr>
                <w:rFonts w:hint="eastAsia" w:ascii="宋体" w:hAnsi="宋体" w:cs="宋体"/>
                <w:color w:val="auto"/>
                <w:szCs w:val="21"/>
                <w:highlight w:val="none"/>
              </w:rPr>
            </w:pPr>
          </w:p>
        </w:tc>
        <w:tc>
          <w:tcPr>
            <w:tcW w:w="744" w:type="dxa"/>
            <w:vAlign w:val="center"/>
          </w:tcPr>
          <w:p w14:paraId="3F3FD958">
            <w:pPr>
              <w:spacing w:line="360" w:lineRule="auto"/>
              <w:ind w:right="-2"/>
              <w:jc w:val="center"/>
              <w:rPr>
                <w:rFonts w:hint="eastAsia" w:ascii="宋体" w:hAnsi="宋体" w:cs="宋体"/>
                <w:color w:val="auto"/>
                <w:szCs w:val="21"/>
                <w:highlight w:val="none"/>
              </w:rPr>
            </w:pPr>
          </w:p>
        </w:tc>
        <w:tc>
          <w:tcPr>
            <w:tcW w:w="801" w:type="dxa"/>
            <w:vAlign w:val="center"/>
          </w:tcPr>
          <w:p w14:paraId="0A201E01">
            <w:pPr>
              <w:spacing w:line="360" w:lineRule="auto"/>
              <w:ind w:right="-2"/>
              <w:jc w:val="center"/>
              <w:rPr>
                <w:rFonts w:hint="eastAsia" w:ascii="宋体" w:hAnsi="宋体" w:cs="宋体"/>
                <w:color w:val="auto"/>
                <w:szCs w:val="21"/>
                <w:highlight w:val="none"/>
              </w:rPr>
            </w:pPr>
          </w:p>
        </w:tc>
        <w:tc>
          <w:tcPr>
            <w:tcW w:w="727" w:type="dxa"/>
            <w:vAlign w:val="center"/>
          </w:tcPr>
          <w:p w14:paraId="05358DDB">
            <w:pPr>
              <w:spacing w:line="360" w:lineRule="auto"/>
              <w:ind w:right="-2"/>
              <w:jc w:val="center"/>
              <w:rPr>
                <w:rFonts w:hint="eastAsia" w:ascii="宋体" w:hAnsi="宋体" w:cs="宋体"/>
                <w:color w:val="auto"/>
                <w:szCs w:val="21"/>
                <w:highlight w:val="none"/>
              </w:rPr>
            </w:pPr>
          </w:p>
        </w:tc>
        <w:tc>
          <w:tcPr>
            <w:tcW w:w="1365" w:type="dxa"/>
            <w:vAlign w:val="center"/>
          </w:tcPr>
          <w:p w14:paraId="5E66AEA5">
            <w:pPr>
              <w:spacing w:line="360" w:lineRule="auto"/>
              <w:ind w:right="-2"/>
              <w:jc w:val="center"/>
              <w:rPr>
                <w:rFonts w:hint="eastAsia" w:ascii="宋体" w:hAnsi="宋体" w:cs="宋体"/>
                <w:color w:val="auto"/>
                <w:szCs w:val="21"/>
                <w:highlight w:val="none"/>
              </w:rPr>
            </w:pPr>
          </w:p>
        </w:tc>
        <w:tc>
          <w:tcPr>
            <w:tcW w:w="855" w:type="dxa"/>
            <w:vAlign w:val="center"/>
          </w:tcPr>
          <w:p w14:paraId="18E22069">
            <w:pPr>
              <w:spacing w:line="360" w:lineRule="auto"/>
              <w:ind w:right="-2"/>
              <w:jc w:val="center"/>
              <w:rPr>
                <w:rFonts w:hint="eastAsia" w:ascii="宋体" w:hAnsi="宋体" w:cs="宋体"/>
                <w:color w:val="auto"/>
                <w:szCs w:val="21"/>
                <w:highlight w:val="none"/>
              </w:rPr>
            </w:pPr>
          </w:p>
        </w:tc>
        <w:tc>
          <w:tcPr>
            <w:tcW w:w="1573" w:type="dxa"/>
            <w:vAlign w:val="center"/>
          </w:tcPr>
          <w:p w14:paraId="3B30F068">
            <w:pPr>
              <w:spacing w:line="360" w:lineRule="auto"/>
              <w:ind w:right="-2"/>
              <w:jc w:val="center"/>
              <w:rPr>
                <w:rFonts w:hint="eastAsia" w:ascii="宋体" w:hAnsi="宋体" w:cs="宋体"/>
                <w:color w:val="auto"/>
                <w:szCs w:val="21"/>
                <w:highlight w:val="none"/>
              </w:rPr>
            </w:pPr>
          </w:p>
        </w:tc>
        <w:tc>
          <w:tcPr>
            <w:tcW w:w="871" w:type="dxa"/>
            <w:vAlign w:val="center"/>
          </w:tcPr>
          <w:p w14:paraId="2EDC135A">
            <w:pPr>
              <w:spacing w:line="360" w:lineRule="auto"/>
              <w:ind w:right="-2"/>
              <w:jc w:val="center"/>
              <w:rPr>
                <w:rFonts w:hint="eastAsia" w:ascii="宋体" w:hAnsi="宋体" w:cs="宋体"/>
                <w:color w:val="auto"/>
                <w:szCs w:val="21"/>
                <w:highlight w:val="none"/>
              </w:rPr>
            </w:pPr>
          </w:p>
        </w:tc>
      </w:tr>
      <w:tr w14:paraId="6EEC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01C6C641">
            <w:pPr>
              <w:spacing w:line="360" w:lineRule="auto"/>
              <w:ind w:right="-2"/>
              <w:jc w:val="center"/>
              <w:rPr>
                <w:rFonts w:hint="eastAsia" w:ascii="宋体" w:hAnsi="宋体" w:cs="宋体"/>
                <w:color w:val="auto"/>
                <w:szCs w:val="21"/>
                <w:highlight w:val="none"/>
              </w:rPr>
            </w:pPr>
          </w:p>
        </w:tc>
        <w:tc>
          <w:tcPr>
            <w:tcW w:w="743" w:type="dxa"/>
            <w:vAlign w:val="center"/>
          </w:tcPr>
          <w:p w14:paraId="35442737">
            <w:pPr>
              <w:spacing w:line="360" w:lineRule="auto"/>
              <w:ind w:right="-2"/>
              <w:jc w:val="center"/>
              <w:rPr>
                <w:rFonts w:hint="eastAsia" w:ascii="宋体" w:hAnsi="宋体" w:cs="宋体"/>
                <w:color w:val="auto"/>
                <w:szCs w:val="21"/>
                <w:highlight w:val="none"/>
              </w:rPr>
            </w:pPr>
          </w:p>
        </w:tc>
        <w:tc>
          <w:tcPr>
            <w:tcW w:w="744" w:type="dxa"/>
            <w:vAlign w:val="center"/>
          </w:tcPr>
          <w:p w14:paraId="07D7EE20">
            <w:pPr>
              <w:spacing w:line="360" w:lineRule="auto"/>
              <w:ind w:right="-2"/>
              <w:jc w:val="center"/>
              <w:rPr>
                <w:rFonts w:hint="eastAsia" w:ascii="宋体" w:hAnsi="宋体" w:cs="宋体"/>
                <w:color w:val="auto"/>
                <w:szCs w:val="21"/>
                <w:highlight w:val="none"/>
              </w:rPr>
            </w:pPr>
          </w:p>
        </w:tc>
        <w:tc>
          <w:tcPr>
            <w:tcW w:w="801" w:type="dxa"/>
            <w:vAlign w:val="center"/>
          </w:tcPr>
          <w:p w14:paraId="34174810">
            <w:pPr>
              <w:spacing w:line="360" w:lineRule="auto"/>
              <w:ind w:right="-2"/>
              <w:jc w:val="center"/>
              <w:rPr>
                <w:rFonts w:hint="eastAsia" w:ascii="宋体" w:hAnsi="宋体" w:cs="宋体"/>
                <w:color w:val="auto"/>
                <w:szCs w:val="21"/>
                <w:highlight w:val="none"/>
              </w:rPr>
            </w:pPr>
          </w:p>
        </w:tc>
        <w:tc>
          <w:tcPr>
            <w:tcW w:w="727" w:type="dxa"/>
            <w:vAlign w:val="center"/>
          </w:tcPr>
          <w:p w14:paraId="5D9D22FA">
            <w:pPr>
              <w:spacing w:line="360" w:lineRule="auto"/>
              <w:ind w:right="-2"/>
              <w:jc w:val="center"/>
              <w:rPr>
                <w:rFonts w:hint="eastAsia" w:ascii="宋体" w:hAnsi="宋体" w:cs="宋体"/>
                <w:color w:val="auto"/>
                <w:szCs w:val="21"/>
                <w:highlight w:val="none"/>
              </w:rPr>
            </w:pPr>
          </w:p>
        </w:tc>
        <w:tc>
          <w:tcPr>
            <w:tcW w:w="1365" w:type="dxa"/>
            <w:vAlign w:val="center"/>
          </w:tcPr>
          <w:p w14:paraId="0BE5CF3C">
            <w:pPr>
              <w:spacing w:line="360" w:lineRule="auto"/>
              <w:ind w:right="-2"/>
              <w:jc w:val="center"/>
              <w:rPr>
                <w:rFonts w:hint="eastAsia" w:ascii="宋体" w:hAnsi="宋体" w:cs="宋体"/>
                <w:color w:val="auto"/>
                <w:szCs w:val="21"/>
                <w:highlight w:val="none"/>
              </w:rPr>
            </w:pPr>
          </w:p>
        </w:tc>
        <w:tc>
          <w:tcPr>
            <w:tcW w:w="855" w:type="dxa"/>
            <w:vAlign w:val="center"/>
          </w:tcPr>
          <w:p w14:paraId="7274C96E">
            <w:pPr>
              <w:spacing w:line="360" w:lineRule="auto"/>
              <w:ind w:right="-2"/>
              <w:jc w:val="center"/>
              <w:rPr>
                <w:rFonts w:hint="eastAsia" w:ascii="宋体" w:hAnsi="宋体" w:cs="宋体"/>
                <w:color w:val="auto"/>
                <w:szCs w:val="21"/>
                <w:highlight w:val="none"/>
              </w:rPr>
            </w:pPr>
          </w:p>
        </w:tc>
        <w:tc>
          <w:tcPr>
            <w:tcW w:w="1573" w:type="dxa"/>
            <w:vAlign w:val="center"/>
          </w:tcPr>
          <w:p w14:paraId="124FFE48">
            <w:pPr>
              <w:spacing w:line="360" w:lineRule="auto"/>
              <w:ind w:right="-2"/>
              <w:jc w:val="center"/>
              <w:rPr>
                <w:rFonts w:hint="eastAsia" w:ascii="宋体" w:hAnsi="宋体" w:cs="宋体"/>
                <w:color w:val="auto"/>
                <w:szCs w:val="21"/>
                <w:highlight w:val="none"/>
              </w:rPr>
            </w:pPr>
          </w:p>
        </w:tc>
        <w:tc>
          <w:tcPr>
            <w:tcW w:w="871" w:type="dxa"/>
            <w:vAlign w:val="center"/>
          </w:tcPr>
          <w:p w14:paraId="694DF8CD">
            <w:pPr>
              <w:spacing w:line="360" w:lineRule="auto"/>
              <w:ind w:right="-2"/>
              <w:jc w:val="center"/>
              <w:rPr>
                <w:rFonts w:hint="eastAsia" w:ascii="宋体" w:hAnsi="宋体" w:cs="宋体"/>
                <w:color w:val="auto"/>
                <w:szCs w:val="21"/>
                <w:highlight w:val="none"/>
              </w:rPr>
            </w:pPr>
          </w:p>
        </w:tc>
      </w:tr>
      <w:tr w14:paraId="6E3D2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2E031BF1">
            <w:pPr>
              <w:spacing w:line="360" w:lineRule="auto"/>
              <w:ind w:right="-2"/>
              <w:jc w:val="center"/>
              <w:rPr>
                <w:rFonts w:hint="eastAsia" w:ascii="宋体" w:hAnsi="宋体" w:cs="宋体"/>
                <w:color w:val="auto"/>
                <w:szCs w:val="21"/>
                <w:highlight w:val="none"/>
              </w:rPr>
            </w:pPr>
          </w:p>
        </w:tc>
        <w:tc>
          <w:tcPr>
            <w:tcW w:w="743" w:type="dxa"/>
            <w:vAlign w:val="center"/>
          </w:tcPr>
          <w:p w14:paraId="2EFC4FA5">
            <w:pPr>
              <w:spacing w:line="360" w:lineRule="auto"/>
              <w:ind w:right="-2"/>
              <w:jc w:val="center"/>
              <w:rPr>
                <w:rFonts w:hint="eastAsia" w:ascii="宋体" w:hAnsi="宋体" w:cs="宋体"/>
                <w:color w:val="auto"/>
                <w:szCs w:val="21"/>
                <w:highlight w:val="none"/>
              </w:rPr>
            </w:pPr>
          </w:p>
        </w:tc>
        <w:tc>
          <w:tcPr>
            <w:tcW w:w="744" w:type="dxa"/>
            <w:vAlign w:val="center"/>
          </w:tcPr>
          <w:p w14:paraId="77CCA4FC">
            <w:pPr>
              <w:spacing w:line="360" w:lineRule="auto"/>
              <w:ind w:right="-2"/>
              <w:jc w:val="center"/>
              <w:rPr>
                <w:rFonts w:hint="eastAsia" w:ascii="宋体" w:hAnsi="宋体" w:cs="宋体"/>
                <w:color w:val="auto"/>
                <w:szCs w:val="21"/>
                <w:highlight w:val="none"/>
              </w:rPr>
            </w:pPr>
          </w:p>
        </w:tc>
        <w:tc>
          <w:tcPr>
            <w:tcW w:w="801" w:type="dxa"/>
            <w:vAlign w:val="center"/>
          </w:tcPr>
          <w:p w14:paraId="3D8E6FF5">
            <w:pPr>
              <w:spacing w:line="360" w:lineRule="auto"/>
              <w:ind w:right="-2"/>
              <w:jc w:val="center"/>
              <w:rPr>
                <w:rFonts w:hint="eastAsia" w:ascii="宋体" w:hAnsi="宋体" w:cs="宋体"/>
                <w:color w:val="auto"/>
                <w:szCs w:val="21"/>
                <w:highlight w:val="none"/>
              </w:rPr>
            </w:pPr>
          </w:p>
        </w:tc>
        <w:tc>
          <w:tcPr>
            <w:tcW w:w="727" w:type="dxa"/>
            <w:vAlign w:val="center"/>
          </w:tcPr>
          <w:p w14:paraId="77024D25">
            <w:pPr>
              <w:spacing w:line="360" w:lineRule="auto"/>
              <w:ind w:right="-2"/>
              <w:jc w:val="center"/>
              <w:rPr>
                <w:rFonts w:hint="eastAsia" w:ascii="宋体" w:hAnsi="宋体" w:cs="宋体"/>
                <w:color w:val="auto"/>
                <w:szCs w:val="21"/>
                <w:highlight w:val="none"/>
              </w:rPr>
            </w:pPr>
          </w:p>
        </w:tc>
        <w:tc>
          <w:tcPr>
            <w:tcW w:w="1365" w:type="dxa"/>
            <w:vAlign w:val="center"/>
          </w:tcPr>
          <w:p w14:paraId="37D9619F">
            <w:pPr>
              <w:spacing w:line="360" w:lineRule="auto"/>
              <w:ind w:right="-2"/>
              <w:jc w:val="center"/>
              <w:rPr>
                <w:rFonts w:hint="eastAsia" w:ascii="宋体" w:hAnsi="宋体" w:cs="宋体"/>
                <w:color w:val="auto"/>
                <w:szCs w:val="21"/>
                <w:highlight w:val="none"/>
              </w:rPr>
            </w:pPr>
          </w:p>
        </w:tc>
        <w:tc>
          <w:tcPr>
            <w:tcW w:w="855" w:type="dxa"/>
            <w:vAlign w:val="center"/>
          </w:tcPr>
          <w:p w14:paraId="6EC2115C">
            <w:pPr>
              <w:spacing w:line="360" w:lineRule="auto"/>
              <w:ind w:right="-2"/>
              <w:jc w:val="center"/>
              <w:rPr>
                <w:rFonts w:hint="eastAsia" w:ascii="宋体" w:hAnsi="宋体" w:cs="宋体"/>
                <w:color w:val="auto"/>
                <w:szCs w:val="21"/>
                <w:highlight w:val="none"/>
              </w:rPr>
            </w:pPr>
          </w:p>
        </w:tc>
        <w:tc>
          <w:tcPr>
            <w:tcW w:w="1573" w:type="dxa"/>
            <w:vAlign w:val="center"/>
          </w:tcPr>
          <w:p w14:paraId="14B993E5">
            <w:pPr>
              <w:spacing w:line="360" w:lineRule="auto"/>
              <w:ind w:right="-2"/>
              <w:jc w:val="center"/>
              <w:rPr>
                <w:rFonts w:hint="eastAsia" w:ascii="宋体" w:hAnsi="宋体" w:cs="宋体"/>
                <w:color w:val="auto"/>
                <w:szCs w:val="21"/>
                <w:highlight w:val="none"/>
              </w:rPr>
            </w:pPr>
          </w:p>
        </w:tc>
        <w:tc>
          <w:tcPr>
            <w:tcW w:w="871" w:type="dxa"/>
            <w:vAlign w:val="center"/>
          </w:tcPr>
          <w:p w14:paraId="2BFFC4B6">
            <w:pPr>
              <w:spacing w:line="360" w:lineRule="auto"/>
              <w:ind w:right="-2"/>
              <w:jc w:val="center"/>
              <w:rPr>
                <w:rFonts w:hint="eastAsia" w:ascii="宋体" w:hAnsi="宋体" w:cs="宋体"/>
                <w:color w:val="auto"/>
                <w:szCs w:val="21"/>
                <w:highlight w:val="none"/>
              </w:rPr>
            </w:pPr>
          </w:p>
        </w:tc>
      </w:tr>
      <w:tr w14:paraId="4462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288EFE9D">
            <w:pPr>
              <w:spacing w:line="360" w:lineRule="auto"/>
              <w:ind w:right="-2"/>
              <w:jc w:val="center"/>
              <w:rPr>
                <w:rFonts w:hint="eastAsia" w:ascii="宋体" w:hAnsi="宋体" w:cs="宋体"/>
                <w:color w:val="auto"/>
                <w:szCs w:val="21"/>
                <w:highlight w:val="none"/>
              </w:rPr>
            </w:pPr>
          </w:p>
        </w:tc>
        <w:tc>
          <w:tcPr>
            <w:tcW w:w="743" w:type="dxa"/>
            <w:vAlign w:val="center"/>
          </w:tcPr>
          <w:p w14:paraId="25B6E51A">
            <w:pPr>
              <w:spacing w:line="360" w:lineRule="auto"/>
              <w:ind w:right="-2"/>
              <w:jc w:val="center"/>
              <w:rPr>
                <w:rFonts w:hint="eastAsia" w:ascii="宋体" w:hAnsi="宋体" w:cs="宋体"/>
                <w:color w:val="auto"/>
                <w:szCs w:val="21"/>
                <w:highlight w:val="none"/>
              </w:rPr>
            </w:pPr>
          </w:p>
        </w:tc>
        <w:tc>
          <w:tcPr>
            <w:tcW w:w="744" w:type="dxa"/>
            <w:vAlign w:val="center"/>
          </w:tcPr>
          <w:p w14:paraId="0C175BDE">
            <w:pPr>
              <w:spacing w:line="360" w:lineRule="auto"/>
              <w:ind w:right="-2"/>
              <w:jc w:val="center"/>
              <w:rPr>
                <w:rFonts w:hint="eastAsia" w:ascii="宋体" w:hAnsi="宋体" w:cs="宋体"/>
                <w:color w:val="auto"/>
                <w:szCs w:val="21"/>
                <w:highlight w:val="none"/>
              </w:rPr>
            </w:pPr>
          </w:p>
        </w:tc>
        <w:tc>
          <w:tcPr>
            <w:tcW w:w="801" w:type="dxa"/>
            <w:vAlign w:val="center"/>
          </w:tcPr>
          <w:p w14:paraId="542DF411">
            <w:pPr>
              <w:spacing w:line="360" w:lineRule="auto"/>
              <w:ind w:right="-2"/>
              <w:jc w:val="center"/>
              <w:rPr>
                <w:rFonts w:hint="eastAsia" w:ascii="宋体" w:hAnsi="宋体" w:cs="宋体"/>
                <w:color w:val="auto"/>
                <w:szCs w:val="21"/>
                <w:highlight w:val="none"/>
              </w:rPr>
            </w:pPr>
          </w:p>
        </w:tc>
        <w:tc>
          <w:tcPr>
            <w:tcW w:w="727" w:type="dxa"/>
            <w:vAlign w:val="center"/>
          </w:tcPr>
          <w:p w14:paraId="0AC79303">
            <w:pPr>
              <w:spacing w:line="360" w:lineRule="auto"/>
              <w:ind w:right="-2"/>
              <w:jc w:val="center"/>
              <w:rPr>
                <w:rFonts w:hint="eastAsia" w:ascii="宋体" w:hAnsi="宋体" w:cs="宋体"/>
                <w:color w:val="auto"/>
                <w:szCs w:val="21"/>
                <w:highlight w:val="none"/>
              </w:rPr>
            </w:pPr>
          </w:p>
        </w:tc>
        <w:tc>
          <w:tcPr>
            <w:tcW w:w="1365" w:type="dxa"/>
            <w:vAlign w:val="center"/>
          </w:tcPr>
          <w:p w14:paraId="36D2E1AA">
            <w:pPr>
              <w:spacing w:line="360" w:lineRule="auto"/>
              <w:ind w:right="-2"/>
              <w:jc w:val="center"/>
              <w:rPr>
                <w:rFonts w:hint="eastAsia" w:ascii="宋体" w:hAnsi="宋体" w:cs="宋体"/>
                <w:color w:val="auto"/>
                <w:szCs w:val="21"/>
                <w:highlight w:val="none"/>
              </w:rPr>
            </w:pPr>
          </w:p>
        </w:tc>
        <w:tc>
          <w:tcPr>
            <w:tcW w:w="855" w:type="dxa"/>
            <w:vAlign w:val="center"/>
          </w:tcPr>
          <w:p w14:paraId="388379F2">
            <w:pPr>
              <w:spacing w:line="360" w:lineRule="auto"/>
              <w:ind w:right="-2"/>
              <w:jc w:val="center"/>
              <w:rPr>
                <w:rFonts w:hint="eastAsia" w:ascii="宋体" w:hAnsi="宋体" w:cs="宋体"/>
                <w:color w:val="auto"/>
                <w:szCs w:val="21"/>
                <w:highlight w:val="none"/>
              </w:rPr>
            </w:pPr>
          </w:p>
        </w:tc>
        <w:tc>
          <w:tcPr>
            <w:tcW w:w="1573" w:type="dxa"/>
            <w:vAlign w:val="center"/>
          </w:tcPr>
          <w:p w14:paraId="28302431">
            <w:pPr>
              <w:spacing w:line="360" w:lineRule="auto"/>
              <w:ind w:right="-2"/>
              <w:jc w:val="center"/>
              <w:rPr>
                <w:rFonts w:hint="eastAsia" w:ascii="宋体" w:hAnsi="宋体" w:cs="宋体"/>
                <w:color w:val="auto"/>
                <w:szCs w:val="21"/>
                <w:highlight w:val="none"/>
              </w:rPr>
            </w:pPr>
          </w:p>
        </w:tc>
        <w:tc>
          <w:tcPr>
            <w:tcW w:w="871" w:type="dxa"/>
            <w:vAlign w:val="center"/>
          </w:tcPr>
          <w:p w14:paraId="5BD858ED">
            <w:pPr>
              <w:spacing w:line="360" w:lineRule="auto"/>
              <w:ind w:right="-2"/>
              <w:jc w:val="center"/>
              <w:rPr>
                <w:rFonts w:hint="eastAsia" w:ascii="宋体" w:hAnsi="宋体" w:cs="宋体"/>
                <w:color w:val="auto"/>
                <w:szCs w:val="21"/>
                <w:highlight w:val="none"/>
              </w:rPr>
            </w:pPr>
          </w:p>
        </w:tc>
      </w:tr>
      <w:tr w14:paraId="41473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676" w:type="dxa"/>
            <w:vAlign w:val="center"/>
          </w:tcPr>
          <w:p w14:paraId="133890F9">
            <w:pPr>
              <w:spacing w:line="360" w:lineRule="auto"/>
              <w:ind w:right="-2"/>
              <w:jc w:val="center"/>
              <w:rPr>
                <w:rFonts w:hint="eastAsia" w:ascii="宋体" w:hAnsi="宋体" w:cs="宋体"/>
                <w:color w:val="auto"/>
                <w:szCs w:val="21"/>
                <w:highlight w:val="none"/>
              </w:rPr>
            </w:pPr>
          </w:p>
        </w:tc>
        <w:tc>
          <w:tcPr>
            <w:tcW w:w="743" w:type="dxa"/>
            <w:vAlign w:val="center"/>
          </w:tcPr>
          <w:p w14:paraId="283B4E88">
            <w:pPr>
              <w:spacing w:line="360" w:lineRule="auto"/>
              <w:ind w:right="-2"/>
              <w:jc w:val="center"/>
              <w:rPr>
                <w:rFonts w:hint="eastAsia" w:ascii="宋体" w:hAnsi="宋体" w:cs="宋体"/>
                <w:color w:val="auto"/>
                <w:szCs w:val="21"/>
                <w:highlight w:val="none"/>
              </w:rPr>
            </w:pPr>
          </w:p>
        </w:tc>
        <w:tc>
          <w:tcPr>
            <w:tcW w:w="744" w:type="dxa"/>
            <w:vAlign w:val="center"/>
          </w:tcPr>
          <w:p w14:paraId="6D622FC8">
            <w:pPr>
              <w:spacing w:line="360" w:lineRule="auto"/>
              <w:ind w:right="-2"/>
              <w:jc w:val="center"/>
              <w:rPr>
                <w:rFonts w:hint="eastAsia" w:ascii="宋体" w:hAnsi="宋体" w:cs="宋体"/>
                <w:color w:val="auto"/>
                <w:szCs w:val="21"/>
                <w:highlight w:val="none"/>
              </w:rPr>
            </w:pPr>
          </w:p>
        </w:tc>
        <w:tc>
          <w:tcPr>
            <w:tcW w:w="801" w:type="dxa"/>
            <w:vAlign w:val="center"/>
          </w:tcPr>
          <w:p w14:paraId="7EAC5C7C">
            <w:pPr>
              <w:spacing w:line="360" w:lineRule="auto"/>
              <w:ind w:right="-2"/>
              <w:jc w:val="center"/>
              <w:rPr>
                <w:rFonts w:hint="eastAsia" w:ascii="宋体" w:hAnsi="宋体" w:cs="宋体"/>
                <w:color w:val="auto"/>
                <w:szCs w:val="21"/>
                <w:highlight w:val="none"/>
              </w:rPr>
            </w:pPr>
          </w:p>
        </w:tc>
        <w:tc>
          <w:tcPr>
            <w:tcW w:w="727" w:type="dxa"/>
            <w:vAlign w:val="center"/>
          </w:tcPr>
          <w:p w14:paraId="498B72EB">
            <w:pPr>
              <w:spacing w:line="360" w:lineRule="auto"/>
              <w:ind w:right="-2"/>
              <w:jc w:val="center"/>
              <w:rPr>
                <w:rFonts w:hint="eastAsia" w:ascii="宋体" w:hAnsi="宋体" w:cs="宋体"/>
                <w:color w:val="auto"/>
                <w:szCs w:val="21"/>
                <w:highlight w:val="none"/>
              </w:rPr>
            </w:pPr>
          </w:p>
        </w:tc>
        <w:tc>
          <w:tcPr>
            <w:tcW w:w="1365" w:type="dxa"/>
            <w:vAlign w:val="center"/>
          </w:tcPr>
          <w:p w14:paraId="263EC711">
            <w:pPr>
              <w:spacing w:line="360" w:lineRule="auto"/>
              <w:ind w:right="-2"/>
              <w:jc w:val="center"/>
              <w:rPr>
                <w:rFonts w:hint="eastAsia" w:ascii="宋体" w:hAnsi="宋体" w:cs="宋体"/>
                <w:color w:val="auto"/>
                <w:szCs w:val="21"/>
                <w:highlight w:val="none"/>
              </w:rPr>
            </w:pPr>
          </w:p>
        </w:tc>
        <w:tc>
          <w:tcPr>
            <w:tcW w:w="855" w:type="dxa"/>
            <w:vAlign w:val="center"/>
          </w:tcPr>
          <w:p w14:paraId="10BB59E7">
            <w:pPr>
              <w:spacing w:line="360" w:lineRule="auto"/>
              <w:ind w:right="-2"/>
              <w:jc w:val="center"/>
              <w:rPr>
                <w:rFonts w:hint="eastAsia" w:ascii="宋体" w:hAnsi="宋体" w:cs="宋体"/>
                <w:color w:val="auto"/>
                <w:szCs w:val="21"/>
                <w:highlight w:val="none"/>
              </w:rPr>
            </w:pPr>
          </w:p>
        </w:tc>
        <w:tc>
          <w:tcPr>
            <w:tcW w:w="1573" w:type="dxa"/>
            <w:vAlign w:val="center"/>
          </w:tcPr>
          <w:p w14:paraId="3C8AA098">
            <w:pPr>
              <w:spacing w:line="360" w:lineRule="auto"/>
              <w:ind w:right="-2"/>
              <w:jc w:val="center"/>
              <w:rPr>
                <w:rFonts w:hint="eastAsia" w:ascii="宋体" w:hAnsi="宋体" w:cs="宋体"/>
                <w:color w:val="auto"/>
                <w:szCs w:val="21"/>
                <w:highlight w:val="none"/>
              </w:rPr>
            </w:pPr>
          </w:p>
        </w:tc>
        <w:tc>
          <w:tcPr>
            <w:tcW w:w="871" w:type="dxa"/>
            <w:vAlign w:val="center"/>
          </w:tcPr>
          <w:p w14:paraId="38C0723B">
            <w:pPr>
              <w:spacing w:line="360" w:lineRule="auto"/>
              <w:ind w:right="-2"/>
              <w:jc w:val="center"/>
              <w:rPr>
                <w:rFonts w:hint="eastAsia" w:ascii="宋体" w:hAnsi="宋体" w:cs="宋体"/>
                <w:color w:val="auto"/>
                <w:szCs w:val="21"/>
                <w:highlight w:val="none"/>
              </w:rPr>
            </w:pPr>
          </w:p>
        </w:tc>
      </w:tr>
    </w:tbl>
    <w:p w14:paraId="04C3FFEB">
      <w:pPr>
        <w:pageBreakBefore w:val="0"/>
        <w:kinsoku/>
        <w:overflowPunct/>
        <w:autoSpaceDE/>
        <w:autoSpaceDN/>
        <w:bidi w:val="0"/>
        <w:adjustRightInd w:val="0"/>
        <w:snapToGrid w:val="0"/>
        <w:spacing w:line="360" w:lineRule="auto"/>
        <w:rPr>
          <w:rFonts w:hint="eastAsia" w:cs="宋体"/>
          <w:color w:val="auto"/>
          <w:szCs w:val="21"/>
          <w:highlight w:val="none"/>
        </w:rPr>
      </w:pPr>
    </w:p>
    <w:p w14:paraId="428F3C85">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1DF807A3">
      <w:pPr>
        <w:pStyle w:val="306"/>
        <w:ind w:firstLine="480"/>
        <w:rPr>
          <w:rFonts w:hint="eastAsia" w:ascii="宋体" w:hAnsi="宋体" w:cs="宋体"/>
          <w:color w:val="auto"/>
          <w:sz w:val="24"/>
          <w:highlight w:val="none"/>
        </w:rPr>
      </w:pPr>
    </w:p>
    <w:p w14:paraId="0C27B02E">
      <w:pPr>
        <w:pStyle w:val="306"/>
        <w:ind w:firstLine="480"/>
        <w:rPr>
          <w:rFonts w:hint="eastAsia" w:ascii="宋体" w:hAnsi="宋体" w:cs="宋体"/>
          <w:color w:val="auto"/>
          <w:sz w:val="24"/>
          <w:highlight w:val="none"/>
        </w:rPr>
      </w:pPr>
    </w:p>
    <w:p w14:paraId="4A818FB0">
      <w:pPr>
        <w:pageBreakBefore w:val="0"/>
        <w:kinsoku/>
        <w:overflowPunct/>
        <w:autoSpaceDE/>
        <w:autoSpaceDN/>
        <w:bidi w:val="0"/>
        <w:adjustRightInd w:val="0"/>
        <w:snapToGrid w:val="0"/>
        <w:spacing w:line="360" w:lineRule="auto"/>
        <w:ind w:firstLine="883"/>
        <w:jc w:val="center"/>
        <w:rPr>
          <w:rFonts w:cs="宋体"/>
          <w:b/>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7FF4BC3D">
      <w:pPr>
        <w:pageBreakBefore w:val="0"/>
        <w:kinsoku/>
        <w:overflowPunct/>
        <w:autoSpaceDE/>
        <w:autoSpaceDN/>
        <w:bidi w:val="0"/>
        <w:adjustRightInd w:val="0"/>
        <w:snapToGrid w:val="0"/>
        <w:spacing w:line="360" w:lineRule="auto"/>
        <w:ind w:firstLine="422"/>
        <w:jc w:val="center"/>
        <w:rPr>
          <w:b/>
          <w:color w:val="auto"/>
          <w:highlight w:val="none"/>
        </w:rPr>
      </w:pPr>
      <w:r>
        <w:rPr>
          <w:rFonts w:hint="eastAsia"/>
          <w:b/>
          <w:color w:val="auto"/>
          <w:highlight w:val="none"/>
          <w:lang w:val="en-US" w:eastAsia="zh-CN"/>
        </w:rPr>
        <w:t>九</w:t>
      </w:r>
      <w:r>
        <w:rPr>
          <w:rFonts w:hint="eastAsia"/>
          <w:b/>
          <w:color w:val="auto"/>
          <w:highlight w:val="none"/>
        </w:rPr>
        <w:t>、主要标的信息（中标后将公示）</w:t>
      </w:r>
    </w:p>
    <w:p w14:paraId="7F53699A">
      <w:pPr>
        <w:pageBreakBefore w:val="0"/>
        <w:kinsoku/>
        <w:overflowPunct/>
        <w:autoSpaceDE/>
        <w:autoSpaceDN/>
        <w:bidi w:val="0"/>
        <w:adjustRightInd w:val="0"/>
        <w:snapToGrid w:val="0"/>
        <w:spacing w:line="360" w:lineRule="auto"/>
        <w:rPr>
          <w:b/>
          <w:color w:val="auto"/>
          <w:highlight w:val="none"/>
        </w:rPr>
      </w:pPr>
      <w:r>
        <w:rPr>
          <w:rFonts w:hint="eastAsia"/>
          <w:color w:val="auto"/>
          <w:highlight w:val="none"/>
        </w:rPr>
        <w:t>投标人全称：</w:t>
      </w:r>
    </w:p>
    <w:tbl>
      <w:tblPr>
        <w:tblStyle w:val="45"/>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7431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val="0"/>
          </w:tcPr>
          <w:p w14:paraId="7875EC89">
            <w:pPr>
              <w:pageBreakBefore w:val="0"/>
              <w:kinsoku/>
              <w:overflowPunct/>
              <w:autoSpaceDE/>
              <w:autoSpaceDN/>
              <w:bidi w:val="0"/>
              <w:adjustRightInd w:val="0"/>
              <w:snapToGrid w:val="0"/>
              <w:spacing w:line="360" w:lineRule="auto"/>
              <w:jc w:val="center"/>
              <w:rPr>
                <w:rFonts w:cs="宋体"/>
                <w:color w:val="auto"/>
                <w:highlight w:val="none"/>
              </w:rPr>
            </w:pPr>
            <w:r>
              <w:rPr>
                <w:rFonts w:hint="eastAsia" w:cs="宋体"/>
                <w:color w:val="auto"/>
                <w:highlight w:val="none"/>
              </w:rPr>
              <w:t>货物类</w:t>
            </w:r>
          </w:p>
        </w:tc>
        <w:tc>
          <w:tcPr>
            <w:tcW w:w="3780" w:type="dxa"/>
            <w:noWrap w:val="0"/>
          </w:tcPr>
          <w:p w14:paraId="26E31FFC">
            <w:pPr>
              <w:pageBreakBefore w:val="0"/>
              <w:kinsoku/>
              <w:overflowPunct/>
              <w:autoSpaceDE/>
              <w:autoSpaceDN/>
              <w:bidi w:val="0"/>
              <w:adjustRightInd w:val="0"/>
              <w:snapToGrid w:val="0"/>
              <w:spacing w:line="360" w:lineRule="auto"/>
              <w:jc w:val="center"/>
              <w:rPr>
                <w:rFonts w:cs="宋体"/>
                <w:color w:val="auto"/>
                <w:highlight w:val="none"/>
              </w:rPr>
            </w:pPr>
            <w:r>
              <w:rPr>
                <w:rFonts w:hint="eastAsia" w:cs="宋体"/>
                <w:color w:val="auto"/>
                <w:highlight w:val="none"/>
              </w:rPr>
              <w:t>服务类</w:t>
            </w:r>
          </w:p>
        </w:tc>
      </w:tr>
      <w:tr w14:paraId="3E49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val="0"/>
          </w:tcPr>
          <w:p w14:paraId="374FA105">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名称：</w:t>
            </w:r>
          </w:p>
          <w:p w14:paraId="2952B81D">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品牌（如有）：</w:t>
            </w:r>
          </w:p>
          <w:p w14:paraId="67C131F3">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规格型号：</w:t>
            </w:r>
          </w:p>
          <w:p w14:paraId="27B9C899">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数量：</w:t>
            </w:r>
          </w:p>
          <w:p w14:paraId="78763A3F">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单价：</w:t>
            </w:r>
          </w:p>
        </w:tc>
        <w:tc>
          <w:tcPr>
            <w:tcW w:w="3780" w:type="dxa"/>
            <w:noWrap w:val="0"/>
          </w:tcPr>
          <w:p w14:paraId="317D3746">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名称：</w:t>
            </w:r>
          </w:p>
          <w:p w14:paraId="58978D11">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服务范围：</w:t>
            </w:r>
          </w:p>
          <w:p w14:paraId="221E16D2">
            <w:pPr>
              <w:pageBreakBefore w:val="0"/>
              <w:kinsoku/>
              <w:overflowPunct/>
              <w:autoSpaceDE/>
              <w:autoSpaceDN/>
              <w:bidi w:val="0"/>
              <w:adjustRightInd w:val="0"/>
              <w:snapToGrid w:val="0"/>
              <w:spacing w:line="360" w:lineRule="auto"/>
              <w:rPr>
                <w:rFonts w:cs="宋体"/>
                <w:color w:val="auto"/>
                <w:highlight w:val="none"/>
                <w:u w:val="single"/>
              </w:rPr>
            </w:pPr>
            <w:r>
              <w:rPr>
                <w:rFonts w:hint="eastAsia" w:cs="宋体"/>
                <w:color w:val="auto"/>
                <w:highlight w:val="none"/>
              </w:rPr>
              <w:t>服务要求：</w:t>
            </w:r>
          </w:p>
          <w:p w14:paraId="396928DD">
            <w:pPr>
              <w:pageBreakBefore w:val="0"/>
              <w:kinsoku/>
              <w:overflowPunct/>
              <w:autoSpaceDE/>
              <w:autoSpaceDN/>
              <w:bidi w:val="0"/>
              <w:adjustRightInd w:val="0"/>
              <w:snapToGrid w:val="0"/>
              <w:spacing w:line="360" w:lineRule="auto"/>
              <w:rPr>
                <w:rFonts w:cs="宋体"/>
                <w:color w:val="auto"/>
                <w:highlight w:val="none"/>
                <w:u w:val="single"/>
              </w:rPr>
            </w:pPr>
            <w:r>
              <w:rPr>
                <w:rFonts w:hint="eastAsia" w:cs="宋体"/>
                <w:color w:val="auto"/>
                <w:highlight w:val="none"/>
              </w:rPr>
              <w:t>服务时间：</w:t>
            </w:r>
          </w:p>
          <w:p w14:paraId="26892E7D">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服务标准：</w:t>
            </w:r>
          </w:p>
        </w:tc>
      </w:tr>
    </w:tbl>
    <w:p w14:paraId="65624A9A">
      <w:pPr>
        <w:pageBreakBefore w:val="0"/>
        <w:kinsoku/>
        <w:overflowPunct/>
        <w:autoSpaceDE/>
        <w:autoSpaceDN/>
        <w:bidi w:val="0"/>
        <w:adjustRightInd w:val="0"/>
        <w:snapToGrid w:val="0"/>
        <w:rPr>
          <w:color w:val="auto"/>
          <w:highlight w:val="none"/>
        </w:rPr>
      </w:pPr>
      <w:r>
        <w:rPr>
          <w:color w:val="auto"/>
          <w:highlight w:val="none"/>
        </w:rPr>
        <w:br w:type="page" w:clear="all"/>
      </w:r>
    </w:p>
    <w:p w14:paraId="085067E4">
      <w:pPr>
        <w:pageBreakBefore w:val="0"/>
        <w:kinsoku/>
        <w:overflowPunct/>
        <w:autoSpaceDE/>
        <w:autoSpaceDN/>
        <w:bidi w:val="0"/>
        <w:adjustRightInd w:val="0"/>
        <w:snapToGrid w:val="0"/>
        <w:ind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供应商参加投标确认函</w:t>
      </w:r>
    </w:p>
    <w:p w14:paraId="5E4CFDD9">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p>
    <w:p w14:paraId="4FD69DE5">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14:paraId="249D98B8">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本单位将参加贵公司于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日开标的采购编号为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项目的投标。本单位已在</w:t>
      </w:r>
      <w:r>
        <w:rPr>
          <w:rFonts w:hint="eastAsia" w:ascii="宋体" w:hAnsi="宋体" w:cs="宋体"/>
          <w:color w:val="auto"/>
          <w:sz w:val="24"/>
          <w:szCs w:val="24"/>
          <w:highlight w:val="none"/>
          <w:lang w:eastAsia="zh-CN"/>
        </w:rPr>
        <w:t>“扬州大学附属医院网、扬州大学网、江苏省招标投标公共服务平台”</w:t>
      </w:r>
      <w:r>
        <w:rPr>
          <w:rFonts w:hint="eastAsia" w:ascii="宋体" w:hAnsi="宋体" w:cs="宋体"/>
          <w:color w:val="auto"/>
          <w:sz w:val="24"/>
          <w:szCs w:val="24"/>
          <w:highlight w:val="none"/>
        </w:rPr>
        <w:t>成功下载标书，特发函确认。</w:t>
      </w:r>
    </w:p>
    <w:p w14:paraId="068D3473">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67F43E07">
      <w:pPr>
        <w:pageBreakBefore w:val="0"/>
        <w:pBdr>
          <w:bottom w:val="single" w:color="auto" w:sz="6" w:space="1"/>
        </w:pBdr>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7520260">
      <w:pPr>
        <w:pageBreakBefore w:val="0"/>
        <w:kinsoku/>
        <w:overflowPunct/>
        <w:autoSpaceDE/>
        <w:autoSpaceDN/>
        <w:bidi w:val="0"/>
        <w:adjustRightInd w:val="0"/>
        <w:snapToGrid w:val="0"/>
        <w:ind w:left="3960" w:hanging="3960"/>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p w14:paraId="19C32E8B">
      <w:pPr>
        <w:pageBreakBefore w:val="0"/>
        <w:kinsoku/>
        <w:overflowPunct/>
        <w:autoSpaceDE/>
        <w:autoSpaceDN/>
        <w:bidi w:val="0"/>
        <w:adjustRightInd w:val="0"/>
        <w:snapToGrid w:val="0"/>
        <w:ind w:left="3975" w:hanging="3975"/>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04E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213631DE">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val="0"/>
          </w:tcPr>
          <w:p w14:paraId="50DFF6E0">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2E25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4D1CF91B">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val="0"/>
          </w:tcPr>
          <w:p w14:paraId="45AC77C7">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33E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2CC1BAEC">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val="0"/>
          </w:tcPr>
          <w:p w14:paraId="2C59E44F">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394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1A7ED15B">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val="0"/>
          </w:tcPr>
          <w:p w14:paraId="76AC60FE">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c>
          <w:tcPr>
            <w:tcW w:w="1843" w:type="dxa"/>
            <w:noWrap w:val="0"/>
          </w:tcPr>
          <w:p w14:paraId="2F81B907">
            <w:pPr>
              <w:pageBreakBefore w:val="0"/>
              <w:kinsoku/>
              <w:overflowPunct/>
              <w:autoSpaceDE/>
              <w:autoSpaceDN/>
              <w:bidi w:val="0"/>
              <w:adjustRightInd w:val="0"/>
              <w:snapToGrid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val="0"/>
          </w:tcPr>
          <w:p w14:paraId="74E6C627">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6497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tcPr>
          <w:p w14:paraId="1534BC02">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val="0"/>
          </w:tcPr>
          <w:p w14:paraId="0164C11B">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c>
          <w:tcPr>
            <w:tcW w:w="1843" w:type="dxa"/>
            <w:noWrap w:val="0"/>
          </w:tcPr>
          <w:p w14:paraId="7D1C6DE3">
            <w:pPr>
              <w:pageBreakBefore w:val="0"/>
              <w:kinsoku/>
              <w:overflowPunct/>
              <w:autoSpaceDE/>
              <w:autoSpaceDN/>
              <w:bidi w:val="0"/>
              <w:adjustRightInd w:val="0"/>
              <w:snapToGrid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val="0"/>
          </w:tcPr>
          <w:p w14:paraId="2A6D7802">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531C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val="0"/>
          </w:tcPr>
          <w:p w14:paraId="2BD4D473">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val="0"/>
          </w:tcPr>
          <w:p w14:paraId="6E7938BF">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c>
          <w:tcPr>
            <w:tcW w:w="1843" w:type="dxa"/>
            <w:noWrap w:val="0"/>
          </w:tcPr>
          <w:p w14:paraId="71D793BF">
            <w:pPr>
              <w:pageBreakBefore w:val="0"/>
              <w:kinsoku/>
              <w:overflowPunct/>
              <w:autoSpaceDE/>
              <w:autoSpaceDN/>
              <w:bidi w:val="0"/>
              <w:adjustRightInd w:val="0"/>
              <w:snapToGrid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val="0"/>
          </w:tcPr>
          <w:p w14:paraId="0BCF651D">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1686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05C178AF">
            <w:pPr>
              <w:pageBreakBefore w:val="0"/>
              <w:kinsoku/>
              <w:overflowPunct/>
              <w:autoSpaceDE/>
              <w:autoSpaceDN/>
              <w:bidi w:val="0"/>
              <w:adjustRightInd w:val="0"/>
              <w:snapToGrid w:val="0"/>
              <w:spacing w:line="440" w:lineRule="exact"/>
              <w:contextualSpacing/>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所投项目</w:t>
            </w:r>
            <w:r>
              <w:rPr>
                <w:rFonts w:hint="eastAsia" w:ascii="宋体" w:hAnsi="宋体" w:cs="宋体"/>
                <w:color w:val="auto"/>
                <w:sz w:val="24"/>
                <w:szCs w:val="24"/>
                <w:highlight w:val="none"/>
                <w:lang w:val="en-US" w:eastAsia="zh-CN"/>
              </w:rPr>
              <w:t>名称</w:t>
            </w:r>
          </w:p>
        </w:tc>
        <w:tc>
          <w:tcPr>
            <w:tcW w:w="6005" w:type="dxa"/>
            <w:gridSpan w:val="3"/>
            <w:noWrap w:val="0"/>
            <w:vAlign w:val="center"/>
          </w:tcPr>
          <w:p w14:paraId="1577C7FC">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bl>
    <w:p w14:paraId="15361B8E">
      <w:pPr>
        <w:pageBreakBefore w:val="0"/>
        <w:kinsoku/>
        <w:overflowPunct/>
        <w:autoSpaceDE/>
        <w:autoSpaceDN/>
        <w:bidi w:val="0"/>
        <w:adjustRightInd w:val="0"/>
        <w:snapToGrid w:val="0"/>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p w14:paraId="3D98F9BF">
      <w:pPr>
        <w:pageBreakBefore w:val="0"/>
        <w:kinsoku/>
        <w:overflowPunct/>
        <w:autoSpaceDE/>
        <w:autoSpaceDN/>
        <w:bidi w:val="0"/>
        <w:adjustRightInd w:val="0"/>
        <w:snapToGrid w:val="0"/>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rPr>
        <w:t>376671107@qq.com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，固定电话：0514-82129116）。</w:t>
      </w:r>
    </w:p>
    <w:p w14:paraId="4A2A6F95">
      <w:pPr>
        <w:pageBreakBefore w:val="0"/>
        <w:kinsoku/>
        <w:overflowPunct/>
        <w:autoSpaceDE/>
        <w:autoSpaceDN/>
        <w:bidi w:val="0"/>
        <w:adjustRightInd w:val="0"/>
        <w:snapToGrid w:val="0"/>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14:paraId="7078EEF5">
      <w:pPr>
        <w:pStyle w:val="17"/>
        <w:pageBreakBefore w:val="0"/>
        <w:kinsoku/>
        <w:overflowPunct/>
        <w:autoSpaceDE/>
        <w:autoSpaceDN/>
        <w:bidi w:val="0"/>
        <w:adjustRightInd w:val="0"/>
        <w:snapToGrid w:val="0"/>
        <w:ind w:firstLine="400"/>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Noto Sans CJK JP Regular">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ont-weight : 400">
    <w:altName w:val="DejaVu Math TeX Gyre"/>
    <w:panose1 w:val="020B0503020202020204"/>
    <w:charset w:val="00"/>
    <w:family w:val="auto"/>
    <w:pitch w:val="default"/>
    <w:sig w:usb0="00000000" w:usb1="00000000" w:usb2="00000000" w:usb3="00000000" w:csb0="00000000" w:csb1="00000000"/>
  </w:font>
  <w:font w:name="宋体_GB2312">
    <w:altName w:val="宋体"/>
    <w:panose1 w:val="02010600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E2D9">
    <w:pPr>
      <w:pStyle w:val="28"/>
      <w:jc w:val="center"/>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A2872">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4CWU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Z1m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p4CWU8AgAAbwQAAA4AAAAAAAAAAQAgAAAAHwEAAGRycy9lMm9E&#10;b2MueG1sUEsFBgAAAAAGAAYAWQEAAM0FAAAAAA==&#10;">
              <v:fill on="f" focussize="0,0"/>
              <v:stroke on="f" weight="0.5pt"/>
              <v:imagedata o:title=""/>
              <o:lock v:ext="edit" aspectratio="f"/>
              <v:textbox inset="0mm,0mm,0mm,0mm" style="mso-fit-shape-to-text:t;">
                <w:txbxContent>
                  <w:p w14:paraId="687A2872">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E0C6">
    <w:pPr>
      <w:pStyle w:val="28"/>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1B26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q+aaw8AgAAbwQAAA4AAAAAAAAAAQAgAAAAHwEAAGRycy9lMm9E&#10;b2MueG1sUEsFBgAAAAAGAAYAWQEAAM0FAAAAAA==&#10;">
              <v:fill on="f" focussize="0,0"/>
              <v:stroke on="f" weight="0.5pt"/>
              <v:imagedata o:title=""/>
              <o:lock v:ext="edit" aspectratio="f"/>
              <v:textbox inset="0mm,0mm,0mm,0mm" style="mso-fit-shape-to-text:t;">
                <w:txbxContent>
                  <w:p w14:paraId="7CC1B26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EA6C">
    <w:pPr>
      <w:pStyle w:val="28"/>
      <w:jc w:val="center"/>
      <w:rPr>
        <w:rFonts w:hint="eastAsia" w:ascii="宋体_GB2312" w:hAnsi="宋体_GB2312" w:eastAsia="宋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D5084">
                          <w:pPr>
                            <w:pStyle w:val="2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JHIuXs8AgAAbwQAAA4AAAAAAAAAAQAgAAAAHwEAAGRycy9lMm9E&#10;b2MueG1sUEsFBgAAAAAGAAYAWQEAAM0FAAAAAA==&#10;">
              <v:fill on="f" focussize="0,0"/>
              <v:stroke on="f" weight="0.5pt"/>
              <v:imagedata o:title=""/>
              <o:lock v:ext="edit" aspectratio="f"/>
              <v:textbox inset="0mm,0mm,0mm,0mm" style="mso-fit-shape-to-text:t;">
                <w:txbxContent>
                  <w:p w14:paraId="1B5D5084">
                    <w:pPr>
                      <w:pStyle w:val="2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D2F4">
    <w:pPr>
      <w:pStyle w:val="29"/>
    </w:pPr>
    <w:r>
      <w:rPr>
        <w:rFonts w:hint="eastAsia"/>
        <w:lang w:eastAsia="zh-CN"/>
      </w:rPr>
      <w:t>YDFYSW-20250701</w:t>
    </w:r>
    <w:r>
      <w:rPr>
        <w:rFonts w:hint="eastAsia"/>
      </w:rPr>
      <w:t xml:space="preserve">号   </w:t>
    </w:r>
    <w:r>
      <w:rPr>
        <w:rFonts w:hint="eastAsia"/>
        <w:lang w:val="en-US" w:eastAsia="zh-CN"/>
      </w:rPr>
      <w:t xml:space="preserve">       </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2C0A">
    <w:pPr>
      <w:pStyle w:val="29"/>
    </w:pPr>
    <w:r>
      <w:rPr>
        <w:rFonts w:hint="eastAsia"/>
        <w:lang w:eastAsia="zh-CN"/>
      </w:rPr>
      <w:t>YDFYSW-20250701</w:t>
    </w:r>
    <w:r>
      <w:rPr>
        <w:rFonts w:hint="eastAsia"/>
      </w:rPr>
      <w:t xml:space="preserve">号                     </w:t>
    </w:r>
    <w:r>
      <w:rPr>
        <w:rFonts w:hint="eastAsia"/>
        <w:lang w:val="en-US" w:eastAsia="zh-CN"/>
      </w:rPr>
      <w:t xml:space="preserve">       </w:t>
    </w:r>
    <w:r>
      <w:rPr>
        <w:rFonts w:hint="eastAsia"/>
      </w:rPr>
      <w:t xml:space="preserve">      江苏苏维工程管理有限公司</w:t>
    </w:r>
  </w:p>
  <w:p w14:paraId="695AD0B2">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AE97"/>
    <w:multiLevelType w:val="singleLevel"/>
    <w:tmpl w:val="806EAE97"/>
    <w:lvl w:ilvl="0" w:tentative="0">
      <w:start w:val="1"/>
      <w:numFmt w:val="decimal"/>
      <w:suff w:val="nothing"/>
      <w:lvlText w:val="%1."/>
      <w:lvlJc w:val="left"/>
      <w:pPr>
        <w:ind w:left="0" w:leftChars="0" w:firstLine="0" w:firstLineChars="0"/>
      </w:pPr>
      <w:rPr>
        <w:rFonts w:hint="default"/>
      </w:rPr>
    </w:lvl>
  </w:abstractNum>
  <w:abstractNum w:abstractNumId="1">
    <w:nsid w:val="81D9CEAF"/>
    <w:multiLevelType w:val="singleLevel"/>
    <w:tmpl w:val="81D9CEAF"/>
    <w:lvl w:ilvl="0" w:tentative="0">
      <w:start w:val="1"/>
      <w:numFmt w:val="bullet"/>
      <w:lvlText w:val=""/>
      <w:lvlJc w:val="left"/>
      <w:pPr>
        <w:ind w:left="420" w:hanging="420"/>
      </w:pPr>
      <w:rPr>
        <w:rFonts w:hint="default" w:ascii="Wingdings" w:hAnsi="Wingdings"/>
      </w:rPr>
    </w:lvl>
  </w:abstractNum>
  <w:abstractNum w:abstractNumId="2">
    <w:nsid w:val="86C8B4F2"/>
    <w:multiLevelType w:val="singleLevel"/>
    <w:tmpl w:val="86C8B4F2"/>
    <w:lvl w:ilvl="0" w:tentative="0">
      <w:start w:val="1"/>
      <w:numFmt w:val="decimal"/>
      <w:suff w:val="nothing"/>
      <w:lvlText w:val="%1."/>
      <w:lvlJc w:val="left"/>
      <w:pPr>
        <w:ind w:left="0" w:leftChars="0" w:firstLine="0" w:firstLineChars="0"/>
      </w:pPr>
      <w:rPr>
        <w:rFonts w:hint="default" w:ascii="宋体" w:hAnsi="宋体" w:eastAsia="宋体" w:cs="宋体"/>
        <w:sz w:val="21"/>
        <w:szCs w:val="21"/>
      </w:rPr>
    </w:lvl>
  </w:abstractNum>
  <w:abstractNum w:abstractNumId="3">
    <w:nsid w:val="92D7D211"/>
    <w:multiLevelType w:val="singleLevel"/>
    <w:tmpl w:val="92D7D211"/>
    <w:lvl w:ilvl="0" w:tentative="0">
      <w:start w:val="1"/>
      <w:numFmt w:val="chineseCounting"/>
      <w:suff w:val="nothing"/>
      <w:lvlText w:val="%1、"/>
      <w:lvlJc w:val="left"/>
      <w:pPr>
        <w:ind w:left="0" w:firstLine="420"/>
      </w:pPr>
      <w:rPr>
        <w:rFonts w:hint="eastAsia"/>
        <w:lang w:val="en-US"/>
      </w:rPr>
    </w:lvl>
  </w:abstractNum>
  <w:abstractNum w:abstractNumId="4">
    <w:nsid w:val="9CFA0B2F"/>
    <w:multiLevelType w:val="singleLevel"/>
    <w:tmpl w:val="9CFA0B2F"/>
    <w:lvl w:ilvl="0" w:tentative="0">
      <w:start w:val="1"/>
      <w:numFmt w:val="decimal"/>
      <w:lvlText w:val="%1."/>
      <w:lvlJc w:val="left"/>
      <w:pPr>
        <w:ind w:left="425" w:hanging="425"/>
      </w:pPr>
      <w:rPr>
        <w:rFonts w:hint="default"/>
      </w:rPr>
    </w:lvl>
  </w:abstractNum>
  <w:abstractNum w:abstractNumId="5">
    <w:nsid w:val="A3806FF5"/>
    <w:multiLevelType w:val="singleLevel"/>
    <w:tmpl w:val="A3806FF5"/>
    <w:lvl w:ilvl="0" w:tentative="0">
      <w:start w:val="1"/>
      <w:numFmt w:val="decimal"/>
      <w:lvlText w:val="(%1)"/>
      <w:lvlJc w:val="left"/>
      <w:pPr>
        <w:ind w:left="0" w:leftChars="0" w:firstLine="0" w:firstLineChars="0"/>
      </w:pPr>
      <w:rPr>
        <w:rFonts w:hint="default"/>
      </w:rPr>
    </w:lvl>
  </w:abstractNum>
  <w:abstractNum w:abstractNumId="6">
    <w:nsid w:val="A565C10B"/>
    <w:multiLevelType w:val="singleLevel"/>
    <w:tmpl w:val="A565C10B"/>
    <w:lvl w:ilvl="0" w:tentative="0">
      <w:start w:val="1"/>
      <w:numFmt w:val="decimal"/>
      <w:lvlText w:val="(%1)"/>
      <w:lvlJc w:val="left"/>
      <w:pPr>
        <w:ind w:left="0" w:leftChars="0" w:firstLine="0" w:firstLineChars="0"/>
      </w:pPr>
      <w:rPr>
        <w:rFonts w:hint="default"/>
      </w:rPr>
    </w:lvl>
  </w:abstractNum>
  <w:abstractNum w:abstractNumId="7">
    <w:nsid w:val="A7A7890F"/>
    <w:multiLevelType w:val="singleLevel"/>
    <w:tmpl w:val="A7A7890F"/>
    <w:lvl w:ilvl="0" w:tentative="0">
      <w:start w:val="1"/>
      <w:numFmt w:val="decimal"/>
      <w:suff w:val="nothing"/>
      <w:lvlText w:val="%1."/>
      <w:lvlJc w:val="left"/>
      <w:pPr>
        <w:ind w:left="0" w:leftChars="0" w:firstLine="0" w:firstLineChars="0"/>
      </w:pPr>
      <w:rPr>
        <w:rFonts w:hint="default"/>
      </w:rPr>
    </w:lvl>
  </w:abstractNum>
  <w:abstractNum w:abstractNumId="8">
    <w:nsid w:val="A8E79CBB"/>
    <w:multiLevelType w:val="singleLevel"/>
    <w:tmpl w:val="A8E79CBB"/>
    <w:lvl w:ilvl="0" w:tentative="0">
      <w:start w:val="1"/>
      <w:numFmt w:val="decimal"/>
      <w:lvlText w:val="(%1)"/>
      <w:lvlJc w:val="left"/>
      <w:pPr>
        <w:ind w:left="0" w:leftChars="0" w:firstLine="0" w:firstLineChars="0"/>
      </w:pPr>
      <w:rPr>
        <w:rFonts w:hint="default"/>
      </w:rPr>
    </w:lvl>
  </w:abstractNum>
  <w:abstractNum w:abstractNumId="9">
    <w:nsid w:val="B021EFEF"/>
    <w:multiLevelType w:val="singleLevel"/>
    <w:tmpl w:val="B021EFEF"/>
    <w:lvl w:ilvl="0" w:tentative="0">
      <w:start w:val="1"/>
      <w:numFmt w:val="decimal"/>
      <w:lvlText w:val="(%1)"/>
      <w:lvlJc w:val="left"/>
      <w:pPr>
        <w:ind w:left="0" w:leftChars="0" w:firstLine="0" w:firstLineChars="0"/>
      </w:pPr>
      <w:rPr>
        <w:rFonts w:hint="default"/>
      </w:rPr>
    </w:lvl>
  </w:abstractNum>
  <w:abstractNum w:abstractNumId="10">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08"/>
      <w:isLgl/>
      <w:lvlText w:val="%1.%2"/>
      <w:lvlJc w:val="left"/>
      <w:pPr>
        <w:tabs>
          <w:tab w:val="left" w:pos="851"/>
        </w:tabs>
        <w:ind w:left="0" w:firstLine="0"/>
      </w:pPr>
    </w:lvl>
    <w:lvl w:ilvl="2" w:tentative="0">
      <w:start w:val="1"/>
      <w:numFmt w:val="decimal"/>
      <w:pStyle w:val="293"/>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1">
    <w:nsid w:val="B6CE630B"/>
    <w:multiLevelType w:val="singleLevel"/>
    <w:tmpl w:val="B6CE630B"/>
    <w:lvl w:ilvl="0" w:tentative="0">
      <w:start w:val="1"/>
      <w:numFmt w:val="decimal"/>
      <w:suff w:val="nothing"/>
      <w:lvlText w:val="%1."/>
      <w:lvlJc w:val="left"/>
      <w:pPr>
        <w:ind w:left="0" w:leftChars="0" w:firstLine="0" w:firstLineChars="0"/>
      </w:pPr>
      <w:rPr>
        <w:rFonts w:hint="default"/>
      </w:rPr>
    </w:lvl>
  </w:abstractNum>
  <w:abstractNum w:abstractNumId="12">
    <w:nsid w:val="BE046227"/>
    <w:multiLevelType w:val="singleLevel"/>
    <w:tmpl w:val="BE046227"/>
    <w:lvl w:ilvl="0" w:tentative="0">
      <w:start w:val="1"/>
      <w:numFmt w:val="decimal"/>
      <w:suff w:val="nothing"/>
      <w:lvlText w:val="%1."/>
      <w:lvlJc w:val="left"/>
      <w:pPr>
        <w:ind w:left="425" w:hanging="425"/>
      </w:pPr>
      <w:rPr>
        <w:rFonts w:hint="default"/>
      </w:rPr>
    </w:lvl>
  </w:abstractNum>
  <w:abstractNum w:abstractNumId="13">
    <w:nsid w:val="BF205925"/>
    <w:multiLevelType w:val="multilevel"/>
    <w:tmpl w:val="BF205925"/>
    <w:lvl w:ilvl="0" w:tentative="0">
      <w:start w:val="1"/>
      <w:numFmt w:val="japaneseCounting"/>
      <w:pStyle w:val="28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BFF427E1"/>
    <w:multiLevelType w:val="singleLevel"/>
    <w:tmpl w:val="BFF427E1"/>
    <w:lvl w:ilvl="0" w:tentative="0">
      <w:start w:val="4"/>
      <w:numFmt w:val="chineseCounting"/>
      <w:suff w:val="nothing"/>
      <w:lvlText w:val="（%1）"/>
      <w:lvlJc w:val="left"/>
      <w:rPr>
        <w:rFonts w:hint="eastAsia"/>
      </w:rPr>
    </w:lvl>
  </w:abstractNum>
  <w:abstractNum w:abstractNumId="15">
    <w:nsid w:val="C5CA700B"/>
    <w:multiLevelType w:val="singleLevel"/>
    <w:tmpl w:val="C5CA700B"/>
    <w:lvl w:ilvl="0" w:tentative="0">
      <w:start w:val="1"/>
      <w:numFmt w:val="decimal"/>
      <w:lvlText w:val="%1."/>
      <w:lvlJc w:val="left"/>
      <w:pPr>
        <w:ind w:left="425" w:hanging="425"/>
      </w:pPr>
      <w:rPr>
        <w:rFonts w:hint="default"/>
      </w:rPr>
    </w:lvl>
  </w:abstractNum>
  <w:abstractNum w:abstractNumId="16">
    <w:nsid w:val="C89CBB04"/>
    <w:multiLevelType w:val="singleLevel"/>
    <w:tmpl w:val="C89CBB04"/>
    <w:lvl w:ilvl="0" w:tentative="0">
      <w:start w:val="1"/>
      <w:numFmt w:val="decimal"/>
      <w:lvlText w:val="(%1)"/>
      <w:lvlJc w:val="left"/>
      <w:pPr>
        <w:ind w:left="0" w:leftChars="0" w:firstLine="0" w:firstLineChars="0"/>
      </w:pPr>
      <w:rPr>
        <w:rFonts w:hint="default" w:ascii="宋体" w:hAnsi="宋体" w:eastAsia="宋体" w:cs="宋体"/>
        <w:b w:val="0"/>
        <w:bCs w:val="0"/>
        <w:sz w:val="21"/>
        <w:szCs w:val="21"/>
      </w:rPr>
    </w:lvl>
  </w:abstractNum>
  <w:abstractNum w:abstractNumId="17">
    <w:nsid w:val="CE2F0AAE"/>
    <w:multiLevelType w:val="singleLevel"/>
    <w:tmpl w:val="CE2F0AAE"/>
    <w:lvl w:ilvl="0" w:tentative="0">
      <w:start w:val="1"/>
      <w:numFmt w:val="decimal"/>
      <w:lvlText w:val="%1."/>
      <w:lvlJc w:val="left"/>
      <w:pPr>
        <w:ind w:left="425" w:hanging="425"/>
      </w:pPr>
      <w:rPr>
        <w:rFonts w:hint="default"/>
      </w:rPr>
    </w:lvl>
  </w:abstractNum>
  <w:abstractNum w:abstractNumId="18">
    <w:nsid w:val="CE8C50B4"/>
    <w:multiLevelType w:val="singleLevel"/>
    <w:tmpl w:val="CE8C50B4"/>
    <w:lvl w:ilvl="0" w:tentative="0">
      <w:start w:val="1"/>
      <w:numFmt w:val="decimal"/>
      <w:suff w:val="nothing"/>
      <w:lvlText w:val="%1."/>
      <w:lvlJc w:val="left"/>
      <w:pPr>
        <w:ind w:left="0" w:leftChars="0" w:firstLine="0" w:firstLineChars="0"/>
      </w:pPr>
      <w:rPr>
        <w:rFonts w:hint="default"/>
      </w:rPr>
    </w:lvl>
  </w:abstractNum>
  <w:abstractNum w:abstractNumId="19">
    <w:nsid w:val="CE958D7F"/>
    <w:multiLevelType w:val="singleLevel"/>
    <w:tmpl w:val="CE958D7F"/>
    <w:lvl w:ilvl="0" w:tentative="0">
      <w:start w:val="1"/>
      <w:numFmt w:val="decimal"/>
      <w:suff w:val="nothing"/>
      <w:lvlText w:val="%1."/>
      <w:lvlJc w:val="left"/>
      <w:pPr>
        <w:ind w:left="425" w:hanging="425"/>
      </w:pPr>
      <w:rPr>
        <w:rFonts w:hint="default"/>
      </w:rPr>
    </w:lvl>
  </w:abstractNum>
  <w:abstractNum w:abstractNumId="20">
    <w:nsid w:val="CE9BE054"/>
    <w:multiLevelType w:val="singleLevel"/>
    <w:tmpl w:val="CE9BE054"/>
    <w:lvl w:ilvl="0" w:tentative="0">
      <w:start w:val="1"/>
      <w:numFmt w:val="decimal"/>
      <w:lvlText w:val="(%1)"/>
      <w:lvlJc w:val="left"/>
      <w:pPr>
        <w:ind w:left="0" w:leftChars="0" w:firstLine="0" w:firstLineChars="0"/>
      </w:pPr>
      <w:rPr>
        <w:rFonts w:hint="default" w:ascii="宋体" w:hAnsi="宋体" w:eastAsia="宋体" w:cs="宋体"/>
        <w:b w:val="0"/>
        <w:bCs w:val="0"/>
        <w:sz w:val="21"/>
        <w:szCs w:val="21"/>
      </w:rPr>
    </w:lvl>
  </w:abstractNum>
  <w:abstractNum w:abstractNumId="21">
    <w:nsid w:val="CF092B84"/>
    <w:multiLevelType w:val="multilevel"/>
    <w:tmpl w:val="CF092B84"/>
    <w:lvl w:ilvl="0" w:tentative="0">
      <w:start w:val="1"/>
      <w:numFmt w:val="bullet"/>
      <w:pStyle w:val="18"/>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2">
    <w:nsid w:val="DC09B57D"/>
    <w:multiLevelType w:val="singleLevel"/>
    <w:tmpl w:val="DC09B57D"/>
    <w:lvl w:ilvl="0" w:tentative="0">
      <w:start w:val="1"/>
      <w:numFmt w:val="decimal"/>
      <w:lvlText w:val="%1."/>
      <w:lvlJc w:val="left"/>
      <w:pPr>
        <w:ind w:left="425" w:hanging="425"/>
      </w:pPr>
      <w:rPr>
        <w:rFonts w:hint="default"/>
      </w:rPr>
    </w:lvl>
  </w:abstractNum>
  <w:abstractNum w:abstractNumId="23">
    <w:nsid w:val="E669B9AC"/>
    <w:multiLevelType w:val="singleLevel"/>
    <w:tmpl w:val="E669B9AC"/>
    <w:lvl w:ilvl="0" w:tentative="0">
      <w:start w:val="1"/>
      <w:numFmt w:val="decimal"/>
      <w:suff w:val="space"/>
      <w:lvlText w:val="%1."/>
      <w:lvlJc w:val="left"/>
      <w:pPr>
        <w:ind w:left="0" w:leftChars="0" w:firstLine="0" w:firstLineChars="0"/>
      </w:pPr>
      <w:rPr>
        <w:rFonts w:hint="default"/>
      </w:rPr>
    </w:lvl>
  </w:abstractNum>
  <w:abstractNum w:abstractNumId="24">
    <w:nsid w:val="F128CEA6"/>
    <w:multiLevelType w:val="singleLevel"/>
    <w:tmpl w:val="F128CEA6"/>
    <w:lvl w:ilvl="0" w:tentative="0">
      <w:start w:val="1"/>
      <w:numFmt w:val="decimal"/>
      <w:suff w:val="nothing"/>
      <w:lvlText w:val="%1．"/>
      <w:lvlJc w:val="left"/>
      <w:pPr>
        <w:ind w:left="-60" w:firstLine="400"/>
      </w:pPr>
      <w:rPr>
        <w:rFonts w:hint="default"/>
      </w:rPr>
    </w:lvl>
  </w:abstractNum>
  <w:abstractNum w:abstractNumId="25">
    <w:nsid w:val="F3CFD28D"/>
    <w:multiLevelType w:val="singleLevel"/>
    <w:tmpl w:val="F3CFD28D"/>
    <w:lvl w:ilvl="0" w:tentative="0">
      <w:start w:val="1"/>
      <w:numFmt w:val="decimal"/>
      <w:suff w:val="nothing"/>
      <w:lvlText w:val="%1．"/>
      <w:lvlJc w:val="left"/>
      <w:pPr>
        <w:ind w:left="0" w:firstLine="400"/>
      </w:pPr>
      <w:rPr>
        <w:rFonts w:hint="default"/>
      </w:rPr>
    </w:lvl>
  </w:abstractNum>
  <w:abstractNum w:abstractNumId="26">
    <w:nsid w:val="F47814FA"/>
    <w:multiLevelType w:val="singleLevel"/>
    <w:tmpl w:val="F47814FA"/>
    <w:lvl w:ilvl="0" w:tentative="0">
      <w:start w:val="1"/>
      <w:numFmt w:val="decimal"/>
      <w:suff w:val="nothing"/>
      <w:lvlText w:val="%1."/>
      <w:lvlJc w:val="left"/>
      <w:pPr>
        <w:ind w:left="0" w:leftChars="0" w:firstLine="0" w:firstLineChars="0"/>
      </w:pPr>
      <w:rPr>
        <w:rFonts w:hint="default"/>
      </w:rPr>
    </w:lvl>
  </w:abstractNum>
  <w:abstractNum w:abstractNumId="27">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5"/>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8">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9">
    <w:nsid w:val="29DBE64F"/>
    <w:multiLevelType w:val="singleLevel"/>
    <w:tmpl w:val="29DBE64F"/>
    <w:lvl w:ilvl="0" w:tentative="0">
      <w:start w:val="1"/>
      <w:numFmt w:val="decimal"/>
      <w:suff w:val="space"/>
      <w:lvlText w:val="%1."/>
      <w:lvlJc w:val="left"/>
      <w:pPr>
        <w:ind w:left="0" w:leftChars="0" w:firstLine="0" w:firstLineChars="0"/>
      </w:pPr>
      <w:rPr>
        <w:rFonts w:hint="default"/>
      </w:rPr>
    </w:lvl>
  </w:abstractNum>
  <w:abstractNum w:abstractNumId="30">
    <w:nsid w:val="31B7AA02"/>
    <w:multiLevelType w:val="singleLevel"/>
    <w:tmpl w:val="31B7AA02"/>
    <w:lvl w:ilvl="0" w:tentative="0">
      <w:start w:val="1"/>
      <w:numFmt w:val="decimal"/>
      <w:suff w:val="space"/>
      <w:lvlText w:val="%1."/>
      <w:lvlJc w:val="left"/>
      <w:pPr>
        <w:ind w:left="0" w:leftChars="0" w:firstLine="0" w:firstLineChars="0"/>
      </w:pPr>
      <w:rPr>
        <w:rFonts w:hint="default"/>
      </w:rPr>
    </w:lvl>
  </w:abstractNum>
  <w:abstractNum w:abstractNumId="31">
    <w:nsid w:val="31BA0BC2"/>
    <w:multiLevelType w:val="singleLevel"/>
    <w:tmpl w:val="31BA0BC2"/>
    <w:lvl w:ilvl="0" w:tentative="0">
      <w:start w:val="1"/>
      <w:numFmt w:val="decimal"/>
      <w:lvlText w:val="%1."/>
      <w:lvlJc w:val="left"/>
      <w:pPr>
        <w:ind w:left="425" w:hanging="425"/>
      </w:pPr>
      <w:rPr>
        <w:rFonts w:hint="default"/>
      </w:rPr>
    </w:lvl>
  </w:abstractNum>
  <w:abstractNum w:abstractNumId="32">
    <w:nsid w:val="3889EAD5"/>
    <w:multiLevelType w:val="singleLevel"/>
    <w:tmpl w:val="3889EAD5"/>
    <w:lvl w:ilvl="0" w:tentative="0">
      <w:start w:val="1"/>
      <w:numFmt w:val="decimal"/>
      <w:lvlText w:val="%1."/>
      <w:lvlJc w:val="left"/>
      <w:pPr>
        <w:ind w:left="425" w:hanging="425"/>
      </w:pPr>
      <w:rPr>
        <w:rFonts w:hint="default"/>
      </w:rPr>
    </w:lvl>
  </w:abstractNum>
  <w:abstractNum w:abstractNumId="33">
    <w:nsid w:val="3F09F16E"/>
    <w:multiLevelType w:val="singleLevel"/>
    <w:tmpl w:val="3F09F16E"/>
    <w:lvl w:ilvl="0" w:tentative="0">
      <w:start w:val="5"/>
      <w:numFmt w:val="chineseCounting"/>
      <w:suff w:val="nothing"/>
      <w:lvlText w:val="%1、"/>
      <w:lvlJc w:val="left"/>
      <w:rPr>
        <w:rFonts w:hint="eastAsia"/>
      </w:rPr>
    </w:lvl>
  </w:abstractNum>
  <w:abstractNum w:abstractNumId="34">
    <w:nsid w:val="4052AA2C"/>
    <w:multiLevelType w:val="singleLevel"/>
    <w:tmpl w:val="4052AA2C"/>
    <w:lvl w:ilvl="0" w:tentative="0">
      <w:start w:val="2"/>
      <w:numFmt w:val="decimal"/>
      <w:lvlText w:val="%1."/>
      <w:lvlJc w:val="left"/>
      <w:pPr>
        <w:tabs>
          <w:tab w:val="left" w:pos="312"/>
        </w:tabs>
      </w:pPr>
    </w:lvl>
  </w:abstractNum>
  <w:abstractNum w:abstractNumId="35">
    <w:nsid w:val="459DB5AA"/>
    <w:multiLevelType w:val="singleLevel"/>
    <w:tmpl w:val="459DB5AA"/>
    <w:lvl w:ilvl="0" w:tentative="0">
      <w:start w:val="1"/>
      <w:numFmt w:val="decimal"/>
      <w:suff w:val="nothing"/>
      <w:lvlText w:val="%1."/>
      <w:lvlJc w:val="left"/>
      <w:pPr>
        <w:ind w:left="0" w:leftChars="0" w:firstLine="0" w:firstLineChars="0"/>
      </w:pPr>
      <w:rPr>
        <w:rFonts w:hint="default"/>
      </w:rPr>
    </w:lvl>
  </w:abstractNum>
  <w:abstractNum w:abstractNumId="36">
    <w:nsid w:val="49E806E8"/>
    <w:multiLevelType w:val="singleLevel"/>
    <w:tmpl w:val="49E806E8"/>
    <w:lvl w:ilvl="0" w:tentative="0">
      <w:start w:val="5"/>
      <w:numFmt w:val="chineseCounting"/>
      <w:suff w:val="nothing"/>
      <w:lvlText w:val="%1、"/>
      <w:lvlJc w:val="left"/>
      <w:rPr>
        <w:rFonts w:hint="eastAsia"/>
      </w:rPr>
    </w:lvl>
  </w:abstractNum>
  <w:abstractNum w:abstractNumId="37">
    <w:nsid w:val="4E219B3E"/>
    <w:multiLevelType w:val="singleLevel"/>
    <w:tmpl w:val="4E219B3E"/>
    <w:lvl w:ilvl="0" w:tentative="0">
      <w:start w:val="1"/>
      <w:numFmt w:val="decimal"/>
      <w:lvlText w:val="%1."/>
      <w:lvlJc w:val="left"/>
      <w:pPr>
        <w:ind w:left="425" w:hanging="425"/>
      </w:pPr>
      <w:rPr>
        <w:rFonts w:hint="default"/>
      </w:rPr>
    </w:lvl>
  </w:abstractNum>
  <w:abstractNum w:abstractNumId="38">
    <w:nsid w:val="54C1951D"/>
    <w:multiLevelType w:val="singleLevel"/>
    <w:tmpl w:val="54C1951D"/>
    <w:lvl w:ilvl="0" w:tentative="0">
      <w:start w:val="1"/>
      <w:numFmt w:val="decimal"/>
      <w:suff w:val="nothing"/>
      <w:lvlText w:val="%1．"/>
      <w:lvlJc w:val="left"/>
      <w:pPr>
        <w:ind w:left="-60" w:firstLine="400"/>
      </w:pPr>
      <w:rPr>
        <w:rFonts w:hint="default"/>
      </w:rPr>
    </w:lvl>
  </w:abstractNum>
  <w:abstractNum w:abstractNumId="39">
    <w:nsid w:val="56A9DD9E"/>
    <w:multiLevelType w:val="singleLevel"/>
    <w:tmpl w:val="56A9DD9E"/>
    <w:lvl w:ilvl="0" w:tentative="0">
      <w:start w:val="1"/>
      <w:numFmt w:val="decimal"/>
      <w:suff w:val="nothing"/>
      <w:lvlText w:val="%1."/>
      <w:lvlJc w:val="left"/>
    </w:lvl>
  </w:abstractNum>
  <w:abstractNum w:abstractNumId="40">
    <w:nsid w:val="59ADCABA"/>
    <w:multiLevelType w:val="multilevel"/>
    <w:tmpl w:val="59ADCABA"/>
    <w:lvl w:ilvl="0" w:tentative="0">
      <w:start w:val="1"/>
      <w:numFmt w:val="bullet"/>
      <w:pStyle w:val="24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1">
    <w:nsid w:val="6C6966EF"/>
    <w:multiLevelType w:val="singleLevel"/>
    <w:tmpl w:val="6C6966EF"/>
    <w:lvl w:ilvl="0" w:tentative="0">
      <w:start w:val="1"/>
      <w:numFmt w:val="decimal"/>
      <w:suff w:val="nothing"/>
      <w:lvlText w:val="%1."/>
      <w:lvlJc w:val="left"/>
      <w:pPr>
        <w:ind w:left="0" w:leftChars="0" w:firstLine="0" w:firstLineChars="0"/>
      </w:pPr>
      <w:rPr>
        <w:rFonts w:hint="default"/>
      </w:rPr>
    </w:lvl>
  </w:abstractNum>
  <w:abstractNum w:abstractNumId="42">
    <w:nsid w:val="70F6192A"/>
    <w:multiLevelType w:val="singleLevel"/>
    <w:tmpl w:val="70F6192A"/>
    <w:lvl w:ilvl="0" w:tentative="0">
      <w:start w:val="1"/>
      <w:numFmt w:val="decimal"/>
      <w:lvlText w:val="%1."/>
      <w:lvlJc w:val="left"/>
      <w:pPr>
        <w:ind w:left="425" w:hanging="425"/>
      </w:pPr>
      <w:rPr>
        <w:rFonts w:hint="default"/>
      </w:rPr>
    </w:lvl>
  </w:abstractNum>
  <w:abstractNum w:abstractNumId="43">
    <w:nsid w:val="72183CF9"/>
    <w:multiLevelType w:val="multilevel"/>
    <w:tmpl w:val="72183CF9"/>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4">
    <w:nsid w:val="75BA0C54"/>
    <w:multiLevelType w:val="singleLevel"/>
    <w:tmpl w:val="75BA0C54"/>
    <w:lvl w:ilvl="0" w:tentative="0">
      <w:start w:val="1"/>
      <w:numFmt w:val="decimal"/>
      <w:suff w:val="nothing"/>
      <w:lvlText w:val="%1."/>
      <w:lvlJc w:val="left"/>
      <w:pPr>
        <w:ind w:left="0" w:leftChars="0" w:firstLine="0" w:firstLineChars="0"/>
      </w:pPr>
      <w:rPr>
        <w:rFonts w:hint="default"/>
      </w:rPr>
    </w:lvl>
  </w:abstractNum>
  <w:abstractNum w:abstractNumId="45">
    <w:nsid w:val="7DE657BD"/>
    <w:multiLevelType w:val="singleLevel"/>
    <w:tmpl w:val="7DE657BD"/>
    <w:lvl w:ilvl="0" w:tentative="0">
      <w:start w:val="1"/>
      <w:numFmt w:val="decimal"/>
      <w:suff w:val="nothing"/>
      <w:lvlText w:val="%1."/>
      <w:lvlJc w:val="left"/>
      <w:pPr>
        <w:ind w:left="0" w:leftChars="0" w:firstLine="0" w:firstLineChars="0"/>
      </w:pPr>
      <w:rPr>
        <w:rFonts w:hint="default" w:ascii="宋体" w:hAnsi="宋体" w:eastAsia="宋体" w:cs="宋体"/>
        <w:sz w:val="21"/>
        <w:szCs w:val="21"/>
      </w:rPr>
    </w:lvl>
  </w:abstractNum>
  <w:abstractNum w:abstractNumId="46">
    <w:nsid w:val="7F1040DF"/>
    <w:multiLevelType w:val="singleLevel"/>
    <w:tmpl w:val="7F1040DF"/>
    <w:lvl w:ilvl="0" w:tentative="0">
      <w:start w:val="1"/>
      <w:numFmt w:val="decimal"/>
      <w:suff w:val="space"/>
      <w:lvlText w:val="%1."/>
      <w:lvlJc w:val="left"/>
      <w:pPr>
        <w:ind w:left="0" w:leftChars="0" w:firstLine="0" w:firstLineChars="0"/>
      </w:pPr>
      <w:rPr>
        <w:rFonts w:hint="default"/>
      </w:rPr>
    </w:lvl>
  </w:abstractNum>
  <w:num w:numId="1">
    <w:abstractNumId w:val="27"/>
  </w:num>
  <w:num w:numId="2">
    <w:abstractNumId w:val="21"/>
  </w:num>
  <w:num w:numId="3">
    <w:abstractNumId w:val="40"/>
  </w:num>
  <w:num w:numId="4">
    <w:abstractNumId w:val="13"/>
  </w:num>
  <w:num w:numId="5">
    <w:abstractNumId w:val="10"/>
  </w:num>
  <w:num w:numId="6">
    <w:abstractNumId w:val="3"/>
  </w:num>
  <w:num w:numId="7">
    <w:abstractNumId w:val="37"/>
  </w:num>
  <w:num w:numId="8">
    <w:abstractNumId w:val="24"/>
  </w:num>
  <w:num w:numId="9">
    <w:abstractNumId w:val="4"/>
  </w:num>
  <w:num w:numId="10">
    <w:abstractNumId w:val="1"/>
  </w:num>
  <w:num w:numId="11">
    <w:abstractNumId w:val="17"/>
  </w:num>
  <w:num w:numId="12">
    <w:abstractNumId w:val="38"/>
  </w:num>
  <w:num w:numId="13">
    <w:abstractNumId w:val="32"/>
  </w:num>
  <w:num w:numId="14">
    <w:abstractNumId w:val="25"/>
  </w:num>
  <w:num w:numId="15">
    <w:abstractNumId w:val="22"/>
  </w:num>
  <w:num w:numId="16">
    <w:abstractNumId w:val="14"/>
  </w:num>
  <w:num w:numId="17">
    <w:abstractNumId w:val="0"/>
  </w:num>
  <w:num w:numId="18">
    <w:abstractNumId w:val="34"/>
  </w:num>
  <w:num w:numId="19">
    <w:abstractNumId w:val="18"/>
  </w:num>
  <w:num w:numId="20">
    <w:abstractNumId w:val="41"/>
  </w:num>
  <w:num w:numId="21">
    <w:abstractNumId w:val="11"/>
  </w:num>
  <w:num w:numId="22">
    <w:abstractNumId w:val="2"/>
  </w:num>
  <w:num w:numId="23">
    <w:abstractNumId w:val="12"/>
  </w:num>
  <w:num w:numId="24">
    <w:abstractNumId w:val="30"/>
  </w:num>
  <w:num w:numId="25">
    <w:abstractNumId w:val="46"/>
  </w:num>
  <w:num w:numId="26">
    <w:abstractNumId w:val="42"/>
  </w:num>
  <w:num w:numId="27">
    <w:abstractNumId w:val="7"/>
  </w:num>
  <w:num w:numId="28">
    <w:abstractNumId w:val="26"/>
  </w:num>
  <w:num w:numId="29">
    <w:abstractNumId w:val="35"/>
  </w:num>
  <w:num w:numId="30">
    <w:abstractNumId w:val="44"/>
  </w:num>
  <w:num w:numId="31">
    <w:abstractNumId w:val="45"/>
  </w:num>
  <w:num w:numId="32">
    <w:abstractNumId w:val="19"/>
  </w:num>
  <w:num w:numId="33">
    <w:abstractNumId w:val="29"/>
  </w:num>
  <w:num w:numId="34">
    <w:abstractNumId w:val="23"/>
  </w:num>
  <w:num w:numId="35">
    <w:abstractNumId w:val="36"/>
  </w:num>
  <w:num w:numId="36">
    <w:abstractNumId w:val="39"/>
  </w:num>
  <w:num w:numId="37">
    <w:abstractNumId w:val="9"/>
  </w:num>
  <w:num w:numId="38">
    <w:abstractNumId w:val="6"/>
  </w:num>
  <w:num w:numId="39">
    <w:abstractNumId w:val="8"/>
  </w:num>
  <w:num w:numId="40">
    <w:abstractNumId w:val="5"/>
  </w:num>
  <w:num w:numId="41">
    <w:abstractNumId w:val="20"/>
  </w:num>
  <w:num w:numId="42">
    <w:abstractNumId w:val="16"/>
  </w:num>
  <w:num w:numId="43">
    <w:abstractNumId w:val="33"/>
  </w:num>
  <w:num w:numId="44">
    <w:abstractNumId w:val="43"/>
  </w:num>
  <w:num w:numId="45">
    <w:abstractNumId w:val="28"/>
  </w:num>
  <w:num w:numId="46">
    <w:abstractNumId w:val="3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0FB6"/>
    <w:rsid w:val="00A120EF"/>
    <w:rsid w:val="0110424E"/>
    <w:rsid w:val="01107109"/>
    <w:rsid w:val="01347ECF"/>
    <w:rsid w:val="01E76B4C"/>
    <w:rsid w:val="020A2783"/>
    <w:rsid w:val="02990C42"/>
    <w:rsid w:val="03CD1A9F"/>
    <w:rsid w:val="03CD3E6B"/>
    <w:rsid w:val="04623F6D"/>
    <w:rsid w:val="04F55751"/>
    <w:rsid w:val="05F96B7B"/>
    <w:rsid w:val="06C93050"/>
    <w:rsid w:val="06EC45FA"/>
    <w:rsid w:val="0708351A"/>
    <w:rsid w:val="071769A9"/>
    <w:rsid w:val="07610E7C"/>
    <w:rsid w:val="07836D92"/>
    <w:rsid w:val="0791727E"/>
    <w:rsid w:val="07B95303"/>
    <w:rsid w:val="07C1191B"/>
    <w:rsid w:val="07D94EB6"/>
    <w:rsid w:val="08000695"/>
    <w:rsid w:val="08B74C92"/>
    <w:rsid w:val="08F875BE"/>
    <w:rsid w:val="091837BC"/>
    <w:rsid w:val="09185B72"/>
    <w:rsid w:val="09336848"/>
    <w:rsid w:val="09630EDC"/>
    <w:rsid w:val="097C29B8"/>
    <w:rsid w:val="09D771D4"/>
    <w:rsid w:val="09E57B43"/>
    <w:rsid w:val="0AA068F7"/>
    <w:rsid w:val="0C1B143F"/>
    <w:rsid w:val="0CA830A9"/>
    <w:rsid w:val="0CB83FB5"/>
    <w:rsid w:val="0CC10580"/>
    <w:rsid w:val="0D3F57BC"/>
    <w:rsid w:val="0DA7707B"/>
    <w:rsid w:val="0DF3037A"/>
    <w:rsid w:val="0E36358D"/>
    <w:rsid w:val="0E5C68B3"/>
    <w:rsid w:val="0E7513BF"/>
    <w:rsid w:val="0ED71A24"/>
    <w:rsid w:val="0F130CAE"/>
    <w:rsid w:val="0F7A0FA2"/>
    <w:rsid w:val="0FC4644C"/>
    <w:rsid w:val="0FC72CBB"/>
    <w:rsid w:val="0FE60171"/>
    <w:rsid w:val="10162BF7"/>
    <w:rsid w:val="106B2CA5"/>
    <w:rsid w:val="10AF2C58"/>
    <w:rsid w:val="10C022E6"/>
    <w:rsid w:val="10DE428A"/>
    <w:rsid w:val="10FB6E97"/>
    <w:rsid w:val="117B2B3A"/>
    <w:rsid w:val="118E4A84"/>
    <w:rsid w:val="12614426"/>
    <w:rsid w:val="1282136C"/>
    <w:rsid w:val="128663A3"/>
    <w:rsid w:val="12B55B5B"/>
    <w:rsid w:val="12CC7AF2"/>
    <w:rsid w:val="1351503D"/>
    <w:rsid w:val="13AE3CA0"/>
    <w:rsid w:val="13B33EC1"/>
    <w:rsid w:val="13F94AC5"/>
    <w:rsid w:val="14362EBC"/>
    <w:rsid w:val="148F7029"/>
    <w:rsid w:val="14A237F6"/>
    <w:rsid w:val="14B91706"/>
    <w:rsid w:val="14B922F8"/>
    <w:rsid w:val="153B4ABB"/>
    <w:rsid w:val="155E69FB"/>
    <w:rsid w:val="15D54F0F"/>
    <w:rsid w:val="15F87801"/>
    <w:rsid w:val="16212859"/>
    <w:rsid w:val="166D339A"/>
    <w:rsid w:val="16E52CE3"/>
    <w:rsid w:val="170B0593"/>
    <w:rsid w:val="17786901"/>
    <w:rsid w:val="17A32DEB"/>
    <w:rsid w:val="17C60922"/>
    <w:rsid w:val="181B0BD3"/>
    <w:rsid w:val="18502F73"/>
    <w:rsid w:val="189B2687"/>
    <w:rsid w:val="196B7938"/>
    <w:rsid w:val="197B7C10"/>
    <w:rsid w:val="19DC2350"/>
    <w:rsid w:val="1A023DF9"/>
    <w:rsid w:val="1A2744B5"/>
    <w:rsid w:val="1A7C143C"/>
    <w:rsid w:val="1AC23431"/>
    <w:rsid w:val="1B155DAE"/>
    <w:rsid w:val="1B263F1D"/>
    <w:rsid w:val="1B882A24"/>
    <w:rsid w:val="1C0540A5"/>
    <w:rsid w:val="1C142509"/>
    <w:rsid w:val="1C1B5646"/>
    <w:rsid w:val="1CFC7225"/>
    <w:rsid w:val="1D0E3EBC"/>
    <w:rsid w:val="1D3E15EC"/>
    <w:rsid w:val="1D761431"/>
    <w:rsid w:val="1DD15C6E"/>
    <w:rsid w:val="1E0E564F"/>
    <w:rsid w:val="1E4946EC"/>
    <w:rsid w:val="1E775A3B"/>
    <w:rsid w:val="1E8A6AB3"/>
    <w:rsid w:val="1E8D28B3"/>
    <w:rsid w:val="1E982F7E"/>
    <w:rsid w:val="1EA062D6"/>
    <w:rsid w:val="1EBF77D9"/>
    <w:rsid w:val="1EDD3E3B"/>
    <w:rsid w:val="1EE62AEF"/>
    <w:rsid w:val="1F7D29B9"/>
    <w:rsid w:val="1FA45952"/>
    <w:rsid w:val="1FF92A73"/>
    <w:rsid w:val="2076307C"/>
    <w:rsid w:val="20877146"/>
    <w:rsid w:val="20BC54B9"/>
    <w:rsid w:val="20BD4F1E"/>
    <w:rsid w:val="20EA4983"/>
    <w:rsid w:val="20F020A8"/>
    <w:rsid w:val="21274A8D"/>
    <w:rsid w:val="215166C5"/>
    <w:rsid w:val="219043E0"/>
    <w:rsid w:val="21C02F32"/>
    <w:rsid w:val="21ED402A"/>
    <w:rsid w:val="21EF0E56"/>
    <w:rsid w:val="22CD6F6E"/>
    <w:rsid w:val="22D02460"/>
    <w:rsid w:val="22D87DED"/>
    <w:rsid w:val="231E5A23"/>
    <w:rsid w:val="233F7E6C"/>
    <w:rsid w:val="234306AF"/>
    <w:rsid w:val="235356C5"/>
    <w:rsid w:val="23627FFE"/>
    <w:rsid w:val="23706277"/>
    <w:rsid w:val="237F470C"/>
    <w:rsid w:val="2391714E"/>
    <w:rsid w:val="23F57FAC"/>
    <w:rsid w:val="2437684C"/>
    <w:rsid w:val="24661428"/>
    <w:rsid w:val="24AD7F95"/>
    <w:rsid w:val="252C0C61"/>
    <w:rsid w:val="253C17B9"/>
    <w:rsid w:val="2604714B"/>
    <w:rsid w:val="267C14B4"/>
    <w:rsid w:val="268144A3"/>
    <w:rsid w:val="27090EBD"/>
    <w:rsid w:val="27545EB0"/>
    <w:rsid w:val="27764078"/>
    <w:rsid w:val="27A44741"/>
    <w:rsid w:val="27D745E3"/>
    <w:rsid w:val="27DD5EA5"/>
    <w:rsid w:val="27FF7BCA"/>
    <w:rsid w:val="289A2F36"/>
    <w:rsid w:val="29A10F88"/>
    <w:rsid w:val="29AA3981"/>
    <w:rsid w:val="29D12335"/>
    <w:rsid w:val="2AB23619"/>
    <w:rsid w:val="2B075884"/>
    <w:rsid w:val="2B163D1C"/>
    <w:rsid w:val="2B6568DD"/>
    <w:rsid w:val="2BF67536"/>
    <w:rsid w:val="2BF93460"/>
    <w:rsid w:val="2C0359EB"/>
    <w:rsid w:val="2C493B09"/>
    <w:rsid w:val="2C646B95"/>
    <w:rsid w:val="2C72791D"/>
    <w:rsid w:val="2D107B5D"/>
    <w:rsid w:val="2D284A86"/>
    <w:rsid w:val="2D391DD0"/>
    <w:rsid w:val="2DC91D38"/>
    <w:rsid w:val="2DD12008"/>
    <w:rsid w:val="2DD81129"/>
    <w:rsid w:val="2DFC177D"/>
    <w:rsid w:val="2E13617D"/>
    <w:rsid w:val="2E8B0409"/>
    <w:rsid w:val="2FB51B17"/>
    <w:rsid w:val="305804B1"/>
    <w:rsid w:val="30676C54"/>
    <w:rsid w:val="30A27C8C"/>
    <w:rsid w:val="30BC1800"/>
    <w:rsid w:val="30C10E10"/>
    <w:rsid w:val="310B75DF"/>
    <w:rsid w:val="31E130B7"/>
    <w:rsid w:val="31FD08B7"/>
    <w:rsid w:val="32221084"/>
    <w:rsid w:val="323112C7"/>
    <w:rsid w:val="325A570B"/>
    <w:rsid w:val="325D1F60"/>
    <w:rsid w:val="32601BAD"/>
    <w:rsid w:val="32A50F21"/>
    <w:rsid w:val="33837901"/>
    <w:rsid w:val="338F1848"/>
    <w:rsid w:val="33BE35BC"/>
    <w:rsid w:val="346D413A"/>
    <w:rsid w:val="34D4418C"/>
    <w:rsid w:val="34E15227"/>
    <w:rsid w:val="34E538E1"/>
    <w:rsid w:val="350D2F9A"/>
    <w:rsid w:val="3540269B"/>
    <w:rsid w:val="354324E5"/>
    <w:rsid w:val="357A4D33"/>
    <w:rsid w:val="35812566"/>
    <w:rsid w:val="35884AE0"/>
    <w:rsid w:val="361E1115"/>
    <w:rsid w:val="36AD2EE7"/>
    <w:rsid w:val="36CE3589"/>
    <w:rsid w:val="36EA5EE9"/>
    <w:rsid w:val="3757357E"/>
    <w:rsid w:val="37CC4446"/>
    <w:rsid w:val="37EA43F2"/>
    <w:rsid w:val="388F0AF6"/>
    <w:rsid w:val="39783302"/>
    <w:rsid w:val="39B60304"/>
    <w:rsid w:val="39CE564E"/>
    <w:rsid w:val="39F63D73"/>
    <w:rsid w:val="3A182485"/>
    <w:rsid w:val="3B1B48C3"/>
    <w:rsid w:val="3B60677A"/>
    <w:rsid w:val="3BF515B8"/>
    <w:rsid w:val="3C073E5C"/>
    <w:rsid w:val="3C7F0E81"/>
    <w:rsid w:val="3DB772C7"/>
    <w:rsid w:val="3E1B1BF0"/>
    <w:rsid w:val="3E496D76"/>
    <w:rsid w:val="3E9E1182"/>
    <w:rsid w:val="3EA223CD"/>
    <w:rsid w:val="404228F2"/>
    <w:rsid w:val="40D835BB"/>
    <w:rsid w:val="40E045E4"/>
    <w:rsid w:val="40F65AAB"/>
    <w:rsid w:val="414A4154"/>
    <w:rsid w:val="42336996"/>
    <w:rsid w:val="427174BE"/>
    <w:rsid w:val="42AE1D40"/>
    <w:rsid w:val="42BD701F"/>
    <w:rsid w:val="4374370A"/>
    <w:rsid w:val="438A6A89"/>
    <w:rsid w:val="43AC4C52"/>
    <w:rsid w:val="442A283A"/>
    <w:rsid w:val="449776B0"/>
    <w:rsid w:val="44FB5BB1"/>
    <w:rsid w:val="460F05BB"/>
    <w:rsid w:val="462D1806"/>
    <w:rsid w:val="465D0485"/>
    <w:rsid w:val="46CE7474"/>
    <w:rsid w:val="46EB5A91"/>
    <w:rsid w:val="473E7AAE"/>
    <w:rsid w:val="47AE35A7"/>
    <w:rsid w:val="48081C22"/>
    <w:rsid w:val="48631F50"/>
    <w:rsid w:val="4867383D"/>
    <w:rsid w:val="487776AB"/>
    <w:rsid w:val="48895562"/>
    <w:rsid w:val="48F350D1"/>
    <w:rsid w:val="49BC6688"/>
    <w:rsid w:val="49DC2CDB"/>
    <w:rsid w:val="49F47DC6"/>
    <w:rsid w:val="4A507511"/>
    <w:rsid w:val="4A834233"/>
    <w:rsid w:val="4AB162D6"/>
    <w:rsid w:val="4AE20F59"/>
    <w:rsid w:val="4B1650A7"/>
    <w:rsid w:val="4B6603D4"/>
    <w:rsid w:val="4B9009B5"/>
    <w:rsid w:val="4BBB2A1B"/>
    <w:rsid w:val="4BCF3BD3"/>
    <w:rsid w:val="4C416562"/>
    <w:rsid w:val="4C4719BC"/>
    <w:rsid w:val="4C5A7116"/>
    <w:rsid w:val="4C7E1155"/>
    <w:rsid w:val="4C843A4B"/>
    <w:rsid w:val="4CDD23EC"/>
    <w:rsid w:val="4E0F2492"/>
    <w:rsid w:val="4E5F2FC7"/>
    <w:rsid w:val="4EAE256E"/>
    <w:rsid w:val="4EB00282"/>
    <w:rsid w:val="4ED84B4D"/>
    <w:rsid w:val="4F12061C"/>
    <w:rsid w:val="4F416B96"/>
    <w:rsid w:val="4F6867A4"/>
    <w:rsid w:val="4F94183C"/>
    <w:rsid w:val="4F952A3E"/>
    <w:rsid w:val="4FDC241B"/>
    <w:rsid w:val="504478D5"/>
    <w:rsid w:val="504F2B0E"/>
    <w:rsid w:val="507D54E6"/>
    <w:rsid w:val="50BE4216"/>
    <w:rsid w:val="51327C74"/>
    <w:rsid w:val="51491D32"/>
    <w:rsid w:val="5153670D"/>
    <w:rsid w:val="517777B8"/>
    <w:rsid w:val="519F7960"/>
    <w:rsid w:val="51AC224E"/>
    <w:rsid w:val="51F53C68"/>
    <w:rsid w:val="51FC0A11"/>
    <w:rsid w:val="522956BF"/>
    <w:rsid w:val="529331AF"/>
    <w:rsid w:val="52A04D11"/>
    <w:rsid w:val="52AB4326"/>
    <w:rsid w:val="52B6041C"/>
    <w:rsid w:val="53323747"/>
    <w:rsid w:val="539372F3"/>
    <w:rsid w:val="53C658BC"/>
    <w:rsid w:val="54041F40"/>
    <w:rsid w:val="54AE4CF4"/>
    <w:rsid w:val="54AE6E54"/>
    <w:rsid w:val="55164621"/>
    <w:rsid w:val="55743C5E"/>
    <w:rsid w:val="55825812"/>
    <w:rsid w:val="5589096F"/>
    <w:rsid w:val="558E757F"/>
    <w:rsid w:val="55DA564E"/>
    <w:rsid w:val="561C3384"/>
    <w:rsid w:val="564D2E2F"/>
    <w:rsid w:val="566C518E"/>
    <w:rsid w:val="567E247E"/>
    <w:rsid w:val="567F7FA4"/>
    <w:rsid w:val="57030BD5"/>
    <w:rsid w:val="577370DC"/>
    <w:rsid w:val="57746DB4"/>
    <w:rsid w:val="57B43470"/>
    <w:rsid w:val="57D367F9"/>
    <w:rsid w:val="57E20F35"/>
    <w:rsid w:val="5803458F"/>
    <w:rsid w:val="589E076D"/>
    <w:rsid w:val="58CB39FE"/>
    <w:rsid w:val="58FA161F"/>
    <w:rsid w:val="59051A0A"/>
    <w:rsid w:val="591448F5"/>
    <w:rsid w:val="595B0854"/>
    <w:rsid w:val="597C07CB"/>
    <w:rsid w:val="598B3274"/>
    <w:rsid w:val="59AE4F11"/>
    <w:rsid w:val="59EF1151"/>
    <w:rsid w:val="59FB2037"/>
    <w:rsid w:val="5A3A490E"/>
    <w:rsid w:val="5AB81686"/>
    <w:rsid w:val="5AC70397"/>
    <w:rsid w:val="5B044499"/>
    <w:rsid w:val="5B807B3A"/>
    <w:rsid w:val="5C0E6052"/>
    <w:rsid w:val="5C4235BF"/>
    <w:rsid w:val="5CE01046"/>
    <w:rsid w:val="5D600C38"/>
    <w:rsid w:val="5E115A20"/>
    <w:rsid w:val="5E6503B9"/>
    <w:rsid w:val="5E9C700A"/>
    <w:rsid w:val="5EFA0B0F"/>
    <w:rsid w:val="5F9B3F6B"/>
    <w:rsid w:val="5F9F562B"/>
    <w:rsid w:val="61394601"/>
    <w:rsid w:val="61D0027D"/>
    <w:rsid w:val="61E17539"/>
    <w:rsid w:val="61E508DE"/>
    <w:rsid w:val="621E4439"/>
    <w:rsid w:val="626C5880"/>
    <w:rsid w:val="627B5AC3"/>
    <w:rsid w:val="62CE653B"/>
    <w:rsid w:val="62EB24E4"/>
    <w:rsid w:val="632E2B36"/>
    <w:rsid w:val="638045E3"/>
    <w:rsid w:val="63B752BE"/>
    <w:rsid w:val="63FC0E86"/>
    <w:rsid w:val="6408782B"/>
    <w:rsid w:val="647A1DAB"/>
    <w:rsid w:val="64E02AAA"/>
    <w:rsid w:val="653B778C"/>
    <w:rsid w:val="654C6575"/>
    <w:rsid w:val="65533A4A"/>
    <w:rsid w:val="65C07C91"/>
    <w:rsid w:val="65D42921"/>
    <w:rsid w:val="65D54EB2"/>
    <w:rsid w:val="66633211"/>
    <w:rsid w:val="6669750B"/>
    <w:rsid w:val="66AC5163"/>
    <w:rsid w:val="66D9725C"/>
    <w:rsid w:val="67127912"/>
    <w:rsid w:val="6714713A"/>
    <w:rsid w:val="67877C36"/>
    <w:rsid w:val="681744E0"/>
    <w:rsid w:val="681F3395"/>
    <w:rsid w:val="68680898"/>
    <w:rsid w:val="687C2854"/>
    <w:rsid w:val="68C45458"/>
    <w:rsid w:val="69117181"/>
    <w:rsid w:val="691412B2"/>
    <w:rsid w:val="693469CC"/>
    <w:rsid w:val="699F29DF"/>
    <w:rsid w:val="69D501AF"/>
    <w:rsid w:val="69D65CD5"/>
    <w:rsid w:val="6A6E23B2"/>
    <w:rsid w:val="6B6169BC"/>
    <w:rsid w:val="6B9D14F7"/>
    <w:rsid w:val="6BEF307E"/>
    <w:rsid w:val="6CD2667B"/>
    <w:rsid w:val="6D7221B9"/>
    <w:rsid w:val="6D760584"/>
    <w:rsid w:val="6D910891"/>
    <w:rsid w:val="6DA00AD4"/>
    <w:rsid w:val="6E4753F3"/>
    <w:rsid w:val="6EA60205"/>
    <w:rsid w:val="6EBF1029"/>
    <w:rsid w:val="6EE472F4"/>
    <w:rsid w:val="6EF75547"/>
    <w:rsid w:val="6F1A2FAF"/>
    <w:rsid w:val="6F765F90"/>
    <w:rsid w:val="6FF82333"/>
    <w:rsid w:val="6FFD220E"/>
    <w:rsid w:val="70147557"/>
    <w:rsid w:val="70190A99"/>
    <w:rsid w:val="70730722"/>
    <w:rsid w:val="70C7611C"/>
    <w:rsid w:val="7145335C"/>
    <w:rsid w:val="716C070D"/>
    <w:rsid w:val="718304F0"/>
    <w:rsid w:val="718F6E95"/>
    <w:rsid w:val="71940950"/>
    <w:rsid w:val="71F96A05"/>
    <w:rsid w:val="72AA090C"/>
    <w:rsid w:val="72CE7E91"/>
    <w:rsid w:val="734D1CA4"/>
    <w:rsid w:val="736D3206"/>
    <w:rsid w:val="738039EB"/>
    <w:rsid w:val="73FB4CB6"/>
    <w:rsid w:val="742A7349"/>
    <w:rsid w:val="742F548F"/>
    <w:rsid w:val="74C946FA"/>
    <w:rsid w:val="75104791"/>
    <w:rsid w:val="756D208F"/>
    <w:rsid w:val="758B51B3"/>
    <w:rsid w:val="75957F62"/>
    <w:rsid w:val="75B25848"/>
    <w:rsid w:val="75EC379D"/>
    <w:rsid w:val="76061A9E"/>
    <w:rsid w:val="768B7D9B"/>
    <w:rsid w:val="768F5B89"/>
    <w:rsid w:val="76AA4771"/>
    <w:rsid w:val="76C45DF3"/>
    <w:rsid w:val="76CD047B"/>
    <w:rsid w:val="772A6E1F"/>
    <w:rsid w:val="773F4EBA"/>
    <w:rsid w:val="7750586C"/>
    <w:rsid w:val="77A34190"/>
    <w:rsid w:val="78200A19"/>
    <w:rsid w:val="7875524F"/>
    <w:rsid w:val="78C064CE"/>
    <w:rsid w:val="78E511EE"/>
    <w:rsid w:val="78F83387"/>
    <w:rsid w:val="793547C6"/>
    <w:rsid w:val="79616875"/>
    <w:rsid w:val="799703BE"/>
    <w:rsid w:val="79E1716A"/>
    <w:rsid w:val="7A2E09DC"/>
    <w:rsid w:val="7A3A11CE"/>
    <w:rsid w:val="7A886B78"/>
    <w:rsid w:val="7A992ABC"/>
    <w:rsid w:val="7B670E83"/>
    <w:rsid w:val="7BF32717"/>
    <w:rsid w:val="7C134B67"/>
    <w:rsid w:val="7C1A6A34"/>
    <w:rsid w:val="7C2B1EB0"/>
    <w:rsid w:val="7C304059"/>
    <w:rsid w:val="7CEF7382"/>
    <w:rsid w:val="7CFB0535"/>
    <w:rsid w:val="7D5E69C1"/>
    <w:rsid w:val="7D926908"/>
    <w:rsid w:val="7DC97BD3"/>
    <w:rsid w:val="7E0155BF"/>
    <w:rsid w:val="7E041F97"/>
    <w:rsid w:val="7E797F46"/>
    <w:rsid w:val="7EE94974"/>
    <w:rsid w:val="7EF07C3F"/>
    <w:rsid w:val="7F5632A5"/>
    <w:rsid w:val="7FAC6129"/>
    <w:rsid w:val="7FC9210C"/>
    <w:rsid w:val="7FDC3AB5"/>
    <w:rsid w:val="7FEA4C3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224"/>
    <w:qFormat/>
    <w:uiPriority w:val="0"/>
    <w:pPr>
      <w:keepNext/>
      <w:keepLines/>
      <w:spacing w:before="40" w:after="40" w:line="360" w:lineRule="auto"/>
      <w:outlineLvl w:val="0"/>
    </w:pPr>
    <w:rPr>
      <w:rFonts w:ascii="Times New Roman" w:hAnsi="Times New Roman" w:eastAsia="宋体"/>
      <w:b/>
      <w:bCs/>
      <w:sz w:val="44"/>
      <w:szCs w:val="44"/>
    </w:rPr>
  </w:style>
  <w:style w:type="paragraph" w:styleId="4">
    <w:name w:val="heading 2"/>
    <w:basedOn w:val="1"/>
    <w:next w:val="1"/>
    <w:link w:val="207"/>
    <w:qFormat/>
    <w:uiPriority w:val="0"/>
    <w:pPr>
      <w:keepNext/>
      <w:keepLines/>
      <w:numPr>
        <w:ilvl w:val="1"/>
        <w:numId w:val="1"/>
      </w:numPr>
      <w:spacing w:before="312" w:after="312"/>
      <w:jc w:val="left"/>
      <w:outlineLvl w:val="1"/>
    </w:pPr>
    <w:rPr>
      <w:rFonts w:ascii="Arial" w:hAnsi="Arial"/>
      <w:b/>
      <w:bCs/>
      <w:sz w:val="28"/>
      <w:szCs w:val="36"/>
    </w:rPr>
  </w:style>
  <w:style w:type="paragraph" w:styleId="5">
    <w:name w:val="heading 3"/>
    <w:basedOn w:val="1"/>
    <w:next w:val="1"/>
    <w:link w:val="208"/>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6">
    <w:name w:val="heading 4"/>
    <w:basedOn w:val="1"/>
    <w:next w:val="7"/>
    <w:link w:val="209"/>
    <w:qFormat/>
    <w:uiPriority w:val="0"/>
    <w:pPr>
      <w:spacing w:before="280" w:after="290" w:line="377" w:lineRule="auto"/>
      <w:outlineLvl w:val="3"/>
    </w:pPr>
    <w:rPr>
      <w:rFonts w:ascii="Arial" w:hAnsi="Arial" w:eastAsia="黑体"/>
      <w:b/>
      <w:bCs/>
      <w:sz w:val="28"/>
      <w:szCs w:val="28"/>
    </w:rPr>
  </w:style>
  <w:style w:type="paragraph" w:styleId="8">
    <w:name w:val="heading 5"/>
    <w:basedOn w:val="1"/>
    <w:next w:val="1"/>
    <w:link w:val="211"/>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212"/>
    <w:qFormat/>
    <w:uiPriority w:val="0"/>
    <w:pPr>
      <w:keepNext/>
      <w:keepLines/>
      <w:spacing w:before="240" w:after="64" w:line="320" w:lineRule="auto"/>
      <w:ind w:left="1152" w:hanging="1152"/>
      <w:outlineLvl w:val="5"/>
    </w:pPr>
    <w:rPr>
      <w:rFonts w:ascii="Cambria" w:hAnsi="Cambria"/>
      <w:b/>
      <w:bCs/>
      <w:sz w:val="24"/>
      <w:szCs w:val="24"/>
    </w:rPr>
  </w:style>
  <w:style w:type="paragraph" w:styleId="10">
    <w:name w:val="heading 7"/>
    <w:basedOn w:val="1"/>
    <w:next w:val="1"/>
    <w:link w:val="213"/>
    <w:qFormat/>
    <w:uiPriority w:val="0"/>
    <w:pPr>
      <w:keepNext/>
      <w:keepLines/>
      <w:spacing w:before="240" w:after="64" w:line="320" w:lineRule="auto"/>
      <w:ind w:left="1296" w:hanging="1296"/>
      <w:outlineLvl w:val="6"/>
    </w:pPr>
    <w:rPr>
      <w:b/>
      <w:bCs/>
      <w:sz w:val="24"/>
      <w:szCs w:val="24"/>
    </w:rPr>
  </w:style>
  <w:style w:type="paragraph" w:styleId="11">
    <w:name w:val="heading 8"/>
    <w:basedOn w:val="1"/>
    <w:next w:val="1"/>
    <w:link w:val="214"/>
    <w:qFormat/>
    <w:uiPriority w:val="0"/>
    <w:pPr>
      <w:keepNext/>
      <w:keepLines/>
      <w:spacing w:before="240" w:after="64" w:line="320" w:lineRule="auto"/>
      <w:ind w:left="1440" w:hanging="1440"/>
      <w:outlineLvl w:val="7"/>
    </w:pPr>
    <w:rPr>
      <w:rFonts w:ascii="Cambria" w:hAnsi="Cambria"/>
      <w:sz w:val="24"/>
      <w:szCs w:val="24"/>
    </w:rPr>
  </w:style>
  <w:style w:type="paragraph" w:styleId="12">
    <w:name w:val="heading 9"/>
    <w:basedOn w:val="1"/>
    <w:next w:val="1"/>
    <w:link w:val="215"/>
    <w:qFormat/>
    <w:uiPriority w:val="0"/>
    <w:pPr>
      <w:keepNext/>
      <w:keepLines/>
      <w:spacing w:before="240" w:after="64" w:line="320" w:lineRule="auto"/>
      <w:ind w:left="1584" w:hanging="1584"/>
      <w:outlineLvl w:val="8"/>
    </w:pPr>
    <w:rPr>
      <w:rFonts w:ascii="Cambria" w:hAnsi="Cambria"/>
      <w:sz w:val="20"/>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20" w:firstLineChars="200"/>
    </w:pPr>
  </w:style>
  <w:style w:type="paragraph" w:styleId="7">
    <w:name w:val="Normal Indent"/>
    <w:basedOn w:val="1"/>
    <w:link w:val="210"/>
    <w:unhideWhenUsed/>
    <w:qFormat/>
    <w:uiPriority w:val="0"/>
    <w:pPr>
      <w:ind w:firstLine="420"/>
    </w:p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link w:val="216"/>
    <w:unhideWhenUsed/>
    <w:qFormat/>
    <w:uiPriority w:val="99"/>
    <w:pPr>
      <w:jc w:val="left"/>
    </w:pPr>
    <w:rPr>
      <w:sz w:val="20"/>
      <w:szCs w:val="24"/>
    </w:rPr>
  </w:style>
  <w:style w:type="paragraph" w:styleId="16">
    <w:name w:val="Body Text"/>
    <w:basedOn w:val="1"/>
    <w:link w:val="217"/>
    <w:qFormat/>
    <w:uiPriority w:val="0"/>
    <w:rPr>
      <w:rFonts w:ascii="楷体_GB2312" w:hAnsi="Arial" w:eastAsia="楷体_GB2312"/>
      <w:sz w:val="28"/>
      <w:szCs w:val="28"/>
    </w:rPr>
  </w:style>
  <w:style w:type="paragraph" w:styleId="17">
    <w:name w:val="Body Text Indent"/>
    <w:basedOn w:val="1"/>
    <w:next w:val="1"/>
    <w:link w:val="205"/>
    <w:qFormat/>
    <w:uiPriority w:val="0"/>
    <w:pPr>
      <w:spacing w:after="120"/>
      <w:ind w:left="420"/>
    </w:pPr>
    <w:rPr>
      <w:sz w:val="20"/>
      <w:szCs w:val="24"/>
    </w:rPr>
  </w:style>
  <w:style w:type="paragraph" w:styleId="18">
    <w:name w:val="List Bullet 2"/>
    <w:basedOn w:val="1"/>
    <w:unhideWhenUsed/>
    <w:qFormat/>
    <w:uiPriority w:val="99"/>
    <w:pPr>
      <w:numPr>
        <w:ilvl w:val="0"/>
        <w:numId w:val="2"/>
      </w:numPr>
    </w:pPr>
  </w:style>
  <w:style w:type="paragraph" w:styleId="19">
    <w:name w:val="index 4"/>
    <w:basedOn w:val="1"/>
    <w:next w:val="1"/>
    <w:unhideWhenUsed/>
    <w:qFormat/>
    <w:uiPriority w:val="99"/>
    <w:pPr>
      <w:ind w:left="600"/>
    </w:pPr>
    <w:rPr>
      <w:rFonts w:ascii="Verdana" w:hAnsi="Verdana"/>
      <w:szCs w:val="20"/>
    </w:rPr>
  </w:style>
  <w:style w:type="paragraph" w:styleId="20">
    <w:name w:val="toc 5"/>
    <w:basedOn w:val="1"/>
    <w:next w:val="1"/>
    <w:unhideWhenUsed/>
    <w:qFormat/>
    <w:uiPriority w:val="39"/>
    <w:pPr>
      <w:spacing w:after="57"/>
      <w:ind w:left="1134" w:right="0" w:firstLine="0"/>
    </w:pPr>
  </w:style>
  <w:style w:type="paragraph" w:styleId="21">
    <w:name w:val="toc 3"/>
    <w:basedOn w:val="1"/>
    <w:next w:val="1"/>
    <w:unhideWhenUsed/>
    <w:qFormat/>
    <w:uiPriority w:val="39"/>
    <w:pPr>
      <w:ind w:left="840"/>
    </w:pPr>
    <w:rPr>
      <w:rFonts w:ascii="Calibri" w:hAnsi="Calibri"/>
    </w:rPr>
  </w:style>
  <w:style w:type="paragraph" w:styleId="22">
    <w:name w:val="Plain Text"/>
    <w:basedOn w:val="1"/>
    <w:link w:val="218"/>
    <w:qFormat/>
    <w:uiPriority w:val="0"/>
    <w:rPr>
      <w:rFonts w:ascii="宋体" w:hAnsi="Courier New"/>
      <w:sz w:val="20"/>
      <w:szCs w:val="21"/>
    </w:rPr>
  </w:style>
  <w:style w:type="paragraph" w:styleId="23">
    <w:name w:val="toc 8"/>
    <w:basedOn w:val="1"/>
    <w:next w:val="1"/>
    <w:unhideWhenUsed/>
    <w:qFormat/>
    <w:uiPriority w:val="39"/>
    <w:pPr>
      <w:spacing w:after="57"/>
      <w:ind w:left="1984" w:right="0" w:firstLine="0"/>
    </w:pPr>
  </w:style>
  <w:style w:type="paragraph" w:styleId="24">
    <w:name w:val="Date"/>
    <w:basedOn w:val="1"/>
    <w:next w:val="1"/>
    <w:unhideWhenUsed/>
    <w:qFormat/>
    <w:uiPriority w:val="99"/>
    <w:pPr>
      <w:ind w:left="100"/>
    </w:pPr>
    <w:rPr>
      <w:rFonts w:eastAsia="楷体_GB2312"/>
      <w:b/>
      <w:bCs/>
      <w:sz w:val="32"/>
    </w:rPr>
  </w:style>
  <w:style w:type="paragraph" w:styleId="25">
    <w:name w:val="Body Text Indent 2"/>
    <w:basedOn w:val="1"/>
    <w:link w:val="219"/>
    <w:qFormat/>
    <w:uiPriority w:val="0"/>
    <w:pPr>
      <w:spacing w:line="480" w:lineRule="exact"/>
      <w:ind w:firstLine="562"/>
    </w:pPr>
    <w:rPr>
      <w:rFonts w:ascii="楷体_GB2312" w:eastAsia="楷体_GB2312"/>
      <w:b/>
      <w:bCs/>
      <w:sz w:val="28"/>
      <w:szCs w:val="24"/>
    </w:rPr>
  </w:style>
  <w:style w:type="paragraph" w:styleId="26">
    <w:name w:val="endnote text"/>
    <w:basedOn w:val="1"/>
    <w:link w:val="202"/>
    <w:semiHidden/>
    <w:unhideWhenUsed/>
    <w:qFormat/>
    <w:uiPriority w:val="99"/>
    <w:pPr>
      <w:spacing w:after="0" w:line="240" w:lineRule="auto"/>
    </w:pPr>
    <w:rPr>
      <w:sz w:val="20"/>
    </w:rPr>
  </w:style>
  <w:style w:type="paragraph" w:styleId="27">
    <w:name w:val="Balloon Text"/>
    <w:basedOn w:val="1"/>
    <w:link w:val="220"/>
    <w:unhideWhenUsed/>
    <w:qFormat/>
    <w:uiPriority w:val="0"/>
    <w:rPr>
      <w:sz w:val="18"/>
      <w:szCs w:val="18"/>
    </w:rPr>
  </w:style>
  <w:style w:type="paragraph" w:styleId="28">
    <w:name w:val="footer"/>
    <w:basedOn w:val="1"/>
    <w:link w:val="221"/>
    <w:unhideWhenUsed/>
    <w:qFormat/>
    <w:uiPriority w:val="0"/>
    <w:pPr>
      <w:tabs>
        <w:tab w:val="center" w:pos="4153"/>
        <w:tab w:val="right" w:pos="8306"/>
      </w:tabs>
      <w:jc w:val="left"/>
    </w:pPr>
    <w:rPr>
      <w:sz w:val="18"/>
      <w:szCs w:val="18"/>
    </w:rPr>
  </w:style>
  <w:style w:type="paragraph" w:styleId="29">
    <w:name w:val="header"/>
    <w:basedOn w:val="1"/>
    <w:link w:val="222"/>
    <w:unhideWhenUsed/>
    <w:qFormat/>
    <w:uiPriority w:val="0"/>
    <w:pPr>
      <w:pBdr>
        <w:bottom w:val="single" w:color="auto" w:sz="6" w:space="1"/>
      </w:pBdr>
      <w:tabs>
        <w:tab w:val="center" w:pos="4153"/>
        <w:tab w:val="right" w:pos="8306"/>
      </w:tabs>
      <w:jc w:val="center"/>
    </w:pPr>
    <w:rPr>
      <w:sz w:val="18"/>
      <w:szCs w:val="18"/>
    </w:rPr>
  </w:style>
  <w:style w:type="paragraph" w:styleId="30">
    <w:name w:val="toc 1"/>
    <w:basedOn w:val="1"/>
    <w:next w:val="1"/>
    <w:unhideWhenUsed/>
    <w:qFormat/>
    <w:uiPriority w:val="39"/>
    <w:rPr>
      <w:rFonts w:ascii="Calibri" w:hAnsi="Calibri"/>
    </w:rPr>
  </w:style>
  <w:style w:type="paragraph" w:styleId="31">
    <w:name w:val="toc 4"/>
    <w:basedOn w:val="1"/>
    <w:next w:val="1"/>
    <w:unhideWhenUsed/>
    <w:qFormat/>
    <w:uiPriority w:val="39"/>
    <w:pPr>
      <w:spacing w:after="57"/>
      <w:ind w:left="850" w:right="0" w:firstLine="0"/>
    </w:pPr>
  </w:style>
  <w:style w:type="paragraph" w:styleId="32">
    <w:name w:val="Subtitle"/>
    <w:basedOn w:val="1"/>
    <w:next w:val="1"/>
    <w:link w:val="68"/>
    <w:qFormat/>
    <w:uiPriority w:val="11"/>
    <w:pPr>
      <w:spacing w:before="200" w:after="200"/>
    </w:pPr>
    <w:rPr>
      <w:sz w:val="24"/>
      <w:szCs w:val="24"/>
    </w:rPr>
  </w:style>
  <w:style w:type="paragraph" w:styleId="33">
    <w:name w:val="footnote text"/>
    <w:basedOn w:val="1"/>
    <w:link w:val="201"/>
    <w:semiHidden/>
    <w:unhideWhenUsed/>
    <w:qFormat/>
    <w:uiPriority w:val="99"/>
    <w:pPr>
      <w:spacing w:after="40" w:line="240" w:lineRule="auto"/>
    </w:pPr>
    <w:rPr>
      <w:sz w:val="18"/>
    </w:rPr>
  </w:style>
  <w:style w:type="paragraph" w:styleId="34">
    <w:name w:val="toc 6"/>
    <w:basedOn w:val="1"/>
    <w:next w:val="1"/>
    <w:unhideWhenUsed/>
    <w:qFormat/>
    <w:uiPriority w:val="39"/>
    <w:pPr>
      <w:spacing w:after="57"/>
      <w:ind w:left="1417" w:right="0" w:firstLine="0"/>
    </w:pPr>
  </w:style>
  <w:style w:type="paragraph" w:styleId="35">
    <w:name w:val="table of figures"/>
    <w:basedOn w:val="1"/>
    <w:next w:val="1"/>
    <w:semiHidden/>
    <w:qFormat/>
    <w:uiPriority w:val="0"/>
    <w:pPr>
      <w:spacing w:before="156" w:after="156"/>
      <w:ind w:left="840" w:hanging="420"/>
    </w:pPr>
    <w:rPr>
      <w:sz w:val="24"/>
      <w:szCs w:val="24"/>
    </w:rPr>
  </w:style>
  <w:style w:type="paragraph" w:styleId="36">
    <w:name w:val="toc 2"/>
    <w:basedOn w:val="1"/>
    <w:next w:val="1"/>
    <w:unhideWhenUsed/>
    <w:qFormat/>
    <w:uiPriority w:val="39"/>
    <w:pPr>
      <w:ind w:left="420"/>
    </w:pPr>
    <w:rPr>
      <w:rFonts w:ascii="Calibri" w:hAnsi="Calibri"/>
    </w:rPr>
  </w:style>
  <w:style w:type="paragraph" w:styleId="37">
    <w:name w:val="toc 9"/>
    <w:basedOn w:val="1"/>
    <w:next w:val="1"/>
    <w:qFormat/>
    <w:uiPriority w:val="0"/>
    <w:pPr>
      <w:ind w:left="3360"/>
    </w:pPr>
    <w:rPr>
      <w:rFonts w:ascii="Calibri" w:hAnsi="Calibri"/>
    </w:rPr>
  </w:style>
  <w:style w:type="paragraph" w:styleId="38">
    <w:name w:val="Body Text 2"/>
    <w:basedOn w:val="1"/>
    <w:qFormat/>
    <w:uiPriority w:val="0"/>
    <w:pPr>
      <w:spacing w:after="120" w:line="480" w:lineRule="auto"/>
    </w:pPr>
  </w:style>
  <w:style w:type="paragraph" w:styleId="3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40">
    <w:name w:val="index 1"/>
    <w:basedOn w:val="1"/>
    <w:next w:val="1"/>
    <w:qFormat/>
    <w:uiPriority w:val="0"/>
    <w:rPr>
      <w:rFonts w:ascii="仿宋_GB2312" w:hAnsi="宋体" w:eastAsia="仿宋_GB2312" w:cs="宋体"/>
      <w:position w:val="0"/>
      <w:sz w:val="30"/>
      <w:szCs w:val="24"/>
      <w:lang w:val="zh-CN"/>
    </w:rPr>
  </w:style>
  <w:style w:type="paragraph" w:styleId="41">
    <w:name w:val="Title"/>
    <w:basedOn w:val="1"/>
    <w:next w:val="1"/>
    <w:link w:val="67"/>
    <w:qFormat/>
    <w:uiPriority w:val="10"/>
    <w:pPr>
      <w:spacing w:before="300" w:after="200"/>
      <w:contextualSpacing/>
    </w:pPr>
    <w:rPr>
      <w:sz w:val="48"/>
      <w:szCs w:val="48"/>
    </w:rPr>
  </w:style>
  <w:style w:type="paragraph" w:styleId="42">
    <w:name w:val="annotation subject"/>
    <w:basedOn w:val="15"/>
    <w:next w:val="15"/>
    <w:link w:val="223"/>
    <w:unhideWhenUsed/>
    <w:qFormat/>
    <w:uiPriority w:val="99"/>
    <w:rPr>
      <w:b/>
      <w:bCs/>
      <w:szCs w:val="20"/>
    </w:rPr>
  </w:style>
  <w:style w:type="paragraph" w:styleId="43">
    <w:name w:val="Body Text First Indent"/>
    <w:basedOn w:val="1"/>
    <w:qFormat/>
    <w:uiPriority w:val="0"/>
    <w:pPr>
      <w:spacing w:before="100" w:after="100" w:line="360" w:lineRule="atLeast"/>
      <w:ind w:firstLine="425"/>
    </w:pPr>
  </w:style>
  <w:style w:type="paragraph" w:styleId="44">
    <w:name w:val="Body Text First Indent 2"/>
    <w:basedOn w:val="17"/>
    <w:unhideWhenUsed/>
    <w:qFormat/>
    <w:uiPriority w:val="99"/>
    <w:pPr>
      <w:ind w:firstLine="420"/>
    </w:pPr>
  </w:style>
  <w:style w:type="table" w:styleId="46">
    <w:name w:val="Table Grid"/>
    <w:basedOn w:val="45"/>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rFonts w:ascii="Tahoma" w:hAnsi="Tahoma" w:eastAsia="宋体"/>
      <w:b/>
      <w:bCs/>
      <w:spacing w:val="10"/>
      <w:sz w:val="24"/>
      <w:lang w:val="en-US" w:eastAsia="zh-CN" w:bidi="ar-SA"/>
    </w:rPr>
  </w:style>
  <w:style w:type="character" w:styleId="49">
    <w:name w:val="endnote reference"/>
    <w:basedOn w:val="47"/>
    <w:semiHidden/>
    <w:unhideWhenUsed/>
    <w:qFormat/>
    <w:uiPriority w:val="99"/>
    <w:rPr>
      <w:vertAlign w:val="superscript"/>
    </w:rPr>
  </w:style>
  <w:style w:type="character" w:styleId="50">
    <w:name w:val="page number"/>
    <w:qFormat/>
    <w:uiPriority w:val="0"/>
  </w:style>
  <w:style w:type="character" w:styleId="51">
    <w:name w:val="Emphasis"/>
    <w:qFormat/>
    <w:uiPriority w:val="20"/>
    <w:rPr>
      <w:color w:val="CC0000"/>
    </w:rPr>
  </w:style>
  <w:style w:type="character" w:styleId="52">
    <w:name w:val="HTML Typewriter"/>
    <w:qFormat/>
    <w:uiPriority w:val="0"/>
    <w:rPr>
      <w:rFonts w:ascii="Courier New" w:hAnsi="Courier New" w:cs="Courier New"/>
      <w:sz w:val="20"/>
      <w:szCs w:val="20"/>
    </w:rPr>
  </w:style>
  <w:style w:type="character" w:styleId="53">
    <w:name w:val="Hyperlink"/>
    <w:unhideWhenUsed/>
    <w:qFormat/>
    <w:uiPriority w:val="99"/>
    <w:rPr>
      <w:color w:val="0000FF"/>
      <w:u w:val="single"/>
    </w:rPr>
  </w:style>
  <w:style w:type="character" w:styleId="54">
    <w:name w:val="annotation reference"/>
    <w:basedOn w:val="47"/>
    <w:unhideWhenUsed/>
    <w:qFormat/>
    <w:uiPriority w:val="99"/>
    <w:rPr>
      <w:sz w:val="21"/>
      <w:szCs w:val="21"/>
    </w:rPr>
  </w:style>
  <w:style w:type="character" w:styleId="55">
    <w:name w:val="HTML Cite"/>
    <w:unhideWhenUsed/>
    <w:qFormat/>
    <w:uiPriority w:val="99"/>
    <w:rPr>
      <w:color w:val="008000"/>
    </w:rPr>
  </w:style>
  <w:style w:type="character" w:styleId="56">
    <w:name w:val="footnote reference"/>
    <w:basedOn w:val="47"/>
    <w:unhideWhenUsed/>
    <w:qFormat/>
    <w:uiPriority w:val="99"/>
    <w:rPr>
      <w:vertAlign w:val="superscript"/>
    </w:rPr>
  </w:style>
  <w:style w:type="character" w:customStyle="1" w:styleId="57">
    <w:name w:val="Heading 1 Char"/>
    <w:basedOn w:val="47"/>
    <w:qFormat/>
    <w:uiPriority w:val="9"/>
    <w:rPr>
      <w:rFonts w:ascii="Arial" w:hAnsi="Arial" w:eastAsia="Arial" w:cs="Arial"/>
      <w:sz w:val="40"/>
      <w:szCs w:val="40"/>
    </w:rPr>
  </w:style>
  <w:style w:type="character" w:customStyle="1" w:styleId="58">
    <w:name w:val="Heading 2 Char"/>
    <w:basedOn w:val="47"/>
    <w:qFormat/>
    <w:uiPriority w:val="9"/>
    <w:rPr>
      <w:rFonts w:ascii="Arial" w:hAnsi="Arial" w:eastAsia="Arial" w:cs="Arial"/>
      <w:sz w:val="34"/>
    </w:rPr>
  </w:style>
  <w:style w:type="character" w:customStyle="1" w:styleId="59">
    <w:name w:val="Heading 3 Char"/>
    <w:basedOn w:val="47"/>
    <w:qFormat/>
    <w:uiPriority w:val="9"/>
    <w:rPr>
      <w:rFonts w:ascii="Arial" w:hAnsi="Arial" w:eastAsia="Arial" w:cs="Arial"/>
      <w:sz w:val="30"/>
      <w:szCs w:val="30"/>
    </w:rPr>
  </w:style>
  <w:style w:type="character" w:customStyle="1" w:styleId="60">
    <w:name w:val="Heading 4 Char"/>
    <w:basedOn w:val="47"/>
    <w:qFormat/>
    <w:uiPriority w:val="9"/>
    <w:rPr>
      <w:rFonts w:ascii="Arial" w:hAnsi="Arial" w:eastAsia="Arial" w:cs="Arial"/>
      <w:b/>
      <w:bCs/>
      <w:sz w:val="26"/>
      <w:szCs w:val="26"/>
    </w:rPr>
  </w:style>
  <w:style w:type="character" w:customStyle="1" w:styleId="61">
    <w:name w:val="Heading 5 Char"/>
    <w:basedOn w:val="47"/>
    <w:qFormat/>
    <w:uiPriority w:val="9"/>
    <w:rPr>
      <w:rFonts w:ascii="Arial" w:hAnsi="Arial" w:eastAsia="Arial" w:cs="Arial"/>
      <w:b/>
      <w:bCs/>
      <w:sz w:val="24"/>
      <w:szCs w:val="24"/>
    </w:rPr>
  </w:style>
  <w:style w:type="character" w:customStyle="1" w:styleId="62">
    <w:name w:val="Heading 6 Char"/>
    <w:basedOn w:val="47"/>
    <w:qFormat/>
    <w:uiPriority w:val="9"/>
    <w:rPr>
      <w:rFonts w:ascii="Arial" w:hAnsi="Arial" w:eastAsia="Arial" w:cs="Arial"/>
      <w:b/>
      <w:bCs/>
      <w:sz w:val="22"/>
      <w:szCs w:val="22"/>
    </w:rPr>
  </w:style>
  <w:style w:type="character" w:customStyle="1" w:styleId="63">
    <w:name w:val="Heading 7 Char"/>
    <w:basedOn w:val="47"/>
    <w:qFormat/>
    <w:uiPriority w:val="9"/>
    <w:rPr>
      <w:rFonts w:ascii="Arial" w:hAnsi="Arial" w:eastAsia="Arial" w:cs="Arial"/>
      <w:b/>
      <w:bCs/>
      <w:i/>
      <w:iCs/>
      <w:sz w:val="22"/>
      <w:szCs w:val="22"/>
    </w:rPr>
  </w:style>
  <w:style w:type="character" w:customStyle="1" w:styleId="64">
    <w:name w:val="Heading 8 Char"/>
    <w:basedOn w:val="47"/>
    <w:qFormat/>
    <w:uiPriority w:val="9"/>
    <w:rPr>
      <w:rFonts w:ascii="Arial" w:hAnsi="Arial" w:eastAsia="Arial" w:cs="Arial"/>
      <w:i/>
      <w:iCs/>
      <w:sz w:val="22"/>
      <w:szCs w:val="22"/>
    </w:rPr>
  </w:style>
  <w:style w:type="character" w:customStyle="1" w:styleId="65">
    <w:name w:val="Heading 9 Char"/>
    <w:basedOn w:val="47"/>
    <w:qFormat/>
    <w:uiPriority w:val="9"/>
    <w:rPr>
      <w:rFonts w:ascii="Arial" w:hAnsi="Arial" w:eastAsia="Arial" w:cs="Arial"/>
      <w:i/>
      <w:iCs/>
      <w:sz w:val="21"/>
      <w:szCs w:val="21"/>
    </w:rPr>
  </w:style>
  <w:style w:type="paragraph" w:styleId="66">
    <w:name w:val="No Spacing"/>
    <w:qFormat/>
    <w:uiPriority w:val="1"/>
    <w:pPr>
      <w:spacing w:before="0" w:after="0" w:line="240" w:lineRule="auto"/>
    </w:pPr>
    <w:rPr>
      <w:rFonts w:hint="default" w:ascii="Times New Roman" w:hAnsi="Times New Roman" w:eastAsia="宋体" w:cs="Times New Roman"/>
    </w:rPr>
  </w:style>
  <w:style w:type="character" w:customStyle="1" w:styleId="67">
    <w:name w:val="Title Char"/>
    <w:basedOn w:val="47"/>
    <w:link w:val="41"/>
    <w:qFormat/>
    <w:uiPriority w:val="10"/>
    <w:rPr>
      <w:sz w:val="48"/>
      <w:szCs w:val="48"/>
    </w:rPr>
  </w:style>
  <w:style w:type="character" w:customStyle="1" w:styleId="68">
    <w:name w:val="Subtitle Char"/>
    <w:basedOn w:val="47"/>
    <w:link w:val="32"/>
    <w:qFormat/>
    <w:uiPriority w:val="11"/>
    <w:rPr>
      <w:sz w:val="24"/>
      <w:szCs w:val="24"/>
    </w:rPr>
  </w:style>
  <w:style w:type="paragraph" w:styleId="69">
    <w:name w:val="Quote"/>
    <w:basedOn w:val="1"/>
    <w:next w:val="1"/>
    <w:link w:val="70"/>
    <w:qFormat/>
    <w:uiPriority w:val="29"/>
    <w:pPr>
      <w:ind w:left="720" w:right="720"/>
    </w:pPr>
    <w:rPr>
      <w:i/>
    </w:rPr>
  </w:style>
  <w:style w:type="character" w:customStyle="1" w:styleId="70">
    <w:name w:val="Quote Char"/>
    <w:link w:val="69"/>
    <w:qFormat/>
    <w:uiPriority w:val="29"/>
    <w:rPr>
      <w:i/>
    </w:rPr>
  </w:style>
  <w:style w:type="paragraph" w:styleId="71">
    <w:name w:val="Intense Quote"/>
    <w:basedOn w:val="1"/>
    <w:next w:val="1"/>
    <w:link w:val="7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2">
    <w:name w:val="Intense Quote Char"/>
    <w:link w:val="71"/>
    <w:qFormat/>
    <w:uiPriority w:val="30"/>
    <w:rPr>
      <w:i/>
    </w:rPr>
  </w:style>
  <w:style w:type="character" w:customStyle="1" w:styleId="73">
    <w:name w:val="Header Char"/>
    <w:basedOn w:val="47"/>
    <w:qFormat/>
    <w:uiPriority w:val="99"/>
  </w:style>
  <w:style w:type="character" w:customStyle="1" w:styleId="74">
    <w:name w:val="Footer Char"/>
    <w:basedOn w:val="47"/>
    <w:qFormat/>
    <w:uiPriority w:val="99"/>
  </w:style>
  <w:style w:type="character" w:customStyle="1" w:styleId="75">
    <w:name w:val="Caption Char"/>
    <w:qFormat/>
    <w:uiPriority w:val="99"/>
  </w:style>
  <w:style w:type="table" w:customStyle="1" w:styleId="76">
    <w:name w:val="Table Grid Light"/>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basedOn w:val="4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basedOn w:val="4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basedOn w:val="4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basedOn w:val="4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basedOn w:val="4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basedOn w:val="4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basedOn w:val="45"/>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basedOn w:val="45"/>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basedOn w:val="45"/>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basedOn w:val="45"/>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basedOn w:val="4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basedOn w:val="45"/>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CCE8C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CCE8C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CCE8C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CCE8C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CCE8C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CCE8C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basedOn w:val="4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basedOn w:val="45"/>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basedOn w:val="45"/>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1">
    <w:name w:val="Grid Table 6 Colorful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basedOn w:val="4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basedOn w:val="45"/>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basedOn w:val="4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basedOn w:val="45"/>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CCE8CF" w:themeColor="light1" w:fill="CCE8C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basedOn w:val="45"/>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basedOn w:val="45"/>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CCE8CF" w:themeColor="light1" w:fill="CCE8C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8">
    <w:name w:val="Grid Table 7 Colorful - Accent 4"/>
    <w:basedOn w:val="45"/>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basedOn w:val="4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CCE8CF" w:themeColor="light1" w:fill="CCE8C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basedOn w:val="45"/>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CCE8CF" w:themeColor="light1" w:fill="CCE8C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basedOn w:val="4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basedOn w:val="45"/>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basedOn w:val="45"/>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basedOn w:val="45"/>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basedOn w:val="45"/>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basedOn w:val="4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basedOn w:val="45"/>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basedOn w:val="4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basedOn w:val="45"/>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basedOn w:val="45"/>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basedOn w:val="45"/>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basedOn w:val="45"/>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basedOn w:val="4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basedOn w:val="45"/>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basedOn w:val="45"/>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basedOn w:val="45"/>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basedOn w:val="4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basedOn w:val="45"/>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basedOn w:val="45"/>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basedOn w:val="45"/>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basedOn w:val="45"/>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basedOn w:val="45"/>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basedOn w:val="4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basedOn w:val="45"/>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basedOn w:val="4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7E7E7E" w:themeColor="text1" w:themeTint="80" w:sz="32" w:space="0"/>
          <w:right w:val="single" w:color="CCE8CF" w:themeColor="light1" w:sz="4" w:space="0"/>
        </w:tcBorders>
      </w:tcPr>
    </w:tblStylePr>
    <w:tblStylePr w:type="lastCol">
      <w:tcPr>
        <w:tcBorders>
          <w:left w:val="single" w:color="CCE8CF" w:themeColor="light1" w:sz="4" w:space="0"/>
          <w:right w:val="single" w:color="7E7E7E" w:themeColor="text1" w:themeTint="80" w:sz="32" w:space="0"/>
        </w:tcBorders>
      </w:tcPr>
    </w:tblStylePr>
    <w:tblStylePr w:type="band1Vert">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cPr>
        <w:tcBorders>
          <w:top w:val="single" w:color="CCE8CF" w:themeColor="light1" w:sz="4" w:space="0"/>
          <w:bottom w:val="single" w:color="CCE8CF" w:themeColor="light1" w:sz="4" w:space="0"/>
        </w:tcBorders>
        <w:shd w:val="clear" w:color="7E7E7E" w:themeColor="text1" w:themeTint="80" w:fill="7E7E7E" w:themeFill="text1" w:themeFillTint="80"/>
      </w:tcPr>
    </w:tblStylePr>
  </w:style>
  <w:style w:type="table" w:customStyle="1" w:styleId="160">
    <w:name w:val="List Table 5 Dark - Accent 1"/>
    <w:basedOn w:val="45"/>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CCE8CF" w:themeColor="light1"/>
        <w:sz w:val="22"/>
        <w14:textFill>
          <w14:solidFill>
            <w14:schemeClr w14:val="lt1"/>
          </w14:solidFill>
        </w14:textFill>
      </w:rPr>
      <w:tcPr>
        <w:tcBorders>
          <w:top w:val="single" w:color="4F81BD" w:themeColor="accent1" w:sz="32" w:space="0"/>
          <w:bottom w:val="single" w:color="CCE8CF" w:themeColor="light1" w:sz="12" w:space="0"/>
        </w:tcBorders>
        <w:shd w:val="clear" w:color="4F81BD" w:themeColor="accent1" w:fill="4F81BD" w:themeFill="accent1"/>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4F81BD" w:themeColor="accent1" w:sz="32" w:space="0"/>
          <w:right w:val="single" w:color="CCE8CF" w:themeColor="light1" w:sz="4" w:space="0"/>
        </w:tcBorders>
      </w:tcPr>
    </w:tblStylePr>
    <w:tblStylePr w:type="lastCol">
      <w:tcPr>
        <w:tcBorders>
          <w:left w:val="single" w:color="CCE8CF" w:themeColor="light1" w:sz="4" w:space="0"/>
          <w:right w:val="single" w:color="4F81BD" w:themeColor="accent1" w:sz="32" w:space="0"/>
        </w:tcBorders>
      </w:tcPr>
    </w:tblStylePr>
    <w:tblStylePr w:type="band1Vert">
      <w:tcPr>
        <w:tcBorders>
          <w:left w:val="single" w:color="CCE8CF" w:themeColor="light1" w:sz="4" w:space="0"/>
          <w:right w:val="single" w:color="CCE8CF" w:themeColor="light1" w:sz="4" w:space="0"/>
        </w:tcBorders>
        <w:shd w:val="clear" w:color="4F81BD" w:themeColor="accent1" w:fill="4F81BD" w:themeFill="accent1"/>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4F81BD" w:themeColor="accent1" w:fill="4F81BD" w:themeFill="accent1"/>
      </w:tcPr>
    </w:tblStylePr>
    <w:tblStylePr w:type="band2Horz">
      <w:tcPr>
        <w:tcBorders>
          <w:top w:val="single" w:color="CCE8CF" w:themeColor="light1" w:sz="4" w:space="0"/>
          <w:bottom w:val="single" w:color="CCE8CF" w:themeColor="light1" w:sz="4" w:space="0"/>
        </w:tcBorders>
        <w:shd w:val="clear" w:color="4F81BD" w:themeColor="accent1" w:fill="4F81BD" w:themeFill="accent1"/>
      </w:tcPr>
    </w:tblStylePr>
  </w:style>
  <w:style w:type="table" w:customStyle="1" w:styleId="161">
    <w:name w:val="List Table 5 Dark - Accent 2"/>
    <w:basedOn w:val="45"/>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CCE8CF" w:themeColor="light1"/>
        <w:sz w:val="22"/>
        <w14:textFill>
          <w14:solidFill>
            <w14:schemeClr w14:val="lt1"/>
          </w14:solidFill>
        </w14:textFill>
      </w:rPr>
      <w:tcPr>
        <w:tcBorders>
          <w:top w:val="single" w:color="D99795" w:themeColor="accent2" w:themeTint="97" w:sz="32" w:space="0"/>
          <w:bottom w:val="single" w:color="CCE8CF" w:themeColor="light1" w:sz="12" w:space="0"/>
        </w:tcBorders>
        <w:shd w:val="clear" w:color="D99795" w:themeColor="accent2" w:themeTint="97" w:fill="D99795" w:themeFill="accent2" w:themeFillTint="97"/>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D99795" w:themeColor="accent2" w:themeTint="97" w:sz="32" w:space="0"/>
          <w:right w:val="single" w:color="CCE8CF" w:themeColor="light1" w:sz="4" w:space="0"/>
        </w:tcBorders>
      </w:tcPr>
    </w:tblStylePr>
    <w:tblStylePr w:type="lastCol">
      <w:tcPr>
        <w:tcBorders>
          <w:left w:val="single" w:color="CCE8CF" w:themeColor="light1" w:sz="4" w:space="0"/>
          <w:right w:val="single" w:color="D99795" w:themeColor="accent2" w:themeTint="97" w:sz="32" w:space="0"/>
        </w:tcBorders>
      </w:tcPr>
    </w:tblStylePr>
    <w:tblStylePr w:type="band1Vert">
      <w:tcPr>
        <w:tcBorders>
          <w:left w:val="single" w:color="CCE8CF" w:themeColor="light1" w:sz="4" w:space="0"/>
          <w:right w:val="single" w:color="CCE8CF" w:themeColor="light1" w:sz="4" w:space="0"/>
        </w:tcBorders>
        <w:shd w:val="clear" w:color="D99795" w:themeColor="accent2" w:themeTint="97" w:fill="D99795" w:themeFill="accent2" w:themeFillTint="97"/>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band2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style>
  <w:style w:type="table" w:customStyle="1" w:styleId="162">
    <w:name w:val="List Table 5 Dark - Accent 3"/>
    <w:basedOn w:val="45"/>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CCE8CF" w:themeColor="light1"/>
        <w:sz w:val="22"/>
        <w14:textFill>
          <w14:solidFill>
            <w14:schemeClr w14:val="lt1"/>
          </w14:solidFill>
        </w14:textFill>
      </w:rPr>
      <w:tcPr>
        <w:tcBorders>
          <w:top w:val="single" w:color="C3D69C" w:themeColor="accent3" w:themeTint="98" w:sz="32" w:space="0"/>
          <w:bottom w:val="single" w:color="CCE8CF" w:themeColor="light1" w:sz="12" w:space="0"/>
        </w:tcBorders>
        <w:shd w:val="clear" w:color="C3D69C" w:themeColor="accent3" w:themeTint="98" w:fill="C3D69C" w:themeFill="accent3"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C3D69C" w:themeColor="accent3" w:themeTint="98" w:sz="32" w:space="0"/>
          <w:right w:val="single" w:color="CCE8CF" w:themeColor="light1" w:sz="4" w:space="0"/>
        </w:tcBorders>
      </w:tcPr>
    </w:tblStylePr>
    <w:tblStylePr w:type="lastCol">
      <w:tcPr>
        <w:tcBorders>
          <w:left w:val="single" w:color="CCE8CF" w:themeColor="light1" w:sz="4" w:space="0"/>
          <w:right w:val="single" w:color="C3D69C" w:themeColor="accent3" w:themeTint="98" w:sz="32" w:space="0"/>
        </w:tcBorders>
      </w:tcPr>
    </w:tblStylePr>
    <w:tblStylePr w:type="band1Vert">
      <w:tcPr>
        <w:tcBorders>
          <w:left w:val="single" w:color="CCE8CF" w:themeColor="light1" w:sz="4" w:space="0"/>
          <w:right w:val="single" w:color="CCE8CF" w:themeColor="light1" w:sz="4" w:space="0"/>
        </w:tcBorders>
        <w:shd w:val="clear" w:color="C3D69C" w:themeColor="accent3" w:themeTint="98" w:fill="C3D69C" w:themeFill="accent3"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band2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style>
  <w:style w:type="table" w:customStyle="1" w:styleId="163">
    <w:name w:val="List Table 5 Dark - Accent 4"/>
    <w:basedOn w:val="45"/>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CCE8CF" w:themeColor="light1"/>
        <w:sz w:val="22"/>
        <w14:textFill>
          <w14:solidFill>
            <w14:schemeClr w14:val="lt1"/>
          </w14:solidFill>
        </w14:textFill>
      </w:rPr>
      <w:tcPr>
        <w:tcBorders>
          <w:top w:val="single" w:color="B2A1C6" w:themeColor="accent4" w:themeTint="9A" w:sz="32" w:space="0"/>
          <w:bottom w:val="single" w:color="CCE8CF" w:themeColor="light1" w:sz="12" w:space="0"/>
        </w:tcBorders>
        <w:shd w:val="clear" w:color="B2A1C6" w:themeColor="accent4" w:themeTint="9A" w:fill="B2A1C6" w:themeFill="accent4"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B2A1C6" w:themeColor="accent4" w:themeTint="9A" w:sz="32" w:space="0"/>
          <w:right w:val="single" w:color="CCE8CF" w:themeColor="light1" w:sz="4" w:space="0"/>
        </w:tcBorders>
      </w:tcPr>
    </w:tblStylePr>
    <w:tblStylePr w:type="lastCol">
      <w:tcPr>
        <w:tcBorders>
          <w:left w:val="single" w:color="CCE8CF" w:themeColor="light1" w:sz="4" w:space="0"/>
          <w:right w:val="single" w:color="B2A1C6" w:themeColor="accent4" w:themeTint="9A" w:sz="32" w:space="0"/>
        </w:tcBorders>
      </w:tcPr>
    </w:tblStylePr>
    <w:tblStylePr w:type="band1Vert">
      <w:tcPr>
        <w:tcBorders>
          <w:left w:val="single" w:color="CCE8CF" w:themeColor="light1" w:sz="4" w:space="0"/>
          <w:right w:val="single" w:color="CCE8CF" w:themeColor="light1" w:sz="4" w:space="0"/>
        </w:tcBorders>
        <w:shd w:val="clear" w:color="B2A1C6" w:themeColor="accent4" w:themeTint="9A" w:fill="B2A1C6" w:themeFill="accent4"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band2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style>
  <w:style w:type="table" w:customStyle="1" w:styleId="164">
    <w:name w:val="List Table 5 Dark - Accent 5"/>
    <w:basedOn w:val="4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CCE8CF" w:themeColor="light1"/>
        <w:sz w:val="22"/>
        <w14:textFill>
          <w14:solidFill>
            <w14:schemeClr w14:val="lt1"/>
          </w14:solidFill>
        </w14:textFill>
      </w:rPr>
      <w:tcPr>
        <w:tcBorders>
          <w:top w:val="single" w:color="92CCDC" w:themeColor="accent5" w:themeTint="9A" w:sz="32" w:space="0"/>
          <w:bottom w:val="single" w:color="CCE8CF" w:themeColor="light1" w:sz="12" w:space="0"/>
        </w:tcBorders>
        <w:shd w:val="clear" w:color="92CCDC" w:themeColor="accent5" w:themeTint="9A" w:fill="92CCDC" w:themeFill="accent5"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92CCDC" w:themeColor="accent5" w:themeTint="9A" w:sz="32" w:space="0"/>
          <w:right w:val="single" w:color="CCE8CF" w:themeColor="light1" w:sz="4" w:space="0"/>
        </w:tcBorders>
      </w:tcPr>
    </w:tblStylePr>
    <w:tblStylePr w:type="lastCol">
      <w:tcPr>
        <w:tcBorders>
          <w:left w:val="single" w:color="CCE8CF" w:themeColor="light1" w:sz="4" w:space="0"/>
          <w:right w:val="single" w:color="92CCDC" w:themeColor="accent5" w:themeTint="9A" w:sz="32" w:space="0"/>
        </w:tcBorders>
      </w:tcPr>
    </w:tblStylePr>
    <w:tblStylePr w:type="band1Vert">
      <w:tcPr>
        <w:tcBorders>
          <w:left w:val="single" w:color="CCE8CF" w:themeColor="light1" w:sz="4" w:space="0"/>
          <w:right w:val="single" w:color="CCE8CF" w:themeColor="light1" w:sz="4" w:space="0"/>
        </w:tcBorders>
        <w:shd w:val="clear" w:color="92CCDC" w:themeColor="accent5" w:themeTint="9A" w:fill="92CCDC" w:themeFill="accent5"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band2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style>
  <w:style w:type="table" w:customStyle="1" w:styleId="165">
    <w:name w:val="List Table 5 Dark - Accent 6"/>
    <w:basedOn w:val="45"/>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CCE8CF" w:themeColor="light1"/>
        <w:sz w:val="22"/>
        <w14:textFill>
          <w14:solidFill>
            <w14:schemeClr w14:val="lt1"/>
          </w14:solidFill>
        </w14:textFill>
      </w:rPr>
      <w:tcPr>
        <w:tcBorders>
          <w:top w:val="single" w:color="FAC090" w:themeColor="accent6" w:themeTint="98" w:sz="32" w:space="0"/>
          <w:bottom w:val="single" w:color="CCE8CF" w:themeColor="light1" w:sz="12" w:space="0"/>
        </w:tcBorders>
        <w:shd w:val="clear" w:color="FAC090" w:themeColor="accent6" w:themeTint="98" w:fill="FAC090" w:themeFill="accent6"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FAC090" w:themeColor="accent6" w:themeTint="98" w:sz="32" w:space="0"/>
          <w:right w:val="single" w:color="CCE8CF" w:themeColor="light1" w:sz="4" w:space="0"/>
        </w:tcBorders>
      </w:tcPr>
    </w:tblStylePr>
    <w:tblStylePr w:type="lastCol">
      <w:tcPr>
        <w:tcBorders>
          <w:left w:val="single" w:color="CCE8CF" w:themeColor="light1" w:sz="4" w:space="0"/>
          <w:right w:val="single" w:color="FAC090" w:themeColor="accent6" w:themeTint="98" w:sz="32" w:space="0"/>
        </w:tcBorders>
      </w:tcPr>
    </w:tblStylePr>
    <w:tblStylePr w:type="band1Vert">
      <w:tcPr>
        <w:tcBorders>
          <w:left w:val="single" w:color="CCE8CF" w:themeColor="light1" w:sz="4" w:space="0"/>
          <w:right w:val="single" w:color="CCE8CF" w:themeColor="light1" w:sz="4" w:space="0"/>
        </w:tcBorders>
        <w:shd w:val="clear" w:color="FAC090" w:themeColor="accent6" w:themeTint="98" w:fill="FAC090" w:themeFill="accent6"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band2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style>
  <w:style w:type="table" w:customStyle="1" w:styleId="166">
    <w:name w:val="List Table 6 Colorful"/>
    <w:basedOn w:val="4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basedOn w:val="45"/>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basedOn w:val="45"/>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basedOn w:val="45"/>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basedOn w:val="45"/>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basedOn w:val="4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basedOn w:val="45"/>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basedOn w:val="4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basedOn w:val="45"/>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CCE8CF" w:themeColor="light1" w:fill="CCE8C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basedOn w:val="45"/>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basedOn w:val="45"/>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CCE8CF" w:themeColor="light1" w:fill="CCE8C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basedOn w:val="45"/>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basedOn w:val="4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CCE8CF" w:themeColor="light1" w:fill="CCE8C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basedOn w:val="45"/>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CCE8CF" w:themeColor="light1" w:fill="CCE8C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basedOn w:val="45"/>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basedOn w:val="45"/>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basedOn w:val="45"/>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basedOn w:val="45"/>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basedOn w:val="45"/>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basedOn w:val="4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basedOn w:val="45"/>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basedOn w:val="45"/>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basedOn w:val="45"/>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basedOn w:val="45"/>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basedOn w:val="45"/>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basedOn w:val="45"/>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basedOn w:val="4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basedOn w:val="45"/>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basedOn w:val="45"/>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Footnote Text Char"/>
    <w:link w:val="33"/>
    <w:qFormat/>
    <w:uiPriority w:val="99"/>
    <w:rPr>
      <w:sz w:val="18"/>
    </w:rPr>
  </w:style>
  <w:style w:type="character" w:customStyle="1" w:styleId="202">
    <w:name w:val="Endnote Text Char"/>
    <w:link w:val="26"/>
    <w:qFormat/>
    <w:uiPriority w:val="99"/>
    <w:rPr>
      <w:sz w:val="20"/>
    </w:rPr>
  </w:style>
  <w:style w:type="paragraph" w:customStyle="1" w:styleId="203">
    <w:name w:val="TOC Heading"/>
    <w:unhideWhenUsed/>
    <w:qFormat/>
    <w:uiPriority w:val="39"/>
    <w:rPr>
      <w:rFonts w:hint="default" w:ascii="Times New Roman" w:hAnsi="Times New Roman" w:eastAsia="宋体" w:cs="Times New Roman"/>
    </w:rPr>
  </w:style>
  <w:style w:type="paragraph" w:customStyle="1" w:styleId="204">
    <w:name w:val="Default"/>
    <w:qFormat/>
    <w:uiPriority w:val="0"/>
    <w:pPr>
      <w:widowControl w:val="0"/>
    </w:pPr>
    <w:rPr>
      <w:rFonts w:hint="default" w:ascii="微软雅黑" w:hAnsi="Times New Roman" w:eastAsia="微软雅黑" w:cs="微软雅黑"/>
      <w:color w:val="000000"/>
      <w:sz w:val="24"/>
      <w:szCs w:val="24"/>
      <w:lang w:val="en-US" w:eastAsia="zh-CN" w:bidi="ar-SA"/>
    </w:rPr>
  </w:style>
  <w:style w:type="character" w:customStyle="1" w:styleId="205">
    <w:name w:val="正文文本缩进 字符"/>
    <w:link w:val="17"/>
    <w:qFormat/>
    <w:uiPriority w:val="0"/>
    <w:rPr>
      <w:rFonts w:ascii="Times New Roman" w:hAnsi="Times New Roman"/>
      <w:szCs w:val="24"/>
    </w:rPr>
  </w:style>
  <w:style w:type="character" w:customStyle="1" w:styleId="206">
    <w:name w:val="标题 1 字符"/>
    <w:qFormat/>
    <w:uiPriority w:val="99"/>
    <w:rPr>
      <w:rFonts w:ascii="Times New Roman" w:hAnsi="Times New Roman" w:eastAsia="宋体" w:cs="Times New Roman"/>
      <w:b/>
      <w:bCs/>
      <w:sz w:val="32"/>
      <w:szCs w:val="44"/>
    </w:rPr>
  </w:style>
  <w:style w:type="character" w:customStyle="1" w:styleId="207">
    <w:name w:val="标题 2 字符"/>
    <w:link w:val="4"/>
    <w:qFormat/>
    <w:uiPriority w:val="0"/>
    <w:rPr>
      <w:rFonts w:ascii="Arial" w:hAnsi="Arial" w:eastAsia="宋体" w:cs="Times New Roman"/>
      <w:b/>
      <w:bCs/>
      <w:sz w:val="28"/>
      <w:szCs w:val="36"/>
    </w:rPr>
  </w:style>
  <w:style w:type="character" w:customStyle="1" w:styleId="208">
    <w:name w:val="标题 3 字符"/>
    <w:link w:val="5"/>
    <w:qFormat/>
    <w:uiPriority w:val="0"/>
    <w:rPr>
      <w:rFonts w:ascii="Arial" w:hAnsi="Arial" w:eastAsia="黑体" w:cs="Times New Roman"/>
      <w:b/>
      <w:bCs/>
      <w:sz w:val="30"/>
      <w:szCs w:val="32"/>
    </w:rPr>
  </w:style>
  <w:style w:type="character" w:customStyle="1" w:styleId="209">
    <w:name w:val="标题 4 字符"/>
    <w:link w:val="6"/>
    <w:qFormat/>
    <w:uiPriority w:val="0"/>
    <w:rPr>
      <w:rFonts w:ascii="Arial" w:hAnsi="Arial" w:eastAsia="黑体" w:cs="Arial"/>
      <w:b/>
      <w:bCs/>
      <w:sz w:val="28"/>
      <w:szCs w:val="28"/>
    </w:rPr>
  </w:style>
  <w:style w:type="character" w:customStyle="1" w:styleId="210">
    <w:name w:val="正文缩进 字符"/>
    <w:link w:val="7"/>
    <w:qFormat/>
    <w:uiPriority w:val="0"/>
  </w:style>
  <w:style w:type="character" w:customStyle="1" w:styleId="211">
    <w:name w:val="标题 5 字符1"/>
    <w:link w:val="8"/>
    <w:qFormat/>
    <w:uiPriority w:val="0"/>
    <w:rPr>
      <w:rFonts w:ascii="Calibri" w:hAnsi="Calibri" w:eastAsia="宋体" w:cs="Times New Roman"/>
      <w:b/>
      <w:bCs/>
      <w:sz w:val="28"/>
      <w:szCs w:val="28"/>
    </w:rPr>
  </w:style>
  <w:style w:type="character" w:customStyle="1" w:styleId="212">
    <w:name w:val="标题 6 字符"/>
    <w:link w:val="9"/>
    <w:qFormat/>
    <w:uiPriority w:val="0"/>
    <w:rPr>
      <w:rFonts w:ascii="Cambria" w:hAnsi="Cambria" w:eastAsia="宋体" w:cs="Times New Roman"/>
      <w:b/>
      <w:bCs/>
      <w:sz w:val="24"/>
      <w:szCs w:val="24"/>
    </w:rPr>
  </w:style>
  <w:style w:type="character" w:customStyle="1" w:styleId="213">
    <w:name w:val="标题 7 字符"/>
    <w:link w:val="10"/>
    <w:qFormat/>
    <w:uiPriority w:val="0"/>
    <w:rPr>
      <w:rFonts w:ascii="Times New Roman" w:hAnsi="Times New Roman" w:eastAsia="宋体" w:cs="Times New Roman"/>
      <w:b/>
      <w:bCs/>
      <w:sz w:val="24"/>
      <w:szCs w:val="24"/>
    </w:rPr>
  </w:style>
  <w:style w:type="character" w:customStyle="1" w:styleId="214">
    <w:name w:val="标题 8 字符"/>
    <w:link w:val="11"/>
    <w:qFormat/>
    <w:uiPriority w:val="0"/>
    <w:rPr>
      <w:rFonts w:ascii="Cambria" w:hAnsi="Cambria" w:eastAsia="宋体" w:cs="Times New Roman"/>
      <w:sz w:val="24"/>
      <w:szCs w:val="24"/>
    </w:rPr>
  </w:style>
  <w:style w:type="character" w:customStyle="1" w:styleId="215">
    <w:name w:val="标题 9 字符"/>
    <w:link w:val="12"/>
    <w:qFormat/>
    <w:uiPriority w:val="0"/>
    <w:rPr>
      <w:rFonts w:ascii="Cambria" w:hAnsi="Cambria" w:eastAsia="宋体" w:cs="Times New Roman"/>
      <w:sz w:val="20"/>
      <w:szCs w:val="21"/>
    </w:rPr>
  </w:style>
  <w:style w:type="character" w:customStyle="1" w:styleId="216">
    <w:name w:val="批注文字 字符"/>
    <w:link w:val="15"/>
    <w:qFormat/>
    <w:uiPriority w:val="99"/>
    <w:rPr>
      <w:rFonts w:ascii="Times New Roman" w:hAnsi="Times New Roman" w:eastAsia="宋体" w:cs="Times New Roman"/>
      <w:szCs w:val="24"/>
    </w:rPr>
  </w:style>
  <w:style w:type="character" w:customStyle="1" w:styleId="217">
    <w:name w:val="正文文本 字符"/>
    <w:link w:val="16"/>
    <w:qFormat/>
    <w:uiPriority w:val="0"/>
    <w:rPr>
      <w:rFonts w:ascii="楷体_GB2312" w:hAnsi="Arial" w:eastAsia="楷体_GB2312" w:cs="Times New Roman"/>
      <w:sz w:val="28"/>
      <w:szCs w:val="28"/>
    </w:rPr>
  </w:style>
  <w:style w:type="character" w:customStyle="1" w:styleId="218">
    <w:name w:val="纯文本 字符"/>
    <w:link w:val="22"/>
    <w:qFormat/>
    <w:uiPriority w:val="0"/>
    <w:rPr>
      <w:rFonts w:ascii="宋体" w:hAnsi="Courier New" w:eastAsia="宋体" w:cs="Times New Roman"/>
      <w:szCs w:val="21"/>
    </w:rPr>
  </w:style>
  <w:style w:type="character" w:customStyle="1" w:styleId="219">
    <w:name w:val="正文文本缩进 2 字符"/>
    <w:link w:val="25"/>
    <w:qFormat/>
    <w:uiPriority w:val="0"/>
    <w:rPr>
      <w:rFonts w:ascii="楷体_GB2312" w:hAnsi="Times New Roman" w:eastAsia="楷体_GB2312"/>
      <w:b/>
      <w:bCs/>
      <w:sz w:val="28"/>
      <w:szCs w:val="24"/>
    </w:rPr>
  </w:style>
  <w:style w:type="character" w:customStyle="1" w:styleId="220">
    <w:name w:val="批注框文本 字符"/>
    <w:link w:val="27"/>
    <w:qFormat/>
    <w:uiPriority w:val="0"/>
    <w:rPr>
      <w:sz w:val="18"/>
      <w:szCs w:val="18"/>
    </w:rPr>
  </w:style>
  <w:style w:type="character" w:customStyle="1" w:styleId="221">
    <w:name w:val="页脚 字符"/>
    <w:link w:val="28"/>
    <w:qFormat/>
    <w:uiPriority w:val="0"/>
    <w:rPr>
      <w:rFonts w:ascii="Times New Roman" w:hAnsi="Times New Roman" w:eastAsia="宋体" w:cs="Times New Roman"/>
      <w:sz w:val="18"/>
      <w:szCs w:val="18"/>
    </w:rPr>
  </w:style>
  <w:style w:type="character" w:customStyle="1" w:styleId="222">
    <w:name w:val="页眉 字符"/>
    <w:link w:val="29"/>
    <w:qFormat/>
    <w:uiPriority w:val="0"/>
    <w:rPr>
      <w:rFonts w:ascii="Times New Roman" w:hAnsi="Times New Roman" w:eastAsia="宋体" w:cs="Times New Roman"/>
      <w:sz w:val="18"/>
      <w:szCs w:val="18"/>
    </w:rPr>
  </w:style>
  <w:style w:type="character" w:customStyle="1" w:styleId="223">
    <w:name w:val="批注主题 字符"/>
    <w:link w:val="42"/>
    <w:qFormat/>
    <w:uiPriority w:val="99"/>
    <w:rPr>
      <w:b/>
      <w:bCs/>
    </w:rPr>
  </w:style>
  <w:style w:type="character" w:customStyle="1" w:styleId="224">
    <w:name w:val="标题 1 字符1"/>
    <w:link w:val="3"/>
    <w:qFormat/>
    <w:uiPriority w:val="0"/>
    <w:rPr>
      <w:rFonts w:ascii="Times New Roman" w:hAnsi="Times New Roman" w:eastAsia="宋体"/>
      <w:b/>
      <w:bCs/>
      <w:sz w:val="44"/>
      <w:szCs w:val="44"/>
    </w:rPr>
  </w:style>
  <w:style w:type="paragraph" w:customStyle="1" w:styleId="225">
    <w:name w:val="BodyText1I2"/>
    <w:basedOn w:val="226"/>
    <w:next w:val="227"/>
    <w:qFormat/>
    <w:uiPriority w:val="0"/>
    <w:pPr>
      <w:ind w:firstLine="420"/>
    </w:pPr>
  </w:style>
  <w:style w:type="paragraph" w:customStyle="1" w:styleId="226">
    <w:name w:val="BodyTextIndent"/>
    <w:basedOn w:val="1"/>
    <w:next w:val="1"/>
    <w:qFormat/>
    <w:uiPriority w:val="0"/>
    <w:pPr>
      <w:spacing w:after="120"/>
      <w:ind w:left="420"/>
    </w:pPr>
    <w:rPr>
      <w:szCs w:val="24"/>
    </w:rPr>
  </w:style>
  <w:style w:type="paragraph" w:customStyle="1" w:styleId="227">
    <w:name w:val="BodyText1I"/>
    <w:basedOn w:val="228"/>
    <w:qFormat/>
    <w:uiPriority w:val="0"/>
    <w:pPr>
      <w:ind w:firstLine="420"/>
    </w:pPr>
  </w:style>
  <w:style w:type="paragraph" w:customStyle="1" w:styleId="228">
    <w:name w:val="BodyText"/>
    <w:basedOn w:val="1"/>
    <w:qFormat/>
    <w:uiPriority w:val="0"/>
    <w:pPr>
      <w:spacing w:after="120"/>
    </w:pPr>
    <w:rPr>
      <w:rFonts w:ascii="Calibri"/>
    </w:rPr>
  </w:style>
  <w:style w:type="character" w:customStyle="1" w:styleId="229">
    <w:name w:val="15"/>
    <w:qFormat/>
    <w:uiPriority w:val="0"/>
    <w:rPr>
      <w:rFonts w:hint="eastAsia" w:ascii="宋体" w:hAnsi="宋体" w:eastAsia="宋体"/>
      <w:color w:val="000000"/>
      <w:sz w:val="18"/>
      <w:szCs w:val="18"/>
    </w:rPr>
  </w:style>
  <w:style w:type="character" w:customStyle="1" w:styleId="230">
    <w:name w:val="列出段落 Char"/>
    <w:link w:val="231"/>
    <w:qFormat/>
    <w:uiPriority w:val="0"/>
    <w:rPr>
      <w:rFonts w:ascii="Calibri" w:hAnsi="Calibri" w:eastAsia="宋体" w:cs="Times New Roman"/>
    </w:rPr>
  </w:style>
  <w:style w:type="paragraph" w:customStyle="1" w:styleId="231">
    <w:name w:val="列出段落1"/>
    <w:basedOn w:val="1"/>
    <w:link w:val="230"/>
    <w:qFormat/>
    <w:uiPriority w:val="0"/>
    <w:pPr>
      <w:ind w:firstLine="200"/>
    </w:pPr>
    <w:rPr>
      <w:rFonts w:ascii="Calibri" w:hAnsi="Calibri"/>
      <w:sz w:val="20"/>
      <w:szCs w:val="20"/>
    </w:rPr>
  </w:style>
  <w:style w:type="character" w:customStyle="1" w:styleId="232">
    <w:name w:val="无间隔 Char"/>
    <w:link w:val="233"/>
    <w:qFormat/>
    <w:uiPriority w:val="0"/>
    <w:rPr>
      <w:sz w:val="21"/>
      <w:szCs w:val="22"/>
      <w:lang w:val="en-US" w:eastAsia="zh-CN" w:bidi="ar-SA"/>
    </w:rPr>
  </w:style>
  <w:style w:type="paragraph" w:customStyle="1" w:styleId="233">
    <w:name w:val="msonospacing"/>
    <w:link w:val="232"/>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34">
    <w:name w:val="font21"/>
    <w:qFormat/>
    <w:uiPriority w:val="0"/>
    <w:rPr>
      <w:rFonts w:hint="eastAsia" w:ascii="宋体" w:hAnsi="宋体" w:eastAsia="宋体" w:cs="宋体"/>
      <w:color w:val="000000"/>
      <w:sz w:val="18"/>
      <w:szCs w:val="18"/>
      <w:u w:val="none"/>
    </w:rPr>
  </w:style>
  <w:style w:type="character" w:customStyle="1" w:styleId="235">
    <w:name w:val="表格样式居左 Char"/>
    <w:link w:val="236"/>
    <w:qFormat/>
    <w:uiPriority w:val="0"/>
    <w:rPr>
      <w:rFonts w:eastAsia="仿宋_GB2312"/>
      <w:bCs/>
      <w:color w:val="000000"/>
      <w:sz w:val="21"/>
      <w:szCs w:val="44"/>
      <w:lang w:val="en-US" w:eastAsia="zh-CN" w:bidi="ar-SA"/>
    </w:rPr>
  </w:style>
  <w:style w:type="paragraph" w:customStyle="1" w:styleId="236">
    <w:name w:val="表格样式居左"/>
    <w:link w:val="235"/>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37">
    <w:name w:val="Table Text Char1"/>
    <w:link w:val="238"/>
    <w:qFormat/>
    <w:uiPriority w:val="0"/>
    <w:rPr>
      <w:rFonts w:ascii="Arial" w:hAnsi="Arial" w:cs="Arial"/>
      <w:sz w:val="18"/>
      <w:szCs w:val="24"/>
    </w:rPr>
  </w:style>
  <w:style w:type="paragraph" w:customStyle="1" w:styleId="238">
    <w:name w:val="Table Text"/>
    <w:basedOn w:val="1"/>
    <w:link w:val="237"/>
    <w:qFormat/>
    <w:uiPriority w:val="0"/>
    <w:pPr>
      <w:widowControl/>
      <w:tabs>
        <w:tab w:val="decimal" w:pos="0"/>
      </w:tabs>
      <w:spacing w:before="80" w:after="80"/>
    </w:pPr>
    <w:rPr>
      <w:rFonts w:ascii="Arial" w:hAnsi="Arial"/>
      <w:sz w:val="18"/>
      <w:szCs w:val="24"/>
    </w:rPr>
  </w:style>
  <w:style w:type="character" w:customStyle="1" w:styleId="239">
    <w:name w:val="项目排列 Char"/>
    <w:link w:val="240"/>
    <w:qFormat/>
    <w:uiPriority w:val="0"/>
    <w:rPr>
      <w:sz w:val="24"/>
      <w:szCs w:val="24"/>
    </w:rPr>
  </w:style>
  <w:style w:type="paragraph" w:customStyle="1" w:styleId="240">
    <w:name w:val="项目排列"/>
    <w:basedOn w:val="1"/>
    <w:link w:val="239"/>
    <w:qFormat/>
    <w:uiPriority w:val="0"/>
    <w:pPr>
      <w:numPr>
        <w:ilvl w:val="0"/>
        <w:numId w:val="3"/>
      </w:numPr>
      <w:tabs>
        <w:tab w:val="left" w:pos="900"/>
      </w:tabs>
      <w:spacing w:before="156" w:after="156" w:line="300" w:lineRule="auto"/>
    </w:pPr>
    <w:rPr>
      <w:sz w:val="24"/>
      <w:szCs w:val="24"/>
    </w:rPr>
  </w:style>
  <w:style w:type="character" w:customStyle="1" w:styleId="241">
    <w:name w:val="c-icon28"/>
    <w:qFormat/>
    <w:uiPriority w:val="0"/>
  </w:style>
  <w:style w:type="character" w:customStyle="1" w:styleId="242">
    <w:name w:val="c-icon14"/>
    <w:qFormat/>
    <w:uiPriority w:val="0"/>
  </w:style>
  <w:style w:type="character" w:customStyle="1" w:styleId="243">
    <w:name w:val="Char Char8"/>
    <w:qFormat/>
    <w:uiPriority w:val="0"/>
    <w:rPr>
      <w:rFonts w:ascii="Calibri" w:hAnsi="Calibri" w:eastAsia="宋体" w:cs="Times New Roman"/>
      <w:b/>
      <w:bCs/>
      <w:sz w:val="28"/>
      <w:szCs w:val="28"/>
    </w:rPr>
  </w:style>
  <w:style w:type="character" w:customStyle="1" w:styleId="244">
    <w:name w:val="Char Char12"/>
    <w:qFormat/>
    <w:uiPriority w:val="0"/>
    <w:rPr>
      <w:b/>
      <w:bCs/>
      <w:sz w:val="44"/>
      <w:szCs w:val="44"/>
    </w:rPr>
  </w:style>
  <w:style w:type="character" w:customStyle="1" w:styleId="245">
    <w:name w:val="正文文本缩进 Char1"/>
    <w:semiHidden/>
    <w:qFormat/>
    <w:uiPriority w:val="99"/>
  </w:style>
  <w:style w:type="character" w:customStyle="1" w:styleId="246">
    <w:name w:val="apple-style-span"/>
    <w:qFormat/>
    <w:uiPriority w:val="0"/>
  </w:style>
  <w:style w:type="character" w:customStyle="1" w:styleId="247">
    <w:name w:val="正文文本缩进 2 Char1"/>
    <w:semiHidden/>
    <w:qFormat/>
    <w:uiPriority w:val="99"/>
  </w:style>
  <w:style w:type="character" w:customStyle="1" w:styleId="248">
    <w:name w:val="批注框文本 Char1"/>
    <w:semiHidden/>
    <w:qFormat/>
    <w:uiPriority w:val="99"/>
    <w:rPr>
      <w:rFonts w:ascii="Times New Roman" w:hAnsi="Times New Roman"/>
      <w:sz w:val="18"/>
      <w:szCs w:val="18"/>
    </w:rPr>
  </w:style>
  <w:style w:type="character" w:customStyle="1" w:styleId="249">
    <w:name w:val="表格文字 Char"/>
    <w:link w:val="250"/>
    <w:qFormat/>
    <w:uiPriority w:val="0"/>
    <w:rPr>
      <w:szCs w:val="21"/>
    </w:rPr>
  </w:style>
  <w:style w:type="paragraph" w:customStyle="1" w:styleId="250">
    <w:name w:val="表格文字"/>
    <w:basedOn w:val="1"/>
    <w:link w:val="249"/>
    <w:qFormat/>
    <w:uiPriority w:val="0"/>
    <w:pPr>
      <w:jc w:val="left"/>
    </w:pPr>
    <w:rPr>
      <w:sz w:val="20"/>
      <w:szCs w:val="21"/>
    </w:rPr>
  </w:style>
  <w:style w:type="character" w:customStyle="1" w:styleId="251">
    <w:name w:val="Char Char10"/>
    <w:qFormat/>
    <w:uiPriority w:val="0"/>
    <w:rPr>
      <w:rFonts w:ascii="Arial" w:hAnsi="Arial" w:eastAsia="黑体" w:cs="Times New Roman"/>
      <w:b/>
      <w:bCs/>
      <w:sz w:val="30"/>
      <w:szCs w:val="32"/>
    </w:rPr>
  </w:style>
  <w:style w:type="character" w:customStyle="1" w:styleId="252">
    <w:name w:val="font91"/>
    <w:qFormat/>
    <w:uiPriority w:val="0"/>
    <w:rPr>
      <w:rFonts w:hint="eastAsia" w:ascii="宋体" w:hAnsi="宋体" w:eastAsia="宋体" w:cs="宋体"/>
      <w:color w:val="000000"/>
      <w:sz w:val="16"/>
      <w:szCs w:val="16"/>
      <w:u w:val="none"/>
    </w:rPr>
  </w:style>
  <w:style w:type="character" w:customStyle="1" w:styleId="253">
    <w:name w:val="font11"/>
    <w:basedOn w:val="47"/>
    <w:qFormat/>
    <w:uiPriority w:val="0"/>
    <w:rPr>
      <w:rFonts w:hint="eastAsia" w:ascii="宋体" w:hAnsi="宋体" w:eastAsia="宋体" w:cs="宋体"/>
      <w:color w:val="000000"/>
      <w:sz w:val="20"/>
      <w:szCs w:val="20"/>
      <w:u w:val="none"/>
    </w:rPr>
  </w:style>
  <w:style w:type="character" w:customStyle="1" w:styleId="254">
    <w:name w:val="hover25"/>
    <w:qFormat/>
    <w:uiPriority w:val="0"/>
  </w:style>
  <w:style w:type="character" w:customStyle="1" w:styleId="255">
    <w:name w:val="标题 5 字符"/>
    <w:semiHidden/>
    <w:qFormat/>
    <w:uiPriority w:val="0"/>
    <w:rPr>
      <w:rFonts w:ascii="Calibri" w:hAnsi="Calibri"/>
      <w:b/>
      <w:bCs/>
      <w:sz w:val="28"/>
      <w:szCs w:val="28"/>
    </w:rPr>
  </w:style>
  <w:style w:type="character" w:customStyle="1" w:styleId="256">
    <w:name w:val="批注主题 Char1"/>
    <w:semiHidden/>
    <w:qFormat/>
    <w:uiPriority w:val="99"/>
    <w:rPr>
      <w:rFonts w:ascii="Times New Roman" w:hAnsi="Times New Roman" w:eastAsia="宋体" w:cs="Times New Roman"/>
      <w:b/>
      <w:bCs/>
      <w:szCs w:val="24"/>
    </w:rPr>
  </w:style>
  <w:style w:type="character" w:customStyle="1" w:styleId="257">
    <w:name w:val="Char Char9"/>
    <w:qFormat/>
    <w:uiPriority w:val="0"/>
    <w:rPr>
      <w:rFonts w:ascii="等线 Light" w:hAnsi="等线 Light" w:eastAsia="等线 Light" w:cs="Times New Roman"/>
      <w:b/>
      <w:bCs/>
      <w:sz w:val="28"/>
      <w:szCs w:val="28"/>
    </w:rPr>
  </w:style>
  <w:style w:type="character" w:customStyle="1" w:styleId="258">
    <w:name w:val="hover22"/>
    <w:qFormat/>
    <w:uiPriority w:val="0"/>
  </w:style>
  <w:style w:type="character" w:customStyle="1" w:styleId="259">
    <w:name w:val="hover23"/>
    <w:qFormat/>
    <w:uiPriority w:val="0"/>
    <w:rPr>
      <w:color w:val="315EFB"/>
    </w:rPr>
  </w:style>
  <w:style w:type="character" w:customStyle="1" w:styleId="260">
    <w:name w:val="段落 Char1"/>
    <w:link w:val="261"/>
    <w:qFormat/>
    <w:uiPriority w:val="0"/>
    <w:rPr>
      <w:rFonts w:eastAsia="仿宋_GB2312"/>
      <w:sz w:val="32"/>
      <w:szCs w:val="32"/>
      <w:lang w:val="en-US" w:eastAsia="zh-CN" w:bidi="ar-SA"/>
    </w:rPr>
  </w:style>
  <w:style w:type="paragraph" w:customStyle="1" w:styleId="261">
    <w:name w:val="段落"/>
    <w:link w:val="260"/>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62">
    <w:name w:val="一级缩进 Char"/>
    <w:link w:val="263"/>
    <w:qFormat/>
    <w:uiPriority w:val="0"/>
    <w:rPr>
      <w:rFonts w:eastAsia="仿宋_GB2312"/>
      <w:sz w:val="32"/>
      <w:szCs w:val="32"/>
      <w:lang w:val="en-US" w:eastAsia="zh-CN" w:bidi="ar-SA"/>
    </w:rPr>
  </w:style>
  <w:style w:type="paragraph" w:customStyle="1" w:styleId="263">
    <w:name w:val="一级缩进"/>
    <w:link w:val="262"/>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64">
    <w:name w:val="正文缩进 Char1"/>
    <w:qFormat/>
    <w:uiPriority w:val="0"/>
    <w:rPr>
      <w:rFonts w:ascii="Times New Roman" w:hAnsi="Times New Roman" w:eastAsia="宋体" w:cs="Times New Roman"/>
      <w:szCs w:val="20"/>
    </w:rPr>
  </w:style>
  <w:style w:type="character" w:customStyle="1" w:styleId="265">
    <w:name w:val="表格样式居中 Char"/>
    <w:link w:val="266"/>
    <w:qFormat/>
    <w:uiPriority w:val="0"/>
    <w:rPr>
      <w:rFonts w:ascii="宋体" w:hAnsi="宋体"/>
      <w:bCs/>
      <w:sz w:val="21"/>
      <w:szCs w:val="21"/>
      <w:lang w:val="zh-CN" w:eastAsia="zh-CN" w:bidi="ar-SA"/>
    </w:rPr>
  </w:style>
  <w:style w:type="paragraph" w:customStyle="1" w:styleId="266">
    <w:name w:val="表格样式居中"/>
    <w:link w:val="265"/>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67">
    <w:name w:val="hover24"/>
    <w:qFormat/>
    <w:uiPriority w:val="0"/>
    <w:rPr>
      <w:color w:val="315EFB"/>
    </w:rPr>
  </w:style>
  <w:style w:type="character" w:customStyle="1" w:styleId="268">
    <w:name w:val="批注文字 Char"/>
    <w:qFormat/>
    <w:uiPriority w:val="99"/>
    <w:rPr>
      <w:sz w:val="21"/>
      <w:szCs w:val="22"/>
    </w:rPr>
  </w:style>
  <w:style w:type="character" w:customStyle="1" w:styleId="269">
    <w:name w:val="font101"/>
    <w:qFormat/>
    <w:uiPriority w:val="0"/>
    <w:rPr>
      <w:rFonts w:hint="eastAsia" w:ascii="宋体" w:hAnsi="宋体" w:eastAsia="宋体" w:cs="宋体"/>
      <w:b/>
      <w:color w:val="000000"/>
      <w:sz w:val="18"/>
      <w:szCs w:val="18"/>
      <w:u w:val="none"/>
    </w:rPr>
  </w:style>
  <w:style w:type="character" w:customStyle="1" w:styleId="270">
    <w:name w:val="font51"/>
    <w:qFormat/>
    <w:uiPriority w:val="0"/>
    <w:rPr>
      <w:rFonts w:hint="eastAsia" w:ascii="宋体" w:hAnsi="宋体" w:eastAsia="宋体" w:cs="宋体"/>
      <w:b/>
      <w:color w:val="000000"/>
      <w:sz w:val="20"/>
      <w:szCs w:val="20"/>
      <w:u w:val="none"/>
    </w:rPr>
  </w:style>
  <w:style w:type="character" w:customStyle="1" w:styleId="271">
    <w:name w:val="Char Char11"/>
    <w:qFormat/>
    <w:uiPriority w:val="0"/>
    <w:rPr>
      <w:rFonts w:ascii="Arial" w:hAnsi="Arial" w:eastAsia="宋体" w:cs="Times New Roman"/>
      <w:b/>
      <w:bCs/>
      <w:sz w:val="28"/>
      <w:szCs w:val="36"/>
    </w:rPr>
  </w:style>
  <w:style w:type="paragraph" w:customStyle="1" w:styleId="272">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3">
    <w:name w:val="无间隔1"/>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274">
    <w:name w:val="列表段落1"/>
    <w:basedOn w:val="1"/>
    <w:qFormat/>
    <w:uiPriority w:val="34"/>
    <w:pPr>
      <w:ind w:firstLine="420"/>
    </w:pPr>
    <w:rPr>
      <w:rFonts w:ascii="Calibri" w:hAnsi="Calibri"/>
    </w:rPr>
  </w:style>
  <w:style w:type="paragraph" w:customStyle="1" w:styleId="275">
    <w:name w:val="彩色列表 - 强调文字颜色 11"/>
    <w:basedOn w:val="1"/>
    <w:qFormat/>
    <w:uiPriority w:val="34"/>
    <w:pPr>
      <w:spacing w:line="360" w:lineRule="auto"/>
      <w:ind w:firstLine="420"/>
    </w:pPr>
    <w:rPr>
      <w:sz w:val="24"/>
    </w:rPr>
  </w:style>
  <w:style w:type="paragraph" w:customStyle="1" w:styleId="276">
    <w:name w:val="无间隔2"/>
    <w:qFormat/>
    <w:uiPriority w:val="1"/>
    <w:rPr>
      <w:rFonts w:hint="default" w:ascii="Tahoma" w:hAnsi="Tahoma" w:eastAsia="微软雅黑" w:cs="Times New Roman"/>
      <w:sz w:val="22"/>
      <w:szCs w:val="22"/>
      <w:lang w:val="en-US" w:eastAsia="zh-CN" w:bidi="ar-SA"/>
    </w:rPr>
  </w:style>
  <w:style w:type="paragraph" w:customStyle="1" w:styleId="277">
    <w:name w:val="正文 A"/>
    <w:next w:val="278"/>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278">
    <w:name w:val="段"/>
    <w:next w:val="277"/>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9">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80">
    <w:name w:val="正文空2格  1."/>
    <w:basedOn w:val="1"/>
    <w:qFormat/>
    <w:uiPriority w:val="0"/>
    <w:pPr>
      <w:ind w:firstLine="480"/>
    </w:pPr>
    <w:rPr>
      <w:rFonts w:cs="宋体"/>
      <w:sz w:val="28"/>
      <w:szCs w:val="20"/>
    </w:rPr>
  </w:style>
  <w:style w:type="paragraph" w:customStyle="1" w:styleId="281">
    <w:name w:val="列出段落2"/>
    <w:basedOn w:val="1"/>
    <w:qFormat/>
    <w:uiPriority w:val="34"/>
    <w:pPr>
      <w:ind w:left="720"/>
    </w:pPr>
    <w:rPr>
      <w:szCs w:val="21"/>
    </w:rPr>
  </w:style>
  <w:style w:type="paragraph" w:customStyle="1" w:styleId="282">
    <w:name w:val="二级目录"/>
    <w:next w:val="1"/>
    <w:qFormat/>
    <w:uiPriority w:val="0"/>
    <w:pPr>
      <w:numPr>
        <w:ilvl w:val="0"/>
        <w:numId w:val="4"/>
      </w:numPr>
      <w:outlineLvl w:val="1"/>
    </w:pPr>
    <w:rPr>
      <w:rFonts w:hint="default" w:ascii="Times New Roman" w:hAnsi="Times New Roman" w:eastAsia="宋体" w:cs="Times New Roman"/>
      <w:b/>
      <w:sz w:val="30"/>
      <w:szCs w:val="28"/>
      <w:lang w:val="en-US" w:eastAsia="zh-CN" w:bidi="ar-SA"/>
    </w:rPr>
  </w:style>
  <w:style w:type="paragraph" w:customStyle="1" w:styleId="283">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4">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5">
    <w:name w:val="（1）"/>
    <w:basedOn w:val="1"/>
    <w:qFormat/>
    <w:uiPriority w:val="0"/>
    <w:pPr>
      <w:spacing w:line="360" w:lineRule="auto"/>
      <w:ind w:firstLine="480"/>
    </w:pPr>
    <w:rPr>
      <w:rFonts w:ascii="宋体" w:hAnsi="宋体" w:cs="宋体"/>
      <w:sz w:val="24"/>
      <w:szCs w:val="24"/>
    </w:rPr>
  </w:style>
  <w:style w:type="paragraph" w:customStyle="1" w:styleId="286">
    <w:name w:val="无间隔2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7">
    <w:name w:val="正文1"/>
    <w:next w:val="28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8">
    <w:name w:val="正文文本1"/>
    <w:basedOn w:val="287"/>
    <w:next w:val="289"/>
    <w:qFormat/>
    <w:uiPriority w:val="0"/>
    <w:pPr>
      <w:spacing w:after="120"/>
    </w:pPr>
    <w:rPr>
      <w:lang w:val="en-US" w:eastAsia="en-US"/>
    </w:rPr>
  </w:style>
  <w:style w:type="paragraph" w:customStyle="1" w:styleId="289">
    <w:name w:val="正文文本 21"/>
    <w:basedOn w:val="1"/>
    <w:qFormat/>
    <w:uiPriority w:val="0"/>
    <w:pPr>
      <w:widowControl/>
      <w:ind w:left="720" w:firstLine="5680"/>
    </w:pPr>
  </w:style>
  <w:style w:type="paragraph" w:customStyle="1" w:styleId="290">
    <w:name w:val="表格正文"/>
    <w:basedOn w:val="1"/>
    <w:qFormat/>
    <w:uiPriority w:val="0"/>
    <w:pPr>
      <w:spacing w:line="360" w:lineRule="atLeast"/>
    </w:pPr>
  </w:style>
  <w:style w:type="paragraph" w:customStyle="1" w:styleId="291">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92">
    <w:name w:val="标准正文"/>
    <w:qFormat/>
    <w:uiPriority w:val="0"/>
    <w:pPr>
      <w:spacing w:before="156" w:line="360" w:lineRule="auto"/>
      <w:ind w:firstLine="200"/>
    </w:pPr>
    <w:rPr>
      <w:rFonts w:hint="default" w:ascii="Times New Roman" w:hAnsi="Times New Roman" w:eastAsia="宋体" w:cs="Times New Roman"/>
      <w:sz w:val="21"/>
      <w:szCs w:val="22"/>
      <w:lang w:val="en-US" w:eastAsia="zh-CN" w:bidi="ar-SA"/>
    </w:rPr>
  </w:style>
  <w:style w:type="paragraph" w:customStyle="1" w:styleId="293">
    <w:name w:val="正文 1.1.1"/>
    <w:basedOn w:val="1"/>
    <w:next w:val="1"/>
    <w:qFormat/>
    <w:uiPriority w:val="0"/>
    <w:pPr>
      <w:numPr>
        <w:ilvl w:val="2"/>
        <w:numId w:val="5"/>
      </w:numPr>
      <w:outlineLvl w:val="2"/>
    </w:pPr>
    <w:rPr>
      <w:rFonts w:hAnsi="宋体"/>
      <w:color w:val="FF0000"/>
    </w:rPr>
  </w:style>
  <w:style w:type="paragraph" w:customStyle="1" w:styleId="294">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95">
    <w:name w:val="CD 正文"/>
    <w:basedOn w:val="1"/>
    <w:qFormat/>
    <w:uiPriority w:val="0"/>
    <w:pPr>
      <w:jc w:val="left"/>
    </w:pPr>
    <w:rPr>
      <w:rFonts w:ascii="Arial" w:hAnsi="Arial" w:eastAsia="微软雅黑" w:cs="Arial"/>
      <w:szCs w:val="21"/>
    </w:rPr>
  </w:style>
  <w:style w:type="paragraph" w:customStyle="1" w:styleId="296">
    <w:name w:val="正文（缩进）"/>
    <w:basedOn w:val="1"/>
    <w:qFormat/>
    <w:uiPriority w:val="0"/>
    <w:pPr>
      <w:ind w:firstLine="480"/>
    </w:pPr>
  </w:style>
  <w:style w:type="paragraph" w:customStyle="1" w:styleId="297">
    <w:name w:val="Char Char Char Char Char Char Char Char Char"/>
    <w:basedOn w:val="1"/>
    <w:next w:val="289"/>
    <w:qFormat/>
    <w:uiPriority w:val="0"/>
    <w:pPr>
      <w:ind w:left="360" w:firstLine="5784"/>
    </w:pPr>
  </w:style>
  <w:style w:type="paragraph" w:customStyle="1" w:styleId="298">
    <w:name w:val="默认段落字体 Para Char Char Char Char Char Char Char"/>
    <w:basedOn w:val="1"/>
    <w:next w:val="299"/>
    <w:qFormat/>
    <w:uiPriority w:val="0"/>
    <w:pPr>
      <w:ind w:firstLine="200"/>
    </w:pPr>
    <w:rPr>
      <w:rFonts w:cs="Arial"/>
    </w:rPr>
  </w:style>
  <w:style w:type="paragraph" w:customStyle="1" w:styleId="299">
    <w:name w:val="样式 首行缩进:  2 字符"/>
    <w:basedOn w:val="1"/>
    <w:next w:val="300"/>
    <w:qFormat/>
    <w:uiPriority w:val="0"/>
    <w:pPr>
      <w:spacing w:line="360" w:lineRule="auto"/>
      <w:ind w:left="480" w:firstLine="5856"/>
    </w:pPr>
  </w:style>
  <w:style w:type="paragraph" w:customStyle="1" w:styleId="300">
    <w:name w:val="样式 段后: 0.25 行"/>
    <w:basedOn w:val="1"/>
    <w:next w:val="301"/>
    <w:qFormat/>
    <w:uiPriority w:val="0"/>
    <w:pPr>
      <w:widowControl/>
      <w:spacing w:line="300" w:lineRule="auto"/>
      <w:ind w:left="420" w:firstLine="5796"/>
    </w:pPr>
  </w:style>
  <w:style w:type="paragraph" w:customStyle="1" w:styleId="301">
    <w:name w:val="正文 New New New New New New New New New New New New New New"/>
    <w:next w:val="37"/>
    <w:qFormat/>
    <w:uiPriority w:val="0"/>
    <w:pPr>
      <w:widowControl w:val="0"/>
      <w:ind w:firstLine="2048"/>
      <w:jc w:val="both"/>
    </w:pPr>
    <w:rPr>
      <w:rFonts w:hint="default" w:ascii="Calibri" w:hAnsi="Calibri" w:eastAsia="宋体" w:cs="Times New Roman"/>
      <w:lang w:val="en-US" w:eastAsia="zh-CN" w:bidi="ar-SA"/>
    </w:rPr>
  </w:style>
  <w:style w:type="paragraph" w:customStyle="1" w:styleId="302">
    <w:name w:val="Table Paragraph"/>
    <w:basedOn w:val="1"/>
    <w:qFormat/>
    <w:uiPriority w:val="1"/>
    <w:rPr>
      <w:rFonts w:ascii="Noto Sans CJK JP Regular" w:hAnsi="Noto Sans CJK JP Regular" w:eastAsia="Noto Sans CJK JP Regular" w:cs="Noto Sans CJK JP Regular"/>
    </w:rPr>
  </w:style>
  <w:style w:type="paragraph" w:customStyle="1" w:styleId="303">
    <w:name w:val="Char"/>
    <w:basedOn w:val="1"/>
    <w:qFormat/>
    <w:uiPriority w:val="0"/>
    <w:pPr>
      <w:tabs>
        <w:tab w:val="left" w:pos="360"/>
      </w:tabs>
      <w:ind w:firstLine="200"/>
    </w:pPr>
    <w:rPr>
      <w:sz w:val="28"/>
      <w:szCs w:val="30"/>
    </w:rPr>
  </w:style>
  <w:style w:type="paragraph" w:customStyle="1" w:styleId="304">
    <w:name w:val="_Style 2"/>
    <w:basedOn w:val="1"/>
    <w:qFormat/>
    <w:uiPriority w:val="0"/>
    <w:pPr>
      <w:ind w:firstLine="420"/>
    </w:pPr>
  </w:style>
  <w:style w:type="paragraph" w:customStyle="1" w:styleId="305">
    <w:name w:val="p0"/>
    <w:basedOn w:val="1"/>
    <w:qFormat/>
    <w:uiPriority w:val="0"/>
    <w:pPr>
      <w:widowControl/>
    </w:pPr>
    <w:rPr>
      <w:szCs w:val="21"/>
    </w:rPr>
  </w:style>
  <w:style w:type="paragraph" w:customStyle="1" w:styleId="306">
    <w:name w:val="正文缩进1"/>
    <w:basedOn w:val="1"/>
    <w:qFormat/>
    <w:uiPriority w:val="0"/>
    <w:pPr>
      <w:widowControl/>
      <w:spacing w:line="360" w:lineRule="auto"/>
      <w:ind w:firstLine="420"/>
      <w:jc w:val="left"/>
    </w:pPr>
    <w:rPr>
      <w:rFonts w:ascii="宋体"/>
      <w:sz w:val="20"/>
      <w:szCs w:val="20"/>
    </w:rPr>
  </w:style>
  <w:style w:type="paragraph" w:customStyle="1" w:styleId="307">
    <w:name w:val="列出段落3"/>
    <w:basedOn w:val="1"/>
    <w:qFormat/>
    <w:uiPriority w:val="0"/>
    <w:pPr>
      <w:ind w:firstLine="420"/>
    </w:pPr>
    <w:rPr>
      <w:rFonts w:ascii="Cambria" w:hAnsi="Cambria"/>
      <w:sz w:val="24"/>
      <w:szCs w:val="20"/>
    </w:rPr>
  </w:style>
  <w:style w:type="paragraph" w:customStyle="1" w:styleId="308">
    <w:name w:val="正文 1.1"/>
    <w:basedOn w:val="1"/>
    <w:next w:val="293"/>
    <w:qFormat/>
    <w:uiPriority w:val="0"/>
    <w:pPr>
      <w:numPr>
        <w:ilvl w:val="1"/>
        <w:numId w:val="5"/>
      </w:numPr>
      <w:ind w:firstLine="550"/>
      <w:outlineLvl w:val="1"/>
    </w:pPr>
    <w:rPr>
      <w:rFonts w:ascii="仿宋" w:hAnsi="仿宋"/>
      <w:b/>
    </w:rPr>
  </w:style>
  <w:style w:type="paragraph" w:customStyle="1" w:styleId="309">
    <w:name w:val="列出段落21"/>
    <w:basedOn w:val="1"/>
    <w:qFormat/>
    <w:uiPriority w:val="0"/>
    <w:pPr>
      <w:ind w:firstLine="420"/>
    </w:pPr>
    <w:rPr>
      <w:rFonts w:ascii="Calibri" w:hAnsi="Calibri"/>
      <w:lang w:val="zh-CN"/>
    </w:rPr>
  </w:style>
  <w:style w:type="paragraph" w:customStyle="1" w:styleId="310">
    <w:name w:val="表 靠左"/>
    <w:basedOn w:val="1"/>
    <w:qFormat/>
    <w:uiPriority w:val="0"/>
    <w:pPr>
      <w:widowControl/>
      <w:spacing w:after="200"/>
      <w:jc w:val="left"/>
    </w:pPr>
    <w:rPr>
      <w:sz w:val="22"/>
    </w:rPr>
  </w:style>
  <w:style w:type="paragraph" w:customStyle="1" w:styleId="311">
    <w:name w:val="列表段落2"/>
    <w:basedOn w:val="1"/>
    <w:qFormat/>
    <w:uiPriority w:val="0"/>
    <w:pPr>
      <w:ind w:firstLine="420"/>
    </w:pPr>
    <w:rPr>
      <w:szCs w:val="20"/>
    </w:rPr>
  </w:style>
  <w:style w:type="paragraph" w:customStyle="1" w:styleId="312">
    <w:name w:val="纯文本1"/>
    <w:basedOn w:val="1"/>
    <w:qFormat/>
    <w:uiPriority w:val="0"/>
    <w:rPr>
      <w:rFonts w:ascii="宋体" w:hAnsi="Courier New"/>
      <w:sz w:val="20"/>
      <w:szCs w:val="21"/>
    </w:rPr>
  </w:style>
  <w:style w:type="character" w:customStyle="1" w:styleId="313">
    <w:name w:val="font41"/>
    <w:basedOn w:val="47"/>
    <w:qFormat/>
    <w:uiPriority w:val="99"/>
    <w:rPr>
      <w:rFonts w:ascii="font-weight : 400" w:hAnsi="font-weight : 400" w:cs="font-weight : 400"/>
      <w:color w:val="000000"/>
      <w:sz w:val="22"/>
      <w:szCs w:val="22"/>
      <w:u w:val="none"/>
    </w:rPr>
  </w:style>
  <w:style w:type="paragraph" w:customStyle="1" w:styleId="314">
    <w:name w:val="WPSOffice手动目录 1"/>
    <w:qFormat/>
    <w:uiPriority w:val="0"/>
    <w:rPr>
      <w:rFonts w:hint="default" w:ascii="Times New Roman" w:hAnsi="Times New Roman" w:eastAsia="宋体" w:cs="Times New Roman"/>
      <w:lang w:val="en-US" w:eastAsia="zh-CN" w:bidi="ar-SA"/>
    </w:rPr>
  </w:style>
  <w:style w:type="paragraph" w:customStyle="1" w:styleId="315">
    <w:name w:val="_Style 1"/>
    <w:basedOn w:val="1"/>
    <w:qFormat/>
    <w:uiPriority w:val="34"/>
    <w:pPr>
      <w:ind w:firstLine="420"/>
    </w:pPr>
  </w:style>
  <w:style w:type="paragraph" w:customStyle="1" w:styleId="316">
    <w:name w:val="正文文本11"/>
    <w:basedOn w:val="1"/>
    <w:next w:val="289"/>
    <w:qFormat/>
    <w:uiPriority w:val="0"/>
    <w:rPr>
      <w:rFonts w:ascii="楷体_GB2312" w:hAnsi="Arial" w:eastAsia="楷体_GB2312"/>
      <w:sz w:val="28"/>
      <w:szCs w:val="28"/>
    </w:rPr>
  </w:style>
  <w:style w:type="paragraph" w:styleId="317">
    <w:name w:val="List Paragraph"/>
    <w:basedOn w:val="1"/>
    <w:unhideWhenUsed/>
    <w:qFormat/>
    <w:uiPriority w:val="99"/>
    <w:pPr>
      <w:ind w:firstLine="420"/>
    </w:pPr>
  </w:style>
  <w:style w:type="character" w:customStyle="1" w:styleId="318">
    <w:name w:val="font31"/>
    <w:basedOn w:val="47"/>
    <w:qFormat/>
    <w:uiPriority w:val="0"/>
    <w:rPr>
      <w:rFonts w:hint="eastAsia" w:ascii="宋体" w:hAnsi="宋体" w:eastAsia="宋体" w:cs="宋体"/>
      <w:color w:val="000000"/>
      <w:sz w:val="22"/>
      <w:szCs w:val="22"/>
      <w:u w:val="none"/>
    </w:rPr>
  </w:style>
  <w:style w:type="character" w:customStyle="1" w:styleId="319">
    <w:name w:val="font71"/>
    <w:basedOn w:val="47"/>
    <w:qFormat/>
    <w:uiPriority w:val="0"/>
    <w:rPr>
      <w:rFonts w:hint="default" w:ascii="Arial" w:hAnsi="Arial" w:cs="Arial"/>
      <w:color w:val="000000"/>
      <w:sz w:val="22"/>
      <w:szCs w:val="22"/>
      <w:u w:val="none"/>
    </w:rPr>
  </w:style>
  <w:style w:type="character" w:customStyle="1" w:styleId="320">
    <w:name w:val="font112"/>
    <w:basedOn w:val="47"/>
    <w:qFormat/>
    <w:uiPriority w:val="0"/>
    <w:rPr>
      <w:rFonts w:hint="default" w:ascii="Times New Roman" w:hAnsi="Times New Roman" w:cs="Times New Roman"/>
      <w:color w:val="000000"/>
      <w:sz w:val="20"/>
      <w:szCs w:val="20"/>
      <w:u w:val="none"/>
    </w:rPr>
  </w:style>
  <w:style w:type="character" w:customStyle="1" w:styleId="321">
    <w:name w:val="font121"/>
    <w:basedOn w:val="47"/>
    <w:qFormat/>
    <w:uiPriority w:val="0"/>
    <w:rPr>
      <w:rFonts w:hint="eastAsia" w:ascii="宋体" w:hAnsi="宋体" w:eastAsia="宋体" w:cs="宋体"/>
      <w:color w:val="000000"/>
      <w:sz w:val="20"/>
      <w:szCs w:val="20"/>
      <w:u w:val="none"/>
    </w:rPr>
  </w:style>
  <w:style w:type="character" w:customStyle="1" w:styleId="322">
    <w:name w:val="font131"/>
    <w:basedOn w:val="47"/>
    <w:qFormat/>
    <w:uiPriority w:val="0"/>
    <w:rPr>
      <w:rFonts w:hint="default" w:ascii="Times New Roman" w:hAnsi="Times New Roman" w:cs="Times New Roman"/>
      <w:color w:val="000000"/>
      <w:sz w:val="20"/>
      <w:szCs w:val="20"/>
      <w:u w:val="none"/>
    </w:rPr>
  </w:style>
  <w:style w:type="character" w:customStyle="1" w:styleId="323">
    <w:name w:val="font141"/>
    <w:basedOn w:val="47"/>
    <w:qFormat/>
    <w:uiPriority w:val="0"/>
    <w:rPr>
      <w:rFonts w:hint="eastAsia" w:ascii="宋体" w:hAnsi="宋体" w:eastAsia="宋体" w:cs="宋体"/>
      <w:color w:val="000000"/>
      <w:sz w:val="20"/>
      <w:szCs w:val="20"/>
      <w:u w:val="none"/>
    </w:rPr>
  </w:style>
  <w:style w:type="character" w:customStyle="1" w:styleId="324">
    <w:name w:val="font12"/>
    <w:basedOn w:val="47"/>
    <w:qFormat/>
    <w:uiPriority w:val="0"/>
    <w:rPr>
      <w:rFonts w:hint="eastAsia" w:ascii="仿宋" w:hAnsi="仿宋" w:eastAsia="仿宋" w:cs="仿宋"/>
      <w:color w:val="000000"/>
      <w:sz w:val="20"/>
      <w:szCs w:val="20"/>
      <w:u w:val="none"/>
    </w:rPr>
  </w:style>
  <w:style w:type="character" w:customStyle="1" w:styleId="325">
    <w:name w:val="font111"/>
    <w:basedOn w:val="47"/>
    <w:qFormat/>
    <w:uiPriority w:val="0"/>
    <w:rPr>
      <w:rFonts w:hint="default" w:ascii="Times New Roman" w:hAnsi="Times New Roman" w:cs="Times New Roman"/>
      <w:color w:val="000000"/>
      <w:sz w:val="20"/>
      <w:szCs w:val="20"/>
      <w:u w:val="none"/>
    </w:rPr>
  </w:style>
  <w:style w:type="character" w:customStyle="1" w:styleId="326">
    <w:name w:val="font122"/>
    <w:basedOn w:val="47"/>
    <w:qFormat/>
    <w:uiPriority w:val="0"/>
    <w:rPr>
      <w:rFonts w:hint="eastAsia" w:ascii="宋体" w:hAnsi="宋体" w:eastAsia="宋体" w:cs="宋体"/>
      <w:color w:val="000000"/>
      <w:sz w:val="20"/>
      <w:szCs w:val="20"/>
      <w:u w:val="none"/>
    </w:rPr>
  </w:style>
  <w:style w:type="character" w:customStyle="1" w:styleId="327">
    <w:name w:val="index-module_forwardwrapper_10-lf"/>
    <w:basedOn w:val="47"/>
    <w:qFormat/>
    <w:uiPriority w:val="0"/>
  </w:style>
  <w:style w:type="character" w:customStyle="1" w:styleId="328">
    <w:name w:val="font01"/>
    <w:basedOn w:val="47"/>
    <w:qFormat/>
    <w:uiPriority w:val="0"/>
    <w:rPr>
      <w:rFonts w:hint="eastAsia" w:ascii="宋体" w:hAnsi="宋体" w:eastAsia="宋体" w:cs="宋体"/>
      <w:color w:val="000000"/>
      <w:sz w:val="22"/>
      <w:szCs w:val="22"/>
      <w:u w:val="none"/>
    </w:rPr>
  </w:style>
  <w:style w:type="paragraph" w:customStyle="1" w:styleId="329">
    <w:name w:val="表格"/>
    <w:basedOn w:val="1"/>
    <w:next w:val="1"/>
    <w:autoRedefine/>
    <w:qFormat/>
    <w:uiPriority w:val="0"/>
    <w:pPr>
      <w:widowControl/>
      <w:wordWrap w:val="0"/>
      <w:topLinePunct/>
      <w:jc w:val="left"/>
      <w:textAlignment w:val="center"/>
    </w:pPr>
    <w:rPr>
      <w:rFonts w:ascii="宋体" w:hAnsi="宋体" w:eastAsia="仿宋"/>
      <w:sz w:val="18"/>
    </w:rPr>
  </w:style>
  <w:style w:type="table" w:customStyle="1" w:styleId="330">
    <w:name w:val="Table Normal"/>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124</Pages>
  <Words>18939</Words>
  <Characters>20143</Characters>
  <Lines>1</Lines>
  <Paragraphs>1</Paragraphs>
  <TotalTime>2</TotalTime>
  <ScaleCrop>false</ScaleCrop>
  <LinksUpToDate>false</LinksUpToDate>
  <CharactersWithSpaces>22245</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luckylucky</cp:lastModifiedBy>
  <dcterms:modified xsi:type="dcterms:W3CDTF">2025-08-14T01:05:57Z</dcterms:modified>
  <dc:title>SWCGDLG-20210720号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48713322CC414DC1926DF21631685F0F_13</vt:lpwstr>
  </property>
  <property fmtid="{D5CDD505-2E9C-101B-9397-08002B2CF9AE}" pid="4" name="KSOTemplateDocerSaveRecord">
    <vt:lpwstr>eyJoZGlkIjoiMmU0ZDNiZGQ3MGE0MGI4YjY5ZGRmN2U5ZDI5YWYzMTEiLCJ1c2VySWQiOiI0NjY3MzgyMDAifQ==</vt:lpwstr>
  </property>
</Properties>
</file>