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超高档螺旋CT招标技术参数规格</w:t>
      </w:r>
    </w:p>
    <w:p>
      <w:pPr>
        <w:spacing w:line="0" w:lineRule="atLeas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本次招标采购设备为</w:t>
      </w:r>
      <w:r>
        <w:rPr>
          <w:rFonts w:hint="eastAsia" w:ascii="宋体" w:hAnsi="宋体"/>
          <w:sz w:val="21"/>
          <w:szCs w:val="21"/>
          <w:lang w:val="en-US" w:eastAsia="zh-CN"/>
        </w:rPr>
        <w:t>128</w:t>
      </w:r>
      <w:bookmarkStart w:id="1" w:name="_GoBack"/>
      <w:bookmarkEnd w:id="1"/>
      <w:r>
        <w:rPr>
          <w:rFonts w:ascii="宋体" w:hAnsi="宋体"/>
          <w:sz w:val="21"/>
          <w:szCs w:val="21"/>
        </w:rPr>
        <w:t>≥</w:t>
      </w:r>
      <w:r>
        <w:rPr>
          <w:rFonts w:hint="eastAsia" w:ascii="宋体" w:hAnsi="宋体"/>
          <w:sz w:val="21"/>
          <w:szCs w:val="21"/>
        </w:rPr>
        <w:t>排螺旋</w:t>
      </w:r>
      <w:r>
        <w:rPr>
          <w:rFonts w:ascii="宋体" w:hAnsi="宋体"/>
          <w:sz w:val="21"/>
          <w:szCs w:val="21"/>
        </w:rPr>
        <w:t>CT,投标方应根据招标文件所提出的设备技术规格、产品、数量和服务要求，综合考虑设备的适应性，选择具有最佳性能价格比的设备前来投标</w:t>
      </w:r>
      <w:r>
        <w:rPr>
          <w:rFonts w:hint="eastAsia" w:ascii="宋体" w:hAnsi="宋体"/>
          <w:sz w:val="21"/>
          <w:szCs w:val="21"/>
        </w:rPr>
        <w:t>。</w:t>
      </w:r>
      <w:r>
        <w:rPr>
          <w:rFonts w:ascii="宋体" w:hAnsi="宋体"/>
          <w:sz w:val="21"/>
          <w:szCs w:val="21"/>
        </w:rPr>
        <w:t>希望投标方以精良的设备、优质的服务和优惠的价格，充分显示贵公司的实力。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0" w:lineRule="atLeast"/>
        <w:jc w:val="both"/>
        <w:textAlignment w:val="auto"/>
        <w:rPr>
          <w:rFonts w:ascii="宋体" w:hAnsi="宋体"/>
          <w:i w:val="0"/>
          <w:iCs/>
          <w:sz w:val="21"/>
          <w:szCs w:val="21"/>
        </w:rPr>
      </w:pPr>
      <w:r>
        <w:rPr>
          <w:rFonts w:hint="eastAsia" w:ascii="宋体" w:hAnsi="宋体"/>
          <w:b/>
          <w:i w:val="0"/>
          <w:iCs/>
          <w:sz w:val="21"/>
          <w:szCs w:val="21"/>
        </w:rPr>
        <w:t>设备技术规格及要求</w:t>
      </w:r>
    </w:p>
    <w:tbl>
      <w:tblPr>
        <w:tblStyle w:val="17"/>
        <w:tblW w:w="91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041"/>
        <w:gridCol w:w="369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3041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招标要求</w:t>
            </w:r>
          </w:p>
        </w:tc>
        <w:tc>
          <w:tcPr>
            <w:tcW w:w="3696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投标规格</w:t>
            </w:r>
          </w:p>
        </w:tc>
        <w:tc>
          <w:tcPr>
            <w:tcW w:w="1358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扫描系统</w:t>
            </w:r>
          </w:p>
        </w:tc>
        <w:tc>
          <w:tcPr>
            <w:tcW w:w="3696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1.1</w:t>
            </w:r>
          </w:p>
        </w:tc>
        <w:tc>
          <w:tcPr>
            <w:tcW w:w="3041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扫描架孔径</w:t>
            </w:r>
          </w:p>
        </w:tc>
        <w:tc>
          <w:tcPr>
            <w:tcW w:w="3696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≥70cm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1.2</w:t>
            </w:r>
          </w:p>
        </w:tc>
        <w:tc>
          <w:tcPr>
            <w:tcW w:w="304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机架旋转速度</w:t>
            </w:r>
          </w:p>
        </w:tc>
        <w:tc>
          <w:tcPr>
            <w:tcW w:w="369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≥0.28s/圈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1.3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高压发生器功率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≥100kW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1.4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球管阳极热容量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≥6.8MHU（100％利用率）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球管电压最大输出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≥135kV 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球管电压最小输出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≤80kV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1.8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球管电流最大输出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≥740 mA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1.9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球管电流最小输出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≤20mA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1.10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探测器物理有效排数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≥256(双源/双层累加)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1.11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每排探测器物理有效层厚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≤0.625cm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1.12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每排探测器采样率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≥2496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1.13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探测器Z轴覆盖范围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单套≥16cm；双套/双层≥8cm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1.14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CPU型号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最新规格型号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</w:tcPr>
          <w:p>
            <w:pPr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1.15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硬盘容量：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主机≥2T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</w:tcPr>
          <w:p>
            <w:pPr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1.16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原装高级后处理工作站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最新规格型号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扫描及图像质量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.1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空间分辨率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LP/cm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.2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密度分辨率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≤5mm@0.3%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.3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最薄扫描层厚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≤0.625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.4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图像重建速度 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≥33幅/秒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.5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低剂量扫描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标配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.6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高分辨率扫描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标配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.7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实时智能剂量调控功能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标配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.8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动态扫描CT时间密度曲线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标配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实时自动造影剂跟踪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适用全身任何血管CT造影检查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临床应用功能及软件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DICOM 3.0协议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实现数据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传输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、查询、导出、打印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Worklist功能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图像后处理功能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(3D/2D/MPR/MIP/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VR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/CV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3D SSD/CTA/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3D SVA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表面三维重建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透明化显示技术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一键式CTA去骨功能： 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标配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自动脑出血量定量分析功能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标配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婴幼儿扫描专用功能包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标配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3.6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心脏成像功能：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全自动心脏成像软件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及高级心功能分析（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单色谱图像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能谱曲线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碘图及虚拟平扫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物质成份分析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有效原子序数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电子密度功能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灌注能谱双功能成像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3.7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灌注成像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对不同器官血流动力学模型，提供单血供灌注模型和双血供灌注模型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专用全器官容积灌注软件</w:t>
            </w:r>
          </w:p>
        </w:tc>
        <w:tc>
          <w:tcPr>
            <w:tcW w:w="1358" w:type="dxa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6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3.8</w:t>
            </w:r>
          </w:p>
        </w:tc>
        <w:tc>
          <w:tcPr>
            <w:tcW w:w="304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能谱成像功能</w:t>
            </w:r>
          </w:p>
        </w:tc>
        <w:tc>
          <w:tcPr>
            <w:tcW w:w="3696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单色谱图像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能谱曲线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碘图及虚拟平扫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物质成份分析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有效原子序数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电子密度功能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灌注能谱双功能成像</w:t>
            </w: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4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售后服务和其它要求</w:t>
            </w:r>
          </w:p>
        </w:tc>
        <w:tc>
          <w:tcPr>
            <w:tcW w:w="369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整机保修</w:t>
            </w:r>
          </w:p>
        </w:tc>
        <w:tc>
          <w:tcPr>
            <w:tcW w:w="369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提供完整的使用手册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提供专用维修工具一套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提供培训计划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.5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高压注射器一套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.6</w:t>
            </w:r>
          </w:p>
        </w:tc>
        <w:tc>
          <w:tcPr>
            <w:tcW w:w="3041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患者防护装置</w:t>
            </w:r>
          </w:p>
        </w:tc>
        <w:tc>
          <w:tcPr>
            <w:tcW w:w="369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5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3041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随机附件</w:t>
            </w:r>
          </w:p>
        </w:tc>
        <w:tc>
          <w:tcPr>
            <w:tcW w:w="3696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1套</w:t>
            </w:r>
          </w:p>
        </w:tc>
        <w:tc>
          <w:tcPr>
            <w:tcW w:w="1358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3041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技术资料</w:t>
            </w:r>
          </w:p>
        </w:tc>
        <w:tc>
          <w:tcPr>
            <w:tcW w:w="3696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1套</w:t>
            </w:r>
          </w:p>
        </w:tc>
        <w:tc>
          <w:tcPr>
            <w:tcW w:w="1358" w:type="dxa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002F401B"/>
    <w:rsid w:val="00090A7C"/>
    <w:rsid w:val="00095F70"/>
    <w:rsid w:val="000A360A"/>
    <w:rsid w:val="000B1427"/>
    <w:rsid w:val="000B5904"/>
    <w:rsid w:val="000C29B2"/>
    <w:rsid w:val="000C4B61"/>
    <w:rsid w:val="000F0A97"/>
    <w:rsid w:val="00143919"/>
    <w:rsid w:val="00167EA7"/>
    <w:rsid w:val="001740EE"/>
    <w:rsid w:val="00226CB3"/>
    <w:rsid w:val="00256C34"/>
    <w:rsid w:val="002A14DF"/>
    <w:rsid w:val="002B080B"/>
    <w:rsid w:val="002F401B"/>
    <w:rsid w:val="002F6DF4"/>
    <w:rsid w:val="0030272E"/>
    <w:rsid w:val="003121E2"/>
    <w:rsid w:val="00325DF9"/>
    <w:rsid w:val="003270E5"/>
    <w:rsid w:val="00332122"/>
    <w:rsid w:val="00356210"/>
    <w:rsid w:val="0036484B"/>
    <w:rsid w:val="003966E3"/>
    <w:rsid w:val="003B3446"/>
    <w:rsid w:val="004026D1"/>
    <w:rsid w:val="0040280A"/>
    <w:rsid w:val="004054FB"/>
    <w:rsid w:val="00437747"/>
    <w:rsid w:val="004556DD"/>
    <w:rsid w:val="004A790D"/>
    <w:rsid w:val="004B1000"/>
    <w:rsid w:val="005176E3"/>
    <w:rsid w:val="00551A7B"/>
    <w:rsid w:val="0056518B"/>
    <w:rsid w:val="00616B2B"/>
    <w:rsid w:val="00617B26"/>
    <w:rsid w:val="00652D20"/>
    <w:rsid w:val="006569E1"/>
    <w:rsid w:val="00666F52"/>
    <w:rsid w:val="006843D3"/>
    <w:rsid w:val="00686D08"/>
    <w:rsid w:val="006D7340"/>
    <w:rsid w:val="006F7A17"/>
    <w:rsid w:val="00705075"/>
    <w:rsid w:val="007249D3"/>
    <w:rsid w:val="00734B86"/>
    <w:rsid w:val="00746AF9"/>
    <w:rsid w:val="00780E7C"/>
    <w:rsid w:val="00833EB4"/>
    <w:rsid w:val="00836B16"/>
    <w:rsid w:val="00865605"/>
    <w:rsid w:val="00877DE5"/>
    <w:rsid w:val="00953E9E"/>
    <w:rsid w:val="009733EE"/>
    <w:rsid w:val="00981B33"/>
    <w:rsid w:val="009932E7"/>
    <w:rsid w:val="009F1A71"/>
    <w:rsid w:val="00A06CCF"/>
    <w:rsid w:val="00A65FE9"/>
    <w:rsid w:val="00AA5CAD"/>
    <w:rsid w:val="00AB524F"/>
    <w:rsid w:val="00AD1829"/>
    <w:rsid w:val="00B01FD2"/>
    <w:rsid w:val="00B041AC"/>
    <w:rsid w:val="00B47080"/>
    <w:rsid w:val="00B82A4A"/>
    <w:rsid w:val="00B872EE"/>
    <w:rsid w:val="00C4329B"/>
    <w:rsid w:val="00C676D8"/>
    <w:rsid w:val="00C7417B"/>
    <w:rsid w:val="00CA3BED"/>
    <w:rsid w:val="00CF2B6C"/>
    <w:rsid w:val="00D1582C"/>
    <w:rsid w:val="00D70A19"/>
    <w:rsid w:val="00D76DBD"/>
    <w:rsid w:val="00DB6234"/>
    <w:rsid w:val="00DC0C7D"/>
    <w:rsid w:val="00DE5078"/>
    <w:rsid w:val="00DE561D"/>
    <w:rsid w:val="00E27DAE"/>
    <w:rsid w:val="00E37032"/>
    <w:rsid w:val="00E836A0"/>
    <w:rsid w:val="00F0146E"/>
    <w:rsid w:val="00F123B5"/>
    <w:rsid w:val="00F23B71"/>
    <w:rsid w:val="00F37283"/>
    <w:rsid w:val="00F52087"/>
    <w:rsid w:val="00F635BF"/>
    <w:rsid w:val="00F710B9"/>
    <w:rsid w:val="00F828E4"/>
    <w:rsid w:val="00F845E5"/>
    <w:rsid w:val="00FE0ED5"/>
    <w:rsid w:val="136126CE"/>
    <w:rsid w:val="15BF7476"/>
    <w:rsid w:val="3B251361"/>
    <w:rsid w:val="418E1424"/>
    <w:rsid w:val="42086AC5"/>
    <w:rsid w:val="5A18684E"/>
    <w:rsid w:val="5AA61B9D"/>
    <w:rsid w:val="676D1869"/>
    <w:rsid w:val="794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jc w:val="both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widowControl w:val="0"/>
      <w:numPr>
        <w:ilvl w:val="1"/>
        <w:numId w:val="1"/>
      </w:numPr>
      <w:adjustRightInd w:val="0"/>
      <w:spacing w:before="260" w:after="260" w:line="416" w:lineRule="atLeast"/>
      <w:jc w:val="both"/>
      <w:textAlignment w:val="baseline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22"/>
    <w:autoRedefine/>
    <w:qFormat/>
    <w:uiPriority w:val="0"/>
    <w:pPr>
      <w:keepNext/>
      <w:keepLines/>
      <w:widowControl w:val="0"/>
      <w:numPr>
        <w:ilvl w:val="2"/>
        <w:numId w:val="1"/>
      </w:numPr>
      <w:adjustRightInd w:val="0"/>
      <w:spacing w:before="260" w:after="260" w:line="416" w:lineRule="atLeast"/>
      <w:jc w:val="both"/>
      <w:textAlignment w:val="baseline"/>
      <w:outlineLvl w:val="2"/>
    </w:pPr>
    <w:rPr>
      <w:b/>
      <w:sz w:val="32"/>
      <w:szCs w:val="20"/>
    </w:rPr>
  </w:style>
  <w:style w:type="paragraph" w:styleId="5">
    <w:name w:val="heading 4"/>
    <w:basedOn w:val="1"/>
    <w:next w:val="6"/>
    <w:link w:val="23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6" w:lineRule="auto"/>
      <w:jc w:val="both"/>
      <w:outlineLvl w:val="3"/>
    </w:pPr>
    <w:rPr>
      <w:rFonts w:ascii="Arial" w:hAnsi="Arial" w:eastAsia="黑体"/>
      <w:b/>
      <w:kern w:val="2"/>
      <w:sz w:val="28"/>
      <w:szCs w:val="20"/>
    </w:rPr>
  </w:style>
  <w:style w:type="paragraph" w:styleId="7">
    <w:name w:val="heading 5"/>
    <w:basedOn w:val="1"/>
    <w:next w:val="6"/>
    <w:link w:val="24"/>
    <w:autoRedefine/>
    <w:qFormat/>
    <w:uiPriority w:val="0"/>
    <w:pPr>
      <w:keepNext/>
      <w:keepLines/>
      <w:widowControl w:val="0"/>
      <w:numPr>
        <w:ilvl w:val="4"/>
        <w:numId w:val="1"/>
      </w:numPr>
      <w:spacing w:before="280" w:after="290" w:line="376" w:lineRule="auto"/>
      <w:jc w:val="both"/>
      <w:outlineLvl w:val="4"/>
    </w:pPr>
    <w:rPr>
      <w:b/>
      <w:kern w:val="2"/>
      <w:sz w:val="28"/>
      <w:szCs w:val="20"/>
    </w:rPr>
  </w:style>
  <w:style w:type="paragraph" w:styleId="8">
    <w:name w:val="heading 6"/>
    <w:basedOn w:val="1"/>
    <w:next w:val="6"/>
    <w:link w:val="25"/>
    <w:qFormat/>
    <w:uiPriority w:val="0"/>
    <w:pPr>
      <w:keepNext/>
      <w:keepLines/>
      <w:widowControl w:val="0"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/>
      <w:b/>
      <w:kern w:val="2"/>
      <w:szCs w:val="20"/>
    </w:rPr>
  </w:style>
  <w:style w:type="paragraph" w:styleId="9">
    <w:name w:val="heading 7"/>
    <w:basedOn w:val="1"/>
    <w:next w:val="6"/>
    <w:link w:val="26"/>
    <w:qFormat/>
    <w:uiPriority w:val="0"/>
    <w:pPr>
      <w:keepNext/>
      <w:keepLines/>
      <w:widowControl w:val="0"/>
      <w:numPr>
        <w:ilvl w:val="6"/>
        <w:numId w:val="1"/>
      </w:numPr>
      <w:spacing w:before="240" w:after="64" w:line="320" w:lineRule="auto"/>
      <w:jc w:val="both"/>
      <w:outlineLvl w:val="6"/>
    </w:pPr>
    <w:rPr>
      <w:b/>
      <w:kern w:val="2"/>
      <w:szCs w:val="20"/>
    </w:rPr>
  </w:style>
  <w:style w:type="paragraph" w:styleId="10">
    <w:name w:val="heading 8"/>
    <w:basedOn w:val="1"/>
    <w:next w:val="6"/>
    <w:link w:val="27"/>
    <w:qFormat/>
    <w:uiPriority w:val="0"/>
    <w:pPr>
      <w:keepNext/>
      <w:keepLines/>
      <w:widowControl w:val="0"/>
      <w:numPr>
        <w:ilvl w:val="7"/>
        <w:numId w:val="1"/>
      </w:numPr>
      <w:spacing w:before="240" w:after="64" w:line="320" w:lineRule="auto"/>
      <w:jc w:val="both"/>
      <w:outlineLvl w:val="7"/>
    </w:pPr>
    <w:rPr>
      <w:rFonts w:ascii="Arial" w:hAnsi="Arial" w:eastAsia="黑体"/>
      <w:kern w:val="2"/>
      <w:szCs w:val="20"/>
    </w:rPr>
  </w:style>
  <w:style w:type="paragraph" w:styleId="11">
    <w:name w:val="heading 9"/>
    <w:basedOn w:val="1"/>
    <w:next w:val="6"/>
    <w:link w:val="28"/>
    <w:qFormat/>
    <w:uiPriority w:val="0"/>
    <w:pPr>
      <w:keepNext/>
      <w:keepLines/>
      <w:widowControl w:val="0"/>
      <w:numPr>
        <w:ilvl w:val="8"/>
        <w:numId w:val="1"/>
      </w:numPr>
      <w:spacing w:before="240" w:after="64" w:line="320" w:lineRule="auto"/>
      <w:jc w:val="both"/>
      <w:outlineLvl w:val="8"/>
    </w:pPr>
    <w:rPr>
      <w:rFonts w:ascii="Arial" w:hAnsi="Arial" w:eastAsia="黑体"/>
      <w:kern w:val="2"/>
      <w:sz w:val="21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widowControl w:val="0"/>
      <w:ind w:firstLine="420"/>
      <w:jc w:val="both"/>
    </w:pPr>
    <w:rPr>
      <w:kern w:val="2"/>
      <w:sz w:val="21"/>
      <w:szCs w:val="20"/>
    </w:rPr>
  </w:style>
  <w:style w:type="paragraph" w:styleId="12">
    <w:name w:val="Body Text Indent"/>
    <w:basedOn w:val="1"/>
    <w:link w:val="34"/>
    <w:qFormat/>
    <w:uiPriority w:val="0"/>
    <w:pPr>
      <w:widowControl w:val="0"/>
      <w:ind w:left="-170" w:hanging="170"/>
      <w:jc w:val="center"/>
    </w:pPr>
    <w:rPr>
      <w:b/>
      <w:kern w:val="2"/>
      <w:sz w:val="52"/>
      <w:szCs w:val="20"/>
    </w:rPr>
  </w:style>
  <w:style w:type="paragraph" w:styleId="13">
    <w:name w:val="Balloon Text"/>
    <w:basedOn w:val="1"/>
    <w:link w:val="36"/>
    <w:autoRedefine/>
    <w:qFormat/>
    <w:uiPriority w:val="0"/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2"/>
    <w:qFormat/>
    <w:uiPriority w:val="0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0"/>
    <w:autoRedefine/>
    <w:qFormat/>
    <w:uiPriority w:val="0"/>
    <w:pPr>
      <w:tabs>
        <w:tab w:val="center" w:pos="4320"/>
        <w:tab w:val="right" w:pos="8640"/>
      </w:tabs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标题 1 字符"/>
    <w:basedOn w:val="18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标题 2 字符"/>
    <w:basedOn w:val="18"/>
    <w:link w:val="3"/>
    <w:autoRedefine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22">
    <w:name w:val="标题 3 字符"/>
    <w:basedOn w:val="18"/>
    <w:link w:val="4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23">
    <w:name w:val="标题 4 字符"/>
    <w:basedOn w:val="18"/>
    <w:link w:val="5"/>
    <w:autoRedefine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24">
    <w:name w:val="标题 5 字符"/>
    <w:basedOn w:val="18"/>
    <w:link w:val="7"/>
    <w:autoRedefine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25">
    <w:name w:val="标题 6 字符"/>
    <w:basedOn w:val="18"/>
    <w:link w:val="8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26">
    <w:name w:val="标题 7 字符"/>
    <w:basedOn w:val="18"/>
    <w:link w:val="9"/>
    <w:autoRedefine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27">
    <w:name w:val="标题 8 字符"/>
    <w:basedOn w:val="18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28">
    <w:name w:val="标题 9 字符"/>
    <w:basedOn w:val="18"/>
    <w:link w:val="11"/>
    <w:autoRedefine/>
    <w:qFormat/>
    <w:uiPriority w:val="0"/>
    <w:rPr>
      <w:rFonts w:ascii="Arial" w:hAnsi="Arial" w:eastAsia="黑体" w:cs="Times New Roman"/>
      <w:szCs w:val="20"/>
    </w:rPr>
  </w:style>
  <w:style w:type="character" w:customStyle="1" w:styleId="29">
    <w:name w:val="页眉 Char"/>
    <w:basedOn w:val="18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0">
    <w:name w:val="页眉 字符"/>
    <w:link w:val="15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1">
    <w:name w:val="页脚 Char"/>
    <w:basedOn w:val="18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2">
    <w:name w:val="页脚 字符"/>
    <w:link w:val="1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3">
    <w:name w:val="正文文本缩进 Char"/>
    <w:basedOn w:val="18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4">
    <w:name w:val="正文文本缩进 字符"/>
    <w:link w:val="12"/>
    <w:autoRedefine/>
    <w:qFormat/>
    <w:uiPriority w:val="0"/>
    <w:rPr>
      <w:rFonts w:ascii="Times New Roman" w:hAnsi="Times New Roman" w:eastAsia="宋体" w:cs="Times New Roman"/>
      <w:b/>
      <w:sz w:val="52"/>
      <w:szCs w:val="20"/>
    </w:rPr>
  </w:style>
  <w:style w:type="character" w:customStyle="1" w:styleId="35">
    <w:name w:val="批注框文本 Char"/>
    <w:basedOn w:val="18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6">
    <w:name w:val="批注框文本 字符"/>
    <w:link w:val="13"/>
    <w:qFormat/>
    <w:uiPriority w:val="0"/>
    <w:rPr>
      <w:rFonts w:ascii="Tahoma" w:hAnsi="Tahoma" w:eastAsia="宋体" w:cs="Tahoma"/>
      <w:kern w:val="0"/>
      <w:sz w:val="16"/>
      <w:szCs w:val="16"/>
    </w:rPr>
  </w:style>
  <w:style w:type="paragraph" w:customStyle="1" w:styleId="37">
    <w:name w:val="Free Form"/>
    <w:qFormat/>
    <w:uiPriority w:val="0"/>
    <w:rPr>
      <w:rFonts w:ascii="Helvetica" w:hAnsi="Helvetica" w:eastAsia="ヒラギノ角ゴ Pro W3" w:cs="Times New Roman"/>
      <w:color w:val="000000"/>
      <w:kern w:val="0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B2368-7A14-4A07-8D32-D659162DA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972</Words>
  <Characters>1191</Characters>
  <Lines>28</Lines>
  <Paragraphs>8</Paragraphs>
  <TotalTime>5</TotalTime>
  <ScaleCrop>false</ScaleCrop>
  <LinksUpToDate>false</LinksUpToDate>
  <CharactersWithSpaces>1201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2022-09-01T12:26:00Z</dcterms:created>
  <dc:creator>hp</dc:creator>
  <cp:lastModifiedBy>胡永田</cp:lastModifiedBy>
  <dcterms:modified xsi:type="dcterms:W3CDTF">2025-08-21T02:28:13Z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226DB85AFD984DAC89FED07775B9E6FE_13</vt:lpwstr>
  </property>
</Properties>
</file>