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F0E30">
      <w:pPr>
        <w:jc w:val="right"/>
        <w:rPr>
          <w:rFonts w:ascii="宋体" w:hAnsi="宋体"/>
          <w:b/>
          <w:bCs/>
          <w:color w:val="auto"/>
          <w:sz w:val="36"/>
          <w:highlight w:val="none"/>
        </w:rPr>
      </w:pPr>
    </w:p>
    <w:p w14:paraId="247955CE">
      <w:pPr>
        <w:jc w:val="right"/>
        <w:rPr>
          <w:rFonts w:hint="eastAsia" w:ascii="宋体" w:hAnsi="宋体" w:eastAsia="宋体"/>
          <w:b/>
          <w:bCs/>
          <w:color w:val="auto"/>
          <w:sz w:val="36"/>
          <w:highlight w:val="none"/>
          <w:lang w:eastAsia="zh-CN"/>
        </w:rPr>
      </w:pPr>
      <w:r>
        <w:rPr>
          <w:rFonts w:hint="eastAsia" w:ascii="宋体" w:hAnsi="宋体"/>
          <w:b/>
          <w:bCs/>
          <w:color w:val="auto"/>
          <w:sz w:val="36"/>
          <w:highlight w:val="none"/>
          <w:lang w:eastAsia="zh-CN"/>
        </w:rPr>
        <w:t>JSZC-320000-SWGC-G2025-0171-1号</w:t>
      </w:r>
    </w:p>
    <w:p w14:paraId="01D052AA">
      <w:pPr>
        <w:jc w:val="right"/>
        <w:rPr>
          <w:rFonts w:ascii="宋体" w:hAnsi="宋体"/>
          <w:color w:val="auto"/>
          <w:sz w:val="36"/>
          <w:highlight w:val="none"/>
        </w:rPr>
      </w:pPr>
    </w:p>
    <w:p w14:paraId="71CBEF48">
      <w:pPr>
        <w:jc w:val="center"/>
        <w:rPr>
          <w:rFonts w:hint="eastAsia" w:ascii="宋体" w:hAnsi="宋体"/>
          <w:b/>
          <w:bCs/>
          <w:color w:val="auto"/>
          <w:sz w:val="36"/>
          <w:highlight w:val="none"/>
          <w:lang w:eastAsia="zh-CN"/>
        </w:rPr>
      </w:pPr>
      <w:r>
        <w:rPr>
          <w:rFonts w:hint="eastAsia" w:ascii="宋体" w:hAnsi="宋体"/>
          <w:b/>
          <w:bCs/>
          <w:color w:val="auto"/>
          <w:sz w:val="36"/>
          <w:highlight w:val="none"/>
          <w:lang w:eastAsia="zh-CN"/>
        </w:rPr>
        <w:t>扬州大学附属医院医疗责任险与京沪医学中心风险分担服务项目（二次）</w:t>
      </w:r>
    </w:p>
    <w:p w14:paraId="0FA83182">
      <w:pPr>
        <w:jc w:val="center"/>
        <w:rPr>
          <w:rFonts w:ascii="宋体" w:hAnsi="宋体"/>
          <w:b/>
          <w:bCs/>
          <w:color w:val="auto"/>
          <w:sz w:val="36"/>
          <w:highlight w:val="none"/>
        </w:rPr>
      </w:pPr>
      <w:r>
        <w:rPr>
          <w:rFonts w:hint="eastAsia" w:ascii="宋体" w:hAnsi="宋体"/>
          <w:b/>
          <w:bCs/>
          <w:color w:val="auto"/>
          <w:sz w:val="36"/>
          <w:highlight w:val="none"/>
        </w:rPr>
        <w:t xml:space="preserve">公开招标文件 </w:t>
      </w:r>
    </w:p>
    <w:p w14:paraId="6435CB85">
      <w:pPr>
        <w:jc w:val="center"/>
        <w:rPr>
          <w:rFonts w:ascii="宋体" w:hAnsi="宋体"/>
          <w:color w:val="auto"/>
          <w:sz w:val="36"/>
          <w:highlight w:val="none"/>
        </w:rPr>
      </w:pPr>
      <w:r>
        <w:rPr>
          <w:rFonts w:hint="eastAsia" w:ascii="宋体" w:hAnsi="宋体"/>
          <w:color w:val="auto"/>
          <w:sz w:val="36"/>
          <w:highlight w:val="none"/>
        </w:rPr>
        <w:t xml:space="preserve"> </w:t>
      </w:r>
    </w:p>
    <w:p w14:paraId="0C723136">
      <w:pPr>
        <w:jc w:val="center"/>
        <w:rPr>
          <w:rFonts w:ascii="宋体" w:hAnsi="宋体"/>
          <w:color w:val="auto"/>
          <w:sz w:val="36"/>
          <w:highlight w:val="none"/>
        </w:rPr>
      </w:pPr>
      <w:r>
        <w:rPr>
          <w:color w:val="auto"/>
          <w:highlight w:val="none"/>
        </w:rPr>
        <w:drawing>
          <wp:inline distT="0" distB="0" distL="0" distR="0">
            <wp:extent cx="5032375" cy="4514850"/>
            <wp:effectExtent l="0" t="0" r="15875" b="0"/>
            <wp:docPr id="3"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14:paraId="0E6B4963">
      <w:pPr>
        <w:jc w:val="center"/>
        <w:rPr>
          <w:rFonts w:ascii="宋体" w:hAnsi="宋体"/>
          <w:color w:val="auto"/>
          <w:sz w:val="36"/>
          <w:highlight w:val="none"/>
        </w:rPr>
      </w:pPr>
    </w:p>
    <w:p w14:paraId="6F4E8C2D">
      <w:pPr>
        <w:jc w:val="center"/>
        <w:rPr>
          <w:rFonts w:ascii="宋体" w:hAnsi="宋体"/>
          <w:b/>
          <w:bCs/>
          <w:color w:val="auto"/>
          <w:sz w:val="36"/>
          <w:highlight w:val="none"/>
        </w:rPr>
      </w:pPr>
    </w:p>
    <w:p w14:paraId="67E12C1F">
      <w:pPr>
        <w:jc w:val="center"/>
        <w:rPr>
          <w:rFonts w:ascii="宋体" w:hAnsi="宋体"/>
          <w:b/>
          <w:bCs/>
          <w:color w:val="auto"/>
          <w:sz w:val="36"/>
          <w:highlight w:val="none"/>
        </w:rPr>
      </w:pPr>
      <w:r>
        <w:rPr>
          <w:rFonts w:hint="eastAsia" w:ascii="宋体" w:hAnsi="宋体"/>
          <w:b/>
          <w:bCs/>
          <w:color w:val="auto"/>
          <w:sz w:val="36"/>
          <w:highlight w:val="none"/>
        </w:rPr>
        <w:t>江苏苏维工程管理有限公司</w:t>
      </w:r>
    </w:p>
    <w:p w14:paraId="41D4F3FA">
      <w:pPr>
        <w:jc w:val="center"/>
        <w:rPr>
          <w:rFonts w:hint="default" w:ascii="宋体" w:hAnsi="宋体"/>
          <w:b/>
          <w:bCs/>
          <w:color w:val="auto"/>
          <w:sz w:val="36"/>
          <w:highlight w:val="none"/>
          <w:lang w:val="en-US"/>
        </w:rPr>
        <w:sectPr>
          <w:headerReference r:id="rId3" w:type="default"/>
          <w:footerReference r:id="rId4" w:type="default"/>
          <w:pgSz w:w="11906" w:h="16838"/>
          <w:pgMar w:top="1440" w:right="1800" w:bottom="1440" w:left="1800" w:header="851" w:footer="992" w:gutter="0"/>
          <w:cols w:space="720" w:num="1"/>
          <w:docGrid w:linePitch="360" w:charSpace="0"/>
        </w:sectPr>
      </w:pPr>
      <w:r>
        <w:rPr>
          <w:rFonts w:hint="eastAsia" w:ascii="宋体" w:hAnsi="宋体"/>
          <w:b/>
          <w:bCs/>
          <w:color w:val="auto"/>
          <w:sz w:val="36"/>
          <w:highlight w:val="none"/>
        </w:rPr>
        <w:t>202</w:t>
      </w:r>
      <w:r>
        <w:rPr>
          <w:rFonts w:hint="eastAsia" w:ascii="宋体" w:hAnsi="宋体"/>
          <w:b/>
          <w:bCs/>
          <w:color w:val="auto"/>
          <w:sz w:val="36"/>
          <w:highlight w:val="none"/>
          <w:lang w:val="en-US" w:eastAsia="zh-CN"/>
        </w:rPr>
        <w:t>5</w:t>
      </w:r>
      <w:r>
        <w:rPr>
          <w:rFonts w:hint="eastAsia" w:ascii="宋体" w:hAnsi="宋体"/>
          <w:b/>
          <w:bCs/>
          <w:color w:val="auto"/>
          <w:sz w:val="36"/>
          <w:highlight w:val="none"/>
        </w:rPr>
        <w:t>年</w:t>
      </w:r>
      <w:r>
        <w:rPr>
          <w:rFonts w:hint="eastAsia" w:ascii="宋体" w:hAnsi="宋体"/>
          <w:b/>
          <w:bCs/>
          <w:color w:val="auto"/>
          <w:sz w:val="36"/>
          <w:highlight w:val="none"/>
          <w:lang w:val="en-US" w:eastAsia="zh-CN"/>
        </w:rPr>
        <w:t>09</w:t>
      </w:r>
      <w:r>
        <w:rPr>
          <w:rFonts w:hint="eastAsia" w:ascii="宋体" w:hAnsi="宋体"/>
          <w:b/>
          <w:bCs/>
          <w:color w:val="auto"/>
          <w:sz w:val="36"/>
          <w:highlight w:val="none"/>
        </w:rPr>
        <w:t>月</w:t>
      </w:r>
      <w:r>
        <w:rPr>
          <w:rFonts w:hint="eastAsia" w:ascii="宋体" w:hAnsi="宋体"/>
          <w:b/>
          <w:bCs/>
          <w:color w:val="auto"/>
          <w:sz w:val="36"/>
          <w:highlight w:val="none"/>
          <w:lang w:val="en-US" w:eastAsia="zh-CN"/>
        </w:rPr>
        <w:t>05日</w:t>
      </w:r>
    </w:p>
    <w:p w14:paraId="492F9BA6">
      <w:pPr>
        <w:spacing w:line="360" w:lineRule="auto"/>
        <w:jc w:val="both"/>
        <w:rPr>
          <w:rFonts w:ascii="宋体" w:hAnsi="宋体"/>
          <w:color w:val="auto"/>
          <w:sz w:val="32"/>
          <w:highlight w:val="none"/>
        </w:rPr>
      </w:pPr>
    </w:p>
    <w:p w14:paraId="58A87F7C">
      <w:pPr>
        <w:spacing w:line="360" w:lineRule="auto"/>
        <w:jc w:val="center"/>
        <w:rPr>
          <w:rFonts w:ascii="宋体" w:hAnsi="宋体"/>
          <w:color w:val="auto"/>
          <w:sz w:val="32"/>
          <w:highlight w:val="none"/>
        </w:rPr>
      </w:pPr>
      <w:r>
        <w:rPr>
          <w:rFonts w:hint="eastAsia" w:ascii="宋体" w:hAnsi="宋体"/>
          <w:color w:val="auto"/>
          <w:sz w:val="32"/>
          <w:highlight w:val="none"/>
        </w:rPr>
        <w:t>目</w:t>
      </w:r>
      <w:r>
        <w:rPr>
          <w:rFonts w:ascii="宋体" w:hAnsi="宋体"/>
          <w:color w:val="auto"/>
          <w:sz w:val="32"/>
          <w:highlight w:val="none"/>
        </w:rPr>
        <w:t xml:space="preserve"> 录</w:t>
      </w:r>
    </w:p>
    <w:p w14:paraId="27EA5BA6">
      <w:pPr>
        <w:pStyle w:val="29"/>
        <w:tabs>
          <w:tab w:val="right" w:leader="dot" w:pos="8296"/>
        </w:tabs>
        <w:spacing w:line="360" w:lineRule="auto"/>
        <w:rPr>
          <w:color w:val="auto"/>
          <w:highlight w:val="none"/>
        </w:rPr>
      </w:pPr>
      <w:r>
        <w:rPr>
          <w:rFonts w:ascii="宋体" w:hAnsi="宋体"/>
          <w:color w:val="auto"/>
          <w:sz w:val="28"/>
          <w:highlight w:val="none"/>
        </w:rPr>
        <w:fldChar w:fldCharType="begin"/>
      </w:r>
      <w:r>
        <w:rPr>
          <w:rFonts w:ascii="宋体" w:hAnsi="宋体"/>
          <w:color w:val="auto"/>
          <w:sz w:val="28"/>
          <w:highlight w:val="none"/>
        </w:rPr>
        <w:instrText xml:space="preserve"> TOC \o "1-3" \f </w:instrText>
      </w:r>
      <w:r>
        <w:rPr>
          <w:rFonts w:ascii="宋体" w:hAnsi="宋体"/>
          <w:color w:val="auto"/>
          <w:sz w:val="28"/>
          <w:highlight w:val="none"/>
        </w:rPr>
        <w:fldChar w:fldCharType="separate"/>
      </w:r>
      <w:r>
        <w:rPr>
          <w:rFonts w:hint="eastAsia" w:ascii="宋体" w:hAnsi="宋体"/>
          <w:color w:val="auto"/>
          <w:highlight w:val="none"/>
        </w:rPr>
        <w:t>第一章</w:t>
      </w:r>
      <w:r>
        <w:rPr>
          <w:rFonts w:ascii="宋体" w:hAnsi="宋体"/>
          <w:color w:val="auto"/>
          <w:highlight w:val="none"/>
        </w:rPr>
        <w:t xml:space="preserve"> </w:t>
      </w:r>
      <w:r>
        <w:rPr>
          <w:rFonts w:hint="eastAsia" w:ascii="宋体" w:hAnsi="宋体"/>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_Toc497133090 \h </w:instrText>
      </w:r>
      <w:r>
        <w:rPr>
          <w:color w:val="auto"/>
          <w:highlight w:val="none"/>
        </w:rPr>
        <w:fldChar w:fldCharType="separate"/>
      </w:r>
      <w:r>
        <w:rPr>
          <w:color w:val="auto"/>
          <w:highlight w:val="none"/>
        </w:rPr>
        <w:t>3</w:t>
      </w:r>
      <w:r>
        <w:rPr>
          <w:color w:val="auto"/>
          <w:highlight w:val="none"/>
        </w:rPr>
        <w:fldChar w:fldCharType="end"/>
      </w:r>
    </w:p>
    <w:p w14:paraId="68B4B797">
      <w:pPr>
        <w:pStyle w:val="29"/>
        <w:tabs>
          <w:tab w:val="right" w:leader="dot" w:pos="8296"/>
        </w:tabs>
        <w:spacing w:line="360" w:lineRule="auto"/>
        <w:rPr>
          <w:color w:val="auto"/>
          <w:highlight w:val="none"/>
        </w:rPr>
      </w:pPr>
      <w:r>
        <w:rPr>
          <w:rFonts w:hint="eastAsia" w:ascii="宋体" w:hAnsi="宋体"/>
          <w:color w:val="auto"/>
          <w:highlight w:val="none"/>
        </w:rPr>
        <w:t>第二章</w:t>
      </w:r>
      <w:r>
        <w:rPr>
          <w:rFonts w:ascii="宋体" w:hAnsi="宋体"/>
          <w:color w:val="auto"/>
          <w:highlight w:val="none"/>
        </w:rPr>
        <w:t xml:space="preserve"> </w:t>
      </w:r>
      <w:r>
        <w:rPr>
          <w:rFonts w:hint="eastAsia" w:ascii="宋体" w:hAnsi="宋体"/>
          <w:color w:val="auto"/>
          <w:highlight w:val="none"/>
        </w:rPr>
        <w:t>投标人须知</w:t>
      </w:r>
      <w:r>
        <w:rPr>
          <w:color w:val="auto"/>
          <w:highlight w:val="none"/>
        </w:rPr>
        <w:tab/>
      </w:r>
      <w:r>
        <w:rPr>
          <w:rFonts w:hint="eastAsia"/>
          <w:color w:val="auto"/>
          <w:highlight w:val="none"/>
        </w:rPr>
        <w:t>7</w:t>
      </w:r>
    </w:p>
    <w:p w14:paraId="1AEF71B2">
      <w:pPr>
        <w:pStyle w:val="29"/>
        <w:tabs>
          <w:tab w:val="right" w:leader="dot" w:pos="8296"/>
        </w:tabs>
        <w:spacing w:line="360" w:lineRule="auto"/>
        <w:rPr>
          <w:rFonts w:hint="default" w:eastAsia="宋体"/>
          <w:color w:val="auto"/>
          <w:highlight w:val="none"/>
          <w:lang w:val="en-US" w:eastAsia="zh-CN"/>
        </w:rPr>
      </w:pPr>
      <w:r>
        <w:rPr>
          <w:rFonts w:hint="eastAsia" w:ascii="宋体" w:hAnsi="宋体"/>
          <w:color w:val="auto"/>
          <w:highlight w:val="none"/>
        </w:rPr>
        <w:t>第三章</w:t>
      </w:r>
      <w:r>
        <w:rPr>
          <w:rFonts w:ascii="宋体" w:hAnsi="宋体"/>
          <w:color w:val="auto"/>
          <w:highlight w:val="none"/>
        </w:rPr>
        <w:t xml:space="preserve"> </w:t>
      </w:r>
      <w:r>
        <w:rPr>
          <w:rFonts w:hint="eastAsia" w:ascii="宋体" w:hAnsi="宋体"/>
          <w:color w:val="auto"/>
          <w:highlight w:val="none"/>
        </w:rPr>
        <w:t>合同条款及格式</w:t>
      </w:r>
      <w:r>
        <w:rPr>
          <w:color w:val="auto"/>
          <w:highlight w:val="none"/>
        </w:rPr>
        <w:tab/>
      </w:r>
      <w:r>
        <w:rPr>
          <w:rFonts w:hint="eastAsia"/>
          <w:color w:val="auto"/>
          <w:highlight w:val="none"/>
          <w:lang w:val="en-US" w:eastAsia="zh-CN"/>
        </w:rPr>
        <w:t>19</w:t>
      </w:r>
    </w:p>
    <w:p w14:paraId="35EDC569">
      <w:pPr>
        <w:pStyle w:val="29"/>
        <w:tabs>
          <w:tab w:val="right" w:leader="dot" w:pos="8296"/>
        </w:tabs>
        <w:spacing w:line="360" w:lineRule="auto"/>
        <w:rPr>
          <w:rFonts w:hint="default" w:eastAsia="宋体"/>
          <w:color w:val="auto"/>
          <w:highlight w:val="none"/>
          <w:lang w:val="en-US" w:eastAsia="zh-CN"/>
        </w:rPr>
      </w:pPr>
      <w:r>
        <w:rPr>
          <w:rFonts w:hint="eastAsia" w:ascii="宋体" w:hAnsi="宋体"/>
          <w:color w:val="auto"/>
          <w:highlight w:val="none"/>
        </w:rPr>
        <w:t>第四章</w:t>
      </w:r>
      <w:r>
        <w:rPr>
          <w:rFonts w:ascii="宋体" w:hAnsi="宋体"/>
          <w:color w:val="auto"/>
          <w:highlight w:val="none"/>
        </w:rPr>
        <w:t xml:space="preserve"> </w:t>
      </w:r>
      <w:r>
        <w:rPr>
          <w:rFonts w:hint="eastAsia" w:ascii="宋体" w:hAnsi="宋体"/>
          <w:color w:val="auto"/>
          <w:highlight w:val="none"/>
        </w:rPr>
        <w:t>项目需求</w:t>
      </w:r>
      <w:r>
        <w:rPr>
          <w:color w:val="auto"/>
          <w:highlight w:val="none"/>
        </w:rPr>
        <w:tab/>
      </w:r>
      <w:r>
        <w:rPr>
          <w:rFonts w:hint="eastAsia"/>
          <w:color w:val="auto"/>
          <w:highlight w:val="none"/>
          <w:lang w:val="en-US" w:eastAsia="zh-CN"/>
        </w:rPr>
        <w:t>25</w:t>
      </w:r>
    </w:p>
    <w:p w14:paraId="2B68357F">
      <w:pPr>
        <w:pStyle w:val="29"/>
        <w:tabs>
          <w:tab w:val="right" w:leader="dot" w:pos="8296"/>
        </w:tabs>
        <w:spacing w:line="360" w:lineRule="auto"/>
        <w:rPr>
          <w:rFonts w:hint="default" w:eastAsia="宋体"/>
          <w:color w:val="auto"/>
          <w:highlight w:val="none"/>
          <w:lang w:val="en-US" w:eastAsia="zh-CN"/>
        </w:rPr>
      </w:pPr>
      <w:r>
        <w:rPr>
          <w:rFonts w:hint="eastAsia" w:ascii="宋体" w:hAnsi="宋体"/>
          <w:color w:val="auto"/>
          <w:highlight w:val="none"/>
        </w:rPr>
        <w:t>第五章</w:t>
      </w:r>
      <w:r>
        <w:rPr>
          <w:rFonts w:ascii="宋体" w:hAnsi="宋体"/>
          <w:color w:val="auto"/>
          <w:highlight w:val="none"/>
        </w:rPr>
        <w:t xml:space="preserve"> </w:t>
      </w:r>
      <w:r>
        <w:rPr>
          <w:rFonts w:hint="eastAsia" w:ascii="宋体" w:hAnsi="宋体"/>
          <w:color w:val="auto"/>
          <w:highlight w:val="none"/>
        </w:rPr>
        <w:t>评标方法及评标标准</w:t>
      </w:r>
      <w:r>
        <w:rPr>
          <w:color w:val="auto"/>
          <w:highlight w:val="none"/>
        </w:rPr>
        <w:tab/>
      </w:r>
      <w:r>
        <w:rPr>
          <w:rFonts w:hint="eastAsia"/>
          <w:color w:val="auto"/>
          <w:highlight w:val="none"/>
          <w:lang w:val="en-US" w:eastAsia="zh-CN"/>
        </w:rPr>
        <w:t>27</w:t>
      </w:r>
    </w:p>
    <w:p w14:paraId="4D48C655">
      <w:pPr>
        <w:pStyle w:val="29"/>
        <w:tabs>
          <w:tab w:val="right" w:leader="dot" w:pos="8296"/>
        </w:tabs>
        <w:spacing w:line="360" w:lineRule="auto"/>
        <w:rPr>
          <w:rFonts w:hint="default" w:eastAsia="宋体"/>
          <w:color w:val="auto"/>
          <w:highlight w:val="none"/>
          <w:lang w:val="en-US" w:eastAsia="zh-CN"/>
        </w:rPr>
      </w:pPr>
      <w:r>
        <w:rPr>
          <w:rFonts w:hint="eastAsia" w:ascii="宋体" w:hAnsi="宋体"/>
          <w:color w:val="auto"/>
          <w:highlight w:val="none"/>
        </w:rPr>
        <w:t>第六章</w:t>
      </w:r>
      <w:r>
        <w:rPr>
          <w:rFonts w:ascii="宋体" w:hAnsi="宋体"/>
          <w:color w:val="auto"/>
          <w:highlight w:val="none"/>
        </w:rPr>
        <w:t xml:space="preserve"> </w:t>
      </w:r>
      <w:r>
        <w:rPr>
          <w:rFonts w:hint="eastAsia" w:ascii="宋体" w:hAnsi="宋体"/>
          <w:color w:val="auto"/>
          <w:highlight w:val="none"/>
        </w:rPr>
        <w:t>投标文件格式</w:t>
      </w:r>
      <w:r>
        <w:rPr>
          <w:color w:val="auto"/>
          <w:highlight w:val="none"/>
        </w:rPr>
        <w:tab/>
      </w:r>
      <w:r>
        <w:rPr>
          <w:rFonts w:hint="eastAsia"/>
          <w:color w:val="auto"/>
          <w:highlight w:val="none"/>
          <w:lang w:val="en-US" w:eastAsia="zh-CN"/>
        </w:rPr>
        <w:t>31</w:t>
      </w:r>
    </w:p>
    <w:p w14:paraId="66300205">
      <w:pPr>
        <w:spacing w:line="360" w:lineRule="auto"/>
        <w:jc w:val="center"/>
        <w:rPr>
          <w:rFonts w:ascii="宋体" w:hAnsi="宋体"/>
          <w:color w:val="auto"/>
          <w:sz w:val="28"/>
          <w:highlight w:val="none"/>
        </w:rPr>
        <w:sectPr>
          <w:footerReference r:id="rId5" w:type="default"/>
          <w:pgSz w:w="11906" w:h="16838"/>
          <w:pgMar w:top="1440" w:right="1800" w:bottom="1440" w:left="1800" w:header="851" w:footer="992" w:gutter="0"/>
          <w:pgNumType w:start="2"/>
          <w:cols w:space="720" w:num="1"/>
          <w:docGrid w:linePitch="360" w:charSpace="0"/>
        </w:sectPr>
      </w:pPr>
      <w:r>
        <w:rPr>
          <w:rFonts w:ascii="宋体" w:hAnsi="宋体"/>
          <w:color w:val="auto"/>
          <w:sz w:val="28"/>
          <w:highlight w:val="none"/>
        </w:rPr>
        <w:fldChar w:fldCharType="end"/>
      </w:r>
    </w:p>
    <w:p w14:paraId="699C73AD">
      <w:pPr>
        <w:pStyle w:val="2"/>
        <w:jc w:val="center"/>
        <w:rPr>
          <w:rFonts w:ascii="宋体" w:hAnsi="宋体"/>
          <w:color w:val="auto"/>
          <w:sz w:val="36"/>
          <w:highlight w:val="none"/>
        </w:rPr>
      </w:pPr>
      <w:bookmarkStart w:id="0" w:name="_Toc497133090"/>
      <w:r>
        <w:rPr>
          <w:rFonts w:hint="eastAsia" w:ascii="宋体" w:hAnsi="宋体"/>
          <w:color w:val="auto"/>
          <w:sz w:val="36"/>
          <w:highlight w:val="none"/>
        </w:rPr>
        <w:t>第一章</w:t>
      </w:r>
      <w:r>
        <w:rPr>
          <w:rFonts w:ascii="宋体" w:hAnsi="宋体"/>
          <w:color w:val="auto"/>
          <w:sz w:val="36"/>
          <w:highlight w:val="none"/>
        </w:rPr>
        <w:t xml:space="preserve"> 招标公告</w:t>
      </w:r>
      <w:bookmarkEnd w:id="0"/>
    </w:p>
    <w:p w14:paraId="03A6C0E7">
      <w:pPr>
        <w:tabs>
          <w:tab w:val="left" w:pos="266"/>
        </w:tabs>
        <w:spacing w:line="360" w:lineRule="auto"/>
        <w:ind w:firstLine="420"/>
        <w:rPr>
          <w:rFonts w:ascii="宋体" w:hAnsi="宋体" w:cs="宋体"/>
          <w:color w:val="auto"/>
          <w:szCs w:val="21"/>
          <w:highlight w:val="none"/>
        </w:rPr>
      </w:pPr>
      <w:bookmarkStart w:id="1" w:name="_Toc28359089"/>
      <w:bookmarkStart w:id="2" w:name="_Toc28359012"/>
      <w:bookmarkStart w:id="3" w:name="_Toc35393798"/>
      <w:bookmarkStart w:id="4" w:name="_Toc35393629"/>
      <w:bookmarkStart w:id="5" w:name="OLE_LINK1"/>
      <w:r>
        <w:rPr>
          <w:rFonts w:hint="eastAsia" w:ascii="宋体" w:hAnsi="宋体" w:cs="宋体"/>
          <w:color w:val="auto"/>
          <w:highlight w:val="none"/>
        </w:rPr>
        <w:t>受</w:t>
      </w:r>
      <w:r>
        <w:rPr>
          <w:rFonts w:hint="eastAsia" w:ascii="宋体" w:hAnsi="宋体" w:cs="宋体"/>
          <w:color w:val="auto"/>
          <w:highlight w:val="none"/>
          <w:lang w:val="en-US" w:eastAsia="zh-CN"/>
        </w:rPr>
        <w:t>扬州大学附属医院</w:t>
      </w:r>
      <w:r>
        <w:rPr>
          <w:rFonts w:hint="eastAsia" w:ascii="宋体" w:hAnsi="宋体" w:cs="宋体"/>
          <w:color w:val="auto"/>
          <w:highlight w:val="none"/>
        </w:rPr>
        <w:t>的委托，江苏苏维工程管理有限公司就</w:t>
      </w:r>
      <w:r>
        <w:rPr>
          <w:rFonts w:hint="eastAsia" w:ascii="宋体" w:hAnsi="宋体" w:cs="宋体"/>
          <w:color w:val="auto"/>
          <w:highlight w:val="none"/>
          <w:lang w:eastAsia="zh-CN"/>
        </w:rPr>
        <w:t>扬州大学附属医院医疗责任险与京沪医学中心风险分担服务项目（二次）</w:t>
      </w:r>
      <w:r>
        <w:rPr>
          <w:rFonts w:hint="eastAsia" w:ascii="宋体" w:hAnsi="宋体" w:cs="宋体"/>
          <w:color w:val="auto"/>
          <w:highlight w:val="none"/>
        </w:rPr>
        <w:t>(</w:t>
      </w:r>
      <w:r>
        <w:rPr>
          <w:rFonts w:hint="eastAsia" w:ascii="宋体" w:hAnsi="宋体"/>
          <w:color w:val="auto"/>
          <w:szCs w:val="21"/>
          <w:highlight w:val="none"/>
          <w:lang w:eastAsia="zh-CN"/>
        </w:rPr>
        <w:t>JSZC-320000-SWGC-G2025-0171-1号</w:t>
      </w:r>
      <w:r>
        <w:rPr>
          <w:rFonts w:hint="eastAsia" w:ascii="宋体" w:hAnsi="宋体" w:cs="宋体"/>
          <w:color w:val="auto"/>
          <w:highlight w:val="none"/>
        </w:rPr>
        <w:t>)进行公开招标采购，欢迎符合条件的供应商投标。</w:t>
      </w:r>
    </w:p>
    <w:p w14:paraId="4E213552">
      <w:pPr>
        <w:pBdr>
          <w:top w:val="single" w:color="auto" w:sz="4" w:space="1"/>
          <w:left w:val="single" w:color="auto" w:sz="4" w:space="4"/>
          <w:bottom w:val="single" w:color="auto" w:sz="4" w:space="1"/>
          <w:right w:val="single" w:color="auto" w:sz="4" w:space="4"/>
        </w:pBdr>
        <w:spacing w:line="360" w:lineRule="auto"/>
        <w:ind w:firstLine="422"/>
        <w:rPr>
          <w:rFonts w:ascii="宋体" w:hAnsi="宋体" w:cs="宋体"/>
          <w:b/>
          <w:bCs/>
          <w:color w:val="auto"/>
          <w:highlight w:val="none"/>
        </w:rPr>
      </w:pPr>
      <w:r>
        <w:rPr>
          <w:rFonts w:hint="eastAsia" w:ascii="宋体" w:hAnsi="宋体" w:cs="宋体"/>
          <w:b/>
          <w:bCs/>
          <w:color w:val="auto"/>
          <w:highlight w:val="none"/>
        </w:rPr>
        <w:t>项目概况：</w:t>
      </w:r>
    </w:p>
    <w:p w14:paraId="1EF1EE54">
      <w:pPr>
        <w:pBdr>
          <w:top w:val="single" w:color="auto" w:sz="4" w:space="1"/>
          <w:left w:val="single" w:color="auto" w:sz="4" w:space="4"/>
          <w:bottom w:val="single" w:color="auto" w:sz="4" w:space="1"/>
          <w:right w:val="single" w:color="auto" w:sz="4" w:space="4"/>
        </w:pBdr>
        <w:spacing w:line="360"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扬州大学附属医院采购</w:t>
      </w:r>
      <w:r>
        <w:rPr>
          <w:rFonts w:hint="eastAsia" w:ascii="宋体" w:hAnsi="宋体" w:eastAsia="宋体" w:cs="宋体"/>
          <w:color w:val="auto"/>
          <w:highlight w:val="none"/>
          <w:lang w:eastAsia="zh-CN"/>
        </w:rPr>
        <w:t>医疗责任险与京沪医学中心风险分担服务</w:t>
      </w:r>
      <w:r>
        <w:rPr>
          <w:rFonts w:hint="eastAsia" w:ascii="宋体" w:hAnsi="宋体" w:cs="宋体"/>
          <w:color w:val="auto"/>
          <w:highlight w:val="none"/>
          <w:lang w:eastAsia="zh-CN"/>
        </w:rPr>
        <w:t>。</w:t>
      </w:r>
    </w:p>
    <w:p w14:paraId="46A3DDEC">
      <w:pPr>
        <w:pBdr>
          <w:top w:val="single" w:color="auto" w:sz="4" w:space="1"/>
          <w:left w:val="single" w:color="auto" w:sz="4" w:space="4"/>
          <w:bottom w:val="single" w:color="auto" w:sz="4" w:space="1"/>
          <w:right w:val="single" w:color="auto" w:sz="4" w:space="4"/>
        </w:pBdr>
        <w:spacing w:line="360" w:lineRule="auto"/>
        <w:ind w:firstLine="420"/>
        <w:rPr>
          <w:rFonts w:hint="eastAsia" w:ascii="宋体" w:hAnsi="宋体" w:eastAsia="宋体" w:cs="宋体"/>
          <w:color w:val="auto"/>
          <w:highlight w:val="none"/>
        </w:rPr>
      </w:pPr>
      <w:r>
        <w:rPr>
          <w:rFonts w:hint="eastAsia" w:ascii="宋体" w:hAnsi="宋体" w:cs="宋体"/>
          <w:color w:val="auto"/>
          <w:szCs w:val="21"/>
          <w:highlight w:val="none"/>
          <w:u w:val="single"/>
          <w:lang w:eastAsia="zh-CN"/>
        </w:rPr>
        <w:t>扬州大学附属医院医疗责任险与京沪医学中心风险分担服务项目（二次）</w:t>
      </w:r>
      <w:r>
        <w:rPr>
          <w:rFonts w:hint="eastAsia" w:ascii="宋体" w:hAnsi="宋体" w:eastAsia="宋体" w:cs="宋体"/>
          <w:color w:val="auto"/>
          <w:highlight w:val="none"/>
        </w:rPr>
        <w:t>的潜在投标人可在</w:t>
      </w:r>
      <w:r>
        <w:rPr>
          <w:rFonts w:hint="eastAsia" w:ascii="宋体" w:hAnsi="宋体" w:eastAsia="宋体" w:cs="宋体"/>
          <w:color w:val="auto"/>
          <w:highlight w:val="none"/>
          <w:u w:val="single"/>
          <w:lang w:val="en-US" w:eastAsia="zh-CN"/>
        </w:rPr>
        <w:t>“</w:t>
      </w:r>
      <w:r>
        <w:rPr>
          <w:rFonts w:hint="eastAsia" w:ascii="宋体" w:hAnsi="宋体" w:cs="宋体"/>
          <w:color w:val="auto"/>
          <w:highlight w:val="none"/>
          <w:u w:val="single"/>
          <w:lang w:val="en-US" w:eastAsia="zh-CN"/>
        </w:rPr>
        <w:t>扬州大学附属医院网</w:t>
      </w:r>
      <w:r>
        <w:rPr>
          <w:rFonts w:hint="eastAsia" w:ascii="宋体" w:hAnsi="宋体" w:eastAsia="宋体" w:cs="宋体"/>
          <w:color w:val="auto"/>
          <w:highlight w:val="none"/>
          <w:u w:val="single"/>
          <w:lang w:val="en-US" w:eastAsia="zh-CN"/>
        </w:rPr>
        <w:t>”、“扬州大学网”、“江苏政府采购网”和“中国政府采购网”</w:t>
      </w:r>
      <w:r>
        <w:rPr>
          <w:rFonts w:hint="eastAsia" w:ascii="宋体" w:hAnsi="宋体" w:eastAsia="宋体" w:cs="宋体"/>
          <w:color w:val="auto"/>
          <w:highlight w:val="none"/>
          <w:u w:val="single"/>
        </w:rPr>
        <w:t>自行</w:t>
      </w:r>
      <w:r>
        <w:rPr>
          <w:rFonts w:hint="eastAsia" w:ascii="宋体" w:hAnsi="宋体" w:eastAsia="宋体" w:cs="宋体"/>
          <w:color w:val="auto"/>
          <w:highlight w:val="none"/>
          <w:u w:val="single"/>
          <w:lang w:val="en-US" w:eastAsia="zh-CN"/>
        </w:rPr>
        <w:t>获取</w:t>
      </w:r>
      <w:r>
        <w:rPr>
          <w:rFonts w:hint="eastAsia" w:ascii="宋体" w:hAnsi="宋体" w:eastAsia="宋体" w:cs="宋体"/>
          <w:color w:val="auto"/>
          <w:highlight w:val="none"/>
        </w:rPr>
        <w:t>招标文件，并于</w:t>
      </w:r>
      <w:r>
        <w:rPr>
          <w:rFonts w:hint="eastAsia" w:ascii="宋体" w:hAnsi="宋体" w:eastAsia="宋体" w:cs="宋体"/>
          <w:bCs/>
          <w:color w:val="auto"/>
          <w:highlight w:val="none"/>
          <w:u w:val="single"/>
        </w:rPr>
        <w:t>202</w:t>
      </w:r>
      <w:r>
        <w:rPr>
          <w:rFonts w:hint="eastAsia" w:ascii="宋体" w:hAnsi="宋体" w:eastAsia="宋体" w:cs="宋体"/>
          <w:bCs/>
          <w:color w:val="auto"/>
          <w:highlight w:val="none"/>
          <w:u w:val="single"/>
          <w:lang w:val="en-US" w:eastAsia="zh-CN"/>
        </w:rPr>
        <w:t>5</w:t>
      </w:r>
      <w:r>
        <w:rPr>
          <w:rFonts w:hint="eastAsia" w:ascii="宋体" w:hAnsi="宋体" w:eastAsia="宋体" w:cs="宋体"/>
          <w:bCs/>
          <w:color w:val="auto"/>
          <w:highlight w:val="none"/>
          <w:u w:val="single"/>
        </w:rPr>
        <w:t>年</w:t>
      </w:r>
      <w:r>
        <w:rPr>
          <w:rFonts w:hint="eastAsia" w:ascii="宋体" w:hAnsi="宋体" w:cs="宋体"/>
          <w:bCs/>
          <w:color w:val="auto"/>
          <w:highlight w:val="none"/>
          <w:u w:val="single"/>
          <w:lang w:val="en-US" w:eastAsia="zh-CN"/>
        </w:rPr>
        <w:t>09</w:t>
      </w:r>
      <w:r>
        <w:rPr>
          <w:rFonts w:hint="eastAsia" w:ascii="宋体" w:hAnsi="宋体" w:eastAsia="宋体" w:cs="宋体"/>
          <w:bCs/>
          <w:color w:val="auto"/>
          <w:highlight w:val="none"/>
          <w:u w:val="single"/>
        </w:rPr>
        <w:t>月</w:t>
      </w:r>
      <w:r>
        <w:rPr>
          <w:rFonts w:hint="eastAsia" w:ascii="宋体" w:hAnsi="宋体" w:cs="宋体"/>
          <w:bCs/>
          <w:color w:val="auto"/>
          <w:highlight w:val="none"/>
          <w:u w:val="single"/>
          <w:lang w:val="en-US" w:eastAsia="zh-CN"/>
        </w:rPr>
        <w:t>26</w:t>
      </w:r>
      <w:r>
        <w:rPr>
          <w:rFonts w:hint="eastAsia" w:ascii="宋体" w:hAnsi="宋体" w:eastAsia="宋体" w:cs="宋体"/>
          <w:bCs/>
          <w:color w:val="auto"/>
          <w:highlight w:val="none"/>
          <w:u w:val="single"/>
        </w:rPr>
        <w:t>日</w:t>
      </w:r>
      <w:r>
        <w:rPr>
          <w:rFonts w:hint="eastAsia" w:ascii="宋体" w:hAnsi="宋体" w:cs="宋体"/>
          <w:bCs/>
          <w:color w:val="auto"/>
          <w:highlight w:val="none"/>
          <w:u w:val="single"/>
          <w:lang w:val="en-US" w:eastAsia="zh-CN"/>
        </w:rPr>
        <w:t>上</w:t>
      </w:r>
      <w:r>
        <w:rPr>
          <w:rFonts w:hint="eastAsia" w:ascii="宋体" w:hAnsi="宋体" w:eastAsia="宋体" w:cs="宋体"/>
          <w:bCs/>
          <w:color w:val="auto"/>
          <w:highlight w:val="none"/>
          <w:u w:val="single"/>
        </w:rPr>
        <w:t>午</w:t>
      </w:r>
      <w:r>
        <w:rPr>
          <w:rFonts w:hint="eastAsia" w:ascii="宋体" w:hAnsi="宋体" w:cs="宋体"/>
          <w:bCs/>
          <w:color w:val="auto"/>
          <w:highlight w:val="none"/>
          <w:u w:val="single"/>
          <w:lang w:val="en-US" w:eastAsia="zh-CN"/>
        </w:rPr>
        <w:t>9</w:t>
      </w:r>
      <w:r>
        <w:rPr>
          <w:rFonts w:hint="eastAsia" w:ascii="宋体" w:hAnsi="宋体" w:eastAsia="宋体" w:cs="宋体"/>
          <w:bCs/>
          <w:color w:val="auto"/>
          <w:highlight w:val="none"/>
          <w:u w:val="single"/>
        </w:rPr>
        <w:t>:</w:t>
      </w:r>
      <w:r>
        <w:rPr>
          <w:rFonts w:hint="eastAsia" w:ascii="宋体" w:hAnsi="宋体" w:eastAsia="宋体" w:cs="宋体"/>
          <w:bCs/>
          <w:color w:val="auto"/>
          <w:highlight w:val="none"/>
          <w:u w:val="single"/>
          <w:lang w:val="en-US" w:eastAsia="zh-CN"/>
        </w:rPr>
        <w:t>3</w:t>
      </w:r>
      <w:r>
        <w:rPr>
          <w:rFonts w:hint="eastAsia" w:ascii="宋体" w:hAnsi="宋体" w:eastAsia="宋体" w:cs="宋体"/>
          <w:bCs/>
          <w:color w:val="auto"/>
          <w:highlight w:val="none"/>
          <w:u w:val="single"/>
        </w:rPr>
        <w:t>0</w:t>
      </w:r>
      <w:r>
        <w:rPr>
          <w:rFonts w:hint="eastAsia" w:ascii="宋体" w:hAnsi="宋体" w:eastAsia="宋体" w:cs="宋体"/>
          <w:bCs/>
          <w:color w:val="auto"/>
          <w:highlight w:val="none"/>
        </w:rPr>
        <w:t>（北京时间）前递交投标文件</w:t>
      </w:r>
      <w:r>
        <w:rPr>
          <w:rFonts w:hint="eastAsia" w:ascii="宋体" w:hAnsi="宋体" w:eastAsia="宋体" w:cs="宋体"/>
          <w:color w:val="auto"/>
          <w:highlight w:val="none"/>
        </w:rPr>
        <w:t>。</w:t>
      </w:r>
    </w:p>
    <w:p w14:paraId="206CB5CA">
      <w:pPr>
        <w:spacing w:line="360" w:lineRule="auto"/>
        <w:rPr>
          <w:rFonts w:hint="eastAsia" w:ascii="宋体" w:hAnsi="宋体"/>
          <w:color w:val="auto"/>
          <w:szCs w:val="21"/>
          <w:highlight w:val="none"/>
        </w:rPr>
      </w:pPr>
      <w:r>
        <w:rPr>
          <w:rFonts w:hint="eastAsia" w:ascii="宋体" w:hAnsi="宋体"/>
          <w:b/>
          <w:bCs/>
          <w:color w:val="auto"/>
          <w:szCs w:val="21"/>
          <w:highlight w:val="none"/>
        </w:rPr>
        <w:t>一、项目基本情况</w:t>
      </w:r>
      <w:bookmarkEnd w:id="1"/>
      <w:bookmarkEnd w:id="2"/>
      <w:bookmarkEnd w:id="3"/>
      <w:bookmarkEnd w:id="4"/>
    </w:p>
    <w:p w14:paraId="703D81A1">
      <w:pPr>
        <w:spacing w:line="360" w:lineRule="auto"/>
        <w:ind w:firstLine="420"/>
        <w:rPr>
          <w:rFonts w:ascii="宋体" w:hAnsi="宋体" w:cs="宋体"/>
          <w:color w:val="auto"/>
          <w:szCs w:val="21"/>
          <w:highlight w:val="none"/>
        </w:rPr>
      </w:pPr>
      <w:r>
        <w:rPr>
          <w:rFonts w:hint="eastAsia" w:ascii="宋体" w:hAnsi="宋体" w:cs="宋体"/>
          <w:color w:val="auto"/>
          <w:highlight w:val="none"/>
        </w:rPr>
        <w:t>1.项目编号：</w:t>
      </w:r>
      <w:r>
        <w:rPr>
          <w:rFonts w:hint="eastAsia" w:ascii="宋体" w:hAnsi="宋体"/>
          <w:color w:val="auto"/>
          <w:szCs w:val="21"/>
          <w:highlight w:val="none"/>
          <w:lang w:eastAsia="zh-CN"/>
        </w:rPr>
        <w:t>JSZC-320000-SWGC-G2025-0171-1号</w:t>
      </w:r>
    </w:p>
    <w:p w14:paraId="152F3227">
      <w:pPr>
        <w:spacing w:line="360"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rPr>
        <w:t>2.项目名称：</w:t>
      </w:r>
      <w:r>
        <w:rPr>
          <w:rFonts w:hint="eastAsia" w:ascii="宋体" w:hAnsi="宋体"/>
          <w:color w:val="auto"/>
          <w:szCs w:val="21"/>
          <w:highlight w:val="none"/>
          <w:lang w:eastAsia="zh-CN"/>
        </w:rPr>
        <w:t>扬州大学附属医院医疗责任险与京沪医学中心风险分担服务项目（二次）</w:t>
      </w:r>
    </w:p>
    <w:p w14:paraId="2EB4C884">
      <w:pPr>
        <w:spacing w:line="360" w:lineRule="auto"/>
        <w:ind w:firstLine="420"/>
        <w:rPr>
          <w:rFonts w:ascii="宋体" w:hAnsi="宋体" w:cs="宋体"/>
          <w:color w:val="auto"/>
          <w:highlight w:val="none"/>
        </w:rPr>
      </w:pPr>
      <w:r>
        <w:rPr>
          <w:rFonts w:hint="eastAsia" w:ascii="宋体" w:hAnsi="宋体" w:cs="宋体"/>
          <w:color w:val="auto"/>
          <w:highlight w:val="none"/>
        </w:rPr>
        <w:t>3.</w:t>
      </w:r>
      <w:r>
        <w:rPr>
          <w:rFonts w:hint="eastAsia" w:ascii="宋体" w:hAnsi="宋体"/>
          <w:color w:val="auto"/>
          <w:szCs w:val="21"/>
          <w:highlight w:val="none"/>
        </w:rPr>
        <w:t>预算金额：</w:t>
      </w:r>
      <w:r>
        <w:rPr>
          <w:rFonts w:hint="eastAsia" w:ascii="宋体" w:hAnsi="宋体" w:cs="Times New Roman"/>
          <w:color w:val="auto"/>
          <w:szCs w:val="21"/>
          <w:highlight w:val="none"/>
          <w:lang w:val="en-US" w:eastAsia="zh-CN"/>
        </w:rPr>
        <w:t>220</w:t>
      </w:r>
      <w:r>
        <w:rPr>
          <w:rFonts w:hint="eastAsia" w:ascii="宋体" w:hAnsi="宋体" w:eastAsia="宋体" w:cs="Times New Roman"/>
          <w:color w:val="auto"/>
          <w:szCs w:val="21"/>
          <w:highlight w:val="none"/>
        </w:rPr>
        <w:t>万元</w:t>
      </w:r>
    </w:p>
    <w:p w14:paraId="0598CE12">
      <w:pPr>
        <w:spacing w:line="360" w:lineRule="auto"/>
        <w:ind w:firstLine="420"/>
        <w:rPr>
          <w:rFonts w:ascii="宋体" w:hAnsi="宋体" w:cs="宋体"/>
          <w:color w:val="auto"/>
          <w:highlight w:val="none"/>
        </w:rPr>
      </w:pPr>
      <w:r>
        <w:rPr>
          <w:rFonts w:hint="eastAsia" w:ascii="宋体" w:hAnsi="宋体" w:cs="宋体"/>
          <w:color w:val="auto"/>
          <w:highlight w:val="none"/>
        </w:rPr>
        <w:t>4.最高限价</w:t>
      </w:r>
      <w:r>
        <w:rPr>
          <w:rFonts w:hint="eastAsia" w:ascii="宋体" w:hAnsi="宋体" w:cs="宋体"/>
          <w:color w:val="auto"/>
          <w:highlight w:val="none"/>
          <w:lang w:eastAsia="zh-CN"/>
        </w:rPr>
        <w:t>：最高限价</w:t>
      </w:r>
      <w:r>
        <w:rPr>
          <w:rFonts w:hint="eastAsia" w:ascii="宋体" w:hAnsi="宋体" w:cs="宋体"/>
          <w:color w:val="auto"/>
          <w:highlight w:val="none"/>
          <w:lang w:val="en-US" w:eastAsia="zh-CN"/>
        </w:rPr>
        <w:t>220</w:t>
      </w:r>
      <w:r>
        <w:rPr>
          <w:rFonts w:hint="eastAsia" w:ascii="宋体" w:hAnsi="宋体" w:cs="宋体"/>
          <w:color w:val="auto"/>
          <w:highlight w:val="none"/>
          <w:lang w:eastAsia="zh-CN"/>
        </w:rPr>
        <w:t>万元，</w:t>
      </w:r>
      <w:r>
        <w:rPr>
          <w:rFonts w:hint="eastAsia" w:ascii="宋体" w:hAnsi="宋体"/>
          <w:color w:val="auto"/>
          <w:szCs w:val="21"/>
          <w:highlight w:val="none"/>
        </w:rPr>
        <w:t>报价超过最高限价的为无效</w:t>
      </w:r>
      <w:r>
        <w:rPr>
          <w:rFonts w:hint="eastAsia" w:ascii="宋体" w:hAnsi="宋体"/>
          <w:color w:val="auto"/>
          <w:szCs w:val="21"/>
          <w:highlight w:val="none"/>
          <w:lang w:val="en-US" w:eastAsia="zh-CN"/>
        </w:rPr>
        <w:t>投标</w:t>
      </w:r>
    </w:p>
    <w:p w14:paraId="38C8DEC1">
      <w:pPr>
        <w:spacing w:line="360" w:lineRule="auto"/>
        <w:ind w:firstLine="420"/>
        <w:rPr>
          <w:rFonts w:hint="eastAsia" w:ascii="宋体" w:hAnsi="宋体"/>
          <w:color w:val="auto"/>
          <w:szCs w:val="21"/>
          <w:highlight w:val="none"/>
          <w:lang w:val="en-US" w:eastAsia="zh-CN"/>
        </w:rPr>
      </w:pPr>
      <w:r>
        <w:rPr>
          <w:rFonts w:hint="eastAsia" w:ascii="宋体" w:hAnsi="宋体" w:cs="宋体"/>
          <w:color w:val="auto"/>
          <w:highlight w:val="none"/>
        </w:rPr>
        <w:t>5.采购需求：</w:t>
      </w:r>
      <w:r>
        <w:rPr>
          <w:rFonts w:hint="eastAsia" w:ascii="宋体" w:hAnsi="宋体"/>
          <w:color w:val="auto"/>
          <w:szCs w:val="21"/>
          <w:highlight w:val="none"/>
        </w:rPr>
        <w:t>详见</w:t>
      </w:r>
      <w:r>
        <w:rPr>
          <w:rFonts w:hint="eastAsia" w:ascii="宋体" w:hAnsi="宋体"/>
          <w:color w:val="auto"/>
          <w:szCs w:val="21"/>
          <w:highlight w:val="none"/>
          <w:lang w:val="en-US" w:eastAsia="zh-CN"/>
        </w:rPr>
        <w:t>招标文件第四章</w:t>
      </w:r>
    </w:p>
    <w:p w14:paraId="056AB31F">
      <w:pPr>
        <w:spacing w:line="360" w:lineRule="auto"/>
        <w:ind w:firstLine="420"/>
        <w:rPr>
          <w:rFonts w:ascii="宋体" w:hAnsi="宋体" w:cs="宋体"/>
          <w:color w:val="auto"/>
          <w:highlight w:val="none"/>
        </w:rPr>
      </w:pPr>
      <w:r>
        <w:rPr>
          <w:rFonts w:hint="eastAsia" w:ascii="宋体" w:hAnsi="宋体" w:cs="宋体"/>
          <w:color w:val="auto"/>
          <w:highlight w:val="none"/>
        </w:rPr>
        <w:t>6.合同履行期限：</w:t>
      </w:r>
      <w:r>
        <w:rPr>
          <w:rFonts w:hint="eastAsia" w:ascii="宋体" w:hAnsi="宋体" w:cs="宋体"/>
          <w:color w:val="auto"/>
          <w:highlight w:val="none"/>
          <w:lang w:val="en-US" w:eastAsia="zh-CN"/>
        </w:rPr>
        <w:t>一年</w:t>
      </w:r>
    </w:p>
    <w:p w14:paraId="6CF9260B">
      <w:pPr>
        <w:spacing w:line="360" w:lineRule="auto"/>
        <w:ind w:firstLine="420"/>
        <w:rPr>
          <w:rFonts w:ascii="宋体" w:hAnsi="宋体" w:cs="宋体"/>
          <w:color w:val="auto"/>
          <w:highlight w:val="none"/>
        </w:rPr>
      </w:pPr>
      <w:r>
        <w:rPr>
          <w:rFonts w:hint="eastAsia" w:ascii="宋体" w:hAnsi="宋体" w:cs="宋体"/>
          <w:color w:val="auto"/>
          <w:highlight w:val="none"/>
        </w:rPr>
        <w:t xml:space="preserve">7.本项目不接受联合体投标  </w:t>
      </w:r>
    </w:p>
    <w:p w14:paraId="19536BB3">
      <w:pPr>
        <w:spacing w:line="360" w:lineRule="auto"/>
        <w:ind w:firstLine="420"/>
        <w:rPr>
          <w:rFonts w:ascii="宋体" w:hAnsi="宋体" w:cs="宋体"/>
          <w:color w:val="auto"/>
          <w:highlight w:val="none"/>
        </w:rPr>
      </w:pPr>
      <w:r>
        <w:rPr>
          <w:rFonts w:hint="eastAsia" w:ascii="宋体" w:hAnsi="宋体" w:cs="宋体"/>
          <w:color w:val="auto"/>
          <w:highlight w:val="none"/>
        </w:rPr>
        <w:t>8.本项目不接受进口产品投标</w:t>
      </w:r>
    </w:p>
    <w:p w14:paraId="1C9A7C90">
      <w:pPr>
        <w:spacing w:line="360" w:lineRule="auto"/>
        <w:rPr>
          <w:rFonts w:ascii="黑体" w:hAnsi="黑体" w:cs="宋体"/>
          <w:b/>
          <w:bCs/>
          <w:color w:val="auto"/>
          <w:sz w:val="28"/>
          <w:szCs w:val="28"/>
          <w:highlight w:val="none"/>
        </w:rPr>
      </w:pPr>
      <w:bookmarkStart w:id="6" w:name="_Toc35393799"/>
      <w:bookmarkStart w:id="7" w:name="_Toc28359013"/>
      <w:bookmarkStart w:id="8" w:name="_Toc28359090"/>
      <w:bookmarkStart w:id="9" w:name="_Toc35393630"/>
      <w:r>
        <w:rPr>
          <w:rFonts w:hint="eastAsia" w:ascii="宋体" w:hAnsi="宋体"/>
          <w:b/>
          <w:bCs/>
          <w:color w:val="auto"/>
          <w:szCs w:val="21"/>
          <w:highlight w:val="none"/>
        </w:rPr>
        <w:t>二、申请人的资格要求</w:t>
      </w:r>
      <w:r>
        <w:rPr>
          <w:rFonts w:hint="eastAsia" w:ascii="黑体" w:hAnsi="黑体" w:cs="宋体"/>
          <w:b/>
          <w:bCs/>
          <w:color w:val="auto"/>
          <w:sz w:val="28"/>
          <w:szCs w:val="28"/>
          <w:highlight w:val="none"/>
        </w:rPr>
        <w:t>：</w:t>
      </w:r>
      <w:bookmarkEnd w:id="6"/>
      <w:bookmarkEnd w:id="7"/>
      <w:bookmarkEnd w:id="8"/>
      <w:bookmarkEnd w:id="9"/>
    </w:p>
    <w:p w14:paraId="427CC6F3">
      <w:pPr>
        <w:spacing w:line="360" w:lineRule="auto"/>
        <w:ind w:firstLine="420"/>
        <w:rPr>
          <w:rFonts w:ascii="仿宋" w:hAnsi="仿宋" w:eastAsia="仿宋"/>
          <w:color w:val="auto"/>
          <w:sz w:val="28"/>
          <w:szCs w:val="28"/>
          <w:highlight w:val="none"/>
        </w:rPr>
      </w:pPr>
      <w:r>
        <w:rPr>
          <w:rFonts w:hint="eastAsia" w:ascii="宋体" w:hAnsi="宋体" w:cs="宋体"/>
          <w:color w:val="auto"/>
          <w:szCs w:val="21"/>
          <w:highlight w:val="none"/>
        </w:rPr>
        <w:t>1.满足《中华人民共和国政府采购法》第二十二条规定：</w:t>
      </w:r>
    </w:p>
    <w:p w14:paraId="19A56BCC">
      <w:pPr>
        <w:spacing w:line="360" w:lineRule="auto"/>
        <w:ind w:firstLine="420"/>
        <w:rPr>
          <w:rFonts w:hint="eastAsia" w:ascii="宋体" w:hAnsi="宋体" w:eastAsia="宋体" w:cs="宋体"/>
          <w:b/>
          <w:bCs/>
          <w:i/>
          <w:iCs/>
          <w:color w:val="auto"/>
          <w:szCs w:val="21"/>
          <w:highlight w:val="none"/>
          <w:u w:val="single"/>
          <w:lang w:eastAsia="zh-CN"/>
        </w:rPr>
      </w:pPr>
      <w:bookmarkStart w:id="10" w:name="_Toc28359014"/>
      <w:bookmarkStart w:id="11" w:name="_Toc28359091"/>
      <w:r>
        <w:rPr>
          <w:rFonts w:hint="eastAsia" w:ascii="宋体" w:hAnsi="宋体" w:cs="宋体"/>
          <w:i/>
          <w:iCs/>
          <w:color w:val="auto"/>
          <w:szCs w:val="21"/>
          <w:highlight w:val="none"/>
          <w:u w:val="single"/>
        </w:rPr>
        <w:t>1.1法人或者其他组织的营业执照等证明文件，自然人的身份证明</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复印件加盖投标人公章</w:t>
      </w:r>
      <w:r>
        <w:rPr>
          <w:rFonts w:hint="eastAsia" w:ascii="宋体" w:hAnsi="宋体" w:cs="宋体"/>
          <w:b/>
          <w:bCs/>
          <w:i/>
          <w:iCs/>
          <w:color w:val="auto"/>
          <w:szCs w:val="21"/>
          <w:highlight w:val="none"/>
          <w:u w:val="single"/>
          <w:lang w:eastAsia="zh-CN"/>
        </w:rPr>
        <w:t>）</w:t>
      </w:r>
    </w:p>
    <w:p w14:paraId="1A086B1E">
      <w:pPr>
        <w:spacing w:line="360" w:lineRule="auto"/>
        <w:ind w:firstLine="42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rPr>
        <w:t>1.2 上一年度的财务状况报告（成立不满一年无需提供）</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复印件加盖投标人公章</w:t>
      </w:r>
      <w:r>
        <w:rPr>
          <w:rFonts w:hint="eastAsia" w:ascii="宋体" w:hAnsi="宋体" w:cs="宋体"/>
          <w:b/>
          <w:bCs/>
          <w:i/>
          <w:iCs/>
          <w:color w:val="auto"/>
          <w:szCs w:val="21"/>
          <w:highlight w:val="none"/>
          <w:u w:val="single"/>
          <w:lang w:eastAsia="zh-CN"/>
        </w:rPr>
        <w:t>）</w:t>
      </w:r>
    </w:p>
    <w:p w14:paraId="6EF3DC01">
      <w:pPr>
        <w:spacing w:line="360" w:lineRule="auto"/>
        <w:ind w:firstLine="42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lang w:val="en-US" w:eastAsia="zh-CN"/>
        </w:rPr>
        <w:t>1.3</w:t>
      </w:r>
      <w:r>
        <w:rPr>
          <w:rFonts w:hint="eastAsia" w:ascii="宋体" w:hAnsi="宋体" w:eastAsia="宋体" w:cs="宋体"/>
          <w:i/>
          <w:iCs/>
          <w:color w:val="auto"/>
          <w:szCs w:val="21"/>
          <w:highlight w:val="none"/>
          <w:u w:val="single"/>
        </w:rPr>
        <w:t>依法缴纳税收和社会保障资金的相关材料（提供提交</w:t>
      </w:r>
      <w:r>
        <w:rPr>
          <w:rFonts w:hint="eastAsia" w:ascii="宋体" w:hAnsi="宋体" w:eastAsia="宋体" w:cs="宋体"/>
          <w:i/>
          <w:iCs/>
          <w:color w:val="auto"/>
          <w:szCs w:val="21"/>
          <w:highlight w:val="none"/>
          <w:u w:val="single"/>
          <w:lang w:val="en-US" w:eastAsia="zh-CN"/>
        </w:rPr>
        <w:t>投标</w:t>
      </w:r>
      <w:r>
        <w:rPr>
          <w:rFonts w:hint="eastAsia" w:ascii="宋体" w:hAnsi="宋体" w:eastAsia="宋体" w:cs="宋体"/>
          <w:i/>
          <w:iCs/>
          <w:color w:val="auto"/>
          <w:szCs w:val="21"/>
          <w:highlight w:val="none"/>
          <w:u w:val="single"/>
        </w:rPr>
        <w:t>文件截止时间前一年内至少一个月依法缴纳税收及缴纳社会保障资金的证明材料。</w:t>
      </w:r>
      <w:r>
        <w:rPr>
          <w:rFonts w:hint="eastAsia" w:ascii="宋体" w:hAnsi="宋体" w:eastAsia="宋体" w:cs="宋体"/>
          <w:i/>
          <w:iCs/>
          <w:color w:val="auto"/>
          <w:szCs w:val="21"/>
          <w:highlight w:val="none"/>
          <w:u w:val="single"/>
          <w:lang w:val="en-US" w:eastAsia="zh-CN"/>
        </w:rPr>
        <w:t>供应商</w:t>
      </w:r>
      <w:r>
        <w:rPr>
          <w:rFonts w:hint="eastAsia" w:ascii="宋体" w:hAnsi="宋体" w:eastAsia="宋体" w:cs="宋体"/>
          <w:i/>
          <w:iCs/>
          <w:color w:val="auto"/>
          <w:szCs w:val="21"/>
          <w:highlight w:val="none"/>
          <w:u w:val="single"/>
        </w:rPr>
        <w:t>依法享受缓缴、免缴税收、社会保障资金的提供证明材料。新成立企业距投标截止日不足30日的，可不提供，以新办企业营业执照发放日期为准）</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复印件加盖投标人公章</w:t>
      </w:r>
      <w:r>
        <w:rPr>
          <w:rFonts w:hint="eastAsia" w:ascii="宋体" w:hAnsi="宋体" w:cs="宋体"/>
          <w:b/>
          <w:bCs/>
          <w:i/>
          <w:iCs/>
          <w:color w:val="auto"/>
          <w:szCs w:val="21"/>
          <w:highlight w:val="none"/>
          <w:u w:val="single"/>
          <w:lang w:eastAsia="zh-CN"/>
        </w:rPr>
        <w:t>）</w:t>
      </w:r>
    </w:p>
    <w:p w14:paraId="7A2678C4">
      <w:pPr>
        <w:spacing w:line="360" w:lineRule="auto"/>
        <w:ind w:firstLine="42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lang w:val="en-US" w:eastAsia="zh-CN"/>
        </w:rPr>
        <w:t>1.4</w:t>
      </w:r>
      <w:r>
        <w:rPr>
          <w:rFonts w:hint="eastAsia" w:ascii="宋体" w:hAnsi="宋体" w:eastAsia="宋体" w:cs="宋体"/>
          <w:i/>
          <w:iCs/>
          <w:color w:val="auto"/>
          <w:szCs w:val="21"/>
          <w:highlight w:val="none"/>
          <w:u w:val="single"/>
        </w:rPr>
        <w:t>具备履行合同所必需的设备和专业技术能力的书面声明</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原件加盖投标人公章</w:t>
      </w:r>
      <w:r>
        <w:rPr>
          <w:rFonts w:hint="eastAsia" w:ascii="宋体" w:hAnsi="宋体" w:cs="宋体"/>
          <w:b/>
          <w:bCs/>
          <w:i/>
          <w:iCs/>
          <w:color w:val="auto"/>
          <w:szCs w:val="21"/>
          <w:highlight w:val="none"/>
          <w:u w:val="single"/>
          <w:lang w:eastAsia="zh-CN"/>
        </w:rPr>
        <w:t>）</w:t>
      </w:r>
    </w:p>
    <w:p w14:paraId="5F04CA51">
      <w:pPr>
        <w:spacing w:line="360" w:lineRule="auto"/>
        <w:ind w:firstLine="42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lang w:val="en-US" w:eastAsia="zh-CN"/>
        </w:rPr>
        <w:t>1.5</w:t>
      </w:r>
      <w:r>
        <w:rPr>
          <w:rFonts w:hint="eastAsia" w:ascii="宋体" w:hAnsi="宋体" w:eastAsia="宋体" w:cs="宋体"/>
          <w:i/>
          <w:iCs/>
          <w:color w:val="auto"/>
          <w:szCs w:val="21"/>
          <w:highlight w:val="none"/>
          <w:u w:val="single"/>
        </w:rPr>
        <w:t>参加政府采购活动前3年内在经营活动中没有重大违法记录的书面声明</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原件加盖投标人公章</w:t>
      </w:r>
      <w:r>
        <w:rPr>
          <w:rFonts w:hint="eastAsia" w:ascii="宋体" w:hAnsi="宋体" w:cs="宋体"/>
          <w:b/>
          <w:bCs/>
          <w:i/>
          <w:iCs/>
          <w:color w:val="auto"/>
          <w:szCs w:val="21"/>
          <w:highlight w:val="none"/>
          <w:u w:val="single"/>
          <w:lang w:eastAsia="zh-CN"/>
        </w:rPr>
        <w:t>）</w:t>
      </w:r>
    </w:p>
    <w:p w14:paraId="61AD327B">
      <w:pPr>
        <w:spacing w:line="360" w:lineRule="auto"/>
        <w:ind w:firstLine="420"/>
        <w:rPr>
          <w:rFonts w:hint="eastAsia" w:ascii="宋体" w:hAnsi="宋体" w:eastAsia="宋体" w:cs="宋体"/>
          <w:i/>
          <w:iCs/>
          <w:color w:val="auto"/>
          <w:szCs w:val="21"/>
          <w:highlight w:val="none"/>
          <w:u w:val="single"/>
        </w:rPr>
      </w:pPr>
      <w:r>
        <w:rPr>
          <w:rFonts w:hint="eastAsia" w:ascii="宋体" w:hAnsi="宋体" w:eastAsia="宋体" w:cs="宋体"/>
          <w:i/>
          <w:iCs/>
          <w:color w:val="auto"/>
          <w:szCs w:val="21"/>
          <w:highlight w:val="none"/>
          <w:u w:val="single"/>
          <w:lang w:val="en-US" w:eastAsia="zh-CN"/>
        </w:rPr>
        <w:t>1.6</w:t>
      </w:r>
      <w:r>
        <w:rPr>
          <w:rFonts w:hint="eastAsia" w:ascii="宋体" w:hAnsi="宋体" w:eastAsia="宋体" w:cs="宋体"/>
          <w:i/>
          <w:iCs/>
          <w:color w:val="auto"/>
          <w:szCs w:val="21"/>
          <w:highlight w:val="none"/>
          <w:u w:val="single"/>
        </w:rPr>
        <w:t>供应商信用承诺</w:t>
      </w:r>
      <w:r>
        <w:rPr>
          <w:rFonts w:hint="eastAsia" w:ascii="宋体" w:hAnsi="宋体" w:eastAsia="宋体" w:cs="宋体"/>
          <w:i/>
          <w:iCs/>
          <w:color w:val="auto"/>
          <w:szCs w:val="21"/>
          <w:highlight w:val="none"/>
          <w:u w:val="single"/>
          <w:lang w:val="en-US" w:eastAsia="zh-CN"/>
        </w:rPr>
        <w:t>书</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原件加盖投标人公章</w:t>
      </w:r>
      <w:r>
        <w:rPr>
          <w:rFonts w:hint="eastAsia" w:ascii="宋体" w:hAnsi="宋体" w:cs="宋体"/>
          <w:b/>
          <w:bCs/>
          <w:i/>
          <w:iCs/>
          <w:color w:val="auto"/>
          <w:szCs w:val="21"/>
          <w:highlight w:val="none"/>
          <w:u w:val="single"/>
          <w:lang w:eastAsia="zh-CN"/>
        </w:rPr>
        <w:t>）</w:t>
      </w:r>
    </w:p>
    <w:p w14:paraId="2D5551E2">
      <w:pPr>
        <w:spacing w:line="360" w:lineRule="auto"/>
        <w:ind w:firstLine="420"/>
        <w:rPr>
          <w:rFonts w:ascii="仿宋" w:hAnsi="仿宋" w:eastAsia="仿宋"/>
          <w:b/>
          <w:bCs/>
          <w:color w:val="auto"/>
          <w:sz w:val="28"/>
          <w:szCs w:val="28"/>
          <w:highlight w:val="none"/>
        </w:rPr>
      </w:pPr>
      <w:r>
        <w:rPr>
          <w:rFonts w:hint="eastAsia" w:ascii="宋体" w:hAnsi="宋体" w:eastAsia="宋体" w:cs="宋体"/>
          <w:i/>
          <w:iCs/>
          <w:color w:val="auto"/>
          <w:szCs w:val="21"/>
          <w:highlight w:val="none"/>
          <w:u w:val="single"/>
          <w:lang w:val="en-US" w:eastAsia="zh-CN"/>
        </w:rPr>
        <w:t>1.7</w:t>
      </w:r>
      <w:r>
        <w:rPr>
          <w:rFonts w:hint="eastAsia" w:ascii="宋体" w:hAnsi="宋体" w:eastAsia="宋体" w:cs="宋体"/>
          <w:i/>
          <w:iCs/>
          <w:color w:val="auto"/>
          <w:szCs w:val="21"/>
          <w:highlight w:val="none"/>
          <w:u w:val="single"/>
        </w:rPr>
        <w:t>未被“信用中国”网站（www.creditchina.gov.cn）、“中国政府采购网</w:t>
      </w:r>
      <w:r>
        <w:rPr>
          <w:rFonts w:hint="eastAsia" w:ascii="宋体" w:hAnsi="宋体" w:eastAsia="宋体" w:cs="宋体"/>
          <w:i/>
          <w:iCs/>
          <w:color w:val="auto"/>
          <w:szCs w:val="21"/>
          <w:highlight w:val="none"/>
          <w:u w:val="single"/>
          <w:lang w:eastAsia="zh-CN"/>
        </w:rPr>
        <w:t>”</w:t>
      </w:r>
      <w:r>
        <w:rPr>
          <w:rFonts w:hint="eastAsia" w:ascii="宋体" w:hAnsi="宋体" w:eastAsia="宋体" w:cs="宋体"/>
          <w:i/>
          <w:iCs/>
          <w:color w:val="auto"/>
          <w:szCs w:val="21"/>
          <w:highlight w:val="none"/>
          <w:u w:val="single"/>
        </w:rPr>
        <w:t>(www.ccgp.gov.cn)列入失信被执行人、重大税收违法案件当事人名单、政府采购严重违法失信行为记录名单及其他不符合《中华人民共和国政府采购法》第二十二条规定条件的信用记录。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eastAsia="宋体" w:cs="宋体"/>
          <w:b/>
          <w:bCs/>
          <w:i/>
          <w:iCs/>
          <w:color w:val="auto"/>
          <w:szCs w:val="21"/>
          <w:highlight w:val="none"/>
          <w:u w:val="single"/>
        </w:rPr>
        <w:t>（</w:t>
      </w:r>
      <w:r>
        <w:rPr>
          <w:rFonts w:hint="eastAsia" w:ascii="宋体" w:hAnsi="宋体" w:eastAsia="宋体" w:cs="宋体"/>
          <w:b/>
          <w:bCs/>
          <w:i/>
          <w:iCs/>
          <w:color w:val="auto"/>
          <w:szCs w:val="21"/>
          <w:highlight w:val="none"/>
          <w:u w:val="single"/>
          <w:lang w:val="en-US" w:eastAsia="zh-CN"/>
        </w:rPr>
        <w:t>投标</w:t>
      </w:r>
      <w:r>
        <w:rPr>
          <w:rFonts w:hint="eastAsia" w:ascii="宋体" w:hAnsi="宋体" w:eastAsia="宋体" w:cs="宋体"/>
          <w:b/>
          <w:bCs/>
          <w:i/>
          <w:iCs/>
          <w:color w:val="auto"/>
          <w:szCs w:val="21"/>
          <w:highlight w:val="none"/>
          <w:u w:val="single"/>
        </w:rPr>
        <w:t>文件中无需提供证明材料）</w:t>
      </w:r>
    </w:p>
    <w:p w14:paraId="22EB7CAC">
      <w:pPr>
        <w:numPr>
          <w:ilvl w:val="0"/>
          <w:numId w:val="0"/>
        </w:numPr>
        <w:spacing w:line="360" w:lineRule="auto"/>
        <w:ind w:firstLine="420"/>
        <w:rPr>
          <w:rFonts w:hint="eastAsia" w:ascii="宋体" w:hAnsi="宋体" w:eastAsia="宋体" w:cs="Times New Roman"/>
          <w:i/>
          <w:iCs/>
          <w:color w:val="auto"/>
          <w:sz w:val="21"/>
          <w:szCs w:val="21"/>
          <w:highlight w:val="none"/>
          <w:u w:val="single"/>
          <w:lang w:val="en-US" w:eastAsia="zh-CN" w:bidi="ar-SA"/>
        </w:rPr>
      </w:pPr>
      <w:bookmarkStart w:id="12" w:name="_Toc35393800"/>
      <w:bookmarkStart w:id="13" w:name="_Toc35393631"/>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落实政府采购政策需满足的资格要求：</w:t>
      </w:r>
      <w:r>
        <w:rPr>
          <w:rFonts w:hint="eastAsia" w:ascii="宋体" w:hAnsi="宋体" w:cs="宋体"/>
          <w:i/>
          <w:iCs/>
          <w:color w:val="auto"/>
          <w:szCs w:val="21"/>
          <w:highlight w:val="none"/>
          <w:u w:val="single"/>
          <w:lang w:val="en-US" w:eastAsia="zh-CN"/>
        </w:rPr>
        <w:t>无</w:t>
      </w:r>
    </w:p>
    <w:p w14:paraId="734CB005">
      <w:pPr>
        <w:numPr>
          <w:ilvl w:val="0"/>
          <w:numId w:val="0"/>
        </w:numPr>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3.本项目的特定资格要求：</w:t>
      </w:r>
    </w:p>
    <w:p w14:paraId="674DF8A1">
      <w:pPr>
        <w:spacing w:line="360" w:lineRule="auto"/>
        <w:ind w:firstLine="420"/>
        <w:rPr>
          <w:rFonts w:cs="Calibri"/>
          <w:i/>
          <w:iCs/>
          <w:color w:val="auto"/>
          <w:szCs w:val="21"/>
          <w:u w:val="single"/>
        </w:rPr>
      </w:pPr>
      <w:r>
        <w:rPr>
          <w:rFonts w:hint="eastAsia" w:ascii="宋体" w:hAnsi="宋体" w:cs="宋体"/>
          <w:i/>
          <w:iCs/>
          <w:color w:val="auto"/>
          <w:szCs w:val="21"/>
          <w:u w:val="single"/>
          <w:shd w:val="clear" w:color="auto" w:fill="FFFFFF"/>
          <w:lang w:bidi="ar"/>
        </w:rPr>
        <w:t>3.1 投标人具有经营保险业务许可证</w:t>
      </w:r>
      <w:r>
        <w:rPr>
          <w:rFonts w:hint="eastAsia" w:ascii="宋体" w:hAnsi="宋体" w:cs="宋体"/>
          <w:b/>
          <w:i/>
          <w:iCs/>
          <w:color w:val="auto"/>
          <w:szCs w:val="21"/>
          <w:u w:val="single"/>
          <w:shd w:val="clear" w:color="auto" w:fill="FFFFFF"/>
          <w:lang w:bidi="ar"/>
        </w:rPr>
        <w:t>（复印件加盖投标人公章）</w:t>
      </w:r>
    </w:p>
    <w:p w14:paraId="60812968">
      <w:pPr>
        <w:spacing w:line="360" w:lineRule="auto"/>
        <w:ind w:firstLine="420"/>
        <w:rPr>
          <w:rFonts w:cs="Calibri"/>
          <w:i/>
          <w:iCs/>
          <w:color w:val="auto"/>
          <w:szCs w:val="21"/>
          <w:highlight w:val="none"/>
          <w:u w:val="single"/>
        </w:rPr>
      </w:pPr>
      <w:r>
        <w:rPr>
          <w:rFonts w:hint="eastAsia" w:ascii="宋体" w:hAnsi="宋体" w:cs="宋体"/>
          <w:i/>
          <w:iCs/>
          <w:color w:val="auto"/>
          <w:szCs w:val="21"/>
          <w:highlight w:val="none"/>
          <w:u w:val="single"/>
          <w:shd w:val="clear" w:color="auto" w:fill="FFFFFF"/>
          <w:lang w:bidi="ar"/>
        </w:rPr>
        <w:t>3.2 投标人具有经过国家金融监督管理总局(原中国银行保险监督管理委员会)备案的医疗责任保险条款</w:t>
      </w:r>
      <w:r>
        <w:rPr>
          <w:rFonts w:hint="eastAsia" w:ascii="宋体" w:hAnsi="宋体" w:cs="宋体"/>
          <w:b/>
          <w:i/>
          <w:iCs/>
          <w:color w:val="auto"/>
          <w:szCs w:val="21"/>
          <w:highlight w:val="none"/>
          <w:u w:val="single"/>
          <w:shd w:val="clear" w:color="auto" w:fill="FFFFFF"/>
          <w:lang w:bidi="ar"/>
        </w:rPr>
        <w:t>（复印件加盖投标人公章）</w:t>
      </w:r>
    </w:p>
    <w:p w14:paraId="089ED934">
      <w:pPr>
        <w:pStyle w:val="289"/>
        <w:widowControl/>
        <w:spacing w:line="360" w:lineRule="auto"/>
        <w:ind w:left="0" w:firstLine="420"/>
        <w:rPr>
          <w:rFonts w:ascii="宋体" w:hAnsi="宋体" w:cs="宋体"/>
          <w:i/>
          <w:iCs/>
          <w:color w:val="auto"/>
          <w:u w:val="single"/>
          <w:shd w:val="clear" w:color="auto" w:fill="FFFFFF"/>
        </w:rPr>
      </w:pPr>
      <w:r>
        <w:rPr>
          <w:rFonts w:hint="eastAsia" w:ascii="宋体" w:hAnsi="宋体" w:cs="宋体"/>
          <w:i/>
          <w:iCs/>
          <w:color w:val="auto"/>
          <w:u w:val="single"/>
          <w:shd w:val="clear" w:color="auto" w:fill="FFFFFF"/>
        </w:rPr>
        <w:t>3.3 本项目仅接受具有独立法人资格的公司或其下属分公司/支公司参与投标</w:t>
      </w:r>
      <w:r>
        <w:rPr>
          <w:rFonts w:hint="eastAsia" w:ascii="宋体" w:hAnsi="宋体" w:cs="宋体"/>
          <w:b/>
          <w:i/>
          <w:iCs/>
          <w:color w:val="auto"/>
          <w:u w:val="single"/>
          <w:shd w:val="clear" w:color="auto" w:fill="FFFFFF"/>
        </w:rPr>
        <w:t>（总公司及其各分公司/支公司视为同一家公司，不得同时作为供应商参与本项目的投标，投标人需提供“自身是独立法人或是其总公司下属唯一参与本项目投标的分支机构，否则自动放弃投标资格”的承诺函，格式自拟，</w:t>
      </w:r>
      <w:r>
        <w:rPr>
          <w:rFonts w:hint="eastAsia" w:ascii="宋体" w:hAnsi="宋体" w:cs="宋体"/>
          <w:b/>
          <w:i/>
          <w:iCs/>
          <w:color w:val="auto"/>
          <w:u w:val="single"/>
        </w:rPr>
        <w:t>原件</w:t>
      </w:r>
      <w:r>
        <w:rPr>
          <w:rFonts w:hint="eastAsia" w:ascii="宋体" w:hAnsi="宋体" w:cs="宋体"/>
          <w:b/>
          <w:i/>
          <w:iCs/>
          <w:color w:val="auto"/>
          <w:u w:val="single"/>
          <w:shd w:val="clear" w:color="auto" w:fill="FFFFFF"/>
        </w:rPr>
        <w:t>加盖投标人公章</w:t>
      </w:r>
      <w:r>
        <w:rPr>
          <w:rFonts w:hint="eastAsia" w:ascii="宋体" w:hAnsi="宋体" w:cs="宋体"/>
          <w:b/>
          <w:bCs/>
          <w:i/>
          <w:iCs/>
          <w:color w:val="auto"/>
          <w:u w:val="single"/>
          <w:shd w:val="clear" w:color="auto" w:fill="FFFFFF"/>
        </w:rPr>
        <w:t>）</w:t>
      </w:r>
    </w:p>
    <w:p w14:paraId="4EF49FEA">
      <w:pPr>
        <w:tabs>
          <w:tab w:val="left" w:pos="735"/>
          <w:tab w:val="left" w:pos="1050"/>
          <w:tab w:val="left" w:pos="1080"/>
        </w:tabs>
        <w:spacing w:line="360" w:lineRule="auto"/>
        <w:ind w:firstLine="422"/>
        <w:rPr>
          <w:rFonts w:hint="eastAsia" w:ascii="宋体" w:hAnsi="宋体" w:eastAsia="宋体" w:cs="宋体"/>
          <w:b w:val="0"/>
          <w:bCs w:val="0"/>
          <w:color w:val="auto"/>
          <w:sz w:val="21"/>
          <w:szCs w:val="21"/>
          <w:highlight w:val="none"/>
        </w:rPr>
      </w:pPr>
      <w:r>
        <w:rPr>
          <w:rFonts w:hint="eastAsia" w:cs="宋体"/>
          <w:b/>
          <w:color w:val="auto"/>
          <w:szCs w:val="21"/>
          <w:lang w:bidi="ar"/>
        </w:rPr>
        <w:t>注：银行、保险、石油石化、电力、电信等因有行业特殊情况，可以分支机构身份参加采购。本文件中所需法定代表人相关材料、盖章及签字等可用分支机构负责人的相应材料代替</w:t>
      </w:r>
      <w:r>
        <w:rPr>
          <w:rFonts w:hint="eastAsia" w:ascii="宋体" w:hAnsi="宋体" w:cs="宋体"/>
          <w:b/>
          <w:color w:val="auto"/>
          <w:szCs w:val="21"/>
          <w:lang w:bidi="ar"/>
        </w:rPr>
        <w:t>。</w:t>
      </w:r>
    </w:p>
    <w:p w14:paraId="152E4338">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三、获取采购文件</w:t>
      </w:r>
      <w:bookmarkEnd w:id="10"/>
      <w:bookmarkEnd w:id="11"/>
      <w:bookmarkEnd w:id="12"/>
      <w:bookmarkEnd w:id="13"/>
    </w:p>
    <w:p w14:paraId="6D1EA21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获取期限</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自招标公告发布之日起5个工作日</w:t>
      </w:r>
      <w:r>
        <w:rPr>
          <w:rFonts w:hint="eastAsia" w:ascii="宋体" w:hAnsi="宋体" w:cs="宋体"/>
          <w:color w:val="auto"/>
          <w:highlight w:val="none"/>
        </w:rPr>
        <w:t>。</w:t>
      </w:r>
    </w:p>
    <w:p w14:paraId="312ACD06">
      <w:pPr>
        <w:spacing w:line="360" w:lineRule="auto"/>
        <w:ind w:firstLine="420"/>
        <w:rPr>
          <w:rFonts w:hint="eastAsia" w:ascii="宋体" w:hAnsi="宋体" w:eastAsia="宋体" w:cs="宋体"/>
          <w:color w:val="auto"/>
          <w:szCs w:val="21"/>
          <w:highlight w:val="none"/>
          <w:lang w:eastAsia="zh-CN"/>
        </w:rPr>
      </w:pPr>
      <w:bookmarkStart w:id="14" w:name="_Toc28359015"/>
      <w:bookmarkStart w:id="15" w:name="_Toc35393801"/>
      <w:bookmarkStart w:id="16" w:name="_Toc28359092"/>
      <w:bookmarkStart w:id="17" w:name="_Toc35393632"/>
      <w:r>
        <w:rPr>
          <w:rFonts w:hint="eastAsia" w:ascii="宋体" w:hAnsi="宋体" w:cs="宋体"/>
          <w:color w:val="auto"/>
          <w:szCs w:val="21"/>
          <w:highlight w:val="none"/>
          <w:lang w:val="en-US" w:eastAsia="zh-CN"/>
        </w:rPr>
        <w:t>获取</w:t>
      </w:r>
      <w:r>
        <w:rPr>
          <w:rFonts w:hint="eastAsia" w:ascii="宋体" w:hAnsi="宋体" w:cs="宋体"/>
          <w:color w:val="auto"/>
          <w:szCs w:val="21"/>
          <w:highlight w:val="none"/>
        </w:rPr>
        <w:t>地点：</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扬州大学附属医院网</w:t>
      </w:r>
      <w:r>
        <w:rPr>
          <w:rFonts w:hint="eastAsia" w:ascii="宋体" w:hAnsi="宋体" w:eastAsia="宋体" w:cs="宋体"/>
          <w:color w:val="auto"/>
          <w:szCs w:val="21"/>
          <w:highlight w:val="none"/>
          <w:lang w:val="en-US" w:eastAsia="zh-CN"/>
        </w:rPr>
        <w:t>”、“扬州大学网”、“江苏省政府采购网”和“中国政府采购</w:t>
      </w:r>
      <w:r>
        <w:rPr>
          <w:rFonts w:hint="eastAsia" w:ascii="宋体" w:hAnsi="宋体" w:cs="Arial"/>
          <w:color w:val="auto"/>
          <w:szCs w:val="21"/>
          <w:highlight w:val="none"/>
          <w:lang w:eastAsia="zh-CN"/>
        </w:rPr>
        <w:t>网”</w:t>
      </w:r>
    </w:p>
    <w:p w14:paraId="7BF850EA">
      <w:pPr>
        <w:tabs>
          <w:tab w:val="left" w:pos="266"/>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获取</w:t>
      </w:r>
      <w:r>
        <w:rPr>
          <w:rFonts w:hint="eastAsia" w:ascii="宋体" w:hAnsi="宋体" w:cs="宋体"/>
          <w:color w:val="auto"/>
          <w:szCs w:val="21"/>
          <w:highlight w:val="none"/>
        </w:rPr>
        <w:t>方式：</w:t>
      </w:r>
      <w:r>
        <w:rPr>
          <w:rFonts w:hint="eastAsia" w:ascii="宋体" w:hAnsi="宋体" w:cs="宋体"/>
          <w:color w:val="auto"/>
        </w:rPr>
        <w:t>招标文件提供及公告期限：自招标公告在 “扬州大学附属医院网</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扬州大学网</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江苏政府采购网</w:t>
      </w:r>
      <w:r>
        <w:rPr>
          <w:rFonts w:hint="eastAsia" w:ascii="宋体" w:hAnsi="宋体" w:cs="宋体"/>
          <w:color w:val="auto"/>
          <w:lang w:eastAsia="zh-CN"/>
        </w:rPr>
        <w:t>”</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rPr>
        <w:t>中国政府采购网</w:t>
      </w:r>
      <w:r>
        <w:rPr>
          <w:rFonts w:hint="eastAsia" w:ascii="宋体" w:hAnsi="宋体" w:cs="宋体"/>
          <w:color w:val="auto"/>
          <w:lang w:eastAsia="zh-CN"/>
        </w:rPr>
        <w:t>”</w:t>
      </w:r>
      <w:r>
        <w:rPr>
          <w:rFonts w:hint="eastAsia" w:ascii="宋体" w:hAnsi="宋体" w:cs="宋体"/>
          <w:color w:val="auto"/>
        </w:rPr>
        <w:t>发布之日起5个工作日。招标文件在“扬州大学附属医院网”、“扬州大学网”、“江苏政府采购网”、“中国政府采购网”上下载，投标人如确定参加投标，请如实填写《供应商参加投标确认函》，填写打印后加盖公章，拍照或扫描发送至邮箱（电子邮箱：</w:t>
      </w:r>
      <w:r>
        <w:rPr>
          <w:rFonts w:hint="eastAsia" w:ascii="宋体" w:hAnsi="宋体" w:cs="宋体"/>
          <w:color w:val="auto"/>
          <w:lang w:eastAsia="zh-CN"/>
        </w:rPr>
        <w:t>3391686552@qq.com</w:t>
      </w:r>
      <w:r>
        <w:rPr>
          <w:rFonts w:hint="eastAsia" w:ascii="宋体" w:hAnsi="宋体" w:cs="宋体"/>
          <w:color w:val="auto"/>
        </w:rPr>
        <w:t>，邮件标题备注企业全称+项目简称，联系电话：</w:t>
      </w:r>
      <w:r>
        <w:rPr>
          <w:rFonts w:hint="eastAsia" w:ascii="宋体" w:hAnsi="宋体" w:cs="宋体"/>
          <w:color w:val="auto"/>
          <w:lang w:eastAsia="zh-CN"/>
        </w:rPr>
        <w:t>0514-82129116</w:t>
      </w:r>
      <w:r>
        <w:rPr>
          <w:rFonts w:hint="eastAsia" w:ascii="宋体" w:hAnsi="宋体" w:cs="宋体"/>
          <w:color w:val="auto"/>
        </w:rPr>
        <w:t>）。如供应商未按上述要求去做，将自行承担所产生的风险。有关本次招标的事项若存在变动或修改，敬请及时关注“扬州大学附属医院网”、“扬州大学网”、“江苏政府采购网”、“中国政府采购网”发布的信息或更正公告。</w:t>
      </w:r>
    </w:p>
    <w:p w14:paraId="7F828BFD">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四、</w:t>
      </w:r>
      <w:r>
        <w:rPr>
          <w:rFonts w:hint="eastAsia" w:ascii="宋体" w:hAnsi="宋体" w:cs="宋体"/>
          <w:b/>
          <w:bCs/>
          <w:color w:val="auto"/>
          <w:szCs w:val="21"/>
          <w:highlight w:val="none"/>
          <w:lang w:eastAsia="zh-CN"/>
        </w:rPr>
        <w:t>投标</w:t>
      </w:r>
      <w:r>
        <w:rPr>
          <w:rFonts w:hint="eastAsia" w:ascii="宋体" w:hAnsi="宋体" w:cs="宋体"/>
          <w:b/>
          <w:bCs/>
          <w:color w:val="auto"/>
          <w:szCs w:val="21"/>
          <w:highlight w:val="none"/>
        </w:rPr>
        <w:t>文件提交</w:t>
      </w:r>
      <w:bookmarkEnd w:id="14"/>
      <w:bookmarkEnd w:id="15"/>
      <w:bookmarkEnd w:id="16"/>
      <w:bookmarkEnd w:id="17"/>
    </w:p>
    <w:p w14:paraId="016779D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bCs/>
          <w:color w:val="auto"/>
          <w:highlight w:val="none"/>
          <w:u w:val="none"/>
        </w:rPr>
        <w:t>202</w:t>
      </w:r>
      <w:r>
        <w:rPr>
          <w:rFonts w:hint="eastAsia" w:ascii="宋体" w:hAnsi="宋体" w:cs="宋体"/>
          <w:bCs/>
          <w:color w:val="auto"/>
          <w:highlight w:val="none"/>
          <w:u w:val="none"/>
          <w:lang w:val="en-US" w:eastAsia="zh-CN"/>
        </w:rPr>
        <w:t>5</w:t>
      </w:r>
      <w:r>
        <w:rPr>
          <w:rFonts w:hint="eastAsia" w:ascii="宋体" w:hAnsi="宋体" w:cs="宋体"/>
          <w:bCs/>
          <w:color w:val="auto"/>
          <w:highlight w:val="none"/>
          <w:u w:val="none"/>
        </w:rPr>
        <w:t>年</w:t>
      </w:r>
      <w:r>
        <w:rPr>
          <w:rFonts w:hint="eastAsia" w:ascii="宋体" w:hAnsi="宋体" w:cs="宋体"/>
          <w:bCs/>
          <w:color w:val="auto"/>
          <w:highlight w:val="none"/>
          <w:u w:val="none"/>
          <w:lang w:val="en-US" w:eastAsia="zh-CN"/>
        </w:rPr>
        <w:t>09</w:t>
      </w:r>
      <w:r>
        <w:rPr>
          <w:rFonts w:hint="eastAsia" w:ascii="宋体" w:hAnsi="宋体" w:cs="宋体"/>
          <w:bCs/>
          <w:color w:val="auto"/>
          <w:highlight w:val="none"/>
          <w:u w:val="none"/>
        </w:rPr>
        <w:t>月</w:t>
      </w:r>
      <w:r>
        <w:rPr>
          <w:rFonts w:hint="eastAsia" w:ascii="宋体" w:hAnsi="宋体" w:cs="宋体"/>
          <w:bCs/>
          <w:color w:val="auto"/>
          <w:highlight w:val="none"/>
          <w:u w:val="none"/>
          <w:lang w:val="en-US" w:eastAsia="zh-CN"/>
        </w:rPr>
        <w:t>26</w:t>
      </w:r>
      <w:r>
        <w:rPr>
          <w:rFonts w:hint="eastAsia" w:ascii="宋体" w:hAnsi="宋体" w:cs="宋体"/>
          <w:bCs/>
          <w:color w:val="auto"/>
          <w:highlight w:val="none"/>
          <w:u w:val="none"/>
        </w:rPr>
        <w:t xml:space="preserve">日 </w:t>
      </w:r>
      <w:r>
        <w:rPr>
          <w:rFonts w:hint="eastAsia" w:ascii="宋体" w:hAnsi="宋体" w:cs="宋体"/>
          <w:bCs/>
          <w:color w:val="auto"/>
          <w:highlight w:val="none"/>
          <w:u w:val="none"/>
          <w:lang w:val="en-US" w:eastAsia="zh-CN"/>
        </w:rPr>
        <w:t>上</w:t>
      </w:r>
      <w:r>
        <w:rPr>
          <w:rFonts w:hint="eastAsia" w:ascii="宋体" w:hAnsi="宋体" w:cs="宋体"/>
          <w:bCs/>
          <w:color w:val="auto"/>
          <w:highlight w:val="none"/>
          <w:u w:val="none"/>
        </w:rPr>
        <w:t>午</w:t>
      </w:r>
      <w:r>
        <w:rPr>
          <w:rFonts w:hint="eastAsia" w:ascii="宋体" w:hAnsi="宋体" w:cs="宋体"/>
          <w:bCs/>
          <w:color w:val="auto"/>
          <w:highlight w:val="none"/>
          <w:u w:val="none"/>
          <w:lang w:val="en-US" w:eastAsia="zh-CN"/>
        </w:rPr>
        <w:t>9</w:t>
      </w:r>
      <w:r>
        <w:rPr>
          <w:rFonts w:hint="eastAsia" w:ascii="宋体" w:hAnsi="宋体" w:cs="宋体"/>
          <w:bCs/>
          <w:color w:val="auto"/>
          <w:highlight w:val="none"/>
          <w:u w:val="none"/>
        </w:rPr>
        <w:t>:</w:t>
      </w:r>
      <w:r>
        <w:rPr>
          <w:rFonts w:hint="eastAsia" w:ascii="宋体" w:hAnsi="宋体" w:cs="宋体"/>
          <w:bCs/>
          <w:color w:val="auto"/>
          <w:highlight w:val="none"/>
          <w:u w:val="none"/>
          <w:lang w:val="en-US" w:eastAsia="zh-CN"/>
        </w:rPr>
        <w:t>3</w:t>
      </w:r>
      <w:r>
        <w:rPr>
          <w:rFonts w:hint="eastAsia" w:ascii="宋体" w:hAnsi="宋体" w:cs="宋体"/>
          <w:bCs/>
          <w:color w:val="auto"/>
          <w:highlight w:val="none"/>
          <w:u w:val="none"/>
        </w:rPr>
        <w:t>0</w:t>
      </w:r>
      <w:r>
        <w:rPr>
          <w:rFonts w:hint="eastAsia" w:ascii="宋体" w:hAnsi="宋体" w:eastAsia="宋体" w:cs="宋体"/>
          <w:color w:val="auto"/>
          <w:szCs w:val="21"/>
          <w:highlight w:val="none"/>
        </w:rPr>
        <w:t>（北京时间）</w:t>
      </w:r>
    </w:p>
    <w:p w14:paraId="6541C06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地点：江苏苏维工程管理有限公司</w:t>
      </w:r>
      <w:r>
        <w:rPr>
          <w:rFonts w:hint="eastAsia" w:ascii="宋体" w:hAnsi="宋体" w:eastAsia="宋体" w:cs="宋体"/>
          <w:color w:val="auto"/>
          <w:szCs w:val="21"/>
          <w:highlight w:val="none"/>
          <w:lang w:val="en-US" w:eastAsia="zh-CN"/>
        </w:rPr>
        <w:t>三楼东</w:t>
      </w:r>
      <w:r>
        <w:rPr>
          <w:rFonts w:hint="eastAsia" w:ascii="宋体" w:hAnsi="宋体" w:eastAsia="宋体" w:cs="宋体"/>
          <w:color w:val="auto"/>
          <w:szCs w:val="21"/>
          <w:highlight w:val="none"/>
        </w:rPr>
        <w:t>开标</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室(扬州市</w:t>
      </w:r>
      <w:r>
        <w:rPr>
          <w:rFonts w:hint="eastAsia" w:ascii="宋体" w:hAnsi="宋体" w:eastAsia="宋体" w:cs="宋体"/>
          <w:color w:val="auto"/>
          <w:szCs w:val="21"/>
          <w:highlight w:val="none"/>
          <w:lang w:val="en-US" w:eastAsia="zh-CN"/>
        </w:rPr>
        <w:t>邗江区</w:t>
      </w:r>
      <w:r>
        <w:rPr>
          <w:rFonts w:hint="eastAsia" w:ascii="宋体" w:hAnsi="宋体" w:eastAsia="宋体" w:cs="宋体"/>
          <w:color w:val="auto"/>
          <w:szCs w:val="21"/>
          <w:highlight w:val="none"/>
        </w:rPr>
        <w:t>翠岗路48号)</w:t>
      </w:r>
    </w:p>
    <w:p w14:paraId="344DB055">
      <w:pPr>
        <w:spacing w:line="360" w:lineRule="auto"/>
        <w:ind w:firstLine="422"/>
        <w:rPr>
          <w:rFonts w:hint="eastAsia" w:ascii="宋体" w:hAnsi="宋体" w:eastAsia="宋体" w:cs="宋体"/>
          <w:color w:val="auto"/>
          <w:szCs w:val="21"/>
          <w:highlight w:val="none"/>
        </w:rPr>
      </w:pPr>
      <w:r>
        <w:rPr>
          <w:rFonts w:hint="eastAsia" w:ascii="Times New Roman" w:hAnsi="Times New Roman" w:eastAsia="宋体" w:cs="宋体"/>
          <w:b/>
          <w:bCs/>
          <w:i/>
          <w:iCs/>
          <w:color w:val="auto"/>
          <w:sz w:val="21"/>
          <w:szCs w:val="21"/>
          <w:highlight w:val="none"/>
          <w:u w:val="single"/>
        </w:rPr>
        <w:t>注：</w:t>
      </w:r>
      <w:r>
        <w:rPr>
          <w:rFonts w:hint="eastAsia" w:ascii="Times New Roman" w:hAnsi="Times New Roman" w:eastAsia="宋体" w:cs="宋体"/>
          <w:b/>
          <w:bCs/>
          <w:i/>
          <w:iCs/>
          <w:color w:val="auto"/>
          <w:sz w:val="21"/>
          <w:szCs w:val="21"/>
          <w:highlight w:val="none"/>
          <w:u w:val="single"/>
          <w:lang w:val="en-US" w:eastAsia="zh-CN"/>
        </w:rPr>
        <w:t>投标人</w:t>
      </w:r>
      <w:r>
        <w:rPr>
          <w:rFonts w:hint="eastAsia" w:ascii="Times New Roman" w:hAnsi="Times New Roman" w:eastAsia="宋体" w:cs="宋体"/>
          <w:b/>
          <w:bCs/>
          <w:i/>
          <w:iCs/>
          <w:color w:val="auto"/>
          <w:sz w:val="21"/>
          <w:szCs w:val="21"/>
          <w:highlight w:val="none"/>
          <w:u w:val="single"/>
        </w:rPr>
        <w:t>须由法定代表人或其授权委托人现场参加</w:t>
      </w:r>
      <w:r>
        <w:rPr>
          <w:rFonts w:hint="eastAsia" w:ascii="Times New Roman" w:hAnsi="Times New Roman" w:eastAsia="宋体" w:cs="宋体"/>
          <w:b/>
          <w:bCs/>
          <w:i/>
          <w:iCs/>
          <w:color w:val="auto"/>
          <w:sz w:val="21"/>
          <w:szCs w:val="21"/>
          <w:highlight w:val="none"/>
          <w:u w:val="single"/>
          <w:lang w:val="en-US" w:eastAsia="zh-CN"/>
        </w:rPr>
        <w:t>投标</w:t>
      </w:r>
      <w:r>
        <w:rPr>
          <w:rFonts w:hint="eastAsia" w:ascii="Times New Roman" w:hAnsi="Times New Roman" w:eastAsia="宋体" w:cs="宋体"/>
          <w:b/>
          <w:bCs/>
          <w:i/>
          <w:iCs/>
          <w:color w:val="auto"/>
          <w:sz w:val="21"/>
          <w:szCs w:val="21"/>
          <w:highlight w:val="none"/>
          <w:u w:val="single"/>
        </w:rPr>
        <w:t>并递交</w:t>
      </w:r>
      <w:r>
        <w:rPr>
          <w:rFonts w:hint="eastAsia" w:ascii="Times New Roman" w:hAnsi="Times New Roman" w:eastAsia="宋体" w:cs="宋体"/>
          <w:b/>
          <w:bCs/>
          <w:i/>
          <w:iCs/>
          <w:color w:val="auto"/>
          <w:sz w:val="21"/>
          <w:szCs w:val="21"/>
          <w:highlight w:val="none"/>
          <w:u w:val="single"/>
          <w:lang w:val="en-US" w:eastAsia="zh-CN"/>
        </w:rPr>
        <w:t>投标</w:t>
      </w:r>
      <w:r>
        <w:rPr>
          <w:rFonts w:hint="eastAsia" w:ascii="Times New Roman" w:hAnsi="Times New Roman" w:eastAsia="宋体" w:cs="宋体"/>
          <w:b/>
          <w:bCs/>
          <w:i/>
          <w:iCs/>
          <w:color w:val="auto"/>
          <w:sz w:val="21"/>
          <w:szCs w:val="21"/>
          <w:highlight w:val="none"/>
          <w:u w:val="single"/>
        </w:rPr>
        <w:t>文件，否则</w:t>
      </w:r>
      <w:r>
        <w:rPr>
          <w:rFonts w:hint="eastAsia" w:ascii="Times New Roman" w:hAnsi="Times New Roman" w:eastAsia="宋体" w:cs="宋体"/>
          <w:b/>
          <w:bCs/>
          <w:i/>
          <w:iCs/>
          <w:color w:val="auto"/>
          <w:sz w:val="21"/>
          <w:szCs w:val="21"/>
          <w:highlight w:val="none"/>
          <w:u w:val="single"/>
          <w:lang w:val="en-US" w:eastAsia="zh-CN"/>
        </w:rPr>
        <w:t>投标</w:t>
      </w:r>
      <w:r>
        <w:rPr>
          <w:rFonts w:hint="eastAsia" w:ascii="Times New Roman" w:hAnsi="Times New Roman" w:eastAsia="宋体" w:cs="宋体"/>
          <w:b/>
          <w:bCs/>
          <w:i/>
          <w:iCs/>
          <w:color w:val="auto"/>
          <w:sz w:val="21"/>
          <w:szCs w:val="21"/>
          <w:highlight w:val="none"/>
          <w:u w:val="single"/>
        </w:rPr>
        <w:t>文件不予接收。递交</w:t>
      </w:r>
      <w:r>
        <w:rPr>
          <w:rFonts w:hint="eastAsia" w:ascii="Times New Roman" w:hAnsi="Times New Roman" w:eastAsia="宋体" w:cs="宋体"/>
          <w:b/>
          <w:bCs/>
          <w:i/>
          <w:iCs/>
          <w:color w:val="auto"/>
          <w:sz w:val="21"/>
          <w:szCs w:val="21"/>
          <w:highlight w:val="none"/>
          <w:u w:val="single"/>
          <w:lang w:val="en-US" w:eastAsia="zh-CN"/>
        </w:rPr>
        <w:t>投标</w:t>
      </w:r>
      <w:r>
        <w:rPr>
          <w:rFonts w:hint="eastAsia" w:ascii="Times New Roman" w:hAnsi="Times New Roman" w:eastAsia="宋体" w:cs="宋体"/>
          <w:b/>
          <w:bCs/>
          <w:i/>
          <w:iCs/>
          <w:color w:val="auto"/>
          <w:sz w:val="21"/>
          <w:szCs w:val="21"/>
          <w:highlight w:val="none"/>
          <w:u w:val="single"/>
        </w:rPr>
        <w:t>文件时现场核查法定代表人或授权委托人身份证原件。</w:t>
      </w:r>
    </w:p>
    <w:p w14:paraId="1A693048">
      <w:pPr>
        <w:spacing w:line="360" w:lineRule="auto"/>
        <w:rPr>
          <w:rFonts w:hint="eastAsia" w:ascii="宋体" w:hAnsi="宋体" w:eastAsia="宋体" w:cs="宋体"/>
          <w:color w:val="auto"/>
          <w:szCs w:val="21"/>
          <w:highlight w:val="none"/>
          <w:lang w:eastAsia="zh-CN"/>
        </w:rPr>
      </w:pPr>
      <w:bookmarkStart w:id="18" w:name="_Toc35393802"/>
      <w:bookmarkStart w:id="19" w:name="_Toc28359093"/>
      <w:bookmarkStart w:id="20" w:name="_Toc28359016"/>
      <w:bookmarkStart w:id="21" w:name="_Toc35393633"/>
      <w:r>
        <w:rPr>
          <w:rFonts w:hint="eastAsia" w:ascii="宋体" w:hAnsi="宋体" w:cs="宋体"/>
          <w:b/>
          <w:bCs/>
          <w:color w:val="auto"/>
          <w:szCs w:val="21"/>
          <w:highlight w:val="none"/>
        </w:rPr>
        <w:t>五、</w:t>
      </w:r>
      <w:bookmarkEnd w:id="18"/>
      <w:bookmarkEnd w:id="19"/>
      <w:bookmarkEnd w:id="20"/>
      <w:bookmarkEnd w:id="21"/>
      <w:r>
        <w:rPr>
          <w:rFonts w:hint="eastAsia" w:ascii="宋体" w:hAnsi="宋体" w:cs="宋体"/>
          <w:b/>
          <w:bCs/>
          <w:color w:val="auto"/>
          <w:szCs w:val="21"/>
          <w:highlight w:val="none"/>
          <w:lang w:val="en-US" w:eastAsia="zh-CN"/>
        </w:rPr>
        <w:t>开标</w:t>
      </w:r>
    </w:p>
    <w:p w14:paraId="272E5B2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cs="宋体"/>
          <w:bCs/>
          <w:color w:val="auto"/>
          <w:highlight w:val="none"/>
          <w:u w:val="none"/>
        </w:rPr>
        <w:t>202</w:t>
      </w:r>
      <w:r>
        <w:rPr>
          <w:rFonts w:hint="eastAsia" w:ascii="宋体" w:hAnsi="宋体" w:cs="宋体"/>
          <w:bCs/>
          <w:color w:val="auto"/>
          <w:highlight w:val="none"/>
          <w:u w:val="none"/>
          <w:lang w:val="en-US" w:eastAsia="zh-CN"/>
        </w:rPr>
        <w:t>5</w:t>
      </w:r>
      <w:r>
        <w:rPr>
          <w:rFonts w:hint="eastAsia" w:ascii="宋体" w:hAnsi="宋体" w:cs="宋体"/>
          <w:bCs/>
          <w:color w:val="auto"/>
          <w:highlight w:val="none"/>
          <w:u w:val="none"/>
        </w:rPr>
        <w:t>年</w:t>
      </w:r>
      <w:r>
        <w:rPr>
          <w:rFonts w:hint="eastAsia" w:ascii="宋体" w:hAnsi="宋体" w:cs="宋体"/>
          <w:bCs/>
          <w:color w:val="auto"/>
          <w:highlight w:val="none"/>
          <w:u w:val="none"/>
          <w:lang w:val="en-US" w:eastAsia="zh-CN"/>
        </w:rPr>
        <w:t>09</w:t>
      </w:r>
      <w:r>
        <w:rPr>
          <w:rFonts w:hint="eastAsia" w:ascii="宋体" w:hAnsi="宋体" w:cs="宋体"/>
          <w:bCs/>
          <w:color w:val="auto"/>
          <w:highlight w:val="none"/>
          <w:u w:val="none"/>
        </w:rPr>
        <w:t>月</w:t>
      </w:r>
      <w:r>
        <w:rPr>
          <w:rFonts w:hint="eastAsia" w:ascii="宋体" w:hAnsi="宋体" w:cs="宋体"/>
          <w:bCs/>
          <w:color w:val="auto"/>
          <w:highlight w:val="none"/>
          <w:u w:val="none"/>
          <w:lang w:val="en-US" w:eastAsia="zh-CN"/>
        </w:rPr>
        <w:t>26</w:t>
      </w:r>
      <w:r>
        <w:rPr>
          <w:rFonts w:hint="eastAsia" w:ascii="宋体" w:hAnsi="宋体" w:cs="宋体"/>
          <w:bCs/>
          <w:color w:val="auto"/>
          <w:highlight w:val="none"/>
          <w:u w:val="none"/>
        </w:rPr>
        <w:t>日</w:t>
      </w:r>
      <w:r>
        <w:rPr>
          <w:rFonts w:hint="eastAsia" w:ascii="宋体" w:hAnsi="宋体" w:cs="宋体"/>
          <w:bCs/>
          <w:color w:val="auto"/>
          <w:highlight w:val="none"/>
          <w:u w:val="none"/>
          <w:lang w:val="en-US" w:eastAsia="zh-CN"/>
        </w:rPr>
        <w:t>上</w:t>
      </w:r>
      <w:r>
        <w:rPr>
          <w:rFonts w:hint="eastAsia" w:ascii="宋体" w:hAnsi="宋体" w:cs="宋体"/>
          <w:bCs/>
          <w:color w:val="auto"/>
          <w:highlight w:val="none"/>
          <w:u w:val="none"/>
        </w:rPr>
        <w:t>午</w:t>
      </w:r>
      <w:r>
        <w:rPr>
          <w:rFonts w:hint="eastAsia" w:ascii="宋体" w:hAnsi="宋体" w:cs="宋体"/>
          <w:bCs/>
          <w:color w:val="auto"/>
          <w:highlight w:val="none"/>
          <w:u w:val="none"/>
          <w:lang w:val="en-US" w:eastAsia="zh-CN"/>
        </w:rPr>
        <w:t>9</w:t>
      </w:r>
      <w:r>
        <w:rPr>
          <w:rFonts w:hint="eastAsia" w:ascii="宋体" w:hAnsi="宋体" w:cs="宋体"/>
          <w:bCs/>
          <w:color w:val="auto"/>
          <w:highlight w:val="none"/>
          <w:u w:val="none"/>
        </w:rPr>
        <w:t>:</w:t>
      </w:r>
      <w:r>
        <w:rPr>
          <w:rFonts w:hint="eastAsia" w:ascii="宋体" w:hAnsi="宋体" w:cs="宋体"/>
          <w:bCs/>
          <w:color w:val="auto"/>
          <w:highlight w:val="none"/>
          <w:u w:val="none"/>
          <w:lang w:val="en-US" w:eastAsia="zh-CN"/>
        </w:rPr>
        <w:t>3</w:t>
      </w:r>
      <w:r>
        <w:rPr>
          <w:rFonts w:hint="eastAsia" w:ascii="宋体" w:hAnsi="宋体" w:cs="宋体"/>
          <w:bCs/>
          <w:color w:val="auto"/>
          <w:highlight w:val="none"/>
          <w:u w:val="none"/>
        </w:rPr>
        <w:t>0</w:t>
      </w:r>
      <w:r>
        <w:rPr>
          <w:rFonts w:hint="eastAsia" w:ascii="宋体" w:hAnsi="宋体" w:eastAsia="宋体" w:cs="宋体"/>
          <w:color w:val="auto"/>
          <w:szCs w:val="21"/>
          <w:highlight w:val="none"/>
        </w:rPr>
        <w:t>（北京时间）</w:t>
      </w:r>
    </w:p>
    <w:p w14:paraId="078C8E5B">
      <w:pPr>
        <w:spacing w:line="360" w:lineRule="auto"/>
        <w:ind w:firstLine="420"/>
        <w:rPr>
          <w:rFonts w:hint="eastAsia" w:ascii="宋体" w:hAnsi="宋体" w:cs="宋体"/>
          <w:color w:val="auto"/>
          <w:szCs w:val="21"/>
          <w:highlight w:val="none"/>
        </w:rPr>
      </w:pPr>
      <w:r>
        <w:rPr>
          <w:rFonts w:hint="eastAsia" w:ascii="宋体" w:hAnsi="宋体" w:eastAsia="宋体" w:cs="宋体"/>
          <w:color w:val="auto"/>
          <w:szCs w:val="21"/>
          <w:highlight w:val="none"/>
        </w:rPr>
        <w:t>地点：江苏苏维工程管理有限公司</w:t>
      </w:r>
      <w:r>
        <w:rPr>
          <w:rFonts w:hint="eastAsia" w:ascii="宋体" w:hAnsi="宋体" w:eastAsia="宋体" w:cs="宋体"/>
          <w:color w:val="auto"/>
          <w:szCs w:val="21"/>
          <w:highlight w:val="none"/>
          <w:lang w:val="en-US" w:eastAsia="zh-CN"/>
        </w:rPr>
        <w:t>三楼东</w:t>
      </w:r>
      <w:r>
        <w:rPr>
          <w:rFonts w:hint="eastAsia" w:ascii="宋体" w:hAnsi="宋体" w:eastAsia="宋体" w:cs="宋体"/>
          <w:color w:val="auto"/>
          <w:szCs w:val="21"/>
          <w:highlight w:val="none"/>
        </w:rPr>
        <w:t>开标</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室(扬州市</w:t>
      </w:r>
      <w:r>
        <w:rPr>
          <w:rFonts w:hint="eastAsia" w:ascii="宋体" w:hAnsi="宋体" w:eastAsia="宋体" w:cs="宋体"/>
          <w:color w:val="auto"/>
          <w:szCs w:val="21"/>
          <w:highlight w:val="none"/>
          <w:lang w:val="en-US" w:eastAsia="zh-CN"/>
        </w:rPr>
        <w:t>邗江区</w:t>
      </w:r>
      <w:r>
        <w:rPr>
          <w:rFonts w:hint="eastAsia" w:ascii="宋体" w:hAnsi="宋体" w:eastAsia="宋体" w:cs="宋体"/>
          <w:color w:val="auto"/>
          <w:szCs w:val="21"/>
          <w:highlight w:val="none"/>
        </w:rPr>
        <w:t>翠岗路48号)</w:t>
      </w:r>
    </w:p>
    <w:p w14:paraId="4435A77D">
      <w:pPr>
        <w:spacing w:line="360" w:lineRule="auto"/>
        <w:rPr>
          <w:rFonts w:hint="eastAsia" w:ascii="宋体" w:hAnsi="宋体" w:cs="宋体"/>
          <w:b/>
          <w:bCs/>
          <w:color w:val="auto"/>
          <w:szCs w:val="21"/>
          <w:highlight w:val="none"/>
        </w:rPr>
      </w:pPr>
      <w:bookmarkStart w:id="22" w:name="_Toc35393803"/>
      <w:bookmarkStart w:id="23" w:name="_Toc35393634"/>
      <w:bookmarkStart w:id="24" w:name="_Toc28359017"/>
      <w:bookmarkStart w:id="25" w:name="_Toc28359094"/>
      <w:r>
        <w:rPr>
          <w:rFonts w:hint="eastAsia" w:ascii="宋体" w:hAnsi="宋体" w:cs="宋体"/>
          <w:b/>
          <w:bCs/>
          <w:color w:val="auto"/>
          <w:szCs w:val="21"/>
          <w:highlight w:val="none"/>
        </w:rPr>
        <w:t>六、公告期限</w:t>
      </w:r>
      <w:bookmarkEnd w:id="22"/>
      <w:bookmarkEnd w:id="23"/>
      <w:bookmarkEnd w:id="24"/>
      <w:bookmarkEnd w:id="25"/>
    </w:p>
    <w:p w14:paraId="73128E9C">
      <w:pPr>
        <w:spacing w:line="360" w:lineRule="auto"/>
        <w:ind w:firstLine="420"/>
        <w:rPr>
          <w:rFonts w:hint="eastAsia" w:ascii="宋体" w:hAnsi="宋体" w:cs="宋体"/>
          <w:b/>
          <w:bCs/>
          <w:color w:val="auto"/>
          <w:szCs w:val="21"/>
          <w:highlight w:val="none"/>
        </w:rPr>
      </w:pPr>
      <w:r>
        <w:rPr>
          <w:rFonts w:hint="eastAsia" w:ascii="宋体" w:hAnsi="宋体" w:cs="宋体"/>
          <w:color w:val="auto"/>
          <w:highlight w:val="none"/>
        </w:rPr>
        <w:t>招标公告及招标文件公告期限为自本公告发布之日起5个工作日</w:t>
      </w:r>
      <w:r>
        <w:rPr>
          <w:rFonts w:hint="eastAsia" w:ascii="宋体" w:hAnsi="宋体" w:cs="宋体"/>
          <w:color w:val="auto"/>
          <w:szCs w:val="21"/>
          <w:highlight w:val="none"/>
        </w:rPr>
        <w:t>。</w:t>
      </w:r>
      <w:r>
        <w:rPr>
          <w:rFonts w:hint="eastAsia" w:ascii="宋体" w:hAnsi="宋体" w:cs="宋体"/>
          <w:color w:val="auto"/>
          <w:highlight w:val="none"/>
        </w:rPr>
        <w:t>5个工作日后仍可下载招标文件，但不作为供应商权益受到损害的证明材料和依据。</w:t>
      </w:r>
    </w:p>
    <w:p w14:paraId="394E79C5">
      <w:pPr>
        <w:spacing w:line="360" w:lineRule="auto"/>
        <w:rPr>
          <w:rFonts w:hint="eastAsia" w:ascii="宋体" w:hAnsi="宋体" w:cs="宋体"/>
          <w:b/>
          <w:bCs/>
          <w:color w:val="auto"/>
          <w:szCs w:val="21"/>
          <w:highlight w:val="none"/>
        </w:rPr>
      </w:pPr>
      <w:bookmarkStart w:id="26" w:name="_Toc35393804"/>
      <w:bookmarkStart w:id="27" w:name="_Toc35393635"/>
      <w:r>
        <w:rPr>
          <w:rFonts w:hint="eastAsia" w:ascii="宋体" w:hAnsi="宋体" w:cs="宋体"/>
          <w:b/>
          <w:bCs/>
          <w:color w:val="auto"/>
          <w:szCs w:val="21"/>
          <w:highlight w:val="none"/>
        </w:rPr>
        <w:t>七、其他补充事宜</w:t>
      </w:r>
      <w:bookmarkEnd w:id="26"/>
      <w:bookmarkEnd w:id="27"/>
    </w:p>
    <w:p w14:paraId="71B4FE6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Times New Roman" w:hAnsi="Times New Roman" w:eastAsia="宋体"/>
          <w:b/>
          <w:bCs/>
          <w:i/>
          <w:iCs/>
          <w:color w:val="auto"/>
          <w:szCs w:val="21"/>
          <w:highlight w:val="none"/>
          <w:u w:val="single"/>
        </w:rPr>
        <w:t>纸质版一式伍份</w:t>
      </w:r>
      <w:r>
        <w:rPr>
          <w:rFonts w:hint="eastAsia" w:ascii="Times New Roman" w:hAnsi="Times New Roman" w:eastAsia="宋体"/>
          <w:b/>
          <w:bCs/>
          <w:i/>
          <w:iCs/>
          <w:color w:val="auto"/>
          <w:szCs w:val="21"/>
          <w:highlight w:val="none"/>
          <w:u w:val="single"/>
          <w:lang w:eastAsia="zh-CN"/>
        </w:rPr>
        <w:t>（</w:t>
      </w:r>
      <w:r>
        <w:rPr>
          <w:rFonts w:ascii="Times New Roman" w:hAnsi="Times New Roman" w:eastAsia="宋体"/>
          <w:b/>
          <w:bCs/>
          <w:i/>
          <w:iCs/>
          <w:color w:val="auto"/>
          <w:szCs w:val="21"/>
          <w:highlight w:val="none"/>
          <w:u w:val="single"/>
        </w:rPr>
        <w:t>壹份正本、肆份副本</w:t>
      </w:r>
      <w:r>
        <w:rPr>
          <w:rFonts w:hint="eastAsia" w:ascii="Times New Roman" w:hAnsi="Times New Roman" w:eastAsia="宋体"/>
          <w:b/>
          <w:bCs/>
          <w:i/>
          <w:iCs/>
          <w:color w:val="auto"/>
          <w:szCs w:val="21"/>
          <w:highlight w:val="none"/>
          <w:u w:val="single"/>
          <w:lang w:eastAsia="zh-CN"/>
        </w:rPr>
        <w:t>）</w:t>
      </w:r>
      <w:r>
        <w:rPr>
          <w:rFonts w:ascii="Times New Roman" w:hAnsi="Times New Roman" w:eastAsia="宋体"/>
          <w:b/>
          <w:bCs/>
          <w:i/>
          <w:iCs/>
          <w:color w:val="auto"/>
          <w:szCs w:val="21"/>
          <w:highlight w:val="none"/>
          <w:u w:val="single"/>
        </w:rPr>
        <w:t>、电子版壹份</w:t>
      </w:r>
      <w:r>
        <w:rPr>
          <w:rFonts w:hint="eastAsia" w:ascii="Times New Roman" w:hAnsi="Times New Roman" w:eastAsia="宋体" w:cs="Times New Roman"/>
          <w:b/>
          <w:bCs/>
          <w:i/>
          <w:iCs/>
          <w:color w:val="auto"/>
          <w:szCs w:val="21"/>
          <w:highlight w:val="none"/>
          <w:u w:val="single"/>
          <w:lang w:eastAsia="zh-CN"/>
        </w:rPr>
        <w:t>（</w:t>
      </w:r>
      <w:r>
        <w:rPr>
          <w:rFonts w:ascii="Times New Roman" w:hAnsi="Times New Roman" w:eastAsia="宋体" w:cs="Times New Roman"/>
          <w:b/>
          <w:bCs/>
          <w:i/>
          <w:iCs/>
          <w:color w:val="auto"/>
          <w:szCs w:val="21"/>
          <w:highlight w:val="none"/>
          <w:u w:val="single"/>
        </w:rPr>
        <w:t>应为</w:t>
      </w:r>
      <w:r>
        <w:rPr>
          <w:rFonts w:hint="eastAsia" w:ascii="Times New Roman" w:hAnsi="Times New Roman" w:eastAsia="宋体" w:cs="Times New Roman"/>
          <w:b/>
          <w:bCs/>
          <w:i/>
          <w:iCs/>
          <w:color w:val="auto"/>
          <w:szCs w:val="21"/>
          <w:highlight w:val="none"/>
          <w:u w:val="single"/>
          <w:lang w:val="en-US" w:eastAsia="zh-CN"/>
        </w:rPr>
        <w:t>不加密的</w:t>
      </w:r>
      <w:r>
        <w:rPr>
          <w:rFonts w:ascii="Times New Roman" w:hAnsi="Times New Roman" w:eastAsia="宋体" w:cs="Times New Roman"/>
          <w:b/>
          <w:bCs/>
          <w:i/>
          <w:iCs/>
          <w:color w:val="auto"/>
          <w:szCs w:val="21"/>
          <w:highlight w:val="none"/>
          <w:u w:val="single"/>
        </w:rPr>
        <w:t>U盘或光盘形式</w:t>
      </w:r>
      <w:r>
        <w:rPr>
          <w:rFonts w:hint="eastAsia" w:ascii="Times New Roman" w:hAnsi="Times New Roman" w:eastAsia="宋体" w:cs="Times New Roman"/>
          <w:b/>
          <w:bCs/>
          <w:i/>
          <w:iCs/>
          <w:color w:val="auto"/>
          <w:szCs w:val="21"/>
          <w:highlight w:val="none"/>
          <w:u w:val="single"/>
          <w:lang w:val="en-US" w:eastAsia="zh-CN"/>
        </w:rPr>
        <w:t>递交</w:t>
      </w:r>
      <w:r>
        <w:rPr>
          <w:rFonts w:ascii="Times New Roman" w:hAnsi="Times New Roman" w:eastAsia="宋体" w:cs="Times New Roman"/>
          <w:b/>
          <w:bCs/>
          <w:i/>
          <w:iCs/>
          <w:color w:val="auto"/>
          <w:szCs w:val="21"/>
          <w:highlight w:val="none"/>
          <w:u w:val="single"/>
        </w:rPr>
        <w:t>、</w:t>
      </w:r>
      <w:r>
        <w:rPr>
          <w:rFonts w:hint="eastAsia" w:ascii="Times New Roman" w:hAnsi="Times New Roman" w:eastAsia="宋体" w:cs="Times New Roman"/>
          <w:b/>
          <w:bCs/>
          <w:i/>
          <w:iCs/>
          <w:color w:val="auto"/>
          <w:szCs w:val="21"/>
          <w:highlight w:val="none"/>
          <w:u w:val="single"/>
          <w:lang w:val="en-US" w:eastAsia="zh-CN"/>
        </w:rPr>
        <w:t>内容为</w:t>
      </w:r>
      <w:r>
        <w:rPr>
          <w:rFonts w:ascii="Times New Roman" w:hAnsi="Times New Roman" w:eastAsia="宋体" w:cs="Times New Roman"/>
          <w:b/>
          <w:bCs/>
          <w:i/>
          <w:iCs/>
          <w:color w:val="auto"/>
          <w:szCs w:val="21"/>
          <w:highlight w:val="none"/>
          <w:u w:val="single"/>
        </w:rPr>
        <w:t>盖章后的</w:t>
      </w:r>
      <w:r>
        <w:rPr>
          <w:rFonts w:hint="eastAsia" w:ascii="Times New Roman" w:hAnsi="Times New Roman" w:eastAsia="宋体" w:cs="Times New Roman"/>
          <w:b/>
          <w:bCs/>
          <w:i/>
          <w:iCs/>
          <w:color w:val="auto"/>
          <w:szCs w:val="21"/>
          <w:highlight w:val="none"/>
          <w:u w:val="single"/>
          <w:lang w:val="en-US" w:eastAsia="zh-CN"/>
        </w:rPr>
        <w:t>纸质版投标文件的扫描件，电子版</w:t>
      </w:r>
      <w:r>
        <w:rPr>
          <w:rFonts w:ascii="Times New Roman" w:hAnsi="Times New Roman" w:eastAsia="宋体" w:cs="Times New Roman"/>
          <w:b/>
          <w:bCs/>
          <w:i/>
          <w:iCs/>
          <w:color w:val="auto"/>
          <w:szCs w:val="21"/>
          <w:highlight w:val="none"/>
          <w:u w:val="single"/>
        </w:rPr>
        <w:t>内容应与纸质文件正本一致</w:t>
      </w:r>
      <w:r>
        <w:rPr>
          <w:rFonts w:hint="eastAsia" w:ascii="Times New Roman" w:hAnsi="Times New Roman" w:eastAsia="宋体" w:cs="Times New Roman"/>
          <w:b/>
          <w:bCs/>
          <w:i/>
          <w:iCs/>
          <w:color w:val="auto"/>
          <w:szCs w:val="21"/>
          <w:highlight w:val="none"/>
          <w:u w:val="single"/>
          <w:lang w:eastAsia="zh-CN"/>
        </w:rPr>
        <w:t>，</w:t>
      </w:r>
      <w:r>
        <w:rPr>
          <w:rFonts w:ascii="Times New Roman" w:hAnsi="Times New Roman" w:eastAsia="宋体" w:cs="Times New Roman"/>
          <w:b/>
          <w:bCs/>
          <w:i/>
          <w:iCs/>
          <w:color w:val="auto"/>
          <w:szCs w:val="21"/>
          <w:highlight w:val="none"/>
          <w:u w:val="single"/>
        </w:rPr>
        <w:t>随纸质正本文件一并或单独密封提交</w:t>
      </w:r>
      <w:r>
        <w:rPr>
          <w:rFonts w:hint="eastAsia" w:ascii="Times New Roman" w:hAnsi="Times New Roman" w:eastAsia="宋体" w:cs="Times New Roman"/>
          <w:b/>
          <w:bCs/>
          <w:i/>
          <w:iCs/>
          <w:color w:val="auto"/>
          <w:szCs w:val="21"/>
          <w:highlight w:val="none"/>
          <w:u w:val="single"/>
          <w:lang w:eastAsia="zh-CN"/>
        </w:rPr>
        <w:t>）</w:t>
      </w:r>
      <w:r>
        <w:rPr>
          <w:rFonts w:ascii="Times New Roman" w:hAnsi="Times New Roman" w:eastAsia="宋体"/>
          <w:b/>
          <w:bCs/>
          <w:i/>
          <w:iCs/>
          <w:color w:val="auto"/>
          <w:szCs w:val="21"/>
          <w:highlight w:val="none"/>
          <w:u w:val="single"/>
        </w:rPr>
        <w:t>。</w:t>
      </w:r>
      <w:r>
        <w:rPr>
          <w:rFonts w:hint="eastAsia" w:ascii="宋体" w:hAnsi="宋体" w:cs="宋体"/>
          <w:color w:val="auto"/>
          <w:szCs w:val="21"/>
          <w:highlight w:val="none"/>
        </w:rPr>
        <w:t>当电子版文件和纸质正本文件不一致时，以纸质正本文件为准。电子版文件用于辅助评标和平台存档，</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需承担前述不一致造成的不利后果。每份</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文件须清楚标明“正本”或“副本”字样。一旦正本和副本不符，以正本为准。</w:t>
      </w:r>
    </w:p>
    <w:p w14:paraId="3771833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、本项目在</w:t>
      </w:r>
      <w:r>
        <w:rPr>
          <w:rFonts w:hint="eastAsia" w:ascii="宋体" w:hAnsi="宋体" w:cs="宋体"/>
          <w:color w:val="auto"/>
          <w:szCs w:val="21"/>
          <w:highlight w:val="none"/>
          <w:lang w:eastAsia="zh-CN"/>
        </w:rPr>
        <w:t>“扬州大学附属医院网”、“扬州大学网”、“江苏政府采购网”、“中国政府采购网”</w:t>
      </w:r>
      <w:r>
        <w:rPr>
          <w:rFonts w:hint="eastAsia" w:ascii="宋体" w:hAnsi="宋体" w:cs="宋体"/>
          <w:color w:val="auto"/>
          <w:szCs w:val="21"/>
          <w:highlight w:val="none"/>
        </w:rPr>
        <w:t>发布公告。</w:t>
      </w:r>
    </w:p>
    <w:p w14:paraId="1F87CF5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b/>
          <w:bCs/>
          <w:color w:val="auto"/>
          <w:szCs w:val="21"/>
          <w:highlight w:val="none"/>
        </w:rPr>
        <w:t>各</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须明确项目授权代表，进场后的</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应在指定开标室等候并参加开标活动，自觉配合场内秩序管理，不得擅自至非相关场所活动。</w:t>
      </w:r>
    </w:p>
    <w:p w14:paraId="716E916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不收取</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保证金</w:t>
      </w:r>
    </w:p>
    <w:p w14:paraId="223BA384">
      <w:pPr>
        <w:spacing w:line="360" w:lineRule="auto"/>
        <w:ind w:firstLine="422"/>
        <w:rPr>
          <w:rFonts w:hint="eastAsia" w:ascii="宋体" w:hAnsi="宋体" w:cs="宋体"/>
          <w:b/>
          <w:bCs/>
          <w:color w:val="auto"/>
          <w:szCs w:val="21"/>
          <w:highlight w:val="none"/>
        </w:rPr>
      </w:pPr>
      <w:r>
        <w:rPr>
          <w:rFonts w:hint="eastAsia" w:ascii="宋体" w:hAnsi="宋体" w:cs="宋体"/>
          <w:b/>
          <w:bCs/>
          <w:i/>
          <w:iCs/>
          <w:color w:val="auto"/>
          <w:szCs w:val="21"/>
          <w:highlight w:val="none"/>
          <w:u w:val="single"/>
          <w:lang w:val="en-US" w:eastAsia="zh-CN"/>
        </w:rPr>
        <w:t>5</w:t>
      </w:r>
      <w:r>
        <w:rPr>
          <w:rFonts w:hint="eastAsia" w:ascii="宋体" w:hAnsi="宋体" w:cs="宋体"/>
          <w:b/>
          <w:bCs/>
          <w:i/>
          <w:iCs/>
          <w:color w:val="auto"/>
          <w:szCs w:val="21"/>
          <w:highlight w:val="none"/>
          <w:u w:val="single"/>
        </w:rPr>
        <w:t>、本</w:t>
      </w:r>
      <w:r>
        <w:rPr>
          <w:rFonts w:hint="eastAsia" w:ascii="宋体" w:hAnsi="宋体" w:cs="宋体"/>
          <w:b/>
          <w:bCs/>
          <w:i/>
          <w:iCs/>
          <w:color w:val="auto"/>
          <w:szCs w:val="21"/>
          <w:highlight w:val="none"/>
          <w:u w:val="single"/>
          <w:lang w:eastAsia="zh-CN"/>
        </w:rPr>
        <w:t>招标文件</w:t>
      </w:r>
      <w:r>
        <w:rPr>
          <w:rFonts w:hint="eastAsia" w:ascii="宋体" w:hAnsi="宋体" w:cs="宋体"/>
          <w:b/>
          <w:bCs/>
          <w:i/>
          <w:iCs/>
          <w:color w:val="auto"/>
          <w:szCs w:val="21"/>
          <w:highlight w:val="none"/>
          <w:u w:val="single"/>
        </w:rPr>
        <w:t>中斜体下划线部分为实质性响应条件，为必须遵守的条件，如不满足将作无效</w:t>
      </w:r>
      <w:r>
        <w:rPr>
          <w:rFonts w:hint="eastAsia" w:ascii="宋体" w:hAnsi="宋体" w:cs="宋体"/>
          <w:b/>
          <w:bCs/>
          <w:i/>
          <w:iCs/>
          <w:color w:val="auto"/>
          <w:szCs w:val="21"/>
          <w:highlight w:val="none"/>
          <w:u w:val="single"/>
          <w:lang w:eastAsia="zh-CN"/>
        </w:rPr>
        <w:t>投标</w:t>
      </w:r>
      <w:r>
        <w:rPr>
          <w:rFonts w:hint="eastAsia" w:ascii="宋体" w:hAnsi="宋体" w:cs="宋体"/>
          <w:b/>
          <w:bCs/>
          <w:i/>
          <w:iCs/>
          <w:color w:val="auto"/>
          <w:szCs w:val="21"/>
          <w:highlight w:val="none"/>
          <w:u w:val="single"/>
        </w:rPr>
        <w:t>文件处理。</w:t>
      </w:r>
    </w:p>
    <w:p w14:paraId="521A04D9">
      <w:pPr>
        <w:tabs>
          <w:tab w:val="left" w:pos="266"/>
        </w:tabs>
        <w:spacing w:line="360" w:lineRule="auto"/>
        <w:ind w:firstLine="420"/>
        <w:rPr>
          <w:rFonts w:hint="eastAsia" w:ascii="宋体" w:hAnsi="宋体" w:eastAsia="宋体" w:cs="宋体"/>
          <w:bCs/>
          <w:color w:val="auto"/>
          <w:highlight w:val="none"/>
          <w:lang w:val="en-US" w:eastAsia="zh-CN"/>
        </w:rPr>
      </w:pPr>
      <w:bookmarkStart w:id="28" w:name="_Toc28359095"/>
      <w:bookmarkStart w:id="29" w:name="_Toc35393805"/>
      <w:bookmarkStart w:id="30" w:name="_Toc28359018"/>
      <w:bookmarkStart w:id="31" w:name="_Toc35393636"/>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lang w:eastAsia="zh-CN"/>
        </w:rPr>
        <w:t>为</w:t>
      </w:r>
      <w:r>
        <w:rPr>
          <w:rFonts w:hint="eastAsia" w:ascii="宋体" w:hAnsi="宋体" w:eastAsia="宋体" w:cs="宋体"/>
          <w:bCs/>
          <w:color w:val="auto"/>
          <w:highlight w:val="none"/>
        </w:rPr>
        <w:t>落实好政府采购履约资金扶持政策</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中标/成交供应商可凭政府采购合同办理融资贷款，详见江苏政府采购网“政采贷”专栏。</w:t>
      </w:r>
    </w:p>
    <w:p w14:paraId="29148050">
      <w:pPr>
        <w:tabs>
          <w:tab w:val="left" w:pos="266"/>
        </w:tabs>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7.本项目</w:t>
      </w:r>
      <w:r>
        <w:rPr>
          <w:rFonts w:hint="eastAsia" w:ascii="宋体" w:hAnsi="宋体" w:eastAsia="宋体" w:cs="宋体"/>
          <w:bCs/>
          <w:color w:val="auto"/>
          <w:highlight w:val="none"/>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w:t>
      </w:r>
      <w:r>
        <w:rPr>
          <w:rFonts w:hint="eastAsia" w:ascii="宋体" w:hAnsi="宋体" w:eastAsia="宋体" w:cs="宋体"/>
          <w:bCs/>
          <w:color w:val="auto"/>
          <w:highlight w:val="none"/>
          <w:lang w:eastAsia="zh-CN"/>
        </w:rPr>
        <w:t>投标</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rPr>
        <w:t>响应文件中提供所投产品的相关证书(由国家确定的认证机构出具的、处于有效期之内的节能产品、环境标志产品认证证书)。节能产品、环境标志产品品目清单以递交</w:t>
      </w:r>
      <w:r>
        <w:rPr>
          <w:rFonts w:hint="eastAsia" w:ascii="宋体" w:hAnsi="宋体" w:eastAsia="宋体" w:cs="宋体"/>
          <w:bCs/>
          <w:color w:val="auto"/>
          <w:highlight w:val="none"/>
          <w:lang w:eastAsia="zh-CN"/>
        </w:rPr>
        <w:t>投标</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rPr>
        <w:t>响应文件截止时已正式公布的最近一期信息为准，如属政府强制采购产品未提供认证证书的或认证证书提供不全的将视为未实质性响应采购要求。其他条件相同情况下，</w:t>
      </w:r>
      <w:r>
        <w:rPr>
          <w:rFonts w:hint="eastAsia" w:ascii="宋体" w:hAnsi="宋体" w:eastAsia="宋体" w:cs="宋体"/>
          <w:bCs/>
          <w:color w:val="auto"/>
          <w:highlight w:val="none"/>
          <w:lang w:val="en-US" w:eastAsia="zh-CN"/>
        </w:rPr>
        <w:t>本项目</w:t>
      </w:r>
      <w:r>
        <w:rPr>
          <w:rFonts w:hint="eastAsia" w:ascii="宋体" w:hAnsi="宋体" w:eastAsia="宋体" w:cs="宋体"/>
          <w:bCs/>
          <w:color w:val="auto"/>
          <w:highlight w:val="none"/>
        </w:rPr>
        <w:t>优先采购节能产品、环境标志产品。</w:t>
      </w:r>
    </w:p>
    <w:p w14:paraId="52FE77BF">
      <w:pPr>
        <w:tabs>
          <w:tab w:val="left" w:pos="266"/>
        </w:tabs>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供应商对于</w:t>
      </w:r>
      <w:r>
        <w:rPr>
          <w:rFonts w:hint="eastAsia" w:ascii="宋体" w:hAnsi="宋体" w:eastAsia="宋体" w:cs="宋体"/>
          <w:bCs/>
          <w:color w:val="auto"/>
          <w:highlight w:val="none"/>
          <w:lang w:eastAsia="zh-CN"/>
        </w:rPr>
        <w:t>所投</w:t>
      </w:r>
      <w:r>
        <w:rPr>
          <w:rFonts w:hint="eastAsia" w:ascii="宋体" w:hAnsi="宋体" w:eastAsia="宋体" w:cs="宋体"/>
          <w:bCs/>
          <w:color w:val="auto"/>
          <w:highlight w:val="none"/>
        </w:rPr>
        <w:t>产品的包装应按照“财办库〔2020〕123号《关于印发《商品包装政府采购需求标准（试行）》、《快递包装政府采购需求标准（试行）》的通知》”执行。</w:t>
      </w:r>
    </w:p>
    <w:p w14:paraId="0B8C3E70">
      <w:pPr>
        <w:spacing w:line="360" w:lineRule="auto"/>
        <w:rPr>
          <w:rFonts w:ascii="黑体" w:hAnsi="黑体" w:cs="宋体"/>
          <w:color w:val="auto"/>
          <w:sz w:val="28"/>
          <w:szCs w:val="28"/>
          <w:highlight w:val="none"/>
        </w:rPr>
      </w:pPr>
      <w:r>
        <w:rPr>
          <w:rFonts w:hint="eastAsia" w:ascii="宋体" w:hAnsi="宋体" w:cs="宋体"/>
          <w:b/>
          <w:bCs/>
          <w:color w:val="auto"/>
          <w:szCs w:val="21"/>
          <w:highlight w:val="none"/>
        </w:rPr>
        <w:t>八、凡对本次采购提出询问，请按以下方式联系。</w:t>
      </w:r>
      <w:bookmarkEnd w:id="28"/>
      <w:bookmarkEnd w:id="29"/>
      <w:bookmarkEnd w:id="30"/>
      <w:bookmarkEnd w:id="31"/>
    </w:p>
    <w:p w14:paraId="550F8657">
      <w:pPr>
        <w:spacing w:line="360" w:lineRule="auto"/>
        <w:ind w:firstLine="420"/>
        <w:rPr>
          <w:rFonts w:hint="eastAsia" w:ascii="宋体" w:hAnsi="宋体" w:cs="宋体"/>
          <w:color w:val="auto"/>
          <w:szCs w:val="21"/>
          <w:highlight w:val="none"/>
        </w:rPr>
      </w:pPr>
      <w:bookmarkStart w:id="32" w:name="_Toc28359096"/>
      <w:bookmarkStart w:id="33" w:name="_Toc28359019"/>
      <w:bookmarkStart w:id="34" w:name="_Toc35393637"/>
      <w:bookmarkStart w:id="35" w:name="_Toc35393806"/>
      <w:r>
        <w:rPr>
          <w:rFonts w:hint="eastAsia" w:ascii="宋体" w:hAnsi="宋体" w:cs="宋体"/>
          <w:color w:val="auto"/>
          <w:szCs w:val="21"/>
          <w:highlight w:val="none"/>
        </w:rPr>
        <w:t>1.采购人信息</w:t>
      </w:r>
      <w:bookmarkEnd w:id="32"/>
      <w:bookmarkEnd w:id="33"/>
      <w:bookmarkEnd w:id="34"/>
      <w:bookmarkEnd w:id="35"/>
    </w:p>
    <w:p w14:paraId="6C0E084E">
      <w:pP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扬州大学</w:t>
      </w:r>
      <w:r>
        <w:rPr>
          <w:rFonts w:hint="eastAsia" w:ascii="宋体" w:hAnsi="宋体" w:cs="宋体"/>
          <w:color w:val="auto"/>
          <w:szCs w:val="21"/>
          <w:highlight w:val="none"/>
          <w:lang w:val="en-US" w:eastAsia="zh-CN"/>
        </w:rPr>
        <w:t>附属医院</w:t>
      </w:r>
    </w:p>
    <w:p w14:paraId="5E7536AD">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地    址：扬州市邗江区邗江中路368号</w:t>
      </w:r>
      <w:r>
        <w:rPr>
          <w:rFonts w:hint="eastAsia" w:ascii="宋体" w:hAnsi="宋体" w:eastAsia="宋体" w:cs="宋体"/>
          <w:color w:val="auto"/>
          <w:szCs w:val="21"/>
          <w:highlight w:val="none"/>
          <w:lang w:val="en-US" w:eastAsia="zh-CN"/>
        </w:rPr>
        <w:t>　　</w:t>
      </w:r>
    </w:p>
    <w:p w14:paraId="1D7E151F">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项目联系人：</w:t>
      </w:r>
      <w:r>
        <w:rPr>
          <w:rFonts w:hint="eastAsia" w:ascii="宋体" w:hAnsi="宋体"/>
          <w:color w:val="auto"/>
          <w:szCs w:val="21"/>
          <w:highlight w:val="none"/>
          <w:lang w:val="en-US" w:eastAsia="zh-CN"/>
        </w:rPr>
        <w:t>张</w:t>
      </w:r>
      <w:r>
        <w:rPr>
          <w:rFonts w:hint="eastAsia" w:ascii="宋体" w:hAnsi="宋体"/>
          <w:color w:val="auto"/>
          <w:szCs w:val="21"/>
          <w:highlight w:val="none"/>
        </w:rPr>
        <w:t>老师</w:t>
      </w:r>
      <w:r>
        <w:rPr>
          <w:rFonts w:hint="eastAsia" w:ascii="宋体" w:hAnsi="宋体" w:eastAsia="宋体" w:cs="宋体"/>
          <w:color w:val="auto"/>
          <w:szCs w:val="21"/>
          <w:highlight w:val="none"/>
          <w:lang w:val="en-US" w:eastAsia="zh-CN"/>
        </w:rPr>
        <w:t xml:space="preserve"> </w:t>
      </w:r>
    </w:p>
    <w:p w14:paraId="08854E0F">
      <w:pPr>
        <w:spacing w:line="360" w:lineRule="auto"/>
        <w:ind w:firstLine="42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　　 话：</w:t>
      </w:r>
      <w:r>
        <w:rPr>
          <w:rFonts w:hint="eastAsia" w:ascii="宋体" w:hAnsi="宋体" w:cs="宋体"/>
          <w:color w:val="auto"/>
          <w:szCs w:val="21"/>
          <w:highlight w:val="none"/>
          <w:lang w:val="en-US" w:eastAsia="zh-CN"/>
        </w:rPr>
        <w:t>0514-82099552</w:t>
      </w:r>
    </w:p>
    <w:p w14:paraId="79FDEA7D">
      <w:pPr>
        <w:spacing w:line="360" w:lineRule="auto"/>
        <w:ind w:firstLine="420"/>
        <w:rPr>
          <w:rFonts w:hint="eastAsia" w:ascii="宋体" w:hAnsi="宋体" w:cs="宋体"/>
          <w:color w:val="auto"/>
          <w:szCs w:val="21"/>
          <w:highlight w:val="none"/>
        </w:rPr>
      </w:pPr>
      <w:bookmarkStart w:id="36" w:name="_Toc28359097"/>
      <w:bookmarkStart w:id="37" w:name="_Toc28359020"/>
      <w:bookmarkStart w:id="38" w:name="_Toc35393807"/>
      <w:bookmarkStart w:id="39" w:name="_Toc35393638"/>
      <w:r>
        <w:rPr>
          <w:rFonts w:hint="eastAsia" w:ascii="宋体" w:hAnsi="宋体" w:cs="宋体"/>
          <w:color w:val="auto"/>
          <w:szCs w:val="21"/>
          <w:highlight w:val="none"/>
        </w:rPr>
        <w:t>2.采购代理机构信息</w:t>
      </w:r>
      <w:bookmarkEnd w:id="36"/>
      <w:bookmarkEnd w:id="37"/>
      <w:bookmarkEnd w:id="38"/>
      <w:bookmarkEnd w:id="39"/>
      <w:r>
        <w:rPr>
          <w:rFonts w:hint="eastAsia" w:ascii="宋体" w:hAnsi="宋体" w:cs="宋体"/>
          <w:color w:val="auto"/>
          <w:szCs w:val="21"/>
          <w:highlight w:val="none"/>
        </w:rPr>
        <w:t xml:space="preserve"> </w:t>
      </w:r>
    </w:p>
    <w:p w14:paraId="7B97C62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名    称：江苏苏维工程管理有限公司</w:t>
      </w:r>
    </w:p>
    <w:p w14:paraId="504BBE8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　　址：扬州市</w:t>
      </w:r>
      <w:r>
        <w:rPr>
          <w:rFonts w:hint="eastAsia" w:ascii="宋体" w:hAnsi="宋体" w:cs="宋体"/>
          <w:color w:val="auto"/>
          <w:szCs w:val="21"/>
          <w:highlight w:val="none"/>
          <w:lang w:val="en-US" w:eastAsia="zh-CN"/>
        </w:rPr>
        <w:t>邗江区</w:t>
      </w:r>
      <w:r>
        <w:rPr>
          <w:rFonts w:hint="eastAsia" w:ascii="宋体" w:hAnsi="宋体" w:cs="宋体"/>
          <w:color w:val="auto"/>
          <w:szCs w:val="21"/>
          <w:highlight w:val="none"/>
        </w:rPr>
        <w:t>翠岗路48号　　　</w:t>
      </w:r>
    </w:p>
    <w:p w14:paraId="536A3561">
      <w:pP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阮玉婷</w:t>
      </w:r>
    </w:p>
    <w:p w14:paraId="6359397A">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电　　 话：0514-</w:t>
      </w:r>
      <w:r>
        <w:rPr>
          <w:rFonts w:hint="eastAsia" w:ascii="宋体" w:hAnsi="宋体" w:cs="宋体"/>
          <w:color w:val="auto"/>
          <w:szCs w:val="21"/>
          <w:highlight w:val="none"/>
          <w:lang w:eastAsia="zh-CN"/>
        </w:rPr>
        <w:t>82129116</w:t>
      </w:r>
    </w:p>
    <w:p w14:paraId="41126149">
      <w:pPr>
        <w:spacing w:line="360" w:lineRule="auto"/>
        <w:ind w:firstLine="420"/>
        <w:jc w:val="right"/>
        <w:rPr>
          <w:rFonts w:hint="eastAsia" w:ascii="宋体" w:hAnsi="宋体" w:cs="宋体"/>
          <w:color w:val="auto"/>
          <w:szCs w:val="21"/>
          <w:highlight w:val="none"/>
        </w:rPr>
      </w:pPr>
      <w:r>
        <w:rPr>
          <w:rFonts w:hint="eastAsia" w:ascii="宋体" w:hAnsi="宋体" w:cs="宋体"/>
          <w:color w:val="auto"/>
          <w:szCs w:val="21"/>
          <w:highlight w:val="none"/>
        </w:rPr>
        <w:t>江苏苏维工程管理有限公司</w:t>
      </w:r>
    </w:p>
    <w:p w14:paraId="13757E7C">
      <w:pPr>
        <w:spacing w:line="360" w:lineRule="auto"/>
        <w:jc w:val="right"/>
        <w:rPr>
          <w:rFonts w:hint="eastAsia" w:eastAsia="宋体"/>
          <w:color w:val="auto"/>
          <w:szCs w:val="21"/>
          <w:highlight w:val="none"/>
          <w:lang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bookmarkEnd w:id="5"/>
    </w:p>
    <w:p w14:paraId="3CE7E646">
      <w:pPr>
        <w:spacing w:line="360" w:lineRule="auto"/>
        <w:jc w:val="right"/>
        <w:rPr>
          <w:color w:val="auto"/>
          <w:szCs w:val="21"/>
          <w:highlight w:val="none"/>
        </w:rPr>
      </w:pPr>
    </w:p>
    <w:p w14:paraId="24082BAF">
      <w:pPr>
        <w:rPr>
          <w:color w:val="auto"/>
          <w:highlight w:val="none"/>
        </w:rPr>
        <w:sectPr>
          <w:pgSz w:w="11906" w:h="16838"/>
          <w:pgMar w:top="1440" w:right="1800" w:bottom="1440" w:left="1800" w:header="851" w:footer="992" w:gutter="0"/>
          <w:cols w:space="720" w:num="1"/>
          <w:docGrid w:linePitch="360" w:charSpace="0"/>
        </w:sectPr>
      </w:pPr>
    </w:p>
    <w:p w14:paraId="6588457A">
      <w:pPr>
        <w:pStyle w:val="2"/>
        <w:jc w:val="center"/>
        <w:rPr>
          <w:rFonts w:ascii="宋体" w:hAnsi="宋体"/>
          <w:color w:val="auto"/>
          <w:sz w:val="36"/>
          <w:highlight w:val="none"/>
        </w:rPr>
      </w:pPr>
      <w:bookmarkStart w:id="40" w:name="_Toc497133091"/>
      <w:r>
        <w:rPr>
          <w:rFonts w:hint="eastAsia" w:ascii="宋体" w:hAnsi="宋体"/>
          <w:color w:val="auto"/>
          <w:sz w:val="36"/>
          <w:highlight w:val="none"/>
        </w:rPr>
        <w:t>第二章 投标人须知</w:t>
      </w:r>
      <w:bookmarkEnd w:id="40"/>
    </w:p>
    <w:p w14:paraId="01AF4FCB">
      <w:pPr>
        <w:pStyle w:val="5"/>
        <w:spacing w:before="0" w:after="0" w:line="360" w:lineRule="auto"/>
        <w:ind w:firstLine="422"/>
        <w:rPr>
          <w:rFonts w:ascii="宋体" w:hAnsi="宋体" w:eastAsia="宋体"/>
          <w:bCs w:val="0"/>
          <w:color w:val="auto"/>
          <w:sz w:val="21"/>
          <w:szCs w:val="21"/>
          <w:highlight w:val="none"/>
        </w:rPr>
      </w:pPr>
      <w:bookmarkStart w:id="41" w:name="_Toc458694821"/>
      <w:bookmarkStart w:id="42" w:name="_Toc513029204"/>
      <w:bookmarkStart w:id="43" w:name="_Toc16938520"/>
      <w:bookmarkStart w:id="44" w:name="_Toc20823276"/>
      <w:r>
        <w:rPr>
          <w:rFonts w:ascii="宋体" w:hAnsi="宋体" w:eastAsia="宋体"/>
          <w:bCs w:val="0"/>
          <w:color w:val="auto"/>
          <w:sz w:val="21"/>
          <w:szCs w:val="21"/>
          <w:highlight w:val="none"/>
        </w:rPr>
        <w:t>1</w:t>
      </w:r>
      <w:bookmarkEnd w:id="41"/>
      <w:r>
        <w:rPr>
          <w:rFonts w:hint="eastAsia" w:ascii="宋体" w:hAnsi="宋体" w:eastAsia="宋体"/>
          <w:bCs w:val="0"/>
          <w:color w:val="auto"/>
          <w:sz w:val="21"/>
          <w:szCs w:val="21"/>
          <w:highlight w:val="none"/>
        </w:rPr>
        <w:t>、招标方式</w:t>
      </w:r>
      <w:bookmarkEnd w:id="42"/>
      <w:bookmarkEnd w:id="43"/>
      <w:bookmarkEnd w:id="44"/>
    </w:p>
    <w:p w14:paraId="4295C7A4">
      <w:pPr>
        <w:spacing w:line="360" w:lineRule="auto"/>
        <w:ind w:firstLine="420"/>
        <w:rPr>
          <w:rFonts w:ascii="宋体" w:hAnsi="宋体"/>
          <w:color w:val="auto"/>
          <w:szCs w:val="21"/>
          <w:highlight w:val="none"/>
        </w:rPr>
      </w:pPr>
      <w:r>
        <w:rPr>
          <w:rFonts w:hint="eastAsia" w:ascii="宋体" w:hAnsi="宋体"/>
          <w:color w:val="auto"/>
          <w:szCs w:val="21"/>
          <w:highlight w:val="none"/>
        </w:rPr>
        <w:t>1.1 本次招标采取公开招标方式，本招标文件仅适用于</w:t>
      </w:r>
      <w:r>
        <w:rPr>
          <w:rFonts w:hint="eastAsia" w:ascii="宋体" w:hAnsi="宋体"/>
          <w:color w:val="auto"/>
          <w:szCs w:val="21"/>
          <w:highlight w:val="none"/>
          <w:lang w:eastAsia="zh-CN"/>
        </w:rPr>
        <w:t>JSZC-320000-SWGC-G2025-0171-1号</w:t>
      </w:r>
      <w:r>
        <w:rPr>
          <w:rFonts w:hint="eastAsia" w:ascii="宋体" w:hAnsi="宋体"/>
          <w:color w:val="auto"/>
          <w:szCs w:val="21"/>
          <w:highlight w:val="none"/>
        </w:rPr>
        <w:t>项目。</w:t>
      </w:r>
    </w:p>
    <w:p w14:paraId="2C62C594">
      <w:pPr>
        <w:pStyle w:val="5"/>
        <w:spacing w:before="0" w:after="0" w:line="360" w:lineRule="auto"/>
        <w:ind w:firstLine="422"/>
        <w:rPr>
          <w:rFonts w:ascii="宋体" w:hAnsi="宋体" w:eastAsia="宋体"/>
          <w:bCs w:val="0"/>
          <w:color w:val="auto"/>
          <w:sz w:val="21"/>
          <w:szCs w:val="21"/>
          <w:highlight w:val="none"/>
        </w:rPr>
      </w:pPr>
      <w:bookmarkStart w:id="45" w:name="_Toc513029205"/>
      <w:bookmarkStart w:id="46" w:name="_Toc16938521"/>
      <w:bookmarkStart w:id="47" w:name="_Toc20823277"/>
      <w:r>
        <w:rPr>
          <w:rFonts w:ascii="宋体" w:hAnsi="宋体" w:eastAsia="宋体"/>
          <w:bCs w:val="0"/>
          <w:color w:val="auto"/>
          <w:sz w:val="21"/>
          <w:szCs w:val="21"/>
          <w:highlight w:val="none"/>
        </w:rPr>
        <w:t>2</w:t>
      </w:r>
      <w:r>
        <w:rPr>
          <w:rFonts w:hint="eastAsia" w:ascii="宋体" w:hAnsi="宋体" w:eastAsia="宋体"/>
          <w:bCs w:val="0"/>
          <w:color w:val="auto"/>
          <w:sz w:val="21"/>
          <w:szCs w:val="21"/>
          <w:highlight w:val="none"/>
        </w:rPr>
        <w:t>、投标人</w:t>
      </w:r>
    </w:p>
    <w:p w14:paraId="24A53CE8">
      <w:pPr>
        <w:pStyle w:val="5"/>
        <w:spacing w:before="0" w:after="0" w:line="360" w:lineRule="auto"/>
        <w:ind w:firstLine="42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2.1 本招标文件中“供应商”，即“投标人”，是指参加投标竞争，并符合招标文件规定资格条件的法人、其他组织或者自然人。</w:t>
      </w:r>
    </w:p>
    <w:p w14:paraId="28978C06">
      <w:pPr>
        <w:pStyle w:val="5"/>
        <w:spacing w:before="0" w:after="0" w:line="360" w:lineRule="auto"/>
        <w:ind w:firstLine="42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2.2合格的投标人</w:t>
      </w:r>
      <w:bookmarkEnd w:id="45"/>
      <w:bookmarkEnd w:id="46"/>
      <w:bookmarkEnd w:id="47"/>
    </w:p>
    <w:p w14:paraId="625E1540">
      <w:pPr>
        <w:spacing w:line="360" w:lineRule="auto"/>
        <w:ind w:firstLine="420"/>
        <w:rPr>
          <w:rFonts w:ascii="宋体" w:hAnsi="宋体"/>
          <w:color w:val="auto"/>
          <w:szCs w:val="21"/>
          <w:highlight w:val="none"/>
        </w:rPr>
      </w:pPr>
      <w:r>
        <w:rPr>
          <w:rFonts w:hint="eastAsia" w:ascii="宋体" w:hAnsi="宋体"/>
          <w:color w:val="auto"/>
          <w:szCs w:val="21"/>
          <w:highlight w:val="none"/>
        </w:rPr>
        <w:t>2.2.1 满足投标邀请中供应商的资格条件要求的规定。</w:t>
      </w:r>
    </w:p>
    <w:p w14:paraId="429D28E0">
      <w:pPr>
        <w:spacing w:line="360" w:lineRule="auto"/>
        <w:ind w:firstLine="420"/>
        <w:rPr>
          <w:rFonts w:ascii="宋体" w:hAnsi="宋体"/>
          <w:color w:val="auto"/>
          <w:szCs w:val="21"/>
          <w:highlight w:val="none"/>
        </w:rPr>
      </w:pPr>
      <w:r>
        <w:rPr>
          <w:rFonts w:hint="eastAsia" w:ascii="宋体" w:hAnsi="宋体"/>
          <w:color w:val="auto"/>
          <w:szCs w:val="21"/>
          <w:highlight w:val="none"/>
        </w:rPr>
        <w:t>2.2.2 满足本文件实质性条款的规定。</w:t>
      </w:r>
    </w:p>
    <w:p w14:paraId="5843E299">
      <w:pPr>
        <w:pStyle w:val="5"/>
        <w:spacing w:before="0" w:after="0" w:line="360" w:lineRule="auto"/>
        <w:ind w:firstLine="422"/>
        <w:rPr>
          <w:rFonts w:ascii="宋体" w:hAnsi="宋体" w:eastAsia="宋体"/>
          <w:bCs w:val="0"/>
          <w:color w:val="auto"/>
          <w:sz w:val="21"/>
          <w:szCs w:val="21"/>
          <w:highlight w:val="none"/>
        </w:rPr>
      </w:pPr>
      <w:bookmarkStart w:id="48" w:name="_Toc16938522"/>
      <w:bookmarkStart w:id="49" w:name="_Toc20823278"/>
      <w:bookmarkStart w:id="50" w:name="_Toc513029206"/>
      <w:r>
        <w:rPr>
          <w:rFonts w:ascii="宋体" w:hAnsi="宋体" w:eastAsia="宋体"/>
          <w:bCs w:val="0"/>
          <w:color w:val="auto"/>
          <w:sz w:val="21"/>
          <w:szCs w:val="21"/>
          <w:highlight w:val="none"/>
        </w:rPr>
        <w:t>3</w:t>
      </w:r>
      <w:r>
        <w:rPr>
          <w:rFonts w:hint="eastAsia" w:ascii="宋体" w:hAnsi="宋体" w:eastAsia="宋体"/>
          <w:bCs w:val="0"/>
          <w:color w:val="auto"/>
          <w:sz w:val="21"/>
          <w:szCs w:val="21"/>
          <w:highlight w:val="none"/>
        </w:rPr>
        <w:t>、适用法律</w:t>
      </w:r>
      <w:bookmarkEnd w:id="48"/>
      <w:bookmarkEnd w:id="49"/>
      <w:bookmarkEnd w:id="50"/>
    </w:p>
    <w:p w14:paraId="2F12F693">
      <w:pPr>
        <w:pStyle w:val="5"/>
        <w:spacing w:before="0" w:after="0" w:line="360" w:lineRule="auto"/>
        <w:ind w:firstLine="420"/>
        <w:rPr>
          <w:rFonts w:ascii="宋体" w:hAnsi="宋体" w:eastAsia="宋体"/>
          <w:b w:val="0"/>
          <w:bCs w:val="0"/>
          <w:color w:val="auto"/>
          <w:sz w:val="21"/>
          <w:szCs w:val="21"/>
          <w:highlight w:val="none"/>
        </w:rPr>
      </w:pPr>
      <w:r>
        <w:rPr>
          <w:rFonts w:hint="eastAsia" w:ascii="宋体" w:hAnsi="宋体" w:eastAsia="宋体"/>
          <w:b w:val="0"/>
          <w:color w:val="auto"/>
          <w:sz w:val="21"/>
          <w:szCs w:val="21"/>
          <w:highlight w:val="none"/>
        </w:rPr>
        <w:t>3.1 本次招标及由此产生的合同受中华人民共和国有关的法律法规制约和保护。</w:t>
      </w:r>
    </w:p>
    <w:p w14:paraId="20BB1023">
      <w:pPr>
        <w:spacing w:line="360" w:lineRule="auto"/>
        <w:ind w:firstLine="422"/>
        <w:rPr>
          <w:rFonts w:ascii="宋体" w:hAnsi="宋体"/>
          <w:b/>
          <w:color w:val="auto"/>
          <w:szCs w:val="21"/>
          <w:highlight w:val="none"/>
        </w:rPr>
      </w:pPr>
      <w:r>
        <w:rPr>
          <w:rFonts w:hint="eastAsia" w:ascii="宋体" w:hAnsi="宋体"/>
          <w:b/>
          <w:color w:val="auto"/>
          <w:szCs w:val="21"/>
          <w:highlight w:val="none"/>
        </w:rPr>
        <w:t>4、投标费用</w:t>
      </w:r>
    </w:p>
    <w:p w14:paraId="78AF7B11">
      <w:pPr>
        <w:spacing w:line="440" w:lineRule="exact"/>
        <w:ind w:firstLine="420"/>
        <w:rPr>
          <w:color w:val="auto"/>
          <w:highlight w:val="none"/>
        </w:rPr>
      </w:pPr>
      <w:r>
        <w:rPr>
          <w:color w:val="auto"/>
          <w:highlight w:val="none"/>
        </w:rPr>
        <w:t xml:space="preserve">4.1 投标人应自行承担所有与参加投标有关的费用，无论投标过程中的做法和结果如 何，代理机构在任何情况下均无义务和责任承担这些费用。 </w:t>
      </w:r>
    </w:p>
    <w:p w14:paraId="60786592">
      <w:pPr>
        <w:spacing w:line="360" w:lineRule="auto"/>
        <w:ind w:firstLine="420"/>
        <w:jc w:val="left"/>
        <w:rPr>
          <w:rFonts w:ascii="宋体" w:hAnsi="宋体"/>
          <w:i/>
          <w:iCs/>
          <w:color w:val="auto"/>
          <w:szCs w:val="21"/>
          <w:highlight w:val="none"/>
          <w:u w:val="single"/>
        </w:rPr>
      </w:pPr>
      <w:r>
        <w:rPr>
          <w:rFonts w:hint="eastAsia" w:ascii="宋体" w:hAnsi="宋体"/>
          <w:color w:val="auto"/>
          <w:szCs w:val="21"/>
          <w:highlight w:val="none"/>
        </w:rPr>
        <w:t>4.2</w:t>
      </w:r>
      <w:r>
        <w:rPr>
          <w:rFonts w:hint="eastAsia"/>
          <w:color w:val="auto"/>
          <w:szCs w:val="21"/>
          <w:highlight w:val="none"/>
        </w:rPr>
        <w:t>本次采购（招标）</w:t>
      </w:r>
      <w:r>
        <w:rPr>
          <w:rFonts w:hint="eastAsia"/>
          <w:color w:val="auto"/>
          <w:szCs w:val="21"/>
          <w:highlight w:val="none"/>
          <w:lang w:val="en-US" w:eastAsia="zh-CN"/>
        </w:rPr>
        <w:t>不</w:t>
      </w:r>
      <w:r>
        <w:rPr>
          <w:rFonts w:hint="eastAsia"/>
          <w:color w:val="auto"/>
          <w:szCs w:val="21"/>
          <w:highlight w:val="none"/>
        </w:rPr>
        <w:t>收取文件工本费。</w:t>
      </w:r>
    </w:p>
    <w:p w14:paraId="7A10E624">
      <w:pPr>
        <w:spacing w:line="360" w:lineRule="auto"/>
        <w:ind w:firstLine="422"/>
        <w:jc w:val="left"/>
        <w:rPr>
          <w:rFonts w:cs="宋体"/>
          <w:color w:val="auto"/>
          <w:szCs w:val="21"/>
          <w:highlight w:val="none"/>
        </w:rPr>
      </w:pPr>
      <w:r>
        <w:rPr>
          <w:rFonts w:hint="eastAsia" w:ascii="宋体" w:hAnsi="宋体" w:cs="宋体"/>
          <w:b/>
          <w:bCs/>
          <w:color w:val="auto"/>
          <w:szCs w:val="21"/>
          <w:highlight w:val="none"/>
        </w:rPr>
        <w:t>4.3</w:t>
      </w:r>
      <w:r>
        <w:rPr>
          <w:rFonts w:hint="eastAsia" w:cs="宋体"/>
          <w:b/>
          <w:bCs/>
          <w:color w:val="auto"/>
          <w:szCs w:val="21"/>
          <w:highlight w:val="none"/>
        </w:rPr>
        <w:t>本次采购由中标人在领取中标通知书前一次性支付给招标代理机构代理服务费（具体计算方式详见下表）。</w:t>
      </w:r>
    </w:p>
    <w:tbl>
      <w:tblPr>
        <w:tblStyle w:val="42"/>
        <w:tblW w:w="8111" w:type="dxa"/>
        <w:jc w:val="center"/>
        <w:tblLayout w:type="fixed"/>
        <w:tblCellMar>
          <w:top w:w="0" w:type="dxa"/>
          <w:left w:w="0" w:type="dxa"/>
          <w:bottom w:w="0" w:type="dxa"/>
          <w:right w:w="0" w:type="dxa"/>
        </w:tblCellMar>
      </w:tblPr>
      <w:tblGrid>
        <w:gridCol w:w="1847"/>
        <w:gridCol w:w="2214"/>
        <w:gridCol w:w="1879"/>
        <w:gridCol w:w="2171"/>
      </w:tblGrid>
      <w:tr w14:paraId="5CD1FD51">
        <w:tblPrEx>
          <w:tblCellMar>
            <w:top w:w="0" w:type="dxa"/>
            <w:left w:w="0" w:type="dxa"/>
            <w:bottom w:w="0" w:type="dxa"/>
            <w:right w:w="0" w:type="dxa"/>
          </w:tblCellMar>
        </w:tblPrEx>
        <w:trPr>
          <w:trHeight w:val="795" w:hRule="atLeas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B9E628">
            <w:pPr>
              <w:widowControl/>
              <w:spacing w:line="400" w:lineRule="exact"/>
              <w:ind w:left="160"/>
              <w:jc w:val="center"/>
              <w:rPr>
                <w:rFonts w:ascii="宋体" w:hAnsi="宋体" w:cs="宋体"/>
                <w:color w:val="auto"/>
                <w:spacing w:val="40"/>
                <w:szCs w:val="21"/>
                <w:highlight w:val="none"/>
              </w:rPr>
            </w:pPr>
            <w:r>
              <w:rPr>
                <w:rFonts w:hint="eastAsia" w:ascii="宋体" w:hAnsi="宋体" w:cs="宋体"/>
                <w:color w:val="auto"/>
                <w:spacing w:val="40"/>
                <w:szCs w:val="21"/>
                <w:highlight w:val="none"/>
              </w:rPr>
              <w:t>项目</w:t>
            </w:r>
          </w:p>
          <w:p w14:paraId="50E9CCA6">
            <w:pPr>
              <w:widowControl/>
              <w:spacing w:line="400" w:lineRule="exact"/>
              <w:ind w:left="160"/>
              <w:jc w:val="center"/>
              <w:rPr>
                <w:rFonts w:ascii="宋体" w:hAnsi="宋体" w:cs="宋体"/>
                <w:color w:val="auto"/>
                <w:spacing w:val="40"/>
                <w:szCs w:val="21"/>
                <w:highlight w:val="none"/>
              </w:rPr>
            </w:pPr>
            <w:r>
              <w:rPr>
                <w:rFonts w:hint="eastAsia" w:ascii="宋体" w:hAnsi="宋体" w:cs="宋体"/>
                <w:color w:val="auto"/>
                <w:spacing w:val="40"/>
                <w:szCs w:val="21"/>
                <w:highlight w:val="none"/>
              </w:rPr>
              <w:t>类型</w:t>
            </w:r>
          </w:p>
        </w:tc>
        <w:tc>
          <w:tcPr>
            <w:tcW w:w="2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2E84DB">
            <w:pPr>
              <w:widowControl/>
              <w:spacing w:after="200" w:line="400" w:lineRule="exact"/>
              <w:jc w:val="center"/>
              <w:rPr>
                <w:rFonts w:ascii="宋体" w:hAnsi="宋体" w:cs="宋体"/>
                <w:color w:val="auto"/>
                <w:szCs w:val="21"/>
                <w:highlight w:val="none"/>
              </w:rPr>
            </w:pPr>
            <w:r>
              <w:rPr>
                <w:rFonts w:hint="eastAsia" w:ascii="宋体" w:hAnsi="宋体" w:cs="宋体"/>
                <w:color w:val="auto"/>
                <w:szCs w:val="21"/>
                <w:highlight w:val="none"/>
              </w:rPr>
              <w:t>100万以下</w:t>
            </w: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D9B153">
            <w:pPr>
              <w:widowControl/>
              <w:spacing w:after="200" w:line="400" w:lineRule="exact"/>
              <w:jc w:val="center"/>
              <w:rPr>
                <w:rFonts w:ascii="宋体" w:hAnsi="宋体" w:cs="宋体"/>
                <w:color w:val="auto"/>
                <w:szCs w:val="21"/>
                <w:highlight w:val="none"/>
              </w:rPr>
            </w:pPr>
            <w:r>
              <w:rPr>
                <w:rFonts w:hint="eastAsia" w:ascii="宋体" w:hAnsi="宋体" w:cs="宋体"/>
                <w:color w:val="auto"/>
                <w:szCs w:val="21"/>
                <w:highlight w:val="none"/>
              </w:rPr>
              <w:t>100万以上</w:t>
            </w:r>
          </w:p>
        </w:tc>
        <w:tc>
          <w:tcPr>
            <w:tcW w:w="21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3817F4">
            <w:pPr>
              <w:widowControl/>
              <w:spacing w:after="200" w:line="400" w:lineRule="exact"/>
              <w:jc w:val="center"/>
              <w:rPr>
                <w:rFonts w:ascii="宋体" w:hAnsi="宋体" w:cs="宋体"/>
                <w:color w:val="auto"/>
                <w:szCs w:val="21"/>
                <w:highlight w:val="none"/>
              </w:rPr>
            </w:pPr>
            <w:r>
              <w:rPr>
                <w:rFonts w:hint="eastAsia" w:ascii="宋体" w:hAnsi="宋体" w:cs="宋体"/>
                <w:color w:val="auto"/>
                <w:szCs w:val="21"/>
                <w:highlight w:val="none"/>
              </w:rPr>
              <w:t>代理服务费最高限价</w:t>
            </w:r>
          </w:p>
        </w:tc>
      </w:tr>
      <w:tr w14:paraId="43506A2D">
        <w:tblPrEx>
          <w:tblCellMar>
            <w:top w:w="0" w:type="dxa"/>
            <w:left w:w="0" w:type="dxa"/>
            <w:bottom w:w="0" w:type="dxa"/>
            <w:right w:w="0" w:type="dxa"/>
          </w:tblCellMar>
        </w:tblPrEx>
        <w:trPr>
          <w:trHeight w:val="952" w:hRule="atLeas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67967">
            <w:pPr>
              <w:widowControl/>
              <w:spacing w:after="200" w:line="400" w:lineRule="exact"/>
              <w:jc w:val="center"/>
              <w:rPr>
                <w:rFonts w:ascii="宋体" w:hAnsi="宋体" w:cs="宋体"/>
                <w:color w:val="auto"/>
                <w:spacing w:val="40"/>
                <w:szCs w:val="21"/>
                <w:highlight w:val="none"/>
              </w:rPr>
            </w:pPr>
          </w:p>
        </w:tc>
        <w:tc>
          <w:tcPr>
            <w:tcW w:w="2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93E3B1">
            <w:pPr>
              <w:widowControl/>
              <w:spacing w:after="200"/>
              <w:jc w:val="center"/>
              <w:rPr>
                <w:rFonts w:ascii="宋体" w:hAnsi="宋体" w:cs="宋体"/>
                <w:color w:val="auto"/>
                <w:szCs w:val="21"/>
                <w:highlight w:val="none"/>
              </w:rPr>
            </w:pPr>
            <w:r>
              <w:rPr>
                <w:rFonts w:hint="eastAsia" w:ascii="宋体" w:hAnsi="宋体" w:cs="宋体"/>
                <w:color w:val="auto"/>
                <w:szCs w:val="21"/>
                <w:highlight w:val="none"/>
              </w:rPr>
              <w:t>代理费</w:t>
            </w:r>
          </w:p>
          <w:p w14:paraId="6BFFE9B4">
            <w:pPr>
              <w:widowControl/>
              <w:spacing w:after="200"/>
              <w:jc w:val="center"/>
              <w:rPr>
                <w:rFonts w:ascii="宋体" w:hAnsi="宋体" w:cs="宋体"/>
                <w:color w:val="auto"/>
                <w:szCs w:val="21"/>
                <w:highlight w:val="none"/>
              </w:rPr>
            </w:pPr>
            <w:r>
              <w:rPr>
                <w:rFonts w:hint="eastAsia" w:ascii="宋体" w:hAnsi="宋体" w:cs="宋体"/>
                <w:color w:val="auto"/>
                <w:szCs w:val="21"/>
                <w:highlight w:val="none"/>
              </w:rPr>
              <w:t>（单位：元）</w:t>
            </w: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81C788">
            <w:pPr>
              <w:widowControl/>
              <w:spacing w:after="200"/>
              <w:jc w:val="center"/>
              <w:rPr>
                <w:rFonts w:ascii="宋体" w:hAnsi="宋体" w:cs="宋体"/>
                <w:color w:val="auto"/>
                <w:szCs w:val="21"/>
                <w:highlight w:val="none"/>
              </w:rPr>
            </w:pPr>
            <w:r>
              <w:rPr>
                <w:rFonts w:hint="eastAsia" w:ascii="宋体" w:hAnsi="宋体" w:cs="宋体"/>
                <w:color w:val="auto"/>
                <w:szCs w:val="21"/>
                <w:highlight w:val="none"/>
              </w:rPr>
              <w:t>代理费</w:t>
            </w:r>
          </w:p>
          <w:p w14:paraId="185C9580">
            <w:pPr>
              <w:widowControl/>
              <w:spacing w:after="200"/>
              <w:jc w:val="center"/>
              <w:rPr>
                <w:rFonts w:ascii="宋体" w:hAnsi="宋体" w:cs="宋体"/>
                <w:color w:val="auto"/>
                <w:szCs w:val="21"/>
                <w:highlight w:val="none"/>
              </w:rPr>
            </w:pPr>
            <w:r>
              <w:rPr>
                <w:rFonts w:hint="eastAsia" w:ascii="宋体" w:hAnsi="宋体" w:cs="宋体"/>
                <w:color w:val="auto"/>
                <w:szCs w:val="21"/>
                <w:highlight w:val="none"/>
              </w:rPr>
              <w:t>（折扣率）</w:t>
            </w:r>
          </w:p>
        </w:tc>
        <w:tc>
          <w:tcPr>
            <w:tcW w:w="217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353383">
            <w:pPr>
              <w:widowControl/>
              <w:spacing w:after="200" w:line="400" w:lineRule="exact"/>
              <w:ind w:firstLine="105"/>
              <w:jc w:val="center"/>
              <w:rPr>
                <w:rFonts w:ascii="宋体" w:hAnsi="宋体" w:cs="宋体"/>
                <w:color w:val="auto"/>
                <w:szCs w:val="21"/>
                <w:highlight w:val="none"/>
              </w:rPr>
            </w:pPr>
            <w:r>
              <w:rPr>
                <w:rFonts w:hint="eastAsia" w:ascii="宋体" w:hAnsi="宋体" w:cs="宋体"/>
                <w:color w:val="auto"/>
                <w:szCs w:val="21"/>
                <w:highlight w:val="none"/>
              </w:rPr>
              <w:t>代理费</w:t>
            </w:r>
          </w:p>
          <w:p w14:paraId="55407BAC">
            <w:pPr>
              <w:widowControl/>
              <w:spacing w:after="200" w:line="400" w:lineRule="exact"/>
              <w:ind w:firstLine="105"/>
              <w:jc w:val="center"/>
              <w:rPr>
                <w:rFonts w:ascii="宋体" w:hAnsi="宋体" w:cs="宋体"/>
                <w:color w:val="auto"/>
                <w:szCs w:val="21"/>
                <w:highlight w:val="none"/>
              </w:rPr>
            </w:pPr>
            <w:r>
              <w:rPr>
                <w:rFonts w:hint="eastAsia" w:ascii="宋体" w:hAnsi="宋体" w:cs="宋体"/>
                <w:color w:val="auto"/>
                <w:szCs w:val="21"/>
                <w:highlight w:val="none"/>
              </w:rPr>
              <w:t>（单位：元）</w:t>
            </w:r>
          </w:p>
        </w:tc>
      </w:tr>
      <w:tr w14:paraId="31B6929D">
        <w:tblPrEx>
          <w:tblCellMar>
            <w:top w:w="0" w:type="dxa"/>
            <w:left w:w="0" w:type="dxa"/>
            <w:bottom w:w="0" w:type="dxa"/>
            <w:right w:w="0" w:type="dxa"/>
          </w:tblCellMar>
        </w:tblPrEx>
        <w:trPr>
          <w:trHeight w:val="431" w:hRule="atLeast"/>
          <w:jc w:val="center"/>
        </w:trPr>
        <w:tc>
          <w:tcPr>
            <w:tcW w:w="1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8279AC">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货物</w:t>
            </w:r>
          </w:p>
        </w:tc>
        <w:tc>
          <w:tcPr>
            <w:tcW w:w="2214"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38C2E449">
            <w:pPr>
              <w:widowControl/>
              <w:spacing w:after="200"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1500</w:t>
            </w:r>
            <w:r>
              <w:rPr>
                <w:rFonts w:hint="eastAsia" w:ascii="宋体" w:hAnsi="宋体" w:cs="宋体"/>
                <w:color w:val="auto"/>
                <w:szCs w:val="21"/>
                <w:highlight w:val="none"/>
              </w:rPr>
              <w:t>元</w:t>
            </w:r>
          </w:p>
        </w:tc>
        <w:tc>
          <w:tcPr>
            <w:tcW w:w="187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73163815">
            <w:pPr>
              <w:widowControl/>
              <w:spacing w:after="200" w:line="400" w:lineRule="exact"/>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c>
          <w:tcPr>
            <w:tcW w:w="2171"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7F5D3DCA">
            <w:pPr>
              <w:widowControl/>
              <w:spacing w:after="200"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8000</w:t>
            </w:r>
            <w:r>
              <w:rPr>
                <w:rFonts w:hint="eastAsia" w:ascii="宋体" w:hAnsi="宋体" w:cs="宋体"/>
                <w:color w:val="auto"/>
                <w:szCs w:val="21"/>
                <w:highlight w:val="none"/>
              </w:rPr>
              <w:t>元</w:t>
            </w:r>
          </w:p>
        </w:tc>
      </w:tr>
      <w:tr w14:paraId="53ECF9E0">
        <w:tblPrEx>
          <w:tblCellMar>
            <w:top w:w="0" w:type="dxa"/>
            <w:left w:w="0" w:type="dxa"/>
            <w:bottom w:w="0" w:type="dxa"/>
            <w:right w:w="0" w:type="dxa"/>
          </w:tblCellMar>
        </w:tblPrEx>
        <w:trPr>
          <w:trHeight w:val="436" w:hRule="atLeast"/>
          <w:jc w:val="center"/>
        </w:trPr>
        <w:tc>
          <w:tcPr>
            <w:tcW w:w="1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FDA91">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w:t>
            </w:r>
          </w:p>
        </w:tc>
        <w:tc>
          <w:tcPr>
            <w:tcW w:w="2214"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529B326E">
            <w:pPr>
              <w:widowControl/>
              <w:spacing w:line="400" w:lineRule="exact"/>
              <w:jc w:val="center"/>
              <w:rPr>
                <w:rFonts w:ascii="宋体" w:hAnsi="宋体" w:cs="宋体"/>
                <w:color w:val="auto"/>
                <w:szCs w:val="21"/>
                <w:highlight w:val="none"/>
              </w:rPr>
            </w:pPr>
          </w:p>
        </w:tc>
        <w:tc>
          <w:tcPr>
            <w:tcW w:w="1879"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D5BA6">
            <w:pPr>
              <w:widowControl/>
              <w:spacing w:line="400" w:lineRule="exact"/>
              <w:jc w:val="center"/>
              <w:rPr>
                <w:rFonts w:ascii="宋体" w:hAnsi="宋体" w:cs="宋体"/>
                <w:color w:val="auto"/>
                <w:szCs w:val="21"/>
                <w:highlight w:val="none"/>
              </w:rPr>
            </w:pPr>
          </w:p>
        </w:tc>
        <w:tc>
          <w:tcPr>
            <w:tcW w:w="217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54BAF7EB">
            <w:pPr>
              <w:widowControl/>
              <w:spacing w:line="400" w:lineRule="exact"/>
              <w:jc w:val="center"/>
              <w:rPr>
                <w:rFonts w:ascii="宋体" w:hAnsi="宋体" w:cs="宋体"/>
                <w:color w:val="auto"/>
                <w:szCs w:val="21"/>
                <w:highlight w:val="none"/>
              </w:rPr>
            </w:pPr>
          </w:p>
        </w:tc>
      </w:tr>
      <w:tr w14:paraId="542BEE78">
        <w:tblPrEx>
          <w:tblCellMar>
            <w:top w:w="0" w:type="dxa"/>
            <w:left w:w="0" w:type="dxa"/>
            <w:bottom w:w="0" w:type="dxa"/>
            <w:right w:w="0" w:type="dxa"/>
          </w:tblCellMar>
        </w:tblPrEx>
        <w:trPr>
          <w:trHeight w:val="535" w:hRule="atLeast"/>
          <w:jc w:val="center"/>
        </w:trPr>
        <w:tc>
          <w:tcPr>
            <w:tcW w:w="18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9FF6AC">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工程</w:t>
            </w:r>
          </w:p>
        </w:tc>
        <w:tc>
          <w:tcPr>
            <w:tcW w:w="2214"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4C0695">
            <w:pPr>
              <w:widowControl/>
              <w:spacing w:line="400" w:lineRule="exact"/>
              <w:jc w:val="center"/>
              <w:rPr>
                <w:rFonts w:ascii="宋体" w:hAnsi="宋体" w:cs="宋体"/>
                <w:color w:val="auto"/>
                <w:szCs w:val="21"/>
                <w:highlight w:val="none"/>
              </w:rPr>
            </w:pPr>
          </w:p>
        </w:tc>
        <w:tc>
          <w:tcPr>
            <w:tcW w:w="18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4CAD95">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c>
          <w:tcPr>
            <w:tcW w:w="217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C5DE51">
            <w:pPr>
              <w:widowControl/>
              <w:spacing w:line="400" w:lineRule="exact"/>
              <w:jc w:val="center"/>
              <w:rPr>
                <w:rFonts w:ascii="宋体" w:hAnsi="宋体" w:cs="宋体"/>
                <w:color w:val="auto"/>
                <w:szCs w:val="21"/>
                <w:highlight w:val="none"/>
              </w:rPr>
            </w:pPr>
          </w:p>
        </w:tc>
      </w:tr>
    </w:tbl>
    <w:p w14:paraId="5D583B02">
      <w:pPr>
        <w:widowControl/>
        <w:spacing w:before="156" w:after="156" w:line="400" w:lineRule="exact"/>
        <w:jc w:val="center"/>
        <w:rPr>
          <w:rFonts w:ascii="宋体" w:hAnsi="宋体" w:cs="宋体"/>
          <w:color w:val="auto"/>
          <w:szCs w:val="21"/>
          <w:highlight w:val="none"/>
        </w:rPr>
      </w:pPr>
      <w:r>
        <w:rPr>
          <w:rFonts w:hint="eastAsia" w:ascii="宋体" w:hAnsi="宋体" w:cs="宋体"/>
          <w:color w:val="auto"/>
          <w:szCs w:val="21"/>
          <w:highlight w:val="none"/>
        </w:rPr>
        <w:t>基准费率表</w:t>
      </w:r>
    </w:p>
    <w:tbl>
      <w:tblPr>
        <w:tblStyle w:val="42"/>
        <w:tblW w:w="8141" w:type="dxa"/>
        <w:jc w:val="center"/>
        <w:tblLayout w:type="fixed"/>
        <w:tblCellMar>
          <w:top w:w="0" w:type="dxa"/>
          <w:left w:w="0" w:type="dxa"/>
          <w:bottom w:w="0" w:type="dxa"/>
          <w:right w:w="0" w:type="dxa"/>
        </w:tblCellMar>
      </w:tblPr>
      <w:tblGrid>
        <w:gridCol w:w="2864"/>
        <w:gridCol w:w="1759"/>
        <w:gridCol w:w="1759"/>
        <w:gridCol w:w="1759"/>
      </w:tblGrid>
      <w:tr w14:paraId="6DB2C979">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263D06C">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中标金额（万元）</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3C64708">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货物采购</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8A7C225">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服务采购</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895656A">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工程采购</w:t>
            </w:r>
          </w:p>
        </w:tc>
      </w:tr>
      <w:tr w14:paraId="21D22228">
        <w:tblPrEx>
          <w:tblCellMar>
            <w:top w:w="0" w:type="dxa"/>
            <w:left w:w="0" w:type="dxa"/>
            <w:bottom w:w="0" w:type="dxa"/>
            <w:right w:w="0" w:type="dxa"/>
          </w:tblCellMar>
        </w:tblPrEx>
        <w:trPr>
          <w:trHeight w:val="374"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F3ECE14">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5A0C07">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EB6672">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6741926">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w:t>
            </w:r>
          </w:p>
        </w:tc>
      </w:tr>
      <w:tr w14:paraId="63444334">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05DDF11">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42A31D6">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9FBA9E2">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5D8938F">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0.7％</w:t>
            </w:r>
          </w:p>
        </w:tc>
      </w:tr>
      <w:tr w14:paraId="2090DC76">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AD434A6">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835FCEF">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AB24DAA">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FE2C9F9">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0.55％</w:t>
            </w:r>
          </w:p>
        </w:tc>
      </w:tr>
      <w:tr w14:paraId="6D1EC201">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225E76C">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E035F6D">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1C35DE5">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1490A17">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0.35％</w:t>
            </w:r>
          </w:p>
        </w:tc>
      </w:tr>
      <w:tr w14:paraId="6193633C">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EBBE6D">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5000-1亿</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4975BC">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591F600">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0.1％</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ECA23F0">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0.2％</w:t>
            </w:r>
          </w:p>
        </w:tc>
      </w:tr>
      <w:tr w14:paraId="0E1DE12A">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147D5B9">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1亿以上</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D5F3DC8">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20EC2CB">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5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BEBD00B">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r>
    </w:tbl>
    <w:p w14:paraId="1DA30252">
      <w:pPr>
        <w:spacing w:line="360" w:lineRule="auto"/>
        <w:ind w:firstLine="420"/>
        <w:rPr>
          <w:rFonts w:cs="宋体"/>
          <w:color w:val="auto"/>
          <w:szCs w:val="21"/>
          <w:highlight w:val="none"/>
        </w:rPr>
      </w:pPr>
      <w:r>
        <w:rPr>
          <w:rFonts w:hint="eastAsia" w:cs="宋体"/>
          <w:color w:val="auto"/>
          <w:szCs w:val="21"/>
          <w:highlight w:val="none"/>
        </w:rPr>
        <w:t>（1）代理服务费以人民币支付；</w:t>
      </w:r>
    </w:p>
    <w:p w14:paraId="35FDF530">
      <w:pPr>
        <w:spacing w:line="360" w:lineRule="auto"/>
        <w:ind w:firstLine="420"/>
        <w:rPr>
          <w:rFonts w:cs="宋体"/>
          <w:color w:val="auto"/>
          <w:szCs w:val="21"/>
          <w:highlight w:val="none"/>
        </w:rPr>
      </w:pPr>
      <w:r>
        <w:rPr>
          <w:rFonts w:hint="eastAsia" w:cs="宋体"/>
          <w:color w:val="auto"/>
          <w:szCs w:val="21"/>
          <w:highlight w:val="none"/>
        </w:rPr>
        <w:t>（2）代理服务费支付方式：一次性以电汇或转账形式支付。</w:t>
      </w:r>
    </w:p>
    <w:p w14:paraId="5743D447">
      <w:pPr>
        <w:spacing w:line="360" w:lineRule="auto"/>
        <w:ind w:firstLine="420"/>
        <w:rPr>
          <w:rFonts w:cs="宋体"/>
          <w:color w:val="auto"/>
          <w:szCs w:val="21"/>
          <w:highlight w:val="none"/>
        </w:rPr>
      </w:pPr>
      <w:r>
        <w:rPr>
          <w:rFonts w:hint="eastAsia" w:cs="宋体"/>
          <w:color w:val="auto"/>
          <w:szCs w:val="21"/>
          <w:highlight w:val="none"/>
        </w:rPr>
        <w:t>（3）招标代理服务费不在响应报价中单列，包含在响应总价中，由中标人支付给代理机构。</w:t>
      </w:r>
    </w:p>
    <w:p w14:paraId="4432DD16">
      <w:pPr>
        <w:spacing w:line="360" w:lineRule="auto"/>
        <w:ind w:firstLine="422"/>
        <w:rPr>
          <w:rFonts w:cs="宋体"/>
          <w:b/>
          <w:bCs/>
          <w:color w:val="auto"/>
          <w:szCs w:val="21"/>
          <w:highlight w:val="none"/>
        </w:rPr>
      </w:pPr>
      <w:r>
        <w:rPr>
          <w:rFonts w:hint="eastAsia" w:cs="宋体"/>
          <w:b/>
          <w:bCs/>
          <w:color w:val="auto"/>
          <w:szCs w:val="21"/>
          <w:highlight w:val="none"/>
        </w:rPr>
        <w:t>招标代理服务费开户银行：中国工商银行扬州雍华府支行</w:t>
      </w:r>
    </w:p>
    <w:p w14:paraId="18E7E462">
      <w:pPr>
        <w:spacing w:line="360" w:lineRule="auto"/>
        <w:ind w:firstLine="422"/>
        <w:rPr>
          <w:rFonts w:cs="宋体"/>
          <w:b/>
          <w:bCs/>
          <w:color w:val="auto"/>
          <w:szCs w:val="21"/>
          <w:highlight w:val="none"/>
        </w:rPr>
      </w:pPr>
      <w:r>
        <w:rPr>
          <w:rFonts w:hint="eastAsia" w:cs="宋体"/>
          <w:b/>
          <w:bCs/>
          <w:color w:val="auto"/>
          <w:szCs w:val="21"/>
          <w:highlight w:val="none"/>
        </w:rPr>
        <w:t>    开户名称：江苏苏维工程管理有限公司</w:t>
      </w:r>
    </w:p>
    <w:p w14:paraId="2E81CB4A">
      <w:pPr>
        <w:spacing w:line="360" w:lineRule="auto"/>
        <w:ind w:firstLine="422"/>
        <w:rPr>
          <w:rFonts w:hint="eastAsia" w:cs="宋体"/>
          <w:b/>
          <w:bCs/>
          <w:color w:val="auto"/>
          <w:szCs w:val="21"/>
          <w:highlight w:val="none"/>
        </w:rPr>
      </w:pPr>
      <w:r>
        <w:rPr>
          <w:rFonts w:hint="eastAsia" w:cs="宋体"/>
          <w:b/>
          <w:bCs/>
          <w:color w:val="auto"/>
          <w:szCs w:val="21"/>
          <w:highlight w:val="none"/>
        </w:rPr>
        <w:t>    开户帐号：1108020819100000612</w:t>
      </w:r>
    </w:p>
    <w:p w14:paraId="5059FD68">
      <w:pPr>
        <w:spacing w:line="360" w:lineRule="auto"/>
        <w:ind w:firstLine="422"/>
        <w:jc w:val="left"/>
        <w:rPr>
          <w:rFonts w:hint="eastAsia" w:cs="宋体"/>
          <w:b/>
          <w:bCs/>
          <w:color w:val="auto"/>
          <w:szCs w:val="21"/>
          <w:highlight w:val="none"/>
        </w:rPr>
      </w:pPr>
      <w:r>
        <w:rPr>
          <w:rFonts w:hint="eastAsia" w:cs="宋体"/>
          <w:b/>
          <w:bCs/>
          <w:color w:val="auto"/>
          <w:szCs w:val="21"/>
          <w:highlight w:val="none"/>
        </w:rPr>
        <w:t>4.4专家评审费参考《关于规范江苏省政府采购专家评审费标准的通知》（苏财购〔2016〕48号）执行。</w:t>
      </w:r>
    </w:p>
    <w:p w14:paraId="3F52B7EF">
      <w:pPr>
        <w:pStyle w:val="5"/>
        <w:spacing w:before="0" w:after="0" w:line="360" w:lineRule="auto"/>
        <w:ind w:firstLine="422"/>
        <w:rPr>
          <w:rFonts w:ascii="宋体" w:hAnsi="宋体" w:eastAsia="宋体"/>
          <w:bCs w:val="0"/>
          <w:color w:val="auto"/>
          <w:sz w:val="21"/>
          <w:szCs w:val="21"/>
          <w:highlight w:val="none"/>
        </w:rPr>
      </w:pPr>
      <w:r>
        <w:rPr>
          <w:rFonts w:hint="eastAsia" w:ascii="宋体" w:hAnsi="宋体" w:eastAsia="宋体"/>
          <w:color w:val="auto"/>
          <w:sz w:val="21"/>
          <w:szCs w:val="21"/>
          <w:highlight w:val="none"/>
        </w:rPr>
        <w:t>5、</w:t>
      </w:r>
      <w:r>
        <w:rPr>
          <w:rFonts w:hint="eastAsia" w:ascii="宋体" w:hAnsi="宋体" w:eastAsia="宋体"/>
          <w:bCs w:val="0"/>
          <w:color w:val="auto"/>
          <w:sz w:val="21"/>
          <w:szCs w:val="21"/>
          <w:highlight w:val="none"/>
        </w:rPr>
        <w:t>招标文件的约束力</w:t>
      </w:r>
    </w:p>
    <w:p w14:paraId="75ABB023">
      <w:pPr>
        <w:spacing w:line="360" w:lineRule="auto"/>
        <w:ind w:firstLine="420"/>
        <w:rPr>
          <w:rFonts w:ascii="宋体" w:hAnsi="宋体"/>
          <w:bCs/>
          <w:color w:val="auto"/>
          <w:szCs w:val="21"/>
          <w:highlight w:val="none"/>
        </w:rPr>
      </w:pPr>
      <w:r>
        <w:rPr>
          <w:rFonts w:hint="eastAsia" w:ascii="宋体" w:hAnsi="宋体"/>
          <w:bCs/>
          <w:color w:val="auto"/>
          <w:szCs w:val="21"/>
          <w:highlight w:val="none"/>
        </w:rPr>
        <w:t>5.1</w:t>
      </w:r>
      <w:r>
        <w:rPr>
          <w:rFonts w:hint="eastAsia" w:ascii="宋体" w:hAnsi="宋体"/>
          <w:color w:val="auto"/>
          <w:szCs w:val="21"/>
          <w:highlight w:val="none"/>
        </w:rPr>
        <w:t xml:space="preserve"> 投标人一旦参加本项目采购活动，即被认为接受了本招标文件的规定和约束。</w:t>
      </w:r>
    </w:p>
    <w:p w14:paraId="672E9EA8">
      <w:pPr>
        <w:pStyle w:val="5"/>
        <w:spacing w:before="0" w:after="0" w:line="360" w:lineRule="auto"/>
        <w:ind w:firstLine="422"/>
        <w:rPr>
          <w:rFonts w:ascii="宋体" w:hAnsi="宋体" w:eastAsia="宋体"/>
          <w:bCs w:val="0"/>
          <w:color w:val="auto"/>
          <w:sz w:val="21"/>
          <w:szCs w:val="21"/>
          <w:highlight w:val="none"/>
        </w:rPr>
      </w:pPr>
      <w:bookmarkStart w:id="51" w:name="_Toc20823282"/>
      <w:bookmarkStart w:id="52" w:name="_Toc16938526"/>
      <w:bookmarkStart w:id="53" w:name="_Toc513029210"/>
      <w:r>
        <w:rPr>
          <w:rFonts w:ascii="宋体" w:hAnsi="宋体" w:eastAsia="宋体"/>
          <w:bCs w:val="0"/>
          <w:color w:val="auto"/>
          <w:sz w:val="21"/>
          <w:szCs w:val="21"/>
          <w:highlight w:val="none"/>
        </w:rPr>
        <w:t>6</w:t>
      </w:r>
      <w:r>
        <w:rPr>
          <w:rFonts w:hint="eastAsia" w:ascii="宋体" w:hAnsi="宋体" w:eastAsia="宋体"/>
          <w:bCs w:val="0"/>
          <w:color w:val="auto"/>
          <w:sz w:val="21"/>
          <w:szCs w:val="21"/>
          <w:highlight w:val="none"/>
        </w:rPr>
        <w:t>、招标文件构成</w:t>
      </w:r>
      <w:bookmarkEnd w:id="51"/>
      <w:bookmarkEnd w:id="52"/>
      <w:bookmarkEnd w:id="53"/>
    </w:p>
    <w:p w14:paraId="29E609F0">
      <w:pPr>
        <w:spacing w:line="360" w:lineRule="auto"/>
        <w:ind w:firstLine="420"/>
        <w:rPr>
          <w:rFonts w:ascii="宋体" w:hAnsi="宋体"/>
          <w:color w:val="auto"/>
          <w:szCs w:val="21"/>
          <w:highlight w:val="none"/>
        </w:rPr>
      </w:pPr>
      <w:r>
        <w:rPr>
          <w:rFonts w:hint="eastAsia" w:ascii="宋体" w:hAnsi="宋体"/>
          <w:bCs/>
          <w:color w:val="auto"/>
          <w:szCs w:val="21"/>
          <w:highlight w:val="none"/>
        </w:rPr>
        <w:t>6.1</w:t>
      </w:r>
      <w:r>
        <w:rPr>
          <w:rFonts w:hint="eastAsia" w:ascii="宋体" w:hAnsi="宋体"/>
          <w:color w:val="auto"/>
          <w:szCs w:val="21"/>
          <w:highlight w:val="none"/>
        </w:rPr>
        <w:t xml:space="preserve"> 招标文件有以下部分组成：</w:t>
      </w:r>
    </w:p>
    <w:p w14:paraId="3E0A7131">
      <w:pPr>
        <w:spacing w:line="360" w:lineRule="auto"/>
        <w:ind w:firstLine="315"/>
        <w:rPr>
          <w:rFonts w:ascii="宋体" w:hAnsi="宋体"/>
          <w:color w:val="auto"/>
          <w:szCs w:val="21"/>
          <w:highlight w:val="none"/>
        </w:rPr>
      </w:pPr>
      <w:r>
        <w:rPr>
          <w:rFonts w:hint="eastAsia" w:ascii="宋体" w:hAnsi="宋体"/>
          <w:color w:val="auto"/>
          <w:szCs w:val="21"/>
          <w:highlight w:val="none"/>
        </w:rPr>
        <w:t>（1）招标公告</w:t>
      </w:r>
    </w:p>
    <w:p w14:paraId="7F487D61">
      <w:pPr>
        <w:tabs>
          <w:tab w:val="left" w:pos="2580"/>
        </w:tabs>
        <w:spacing w:line="360" w:lineRule="auto"/>
        <w:ind w:firstLine="315"/>
        <w:rPr>
          <w:rFonts w:ascii="宋体" w:hAnsi="宋体"/>
          <w:color w:val="auto"/>
          <w:szCs w:val="21"/>
          <w:highlight w:val="none"/>
        </w:rPr>
      </w:pPr>
      <w:r>
        <w:rPr>
          <w:rFonts w:hint="eastAsia" w:ascii="宋体" w:hAnsi="宋体"/>
          <w:color w:val="auto"/>
          <w:szCs w:val="21"/>
          <w:highlight w:val="none"/>
        </w:rPr>
        <w:t>（2）投标人须知</w:t>
      </w:r>
      <w:r>
        <w:rPr>
          <w:rFonts w:hint="eastAsia" w:ascii="宋体" w:hAnsi="宋体"/>
          <w:color w:val="auto"/>
          <w:szCs w:val="21"/>
          <w:highlight w:val="none"/>
        </w:rPr>
        <w:tab/>
      </w:r>
    </w:p>
    <w:p w14:paraId="093F7504">
      <w:pPr>
        <w:spacing w:line="360" w:lineRule="auto"/>
        <w:ind w:firstLine="315"/>
        <w:rPr>
          <w:rFonts w:ascii="宋体" w:hAnsi="宋体"/>
          <w:color w:val="auto"/>
          <w:szCs w:val="21"/>
          <w:highlight w:val="none"/>
        </w:rPr>
      </w:pPr>
      <w:r>
        <w:rPr>
          <w:rFonts w:hint="eastAsia" w:ascii="宋体" w:hAnsi="宋体"/>
          <w:color w:val="auto"/>
          <w:szCs w:val="21"/>
          <w:highlight w:val="none"/>
        </w:rPr>
        <w:t>（3）合同条款及格式</w:t>
      </w:r>
    </w:p>
    <w:p w14:paraId="69FA0046">
      <w:pPr>
        <w:spacing w:line="360" w:lineRule="auto"/>
        <w:ind w:firstLine="315"/>
        <w:rPr>
          <w:rFonts w:ascii="宋体" w:hAnsi="宋体"/>
          <w:color w:val="auto"/>
          <w:szCs w:val="21"/>
          <w:highlight w:val="none"/>
        </w:rPr>
      </w:pPr>
      <w:r>
        <w:rPr>
          <w:rFonts w:hint="eastAsia" w:ascii="宋体" w:hAnsi="宋体"/>
          <w:color w:val="auto"/>
          <w:szCs w:val="21"/>
          <w:highlight w:val="none"/>
        </w:rPr>
        <w:t>（4）项目需求</w:t>
      </w:r>
    </w:p>
    <w:p w14:paraId="6673ED2F">
      <w:pPr>
        <w:spacing w:line="360" w:lineRule="auto"/>
        <w:ind w:firstLine="315"/>
        <w:rPr>
          <w:rFonts w:ascii="宋体" w:hAnsi="宋体"/>
          <w:color w:val="auto"/>
          <w:szCs w:val="21"/>
          <w:highlight w:val="none"/>
        </w:rPr>
      </w:pPr>
      <w:r>
        <w:rPr>
          <w:rFonts w:hint="eastAsia" w:ascii="宋体" w:hAnsi="宋体"/>
          <w:color w:val="auto"/>
          <w:szCs w:val="21"/>
          <w:highlight w:val="none"/>
        </w:rPr>
        <w:t>（5）评标方法与评标标准</w:t>
      </w:r>
    </w:p>
    <w:p w14:paraId="1D2F6174">
      <w:pPr>
        <w:spacing w:line="360" w:lineRule="auto"/>
        <w:ind w:firstLine="315"/>
        <w:rPr>
          <w:rFonts w:ascii="宋体" w:hAnsi="宋体"/>
          <w:color w:val="auto"/>
          <w:szCs w:val="21"/>
          <w:highlight w:val="none"/>
        </w:rPr>
      </w:pPr>
      <w:r>
        <w:rPr>
          <w:rFonts w:hint="eastAsia" w:ascii="宋体" w:hAnsi="宋体"/>
          <w:color w:val="auto"/>
          <w:szCs w:val="21"/>
          <w:highlight w:val="none"/>
        </w:rPr>
        <w:t>（6）投标文件格式</w:t>
      </w:r>
    </w:p>
    <w:p w14:paraId="62A80574">
      <w:pPr>
        <w:spacing w:line="360" w:lineRule="auto"/>
        <w:ind w:firstLine="420"/>
        <w:rPr>
          <w:rFonts w:ascii="宋体" w:hAnsi="宋体"/>
          <w:color w:val="auto"/>
          <w:szCs w:val="21"/>
          <w:highlight w:val="none"/>
        </w:rPr>
      </w:pPr>
      <w:r>
        <w:rPr>
          <w:rFonts w:hint="eastAsia" w:ascii="宋体" w:hAnsi="宋体"/>
          <w:color w:val="auto"/>
          <w:szCs w:val="21"/>
          <w:highlight w:val="none"/>
        </w:rPr>
        <w:t>请仔细检查招标文件是否齐全，如有缺漏请立即与代理机构联系解决。</w:t>
      </w:r>
    </w:p>
    <w:p w14:paraId="27DF4281">
      <w:pPr>
        <w:spacing w:line="360" w:lineRule="auto"/>
        <w:ind w:firstLine="420"/>
        <w:rPr>
          <w:rFonts w:ascii="宋体" w:hAnsi="宋体"/>
          <w:bCs/>
          <w:color w:val="auto"/>
          <w:szCs w:val="21"/>
          <w:highlight w:val="none"/>
        </w:rPr>
      </w:pPr>
      <w:r>
        <w:rPr>
          <w:rFonts w:hint="eastAsia" w:ascii="宋体" w:hAnsi="宋体"/>
          <w:bCs/>
          <w:color w:val="auto"/>
          <w:szCs w:val="21"/>
          <w:highlight w:val="none"/>
        </w:rPr>
        <w:t>6.2 招标的最小单位是包。招标服务数量及技术要求中未分包的，投标人对要求提供的服务不得部分投标；招标服务数量及技术要求中已经分包的，应当以包为单位投标。</w:t>
      </w:r>
    </w:p>
    <w:p w14:paraId="3DB8CDF8">
      <w:pPr>
        <w:spacing w:line="360" w:lineRule="auto"/>
        <w:ind w:firstLine="420"/>
        <w:rPr>
          <w:rFonts w:ascii="宋体" w:hAnsi="宋体"/>
          <w:bCs/>
          <w:color w:val="auto"/>
          <w:szCs w:val="21"/>
          <w:highlight w:val="none"/>
        </w:rPr>
      </w:pPr>
      <w:r>
        <w:rPr>
          <w:rFonts w:hint="eastAsia" w:ascii="宋体" w:hAnsi="宋体"/>
          <w:bCs/>
          <w:color w:val="auto"/>
          <w:szCs w:val="21"/>
          <w:highlight w:val="none"/>
        </w:rPr>
        <w:t>6.3 招标文件如果要求投标人提交备选投标方案的，投标人可以提交备选方案；否则，备选方案将被拒绝。</w:t>
      </w:r>
    </w:p>
    <w:p w14:paraId="699863C0">
      <w:pPr>
        <w:spacing w:line="360" w:lineRule="auto"/>
        <w:ind w:firstLine="420"/>
        <w:rPr>
          <w:rFonts w:ascii="宋体" w:hAnsi="宋体"/>
          <w:color w:val="auto"/>
          <w:szCs w:val="21"/>
          <w:highlight w:val="none"/>
        </w:rPr>
      </w:pPr>
      <w:r>
        <w:rPr>
          <w:rFonts w:hint="eastAsia" w:ascii="宋体" w:hAnsi="宋体"/>
          <w:bCs/>
          <w:color w:val="auto"/>
          <w:szCs w:val="21"/>
          <w:highlight w:val="none"/>
        </w:rPr>
        <w:t>6.4</w:t>
      </w:r>
      <w:r>
        <w:rPr>
          <w:rFonts w:hint="eastAsia" w:ascii="宋体" w:hAnsi="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737C055">
      <w:pPr>
        <w:pStyle w:val="5"/>
        <w:spacing w:before="0" w:after="0" w:line="360" w:lineRule="auto"/>
        <w:ind w:firstLine="422"/>
        <w:rPr>
          <w:rFonts w:ascii="宋体" w:hAnsi="宋体" w:eastAsia="宋体"/>
          <w:b w:val="0"/>
          <w:bCs w:val="0"/>
          <w:color w:val="auto"/>
          <w:sz w:val="21"/>
          <w:szCs w:val="21"/>
          <w:highlight w:val="none"/>
        </w:rPr>
      </w:pPr>
      <w:bookmarkStart w:id="54" w:name="_Toc20823283"/>
      <w:bookmarkStart w:id="55" w:name="_Toc513029211"/>
      <w:bookmarkStart w:id="56" w:name="_Toc462564070"/>
      <w:bookmarkStart w:id="57" w:name="_Toc16938527"/>
      <w:r>
        <w:rPr>
          <w:rFonts w:ascii="宋体" w:hAnsi="宋体" w:eastAsia="宋体"/>
          <w:bCs w:val="0"/>
          <w:color w:val="auto"/>
          <w:sz w:val="21"/>
          <w:szCs w:val="21"/>
          <w:highlight w:val="none"/>
        </w:rPr>
        <w:t>7</w:t>
      </w:r>
      <w:r>
        <w:rPr>
          <w:rFonts w:hint="eastAsia" w:ascii="宋体" w:hAnsi="宋体" w:eastAsia="宋体"/>
          <w:b w:val="0"/>
          <w:bCs w:val="0"/>
          <w:color w:val="auto"/>
          <w:sz w:val="21"/>
          <w:szCs w:val="21"/>
          <w:highlight w:val="none"/>
        </w:rPr>
        <w:t>、</w:t>
      </w:r>
      <w:r>
        <w:rPr>
          <w:rFonts w:hint="eastAsia" w:ascii="宋体" w:hAnsi="宋体" w:eastAsia="宋体"/>
          <w:bCs w:val="0"/>
          <w:color w:val="auto"/>
          <w:sz w:val="21"/>
          <w:szCs w:val="21"/>
          <w:highlight w:val="none"/>
        </w:rPr>
        <w:t>招标文件的</w:t>
      </w:r>
      <w:bookmarkEnd w:id="54"/>
      <w:bookmarkEnd w:id="55"/>
      <w:bookmarkEnd w:id="56"/>
      <w:bookmarkEnd w:id="57"/>
      <w:r>
        <w:rPr>
          <w:rFonts w:hint="eastAsia" w:ascii="宋体" w:hAnsi="宋体" w:eastAsia="宋体"/>
          <w:bCs w:val="0"/>
          <w:color w:val="auto"/>
          <w:sz w:val="21"/>
          <w:szCs w:val="21"/>
          <w:highlight w:val="none"/>
        </w:rPr>
        <w:t>澄清</w:t>
      </w:r>
    </w:p>
    <w:p w14:paraId="43BEC2FC">
      <w:pPr>
        <w:spacing w:line="360" w:lineRule="auto"/>
        <w:ind w:firstLine="420"/>
        <w:rPr>
          <w:rFonts w:ascii="宋体" w:hAnsi="宋体"/>
          <w:color w:val="auto"/>
          <w:szCs w:val="21"/>
          <w:highlight w:val="none"/>
        </w:rPr>
      </w:pPr>
      <w:r>
        <w:rPr>
          <w:rFonts w:hint="eastAsia" w:ascii="宋体" w:hAnsi="宋体"/>
          <w:color w:val="auto"/>
          <w:szCs w:val="21"/>
          <w:highlight w:val="none"/>
        </w:rPr>
        <w:t>7.1 任何要求对招标文件进行澄清的投标人，应在投标截止日期的十日前按投标邀请中的通讯地址，以书面形式通知代理机构。</w:t>
      </w:r>
    </w:p>
    <w:p w14:paraId="08AE827B">
      <w:pPr>
        <w:pStyle w:val="5"/>
        <w:spacing w:before="0" w:after="0" w:line="360" w:lineRule="auto"/>
        <w:ind w:firstLine="422"/>
        <w:rPr>
          <w:rFonts w:ascii="宋体" w:hAnsi="宋体" w:eastAsia="宋体"/>
          <w:b w:val="0"/>
          <w:bCs w:val="0"/>
          <w:color w:val="auto"/>
          <w:sz w:val="21"/>
          <w:szCs w:val="21"/>
          <w:highlight w:val="none"/>
        </w:rPr>
      </w:pPr>
      <w:bookmarkStart w:id="58" w:name="_Toc16938528"/>
      <w:bookmarkStart w:id="59" w:name="_Toc20823284"/>
      <w:bookmarkStart w:id="60" w:name="_Toc513029212"/>
      <w:bookmarkStart w:id="61" w:name="_Toc462564071"/>
      <w:bookmarkStart w:id="62" w:name="_Toc513029214"/>
      <w:bookmarkStart w:id="63" w:name="_Toc462564073"/>
      <w:bookmarkStart w:id="64" w:name="_Toc20823286"/>
      <w:bookmarkStart w:id="65" w:name="_Toc16938530"/>
      <w:r>
        <w:rPr>
          <w:rFonts w:hint="eastAsia" w:ascii="宋体" w:hAnsi="宋体" w:eastAsia="宋体"/>
          <w:bCs w:val="0"/>
          <w:color w:val="auto"/>
          <w:sz w:val="21"/>
          <w:szCs w:val="21"/>
          <w:highlight w:val="none"/>
        </w:rPr>
        <w:t>8</w:t>
      </w:r>
      <w:r>
        <w:rPr>
          <w:rFonts w:hint="eastAsia" w:ascii="宋体" w:hAnsi="宋体" w:eastAsia="宋体"/>
          <w:b w:val="0"/>
          <w:bCs w:val="0"/>
          <w:color w:val="auto"/>
          <w:sz w:val="21"/>
          <w:szCs w:val="21"/>
          <w:highlight w:val="none"/>
        </w:rPr>
        <w:t>、</w:t>
      </w:r>
      <w:r>
        <w:rPr>
          <w:rFonts w:hint="eastAsia" w:ascii="宋体" w:hAnsi="宋体" w:eastAsia="宋体"/>
          <w:bCs w:val="0"/>
          <w:color w:val="auto"/>
          <w:sz w:val="21"/>
          <w:szCs w:val="21"/>
          <w:highlight w:val="none"/>
        </w:rPr>
        <w:t>招标文件的修改</w:t>
      </w:r>
      <w:bookmarkEnd w:id="58"/>
      <w:bookmarkEnd w:id="59"/>
      <w:bookmarkEnd w:id="60"/>
      <w:bookmarkEnd w:id="61"/>
    </w:p>
    <w:p w14:paraId="58384F53">
      <w:pPr>
        <w:spacing w:line="360" w:lineRule="auto"/>
        <w:ind w:firstLine="420"/>
        <w:rPr>
          <w:rFonts w:ascii="宋体" w:hAnsi="宋体"/>
          <w:color w:val="auto"/>
          <w:szCs w:val="21"/>
          <w:highlight w:val="none"/>
        </w:rPr>
      </w:pPr>
      <w:r>
        <w:rPr>
          <w:rFonts w:hint="eastAsia" w:ascii="宋体" w:hAnsi="宋体"/>
          <w:bCs/>
          <w:color w:val="auto"/>
          <w:szCs w:val="21"/>
          <w:highlight w:val="none"/>
        </w:rPr>
        <w:t>8.1</w:t>
      </w:r>
      <w:r>
        <w:rPr>
          <w:rFonts w:hint="eastAsia" w:ascii="宋体" w:hAnsi="宋体"/>
          <w:color w:val="auto"/>
          <w:szCs w:val="21"/>
          <w:highlight w:val="none"/>
        </w:rPr>
        <w:t xml:space="preserve"> 在投标截止时间前，代理机构可以对招标文件进行修改。</w:t>
      </w:r>
    </w:p>
    <w:p w14:paraId="22B82A57">
      <w:pPr>
        <w:spacing w:line="360" w:lineRule="auto"/>
        <w:ind w:firstLine="420"/>
        <w:rPr>
          <w:rFonts w:ascii="宋体" w:hAnsi="宋体"/>
          <w:bCs/>
          <w:color w:val="auto"/>
          <w:szCs w:val="21"/>
          <w:highlight w:val="none"/>
        </w:rPr>
      </w:pPr>
      <w:r>
        <w:rPr>
          <w:rFonts w:hint="eastAsia" w:ascii="宋体" w:hAnsi="宋体"/>
          <w:bCs/>
          <w:color w:val="auto"/>
          <w:szCs w:val="21"/>
          <w:highlight w:val="none"/>
        </w:rPr>
        <w:t>8.2代理机构在招标文件要求提交投标文件截止时间前，有权决定延长投标截止时间和开标时间，并在原采购信息发布媒体上发布变更公告。</w:t>
      </w:r>
    </w:p>
    <w:p w14:paraId="676FCC3F">
      <w:pPr>
        <w:spacing w:line="360" w:lineRule="auto"/>
        <w:ind w:firstLine="420"/>
        <w:rPr>
          <w:rFonts w:ascii="宋体" w:hAnsi="宋体"/>
          <w:color w:val="auto"/>
          <w:szCs w:val="21"/>
          <w:highlight w:val="none"/>
        </w:rPr>
      </w:pPr>
      <w:r>
        <w:rPr>
          <w:rFonts w:hint="eastAsia" w:ascii="宋体" w:hAnsi="宋体"/>
          <w:bCs/>
          <w:color w:val="auto"/>
          <w:szCs w:val="21"/>
          <w:highlight w:val="none"/>
        </w:rPr>
        <w:t>8.3</w:t>
      </w:r>
      <w:r>
        <w:rPr>
          <w:rFonts w:hint="eastAsia" w:ascii="宋体" w:hAnsi="宋体"/>
          <w:color w:val="auto"/>
          <w:szCs w:val="21"/>
          <w:highlight w:val="none"/>
        </w:rPr>
        <w:t>招标文件的修改将在</w:t>
      </w:r>
      <w:r>
        <w:rPr>
          <w:rFonts w:hint="eastAsia" w:ascii="宋体" w:hAnsi="宋体"/>
          <w:color w:val="auto"/>
          <w:szCs w:val="21"/>
          <w:highlight w:val="none"/>
          <w:lang w:eastAsia="zh-CN"/>
        </w:rPr>
        <w:t>“扬州大学附属医院网”、“扬州大学网”、“江苏政府采购网”、“中国政府采购网”</w:t>
      </w:r>
      <w:r>
        <w:rPr>
          <w:rFonts w:hint="eastAsia" w:ascii="宋体" w:hAnsi="宋体"/>
          <w:color w:val="auto"/>
          <w:szCs w:val="21"/>
          <w:highlight w:val="none"/>
        </w:rPr>
        <w:t>公布，补充文件将作为招标文件的组成部分，并对投标人具有约束力。</w:t>
      </w:r>
    </w:p>
    <w:p w14:paraId="69F0BC4B">
      <w:pPr>
        <w:spacing w:line="360" w:lineRule="auto"/>
        <w:ind w:firstLine="420"/>
        <w:rPr>
          <w:rFonts w:ascii="宋体" w:hAnsi="宋体"/>
          <w:color w:val="auto"/>
          <w:szCs w:val="21"/>
          <w:highlight w:val="none"/>
        </w:rPr>
      </w:pPr>
      <w:r>
        <w:rPr>
          <w:rFonts w:hint="eastAsia" w:ascii="宋体" w:hAnsi="宋体"/>
          <w:color w:val="auto"/>
          <w:szCs w:val="21"/>
          <w:highlight w:val="none"/>
        </w:rPr>
        <w:t>8.4投标人应在投标截止时间前关注原采购信息发布媒体上有关本招标项目有无变更公告。</w:t>
      </w:r>
    </w:p>
    <w:p w14:paraId="7200F239">
      <w:pPr>
        <w:pStyle w:val="5"/>
        <w:spacing w:before="0" w:after="0" w:line="360" w:lineRule="auto"/>
        <w:ind w:firstLine="422"/>
        <w:rPr>
          <w:rFonts w:ascii="宋体" w:hAnsi="宋体" w:eastAsia="宋体"/>
          <w:bCs w:val="0"/>
          <w:color w:val="auto"/>
          <w:sz w:val="21"/>
          <w:szCs w:val="21"/>
          <w:highlight w:val="none"/>
        </w:rPr>
      </w:pPr>
      <w:r>
        <w:rPr>
          <w:rFonts w:ascii="宋体" w:hAnsi="宋体" w:eastAsia="宋体"/>
          <w:bCs w:val="0"/>
          <w:color w:val="auto"/>
          <w:sz w:val="21"/>
          <w:szCs w:val="21"/>
          <w:highlight w:val="none"/>
        </w:rPr>
        <w:t>9</w:t>
      </w:r>
      <w:r>
        <w:rPr>
          <w:rFonts w:hint="eastAsia" w:ascii="宋体" w:hAnsi="宋体" w:eastAsia="宋体"/>
          <w:bCs w:val="0"/>
          <w:color w:val="auto"/>
          <w:sz w:val="21"/>
          <w:szCs w:val="21"/>
          <w:highlight w:val="none"/>
        </w:rPr>
        <w:t>、投标文件的语言、度量衡单位</w:t>
      </w:r>
      <w:bookmarkEnd w:id="62"/>
      <w:bookmarkEnd w:id="63"/>
      <w:bookmarkEnd w:id="64"/>
      <w:bookmarkEnd w:id="65"/>
      <w:r>
        <w:rPr>
          <w:rFonts w:hint="eastAsia" w:ascii="宋体" w:hAnsi="宋体" w:eastAsia="宋体"/>
          <w:bCs w:val="0"/>
          <w:color w:val="auto"/>
          <w:sz w:val="21"/>
          <w:szCs w:val="21"/>
          <w:highlight w:val="none"/>
        </w:rPr>
        <w:t>、货币和编制</w:t>
      </w:r>
    </w:p>
    <w:p w14:paraId="7DEEFF5D">
      <w:pPr>
        <w:spacing w:line="360" w:lineRule="auto"/>
        <w:ind w:firstLine="420"/>
        <w:rPr>
          <w:rFonts w:ascii="宋体" w:hAnsi="宋体"/>
          <w:color w:val="auto"/>
          <w:szCs w:val="21"/>
          <w:highlight w:val="none"/>
        </w:rPr>
      </w:pPr>
      <w:r>
        <w:rPr>
          <w:rFonts w:hint="eastAsia" w:ascii="宋体" w:hAnsi="宋体"/>
          <w:bCs/>
          <w:color w:val="auto"/>
          <w:szCs w:val="21"/>
          <w:highlight w:val="none"/>
        </w:rPr>
        <w:t>9.1</w:t>
      </w:r>
      <w:r>
        <w:rPr>
          <w:rFonts w:hint="eastAsia" w:ascii="宋体" w:hAnsi="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3CBC8E9D">
      <w:pPr>
        <w:spacing w:line="360" w:lineRule="auto"/>
        <w:ind w:firstLine="420"/>
        <w:rPr>
          <w:rFonts w:ascii="宋体" w:hAnsi="宋体"/>
          <w:color w:val="auto"/>
          <w:szCs w:val="21"/>
          <w:highlight w:val="none"/>
        </w:rPr>
      </w:pPr>
      <w:r>
        <w:rPr>
          <w:rFonts w:hint="eastAsia" w:ascii="宋体" w:hAnsi="宋体"/>
          <w:bCs/>
          <w:color w:val="auto"/>
          <w:szCs w:val="21"/>
          <w:highlight w:val="none"/>
        </w:rPr>
        <w:t>9.2</w:t>
      </w:r>
      <w:r>
        <w:rPr>
          <w:rFonts w:hint="eastAsia" w:ascii="宋体" w:hAnsi="宋体"/>
          <w:color w:val="auto"/>
          <w:szCs w:val="21"/>
          <w:highlight w:val="none"/>
        </w:rPr>
        <w:t xml:space="preserve"> 除技术性能另有规定外，投标文件所使用的度量衡单位，均须采用国家法定计量单位。</w:t>
      </w:r>
    </w:p>
    <w:p w14:paraId="457B0F27">
      <w:pPr>
        <w:spacing w:line="360" w:lineRule="auto"/>
        <w:ind w:firstLine="420"/>
        <w:rPr>
          <w:rFonts w:ascii="宋体" w:hAnsi="宋体"/>
          <w:color w:val="auto"/>
          <w:szCs w:val="21"/>
          <w:highlight w:val="none"/>
        </w:rPr>
      </w:pPr>
      <w:r>
        <w:rPr>
          <w:rFonts w:hint="eastAsia" w:ascii="宋体" w:hAnsi="宋体"/>
          <w:color w:val="auto"/>
          <w:szCs w:val="21"/>
          <w:highlight w:val="none"/>
        </w:rPr>
        <w:t>9.3投标人应使用人民币报价。</w:t>
      </w:r>
    </w:p>
    <w:p w14:paraId="34FF5618">
      <w:pPr>
        <w:spacing w:line="360" w:lineRule="auto"/>
        <w:ind w:firstLine="420"/>
        <w:rPr>
          <w:rFonts w:ascii="宋体" w:hAnsi="宋体"/>
          <w:color w:val="auto"/>
          <w:szCs w:val="21"/>
          <w:highlight w:val="none"/>
        </w:rPr>
      </w:pPr>
      <w:r>
        <w:rPr>
          <w:rFonts w:hint="eastAsia" w:ascii="宋体" w:hAnsi="宋体"/>
          <w:color w:val="auto"/>
          <w:szCs w:val="21"/>
          <w:highlight w:val="none"/>
        </w:rPr>
        <w:t>9.4投标文件应字迹清楚、内容齐全、不得涂改。如有修改，修改处须有投标人加盖公章和法定代表人或其授权代表签字。</w:t>
      </w:r>
    </w:p>
    <w:p w14:paraId="5F2B583D">
      <w:pPr>
        <w:pStyle w:val="5"/>
        <w:spacing w:before="0" w:after="0" w:line="360" w:lineRule="auto"/>
        <w:ind w:firstLine="422"/>
        <w:rPr>
          <w:rFonts w:ascii="宋体" w:hAnsi="宋体" w:eastAsia="宋体"/>
          <w:bCs w:val="0"/>
          <w:color w:val="auto"/>
          <w:sz w:val="21"/>
          <w:szCs w:val="21"/>
          <w:highlight w:val="none"/>
        </w:rPr>
      </w:pPr>
      <w:bookmarkStart w:id="66" w:name="_Toc513029215"/>
      <w:bookmarkStart w:id="67" w:name="_Toc20823287"/>
      <w:bookmarkStart w:id="68" w:name="_Toc462564074"/>
      <w:bookmarkStart w:id="69" w:name="_Toc16938531"/>
      <w:r>
        <w:rPr>
          <w:rFonts w:ascii="宋体" w:hAnsi="宋体" w:eastAsia="宋体"/>
          <w:bCs w:val="0"/>
          <w:color w:val="auto"/>
          <w:sz w:val="21"/>
          <w:szCs w:val="21"/>
          <w:highlight w:val="none"/>
        </w:rPr>
        <w:t>10</w:t>
      </w:r>
      <w:r>
        <w:rPr>
          <w:rFonts w:hint="eastAsia" w:ascii="宋体" w:hAnsi="宋体" w:eastAsia="宋体"/>
          <w:bCs w:val="0"/>
          <w:color w:val="auto"/>
          <w:sz w:val="21"/>
          <w:szCs w:val="21"/>
          <w:highlight w:val="none"/>
        </w:rPr>
        <w:t>、投标文件构成</w:t>
      </w:r>
      <w:bookmarkEnd w:id="66"/>
      <w:bookmarkEnd w:id="67"/>
      <w:bookmarkEnd w:id="68"/>
      <w:bookmarkEnd w:id="69"/>
    </w:p>
    <w:p w14:paraId="3105D062">
      <w:pPr>
        <w:spacing w:line="360" w:lineRule="auto"/>
        <w:ind w:firstLine="420"/>
        <w:rPr>
          <w:rFonts w:ascii="宋体" w:hAnsi="宋体"/>
          <w:color w:val="auto"/>
          <w:szCs w:val="21"/>
          <w:highlight w:val="none"/>
        </w:rPr>
      </w:pPr>
      <w:r>
        <w:rPr>
          <w:rFonts w:hint="eastAsia" w:ascii="宋体" w:hAnsi="宋体"/>
          <w:bCs/>
          <w:color w:val="auto"/>
          <w:szCs w:val="21"/>
          <w:highlight w:val="none"/>
        </w:rPr>
        <w:t>10.1</w:t>
      </w:r>
      <w:r>
        <w:rPr>
          <w:rFonts w:hint="eastAsia" w:ascii="宋体" w:hAnsi="宋体"/>
          <w:color w:val="auto"/>
          <w:szCs w:val="21"/>
          <w:highlight w:val="none"/>
        </w:rPr>
        <w:t xml:space="preserve"> 投标人编写的投标文件应包括：资信证明文件、开标一览表等部分；</w:t>
      </w:r>
    </w:p>
    <w:p w14:paraId="62BB501C">
      <w:pPr>
        <w:pStyle w:val="5"/>
        <w:spacing w:before="0" w:after="0" w:line="360" w:lineRule="auto"/>
        <w:ind w:firstLine="420"/>
        <w:rPr>
          <w:rFonts w:ascii="宋体" w:hAnsi="宋体" w:eastAsia="宋体"/>
          <w:b w:val="0"/>
          <w:bCs w:val="0"/>
          <w:color w:val="auto"/>
          <w:sz w:val="21"/>
          <w:szCs w:val="21"/>
          <w:highlight w:val="none"/>
        </w:rPr>
      </w:pPr>
      <w:bookmarkStart w:id="70" w:name="_Toc14577357"/>
      <w:bookmarkStart w:id="71" w:name="_Toc513029219"/>
      <w:bookmarkStart w:id="72" w:name="_Toc49090509"/>
      <w:bookmarkStart w:id="73" w:name="_Toc513029216"/>
      <w:bookmarkStart w:id="74" w:name="_Toc14577354"/>
      <w:bookmarkStart w:id="75" w:name="_Toc49090507"/>
      <w:r>
        <w:rPr>
          <w:rFonts w:hint="eastAsia" w:ascii="宋体" w:hAnsi="宋体" w:eastAsia="宋体"/>
          <w:b w:val="0"/>
          <w:bCs w:val="0"/>
          <w:color w:val="auto"/>
          <w:sz w:val="21"/>
          <w:szCs w:val="21"/>
          <w:highlight w:val="none"/>
        </w:rPr>
        <w:t>10.2 投标人应将投标文件按顺序装订成册，应逐页编码，不得跳页，并编制投标文件资料目录。由于编排混乱导致投标文件被误读或查找不到，责任由投标人承担。</w:t>
      </w:r>
    </w:p>
    <w:p w14:paraId="7B08C636">
      <w:pPr>
        <w:pStyle w:val="5"/>
        <w:spacing w:before="0" w:after="0" w:line="360" w:lineRule="auto"/>
        <w:ind w:firstLine="42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10.3 投标人应当根据招标文件要求编制投标文件，投标文件应对招标文件提出的要求和条件作出实质性响应，并在相应的投标文件中逐条标明满足与否。</w:t>
      </w:r>
    </w:p>
    <w:p w14:paraId="2B86CB5B">
      <w:pPr>
        <w:pStyle w:val="5"/>
        <w:spacing w:before="0" w:after="0" w:line="360" w:lineRule="auto"/>
        <w:ind w:firstLine="422"/>
        <w:rPr>
          <w:rFonts w:ascii="宋体" w:hAnsi="宋体" w:eastAsia="宋体"/>
          <w:b w:val="0"/>
          <w:bCs w:val="0"/>
          <w:color w:val="auto"/>
          <w:sz w:val="21"/>
          <w:szCs w:val="21"/>
          <w:highlight w:val="none"/>
        </w:rPr>
      </w:pPr>
      <w:r>
        <w:rPr>
          <w:rFonts w:ascii="宋体" w:hAnsi="宋体" w:eastAsia="宋体"/>
          <w:bCs w:val="0"/>
          <w:color w:val="auto"/>
          <w:sz w:val="21"/>
          <w:szCs w:val="21"/>
          <w:highlight w:val="none"/>
        </w:rPr>
        <w:t>11</w:t>
      </w:r>
      <w:r>
        <w:rPr>
          <w:rFonts w:hint="eastAsia" w:ascii="宋体" w:hAnsi="宋体" w:eastAsia="宋体"/>
          <w:bCs w:val="0"/>
          <w:color w:val="auto"/>
          <w:sz w:val="21"/>
          <w:szCs w:val="21"/>
          <w:highlight w:val="none"/>
        </w:rPr>
        <w:t>、证明投标人资格及符合招标文件规定的文件</w:t>
      </w:r>
      <w:bookmarkEnd w:id="70"/>
      <w:bookmarkEnd w:id="71"/>
      <w:bookmarkEnd w:id="72"/>
    </w:p>
    <w:p w14:paraId="168CF413">
      <w:pPr>
        <w:spacing w:line="360" w:lineRule="auto"/>
        <w:ind w:firstLine="420"/>
        <w:rPr>
          <w:rFonts w:ascii="宋体" w:hAnsi="宋体"/>
          <w:color w:val="auto"/>
          <w:szCs w:val="21"/>
          <w:highlight w:val="none"/>
        </w:rPr>
      </w:pPr>
      <w:r>
        <w:rPr>
          <w:rFonts w:hint="eastAsia" w:ascii="宋体" w:hAnsi="宋体"/>
          <w:color w:val="auto"/>
          <w:szCs w:val="21"/>
          <w:highlight w:val="none"/>
        </w:rPr>
        <w:t>11.1投标人应按要求提交资格证明文件及符合招标文件规定的文件。</w:t>
      </w:r>
    </w:p>
    <w:p w14:paraId="7E8C026F">
      <w:pPr>
        <w:spacing w:line="360" w:lineRule="auto"/>
        <w:ind w:firstLine="420"/>
        <w:rPr>
          <w:rFonts w:ascii="宋体" w:hAnsi="宋体"/>
          <w:color w:val="auto"/>
          <w:szCs w:val="21"/>
          <w:highlight w:val="none"/>
        </w:rPr>
      </w:pPr>
      <w:r>
        <w:rPr>
          <w:rFonts w:hint="eastAsia" w:ascii="宋体" w:hAnsi="宋体"/>
          <w:color w:val="auto"/>
          <w:szCs w:val="21"/>
          <w:highlight w:val="none"/>
        </w:rPr>
        <w:t>11.2投标人应提交证明其有资格参加投标和中标后有能力独立履行合同的文件。</w:t>
      </w:r>
    </w:p>
    <w:p w14:paraId="1258D29A">
      <w:pPr>
        <w:spacing w:line="360" w:lineRule="auto"/>
        <w:ind w:firstLine="420"/>
        <w:rPr>
          <w:rFonts w:ascii="宋体" w:hAnsi="宋体"/>
          <w:color w:val="auto"/>
          <w:szCs w:val="21"/>
          <w:highlight w:val="none"/>
        </w:rPr>
      </w:pPr>
      <w:r>
        <w:rPr>
          <w:rFonts w:hint="eastAsia" w:ascii="宋体" w:hAnsi="宋体"/>
          <w:color w:val="auto"/>
          <w:szCs w:val="21"/>
          <w:highlight w:val="none"/>
        </w:rPr>
        <w:t>11.3投标人除必须具有履行合同所需提供的服务的能力外，还必须具备相应的财务、技术方面的能力。</w:t>
      </w:r>
    </w:p>
    <w:p w14:paraId="396A8C71">
      <w:pPr>
        <w:spacing w:line="360" w:lineRule="auto"/>
        <w:rPr>
          <w:rFonts w:ascii="宋体" w:hAnsi="宋体"/>
          <w:color w:val="auto"/>
          <w:szCs w:val="21"/>
          <w:highlight w:val="none"/>
        </w:rPr>
      </w:pPr>
      <w:r>
        <w:rPr>
          <w:rFonts w:hint="eastAsia" w:ascii="宋体" w:hAnsi="宋体"/>
          <w:color w:val="auto"/>
          <w:szCs w:val="21"/>
          <w:highlight w:val="none"/>
        </w:rPr>
        <w:t xml:space="preserve">    11.4投标人应提交根据合同要求提供的证明服务质量合格以及符合招标文件规定的证明文件。</w:t>
      </w:r>
    </w:p>
    <w:p w14:paraId="05FDF838">
      <w:pPr>
        <w:spacing w:line="360" w:lineRule="auto"/>
        <w:rPr>
          <w:rFonts w:ascii="宋体" w:hAnsi="宋体"/>
          <w:color w:val="auto"/>
          <w:szCs w:val="21"/>
          <w:highlight w:val="none"/>
        </w:rPr>
      </w:pPr>
      <w:r>
        <w:rPr>
          <w:rFonts w:hint="eastAsia" w:ascii="宋体" w:hAnsi="宋体"/>
          <w:color w:val="auto"/>
          <w:szCs w:val="21"/>
          <w:highlight w:val="none"/>
        </w:rPr>
        <w:t xml:space="preserve">    11.5证明投标人所提供服务与招标文件的要求相一致的文件可以是手册、图纸、文字资料和数据</w:t>
      </w:r>
      <w:r>
        <w:rPr>
          <w:rFonts w:hint="eastAsia" w:ascii="宋体" w:hAnsi="宋体"/>
          <w:bCs/>
          <w:color w:val="auto"/>
          <w:szCs w:val="21"/>
          <w:highlight w:val="none"/>
        </w:rPr>
        <w:t>。</w:t>
      </w:r>
      <w:bookmarkEnd w:id="73"/>
      <w:bookmarkEnd w:id="74"/>
      <w:bookmarkEnd w:id="75"/>
    </w:p>
    <w:p w14:paraId="07BB24BB">
      <w:pPr>
        <w:pStyle w:val="5"/>
        <w:spacing w:before="0" w:after="0" w:line="360" w:lineRule="auto"/>
        <w:ind w:firstLine="422"/>
        <w:rPr>
          <w:rFonts w:ascii="宋体" w:hAnsi="宋体" w:eastAsia="宋体"/>
          <w:bCs w:val="0"/>
          <w:color w:val="auto"/>
          <w:sz w:val="21"/>
          <w:szCs w:val="21"/>
          <w:highlight w:val="none"/>
        </w:rPr>
      </w:pPr>
      <w:bookmarkStart w:id="76" w:name="_Toc14577355"/>
      <w:bookmarkStart w:id="77" w:name="_Toc49090508"/>
      <w:r>
        <w:rPr>
          <w:rFonts w:ascii="宋体" w:hAnsi="宋体" w:eastAsia="宋体"/>
          <w:bCs w:val="0"/>
          <w:color w:val="auto"/>
          <w:sz w:val="21"/>
          <w:szCs w:val="21"/>
          <w:highlight w:val="none"/>
        </w:rPr>
        <w:t>12</w:t>
      </w:r>
      <w:r>
        <w:rPr>
          <w:rFonts w:hint="eastAsia" w:ascii="宋体" w:hAnsi="宋体" w:eastAsia="宋体"/>
          <w:bCs w:val="0"/>
          <w:color w:val="auto"/>
          <w:sz w:val="21"/>
          <w:szCs w:val="21"/>
          <w:highlight w:val="none"/>
        </w:rPr>
        <w:t>、分项报价</w:t>
      </w:r>
      <w:bookmarkEnd w:id="76"/>
      <w:r>
        <w:rPr>
          <w:rFonts w:hint="eastAsia" w:ascii="宋体" w:hAnsi="宋体" w:eastAsia="宋体"/>
          <w:bCs w:val="0"/>
          <w:color w:val="auto"/>
          <w:sz w:val="21"/>
          <w:szCs w:val="21"/>
          <w:highlight w:val="none"/>
        </w:rPr>
        <w:t>表</w:t>
      </w:r>
      <w:bookmarkEnd w:id="77"/>
    </w:p>
    <w:p w14:paraId="4CABDBE3">
      <w:pPr>
        <w:spacing w:line="360" w:lineRule="auto"/>
        <w:ind w:firstLine="420"/>
        <w:rPr>
          <w:rFonts w:ascii="宋体" w:hAnsi="宋体"/>
          <w:color w:val="auto"/>
          <w:szCs w:val="21"/>
          <w:highlight w:val="none"/>
        </w:rPr>
      </w:pPr>
      <w:r>
        <w:rPr>
          <w:rFonts w:hint="eastAsia" w:ascii="宋体" w:hAnsi="宋体"/>
          <w:color w:val="auto"/>
          <w:szCs w:val="21"/>
          <w:highlight w:val="none"/>
        </w:rPr>
        <w:t>详见投标文件格式</w:t>
      </w:r>
    </w:p>
    <w:p w14:paraId="2EB066D5">
      <w:pPr>
        <w:spacing w:line="360" w:lineRule="auto"/>
        <w:ind w:firstLine="422"/>
        <w:rPr>
          <w:rFonts w:ascii="宋体" w:hAnsi="宋体" w:cs="宋体"/>
          <w:b/>
          <w:color w:val="auto"/>
          <w:szCs w:val="21"/>
          <w:highlight w:val="none"/>
        </w:rPr>
      </w:pPr>
      <w:r>
        <w:rPr>
          <w:rFonts w:hint="eastAsia" w:ascii="宋体" w:hAnsi="宋体" w:cs="宋体"/>
          <w:b/>
          <w:bCs/>
          <w:color w:val="auto"/>
          <w:szCs w:val="21"/>
          <w:highlight w:val="none"/>
        </w:rPr>
        <w:t>13、</w:t>
      </w:r>
      <w:r>
        <w:rPr>
          <w:rFonts w:hint="eastAsia" w:ascii="宋体" w:hAnsi="宋体" w:cs="宋体"/>
          <w:b/>
          <w:color w:val="auto"/>
          <w:szCs w:val="21"/>
          <w:highlight w:val="none"/>
        </w:rPr>
        <w:t>技术参数响应及偏离表、商务条款响应及偏离表</w:t>
      </w:r>
    </w:p>
    <w:p w14:paraId="1CF3B86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详见投标文件格式</w:t>
      </w:r>
    </w:p>
    <w:p w14:paraId="2F5D127E">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14、服务承诺及服务机构、人员的情况介绍</w:t>
      </w:r>
    </w:p>
    <w:p w14:paraId="4317010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14.1</w:t>
      </w:r>
      <w:r>
        <w:rPr>
          <w:rFonts w:hint="eastAsia" w:ascii="宋体" w:hAnsi="宋体" w:cs="宋体"/>
          <w:color w:val="auto"/>
          <w:szCs w:val="21"/>
          <w:highlight w:val="none"/>
        </w:rPr>
        <w:t>投标人的服务承诺应按不低于招标文件中商务要求的标准。</w:t>
      </w:r>
    </w:p>
    <w:p w14:paraId="09357CE9">
      <w:pPr>
        <w:spacing w:line="360" w:lineRule="auto"/>
        <w:ind w:firstLine="420"/>
        <w:rPr>
          <w:rFonts w:ascii="宋体" w:hAnsi="宋体" w:cs="宋体"/>
          <w:color w:val="auto"/>
          <w:szCs w:val="21"/>
          <w:highlight w:val="none"/>
        </w:rPr>
      </w:pPr>
      <w:r>
        <w:rPr>
          <w:rFonts w:hint="eastAsia" w:ascii="宋体" w:hAnsi="宋体" w:cs="宋体"/>
          <w:bCs/>
          <w:color w:val="auto"/>
          <w:szCs w:val="21"/>
          <w:highlight w:val="none"/>
        </w:rPr>
        <w:t>14.2</w:t>
      </w:r>
      <w:r>
        <w:rPr>
          <w:rFonts w:hint="eastAsia" w:ascii="宋体" w:hAnsi="宋体" w:cs="宋体"/>
          <w:color w:val="auto"/>
          <w:szCs w:val="21"/>
          <w:highlight w:val="none"/>
        </w:rPr>
        <w:t>提供投标人有关服务的管理制度、服务机构的分布情况、服务人员的数量、素质、技术水平及服务的反应能力。</w:t>
      </w:r>
    </w:p>
    <w:p w14:paraId="1EF7B1E5">
      <w:pPr>
        <w:pStyle w:val="5"/>
        <w:spacing w:before="0" w:after="0" w:line="360" w:lineRule="auto"/>
        <w:ind w:firstLine="422"/>
        <w:rPr>
          <w:rFonts w:ascii="宋体" w:hAnsi="宋体" w:eastAsia="宋体" w:cs="宋体"/>
          <w:b w:val="0"/>
          <w:bCs w:val="0"/>
          <w:color w:val="auto"/>
          <w:sz w:val="21"/>
          <w:szCs w:val="21"/>
          <w:highlight w:val="none"/>
        </w:rPr>
      </w:pPr>
      <w:bookmarkStart w:id="78" w:name="_Toc14577359"/>
      <w:bookmarkStart w:id="79" w:name="_Toc49090510"/>
      <w:r>
        <w:rPr>
          <w:rFonts w:hint="eastAsia" w:ascii="宋体" w:hAnsi="宋体" w:eastAsia="宋体" w:cs="宋体"/>
          <w:bCs w:val="0"/>
          <w:color w:val="auto"/>
          <w:sz w:val="21"/>
          <w:szCs w:val="21"/>
          <w:highlight w:val="none"/>
        </w:rPr>
        <w:t>15、投标函和开标一览表</w:t>
      </w:r>
    </w:p>
    <w:p w14:paraId="13E43DB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投标人应按照招标文件中提供的格式完整、正确填写投标函、开标一览表。</w:t>
      </w:r>
    </w:p>
    <w:p w14:paraId="3D27C638">
      <w:pPr>
        <w:pStyle w:val="5"/>
        <w:spacing w:before="0" w:after="0" w:line="360" w:lineRule="auto"/>
        <w:ind w:firstLine="422"/>
        <w:rPr>
          <w:rFonts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16、投标保证金</w:t>
      </w:r>
      <w:bookmarkEnd w:id="78"/>
      <w:bookmarkEnd w:id="79"/>
    </w:p>
    <w:p w14:paraId="1E020F2A">
      <w:pPr>
        <w:spacing w:line="360" w:lineRule="auto"/>
        <w:ind w:left="1" w:firstLine="312"/>
        <w:rPr>
          <w:rFonts w:ascii="宋体" w:hAnsi="宋体" w:cs="宋体"/>
          <w:color w:val="auto"/>
          <w:szCs w:val="21"/>
          <w:highlight w:val="none"/>
        </w:rPr>
      </w:pPr>
      <w:r>
        <w:rPr>
          <w:rFonts w:hint="eastAsia" w:ascii="宋体" w:hAnsi="宋体" w:cs="宋体"/>
          <w:color w:val="auto"/>
          <w:szCs w:val="21"/>
          <w:highlight w:val="none"/>
        </w:rPr>
        <w:t>无</w:t>
      </w:r>
    </w:p>
    <w:p w14:paraId="79C630DE">
      <w:pPr>
        <w:pStyle w:val="5"/>
        <w:spacing w:before="0" w:after="0" w:line="360" w:lineRule="auto"/>
        <w:ind w:firstLine="422"/>
        <w:rPr>
          <w:rFonts w:ascii="宋体" w:hAnsi="宋体" w:eastAsia="宋体" w:cs="宋体"/>
          <w:b w:val="0"/>
          <w:bCs w:val="0"/>
          <w:color w:val="auto"/>
          <w:sz w:val="21"/>
          <w:szCs w:val="21"/>
          <w:highlight w:val="none"/>
        </w:rPr>
      </w:pPr>
      <w:bookmarkStart w:id="80" w:name="_Toc14577360"/>
      <w:bookmarkStart w:id="81" w:name="_Toc49090511"/>
      <w:r>
        <w:rPr>
          <w:rFonts w:hint="eastAsia" w:ascii="宋体" w:hAnsi="宋体" w:eastAsia="宋体" w:cs="宋体"/>
          <w:bCs w:val="0"/>
          <w:color w:val="auto"/>
          <w:sz w:val="21"/>
          <w:szCs w:val="21"/>
          <w:highlight w:val="none"/>
        </w:rPr>
        <w:t>17、投标有效期</w:t>
      </w:r>
      <w:bookmarkEnd w:id="80"/>
      <w:bookmarkEnd w:id="81"/>
    </w:p>
    <w:p w14:paraId="184BE214">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17.1</w:t>
      </w:r>
      <w:r>
        <w:rPr>
          <w:rFonts w:hint="eastAsia" w:ascii="宋体" w:hAnsi="宋体" w:cs="宋体"/>
          <w:bCs/>
          <w:color w:val="auto"/>
          <w:szCs w:val="21"/>
          <w:highlight w:val="none"/>
        </w:rPr>
        <w:t xml:space="preserve"> 投标有效期为代理机构规定的开标之日起</w:t>
      </w:r>
      <w:r>
        <w:rPr>
          <w:rFonts w:hint="eastAsia" w:ascii="宋体" w:hAnsi="宋体" w:cs="宋体"/>
          <w:b/>
          <w:color w:val="auto"/>
          <w:szCs w:val="21"/>
          <w:highlight w:val="none"/>
          <w:u w:val="single"/>
        </w:rPr>
        <w:t>六十（60）天</w:t>
      </w:r>
      <w:r>
        <w:rPr>
          <w:rFonts w:hint="eastAsia" w:ascii="宋体" w:hAnsi="宋体" w:cs="宋体"/>
          <w:bCs/>
          <w:color w:val="auto"/>
          <w:szCs w:val="21"/>
          <w:highlight w:val="none"/>
        </w:rPr>
        <w:t>。投标有效期比规定短的将被视为非响应性投标而予以拒绝。</w:t>
      </w:r>
    </w:p>
    <w:p w14:paraId="29E1F969">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17.2</w:t>
      </w:r>
      <w:r>
        <w:rPr>
          <w:rFonts w:hint="eastAsia" w:ascii="宋体" w:hAnsi="宋体" w:cs="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cs="宋体"/>
          <w:color w:val="auto"/>
          <w:szCs w:val="21"/>
          <w:highlight w:val="none"/>
        </w:rPr>
        <w:t>；</w:t>
      </w:r>
      <w:r>
        <w:rPr>
          <w:rFonts w:hint="eastAsia" w:ascii="宋体" w:hAnsi="宋体" w:cs="宋体"/>
          <w:bCs/>
          <w:color w:val="auto"/>
          <w:szCs w:val="21"/>
          <w:highlight w:val="none"/>
        </w:rPr>
        <w:t>同意延长投标有效期的投标人既不能要求也不允许修改其投标文件，</w:t>
      </w:r>
      <w:r>
        <w:rPr>
          <w:rFonts w:hint="eastAsia" w:ascii="宋体" w:hAnsi="宋体" w:cs="宋体"/>
          <w:color w:val="auto"/>
          <w:szCs w:val="21"/>
          <w:highlight w:val="none"/>
        </w:rPr>
        <w:t>同时受投标有效期约束的所有权利与义务均延长至新的有效期</w:t>
      </w:r>
      <w:r>
        <w:rPr>
          <w:rFonts w:hint="eastAsia" w:ascii="宋体" w:hAnsi="宋体" w:cs="宋体"/>
          <w:bCs/>
          <w:color w:val="auto"/>
          <w:szCs w:val="21"/>
          <w:highlight w:val="none"/>
        </w:rPr>
        <w:t>。</w:t>
      </w:r>
    </w:p>
    <w:p w14:paraId="0DD0E942">
      <w:pPr>
        <w:pStyle w:val="5"/>
        <w:spacing w:before="0" w:after="0" w:line="360" w:lineRule="auto"/>
        <w:ind w:firstLine="422"/>
        <w:rPr>
          <w:rFonts w:ascii="宋体" w:hAnsi="宋体" w:eastAsia="宋体" w:cs="宋体"/>
          <w:b w:val="0"/>
          <w:bCs w:val="0"/>
          <w:color w:val="auto"/>
          <w:sz w:val="21"/>
          <w:szCs w:val="21"/>
          <w:highlight w:val="none"/>
        </w:rPr>
      </w:pPr>
      <w:bookmarkStart w:id="82" w:name="_Toc49090512"/>
      <w:bookmarkStart w:id="83" w:name="_Toc14577361"/>
      <w:r>
        <w:rPr>
          <w:rFonts w:hint="eastAsia" w:ascii="宋体" w:hAnsi="宋体" w:eastAsia="宋体" w:cs="宋体"/>
          <w:bCs w:val="0"/>
          <w:color w:val="auto"/>
          <w:sz w:val="21"/>
          <w:szCs w:val="21"/>
          <w:highlight w:val="none"/>
        </w:rPr>
        <w:t>18、投标文件份数和签署</w:t>
      </w:r>
      <w:bookmarkEnd w:id="82"/>
      <w:bookmarkEnd w:id="83"/>
    </w:p>
    <w:p w14:paraId="32695E0A">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18.1</w:t>
      </w:r>
      <w:r>
        <w:rPr>
          <w:rFonts w:hint="eastAsia" w:ascii="宋体" w:hAnsi="宋体" w:cs="宋体"/>
          <w:b/>
          <w:color w:val="auto"/>
          <w:szCs w:val="21"/>
          <w:highlight w:val="none"/>
        </w:rPr>
        <w:t xml:space="preserve"> </w:t>
      </w:r>
      <w:r>
        <w:rPr>
          <w:rFonts w:hint="eastAsia" w:ascii="宋体" w:hAnsi="宋体" w:cs="宋体"/>
          <w:bCs/>
          <w:color w:val="auto"/>
          <w:szCs w:val="21"/>
          <w:highlight w:val="none"/>
        </w:rPr>
        <w:t>投标人应严格按照招标公告和招标文件要求的份数准备投标文件，每份投标文件须清楚地标明“正本”或“副本”字样。一旦正本和副本不符，以正本为准。</w:t>
      </w:r>
    </w:p>
    <w:p w14:paraId="66090A56">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18.2</w:t>
      </w:r>
      <w:r>
        <w:rPr>
          <w:rFonts w:hint="eastAsia" w:ascii="宋体" w:hAnsi="宋体" w:cs="宋体"/>
          <w:b/>
          <w:color w:val="auto"/>
          <w:szCs w:val="21"/>
          <w:highlight w:val="none"/>
        </w:rPr>
        <w:t xml:space="preserve"> </w:t>
      </w:r>
      <w:r>
        <w:rPr>
          <w:rFonts w:hint="eastAsia" w:ascii="宋体" w:hAnsi="宋体" w:cs="宋体"/>
          <w:color w:val="auto"/>
          <w:szCs w:val="21"/>
          <w:highlight w:val="none"/>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14:paraId="55FCB40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18.3</w:t>
      </w:r>
      <w:r>
        <w:rPr>
          <w:rFonts w:hint="eastAsia" w:ascii="宋体" w:hAnsi="宋体" w:cs="宋体"/>
          <w:bCs/>
          <w:color w:val="auto"/>
          <w:szCs w:val="21"/>
          <w:highlight w:val="none"/>
        </w:rPr>
        <w:t xml:space="preserve"> 除投标人对错处做必要修改外，投标文件不得行间插字、涂改或增删。如有修改错漏处，必须由法定代表人或授权代表签字或盖章。</w:t>
      </w:r>
    </w:p>
    <w:p w14:paraId="673DEB04">
      <w:pPr>
        <w:pStyle w:val="5"/>
        <w:spacing w:before="0" w:after="0" w:line="360" w:lineRule="auto"/>
        <w:ind w:firstLine="422"/>
        <w:rPr>
          <w:rFonts w:ascii="宋体" w:hAnsi="宋体" w:eastAsia="宋体" w:cs="宋体"/>
          <w:b w:val="0"/>
          <w:bCs w:val="0"/>
          <w:color w:val="auto"/>
          <w:sz w:val="21"/>
          <w:szCs w:val="21"/>
          <w:highlight w:val="none"/>
        </w:rPr>
      </w:pPr>
      <w:bookmarkStart w:id="84" w:name="_Toc20823297"/>
      <w:bookmarkStart w:id="85" w:name="_Toc513029225"/>
      <w:bookmarkStart w:id="86" w:name="_Toc16938541"/>
      <w:bookmarkStart w:id="87" w:name="_Toc462564084"/>
      <w:r>
        <w:rPr>
          <w:rFonts w:hint="eastAsia" w:ascii="宋体" w:hAnsi="宋体" w:eastAsia="宋体" w:cs="宋体"/>
          <w:bCs w:val="0"/>
          <w:color w:val="auto"/>
          <w:sz w:val="21"/>
          <w:szCs w:val="21"/>
          <w:highlight w:val="none"/>
        </w:rPr>
        <w:t>19、投标文件的密封和标记</w:t>
      </w:r>
      <w:bookmarkEnd w:id="84"/>
      <w:bookmarkEnd w:id="85"/>
      <w:bookmarkEnd w:id="86"/>
      <w:bookmarkEnd w:id="87"/>
    </w:p>
    <w:p w14:paraId="4F4AF19C">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19.1</w:t>
      </w:r>
      <w:r>
        <w:rPr>
          <w:rFonts w:hint="eastAsia" w:ascii="宋体" w:hAnsi="宋体" w:cs="宋体"/>
          <w:bCs/>
          <w:color w:val="auto"/>
          <w:szCs w:val="21"/>
          <w:highlight w:val="none"/>
        </w:rPr>
        <w:t>投标人应将投标文件正本和所有副本密封，不论投标人中标与否，投标文件均不退回。</w:t>
      </w:r>
    </w:p>
    <w:p w14:paraId="04CF2A01">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19.2</w:t>
      </w:r>
      <w:r>
        <w:rPr>
          <w:rFonts w:hint="eastAsia" w:ascii="宋体" w:hAnsi="宋体" w:cs="宋体"/>
          <w:bCs/>
          <w:color w:val="auto"/>
          <w:szCs w:val="21"/>
          <w:highlight w:val="none"/>
        </w:rPr>
        <w:t xml:space="preserve"> 密封的投标文件应：</w:t>
      </w:r>
    </w:p>
    <w:p w14:paraId="3BBD38C4">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19.2.1 注明投标人名称，如因标注不清而产生的后果由投标人自负。按招标公告中注明的地址送达；</w:t>
      </w:r>
    </w:p>
    <w:p w14:paraId="5F608BF7">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19.2.2注明投标项目名称、标书编号。</w:t>
      </w:r>
    </w:p>
    <w:p w14:paraId="54E738D5">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19.2.3</w:t>
      </w:r>
      <w:r>
        <w:rPr>
          <w:rFonts w:hint="eastAsia" w:ascii="宋体" w:hAnsi="宋体" w:cs="宋体"/>
          <w:bCs/>
          <w:color w:val="auto"/>
          <w:szCs w:val="21"/>
          <w:highlight w:val="none"/>
        </w:rPr>
        <w:t>未按要求密封和加写标记，代理机构对误投或过早启封概不负责。对由此造成提前开封的投标文件，代理机构将予以拒绝，作无效投标处理。</w:t>
      </w:r>
    </w:p>
    <w:p w14:paraId="12B678D0">
      <w:pPr>
        <w:pStyle w:val="5"/>
        <w:spacing w:before="0" w:after="0" w:line="360" w:lineRule="auto"/>
        <w:ind w:firstLine="422"/>
        <w:rPr>
          <w:rFonts w:ascii="宋体" w:hAnsi="宋体" w:eastAsia="宋体" w:cs="宋体"/>
          <w:bCs w:val="0"/>
          <w:color w:val="auto"/>
          <w:sz w:val="21"/>
          <w:szCs w:val="21"/>
          <w:highlight w:val="none"/>
        </w:rPr>
      </w:pPr>
      <w:bookmarkStart w:id="88" w:name="_Toc20823298"/>
      <w:bookmarkStart w:id="89" w:name="_Toc16938542"/>
      <w:bookmarkStart w:id="90" w:name="_Toc513029226"/>
      <w:r>
        <w:rPr>
          <w:rFonts w:hint="eastAsia" w:ascii="宋体" w:hAnsi="宋体" w:eastAsia="宋体" w:cs="宋体"/>
          <w:bCs w:val="0"/>
          <w:color w:val="auto"/>
          <w:sz w:val="21"/>
          <w:szCs w:val="21"/>
          <w:highlight w:val="none"/>
        </w:rPr>
        <w:t>20、投标截止日期</w:t>
      </w:r>
      <w:bookmarkEnd w:id="88"/>
      <w:bookmarkEnd w:id="89"/>
      <w:bookmarkEnd w:id="90"/>
    </w:p>
    <w:p w14:paraId="52D60E50">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20.1</w:t>
      </w:r>
      <w:r>
        <w:rPr>
          <w:rFonts w:hint="eastAsia" w:ascii="宋体" w:hAnsi="宋体" w:cs="宋体"/>
          <w:bCs/>
          <w:color w:val="auto"/>
          <w:szCs w:val="21"/>
          <w:highlight w:val="none"/>
        </w:rPr>
        <w:t xml:space="preserve"> 代理机构收到投标文件的时间不得迟于招标公告中规定的截止时间。</w:t>
      </w:r>
    </w:p>
    <w:p w14:paraId="4021D2DB">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20.2</w:t>
      </w:r>
      <w:r>
        <w:rPr>
          <w:rFonts w:hint="eastAsia" w:ascii="宋体" w:hAnsi="宋体"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14:paraId="143E1086">
      <w:pPr>
        <w:pStyle w:val="5"/>
        <w:spacing w:before="0" w:after="0" w:line="360" w:lineRule="auto"/>
        <w:ind w:firstLine="422"/>
        <w:rPr>
          <w:rFonts w:ascii="宋体" w:hAnsi="宋体" w:eastAsia="宋体" w:cs="宋体"/>
          <w:bCs w:val="0"/>
          <w:color w:val="auto"/>
          <w:sz w:val="21"/>
          <w:szCs w:val="21"/>
          <w:highlight w:val="none"/>
        </w:rPr>
      </w:pPr>
      <w:bookmarkStart w:id="91" w:name="_Toc16938543"/>
      <w:bookmarkStart w:id="92" w:name="_Toc20823299"/>
      <w:bookmarkStart w:id="93" w:name="_Toc513029227"/>
      <w:r>
        <w:rPr>
          <w:rFonts w:hint="eastAsia" w:ascii="宋体" w:hAnsi="宋体" w:eastAsia="宋体" w:cs="宋体"/>
          <w:bCs w:val="0"/>
          <w:color w:val="auto"/>
          <w:sz w:val="21"/>
          <w:szCs w:val="21"/>
          <w:highlight w:val="none"/>
        </w:rPr>
        <w:t>21、迟交的投标文件</w:t>
      </w:r>
      <w:bookmarkEnd w:id="91"/>
      <w:bookmarkEnd w:id="92"/>
      <w:bookmarkEnd w:id="93"/>
    </w:p>
    <w:p w14:paraId="4ACF82DF">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21.1</w:t>
      </w:r>
      <w:r>
        <w:rPr>
          <w:rFonts w:hint="eastAsia" w:ascii="宋体" w:hAnsi="宋体" w:cs="宋体"/>
          <w:bCs/>
          <w:color w:val="auto"/>
          <w:szCs w:val="21"/>
          <w:highlight w:val="none"/>
        </w:rPr>
        <w:t xml:space="preserve"> 代理机构拒绝接收在其规定的投标截止时间后递交的任何投标文件。</w:t>
      </w:r>
    </w:p>
    <w:p w14:paraId="6E7585F7">
      <w:pPr>
        <w:pStyle w:val="5"/>
        <w:spacing w:before="0" w:after="0" w:line="360" w:lineRule="auto"/>
        <w:ind w:firstLine="422"/>
        <w:rPr>
          <w:rFonts w:ascii="宋体" w:hAnsi="宋体" w:eastAsia="宋体" w:cs="宋体"/>
          <w:b w:val="0"/>
          <w:bCs w:val="0"/>
          <w:color w:val="auto"/>
          <w:sz w:val="21"/>
          <w:szCs w:val="21"/>
          <w:highlight w:val="none"/>
        </w:rPr>
      </w:pPr>
      <w:bookmarkStart w:id="94" w:name="_Toc513029228"/>
      <w:bookmarkStart w:id="95" w:name="_Toc20823300"/>
      <w:bookmarkStart w:id="96" w:name="_Toc16938544"/>
      <w:r>
        <w:rPr>
          <w:rFonts w:hint="eastAsia" w:ascii="宋体" w:hAnsi="宋体" w:eastAsia="宋体" w:cs="宋体"/>
          <w:bCs w:val="0"/>
          <w:color w:val="auto"/>
          <w:sz w:val="21"/>
          <w:szCs w:val="21"/>
          <w:highlight w:val="none"/>
        </w:rPr>
        <w:t>22、投标文件的修改和撤回</w:t>
      </w:r>
      <w:bookmarkEnd w:id="94"/>
      <w:bookmarkEnd w:id="95"/>
      <w:bookmarkEnd w:id="96"/>
    </w:p>
    <w:p w14:paraId="145FA59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s="宋体"/>
          <w:color w:val="auto"/>
          <w:szCs w:val="21"/>
          <w:highlight w:val="none"/>
        </w:rPr>
        <w:t>通知代理机构，否则，代理机构将拒绝。</w:t>
      </w:r>
    </w:p>
    <w:p w14:paraId="5C6879E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22.2</w:t>
      </w:r>
      <w:r>
        <w:rPr>
          <w:rFonts w:hint="eastAsia" w:ascii="宋体" w:hAnsi="宋体" w:cs="宋体"/>
          <w:bCs/>
          <w:color w:val="auto"/>
          <w:szCs w:val="21"/>
          <w:highlight w:val="none"/>
        </w:rPr>
        <w:t xml:space="preserve"> 投标人的修改或撤回文件应按规定进行编制、密封、标记和发送，并应在封套上加注“修改”或“撤回”字样。</w:t>
      </w:r>
      <w:r>
        <w:rPr>
          <w:rFonts w:hint="eastAsia" w:ascii="宋体" w:hAnsi="宋体" w:cs="宋体"/>
          <w:color w:val="auto"/>
          <w:szCs w:val="21"/>
          <w:highlight w:val="none"/>
        </w:rPr>
        <w:t>上述补充或修改若涉及投标报价，必须注明“最后唯一报价”字样，否则将视为有选择的报价。修改文件必须在投标截止时间前送达代理机构。</w:t>
      </w:r>
    </w:p>
    <w:p w14:paraId="21C9D591">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22.3</w:t>
      </w:r>
      <w:r>
        <w:rPr>
          <w:rFonts w:hint="eastAsia" w:ascii="宋体" w:hAnsi="宋体" w:cs="宋体"/>
          <w:bCs/>
          <w:color w:val="auto"/>
          <w:szCs w:val="21"/>
          <w:highlight w:val="none"/>
        </w:rPr>
        <w:t xml:space="preserve"> 在投标截止时间之后，投标人不得对其投标文件作任何修改。</w:t>
      </w:r>
    </w:p>
    <w:p w14:paraId="3E6072F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hAnsi="宋体" w:cs="宋体"/>
          <w:bCs/>
          <w:color w:val="auto"/>
          <w:szCs w:val="21"/>
          <w:highlight w:val="none"/>
        </w:rPr>
        <w:t xml:space="preserve"> 在投标截止时间至招标文件中规定的投标有效期满之间的这段时间内，投标人不得撤回其投标。</w:t>
      </w:r>
    </w:p>
    <w:p w14:paraId="02B1629C">
      <w:pPr>
        <w:pStyle w:val="5"/>
        <w:spacing w:before="0" w:after="0" w:line="360" w:lineRule="auto"/>
        <w:ind w:firstLine="422"/>
        <w:rPr>
          <w:rFonts w:ascii="宋体" w:hAnsi="宋体" w:eastAsia="宋体" w:cs="宋体"/>
          <w:b w:val="0"/>
          <w:bCs w:val="0"/>
          <w:color w:val="auto"/>
          <w:sz w:val="21"/>
          <w:szCs w:val="21"/>
          <w:highlight w:val="none"/>
        </w:rPr>
      </w:pPr>
      <w:bookmarkStart w:id="97" w:name="_Toc513029230"/>
      <w:bookmarkStart w:id="98" w:name="_Toc20823302"/>
      <w:bookmarkStart w:id="99" w:name="_Toc16938546"/>
      <w:r>
        <w:rPr>
          <w:rFonts w:hint="eastAsia" w:ascii="宋体" w:hAnsi="宋体" w:eastAsia="宋体" w:cs="宋体"/>
          <w:bCs w:val="0"/>
          <w:color w:val="auto"/>
          <w:sz w:val="21"/>
          <w:szCs w:val="21"/>
          <w:highlight w:val="none"/>
        </w:rPr>
        <w:t>23、开标</w:t>
      </w:r>
      <w:bookmarkEnd w:id="97"/>
      <w:bookmarkEnd w:id="98"/>
      <w:bookmarkEnd w:id="99"/>
    </w:p>
    <w:p w14:paraId="3AB1D26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bCs/>
          <w:color w:val="auto"/>
          <w:szCs w:val="21"/>
          <w:highlight w:val="none"/>
        </w:rPr>
        <w:t xml:space="preserve"> 代理机构将在招标公告中规定的时间和地点组织公开开标</w:t>
      </w:r>
      <w:r>
        <w:rPr>
          <w:rFonts w:hint="eastAsia" w:ascii="宋体" w:hAnsi="宋体" w:cs="宋体"/>
          <w:color w:val="auto"/>
          <w:szCs w:val="21"/>
          <w:highlight w:val="none"/>
        </w:rPr>
        <w:t>。投标人应委派携带有效证件的代表准时参加，参加开标的代表需签名以证明其出席。投标人未参加开标的，视同认可开标结果。</w:t>
      </w:r>
    </w:p>
    <w:p w14:paraId="1576D35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23.2</w:t>
      </w:r>
      <w:r>
        <w:rPr>
          <w:rFonts w:hint="eastAsia" w:ascii="宋体" w:hAnsi="宋体" w:cs="宋体"/>
          <w:color w:val="auto"/>
          <w:szCs w:val="21"/>
          <w:highlight w:val="none"/>
        </w:rPr>
        <w:t>开标仪式由代理机构组织，采购人代表、监委、投标人代表等参加。</w:t>
      </w:r>
    </w:p>
    <w:p w14:paraId="662424BA">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23.3</w:t>
      </w:r>
      <w:r>
        <w:rPr>
          <w:rFonts w:hint="eastAsia" w:ascii="宋体" w:hAnsi="宋体" w:cs="宋体"/>
          <w:b/>
          <w:color w:val="auto"/>
          <w:szCs w:val="21"/>
          <w:highlight w:val="none"/>
        </w:rPr>
        <w:t xml:space="preserve"> </w:t>
      </w:r>
      <w:r>
        <w:rPr>
          <w:rFonts w:hint="eastAsia" w:ascii="宋体" w:hAnsi="宋体" w:cs="宋体"/>
          <w:bCs/>
          <w:color w:val="auto"/>
          <w:szCs w:val="21"/>
          <w:highlight w:val="none"/>
        </w:rPr>
        <w:t>按照规定同意撤回的投标文件将不予开封。</w:t>
      </w:r>
    </w:p>
    <w:p w14:paraId="73C70F1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452352E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23.5 代理机构将指定专人负责开标记录并存档备查，各投标人需仔细核对开标纪录相关内容并签字确认。</w:t>
      </w:r>
    </w:p>
    <w:p w14:paraId="3387BA0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23.6 投标人在报价时不允许采用选择性报价，否则将被视为无效投标。</w:t>
      </w:r>
    </w:p>
    <w:p w14:paraId="608B657A">
      <w:pPr>
        <w:pStyle w:val="5"/>
        <w:spacing w:before="0" w:after="0" w:line="360" w:lineRule="auto"/>
        <w:ind w:firstLine="422"/>
        <w:rPr>
          <w:rFonts w:ascii="宋体" w:hAnsi="宋体" w:eastAsia="宋体" w:cs="宋体"/>
          <w:b w:val="0"/>
          <w:bCs w:val="0"/>
          <w:color w:val="auto"/>
          <w:sz w:val="21"/>
          <w:szCs w:val="21"/>
          <w:highlight w:val="none"/>
        </w:rPr>
      </w:pPr>
      <w:bookmarkStart w:id="100" w:name="_Toc20823303"/>
      <w:bookmarkStart w:id="101" w:name="_Toc16938547"/>
      <w:bookmarkStart w:id="102" w:name="_Toc513029231"/>
      <w:r>
        <w:rPr>
          <w:rFonts w:hint="eastAsia" w:ascii="宋体" w:hAnsi="宋体" w:eastAsia="宋体" w:cs="宋体"/>
          <w:bCs w:val="0"/>
          <w:color w:val="auto"/>
          <w:sz w:val="21"/>
          <w:szCs w:val="21"/>
          <w:highlight w:val="none"/>
        </w:rPr>
        <w:t>24、评标委员会</w:t>
      </w:r>
    </w:p>
    <w:p w14:paraId="4D4A79FF">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24.1</w:t>
      </w:r>
      <w:r>
        <w:rPr>
          <w:rFonts w:hint="eastAsia" w:ascii="宋体" w:hAnsi="宋体" w:cs="宋体"/>
          <w:b/>
          <w:color w:val="auto"/>
          <w:szCs w:val="21"/>
          <w:highlight w:val="none"/>
        </w:rPr>
        <w:t xml:space="preserve"> </w:t>
      </w:r>
      <w:r>
        <w:rPr>
          <w:rFonts w:hint="eastAsia" w:ascii="宋体" w:hAnsi="宋体" w:cs="宋体"/>
          <w:color w:val="auto"/>
          <w:szCs w:val="21"/>
          <w:highlight w:val="none"/>
        </w:rPr>
        <w:t>开标后，代理机构将立即组织评标委员会（以下简称评委会）进行评标。</w:t>
      </w:r>
    </w:p>
    <w:p w14:paraId="7766571A">
      <w:pPr>
        <w:spacing w:line="360" w:lineRule="auto"/>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24.2 评委会由采购人代表和有关技术、经济等方面的专家组成，且人员构成符合政府采购有关规定。</w:t>
      </w:r>
    </w:p>
    <w:p w14:paraId="572CE420">
      <w:pPr>
        <w:spacing w:line="360" w:lineRule="auto"/>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24.3评委会独立工作，负责评审所有投标文件并确定中标候选人。</w:t>
      </w:r>
    </w:p>
    <w:p w14:paraId="74941754">
      <w:pPr>
        <w:pStyle w:val="5"/>
        <w:spacing w:before="0" w:after="0" w:line="360" w:lineRule="auto"/>
        <w:ind w:firstLine="422"/>
        <w:rPr>
          <w:rFonts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t>25、评标过程的保密与公正</w:t>
      </w:r>
      <w:bookmarkEnd w:id="100"/>
      <w:bookmarkEnd w:id="101"/>
      <w:bookmarkEnd w:id="102"/>
    </w:p>
    <w:p w14:paraId="4912234B">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25.1</w:t>
      </w:r>
      <w:r>
        <w:rPr>
          <w:rFonts w:hint="eastAsia" w:ascii="宋体" w:hAnsi="宋体"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14:paraId="1CB0C6B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25.2在评标过程中，投标人不得以任何行为影响评标过程，否则其投标文件将被作为无效投标文件。</w:t>
      </w:r>
    </w:p>
    <w:p w14:paraId="50B93C3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25.3 在评标期间，代理机构将设专门工作人员与投标人联系。</w:t>
      </w:r>
    </w:p>
    <w:p w14:paraId="495C8C4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25.4 代理机构和评委会不向落标的投标人解释未中标原因，也不公布评标过程中的相关细节。</w:t>
      </w:r>
    </w:p>
    <w:p w14:paraId="69FFB3A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668FEF2C">
      <w:pPr>
        <w:pStyle w:val="5"/>
        <w:spacing w:before="0" w:after="0" w:line="360" w:lineRule="auto"/>
        <w:ind w:firstLine="422"/>
        <w:rPr>
          <w:rFonts w:ascii="宋体" w:hAnsi="宋体" w:eastAsia="宋体" w:cs="宋体"/>
          <w:b w:val="0"/>
          <w:bCs w:val="0"/>
          <w:color w:val="auto"/>
          <w:sz w:val="21"/>
          <w:szCs w:val="21"/>
          <w:highlight w:val="none"/>
        </w:rPr>
      </w:pPr>
      <w:bookmarkStart w:id="103" w:name="_Toc20823304"/>
      <w:bookmarkStart w:id="104" w:name="_Toc513029232"/>
      <w:bookmarkStart w:id="105" w:name="_Toc16938548"/>
      <w:r>
        <w:rPr>
          <w:rFonts w:hint="eastAsia" w:ascii="宋体" w:hAnsi="宋体" w:eastAsia="宋体" w:cs="宋体"/>
          <w:bCs w:val="0"/>
          <w:color w:val="auto"/>
          <w:sz w:val="21"/>
          <w:szCs w:val="21"/>
          <w:highlight w:val="none"/>
        </w:rPr>
        <w:t>26、投标的澄清</w:t>
      </w:r>
      <w:bookmarkEnd w:id="103"/>
      <w:bookmarkEnd w:id="104"/>
      <w:bookmarkEnd w:id="105"/>
    </w:p>
    <w:p w14:paraId="5D0E72F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26.1评标期间，为有助于对投标文件的审查、评价和比较，评委会有权以书面形式要求投标人对其投标文件进行澄清，但并非对每个投标人都作澄清要求。</w:t>
      </w:r>
    </w:p>
    <w:p w14:paraId="69E5188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692F85E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26.3 接到评委会澄清要求的投标人如未按规定做出澄清，其风险由投标人自行承担。</w:t>
      </w:r>
    </w:p>
    <w:p w14:paraId="7E6CD7D2">
      <w:pPr>
        <w:pStyle w:val="5"/>
        <w:spacing w:before="0" w:after="0" w:line="360" w:lineRule="auto"/>
        <w:ind w:firstLine="422"/>
        <w:rPr>
          <w:rFonts w:ascii="宋体" w:hAnsi="宋体" w:eastAsia="宋体" w:cs="宋体"/>
          <w:b w:val="0"/>
          <w:bCs w:val="0"/>
          <w:color w:val="auto"/>
          <w:sz w:val="21"/>
          <w:szCs w:val="21"/>
          <w:highlight w:val="none"/>
        </w:rPr>
      </w:pPr>
      <w:bookmarkStart w:id="106" w:name="_Toc16938549"/>
      <w:bookmarkStart w:id="107" w:name="_Toc20823305"/>
      <w:bookmarkStart w:id="108" w:name="_Toc513029233"/>
      <w:r>
        <w:rPr>
          <w:rFonts w:hint="eastAsia" w:ascii="宋体" w:hAnsi="宋体" w:eastAsia="宋体" w:cs="宋体"/>
          <w:bCs w:val="0"/>
          <w:color w:val="auto"/>
          <w:sz w:val="21"/>
          <w:szCs w:val="21"/>
          <w:highlight w:val="none"/>
        </w:rPr>
        <w:t>27、对投标文件的初审</w:t>
      </w:r>
      <w:bookmarkEnd w:id="106"/>
      <w:bookmarkEnd w:id="107"/>
      <w:bookmarkEnd w:id="108"/>
    </w:p>
    <w:p w14:paraId="06E08F5E">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27.1</w:t>
      </w:r>
      <w:r>
        <w:rPr>
          <w:rFonts w:hint="eastAsia" w:ascii="宋体" w:hAnsi="宋体" w:cs="宋体"/>
          <w:bCs/>
          <w:color w:val="auto"/>
          <w:szCs w:val="21"/>
          <w:highlight w:val="none"/>
        </w:rPr>
        <w:t>投标文件初审分为资格检查和符合性检查。</w:t>
      </w:r>
    </w:p>
    <w:p w14:paraId="40C393C4">
      <w:pPr>
        <w:spacing w:line="360" w:lineRule="auto"/>
        <w:ind w:firstLine="420"/>
        <w:jc w:val="left"/>
        <w:rPr>
          <w:rFonts w:ascii="宋体" w:hAnsi="宋体" w:cs="宋体"/>
          <w:bCs/>
          <w:color w:val="auto"/>
          <w:szCs w:val="21"/>
          <w:highlight w:val="none"/>
        </w:rPr>
      </w:pPr>
      <w:r>
        <w:rPr>
          <w:rFonts w:hint="eastAsia" w:ascii="宋体" w:hAnsi="宋体" w:cs="宋体"/>
          <w:color w:val="auto"/>
          <w:szCs w:val="21"/>
          <w:highlight w:val="none"/>
        </w:rPr>
        <w:t>27.1.1</w:t>
      </w:r>
      <w:r>
        <w:rPr>
          <w:rFonts w:hint="eastAsia" w:ascii="宋体" w:hAnsi="宋体" w:cs="宋体"/>
          <w:bCs/>
          <w:color w:val="auto"/>
          <w:szCs w:val="21"/>
          <w:highlight w:val="none"/>
        </w:rPr>
        <w:t>资格审查：依据法律法规和招标文件的规定，由采购人对投标文件中的资格证明文件进行审查。并将审查结论以书面形式向评委会反馈。</w:t>
      </w:r>
    </w:p>
    <w:p w14:paraId="104E3A33">
      <w:pPr>
        <w:spacing w:line="360" w:lineRule="auto"/>
        <w:ind w:firstLine="420"/>
        <w:jc w:val="left"/>
        <w:rPr>
          <w:rFonts w:ascii="宋体" w:hAnsi="宋体" w:cs="宋体"/>
          <w:bCs/>
          <w:color w:val="auto"/>
          <w:szCs w:val="21"/>
          <w:highlight w:val="none"/>
        </w:rPr>
      </w:pPr>
      <w:r>
        <w:rPr>
          <w:rFonts w:hint="eastAsia" w:ascii="宋体" w:hAnsi="宋体" w:cs="宋体"/>
          <w:bCs/>
          <w:color w:val="auto"/>
          <w:szCs w:val="21"/>
          <w:highlight w:val="none"/>
        </w:rPr>
        <w:t>采购人在进行资格性审查的同时，应根据查询结果对供应商的不良信用记录逐项甄别确认。以确定供应商是否具备投标资格。查询结果将以网页打印的形式留存并归档。</w:t>
      </w:r>
    </w:p>
    <w:p w14:paraId="03091231">
      <w:pPr>
        <w:spacing w:line="360" w:lineRule="auto"/>
        <w:ind w:firstLine="420"/>
        <w:jc w:val="left"/>
        <w:rPr>
          <w:rFonts w:ascii="宋体" w:hAnsi="宋体" w:cs="宋体"/>
          <w:bCs/>
          <w:color w:val="auto"/>
          <w:szCs w:val="21"/>
          <w:highlight w:val="none"/>
        </w:rPr>
      </w:pPr>
      <w:r>
        <w:rPr>
          <w:rFonts w:hint="eastAsia" w:ascii="宋体" w:hAnsi="宋体" w:cs="宋体"/>
          <w:bCs/>
          <w:color w:val="auto"/>
          <w:szCs w:val="21"/>
          <w:highlight w:val="none"/>
        </w:rPr>
        <w:t>按照《中华人民共和国政府采购法》第二十二条规定，下列信用记录属于应依法拒绝供应商参加政府采购的失信信息：</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（1）政府采购严重违法记录，即供应商被全国各级财政部门列入“政府采购严重违法失信行为记录名单”，且在处罚有效期内的。</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（2）财政部门与法院、工商、税务等部门联合惩戒的失信信息，包括：</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1）被列入失信被执行人名单；</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2）被列入重大税收违法案件当事人名单；</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3）企业经营异常名录中被责令停产停业、暂扣或者吊销许可证或者执照，或者对经营活动中的违法行为处以2</w:t>
      </w:r>
      <w:r>
        <w:rPr>
          <w:rFonts w:hint="eastAsia" w:ascii="宋体" w:hAnsi="宋体" w:cs="宋体"/>
          <w:bCs/>
          <w:color w:val="auto"/>
          <w:szCs w:val="21"/>
          <w:highlight w:val="none"/>
          <w:lang w:val="en-US" w:eastAsia="zh-CN"/>
        </w:rPr>
        <w:t>00</w:t>
      </w:r>
      <w:r>
        <w:rPr>
          <w:rFonts w:hint="eastAsia" w:ascii="宋体" w:hAnsi="宋体" w:cs="宋体"/>
          <w:bCs/>
          <w:color w:val="auto"/>
          <w:szCs w:val="21"/>
          <w:highlight w:val="none"/>
        </w:rPr>
        <w:t>万元以上数额罚款的信用记录。处罚生效日至递交投标文件日未满三年的。</w:t>
      </w:r>
      <w:r>
        <w:rPr>
          <w:rFonts w:hint="eastAsia" w:ascii="宋体" w:hAnsi="宋体" w:cs="宋体"/>
          <w:bCs/>
          <w:color w:val="auto"/>
          <w:szCs w:val="21"/>
          <w:highlight w:val="none"/>
        </w:rPr>
        <w:br w:type="textWrapping"/>
      </w:r>
      <w:r>
        <w:rPr>
          <w:rFonts w:hint="eastAsia" w:ascii="宋体" w:hAnsi="宋体" w:cs="宋体"/>
          <w:bCs/>
          <w:color w:val="auto"/>
          <w:szCs w:val="21"/>
          <w:highlight w:val="none"/>
        </w:rPr>
        <w:t xml:space="preserve">    对存在失信信息的供应商，评审小组应填写《供应商失信信息确认函》，由失信供应商应签名确认。同时，采购代理机构工作人员应根据采购人确认的失信信息，登陆到相关来源网站页面进行复核并打印，作为证据留存。</w:t>
      </w:r>
    </w:p>
    <w:p w14:paraId="65F78F4C">
      <w:pPr>
        <w:spacing w:line="360" w:lineRule="auto"/>
        <w:ind w:firstLine="420"/>
        <w:jc w:val="left"/>
        <w:rPr>
          <w:rFonts w:ascii="宋体" w:hAnsi="宋体" w:cs="宋体"/>
          <w:bCs/>
          <w:color w:val="auto"/>
          <w:szCs w:val="21"/>
          <w:highlight w:val="none"/>
        </w:rPr>
      </w:pPr>
      <w:r>
        <w:rPr>
          <w:rFonts w:hint="eastAsia" w:ascii="宋体" w:hAnsi="宋体" w:cs="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3C76E5A6">
      <w:pPr>
        <w:spacing w:line="360" w:lineRule="auto"/>
        <w:ind w:firstLine="420"/>
        <w:jc w:val="left"/>
        <w:rPr>
          <w:rFonts w:ascii="宋体" w:hAnsi="宋体" w:cs="宋体"/>
          <w:bCs/>
          <w:color w:val="auto"/>
          <w:sz w:val="24"/>
          <w:highlight w:val="none"/>
        </w:rPr>
      </w:pPr>
      <w:r>
        <w:rPr>
          <w:rFonts w:hint="eastAsia" w:ascii="宋体" w:hAnsi="宋体" w:cs="宋体"/>
          <w:bCs/>
          <w:color w:val="auto"/>
          <w:szCs w:val="21"/>
          <w:highlight w:val="none"/>
        </w:rPr>
        <w:t>若接受联合体投标的项目，两个以上的自然人、法人或者其他组织组成一个联合体，以一个供应商的身份共同参加政府采购活动的,联合体成员存在不良信用记录的，视同联合体存在不良应用记录。</w:t>
      </w:r>
    </w:p>
    <w:p w14:paraId="046BE444">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27.1.2</w:t>
      </w:r>
      <w:r>
        <w:rPr>
          <w:rFonts w:hint="eastAsia" w:ascii="宋体" w:hAnsi="宋体" w:cs="宋体"/>
          <w:bCs/>
          <w:color w:val="auto"/>
          <w:szCs w:val="21"/>
          <w:highlight w:val="none"/>
        </w:rPr>
        <w:t>符合性检查：依据招标文件的规定，由评委会从投标文件的有效性、完整性和对招标文件的响应程度进行审查，以确定是否对招标文件的实质性要求作出响应。</w:t>
      </w:r>
    </w:p>
    <w:p w14:paraId="6E38DCC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14:paraId="55948E93">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color w:val="auto"/>
          <w:szCs w:val="21"/>
          <w:highlight w:val="none"/>
        </w:rPr>
        <w:t>评委决定投标文件的响应性只根据投标文件本身的内容，而不寻求外部的证据。</w:t>
      </w:r>
    </w:p>
    <w:p w14:paraId="6CE26B4E">
      <w:pPr>
        <w:spacing w:line="360" w:lineRule="auto"/>
        <w:ind w:firstLine="420"/>
        <w:rPr>
          <w:rFonts w:ascii="宋体" w:hAnsi="宋体" w:cs="宋体"/>
          <w:bCs/>
          <w:color w:val="auto"/>
          <w:szCs w:val="21"/>
          <w:highlight w:val="none"/>
        </w:rPr>
      </w:pPr>
      <w:r>
        <w:rPr>
          <w:rFonts w:hint="eastAsia" w:ascii="宋体" w:hAnsi="宋体" w:cs="宋体"/>
          <w:color w:val="auto"/>
          <w:szCs w:val="21"/>
          <w:highlight w:val="none"/>
        </w:rPr>
        <w:t>27.3</w:t>
      </w:r>
      <w:r>
        <w:rPr>
          <w:rFonts w:hint="eastAsia" w:ascii="宋体" w:hAnsi="宋体"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14:paraId="50175356">
      <w:pPr>
        <w:spacing w:line="360" w:lineRule="auto"/>
        <w:ind w:firstLine="420"/>
        <w:jc w:val="left"/>
        <w:rPr>
          <w:rFonts w:ascii="宋体" w:hAnsi="宋体" w:cs="宋体"/>
          <w:bCs/>
          <w:color w:val="auto"/>
          <w:szCs w:val="21"/>
          <w:highlight w:val="none"/>
        </w:rPr>
      </w:pPr>
      <w:r>
        <w:rPr>
          <w:rFonts w:hint="eastAsia" w:ascii="宋体" w:hAnsi="宋体" w:cs="宋体"/>
          <w:color w:val="auto"/>
          <w:szCs w:val="21"/>
          <w:highlight w:val="none"/>
        </w:rPr>
        <w:t>27.4</w:t>
      </w:r>
      <w:r>
        <w:rPr>
          <w:rFonts w:hint="eastAsia" w:ascii="宋体" w:hAnsi="宋体" w:cs="宋体"/>
          <w:bCs/>
          <w:color w:val="auto"/>
          <w:szCs w:val="21"/>
          <w:highlight w:val="none"/>
        </w:rPr>
        <w:t>评委会将对确定为实质性响应的投标进行进一步审核，看其是否有计算上或累加上的算术错误，对开标一览表内容修正错误的原则如下：</w:t>
      </w:r>
    </w:p>
    <w:p w14:paraId="6C321711">
      <w:pPr>
        <w:spacing w:line="360" w:lineRule="auto"/>
        <w:ind w:firstLine="420"/>
        <w:jc w:val="left"/>
        <w:rPr>
          <w:rFonts w:ascii="宋体" w:hAnsi="宋体" w:cs="宋体"/>
          <w:bCs/>
          <w:color w:val="auto"/>
          <w:szCs w:val="21"/>
          <w:highlight w:val="none"/>
        </w:rPr>
      </w:pPr>
      <w:r>
        <w:rPr>
          <w:rFonts w:hint="eastAsia" w:ascii="宋体" w:hAnsi="宋体" w:cs="宋体"/>
          <w:bCs/>
          <w:color w:val="auto"/>
          <w:szCs w:val="21"/>
          <w:highlight w:val="none"/>
        </w:rPr>
        <w:t>（1）投标文件中开标一览表内容与投标文件中相应内容不一致的，以开标一览表为准。</w:t>
      </w:r>
    </w:p>
    <w:p w14:paraId="197CB8BD">
      <w:pPr>
        <w:spacing w:line="360" w:lineRule="auto"/>
        <w:ind w:firstLine="420"/>
        <w:jc w:val="left"/>
        <w:rPr>
          <w:rFonts w:ascii="宋体" w:hAnsi="宋体" w:cs="宋体"/>
          <w:bCs/>
          <w:color w:val="auto"/>
          <w:szCs w:val="21"/>
          <w:highlight w:val="none"/>
        </w:rPr>
      </w:pPr>
      <w:r>
        <w:rPr>
          <w:rFonts w:hint="eastAsia" w:ascii="宋体" w:hAnsi="宋体" w:cs="宋体"/>
          <w:bCs/>
          <w:color w:val="auto"/>
          <w:szCs w:val="21"/>
          <w:highlight w:val="none"/>
        </w:rPr>
        <w:t>（2）投标文件、“开标一览表”中报价的大写金额与小写金额不一致的，以大写金额为准。</w:t>
      </w:r>
    </w:p>
    <w:p w14:paraId="47101DFB">
      <w:pPr>
        <w:spacing w:line="360" w:lineRule="auto"/>
        <w:ind w:firstLine="420"/>
        <w:jc w:val="left"/>
        <w:rPr>
          <w:rFonts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（3）单价金额小数点或者百分比有明显错位的，以开标一览表的总价为准，并修改单价。</w:t>
      </w:r>
    </w:p>
    <w:p w14:paraId="2868C2E8">
      <w:pPr>
        <w:spacing w:line="360" w:lineRule="auto"/>
        <w:ind w:firstLine="420"/>
        <w:jc w:val="left"/>
        <w:rPr>
          <w:rFonts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3EFE1835">
      <w:pPr>
        <w:spacing w:line="360" w:lineRule="auto"/>
        <w:ind w:firstLine="420"/>
        <w:jc w:val="left"/>
        <w:rPr>
          <w:rFonts w:ascii="宋体" w:hAnsi="宋体" w:cs="宋体"/>
          <w:bCs/>
          <w:color w:val="auto"/>
          <w:szCs w:val="21"/>
          <w:highlight w:val="none"/>
        </w:rPr>
      </w:pPr>
      <w:r>
        <w:rPr>
          <w:rFonts w:hint="eastAsia" w:ascii="宋体" w:hAnsi="宋体" w:cs="宋体"/>
          <w:bCs/>
          <w:color w:val="auto"/>
          <w:szCs w:val="21"/>
          <w:highlight w:val="none"/>
        </w:rPr>
        <w:t>同时出现两种以上错误的，按照前款规定的顺序修正。对不同文字文本投标文件的解释发生异议的，以中文文本为准。</w:t>
      </w:r>
    </w:p>
    <w:p w14:paraId="73C3C573">
      <w:pPr>
        <w:spacing w:line="360" w:lineRule="auto"/>
        <w:ind w:firstLine="420"/>
        <w:jc w:val="left"/>
        <w:rPr>
          <w:rFonts w:ascii="宋体" w:hAnsi="宋体" w:cs="宋体"/>
          <w:bCs/>
          <w:color w:val="auto"/>
          <w:szCs w:val="21"/>
          <w:highlight w:val="none"/>
        </w:rPr>
      </w:pPr>
      <w:r>
        <w:rPr>
          <w:rFonts w:hint="eastAsia" w:ascii="宋体" w:hAnsi="宋体" w:cs="宋体"/>
          <w:color w:val="auto"/>
          <w:szCs w:val="21"/>
          <w:highlight w:val="none"/>
        </w:rPr>
        <w:t>27.5</w:t>
      </w:r>
      <w:r>
        <w:rPr>
          <w:rFonts w:hint="eastAsia" w:ascii="宋体" w:hAnsi="宋体" w:cs="宋体"/>
          <w:bCs/>
          <w:color w:val="auto"/>
          <w:szCs w:val="21"/>
          <w:highlight w:val="none"/>
        </w:rPr>
        <w:t>评委会将按上述修正错误的方法调整投标文件中的投标报价，调整后的价格应对投标人具有约束力。如果投标人不接受修正后的价格，则其投标将被拒绝。</w:t>
      </w:r>
    </w:p>
    <w:p w14:paraId="7BAE6D6E">
      <w:pPr>
        <w:spacing w:line="360" w:lineRule="auto"/>
        <w:ind w:firstLine="420"/>
        <w:jc w:val="left"/>
        <w:rPr>
          <w:rFonts w:ascii="宋体" w:hAnsi="宋体" w:cs="宋体"/>
          <w:bCs/>
          <w:color w:val="auto"/>
          <w:szCs w:val="21"/>
          <w:highlight w:val="none"/>
        </w:rPr>
      </w:pPr>
      <w:r>
        <w:rPr>
          <w:rFonts w:hint="eastAsia" w:ascii="宋体" w:hAnsi="宋体" w:cs="宋体"/>
          <w:color w:val="auto"/>
          <w:szCs w:val="21"/>
          <w:highlight w:val="none"/>
        </w:rPr>
        <w:t>27.6</w:t>
      </w:r>
      <w:r>
        <w:rPr>
          <w:rFonts w:hint="eastAsia" w:ascii="宋体" w:hAnsi="宋体"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14:paraId="70FA9120">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6B477FDE">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3BC2EE0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非单一产品采购项目，招标文件中将载明其中的核心产品</w:t>
      </w:r>
      <w:r>
        <w:rPr>
          <w:rFonts w:hint="eastAsia" w:ascii="宋体" w:hAnsi="宋体" w:cs="宋体"/>
          <w:b/>
          <w:bCs/>
          <w:color w:val="auto"/>
          <w:sz w:val="21"/>
          <w:szCs w:val="21"/>
          <w:highlight w:val="none"/>
          <w:u w:val="single"/>
        </w:rPr>
        <w:t>（本项目以服务为主，无核心产品）</w:t>
      </w:r>
      <w:r>
        <w:rPr>
          <w:rFonts w:hint="eastAsia" w:ascii="宋体" w:hAnsi="宋体" w:cs="宋体"/>
          <w:color w:val="auto"/>
          <w:szCs w:val="21"/>
          <w:highlight w:val="none"/>
        </w:rPr>
        <w:t>。多家投标人提供的核心产品品牌相同的，按前两款规定处理。</w:t>
      </w:r>
    </w:p>
    <w:p w14:paraId="75058BBB">
      <w:pPr>
        <w:pStyle w:val="5"/>
        <w:spacing w:before="0" w:after="0" w:line="360" w:lineRule="auto"/>
        <w:ind w:firstLine="420"/>
        <w:rPr>
          <w:rFonts w:hint="eastAsia" w:ascii="宋体" w:hAnsi="宋体" w:eastAsia="宋体" w:cs="宋体"/>
          <w:b w:val="0"/>
          <w:bCs/>
          <w:color w:val="auto"/>
          <w:sz w:val="21"/>
          <w:szCs w:val="22"/>
          <w:highlight w:val="none"/>
          <w:lang w:val="en-US" w:eastAsia="zh-CN" w:bidi="ar-SA"/>
        </w:rPr>
      </w:pPr>
      <w:bookmarkStart w:id="109" w:name="_Toc20823309"/>
      <w:bookmarkStart w:id="110" w:name="_Toc513029237"/>
      <w:bookmarkStart w:id="111" w:name="_Toc16938553"/>
      <w:r>
        <w:rPr>
          <w:rFonts w:hint="eastAsia" w:ascii="宋体" w:hAnsi="宋体" w:eastAsia="宋体" w:cs="宋体"/>
          <w:b w:val="0"/>
          <w:bCs/>
          <w:color w:val="auto"/>
          <w:sz w:val="21"/>
          <w:szCs w:val="22"/>
          <w:highlight w:val="none"/>
          <w:lang w:val="en-US" w:eastAsia="zh-CN" w:bidi="ar-SA"/>
        </w:rPr>
        <w:t>27.8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投标/响应文件截止时已正式公布的最近一期信息为准，如属政府强制采购产品未提供认证证书的或认证证书提供不全的将视为未实质性响应采购要求。其他条件相同情况下，本项目优先采购节能产品、环境标志产品。</w:t>
      </w:r>
    </w:p>
    <w:p w14:paraId="5D832071">
      <w:pPr>
        <w:pStyle w:val="5"/>
        <w:spacing w:before="0" w:after="0" w:line="360" w:lineRule="auto"/>
        <w:ind w:firstLine="422"/>
        <w:rPr>
          <w:rFonts w:ascii="宋体" w:hAnsi="宋体" w:eastAsia="宋体"/>
          <w:b w:val="0"/>
          <w:bCs w:val="0"/>
          <w:color w:val="auto"/>
          <w:sz w:val="21"/>
          <w:szCs w:val="21"/>
          <w:highlight w:val="none"/>
        </w:rPr>
      </w:pPr>
      <w:r>
        <w:rPr>
          <w:rFonts w:ascii="宋体" w:hAnsi="宋体" w:eastAsia="宋体"/>
          <w:bCs w:val="0"/>
          <w:color w:val="auto"/>
          <w:sz w:val="21"/>
          <w:szCs w:val="21"/>
          <w:highlight w:val="none"/>
        </w:rPr>
        <w:t>28</w:t>
      </w:r>
      <w:r>
        <w:rPr>
          <w:rFonts w:hint="eastAsia" w:ascii="宋体" w:hAnsi="宋体" w:eastAsia="宋体"/>
          <w:bCs w:val="0"/>
          <w:color w:val="auto"/>
          <w:sz w:val="21"/>
          <w:szCs w:val="21"/>
          <w:highlight w:val="none"/>
        </w:rPr>
        <w:t>、无效投标、废标及投标人不足三家的处理</w:t>
      </w:r>
    </w:p>
    <w:p w14:paraId="0152C1CD">
      <w:pPr>
        <w:spacing w:line="360" w:lineRule="auto"/>
        <w:ind w:firstLine="420"/>
        <w:jc w:val="left"/>
        <w:rPr>
          <w:rFonts w:ascii="宋体" w:hAnsi="宋体"/>
          <w:bCs/>
          <w:color w:val="auto"/>
          <w:szCs w:val="21"/>
          <w:highlight w:val="none"/>
        </w:rPr>
      </w:pPr>
      <w:bookmarkStart w:id="112" w:name="_Toc20823307"/>
      <w:bookmarkStart w:id="113" w:name="_Toc16938551"/>
      <w:bookmarkStart w:id="114" w:name="_Toc513029235"/>
      <w:r>
        <w:rPr>
          <w:rFonts w:hint="eastAsia" w:ascii="宋体" w:hAnsi="宋体"/>
          <w:bCs/>
          <w:color w:val="auto"/>
          <w:szCs w:val="21"/>
          <w:highlight w:val="none"/>
        </w:rPr>
        <w:t>28.1无效投标条款</w:t>
      </w:r>
    </w:p>
    <w:p w14:paraId="6CBAAF45">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28.1.</w:t>
      </w:r>
      <w:r>
        <w:rPr>
          <w:rFonts w:hint="eastAsia" w:ascii="宋体" w:hAnsi="宋体"/>
          <w:bCs/>
          <w:color w:val="auto"/>
          <w:szCs w:val="21"/>
          <w:highlight w:val="none"/>
          <w:lang w:val="en-US" w:eastAsia="zh-CN"/>
        </w:rPr>
        <w:t>1</w:t>
      </w:r>
      <w:r>
        <w:rPr>
          <w:rFonts w:hint="eastAsia" w:ascii="宋体" w:hAnsi="宋体"/>
          <w:bCs/>
          <w:color w:val="auto"/>
          <w:szCs w:val="21"/>
          <w:highlight w:val="none"/>
        </w:rPr>
        <w:t>未按照招标文件规定要求密封、签署、盖章的；</w:t>
      </w:r>
    </w:p>
    <w:p w14:paraId="1B846A3A">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28.1.</w:t>
      </w:r>
      <w:r>
        <w:rPr>
          <w:rFonts w:hint="eastAsia" w:ascii="宋体" w:hAnsi="宋体"/>
          <w:bCs/>
          <w:color w:val="auto"/>
          <w:szCs w:val="21"/>
          <w:highlight w:val="none"/>
          <w:lang w:val="en-US" w:eastAsia="zh-CN"/>
        </w:rPr>
        <w:t>2</w:t>
      </w:r>
      <w:r>
        <w:rPr>
          <w:rFonts w:hint="eastAsia" w:ascii="宋体" w:hAnsi="宋体"/>
          <w:bCs/>
          <w:color w:val="auto"/>
          <w:szCs w:val="21"/>
          <w:highlight w:val="none"/>
        </w:rPr>
        <w:t>投标人在报价时采用选择性报价；</w:t>
      </w:r>
    </w:p>
    <w:p w14:paraId="2D14DF18">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28.1.</w:t>
      </w:r>
      <w:r>
        <w:rPr>
          <w:rFonts w:hint="eastAsia" w:ascii="宋体" w:hAnsi="宋体"/>
          <w:bCs/>
          <w:color w:val="auto"/>
          <w:szCs w:val="21"/>
          <w:highlight w:val="none"/>
          <w:lang w:val="en-US" w:eastAsia="zh-CN"/>
        </w:rPr>
        <w:t>3</w:t>
      </w:r>
      <w:r>
        <w:rPr>
          <w:rFonts w:hint="eastAsia" w:ascii="宋体" w:hAnsi="宋体"/>
          <w:bCs/>
          <w:color w:val="auto"/>
          <w:szCs w:val="21"/>
          <w:highlight w:val="none"/>
        </w:rPr>
        <w:t>投标人不具备招标文件中规定资格要求的；</w:t>
      </w:r>
    </w:p>
    <w:p w14:paraId="48D94BA9">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28.1.</w:t>
      </w:r>
      <w:r>
        <w:rPr>
          <w:rFonts w:hint="eastAsia" w:ascii="宋体" w:hAnsi="宋体"/>
          <w:bCs/>
          <w:color w:val="auto"/>
          <w:szCs w:val="21"/>
          <w:highlight w:val="none"/>
          <w:lang w:val="en-US" w:eastAsia="zh-CN"/>
        </w:rPr>
        <w:t>4</w:t>
      </w:r>
      <w:r>
        <w:rPr>
          <w:rFonts w:hint="eastAsia" w:ascii="宋体" w:hAnsi="宋体"/>
          <w:bCs/>
          <w:color w:val="auto"/>
          <w:szCs w:val="21"/>
          <w:highlight w:val="none"/>
        </w:rPr>
        <w:t>投标人的报价超过了采购预算或最高限价的；</w:t>
      </w:r>
    </w:p>
    <w:p w14:paraId="3F99A6C4">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28.1.</w:t>
      </w:r>
      <w:r>
        <w:rPr>
          <w:rFonts w:hint="eastAsia" w:ascii="宋体" w:hAnsi="宋体"/>
          <w:bCs/>
          <w:color w:val="auto"/>
          <w:szCs w:val="21"/>
          <w:highlight w:val="none"/>
          <w:lang w:val="en-US" w:eastAsia="zh-CN"/>
        </w:rPr>
        <w:t>5</w:t>
      </w:r>
      <w:r>
        <w:rPr>
          <w:rFonts w:hint="eastAsia" w:ascii="宋体" w:hAnsi="宋体"/>
          <w:bCs/>
          <w:color w:val="auto"/>
          <w:szCs w:val="21"/>
          <w:highlight w:val="none"/>
        </w:rPr>
        <w:t>未通过符合性检查的；</w:t>
      </w:r>
    </w:p>
    <w:p w14:paraId="56B0D42C">
      <w:pPr>
        <w:spacing w:line="360" w:lineRule="auto"/>
        <w:ind w:firstLine="315"/>
        <w:jc w:val="left"/>
        <w:rPr>
          <w:rFonts w:ascii="宋体" w:hAnsi="宋体"/>
          <w:bCs/>
          <w:color w:val="auto"/>
          <w:szCs w:val="21"/>
          <w:highlight w:val="none"/>
        </w:rPr>
      </w:pPr>
      <w:r>
        <w:rPr>
          <w:rFonts w:hint="eastAsia" w:ascii="宋体" w:hAnsi="宋体"/>
          <w:bCs/>
          <w:color w:val="auto"/>
          <w:szCs w:val="21"/>
          <w:highlight w:val="none"/>
        </w:rPr>
        <w:t xml:space="preserve"> 28.1.</w:t>
      </w:r>
      <w:r>
        <w:rPr>
          <w:rFonts w:hint="eastAsia" w:ascii="宋体" w:hAnsi="宋体"/>
          <w:bCs/>
          <w:color w:val="auto"/>
          <w:szCs w:val="21"/>
          <w:highlight w:val="none"/>
          <w:lang w:val="en-US" w:eastAsia="zh-CN"/>
        </w:rPr>
        <w:t>6</w:t>
      </w:r>
      <w:r>
        <w:rPr>
          <w:rFonts w:hint="eastAsia" w:ascii="宋体" w:hAnsi="宋体"/>
          <w:bCs/>
          <w:color w:val="auto"/>
          <w:szCs w:val="21"/>
          <w:highlight w:val="none"/>
        </w:rPr>
        <w:t>不符合招标文件中规定的其他实质性要求和条件的（</w:t>
      </w:r>
      <w:r>
        <w:rPr>
          <w:rFonts w:hint="eastAsia" w:ascii="宋体" w:hAnsi="宋体"/>
          <w:bCs/>
          <w:i/>
          <w:color w:val="auto"/>
          <w:szCs w:val="21"/>
          <w:highlight w:val="none"/>
          <w:u w:val="single"/>
        </w:rPr>
        <w:t>本招标文件中斜体且有下划线部分为实质性要求和条件，包括但不限于该范围）；</w:t>
      </w:r>
    </w:p>
    <w:p w14:paraId="7934BD1A">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28.1.</w:t>
      </w:r>
      <w:r>
        <w:rPr>
          <w:rFonts w:hint="eastAsia" w:ascii="宋体" w:hAnsi="宋体"/>
          <w:bCs/>
          <w:color w:val="auto"/>
          <w:szCs w:val="21"/>
          <w:highlight w:val="none"/>
          <w:lang w:val="en-US" w:eastAsia="zh-CN"/>
        </w:rPr>
        <w:t>7</w:t>
      </w:r>
      <w:r>
        <w:rPr>
          <w:rFonts w:hint="eastAsia" w:ascii="宋体" w:hAnsi="宋体"/>
          <w:bCs/>
          <w:color w:val="auto"/>
          <w:szCs w:val="21"/>
          <w:highlight w:val="none"/>
        </w:rPr>
        <w:t xml:space="preserve"> 投标人被 “信用中国”网站（www.creditchina.gov.cn）、“</w:t>
      </w:r>
      <w:r>
        <w:rPr>
          <w:rFonts w:hint="eastAsia" w:ascii="宋体" w:hAnsi="宋体"/>
          <w:bCs/>
          <w:color w:val="auto"/>
          <w:szCs w:val="21"/>
          <w:highlight w:val="none"/>
          <w:lang w:eastAsia="zh-CN"/>
        </w:rPr>
        <w:t>扬州市政府采购网</w:t>
      </w:r>
      <w:r>
        <w:rPr>
          <w:rFonts w:hint="eastAsia" w:ascii="宋体" w:hAnsi="宋体"/>
          <w:bCs/>
          <w:color w:val="auto"/>
          <w:szCs w:val="21"/>
          <w:highlight w:val="none"/>
        </w:rPr>
        <w:t>"(www.ccgp.gov.cn)列入失信被执行人或重大税收违法案件当事人名单或政府采购严重失信行为记录名单。若接受联合体的项目，两个以上的自然人、法人或者其他组织组成一个联合体，以一个投标人的身份共同参加政府采购活动的，联合体成员存在不良信用记录的，视同联合体存在不良应用记录。</w:t>
      </w:r>
    </w:p>
    <w:p w14:paraId="04DCD89F">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28.1.</w:t>
      </w:r>
      <w:r>
        <w:rPr>
          <w:rFonts w:hint="eastAsia" w:ascii="宋体" w:hAnsi="宋体"/>
          <w:bCs/>
          <w:color w:val="auto"/>
          <w:szCs w:val="21"/>
          <w:highlight w:val="none"/>
          <w:lang w:val="en-US" w:eastAsia="zh-CN"/>
        </w:rPr>
        <w:t>8</w:t>
      </w:r>
      <w:r>
        <w:rPr>
          <w:rFonts w:hint="eastAsia" w:ascii="宋体" w:hAnsi="宋体"/>
          <w:bCs/>
          <w:color w:val="auto"/>
          <w:szCs w:val="21"/>
          <w:highlight w:val="none"/>
        </w:rPr>
        <w:t xml:space="preserve">  投标文件含有采购人不能接受的附加条件的。</w:t>
      </w:r>
    </w:p>
    <w:p w14:paraId="397AD4D6">
      <w:pPr>
        <w:spacing w:line="360" w:lineRule="auto"/>
        <w:ind w:firstLine="420"/>
        <w:jc w:val="left"/>
        <w:rPr>
          <w:rFonts w:hint="eastAsia" w:ascii="宋体" w:hAnsi="宋体"/>
          <w:bCs/>
          <w:color w:val="auto"/>
          <w:szCs w:val="21"/>
          <w:highlight w:val="none"/>
        </w:rPr>
      </w:pPr>
      <w:r>
        <w:rPr>
          <w:rFonts w:hint="eastAsia" w:ascii="宋体" w:hAnsi="宋体"/>
          <w:bCs/>
          <w:color w:val="auto"/>
          <w:szCs w:val="21"/>
          <w:highlight w:val="none"/>
          <w:lang w:val="en-US" w:eastAsia="zh-CN"/>
        </w:rPr>
        <w:t>28</w:t>
      </w:r>
      <w:r>
        <w:rPr>
          <w:rFonts w:hint="eastAsia" w:ascii="宋体" w:hAnsi="宋体"/>
          <w:bCs/>
          <w:color w:val="auto"/>
          <w:szCs w:val="21"/>
          <w:highlight w:val="none"/>
        </w:rPr>
        <w:t>.1.</w:t>
      </w:r>
      <w:r>
        <w:rPr>
          <w:rFonts w:hint="eastAsia" w:ascii="宋体" w:hAnsi="宋体"/>
          <w:bCs/>
          <w:color w:val="auto"/>
          <w:szCs w:val="21"/>
          <w:highlight w:val="none"/>
          <w:lang w:val="en-US" w:eastAsia="zh-CN"/>
        </w:rPr>
        <w:t>9</w:t>
      </w:r>
      <w:r>
        <w:rPr>
          <w:rFonts w:hint="eastAsia" w:ascii="宋体" w:hAnsi="宋体"/>
          <w:bCs/>
          <w:color w:val="auto"/>
          <w:szCs w:val="21"/>
          <w:highlight w:val="none"/>
        </w:rPr>
        <w:t>异常低价投标（响应）</w:t>
      </w:r>
    </w:p>
    <w:p w14:paraId="34BEDB38">
      <w:pPr>
        <w:spacing w:line="360" w:lineRule="auto"/>
        <w:ind w:firstLine="42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8</w:t>
      </w:r>
      <w:r>
        <w:rPr>
          <w:rFonts w:hint="eastAsia" w:ascii="宋体" w:hAnsi="宋体"/>
          <w:bCs/>
          <w:color w:val="auto"/>
          <w:szCs w:val="21"/>
          <w:highlight w:val="none"/>
        </w:rPr>
        <w:t>.1.</w:t>
      </w:r>
      <w:r>
        <w:rPr>
          <w:rFonts w:hint="eastAsia" w:ascii="宋体" w:hAnsi="宋体"/>
          <w:bCs/>
          <w:color w:val="auto"/>
          <w:szCs w:val="21"/>
          <w:highlight w:val="none"/>
          <w:lang w:val="en-US" w:eastAsia="zh-CN"/>
        </w:rPr>
        <w:t>9</w:t>
      </w:r>
      <w:r>
        <w:rPr>
          <w:rFonts w:hint="eastAsia" w:ascii="宋体" w:hAnsi="宋体"/>
          <w:bCs/>
          <w:color w:val="auto"/>
          <w:szCs w:val="21"/>
          <w:highlight w:val="none"/>
        </w:rPr>
        <w:t>.1投标（响应）报价低于采购项目预算50%的，即投标（响应）报价&lt;采购项目预算×50%；</w:t>
      </w:r>
    </w:p>
    <w:p w14:paraId="7874BD64">
      <w:pPr>
        <w:spacing w:line="360" w:lineRule="auto"/>
        <w:ind w:firstLine="420"/>
        <w:jc w:val="left"/>
        <w:rPr>
          <w:rFonts w:hint="eastAsia" w:ascii="宋体" w:hAnsi="宋体"/>
          <w:bCs/>
          <w:color w:val="auto"/>
          <w:szCs w:val="21"/>
          <w:highlight w:val="none"/>
        </w:rPr>
      </w:pPr>
      <w:r>
        <w:rPr>
          <w:rFonts w:hint="eastAsia" w:ascii="宋体" w:hAnsi="宋体"/>
          <w:bCs/>
          <w:color w:val="auto"/>
          <w:szCs w:val="21"/>
          <w:highlight w:val="none"/>
          <w:lang w:val="en-US" w:eastAsia="zh-CN"/>
        </w:rPr>
        <w:t>28</w:t>
      </w:r>
      <w:r>
        <w:rPr>
          <w:rFonts w:hint="eastAsia" w:ascii="宋体" w:hAnsi="宋体"/>
          <w:bCs/>
          <w:color w:val="auto"/>
          <w:szCs w:val="21"/>
          <w:highlight w:val="none"/>
        </w:rPr>
        <w:t>.1.</w:t>
      </w:r>
      <w:r>
        <w:rPr>
          <w:rFonts w:hint="eastAsia" w:ascii="宋体" w:hAnsi="宋体"/>
          <w:bCs/>
          <w:color w:val="auto"/>
          <w:szCs w:val="21"/>
          <w:highlight w:val="none"/>
          <w:lang w:val="en-US" w:eastAsia="zh-CN"/>
        </w:rPr>
        <w:t>9</w:t>
      </w:r>
      <w:r>
        <w:rPr>
          <w:rFonts w:hint="eastAsia" w:ascii="宋体" w:hAnsi="宋体"/>
          <w:bCs/>
          <w:color w:val="auto"/>
          <w:szCs w:val="21"/>
          <w:highlight w:val="none"/>
        </w:rPr>
        <w:t>.2投标（响应）报价低于采购项目最高限价45%的，即投标（响应）报价&lt;采购项目最高限价×45%；</w:t>
      </w:r>
    </w:p>
    <w:p w14:paraId="0EEFBCDE">
      <w:pPr>
        <w:spacing w:line="360" w:lineRule="auto"/>
        <w:ind w:firstLine="420"/>
        <w:jc w:val="left"/>
        <w:rPr>
          <w:rFonts w:hint="eastAsia" w:ascii="宋体" w:hAnsi="宋体"/>
          <w:bCs/>
          <w:color w:val="auto"/>
          <w:szCs w:val="21"/>
          <w:highlight w:val="none"/>
        </w:rPr>
      </w:pPr>
      <w:r>
        <w:rPr>
          <w:rFonts w:hint="eastAsia" w:ascii="宋体" w:hAnsi="宋体"/>
          <w:bCs/>
          <w:color w:val="auto"/>
          <w:szCs w:val="21"/>
          <w:highlight w:val="none"/>
          <w:lang w:val="en-US" w:eastAsia="zh-CN"/>
        </w:rPr>
        <w:t>28</w:t>
      </w:r>
      <w:r>
        <w:rPr>
          <w:rFonts w:hint="eastAsia" w:ascii="宋体" w:hAnsi="宋体"/>
          <w:bCs/>
          <w:color w:val="auto"/>
          <w:szCs w:val="21"/>
          <w:highlight w:val="none"/>
        </w:rPr>
        <w:t>.1.</w:t>
      </w:r>
      <w:r>
        <w:rPr>
          <w:rFonts w:hint="eastAsia" w:ascii="宋体" w:hAnsi="宋体"/>
          <w:bCs/>
          <w:color w:val="auto"/>
          <w:szCs w:val="21"/>
          <w:highlight w:val="none"/>
          <w:lang w:val="en-US" w:eastAsia="zh-CN"/>
        </w:rPr>
        <w:t>9</w:t>
      </w:r>
      <w:r>
        <w:rPr>
          <w:rFonts w:hint="eastAsia" w:ascii="宋体" w:hAnsi="宋体"/>
          <w:bCs/>
          <w:color w:val="auto"/>
          <w:szCs w:val="21"/>
          <w:highlight w:val="none"/>
        </w:rPr>
        <w:t>.3评审委员会认定的供应商报价过低、有可能影响产品质量或者不能诚信履约的其他情形。</w:t>
      </w:r>
    </w:p>
    <w:p w14:paraId="5C006D1B">
      <w:pPr>
        <w:spacing w:line="360" w:lineRule="auto"/>
        <w:ind w:firstLine="420"/>
        <w:jc w:val="left"/>
        <w:rPr>
          <w:color w:val="auto"/>
        </w:rPr>
      </w:pPr>
      <w:r>
        <w:rPr>
          <w:rFonts w:hint="eastAsia" w:ascii="宋体" w:hAnsi="宋体"/>
          <w:bCs/>
          <w:color w:val="auto"/>
          <w:szCs w:val="21"/>
          <w:highlight w:val="none"/>
          <w:lang w:val="en-US" w:eastAsia="zh-CN"/>
        </w:rPr>
        <w:t>28</w:t>
      </w:r>
      <w:r>
        <w:rPr>
          <w:rFonts w:hint="eastAsia" w:ascii="宋体" w:hAnsi="宋体"/>
          <w:bCs/>
          <w:color w:val="auto"/>
          <w:szCs w:val="21"/>
          <w:highlight w:val="none"/>
        </w:rPr>
        <w:t>.1.</w:t>
      </w:r>
      <w:r>
        <w:rPr>
          <w:rFonts w:hint="eastAsia" w:ascii="宋体" w:hAnsi="宋体"/>
          <w:bCs/>
          <w:color w:val="auto"/>
          <w:szCs w:val="21"/>
          <w:highlight w:val="none"/>
          <w:lang w:val="en-US" w:eastAsia="zh-CN"/>
        </w:rPr>
        <w:t>9</w:t>
      </w:r>
      <w:r>
        <w:rPr>
          <w:rFonts w:hint="eastAsia" w:ascii="宋体" w:hAnsi="宋体"/>
          <w:bCs/>
          <w:color w:val="auto"/>
          <w:szCs w:val="21"/>
          <w:highlight w:val="none"/>
        </w:rPr>
        <w:t>.4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D96FA2C">
      <w:pPr>
        <w:spacing w:line="360" w:lineRule="auto"/>
        <w:ind w:left="479"/>
        <w:jc w:val="left"/>
        <w:rPr>
          <w:rFonts w:ascii="宋体" w:hAnsi="宋体"/>
          <w:bCs/>
          <w:color w:val="auto"/>
          <w:szCs w:val="21"/>
          <w:highlight w:val="none"/>
        </w:rPr>
      </w:pPr>
      <w:r>
        <w:rPr>
          <w:rFonts w:hint="eastAsia" w:ascii="宋体" w:hAnsi="宋体"/>
          <w:bCs/>
          <w:color w:val="auto"/>
          <w:szCs w:val="21"/>
          <w:highlight w:val="none"/>
        </w:rPr>
        <w:t>28.1.1</w:t>
      </w:r>
      <w:r>
        <w:rPr>
          <w:rFonts w:hint="eastAsia" w:ascii="宋体" w:hAnsi="宋体"/>
          <w:bCs/>
          <w:color w:val="auto"/>
          <w:szCs w:val="21"/>
          <w:highlight w:val="none"/>
          <w:lang w:val="en-US" w:eastAsia="zh-CN"/>
        </w:rPr>
        <w:t>0</w:t>
      </w:r>
      <w:r>
        <w:rPr>
          <w:rFonts w:hint="eastAsia" w:ascii="宋体" w:hAnsi="宋体"/>
          <w:bCs/>
          <w:color w:val="auto"/>
          <w:szCs w:val="21"/>
          <w:highlight w:val="none"/>
        </w:rPr>
        <w:t>其他法律、法规及本招标文件规定的属无效投标的情形。</w:t>
      </w:r>
    </w:p>
    <w:p w14:paraId="1BD5FC6E">
      <w:pPr>
        <w:spacing w:line="360" w:lineRule="auto"/>
        <w:ind w:left="479"/>
        <w:rPr>
          <w:rFonts w:ascii="宋体" w:hAnsi="宋体"/>
          <w:bCs/>
          <w:color w:val="auto"/>
          <w:szCs w:val="21"/>
          <w:highlight w:val="none"/>
        </w:rPr>
      </w:pPr>
      <w:r>
        <w:rPr>
          <w:rFonts w:hint="eastAsia" w:ascii="宋体" w:hAnsi="宋体"/>
          <w:bCs/>
          <w:color w:val="auto"/>
          <w:szCs w:val="21"/>
          <w:highlight w:val="none"/>
        </w:rPr>
        <w:t xml:space="preserve">28.2废标条款：                                                                                                                                                                                                                                                                                                                                                                                                                                                                                                                                                                                                                                                                                                                                                                                                                                                                                                                                                                                                                                                                                                                                                                                                                                                                                                                                                                                                                                                                         </w:t>
      </w:r>
    </w:p>
    <w:p w14:paraId="76DA08F8">
      <w:pPr>
        <w:spacing w:line="360" w:lineRule="auto"/>
        <w:ind w:left="479"/>
        <w:rPr>
          <w:rFonts w:ascii="宋体" w:hAnsi="宋体"/>
          <w:bCs/>
          <w:color w:val="auto"/>
          <w:szCs w:val="21"/>
          <w:highlight w:val="none"/>
        </w:rPr>
      </w:pPr>
      <w:r>
        <w:rPr>
          <w:rFonts w:hint="eastAsia" w:ascii="宋体" w:hAnsi="宋体"/>
          <w:bCs/>
          <w:color w:val="auto"/>
          <w:szCs w:val="21"/>
          <w:highlight w:val="none"/>
        </w:rPr>
        <w:t>28.2.1符合专业条件的投标人或者对招标文件作实质响应的投标人不足三家的；</w:t>
      </w:r>
    </w:p>
    <w:p w14:paraId="0F7A1228">
      <w:pPr>
        <w:spacing w:line="360" w:lineRule="auto"/>
        <w:ind w:left="479"/>
        <w:rPr>
          <w:rFonts w:ascii="宋体" w:hAnsi="宋体"/>
          <w:bCs/>
          <w:color w:val="auto"/>
          <w:szCs w:val="21"/>
          <w:highlight w:val="none"/>
        </w:rPr>
      </w:pPr>
      <w:r>
        <w:rPr>
          <w:rFonts w:hint="eastAsia" w:ascii="宋体" w:hAnsi="宋体"/>
          <w:bCs/>
          <w:color w:val="auto"/>
          <w:szCs w:val="21"/>
          <w:highlight w:val="none"/>
        </w:rPr>
        <w:t>28.2.2投标人的报价均超过采购预算或最高限价；</w:t>
      </w:r>
    </w:p>
    <w:p w14:paraId="66A9877A">
      <w:pPr>
        <w:spacing w:line="360" w:lineRule="auto"/>
        <w:ind w:left="479"/>
        <w:rPr>
          <w:rFonts w:ascii="宋体" w:hAnsi="宋体"/>
          <w:bCs/>
          <w:color w:val="auto"/>
          <w:szCs w:val="21"/>
          <w:highlight w:val="none"/>
        </w:rPr>
      </w:pPr>
      <w:r>
        <w:rPr>
          <w:rFonts w:hint="eastAsia" w:ascii="宋体" w:hAnsi="宋体"/>
          <w:bCs/>
          <w:color w:val="auto"/>
          <w:szCs w:val="21"/>
          <w:highlight w:val="none"/>
        </w:rPr>
        <w:t>28.2.3出现影响采购公正的违法、违规行为的；</w:t>
      </w:r>
    </w:p>
    <w:p w14:paraId="0A343451">
      <w:pPr>
        <w:spacing w:line="360" w:lineRule="auto"/>
        <w:ind w:left="479"/>
        <w:rPr>
          <w:rFonts w:ascii="宋体" w:hAnsi="宋体"/>
          <w:bCs/>
          <w:color w:val="auto"/>
          <w:szCs w:val="21"/>
          <w:highlight w:val="none"/>
        </w:rPr>
      </w:pPr>
      <w:r>
        <w:rPr>
          <w:rFonts w:hint="eastAsia" w:ascii="宋体" w:hAnsi="宋体"/>
          <w:bCs/>
          <w:color w:val="auto"/>
          <w:szCs w:val="21"/>
          <w:highlight w:val="none"/>
        </w:rPr>
        <w:t>28.2.4因重大变故，采购任务取消的；</w:t>
      </w:r>
    </w:p>
    <w:p w14:paraId="65443EB1">
      <w:pPr>
        <w:spacing w:line="360" w:lineRule="auto"/>
        <w:ind w:left="479"/>
        <w:rPr>
          <w:rFonts w:ascii="宋体" w:hAnsi="宋体"/>
          <w:bCs/>
          <w:color w:val="auto"/>
          <w:szCs w:val="21"/>
          <w:highlight w:val="none"/>
        </w:rPr>
      </w:pPr>
      <w:r>
        <w:rPr>
          <w:rFonts w:hint="eastAsia" w:ascii="宋体" w:hAnsi="宋体"/>
          <w:bCs/>
          <w:color w:val="auto"/>
          <w:szCs w:val="21"/>
          <w:highlight w:val="none"/>
        </w:rPr>
        <w:t>28.2.5评标委员会认定招标文件存在歧义、重大缺陷导致评审工作无法进行。</w:t>
      </w:r>
    </w:p>
    <w:p w14:paraId="721F6ED8">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 xml:space="preserve">28.3投标截止时间结束后参加投标的投标人不足三家或者通过资格审查或符合性审查的投标人不足三家的，除采购任务取消情形外，按照以下方式处理： </w:t>
      </w:r>
    </w:p>
    <w:p w14:paraId="231C1DF5">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28.3.1招标文件存在不合理条款或者招标程序不符合规定的，由采购人、代理机构改正后依法重新招标；</w:t>
      </w:r>
    </w:p>
    <w:p w14:paraId="2C7A72BE">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28.3.2 招标文件没有不合理条款、招标程序符合规定，需要采用其他采购人式采购的，采购人应当依法报财政部门批准。</w:t>
      </w:r>
      <w:bookmarkEnd w:id="112"/>
      <w:bookmarkEnd w:id="113"/>
      <w:bookmarkEnd w:id="114"/>
    </w:p>
    <w:p w14:paraId="1771A8B3">
      <w:pPr>
        <w:pStyle w:val="5"/>
        <w:spacing w:before="0" w:after="0" w:line="360" w:lineRule="auto"/>
        <w:ind w:firstLine="422"/>
        <w:rPr>
          <w:rFonts w:hint="eastAsia" w:ascii="宋体" w:hAnsi="宋体" w:eastAsia="宋体"/>
          <w:b w:val="0"/>
          <w:color w:val="auto"/>
          <w:sz w:val="21"/>
          <w:szCs w:val="21"/>
          <w:highlight w:val="none"/>
          <w:lang w:eastAsia="zh-CN"/>
        </w:rPr>
      </w:pPr>
      <w:bookmarkStart w:id="115" w:name="_Toc513029238"/>
      <w:bookmarkStart w:id="116" w:name="_Toc20823310"/>
      <w:bookmarkStart w:id="117" w:name="_Toc16938554"/>
      <w:r>
        <w:rPr>
          <w:rFonts w:hint="eastAsia" w:ascii="宋体" w:hAnsi="宋体" w:eastAsia="宋体"/>
          <w:color w:val="auto"/>
          <w:sz w:val="21"/>
          <w:szCs w:val="21"/>
          <w:highlight w:val="none"/>
        </w:rPr>
        <w:t>29、</w:t>
      </w:r>
      <w:bookmarkEnd w:id="115"/>
      <w:r>
        <w:rPr>
          <w:rFonts w:hint="eastAsia" w:ascii="宋体" w:hAnsi="宋体" w:eastAsia="宋体"/>
          <w:color w:val="auto"/>
          <w:sz w:val="21"/>
          <w:szCs w:val="21"/>
          <w:highlight w:val="none"/>
        </w:rPr>
        <w:t>确定</w:t>
      </w:r>
      <w:bookmarkEnd w:id="116"/>
      <w:bookmarkEnd w:id="117"/>
      <w:r>
        <w:rPr>
          <w:rFonts w:hint="eastAsia" w:ascii="宋体" w:hAnsi="宋体" w:eastAsia="宋体"/>
          <w:color w:val="auto"/>
          <w:sz w:val="21"/>
          <w:szCs w:val="21"/>
          <w:highlight w:val="none"/>
          <w:lang w:eastAsia="zh-CN"/>
        </w:rPr>
        <w:t>中标供应商</w:t>
      </w:r>
    </w:p>
    <w:p w14:paraId="44832C26">
      <w:pPr>
        <w:spacing w:line="360" w:lineRule="auto"/>
        <w:ind w:firstLine="420"/>
        <w:rPr>
          <w:rFonts w:ascii="宋体" w:hAnsi="宋体"/>
          <w:bCs/>
          <w:color w:val="auto"/>
          <w:szCs w:val="21"/>
          <w:highlight w:val="none"/>
        </w:rPr>
      </w:pPr>
      <w:r>
        <w:rPr>
          <w:rFonts w:hint="eastAsia" w:ascii="宋体" w:hAnsi="宋体"/>
          <w:bCs/>
          <w:color w:val="auto"/>
          <w:szCs w:val="21"/>
          <w:highlight w:val="none"/>
        </w:rPr>
        <w:t>29.1评委会根据本招标文件规定评标方法与评标标准向采购人推荐出中标候选人。</w:t>
      </w:r>
    </w:p>
    <w:p w14:paraId="7EA376CF">
      <w:pPr>
        <w:spacing w:line="360" w:lineRule="auto"/>
        <w:ind w:firstLine="420"/>
        <w:rPr>
          <w:rFonts w:ascii="宋体" w:hAnsi="宋体"/>
          <w:bCs/>
          <w:color w:val="auto"/>
          <w:szCs w:val="21"/>
          <w:highlight w:val="none"/>
        </w:rPr>
      </w:pPr>
      <w:r>
        <w:rPr>
          <w:rFonts w:hint="eastAsia" w:ascii="宋体" w:hAnsi="宋体"/>
          <w:bCs/>
          <w:color w:val="auto"/>
          <w:szCs w:val="21"/>
          <w:highlight w:val="none"/>
        </w:rPr>
        <w:t>29.2 采购人应根据评委会推荐的中标候选人确定中标人。</w:t>
      </w:r>
    </w:p>
    <w:p w14:paraId="743610C3">
      <w:pPr>
        <w:spacing w:line="360" w:lineRule="auto"/>
        <w:ind w:firstLine="420"/>
        <w:rPr>
          <w:rFonts w:ascii="宋体" w:hAnsi="宋体"/>
          <w:color w:val="auto"/>
          <w:szCs w:val="21"/>
          <w:highlight w:val="none"/>
        </w:rPr>
      </w:pPr>
      <w:r>
        <w:rPr>
          <w:rFonts w:hint="eastAsia" w:ascii="宋体" w:hAnsi="宋体"/>
          <w:bCs/>
          <w:color w:val="auto"/>
          <w:szCs w:val="21"/>
          <w:highlight w:val="none"/>
        </w:rPr>
        <w:t>29.3</w:t>
      </w:r>
      <w:r>
        <w:rPr>
          <w:rFonts w:hint="eastAsia" w:ascii="宋体" w:hAnsi="宋体"/>
          <w:color w:val="auto"/>
          <w:szCs w:val="21"/>
          <w:highlight w:val="none"/>
        </w:rPr>
        <w:t>代理机构将在</w:t>
      </w:r>
      <w:r>
        <w:rPr>
          <w:rFonts w:hint="eastAsia" w:ascii="宋体" w:hAnsi="宋体"/>
          <w:color w:val="auto"/>
          <w:szCs w:val="21"/>
          <w:highlight w:val="none"/>
          <w:lang w:eastAsia="zh-CN"/>
        </w:rPr>
        <w:t>“扬州大学附属医院网”、“扬州大学网”、“江苏政府采购网”、“中国政府采购网”</w:t>
      </w:r>
      <w:r>
        <w:rPr>
          <w:rFonts w:hint="eastAsia" w:ascii="宋体" w:hAnsi="宋体"/>
          <w:color w:val="auto"/>
          <w:szCs w:val="21"/>
          <w:highlight w:val="none"/>
        </w:rPr>
        <w:t>发布中标公告，公告期限为1个工作日。</w:t>
      </w:r>
    </w:p>
    <w:p w14:paraId="5E55E4C9">
      <w:pPr>
        <w:spacing w:line="360" w:lineRule="auto"/>
        <w:ind w:firstLine="420"/>
        <w:rPr>
          <w:rFonts w:ascii="宋体" w:hAnsi="宋体"/>
          <w:color w:val="auto"/>
          <w:szCs w:val="21"/>
          <w:highlight w:val="none"/>
        </w:rPr>
      </w:pPr>
      <w:r>
        <w:rPr>
          <w:rFonts w:hint="eastAsia" w:ascii="宋体" w:hAnsi="宋体"/>
          <w:color w:val="auto"/>
          <w:szCs w:val="21"/>
          <w:highlight w:val="none"/>
        </w:rPr>
        <w:t>29.4若有充分证据证明，中标人出现下列情况之一的，一经查实，将被取消中标资格：</w:t>
      </w:r>
    </w:p>
    <w:p w14:paraId="20722BA9">
      <w:pPr>
        <w:spacing w:line="360" w:lineRule="auto"/>
        <w:ind w:firstLine="420"/>
        <w:rPr>
          <w:rFonts w:ascii="宋体" w:hAnsi="宋体"/>
          <w:color w:val="auto"/>
          <w:szCs w:val="21"/>
          <w:highlight w:val="none"/>
        </w:rPr>
      </w:pPr>
      <w:r>
        <w:rPr>
          <w:rFonts w:hint="eastAsia" w:ascii="宋体" w:hAnsi="宋体"/>
          <w:color w:val="auto"/>
          <w:szCs w:val="21"/>
          <w:highlight w:val="none"/>
        </w:rPr>
        <w:t>29.4.1提供虚假材料谋取中标的；</w:t>
      </w:r>
    </w:p>
    <w:p w14:paraId="6DFF3F4B">
      <w:pPr>
        <w:spacing w:line="360" w:lineRule="auto"/>
        <w:ind w:firstLine="420"/>
        <w:rPr>
          <w:rFonts w:ascii="宋体" w:hAnsi="宋体"/>
          <w:color w:val="auto"/>
          <w:szCs w:val="21"/>
          <w:highlight w:val="none"/>
        </w:rPr>
      </w:pPr>
      <w:r>
        <w:rPr>
          <w:rFonts w:hint="eastAsia" w:ascii="宋体" w:hAnsi="宋体"/>
          <w:color w:val="auto"/>
          <w:szCs w:val="21"/>
          <w:highlight w:val="none"/>
        </w:rPr>
        <w:t>29.4.2向采购人、代理机构行贿或者提供其他不正当利益的；</w:t>
      </w:r>
    </w:p>
    <w:p w14:paraId="7EEB4298">
      <w:pPr>
        <w:spacing w:line="360" w:lineRule="auto"/>
        <w:ind w:firstLine="420"/>
        <w:rPr>
          <w:rFonts w:ascii="宋体" w:hAnsi="宋体"/>
          <w:color w:val="auto"/>
          <w:szCs w:val="21"/>
          <w:highlight w:val="none"/>
        </w:rPr>
      </w:pPr>
      <w:r>
        <w:rPr>
          <w:rFonts w:hint="eastAsia" w:ascii="宋体" w:hAnsi="宋体"/>
          <w:color w:val="auto"/>
          <w:szCs w:val="21"/>
          <w:highlight w:val="none"/>
        </w:rPr>
        <w:t>29.4.3恶意竞争，投标总报价明显低于其自身合理成本且又无法提供证明的；</w:t>
      </w:r>
    </w:p>
    <w:p w14:paraId="1CE4314E">
      <w:pPr>
        <w:spacing w:line="360" w:lineRule="auto"/>
        <w:ind w:firstLine="420"/>
        <w:rPr>
          <w:rFonts w:ascii="宋体" w:hAnsi="宋体"/>
          <w:color w:val="auto"/>
          <w:szCs w:val="21"/>
          <w:highlight w:val="none"/>
        </w:rPr>
      </w:pPr>
      <w:r>
        <w:rPr>
          <w:rFonts w:hint="eastAsia" w:ascii="宋体" w:hAnsi="宋体"/>
          <w:color w:val="auto"/>
          <w:szCs w:val="21"/>
          <w:highlight w:val="none"/>
        </w:rPr>
        <w:t>29.4.4属于本文件规定的无效条件，但在评标过程中又未被评委会发现的；</w:t>
      </w:r>
    </w:p>
    <w:p w14:paraId="7B05D6D6">
      <w:pPr>
        <w:spacing w:line="360" w:lineRule="auto"/>
        <w:ind w:firstLine="420"/>
        <w:rPr>
          <w:rFonts w:ascii="宋体" w:hAnsi="宋体"/>
          <w:color w:val="auto"/>
          <w:szCs w:val="21"/>
          <w:highlight w:val="none"/>
        </w:rPr>
      </w:pPr>
      <w:r>
        <w:rPr>
          <w:rFonts w:hint="eastAsia" w:ascii="宋体" w:hAnsi="宋体"/>
          <w:color w:val="auto"/>
          <w:szCs w:val="21"/>
          <w:highlight w:val="none"/>
        </w:rPr>
        <w:t>29.4.5与采购人或者其他投标人串通投标的；</w:t>
      </w:r>
    </w:p>
    <w:p w14:paraId="7EF1A965">
      <w:pPr>
        <w:spacing w:line="360" w:lineRule="auto"/>
        <w:ind w:firstLine="420"/>
        <w:rPr>
          <w:rFonts w:ascii="宋体" w:hAnsi="宋体"/>
          <w:color w:val="auto"/>
          <w:szCs w:val="21"/>
          <w:highlight w:val="none"/>
        </w:rPr>
      </w:pPr>
      <w:r>
        <w:rPr>
          <w:rFonts w:hint="eastAsia" w:ascii="宋体" w:hAnsi="宋体"/>
          <w:color w:val="auto"/>
          <w:szCs w:val="21"/>
          <w:highlight w:val="none"/>
        </w:rPr>
        <w:t>29.4.6采取不正当手段诋毁、排挤其他投标人的；</w:t>
      </w:r>
    </w:p>
    <w:p w14:paraId="68E09FA1">
      <w:pPr>
        <w:spacing w:line="360" w:lineRule="auto"/>
        <w:ind w:firstLine="420"/>
        <w:rPr>
          <w:rFonts w:ascii="宋体" w:hAnsi="宋体"/>
          <w:color w:val="auto"/>
          <w:szCs w:val="21"/>
          <w:highlight w:val="none"/>
        </w:rPr>
      </w:pPr>
      <w:r>
        <w:rPr>
          <w:rFonts w:hint="eastAsia" w:ascii="宋体" w:hAnsi="宋体"/>
          <w:color w:val="auto"/>
          <w:szCs w:val="21"/>
          <w:highlight w:val="none"/>
        </w:rPr>
        <w:t>29.4.7不符合法律、法规的规定的。</w:t>
      </w:r>
      <w:bookmarkStart w:id="118" w:name="_Toc200451960"/>
    </w:p>
    <w:p w14:paraId="57CC0452">
      <w:pPr>
        <w:spacing w:line="360" w:lineRule="auto"/>
        <w:ind w:firstLine="420"/>
        <w:rPr>
          <w:rFonts w:ascii="宋体" w:hAnsi="宋体"/>
          <w:color w:val="auto"/>
          <w:szCs w:val="21"/>
          <w:highlight w:val="none"/>
        </w:rPr>
      </w:pPr>
      <w:r>
        <w:rPr>
          <w:rFonts w:hint="eastAsia" w:ascii="宋体" w:hAnsi="宋体"/>
          <w:color w:val="auto"/>
          <w:szCs w:val="21"/>
          <w:highlight w:val="none"/>
        </w:rPr>
        <w:t>29.5.</w:t>
      </w:r>
      <w:r>
        <w:rPr>
          <w:rFonts w:ascii="宋体" w:hAnsi="宋体"/>
          <w:color w:val="auto"/>
          <w:szCs w:val="21"/>
          <w:highlight w:val="none"/>
        </w:rPr>
        <w:t xml:space="preserve"> </w:t>
      </w:r>
      <w:r>
        <w:rPr>
          <w:rFonts w:hint="eastAsia" w:ascii="宋体" w:hAnsi="宋体"/>
          <w:color w:val="auto"/>
          <w:szCs w:val="21"/>
          <w:highlight w:val="none"/>
        </w:rPr>
        <w:t>有下列情形之一的，视为投标人串通投标，投标无效：</w:t>
      </w:r>
    </w:p>
    <w:p w14:paraId="18A87ADD">
      <w:pPr>
        <w:spacing w:line="360" w:lineRule="auto"/>
        <w:ind w:firstLine="420"/>
        <w:rPr>
          <w:rFonts w:ascii="宋体" w:hAnsi="宋体"/>
          <w:color w:val="auto"/>
          <w:szCs w:val="21"/>
          <w:highlight w:val="none"/>
        </w:rPr>
      </w:pPr>
      <w:r>
        <w:rPr>
          <w:rFonts w:hint="eastAsia" w:ascii="宋体" w:hAnsi="宋体"/>
          <w:color w:val="auto"/>
          <w:szCs w:val="21"/>
          <w:highlight w:val="none"/>
        </w:rPr>
        <w:t>29.5.1不同投标人的投标文件由同一单位或者个人编制。</w:t>
      </w:r>
    </w:p>
    <w:p w14:paraId="1C30F57F">
      <w:pPr>
        <w:spacing w:line="360" w:lineRule="auto"/>
        <w:ind w:firstLine="420"/>
        <w:rPr>
          <w:rFonts w:ascii="宋体" w:hAnsi="宋体"/>
          <w:color w:val="auto"/>
          <w:szCs w:val="21"/>
          <w:highlight w:val="none"/>
        </w:rPr>
      </w:pPr>
      <w:r>
        <w:rPr>
          <w:rFonts w:hint="eastAsia" w:ascii="宋体" w:hAnsi="宋体"/>
          <w:color w:val="auto"/>
          <w:szCs w:val="21"/>
          <w:highlight w:val="none"/>
        </w:rPr>
        <w:t>29.5.2不同投标人委托同一单位或者个人办理投标事宜。</w:t>
      </w:r>
    </w:p>
    <w:p w14:paraId="76E8DDF0">
      <w:pPr>
        <w:spacing w:line="360" w:lineRule="auto"/>
        <w:ind w:firstLine="420"/>
        <w:rPr>
          <w:rFonts w:ascii="宋体" w:hAnsi="宋体"/>
          <w:color w:val="auto"/>
          <w:szCs w:val="21"/>
          <w:highlight w:val="none"/>
        </w:rPr>
      </w:pPr>
      <w:r>
        <w:rPr>
          <w:rFonts w:hint="eastAsia" w:ascii="宋体" w:hAnsi="宋体"/>
          <w:color w:val="auto"/>
          <w:szCs w:val="21"/>
          <w:highlight w:val="none"/>
        </w:rPr>
        <w:t>29.5.3 不同投标人的投标文件载明的项目管理成员或者联系人员为同一人。</w:t>
      </w:r>
    </w:p>
    <w:p w14:paraId="6E224AA6">
      <w:pPr>
        <w:spacing w:line="360" w:lineRule="auto"/>
        <w:ind w:firstLine="420"/>
        <w:rPr>
          <w:rFonts w:ascii="宋体" w:hAnsi="宋体"/>
          <w:color w:val="auto"/>
          <w:szCs w:val="21"/>
          <w:highlight w:val="none"/>
        </w:rPr>
      </w:pPr>
      <w:r>
        <w:rPr>
          <w:rFonts w:hint="eastAsia" w:ascii="宋体" w:hAnsi="宋体"/>
          <w:color w:val="auto"/>
          <w:szCs w:val="21"/>
          <w:highlight w:val="none"/>
        </w:rPr>
        <w:t>29.5.4不同投标人的投标文件异常一致或者投标报价呈规律性差异。</w:t>
      </w:r>
    </w:p>
    <w:p w14:paraId="1FFB2A50">
      <w:pPr>
        <w:spacing w:line="360" w:lineRule="auto"/>
        <w:ind w:firstLine="420"/>
        <w:rPr>
          <w:rFonts w:ascii="宋体" w:hAnsi="宋体"/>
          <w:color w:val="auto"/>
          <w:szCs w:val="21"/>
          <w:highlight w:val="none"/>
        </w:rPr>
      </w:pPr>
      <w:r>
        <w:rPr>
          <w:rFonts w:hint="eastAsia" w:ascii="宋体" w:hAnsi="宋体"/>
          <w:color w:val="auto"/>
          <w:szCs w:val="21"/>
          <w:highlight w:val="none"/>
        </w:rPr>
        <w:t>29.5.5不同投标人的投标文件相互混装。</w:t>
      </w:r>
    </w:p>
    <w:p w14:paraId="68CEB483">
      <w:pPr>
        <w:pStyle w:val="5"/>
        <w:spacing w:before="0" w:after="0"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30、质疑处理</w:t>
      </w:r>
      <w:bookmarkEnd w:id="118"/>
    </w:p>
    <w:p w14:paraId="59978F92">
      <w:pPr>
        <w:spacing w:line="360" w:lineRule="auto"/>
        <w:ind w:firstLine="420"/>
        <w:rPr>
          <w:rFonts w:ascii="宋体" w:hAnsi="宋体"/>
          <w:color w:val="auto"/>
          <w:szCs w:val="21"/>
          <w:highlight w:val="none"/>
        </w:rPr>
      </w:pPr>
      <w:r>
        <w:rPr>
          <w:rFonts w:hint="eastAsia" w:ascii="宋体" w:hAnsi="宋体"/>
          <w:color w:val="auto"/>
          <w:szCs w:val="21"/>
          <w:highlight w:val="none"/>
        </w:rPr>
        <w:t>30.1投标人认为采购文件、采购过程和中标结果使自己的权益受到损害的，可以在知道或应知其权益受到损害之日起七个工作日内，以书面形式向代理机构或采购人提出质疑。上述应知其权益受到损害之日，是指：</w:t>
      </w:r>
    </w:p>
    <w:p w14:paraId="1723375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30.1.1对采购文件提出质疑的，应当在获取采购文件之日或者采购文件公告期限届满之日起7个工作日内提出。</w:t>
      </w:r>
    </w:p>
    <w:p w14:paraId="1CF4940D">
      <w:pPr>
        <w:spacing w:line="360" w:lineRule="auto"/>
        <w:rPr>
          <w:rFonts w:ascii="宋体" w:hAnsi="宋体" w:cs="宋体"/>
          <w:color w:val="auto"/>
          <w:szCs w:val="21"/>
          <w:highlight w:val="none"/>
        </w:rPr>
      </w:pPr>
      <w:r>
        <w:rPr>
          <w:rFonts w:hint="eastAsia" w:ascii="宋体" w:hAnsi="宋体" w:cs="宋体"/>
          <w:color w:val="auto"/>
          <w:szCs w:val="21"/>
          <w:highlight w:val="none"/>
        </w:rPr>
        <w:t>　　30.1.2对采购过程提出质疑的，为各采购程序环节结束之日起7个工作日内提出。</w:t>
      </w:r>
    </w:p>
    <w:p w14:paraId="0B1C3427">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30.1.3对中标结果提出质疑的，为中标结果公告期限届满之日起7个工作日内提出。</w:t>
      </w:r>
    </w:p>
    <w:p w14:paraId="38838D8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30.2投标人应在法定质疑期内一次性提出针对同一采购程序环节的质疑。质疑必须按《</w:t>
      </w:r>
      <w:r>
        <w:rPr>
          <w:rFonts w:hint="eastAsia" w:ascii="宋体" w:hAnsi="宋体" w:cs="宋体"/>
          <w:color w:val="auto"/>
          <w:szCs w:val="21"/>
          <w:highlight w:val="none"/>
          <w:lang w:val="en-US" w:eastAsia="zh-CN"/>
        </w:rPr>
        <w:t>中华人民共和国</w:t>
      </w:r>
      <w:r>
        <w:rPr>
          <w:rFonts w:hint="eastAsia" w:ascii="宋体" w:hAnsi="宋体" w:cs="宋体"/>
          <w:color w:val="auto"/>
          <w:szCs w:val="21"/>
          <w:highlight w:val="none"/>
        </w:rPr>
        <w:t>政府采购法》、《</w:t>
      </w:r>
      <w:r>
        <w:rPr>
          <w:rFonts w:hint="eastAsia" w:ascii="宋体" w:hAnsi="宋体" w:cs="宋体"/>
          <w:color w:val="auto"/>
          <w:szCs w:val="21"/>
          <w:highlight w:val="none"/>
          <w:lang w:val="en-US" w:eastAsia="zh-CN"/>
        </w:rPr>
        <w:t>中华人民共和国</w:t>
      </w:r>
      <w:r>
        <w:rPr>
          <w:rFonts w:hint="eastAsia" w:ascii="宋体" w:hAnsi="宋体" w:cs="宋体"/>
          <w:color w:val="auto"/>
          <w:szCs w:val="21"/>
          <w:highlight w:val="none"/>
        </w:rPr>
        <w:t>政府采购法实施条例》及《江苏省政府采购投标人监督管理暂行办法》等相关规定提交，未按上述要求提交的质疑函（含传真、电子邮件等）代理机构有权不</w:t>
      </w:r>
      <w:r>
        <w:rPr>
          <w:rFonts w:hint="eastAsia" w:ascii="宋体" w:hAnsi="宋体" w:cs="宋体"/>
          <w:color w:val="auto"/>
          <w:spacing w:val="-20"/>
          <w:szCs w:val="21"/>
          <w:highlight w:val="none"/>
        </w:rPr>
        <w:t>予受理。</w:t>
      </w:r>
    </w:p>
    <w:p w14:paraId="2C46474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30.3提出质疑的投标人应当是参与所质疑项目采购活动的投标人。</w:t>
      </w:r>
    </w:p>
    <w:p w14:paraId="4338EF9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潜在投标人已依法获取其可质疑的采购文件的，可以对该文件提出质疑。对采购文件提出质疑的，应当在获取采购文件或者采购文件公告期限届满之日起7个工作日内提出。</w:t>
      </w:r>
    </w:p>
    <w:p w14:paraId="276778C9">
      <w:pPr>
        <w:spacing w:line="360" w:lineRule="auto"/>
        <w:ind w:firstLine="409"/>
        <w:rPr>
          <w:rFonts w:ascii="宋体" w:hAnsi="宋体"/>
          <w:color w:val="auto"/>
          <w:szCs w:val="21"/>
          <w:highlight w:val="none"/>
        </w:rPr>
      </w:pPr>
      <w:r>
        <w:rPr>
          <w:rFonts w:hint="eastAsia" w:ascii="宋体" w:hAnsi="宋体"/>
          <w:color w:val="auto"/>
          <w:szCs w:val="21"/>
          <w:highlight w:val="none"/>
        </w:rPr>
        <w:t>30.4质疑申请应当包括下列内容：</w:t>
      </w:r>
    </w:p>
    <w:p w14:paraId="2A840F74">
      <w:pPr>
        <w:spacing w:line="360" w:lineRule="auto"/>
        <w:ind w:firstLine="409"/>
        <w:rPr>
          <w:rFonts w:ascii="宋体" w:hAnsi="宋体"/>
          <w:color w:val="auto"/>
          <w:szCs w:val="21"/>
          <w:highlight w:val="none"/>
        </w:rPr>
      </w:pPr>
      <w:r>
        <w:rPr>
          <w:rFonts w:hint="eastAsia" w:ascii="宋体" w:hAnsi="宋体"/>
          <w:color w:val="auto"/>
          <w:szCs w:val="21"/>
          <w:highlight w:val="none"/>
        </w:rPr>
        <w:t>30.4.1质疑投标人的名称、地址、邮编、联系人、联系电话；</w:t>
      </w:r>
    </w:p>
    <w:p w14:paraId="2894217F">
      <w:pPr>
        <w:spacing w:line="360" w:lineRule="auto"/>
        <w:ind w:firstLine="409"/>
        <w:rPr>
          <w:rFonts w:ascii="宋体" w:hAnsi="宋体"/>
          <w:color w:val="auto"/>
          <w:szCs w:val="21"/>
          <w:highlight w:val="none"/>
        </w:rPr>
      </w:pPr>
      <w:r>
        <w:rPr>
          <w:rFonts w:hint="eastAsia" w:ascii="宋体" w:hAnsi="宋体"/>
          <w:color w:val="auto"/>
          <w:szCs w:val="21"/>
          <w:highlight w:val="none"/>
        </w:rPr>
        <w:t>30.4.2具体的质疑事项及明确的请求；</w:t>
      </w:r>
    </w:p>
    <w:p w14:paraId="6745C7BF">
      <w:pPr>
        <w:spacing w:line="360" w:lineRule="auto"/>
        <w:ind w:firstLine="409"/>
        <w:rPr>
          <w:rFonts w:ascii="宋体" w:hAnsi="宋体"/>
          <w:color w:val="auto"/>
          <w:szCs w:val="21"/>
          <w:highlight w:val="none"/>
        </w:rPr>
      </w:pPr>
      <w:r>
        <w:rPr>
          <w:rFonts w:hint="eastAsia" w:ascii="宋体" w:hAnsi="宋体"/>
          <w:color w:val="auto"/>
          <w:szCs w:val="21"/>
          <w:highlight w:val="none"/>
        </w:rPr>
        <w:t>30.4.3认为自己合法权益受到损害或可能受到损害的相关证据材料；</w:t>
      </w:r>
    </w:p>
    <w:p w14:paraId="3745A665">
      <w:pPr>
        <w:spacing w:line="360" w:lineRule="auto"/>
        <w:ind w:firstLine="409"/>
        <w:rPr>
          <w:rFonts w:ascii="宋体" w:hAnsi="宋体"/>
          <w:color w:val="auto"/>
          <w:szCs w:val="21"/>
          <w:highlight w:val="none"/>
        </w:rPr>
      </w:pPr>
      <w:r>
        <w:rPr>
          <w:rFonts w:hint="eastAsia" w:ascii="宋体" w:hAnsi="宋体"/>
          <w:color w:val="auto"/>
          <w:szCs w:val="21"/>
          <w:highlight w:val="none"/>
        </w:rPr>
        <w:t>30.4.4提起质疑的日期；</w:t>
      </w:r>
    </w:p>
    <w:p w14:paraId="1AB6C024">
      <w:pPr>
        <w:spacing w:line="360" w:lineRule="auto"/>
        <w:ind w:firstLine="420"/>
        <w:rPr>
          <w:rFonts w:ascii="宋体" w:hAnsi="宋体"/>
          <w:color w:val="auto"/>
          <w:szCs w:val="21"/>
          <w:highlight w:val="none"/>
        </w:rPr>
      </w:pPr>
      <w:r>
        <w:rPr>
          <w:rFonts w:hint="eastAsia" w:ascii="宋体" w:hAnsi="宋体"/>
          <w:color w:val="auto"/>
          <w:szCs w:val="21"/>
          <w:highlight w:val="none"/>
        </w:rPr>
        <w:t>30.4.5质疑申请应当署名：质疑人为自然人的，应当由本人签字并附有效身份证</w:t>
      </w:r>
    </w:p>
    <w:p w14:paraId="449CE57E">
      <w:pPr>
        <w:spacing w:line="360" w:lineRule="auto"/>
        <w:rPr>
          <w:rFonts w:ascii="宋体" w:hAnsi="宋体"/>
          <w:color w:val="auto"/>
          <w:szCs w:val="21"/>
          <w:highlight w:val="none"/>
        </w:rPr>
      </w:pPr>
      <w:r>
        <w:rPr>
          <w:rFonts w:hint="eastAsia" w:ascii="宋体" w:hAnsi="宋体"/>
          <w:color w:val="auto"/>
          <w:szCs w:val="21"/>
          <w:highlight w:val="none"/>
        </w:rPr>
        <w:t>明；质疑人为法人或其他组织的，应当由法定代表人签字并加盖单位公章。质疑人委托代理质疑的，应当向代理机构提交授权委托书，并载明委托代理的具体权限和事项。</w:t>
      </w:r>
    </w:p>
    <w:p w14:paraId="20C08D3F">
      <w:pPr>
        <w:spacing w:line="360" w:lineRule="auto"/>
        <w:ind w:firstLine="420"/>
        <w:rPr>
          <w:rFonts w:ascii="宋体" w:hAnsi="宋体"/>
          <w:color w:val="auto"/>
          <w:szCs w:val="21"/>
          <w:highlight w:val="none"/>
        </w:rPr>
      </w:pPr>
      <w:r>
        <w:rPr>
          <w:rFonts w:hint="eastAsia" w:ascii="宋体" w:hAnsi="宋体"/>
          <w:color w:val="auto"/>
          <w:szCs w:val="21"/>
          <w:highlight w:val="none"/>
        </w:rPr>
        <w:t>《质疑申请书》及《授权委托书》格式见网址：</w:t>
      </w:r>
      <w:r>
        <w:rPr>
          <w:color w:val="auto"/>
          <w:highlight w:val="none"/>
        </w:rPr>
        <w:fldChar w:fldCharType="begin"/>
      </w:r>
      <w:r>
        <w:rPr>
          <w:color w:val="auto"/>
          <w:highlight w:val="none"/>
        </w:rPr>
        <w:instrText xml:space="preserve"> HYPERLINK "http://pan.baidu.com/s/1c1G12Cg" </w:instrText>
      </w:r>
      <w:r>
        <w:rPr>
          <w:color w:val="auto"/>
          <w:highlight w:val="none"/>
        </w:rPr>
        <w:fldChar w:fldCharType="separate"/>
      </w:r>
      <w:r>
        <w:rPr>
          <w:rFonts w:hint="eastAsia" w:ascii="宋体" w:hAnsi="宋体"/>
          <w:color w:val="auto"/>
          <w:szCs w:val="21"/>
          <w:highlight w:val="none"/>
        </w:rPr>
        <w:t>http://pan.baidu.com/s/1c1G12Cg</w:t>
      </w:r>
      <w:r>
        <w:rPr>
          <w:rFonts w:hint="eastAsia" w:ascii="宋体" w:hAnsi="宋体"/>
          <w:color w:val="auto"/>
          <w:szCs w:val="21"/>
          <w:highlight w:val="none"/>
        </w:rPr>
        <w:fldChar w:fldCharType="end"/>
      </w:r>
    </w:p>
    <w:p w14:paraId="27378430">
      <w:pPr>
        <w:spacing w:line="360" w:lineRule="auto"/>
        <w:ind w:firstLine="409"/>
        <w:rPr>
          <w:rFonts w:ascii="宋体" w:hAnsi="宋体"/>
          <w:color w:val="auto"/>
          <w:szCs w:val="21"/>
          <w:highlight w:val="none"/>
        </w:rPr>
      </w:pPr>
      <w:r>
        <w:rPr>
          <w:rFonts w:hint="eastAsia" w:ascii="宋体" w:hAnsi="宋体"/>
          <w:color w:val="auto"/>
          <w:szCs w:val="21"/>
          <w:highlight w:val="none"/>
        </w:rPr>
        <w:t>30.5代理机构收到质疑申请后，将对质疑的形式和内容进行审查，如质疑内容、格式不符合规定，代理机构将告知质疑人进行补正。</w:t>
      </w:r>
    </w:p>
    <w:p w14:paraId="6C51C6DC">
      <w:pPr>
        <w:spacing w:line="360" w:lineRule="auto"/>
        <w:ind w:firstLine="409"/>
        <w:rPr>
          <w:rFonts w:ascii="宋体" w:hAnsi="宋体"/>
          <w:color w:val="auto"/>
          <w:szCs w:val="21"/>
          <w:highlight w:val="none"/>
        </w:rPr>
      </w:pPr>
      <w:r>
        <w:rPr>
          <w:rFonts w:hint="eastAsia" w:ascii="宋体" w:hAnsi="宋体"/>
          <w:color w:val="auto"/>
          <w:szCs w:val="21"/>
          <w:highlight w:val="none"/>
        </w:rPr>
        <w:t>30.6质疑人应当在法定质疑期限内进行补正并重新提交质疑函，拒不补正或者在法定期限内未重新提交质疑函的，为无效质疑，代理机构有权不予受理。</w:t>
      </w:r>
    </w:p>
    <w:p w14:paraId="2846909A">
      <w:pPr>
        <w:spacing w:line="360" w:lineRule="auto"/>
        <w:ind w:firstLine="409"/>
        <w:rPr>
          <w:rFonts w:ascii="宋体" w:hAnsi="宋体"/>
          <w:color w:val="auto"/>
          <w:szCs w:val="21"/>
          <w:highlight w:val="none"/>
        </w:rPr>
      </w:pPr>
      <w:r>
        <w:rPr>
          <w:rFonts w:hint="eastAsia" w:ascii="宋体" w:hAnsi="宋体"/>
          <w:color w:val="auto"/>
          <w:szCs w:val="21"/>
          <w:highlight w:val="none"/>
        </w:rPr>
        <w:t>30.7对于内容、格式符合规定的质疑函，代理机构应当在收到投标投标人的书面质疑后七个工作日内作出答复，并以书面形式通知质疑投标人和其他有关投标人，但答复的内容不得涉及商业秘密。</w:t>
      </w:r>
    </w:p>
    <w:p w14:paraId="70C26091">
      <w:pPr>
        <w:spacing w:line="360" w:lineRule="auto"/>
        <w:ind w:firstLine="409"/>
        <w:rPr>
          <w:rFonts w:ascii="宋体" w:hAnsi="宋体"/>
          <w:color w:val="auto"/>
          <w:szCs w:val="21"/>
          <w:highlight w:val="none"/>
        </w:rPr>
      </w:pPr>
      <w:r>
        <w:rPr>
          <w:rFonts w:hint="eastAsia" w:ascii="宋体" w:hAnsi="宋体"/>
          <w:color w:val="auto"/>
          <w:szCs w:val="21"/>
          <w:highlight w:val="none"/>
        </w:rPr>
        <w:t>30.8 诚实信用</w:t>
      </w:r>
    </w:p>
    <w:p w14:paraId="676AA818">
      <w:pPr>
        <w:spacing w:line="360" w:lineRule="auto"/>
        <w:ind w:firstLine="409"/>
        <w:rPr>
          <w:rFonts w:ascii="宋体" w:hAnsi="宋体"/>
          <w:color w:val="auto"/>
          <w:szCs w:val="21"/>
          <w:highlight w:val="none"/>
        </w:rPr>
      </w:pPr>
      <w:r>
        <w:rPr>
          <w:rFonts w:hint="eastAsia" w:ascii="宋体" w:hAnsi="宋体"/>
          <w:color w:val="auto"/>
          <w:szCs w:val="21"/>
          <w:highlight w:val="none"/>
        </w:rPr>
        <w:t>30.8.1 投标人之间不得相互串通投标报价，不得妨碍其他投标人的公平竞争，不得损害采购人和其他投标人的合法权益。</w:t>
      </w:r>
    </w:p>
    <w:p w14:paraId="6BCD5C7E">
      <w:pPr>
        <w:spacing w:line="360" w:lineRule="auto"/>
        <w:ind w:firstLine="409"/>
        <w:rPr>
          <w:rFonts w:ascii="宋体" w:hAnsi="宋体"/>
          <w:color w:val="auto"/>
          <w:szCs w:val="21"/>
          <w:highlight w:val="none"/>
        </w:rPr>
      </w:pPr>
      <w:r>
        <w:rPr>
          <w:rFonts w:hint="eastAsia" w:ascii="宋体" w:hAnsi="宋体"/>
          <w:color w:val="auto"/>
          <w:szCs w:val="21"/>
          <w:highlight w:val="none"/>
        </w:rPr>
        <w:t>30.8.2 投标人不得以向代理机构工作人员、评标委员会成员行贿或者采取其他不正当手段谋取中标。经查实投标人有此行为的，政府采购管理部门将投标人列入不良行为记录名单，按照《</w:t>
      </w:r>
      <w:r>
        <w:rPr>
          <w:rFonts w:hint="eastAsia" w:ascii="宋体" w:hAnsi="宋体"/>
          <w:color w:val="auto"/>
          <w:szCs w:val="21"/>
          <w:highlight w:val="none"/>
          <w:lang w:val="en-US" w:eastAsia="zh-CN"/>
        </w:rPr>
        <w:t>中华人民共和国</w:t>
      </w:r>
      <w:r>
        <w:rPr>
          <w:rFonts w:hint="eastAsia" w:ascii="宋体" w:hAnsi="宋体"/>
          <w:color w:val="auto"/>
          <w:szCs w:val="21"/>
          <w:highlight w:val="none"/>
        </w:rPr>
        <w:t>政府采购法》有关规定处理。</w:t>
      </w:r>
    </w:p>
    <w:p w14:paraId="63243325">
      <w:pPr>
        <w:spacing w:line="360" w:lineRule="auto"/>
        <w:ind w:firstLine="409"/>
        <w:rPr>
          <w:rFonts w:ascii="宋体" w:hAnsi="宋体"/>
          <w:color w:val="auto"/>
          <w:szCs w:val="21"/>
          <w:highlight w:val="none"/>
        </w:rPr>
      </w:pPr>
      <w:r>
        <w:rPr>
          <w:rFonts w:hint="eastAsia" w:ascii="宋体" w:hAnsi="宋体"/>
          <w:color w:val="auto"/>
          <w:szCs w:val="21"/>
          <w:highlight w:val="none"/>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555A07FC">
      <w:pPr>
        <w:spacing w:line="360" w:lineRule="auto"/>
        <w:ind w:firstLine="409"/>
        <w:rPr>
          <w:rFonts w:ascii="宋体" w:hAnsi="宋体"/>
          <w:color w:val="auto"/>
          <w:szCs w:val="21"/>
          <w:highlight w:val="none"/>
        </w:rPr>
      </w:pPr>
      <w:r>
        <w:rPr>
          <w:rFonts w:hint="eastAsia" w:ascii="宋体" w:hAnsi="宋体"/>
          <w:color w:val="auto"/>
          <w:szCs w:val="21"/>
          <w:highlight w:val="none"/>
        </w:rPr>
        <w:t>30.8.4 投标人不得虚假承诺，否则，按照提供虚假材料谋取中标中标处理。</w:t>
      </w:r>
    </w:p>
    <w:p w14:paraId="2644ED1B">
      <w:pPr>
        <w:spacing w:line="360" w:lineRule="auto"/>
        <w:ind w:firstLine="409"/>
        <w:rPr>
          <w:rFonts w:ascii="宋体" w:hAnsi="宋体"/>
          <w:color w:val="auto"/>
          <w:szCs w:val="21"/>
          <w:highlight w:val="none"/>
        </w:rPr>
      </w:pPr>
      <w:r>
        <w:rPr>
          <w:rFonts w:hint="eastAsia" w:ascii="宋体" w:hAnsi="宋体"/>
          <w:color w:val="auto"/>
          <w:szCs w:val="21"/>
          <w:highlight w:val="none"/>
        </w:rPr>
        <w:t>30.8．5 投标人应自觉遵守开标、评标纪律，扰乱开标评标现场秩序的，属于失信行为，根据《江苏省政府采购投标人监督管理暂行办法》，失信行为将被记入投标人诚信档案。</w:t>
      </w:r>
    </w:p>
    <w:p w14:paraId="03ED2620">
      <w:pPr>
        <w:pStyle w:val="5"/>
        <w:spacing w:before="0" w:after="0" w:line="360" w:lineRule="auto"/>
        <w:ind w:firstLine="527"/>
        <w:rPr>
          <w:rFonts w:ascii="宋体" w:hAnsi="宋体" w:eastAsia="宋体"/>
          <w:b w:val="0"/>
          <w:color w:val="auto"/>
          <w:sz w:val="21"/>
          <w:szCs w:val="21"/>
          <w:highlight w:val="none"/>
        </w:rPr>
      </w:pPr>
      <w:r>
        <w:rPr>
          <w:rFonts w:hint="eastAsia" w:ascii="宋体" w:hAnsi="宋体" w:eastAsia="宋体"/>
          <w:color w:val="auto"/>
          <w:sz w:val="21"/>
          <w:szCs w:val="21"/>
          <w:highlight w:val="none"/>
        </w:rPr>
        <w:t>31、中标通知书</w:t>
      </w:r>
    </w:p>
    <w:p w14:paraId="520B4B4B">
      <w:pPr>
        <w:spacing w:line="360" w:lineRule="auto"/>
        <w:ind w:firstLine="525"/>
        <w:rPr>
          <w:rFonts w:ascii="宋体" w:hAnsi="宋体"/>
          <w:color w:val="auto"/>
          <w:szCs w:val="21"/>
          <w:highlight w:val="none"/>
        </w:rPr>
      </w:pPr>
      <w:r>
        <w:rPr>
          <w:rFonts w:hint="eastAsia" w:ascii="宋体" w:hAnsi="宋体"/>
          <w:color w:val="auto"/>
          <w:szCs w:val="21"/>
          <w:highlight w:val="none"/>
        </w:rPr>
        <w:t>31.l</w:t>
      </w:r>
      <w:r>
        <w:rPr>
          <w:rFonts w:hint="eastAsia" w:ascii="宋体" w:hAnsi="宋体"/>
          <w:b/>
          <w:color w:val="auto"/>
          <w:szCs w:val="21"/>
          <w:highlight w:val="none"/>
        </w:rPr>
        <w:t xml:space="preserve"> </w:t>
      </w:r>
      <w:r>
        <w:rPr>
          <w:rFonts w:hint="eastAsia" w:ascii="宋体" w:hAnsi="宋体"/>
          <w:color w:val="auto"/>
          <w:szCs w:val="21"/>
          <w:highlight w:val="none"/>
        </w:rPr>
        <w:t>中标结果确定后，代理机构将向</w:t>
      </w:r>
      <w:r>
        <w:rPr>
          <w:rFonts w:hint="eastAsia" w:ascii="宋体" w:hAnsi="宋体"/>
          <w:color w:val="auto"/>
          <w:szCs w:val="21"/>
          <w:highlight w:val="none"/>
          <w:lang w:eastAsia="zh-CN"/>
        </w:rPr>
        <w:t>中标供应商</w:t>
      </w:r>
      <w:r>
        <w:rPr>
          <w:rFonts w:hint="eastAsia" w:ascii="宋体" w:hAnsi="宋体"/>
          <w:color w:val="auto"/>
          <w:szCs w:val="21"/>
          <w:highlight w:val="none"/>
        </w:rPr>
        <w:t>发出中标通知书。</w:t>
      </w:r>
    </w:p>
    <w:p w14:paraId="385B1149">
      <w:pPr>
        <w:spacing w:line="360" w:lineRule="auto"/>
        <w:ind w:firstLine="525"/>
        <w:rPr>
          <w:rFonts w:ascii="宋体" w:hAnsi="宋体"/>
          <w:color w:val="auto"/>
          <w:szCs w:val="21"/>
          <w:highlight w:val="none"/>
        </w:rPr>
      </w:pPr>
      <w:r>
        <w:rPr>
          <w:rFonts w:hint="eastAsia" w:ascii="宋体" w:hAnsi="宋体"/>
          <w:color w:val="auto"/>
          <w:szCs w:val="21"/>
          <w:highlight w:val="none"/>
        </w:rPr>
        <w:t xml:space="preserve">31.2 </w:t>
      </w:r>
      <w:r>
        <w:rPr>
          <w:rFonts w:hint="eastAsia" w:ascii="宋体" w:hAnsi="宋体"/>
          <w:color w:val="auto"/>
          <w:szCs w:val="21"/>
          <w:highlight w:val="none"/>
          <w:lang w:eastAsia="zh-CN"/>
        </w:rPr>
        <w:t>中标供应商</w:t>
      </w:r>
      <w:r>
        <w:rPr>
          <w:rFonts w:hint="eastAsia" w:ascii="宋体" w:hAnsi="宋体"/>
          <w:color w:val="auto"/>
          <w:szCs w:val="21"/>
          <w:highlight w:val="none"/>
        </w:rPr>
        <w:t>收到中标通知书后，应签字确认中标通知书已收到。若无回复，则公告后视同</w:t>
      </w:r>
      <w:r>
        <w:rPr>
          <w:rFonts w:hint="eastAsia" w:ascii="宋体" w:hAnsi="宋体"/>
          <w:color w:val="auto"/>
          <w:szCs w:val="21"/>
          <w:highlight w:val="none"/>
          <w:lang w:eastAsia="zh-CN"/>
        </w:rPr>
        <w:t>中标供应商</w:t>
      </w:r>
      <w:r>
        <w:rPr>
          <w:rFonts w:hint="eastAsia" w:ascii="宋体" w:hAnsi="宋体"/>
          <w:color w:val="auto"/>
          <w:szCs w:val="21"/>
          <w:highlight w:val="none"/>
        </w:rPr>
        <w:t>已经知悉并同意接受。</w:t>
      </w:r>
    </w:p>
    <w:p w14:paraId="6CE1EE3E">
      <w:pPr>
        <w:spacing w:line="360" w:lineRule="auto"/>
        <w:ind w:firstLine="525"/>
        <w:rPr>
          <w:rFonts w:ascii="宋体" w:hAnsi="宋体"/>
          <w:color w:val="auto"/>
          <w:szCs w:val="21"/>
          <w:highlight w:val="none"/>
        </w:rPr>
      </w:pPr>
      <w:r>
        <w:rPr>
          <w:rFonts w:hint="eastAsia" w:ascii="宋体" w:hAnsi="宋体"/>
          <w:color w:val="auto"/>
          <w:szCs w:val="21"/>
          <w:highlight w:val="none"/>
        </w:rPr>
        <w:t>31.3中标通知书将是合同的一个组成部分。对采购人和</w:t>
      </w:r>
      <w:r>
        <w:rPr>
          <w:rFonts w:hint="eastAsia" w:ascii="宋体" w:hAnsi="宋体"/>
          <w:color w:val="auto"/>
          <w:szCs w:val="21"/>
          <w:highlight w:val="none"/>
          <w:lang w:eastAsia="zh-CN"/>
        </w:rPr>
        <w:t>中标供应商</w:t>
      </w:r>
      <w:r>
        <w:rPr>
          <w:rFonts w:hint="eastAsia" w:ascii="宋体" w:hAnsi="宋体"/>
          <w:color w:val="auto"/>
          <w:szCs w:val="21"/>
          <w:highlight w:val="none"/>
        </w:rPr>
        <w:t>均具有法律效力。中标通知书发出后，采购人改变中标结果的，或者</w:t>
      </w:r>
      <w:r>
        <w:rPr>
          <w:rFonts w:hint="eastAsia" w:ascii="宋体" w:hAnsi="宋体"/>
          <w:color w:val="auto"/>
          <w:szCs w:val="21"/>
          <w:highlight w:val="none"/>
          <w:lang w:eastAsia="zh-CN"/>
        </w:rPr>
        <w:t>中标供应商</w:t>
      </w:r>
      <w:r>
        <w:rPr>
          <w:rFonts w:hint="eastAsia" w:ascii="宋体" w:hAnsi="宋体"/>
          <w:color w:val="auto"/>
          <w:szCs w:val="21"/>
          <w:highlight w:val="none"/>
        </w:rPr>
        <w:t>放弃中标项目的，应当依法承担法律责任。</w:t>
      </w:r>
    </w:p>
    <w:p w14:paraId="20F82E49">
      <w:pPr>
        <w:spacing w:line="360" w:lineRule="auto"/>
        <w:ind w:firstLine="525"/>
        <w:rPr>
          <w:rFonts w:ascii="宋体" w:hAnsi="宋体"/>
          <w:color w:val="auto"/>
          <w:szCs w:val="21"/>
          <w:highlight w:val="none"/>
        </w:rPr>
      </w:pPr>
      <w:r>
        <w:rPr>
          <w:rFonts w:hint="eastAsia" w:ascii="宋体" w:hAnsi="宋体"/>
          <w:color w:val="auto"/>
          <w:szCs w:val="21"/>
          <w:highlight w:val="none"/>
        </w:rPr>
        <w:t>31.4所有投标文件都将作为档案保存，不论中标与否，代理机构均不退回。</w:t>
      </w:r>
    </w:p>
    <w:p w14:paraId="1638BD6A">
      <w:pPr>
        <w:pStyle w:val="5"/>
        <w:spacing w:before="0" w:after="0" w:line="360" w:lineRule="auto"/>
        <w:ind w:firstLine="527"/>
        <w:rPr>
          <w:rFonts w:ascii="宋体" w:hAnsi="宋体" w:eastAsia="宋体"/>
          <w:color w:val="auto"/>
          <w:sz w:val="21"/>
          <w:szCs w:val="21"/>
          <w:highlight w:val="none"/>
        </w:rPr>
      </w:pPr>
      <w:r>
        <w:rPr>
          <w:rFonts w:hint="eastAsia" w:ascii="宋体" w:hAnsi="宋体" w:eastAsia="宋体"/>
          <w:color w:val="auto"/>
          <w:sz w:val="21"/>
          <w:szCs w:val="21"/>
          <w:highlight w:val="none"/>
        </w:rPr>
        <w:t>32、</w:t>
      </w:r>
      <w:r>
        <w:rPr>
          <w:rFonts w:hint="eastAsia" w:ascii="宋体" w:hAnsi="宋体" w:eastAsia="宋体"/>
          <w:b w:val="0"/>
          <w:color w:val="auto"/>
          <w:sz w:val="21"/>
          <w:szCs w:val="21"/>
          <w:highlight w:val="none"/>
        </w:rPr>
        <w:t xml:space="preserve"> </w:t>
      </w:r>
      <w:r>
        <w:rPr>
          <w:rFonts w:hint="eastAsia" w:ascii="宋体" w:hAnsi="宋体" w:eastAsia="宋体"/>
          <w:color w:val="auto"/>
          <w:sz w:val="21"/>
          <w:szCs w:val="21"/>
          <w:highlight w:val="none"/>
        </w:rPr>
        <w:t>签订合同</w:t>
      </w:r>
    </w:p>
    <w:p w14:paraId="17FDC87C">
      <w:pPr>
        <w:spacing w:line="360" w:lineRule="auto"/>
        <w:ind w:firstLine="525"/>
        <w:rPr>
          <w:rFonts w:ascii="宋体" w:hAnsi="宋体"/>
          <w:color w:val="auto"/>
          <w:szCs w:val="21"/>
          <w:highlight w:val="none"/>
        </w:rPr>
      </w:pPr>
      <w:r>
        <w:rPr>
          <w:rFonts w:hint="eastAsia" w:ascii="宋体" w:hAnsi="宋体"/>
          <w:bCs/>
          <w:color w:val="auto"/>
          <w:szCs w:val="21"/>
          <w:highlight w:val="none"/>
        </w:rPr>
        <w:t>32</w:t>
      </w:r>
      <w:r>
        <w:rPr>
          <w:rFonts w:hint="eastAsia" w:ascii="宋体" w:hAnsi="宋体"/>
          <w:color w:val="auto"/>
          <w:szCs w:val="21"/>
          <w:highlight w:val="none"/>
        </w:rPr>
        <w:t>.l</w:t>
      </w:r>
      <w:r>
        <w:rPr>
          <w:rFonts w:hint="eastAsia" w:ascii="宋体" w:hAnsi="宋体" w:cs="宋体"/>
          <w:color w:val="auto"/>
          <w:szCs w:val="21"/>
          <w:highlight w:val="none"/>
        </w:rPr>
        <w:t>中标供应商</w:t>
      </w:r>
      <w:r>
        <w:rPr>
          <w:rFonts w:hint="eastAsia" w:ascii="宋体" w:hAnsi="宋体"/>
          <w:color w:val="auto"/>
          <w:szCs w:val="21"/>
          <w:highlight w:val="none"/>
        </w:rPr>
        <w:t>应按中标通知书规定的时间、地点,按照招标文件确定的事项与采购人签订政府采购合同，且不得迟于中标通知书发出之日起</w:t>
      </w:r>
      <w:r>
        <w:rPr>
          <w:rFonts w:hint="eastAsia" w:ascii="宋体" w:hAnsi="宋体" w:cs="宋体"/>
          <w:color w:val="auto"/>
          <w:szCs w:val="21"/>
          <w:highlight w:val="none"/>
          <w:lang w:val="en-US" w:eastAsia="zh-CN"/>
        </w:rPr>
        <w:t>三十</w:t>
      </w:r>
      <w:r>
        <w:rPr>
          <w:rFonts w:hint="eastAsia" w:ascii="宋体" w:hAnsi="宋体"/>
          <w:color w:val="auto"/>
          <w:szCs w:val="21"/>
          <w:highlight w:val="none"/>
        </w:rPr>
        <w:t>日，否则视为放弃，由此给采购人造成损失的，</w:t>
      </w:r>
      <w:r>
        <w:rPr>
          <w:rFonts w:hint="eastAsia" w:ascii="宋体" w:hAnsi="宋体"/>
          <w:color w:val="auto"/>
          <w:szCs w:val="21"/>
          <w:highlight w:val="none"/>
          <w:lang w:eastAsia="zh-CN"/>
        </w:rPr>
        <w:t>中标供应商</w:t>
      </w:r>
      <w:r>
        <w:rPr>
          <w:rFonts w:hint="eastAsia" w:ascii="宋体" w:hAnsi="宋体"/>
          <w:color w:val="auto"/>
          <w:szCs w:val="21"/>
          <w:highlight w:val="none"/>
        </w:rPr>
        <w:t>还应承担赔偿责任。</w:t>
      </w:r>
    </w:p>
    <w:p w14:paraId="250FE422">
      <w:pPr>
        <w:spacing w:line="360" w:lineRule="auto"/>
        <w:ind w:firstLine="525"/>
        <w:rPr>
          <w:rFonts w:ascii="宋体" w:hAnsi="宋体"/>
          <w:color w:val="auto"/>
          <w:szCs w:val="21"/>
          <w:highlight w:val="none"/>
        </w:rPr>
      </w:pPr>
      <w:r>
        <w:rPr>
          <w:rFonts w:hint="eastAsia" w:ascii="宋体" w:hAnsi="宋体"/>
          <w:color w:val="auto"/>
          <w:szCs w:val="21"/>
          <w:highlight w:val="none"/>
        </w:rPr>
        <w:t>32.2</w:t>
      </w:r>
      <w:r>
        <w:rPr>
          <w:rFonts w:hint="eastAsia" w:ascii="宋体" w:hAnsi="宋体"/>
          <w:b/>
          <w:color w:val="auto"/>
          <w:szCs w:val="21"/>
          <w:highlight w:val="none"/>
        </w:rPr>
        <w:t xml:space="preserve"> </w:t>
      </w:r>
      <w:r>
        <w:rPr>
          <w:rFonts w:hint="eastAsia" w:ascii="宋体" w:hAnsi="宋体"/>
          <w:color w:val="auto"/>
          <w:szCs w:val="21"/>
          <w:highlight w:val="none"/>
        </w:rPr>
        <w:t>招标文件、</w:t>
      </w:r>
      <w:r>
        <w:rPr>
          <w:rFonts w:hint="eastAsia" w:ascii="宋体" w:hAnsi="宋体" w:cs="宋体"/>
          <w:color w:val="auto"/>
          <w:szCs w:val="21"/>
          <w:highlight w:val="none"/>
        </w:rPr>
        <w:t>中标供应商</w:t>
      </w:r>
      <w:r>
        <w:rPr>
          <w:rFonts w:hint="eastAsia" w:ascii="宋体" w:hAnsi="宋体"/>
          <w:color w:val="auto"/>
          <w:szCs w:val="21"/>
          <w:highlight w:val="none"/>
        </w:rPr>
        <w:t>的投标文件及招标过程中有关澄清、承诺文件均应作为合同附件。</w:t>
      </w:r>
    </w:p>
    <w:p w14:paraId="7C8803D2">
      <w:pPr>
        <w:spacing w:line="360" w:lineRule="auto"/>
        <w:ind w:firstLine="525"/>
        <w:rPr>
          <w:rFonts w:ascii="宋体" w:hAnsi="宋体"/>
          <w:color w:val="auto"/>
          <w:szCs w:val="21"/>
          <w:highlight w:val="none"/>
        </w:rPr>
      </w:pPr>
      <w:r>
        <w:rPr>
          <w:rFonts w:hint="eastAsia" w:ascii="宋体" w:hAnsi="宋体"/>
          <w:color w:val="auto"/>
          <w:szCs w:val="21"/>
          <w:highlight w:val="none"/>
        </w:rPr>
        <w:t>32.3 签订合同后，</w:t>
      </w:r>
      <w:r>
        <w:rPr>
          <w:rFonts w:hint="eastAsia" w:ascii="宋体" w:hAnsi="宋体"/>
          <w:i/>
          <w:color w:val="auto"/>
          <w:szCs w:val="21"/>
          <w:highlight w:val="none"/>
          <w:u w:val="single"/>
          <w:lang w:eastAsia="zh-CN"/>
        </w:rPr>
        <w:t>中标供应商</w:t>
      </w:r>
      <w:r>
        <w:rPr>
          <w:rFonts w:hint="eastAsia" w:ascii="宋体" w:hAnsi="宋体"/>
          <w:i/>
          <w:color w:val="auto"/>
          <w:szCs w:val="21"/>
          <w:highlight w:val="none"/>
          <w:u w:val="single"/>
        </w:rPr>
        <w:t>不得将服务进行转包</w:t>
      </w:r>
      <w:r>
        <w:rPr>
          <w:rFonts w:hint="eastAsia" w:ascii="宋体" w:hAnsi="宋体"/>
          <w:color w:val="auto"/>
          <w:szCs w:val="21"/>
          <w:highlight w:val="none"/>
        </w:rPr>
        <w:t>。未经采购人同意，</w:t>
      </w:r>
      <w:r>
        <w:rPr>
          <w:rFonts w:hint="eastAsia" w:ascii="宋体" w:hAnsi="宋体"/>
          <w:color w:val="auto"/>
          <w:szCs w:val="21"/>
          <w:highlight w:val="none"/>
          <w:lang w:eastAsia="zh-CN"/>
        </w:rPr>
        <w:t>中标供应商</w:t>
      </w:r>
      <w:r>
        <w:rPr>
          <w:rFonts w:hint="eastAsia" w:ascii="宋体" w:hAnsi="宋体"/>
          <w:color w:val="auto"/>
          <w:szCs w:val="21"/>
          <w:highlight w:val="none"/>
        </w:rPr>
        <w:t>也不得采用分包的形式履行合同，否则采购人有权终止合同。转包或分包造成采购人损失或致使合同履行中发生违约现象的，</w:t>
      </w:r>
      <w:r>
        <w:rPr>
          <w:rFonts w:hint="eastAsia" w:ascii="宋体" w:hAnsi="宋体"/>
          <w:color w:val="auto"/>
          <w:szCs w:val="21"/>
          <w:highlight w:val="none"/>
          <w:lang w:eastAsia="zh-CN"/>
        </w:rPr>
        <w:t>中标供应商</w:t>
      </w:r>
      <w:r>
        <w:rPr>
          <w:rFonts w:hint="eastAsia" w:ascii="宋体" w:hAnsi="宋体"/>
          <w:color w:val="auto"/>
          <w:szCs w:val="21"/>
          <w:highlight w:val="none"/>
        </w:rPr>
        <w:t>应承担赔偿责任。</w:t>
      </w:r>
    </w:p>
    <w:p w14:paraId="18565412">
      <w:pPr>
        <w:spacing w:line="360" w:lineRule="auto"/>
        <w:ind w:firstLine="420"/>
        <w:rPr>
          <w:rFonts w:ascii="宋体" w:hAnsi="宋体"/>
          <w:color w:val="auto"/>
          <w:szCs w:val="21"/>
          <w:highlight w:val="none"/>
        </w:rPr>
      </w:pPr>
      <w:r>
        <w:rPr>
          <w:rFonts w:hint="eastAsia" w:ascii="宋体" w:hAnsi="宋体"/>
          <w:color w:val="auto"/>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14:paraId="0811439C">
      <w:pPr>
        <w:pStyle w:val="5"/>
        <w:spacing w:before="0" w:after="0" w:line="360" w:lineRule="auto"/>
        <w:ind w:firstLine="422"/>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33、服务的追加、减少和添购</w:t>
      </w:r>
    </w:p>
    <w:p w14:paraId="5E0BEF8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33.1政府采购合同履行中，采购人需追加与合同标的相同的服务的，在不改变合同其他条款的前提下，可以与中标供应商协商签订补充合同，但所有补充合同的采购金额不超过原合同金额10%。</w:t>
      </w:r>
    </w:p>
    <w:p w14:paraId="3AD4421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33.2采购结束后，采购人若由于各种客观原因，必须对采购项目所牵涉的服务进行适当的减少时，在双方协商一致的前提下，可以按照招标采购时的价格水平做相应的调减，并据此签订补充合同。</w:t>
      </w:r>
    </w:p>
    <w:p w14:paraId="11C8ECBA">
      <w:pPr>
        <w:spacing w:line="360" w:lineRule="auto"/>
        <w:ind w:firstLine="422"/>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34、履约保证金</w:t>
      </w:r>
      <w:bookmarkEnd w:id="109"/>
      <w:bookmarkEnd w:id="110"/>
      <w:bookmarkEnd w:id="111"/>
    </w:p>
    <w:p w14:paraId="151412A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本项目无履约保证金</w:t>
      </w:r>
    </w:p>
    <w:p w14:paraId="4F49F952">
      <w:pPr>
        <w:spacing w:line="360" w:lineRule="auto"/>
        <w:ind w:left="420" w:firstLine="0"/>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w:t>
      </w:r>
      <w:r>
        <w:rPr>
          <w:rFonts w:hint="eastAsia" w:ascii="宋体" w:hAnsi="宋体" w:cs="宋体"/>
          <w:b/>
          <w:bCs/>
          <w:color w:val="auto"/>
          <w:sz w:val="21"/>
          <w:szCs w:val="21"/>
          <w:highlight w:val="none"/>
          <w:lang w:val="en-US" w:eastAsia="zh-CN" w:bidi="ar-SA"/>
        </w:rPr>
        <w:t>5</w:t>
      </w:r>
      <w:r>
        <w:rPr>
          <w:rFonts w:hint="eastAsia" w:ascii="宋体" w:hAnsi="宋体" w:eastAsia="宋体" w:cs="宋体"/>
          <w:b/>
          <w:bCs/>
          <w:color w:val="auto"/>
          <w:sz w:val="21"/>
          <w:szCs w:val="21"/>
          <w:highlight w:val="none"/>
          <w:lang w:val="en-US" w:eastAsia="zh-CN" w:bidi="ar-SA"/>
        </w:rPr>
        <w:t>、其他</w:t>
      </w:r>
    </w:p>
    <w:p w14:paraId="34B85910">
      <w:pPr>
        <w:spacing w:line="360" w:lineRule="auto"/>
        <w:ind w:firstLine="420"/>
        <w:rPr>
          <w:rFonts w:ascii="宋体" w:hAnsi="宋体"/>
          <w:bCs/>
          <w:color w:val="auto"/>
          <w:szCs w:val="21"/>
          <w:highlight w:val="none"/>
        </w:rPr>
      </w:pPr>
      <w:r>
        <w:rPr>
          <w:rFonts w:hint="eastAsia"/>
          <w:color w:val="auto"/>
          <w:highlight w:val="none"/>
        </w:rPr>
        <w:t>依据《政府采购促进中小企业发展管理办法》享受享受扶持政策获得政府采购合同的，小微企业不得将合同分包给大中型企业，中型企业不得将合同分包给大型企业。</w:t>
      </w:r>
    </w:p>
    <w:p w14:paraId="0B8FAA2A">
      <w:pPr>
        <w:spacing w:line="360" w:lineRule="auto"/>
        <w:ind w:firstLine="420"/>
        <w:rPr>
          <w:rFonts w:hint="eastAsia" w:ascii="宋体" w:hAnsi="宋体"/>
          <w:color w:val="auto"/>
          <w:szCs w:val="21"/>
          <w:highlight w:val="none"/>
        </w:rPr>
      </w:pPr>
    </w:p>
    <w:p w14:paraId="5E9D8147">
      <w:pPr>
        <w:spacing w:line="360" w:lineRule="auto"/>
        <w:rPr>
          <w:rFonts w:ascii="宋体" w:hAnsi="宋体"/>
          <w:color w:val="auto"/>
          <w:szCs w:val="21"/>
          <w:highlight w:val="none"/>
        </w:rPr>
      </w:pPr>
    </w:p>
    <w:p w14:paraId="7908F5E0">
      <w:pPr>
        <w:rPr>
          <w:color w:val="auto"/>
          <w:highlight w:val="none"/>
        </w:rPr>
        <w:sectPr>
          <w:pgSz w:w="11906" w:h="16838"/>
          <w:pgMar w:top="1440" w:right="1800" w:bottom="1440" w:left="1800" w:header="851" w:footer="992" w:gutter="0"/>
          <w:cols w:space="720" w:num="1"/>
          <w:docGrid w:linePitch="360" w:charSpace="0"/>
        </w:sectPr>
      </w:pPr>
    </w:p>
    <w:p w14:paraId="7141639F">
      <w:pPr>
        <w:pStyle w:val="2"/>
        <w:jc w:val="center"/>
        <w:rPr>
          <w:rFonts w:ascii="宋体" w:hAnsi="宋体"/>
          <w:color w:val="auto"/>
          <w:sz w:val="36"/>
          <w:highlight w:val="none"/>
        </w:rPr>
      </w:pPr>
      <w:bookmarkStart w:id="119" w:name="_Toc497133092"/>
      <w:r>
        <w:rPr>
          <w:rFonts w:hint="eastAsia" w:ascii="宋体" w:hAnsi="宋体"/>
          <w:color w:val="auto"/>
          <w:sz w:val="36"/>
          <w:highlight w:val="none"/>
        </w:rPr>
        <w:t>第三章 合同条款及格式</w:t>
      </w:r>
      <w:bookmarkEnd w:id="119"/>
    </w:p>
    <w:p w14:paraId="24786673">
      <w:pPr>
        <w:pStyle w:val="21"/>
        <w:spacing w:before="120" w:after="120" w:line="360" w:lineRule="auto"/>
        <w:ind w:firstLine="422"/>
        <w:jc w:val="center"/>
        <w:rPr>
          <w:rFonts w:hAnsi="宋体"/>
          <w:b/>
          <w:bCs/>
          <w:color w:val="auto"/>
          <w:sz w:val="21"/>
          <w:highlight w:val="none"/>
        </w:rPr>
      </w:pPr>
      <w:bookmarkStart w:id="120" w:name="_Hlt16619369"/>
      <w:bookmarkEnd w:id="120"/>
      <w:r>
        <w:rPr>
          <w:rFonts w:hint="eastAsia" w:hAnsi="宋体"/>
          <w:b/>
          <w:bCs/>
          <w:color w:val="auto"/>
          <w:sz w:val="21"/>
          <w:highlight w:val="none"/>
        </w:rPr>
        <w:t>政府采购合同（服务)（合同编号）</w:t>
      </w:r>
    </w:p>
    <w:p w14:paraId="05DE1A19">
      <w:pPr>
        <w:pStyle w:val="21"/>
        <w:spacing w:before="120" w:after="120" w:line="360" w:lineRule="auto"/>
        <w:ind w:firstLine="420"/>
        <w:rPr>
          <w:rFonts w:hint="eastAsia" w:hAnsi="宋体"/>
          <w:color w:val="auto"/>
          <w:sz w:val="21"/>
        </w:rPr>
      </w:pPr>
      <w:bookmarkStart w:id="121" w:name="_Toc497133093"/>
      <w:r>
        <w:rPr>
          <w:rFonts w:hint="eastAsia" w:hAnsi="宋体"/>
          <w:color w:val="auto"/>
          <w:sz w:val="21"/>
        </w:rPr>
        <w:t>项目名称：</w:t>
      </w:r>
      <w:r>
        <w:rPr>
          <w:rFonts w:hint="eastAsia" w:hAnsi="宋体"/>
          <w:color w:val="auto"/>
          <w:sz w:val="21"/>
          <w:lang w:eastAsia="zh-CN"/>
        </w:rPr>
        <w:t>扬州大学附属医院医疗责任险与京沪医学中心风险分担服务项目（二次）</w:t>
      </w:r>
      <w:r>
        <w:rPr>
          <w:rFonts w:hint="eastAsia" w:hAnsi="宋体"/>
          <w:color w:val="auto"/>
          <w:sz w:val="21"/>
        </w:rPr>
        <w:t xml:space="preserve">               </w:t>
      </w:r>
    </w:p>
    <w:p w14:paraId="388D5C14">
      <w:pPr>
        <w:pStyle w:val="21"/>
        <w:spacing w:before="120" w:after="120" w:line="360" w:lineRule="auto"/>
        <w:ind w:firstLine="420"/>
        <w:rPr>
          <w:rFonts w:hint="eastAsia" w:hAnsi="宋体" w:eastAsia="宋体"/>
          <w:color w:val="auto"/>
          <w:sz w:val="21"/>
          <w:lang w:eastAsia="zh-CN"/>
        </w:rPr>
      </w:pPr>
      <w:r>
        <w:rPr>
          <w:rFonts w:hint="eastAsia" w:hAnsi="宋体"/>
          <w:color w:val="auto"/>
          <w:sz w:val="21"/>
        </w:rPr>
        <w:t>项目编号：</w:t>
      </w:r>
      <w:r>
        <w:rPr>
          <w:rFonts w:hint="eastAsia" w:hAnsi="宋体"/>
          <w:color w:val="auto"/>
          <w:sz w:val="21"/>
          <w:lang w:eastAsia="zh-CN"/>
        </w:rPr>
        <w:t>JSZC-321000-SWGC-G2024-0049号</w:t>
      </w:r>
    </w:p>
    <w:p w14:paraId="23A90ECE">
      <w:pPr>
        <w:pStyle w:val="21"/>
        <w:spacing w:before="120" w:after="120" w:line="360" w:lineRule="auto"/>
        <w:ind w:firstLine="420"/>
        <w:rPr>
          <w:rFonts w:hint="eastAsia" w:hAnsi="宋体"/>
          <w:color w:val="auto"/>
          <w:sz w:val="21"/>
        </w:rPr>
      </w:pPr>
      <w:r>
        <w:rPr>
          <w:rFonts w:hint="eastAsia" w:hAnsi="宋体"/>
          <w:color w:val="auto"/>
          <w:sz w:val="21"/>
        </w:rPr>
        <w:t>甲方：（买方）扬州大学附属医院</w:t>
      </w:r>
    </w:p>
    <w:p w14:paraId="2AA6A93F">
      <w:pPr>
        <w:pStyle w:val="21"/>
        <w:spacing w:before="120" w:after="120" w:line="360" w:lineRule="auto"/>
        <w:ind w:firstLine="420"/>
        <w:rPr>
          <w:rFonts w:hint="eastAsia" w:hAnsi="宋体"/>
          <w:color w:val="auto"/>
          <w:sz w:val="21"/>
        </w:rPr>
      </w:pPr>
      <w:r>
        <w:rPr>
          <w:rFonts w:hint="eastAsia" w:hAnsi="宋体"/>
          <w:color w:val="auto"/>
          <w:sz w:val="21"/>
        </w:rPr>
        <w:t>乙方：（卖方）_________</w:t>
      </w:r>
    </w:p>
    <w:p w14:paraId="318CD481">
      <w:pPr>
        <w:pStyle w:val="21"/>
        <w:spacing w:before="120" w:after="120" w:line="360" w:lineRule="auto"/>
        <w:ind w:firstLine="420"/>
        <w:rPr>
          <w:rFonts w:hint="eastAsia" w:hAnsi="宋体"/>
          <w:color w:val="auto"/>
          <w:sz w:val="21"/>
        </w:rPr>
      </w:pPr>
      <w:r>
        <w:rPr>
          <w:rFonts w:hint="eastAsia" w:hAnsi="宋体"/>
          <w:color w:val="auto"/>
          <w:sz w:val="21"/>
        </w:rPr>
        <w:t>甲、乙双方根据江苏苏维工程管理有限公司</w:t>
      </w:r>
      <w:r>
        <w:rPr>
          <w:rFonts w:hint="eastAsia" w:hAnsi="宋体"/>
          <w:color w:val="auto"/>
          <w:sz w:val="21"/>
          <w:lang w:eastAsia="zh-CN"/>
        </w:rPr>
        <w:t>扬州大学附属医院医疗责任险与京沪医学中心风险分担服务项目（二次）</w:t>
      </w:r>
      <w:r>
        <w:rPr>
          <w:rFonts w:hint="eastAsia" w:hAnsi="宋体"/>
          <w:color w:val="auto"/>
          <w:sz w:val="21"/>
        </w:rPr>
        <w:t>公开招标的结果，签署本合同。</w:t>
      </w:r>
    </w:p>
    <w:p w14:paraId="3B31BFC1">
      <w:pPr>
        <w:pStyle w:val="21"/>
        <w:spacing w:before="120" w:after="120" w:line="360" w:lineRule="auto"/>
        <w:ind w:firstLine="422"/>
        <w:rPr>
          <w:rFonts w:hint="eastAsia" w:hAnsi="宋体"/>
          <w:b/>
          <w:bCs/>
          <w:color w:val="auto"/>
          <w:sz w:val="21"/>
        </w:rPr>
      </w:pPr>
      <w:r>
        <w:rPr>
          <w:rFonts w:hint="eastAsia" w:hAnsi="宋体"/>
          <w:b/>
          <w:bCs/>
          <w:color w:val="auto"/>
          <w:sz w:val="21"/>
        </w:rPr>
        <w:t>一、服务</w:t>
      </w:r>
    </w:p>
    <w:p w14:paraId="3646F344">
      <w:pPr>
        <w:pStyle w:val="21"/>
        <w:spacing w:before="120" w:after="120" w:line="360" w:lineRule="auto"/>
        <w:ind w:firstLine="420"/>
        <w:rPr>
          <w:rFonts w:hint="eastAsia" w:hAnsi="宋体" w:eastAsia="宋体"/>
          <w:color w:val="auto"/>
          <w:sz w:val="21"/>
          <w:lang w:eastAsia="zh-CN"/>
        </w:rPr>
      </w:pPr>
      <w:r>
        <w:rPr>
          <w:rFonts w:hint="eastAsia" w:hAnsi="宋体"/>
          <w:color w:val="auto"/>
          <w:sz w:val="21"/>
        </w:rPr>
        <w:t>1.1 服务名称：</w:t>
      </w:r>
      <w:r>
        <w:rPr>
          <w:rFonts w:hint="eastAsia" w:hAnsi="宋体"/>
          <w:color w:val="auto"/>
          <w:sz w:val="21"/>
          <w:lang w:eastAsia="zh-CN"/>
        </w:rPr>
        <w:t>扬州大学附属医院医疗责任险与京沪医学中心风险分担服务。</w:t>
      </w:r>
    </w:p>
    <w:p w14:paraId="1066B0D2">
      <w:pPr>
        <w:pStyle w:val="21"/>
        <w:spacing w:before="120" w:after="120" w:line="360" w:lineRule="auto"/>
        <w:ind w:firstLine="420"/>
        <w:rPr>
          <w:rFonts w:hint="default" w:hAnsi="宋体"/>
          <w:color w:val="auto"/>
          <w:sz w:val="21"/>
          <w:u w:val="single"/>
          <w:lang w:val="en-US" w:eastAsia="zh-CN"/>
        </w:rPr>
      </w:pPr>
      <w:r>
        <w:rPr>
          <w:rFonts w:hint="eastAsia" w:hAnsi="宋体"/>
          <w:color w:val="auto"/>
          <w:sz w:val="21"/>
        </w:rPr>
        <w:t xml:space="preserve">1.2 </w:t>
      </w:r>
      <w:r>
        <w:rPr>
          <w:rFonts w:hint="eastAsia" w:hAnsi="宋体"/>
          <w:color w:val="auto"/>
          <w:sz w:val="21"/>
          <w:lang w:val="en-US" w:eastAsia="zh-CN"/>
        </w:rPr>
        <w:t>服务要求：</w:t>
      </w:r>
      <w:r>
        <w:rPr>
          <w:rFonts w:hint="eastAsia" w:hAnsi="宋体"/>
          <w:color w:val="auto"/>
          <w:sz w:val="21"/>
          <w:u w:val="single"/>
          <w:lang w:val="en-US" w:eastAsia="zh-CN"/>
        </w:rPr>
        <w:t xml:space="preserve">按照招标文件规定及投标文件响应内容执行  </w:t>
      </w:r>
    </w:p>
    <w:p w14:paraId="4DB20B3A">
      <w:pPr>
        <w:pStyle w:val="21"/>
        <w:spacing w:before="120" w:after="120" w:line="360" w:lineRule="auto"/>
        <w:ind w:firstLine="420"/>
        <w:rPr>
          <w:rFonts w:hint="eastAsia" w:hAnsi="宋体"/>
          <w:color w:val="auto"/>
          <w:sz w:val="21"/>
          <w:lang w:val="en-US" w:eastAsia="zh-CN"/>
        </w:rPr>
      </w:pPr>
      <w:r>
        <w:rPr>
          <w:rFonts w:hint="eastAsia" w:hAnsi="宋体"/>
          <w:color w:val="auto"/>
          <w:sz w:val="21"/>
          <w:lang w:val="en-US" w:eastAsia="zh-CN"/>
        </w:rPr>
        <w:t>1.3 医责险险种及赔偿限额：</w:t>
      </w:r>
      <w:r>
        <w:rPr>
          <w:rFonts w:hint="eastAsia" w:hAnsi="宋体"/>
          <w:color w:val="auto"/>
          <w:sz w:val="21"/>
          <w:u w:val="single"/>
          <w:lang w:val="en-US" w:eastAsia="zh-CN"/>
        </w:rPr>
        <w:t xml:space="preserve">          </w:t>
      </w:r>
      <w:r>
        <w:rPr>
          <w:rFonts w:hint="eastAsia" w:hAnsi="宋体"/>
          <w:color w:val="auto"/>
          <w:sz w:val="21"/>
          <w:lang w:val="en-US" w:eastAsia="zh-CN"/>
        </w:rPr>
        <w:t xml:space="preserve">  </w:t>
      </w:r>
    </w:p>
    <w:p w14:paraId="0E00DFE1">
      <w:pPr>
        <w:pStyle w:val="21"/>
        <w:spacing w:before="120" w:after="120" w:line="360" w:lineRule="auto"/>
        <w:ind w:firstLine="422"/>
        <w:rPr>
          <w:rFonts w:hint="eastAsia" w:hAnsi="宋体"/>
          <w:b/>
          <w:bCs/>
          <w:color w:val="auto"/>
          <w:sz w:val="21"/>
        </w:rPr>
      </w:pPr>
      <w:r>
        <w:rPr>
          <w:rFonts w:hint="eastAsia" w:hAnsi="宋体"/>
          <w:b/>
          <w:bCs/>
          <w:color w:val="auto"/>
          <w:sz w:val="21"/>
        </w:rPr>
        <w:t>二、合同金额</w:t>
      </w:r>
    </w:p>
    <w:p w14:paraId="4B6C4D40">
      <w:pPr>
        <w:pStyle w:val="21"/>
        <w:spacing w:before="120" w:after="120" w:line="360" w:lineRule="auto"/>
        <w:ind w:firstLine="420"/>
        <w:rPr>
          <w:rFonts w:hint="eastAsia" w:hAnsi="宋体"/>
          <w:color w:val="auto"/>
          <w:sz w:val="21"/>
        </w:rPr>
      </w:pPr>
      <w:r>
        <w:rPr>
          <w:rFonts w:hint="eastAsia" w:hAnsi="宋体"/>
          <w:color w:val="auto"/>
          <w:sz w:val="21"/>
        </w:rPr>
        <w:t>2.1 本合同金额为（大写）：</w:t>
      </w:r>
      <w:r>
        <w:rPr>
          <w:rFonts w:hint="eastAsia" w:hAnsi="宋体"/>
          <w:color w:val="auto"/>
          <w:sz w:val="21"/>
          <w:lang w:val="en-US" w:eastAsia="zh-CN"/>
        </w:rPr>
        <w:t>人民币</w:t>
      </w:r>
      <w:r>
        <w:rPr>
          <w:rFonts w:hint="eastAsia" w:hAnsi="宋体"/>
          <w:color w:val="auto"/>
          <w:sz w:val="21"/>
        </w:rPr>
        <w:t>____________________________________（</w:t>
      </w:r>
      <w:r>
        <w:rPr>
          <w:rFonts w:hint="eastAsia" w:hAnsi="宋体"/>
          <w:color w:val="auto"/>
          <w:sz w:val="21"/>
          <w:lang w:val="en-US" w:eastAsia="zh-CN"/>
        </w:rPr>
        <w:t>¥</w:t>
      </w:r>
      <w:r>
        <w:rPr>
          <w:rFonts w:hint="eastAsia" w:hAnsi="宋体"/>
          <w:color w:val="auto"/>
          <w:sz w:val="21"/>
        </w:rPr>
        <w:t>_______________）。</w:t>
      </w:r>
    </w:p>
    <w:p w14:paraId="55335884">
      <w:pPr>
        <w:pStyle w:val="21"/>
        <w:spacing w:before="120" w:after="120" w:line="360" w:lineRule="auto"/>
        <w:ind w:firstLine="422"/>
        <w:rPr>
          <w:rFonts w:hAnsi="宋体"/>
          <w:b/>
          <w:bCs/>
          <w:color w:val="auto"/>
          <w:sz w:val="21"/>
        </w:rPr>
      </w:pPr>
      <w:r>
        <w:rPr>
          <w:rFonts w:hint="eastAsia" w:hAnsi="宋体"/>
          <w:b/>
          <w:bCs/>
          <w:color w:val="auto"/>
          <w:sz w:val="21"/>
        </w:rPr>
        <w:t>三、技术资料</w:t>
      </w:r>
    </w:p>
    <w:p w14:paraId="3937231F">
      <w:pPr>
        <w:pStyle w:val="21"/>
        <w:spacing w:before="120" w:after="120" w:line="360" w:lineRule="auto"/>
        <w:ind w:firstLine="420"/>
        <w:rPr>
          <w:rFonts w:hAnsi="宋体"/>
          <w:color w:val="auto"/>
          <w:sz w:val="21"/>
        </w:rPr>
      </w:pPr>
      <w:r>
        <w:rPr>
          <w:rFonts w:hint="eastAsia" w:hAnsi="宋体"/>
          <w:color w:val="auto"/>
          <w:sz w:val="21"/>
        </w:rPr>
        <w:t>3.1乙方应按招标文件规定的时间向甲方提供服务的有关技术资料。</w:t>
      </w:r>
    </w:p>
    <w:p w14:paraId="044A3D19">
      <w:pPr>
        <w:pStyle w:val="21"/>
        <w:spacing w:before="120" w:after="120" w:line="360" w:lineRule="auto"/>
        <w:ind w:firstLine="420"/>
        <w:rPr>
          <w:rFonts w:hAnsi="宋体"/>
          <w:color w:val="auto"/>
          <w:sz w:val="21"/>
        </w:rPr>
      </w:pPr>
      <w:r>
        <w:rPr>
          <w:rFonts w:hint="eastAsia" w:hAnsi="宋体"/>
          <w:color w:val="auto"/>
          <w:sz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40651F6">
      <w:pPr>
        <w:pStyle w:val="21"/>
        <w:spacing w:before="120" w:after="120" w:line="360" w:lineRule="auto"/>
        <w:ind w:firstLine="422"/>
        <w:rPr>
          <w:rFonts w:hAnsi="宋体"/>
          <w:b/>
          <w:bCs/>
          <w:color w:val="auto"/>
          <w:sz w:val="21"/>
        </w:rPr>
      </w:pPr>
      <w:r>
        <w:rPr>
          <w:rFonts w:hint="eastAsia" w:hAnsi="宋体"/>
          <w:b/>
          <w:bCs/>
          <w:color w:val="auto"/>
          <w:sz w:val="21"/>
        </w:rPr>
        <w:t>四、知识产权</w:t>
      </w:r>
    </w:p>
    <w:p w14:paraId="093347BD">
      <w:pPr>
        <w:pStyle w:val="21"/>
        <w:spacing w:before="120" w:after="120" w:line="360" w:lineRule="auto"/>
        <w:ind w:firstLine="420"/>
        <w:rPr>
          <w:rFonts w:hAnsi="宋体"/>
          <w:color w:val="auto"/>
          <w:sz w:val="21"/>
        </w:rPr>
      </w:pPr>
      <w:r>
        <w:rPr>
          <w:rFonts w:hint="eastAsia" w:hAnsi="宋体"/>
          <w:color w:val="auto"/>
          <w:sz w:val="21"/>
        </w:rPr>
        <w:t>4.1乙方应保证甲方在使用、接受本合同货物及服务或其任何一部分时不受第三方提出侵犯其专利权、版权、商标权和工业设计权等知识产权的起诉。一旦出现侵权，由乙方负全部责任。</w:t>
      </w:r>
    </w:p>
    <w:p w14:paraId="7CAB8C8E">
      <w:pPr>
        <w:pStyle w:val="21"/>
        <w:spacing w:before="120" w:after="120" w:line="360" w:lineRule="auto"/>
        <w:ind w:firstLine="422"/>
        <w:rPr>
          <w:rFonts w:hAnsi="宋体"/>
          <w:b/>
          <w:bCs/>
          <w:color w:val="auto"/>
          <w:sz w:val="21"/>
        </w:rPr>
      </w:pPr>
      <w:r>
        <w:rPr>
          <w:rFonts w:hint="eastAsia" w:hAnsi="宋体"/>
          <w:b/>
          <w:bCs/>
          <w:color w:val="auto"/>
          <w:sz w:val="21"/>
        </w:rPr>
        <w:t>五、产权担保</w:t>
      </w:r>
    </w:p>
    <w:p w14:paraId="5C436CE0">
      <w:pPr>
        <w:pStyle w:val="21"/>
        <w:spacing w:before="120" w:after="120" w:line="360" w:lineRule="auto"/>
        <w:ind w:firstLine="420"/>
        <w:rPr>
          <w:rFonts w:hAnsi="宋体"/>
          <w:color w:val="auto"/>
          <w:sz w:val="21"/>
        </w:rPr>
      </w:pPr>
      <w:r>
        <w:rPr>
          <w:rFonts w:hint="eastAsia" w:hAnsi="宋体"/>
          <w:color w:val="auto"/>
          <w:sz w:val="21"/>
        </w:rPr>
        <w:t>5.1 乙方保证所交付的货物及服务的所有权完全属于乙方且无任何抵押、查封等产权瑕疵。</w:t>
      </w:r>
    </w:p>
    <w:p w14:paraId="10C81827">
      <w:pPr>
        <w:pStyle w:val="21"/>
        <w:spacing w:before="120" w:after="120" w:line="360" w:lineRule="auto"/>
        <w:ind w:firstLine="422"/>
        <w:rPr>
          <w:rFonts w:hAnsi="宋体"/>
          <w:b/>
          <w:bCs/>
          <w:color w:val="auto"/>
          <w:sz w:val="21"/>
        </w:rPr>
      </w:pPr>
      <w:r>
        <w:rPr>
          <w:rFonts w:hint="eastAsia" w:hAnsi="宋体"/>
          <w:b/>
          <w:bCs/>
          <w:color w:val="auto"/>
          <w:sz w:val="21"/>
        </w:rPr>
        <w:t>六、履约保证金</w:t>
      </w:r>
    </w:p>
    <w:p w14:paraId="0FFFF999">
      <w:pPr>
        <w:pStyle w:val="21"/>
        <w:spacing w:before="120" w:after="120" w:line="360" w:lineRule="auto"/>
        <w:ind w:firstLine="420"/>
        <w:rPr>
          <w:rFonts w:hAnsi="宋体"/>
          <w:color w:val="auto"/>
          <w:sz w:val="21"/>
        </w:rPr>
      </w:pPr>
      <w:r>
        <w:rPr>
          <w:rFonts w:hAnsi="宋体"/>
          <w:color w:val="auto"/>
          <w:sz w:val="21"/>
        </w:rPr>
        <w:t>6.1 收取履约保证金的，</w:t>
      </w:r>
      <w:r>
        <w:rPr>
          <w:rFonts w:hint="eastAsia" w:hAnsi="宋体"/>
          <w:color w:val="auto"/>
          <w:sz w:val="21"/>
        </w:rPr>
        <w:t>允许中标人自主选择支票、汇票、本票、保函等非现金形式缴纳或提交，</w:t>
      </w:r>
      <w:r>
        <w:rPr>
          <w:rFonts w:hAnsi="宋体"/>
          <w:color w:val="auto"/>
          <w:sz w:val="21"/>
        </w:rPr>
        <w:t>应当在采购合同中约定履约保证金退还的方式、时间、条件和不予退还的情形，明确逾期退还履约保证金的违约责任。</w:t>
      </w:r>
    </w:p>
    <w:p w14:paraId="526E7768">
      <w:pPr>
        <w:pStyle w:val="21"/>
        <w:spacing w:before="120" w:after="120" w:line="360" w:lineRule="auto"/>
        <w:ind w:firstLine="420"/>
        <w:rPr>
          <w:rFonts w:hAnsi="宋体"/>
          <w:color w:val="auto"/>
          <w:sz w:val="21"/>
        </w:rPr>
      </w:pPr>
      <w:r>
        <w:rPr>
          <w:rFonts w:hint="eastAsia" w:hAnsi="宋体"/>
          <w:color w:val="auto"/>
          <w:sz w:val="21"/>
        </w:rPr>
        <w:t>6.2履约保证金用以约束乙方在合同履行中的行为，以及弥补合同履行中由于乙方自身行为可能给甲方带来的各种损失；若履约保证金额不足以弥补乙方违约造成甲方损失的，甲方可继续向乙方主张索赔。</w:t>
      </w:r>
    </w:p>
    <w:p w14:paraId="45A5100C">
      <w:pPr>
        <w:pStyle w:val="21"/>
        <w:spacing w:before="120" w:after="120" w:line="360" w:lineRule="auto"/>
        <w:ind w:firstLine="420"/>
        <w:rPr>
          <w:rFonts w:hAnsi="宋体" w:cs="宋体"/>
          <w:color w:val="auto"/>
          <w:sz w:val="21"/>
        </w:rPr>
      </w:pPr>
      <w:r>
        <w:rPr>
          <w:rFonts w:hint="eastAsia" w:hAnsi="宋体" w:cs="宋体"/>
          <w:color w:val="auto"/>
          <w:sz w:val="21"/>
        </w:rPr>
        <w:t>6.3 履约保证金扣除甲方应得的补偿后的余额，在本合同履行结束后由甲方无息退还。逾期退还的，按中国人民银行同期贷款基准利率上浮20%后的利率支付超期资金占用费，但因乙方自身原因导致无法及时退还的除外。 </w:t>
      </w:r>
    </w:p>
    <w:p w14:paraId="672E05A3">
      <w:pPr>
        <w:pStyle w:val="21"/>
        <w:spacing w:before="120" w:after="120" w:line="360" w:lineRule="auto"/>
        <w:ind w:firstLine="420"/>
        <w:rPr>
          <w:rFonts w:hint="eastAsia" w:hAnsi="宋体"/>
          <w:color w:val="auto"/>
          <w:sz w:val="21"/>
          <w:highlight w:val="none"/>
          <w:lang w:val="en-US" w:eastAsia="zh-CN"/>
        </w:rPr>
      </w:pPr>
      <w:r>
        <w:rPr>
          <w:rFonts w:hint="eastAsia" w:hAnsi="宋体"/>
          <w:color w:val="auto"/>
          <w:sz w:val="21"/>
          <w:highlight w:val="none"/>
        </w:rPr>
        <w:t>6.4 履约保证金收取：</w:t>
      </w:r>
      <w:r>
        <w:rPr>
          <w:rFonts w:hint="eastAsia" w:hAnsi="宋体"/>
          <w:color w:val="auto"/>
          <w:sz w:val="21"/>
          <w:highlight w:val="none"/>
          <w:lang w:val="en-US" w:eastAsia="zh-CN"/>
        </w:rPr>
        <w:t>乙方在收到中标通知书后，须在签订合同前向甲方缴纳合同金额10%的履约保证金。</w:t>
      </w:r>
    </w:p>
    <w:p w14:paraId="0AACBC1C">
      <w:pPr>
        <w:pStyle w:val="21"/>
        <w:spacing w:before="120" w:after="120"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6.5有下列情形之一的，履约保证金不予退还:</w:t>
      </w:r>
    </w:p>
    <w:p w14:paraId="46115C23">
      <w:pPr>
        <w:pStyle w:val="21"/>
        <w:spacing w:before="120" w:after="120"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6.5.1签订合同后甲方发现乙方在响应文件中提供虚假材料的；</w:t>
      </w:r>
    </w:p>
    <w:p w14:paraId="5E0349F6">
      <w:pPr>
        <w:pStyle w:val="21"/>
        <w:spacing w:before="120" w:after="120"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6.5.2乙方与甲方、其他供应商或者采购代理机构恶意串通的；</w:t>
      </w:r>
    </w:p>
    <w:p w14:paraId="178474EB">
      <w:pPr>
        <w:pStyle w:val="21"/>
        <w:spacing w:before="120" w:after="120"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6.5.3乙方将成交项目转让给他人，或者在招标文件中未说明，且未经甲方同意，将成交项目分包给他人的；</w:t>
      </w:r>
    </w:p>
    <w:p w14:paraId="4AF0424B">
      <w:pPr>
        <w:pStyle w:val="21"/>
        <w:spacing w:before="120" w:after="120"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6.5.4除因不可抗力或招标文件认可的情形以外，中标人不与采购人签订合同的；</w:t>
      </w:r>
    </w:p>
    <w:p w14:paraId="2F5F888A">
      <w:pPr>
        <w:pStyle w:val="21"/>
        <w:spacing w:before="120" w:after="120"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6.5.5签订合同后因乙方原因无法履行合同或者拒绝履行合同义务的；</w:t>
      </w:r>
    </w:p>
    <w:p w14:paraId="58FCB424">
      <w:pPr>
        <w:pStyle w:val="21"/>
        <w:spacing w:before="120" w:after="120"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6.5.6乙方给甲方额外增加赔付流程或者资料的；</w:t>
      </w:r>
    </w:p>
    <w:p w14:paraId="1AB292E6">
      <w:pPr>
        <w:pStyle w:val="21"/>
        <w:spacing w:before="120" w:after="120"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6.5.7乙方赔偿金额未达承诺赔付限额拒绝继续赔付或者继续履行赔付提出额外条件的。</w:t>
      </w:r>
    </w:p>
    <w:p w14:paraId="694C805F">
      <w:pPr>
        <w:pStyle w:val="21"/>
        <w:spacing w:before="120" w:after="120" w:line="360" w:lineRule="auto"/>
        <w:ind w:firstLine="422"/>
        <w:rPr>
          <w:rFonts w:hAnsi="宋体"/>
          <w:b/>
          <w:bCs/>
          <w:color w:val="auto"/>
          <w:sz w:val="21"/>
        </w:rPr>
      </w:pPr>
      <w:r>
        <w:rPr>
          <w:rFonts w:hint="eastAsia" w:hAnsi="宋体"/>
          <w:b/>
          <w:bCs/>
          <w:color w:val="auto"/>
          <w:sz w:val="21"/>
        </w:rPr>
        <w:t>七、转包或分包</w:t>
      </w:r>
    </w:p>
    <w:p w14:paraId="14EA11FC">
      <w:pPr>
        <w:pStyle w:val="21"/>
        <w:spacing w:before="120" w:after="120" w:line="360" w:lineRule="auto"/>
        <w:ind w:firstLine="420"/>
        <w:rPr>
          <w:rFonts w:hAnsi="宋体"/>
          <w:color w:val="auto"/>
          <w:sz w:val="21"/>
        </w:rPr>
      </w:pPr>
      <w:r>
        <w:rPr>
          <w:rFonts w:hint="eastAsia" w:hAnsi="宋体"/>
          <w:color w:val="auto"/>
          <w:sz w:val="21"/>
        </w:rPr>
        <w:t>7.1本合同范围的货物及服务，应由乙方直接供应，不得转让他人供应；</w:t>
      </w:r>
    </w:p>
    <w:p w14:paraId="748B9603">
      <w:pPr>
        <w:pStyle w:val="21"/>
        <w:spacing w:before="120" w:after="120" w:line="360" w:lineRule="auto"/>
        <w:ind w:firstLine="420"/>
        <w:rPr>
          <w:rFonts w:hAnsi="宋体"/>
          <w:color w:val="auto"/>
          <w:sz w:val="21"/>
        </w:rPr>
      </w:pPr>
      <w:r>
        <w:rPr>
          <w:rFonts w:hint="eastAsia" w:hAnsi="宋体"/>
          <w:color w:val="auto"/>
          <w:sz w:val="21"/>
        </w:rPr>
        <w:t>7.2 除非得到甲方的书面同意，乙方不得部分分包给他人供应。</w:t>
      </w:r>
    </w:p>
    <w:p w14:paraId="47F5E2CB">
      <w:pPr>
        <w:pStyle w:val="21"/>
        <w:spacing w:before="120" w:after="120" w:line="360" w:lineRule="auto"/>
        <w:ind w:firstLine="420"/>
        <w:rPr>
          <w:rFonts w:hAnsi="宋体"/>
          <w:color w:val="auto"/>
          <w:sz w:val="21"/>
        </w:rPr>
      </w:pPr>
      <w:r>
        <w:rPr>
          <w:rFonts w:hint="eastAsia" w:hAnsi="宋体"/>
          <w:color w:val="auto"/>
          <w:sz w:val="21"/>
        </w:rPr>
        <w:t>7.3如有转让和未经甲方同意的分包行为，甲方有权给予终止合同。</w:t>
      </w:r>
    </w:p>
    <w:p w14:paraId="083BB67F">
      <w:pPr>
        <w:pStyle w:val="21"/>
        <w:spacing w:before="120" w:after="120" w:line="360" w:lineRule="auto"/>
        <w:ind w:left="315" w:firstLine="105"/>
        <w:rPr>
          <w:rFonts w:hint="default" w:hAnsi="宋体"/>
          <w:b/>
          <w:bCs/>
          <w:color w:val="auto"/>
          <w:sz w:val="21"/>
          <w:lang w:val="en-US"/>
        </w:rPr>
      </w:pPr>
      <w:r>
        <w:rPr>
          <w:rFonts w:hint="eastAsia" w:hAnsi="宋体"/>
          <w:b/>
          <w:bCs/>
          <w:color w:val="auto"/>
          <w:sz w:val="21"/>
        </w:rPr>
        <w:t>八、</w:t>
      </w:r>
      <w:r>
        <w:rPr>
          <w:rFonts w:hint="eastAsia" w:hAnsi="宋体"/>
          <w:b/>
          <w:bCs/>
          <w:color w:val="auto"/>
          <w:sz w:val="21"/>
          <w:lang w:val="en-US" w:eastAsia="zh-CN"/>
        </w:rPr>
        <w:t>投保期限</w:t>
      </w:r>
    </w:p>
    <w:p w14:paraId="50D07002">
      <w:pPr>
        <w:spacing w:line="360" w:lineRule="auto"/>
        <w:ind w:firstLine="420"/>
        <w:rPr>
          <w:rFonts w:hint="eastAsia" w:ascii="宋体" w:hAnsi="宋体" w:eastAsia="宋体" w:cs="宋体"/>
          <w:color w:val="auto"/>
          <w:szCs w:val="21"/>
          <w:lang w:eastAsia="zh-CN"/>
        </w:rPr>
      </w:pPr>
      <w:r>
        <w:rPr>
          <w:rFonts w:hint="eastAsia" w:ascii="宋体" w:hAnsi="宋体" w:cs="宋体"/>
          <w:color w:val="auto"/>
          <w:szCs w:val="21"/>
        </w:rPr>
        <w:t>8.1 投保期限：一年（</w:t>
      </w:r>
      <w:r>
        <w:rPr>
          <w:rFonts w:hint="eastAsia" w:ascii="宋体" w:hAnsi="宋体" w:cs="宋体"/>
          <w:color w:val="auto"/>
          <w:szCs w:val="21"/>
          <w:lang w:val="en-US" w:eastAsia="zh-CN"/>
        </w:rPr>
        <w:t>2025年 月 日至2026年 月  日</w:t>
      </w:r>
      <w:r>
        <w:rPr>
          <w:rFonts w:hint="eastAsia" w:ascii="宋体" w:hAnsi="宋体" w:cs="宋体"/>
          <w:color w:val="auto"/>
          <w:szCs w:val="21"/>
        </w:rPr>
        <w:t>）</w:t>
      </w:r>
      <w:r>
        <w:rPr>
          <w:rFonts w:hint="eastAsia" w:ascii="宋体" w:hAnsi="宋体" w:cs="宋体"/>
          <w:color w:val="auto"/>
          <w:szCs w:val="21"/>
          <w:lang w:eastAsia="zh-CN"/>
        </w:rPr>
        <w:t>。</w:t>
      </w:r>
    </w:p>
    <w:p w14:paraId="5C679320">
      <w:pPr>
        <w:pStyle w:val="21"/>
        <w:spacing w:before="120" w:after="120" w:line="360" w:lineRule="auto"/>
        <w:ind w:firstLine="422"/>
        <w:rPr>
          <w:rFonts w:hAnsi="宋体"/>
          <w:b/>
          <w:bCs/>
          <w:color w:val="auto"/>
          <w:sz w:val="21"/>
        </w:rPr>
      </w:pPr>
      <w:r>
        <w:rPr>
          <w:rFonts w:hint="eastAsia" w:hAnsi="宋体"/>
          <w:b/>
          <w:bCs/>
          <w:color w:val="auto"/>
          <w:sz w:val="21"/>
        </w:rPr>
        <w:t>九、交付期、交付方式及交付地点</w:t>
      </w:r>
    </w:p>
    <w:p w14:paraId="3CB4E49F">
      <w:pPr>
        <w:pStyle w:val="21"/>
        <w:spacing w:before="120" w:after="120" w:line="360" w:lineRule="auto"/>
        <w:ind w:firstLine="420"/>
        <w:rPr>
          <w:rFonts w:hint="eastAsia" w:hAnsi="宋体"/>
          <w:color w:val="auto"/>
          <w:sz w:val="21"/>
        </w:rPr>
      </w:pPr>
      <w:r>
        <w:rPr>
          <w:rFonts w:hint="eastAsia" w:hAnsi="宋体"/>
          <w:color w:val="auto"/>
          <w:sz w:val="21"/>
        </w:rPr>
        <w:t>9.1 交付期：</w:t>
      </w:r>
      <w:r>
        <w:rPr>
          <w:rFonts w:hint="eastAsia" w:hAnsi="宋体"/>
          <w:color w:val="auto"/>
          <w:sz w:val="21"/>
          <w:u w:val="single"/>
          <w:lang w:val="en-US" w:eastAsia="zh-CN"/>
        </w:rPr>
        <w:t xml:space="preserve">                    </w:t>
      </w:r>
      <w:r>
        <w:rPr>
          <w:rFonts w:hint="eastAsia" w:hAnsi="宋体"/>
          <w:color w:val="auto"/>
          <w:sz w:val="21"/>
        </w:rPr>
        <w:t xml:space="preserve">   </w:t>
      </w:r>
    </w:p>
    <w:p w14:paraId="7A13AF57">
      <w:pPr>
        <w:pStyle w:val="21"/>
        <w:spacing w:before="120" w:after="120" w:line="360" w:lineRule="auto"/>
        <w:ind w:firstLine="420"/>
        <w:rPr>
          <w:rFonts w:hint="eastAsia" w:hAnsi="宋体"/>
          <w:color w:val="auto"/>
          <w:sz w:val="21"/>
        </w:rPr>
      </w:pPr>
      <w:r>
        <w:rPr>
          <w:rFonts w:hint="eastAsia" w:hAnsi="宋体"/>
          <w:color w:val="auto"/>
          <w:sz w:val="21"/>
        </w:rPr>
        <w:t>9.2 交付方式：</w:t>
      </w:r>
      <w:r>
        <w:rPr>
          <w:rFonts w:hint="eastAsia" w:hAnsi="宋体"/>
          <w:color w:val="auto"/>
          <w:sz w:val="21"/>
          <w:u w:val="single"/>
          <w:lang w:val="en-US" w:eastAsia="zh-CN"/>
        </w:rPr>
        <w:t xml:space="preserve">                     </w:t>
      </w:r>
      <w:r>
        <w:rPr>
          <w:rFonts w:hint="eastAsia" w:hAnsi="宋体"/>
          <w:color w:val="auto"/>
          <w:sz w:val="21"/>
        </w:rPr>
        <w:t xml:space="preserve">     </w:t>
      </w:r>
    </w:p>
    <w:p w14:paraId="43BF0E2F">
      <w:pPr>
        <w:pStyle w:val="21"/>
        <w:spacing w:before="120" w:after="120" w:line="360" w:lineRule="auto"/>
        <w:ind w:firstLine="420"/>
        <w:rPr>
          <w:rFonts w:hint="eastAsia" w:hAnsi="宋体"/>
          <w:color w:val="auto"/>
          <w:sz w:val="21"/>
          <w:u w:val="single"/>
        </w:rPr>
      </w:pPr>
      <w:r>
        <w:rPr>
          <w:rFonts w:hint="eastAsia" w:hAnsi="宋体"/>
          <w:color w:val="auto"/>
          <w:sz w:val="21"/>
        </w:rPr>
        <w:t xml:space="preserve">9.3 交付地点： </w:t>
      </w:r>
      <w:r>
        <w:rPr>
          <w:rFonts w:hint="eastAsia" w:hAnsi="宋体"/>
          <w:color w:val="auto"/>
          <w:sz w:val="21"/>
          <w:u w:val="single"/>
          <w:lang w:val="en-US" w:eastAsia="zh-CN"/>
        </w:rPr>
        <w:t>扬州大学附属医院</w:t>
      </w:r>
      <w:r>
        <w:rPr>
          <w:rFonts w:hint="eastAsia" w:hAnsi="宋体"/>
          <w:color w:val="auto"/>
          <w:sz w:val="21"/>
          <w:u w:val="single"/>
        </w:rPr>
        <w:t xml:space="preserve">  </w:t>
      </w:r>
    </w:p>
    <w:p w14:paraId="1E37ADDB">
      <w:pPr>
        <w:pStyle w:val="21"/>
        <w:spacing w:before="120" w:after="120" w:line="360" w:lineRule="auto"/>
        <w:ind w:firstLine="422"/>
        <w:rPr>
          <w:rFonts w:hAnsi="宋体"/>
          <w:b/>
          <w:bCs/>
          <w:color w:val="auto"/>
          <w:sz w:val="21"/>
        </w:rPr>
      </w:pPr>
      <w:r>
        <w:rPr>
          <w:rFonts w:hint="eastAsia" w:hAnsi="宋体"/>
          <w:b/>
          <w:bCs/>
          <w:color w:val="auto"/>
          <w:sz w:val="21"/>
        </w:rPr>
        <w:t>十、货款支付</w:t>
      </w:r>
    </w:p>
    <w:p w14:paraId="1BD211CB">
      <w:pPr>
        <w:spacing w:line="360" w:lineRule="auto"/>
        <w:ind w:firstLine="420"/>
        <w:rPr>
          <w:rFonts w:hint="eastAsia" w:ascii="宋体" w:hAnsi="宋体" w:cs="宋体"/>
          <w:color w:val="auto"/>
          <w:szCs w:val="21"/>
        </w:rPr>
      </w:pPr>
      <w:r>
        <w:rPr>
          <w:rFonts w:hint="eastAsia" w:ascii="宋体" w:hAnsi="宋体" w:cs="宋体"/>
          <w:color w:val="auto"/>
          <w:szCs w:val="21"/>
        </w:rPr>
        <w:t xml:space="preserve">10.1 本合同项下所有款项均以人民币支付。 </w:t>
      </w:r>
    </w:p>
    <w:p w14:paraId="6B6F0C7A">
      <w:pPr>
        <w:spacing w:line="360" w:lineRule="auto"/>
        <w:ind w:firstLine="420"/>
        <w:rPr>
          <w:rFonts w:hint="eastAsia" w:ascii="宋体" w:hAnsi="宋体" w:cs="宋体"/>
          <w:color w:val="auto"/>
          <w:szCs w:val="21"/>
        </w:rPr>
      </w:pPr>
      <w:r>
        <w:rPr>
          <w:rFonts w:hint="eastAsia" w:ascii="宋体" w:hAnsi="宋体" w:cs="宋体"/>
          <w:color w:val="auto"/>
          <w:szCs w:val="21"/>
        </w:rPr>
        <w:t>10.2 本合同项下的采购资金由甲方支付，付款前乙方向甲方开具发票。</w:t>
      </w:r>
    </w:p>
    <w:p w14:paraId="634D9721">
      <w:pPr>
        <w:spacing w:line="360" w:lineRule="auto"/>
        <w:ind w:firstLine="420"/>
        <w:rPr>
          <w:rFonts w:hint="eastAsia" w:ascii="宋体" w:hAnsi="宋体" w:cs="宋体"/>
          <w:color w:val="auto"/>
          <w:szCs w:val="21"/>
        </w:rPr>
      </w:pPr>
      <w:r>
        <w:rPr>
          <w:rFonts w:hint="eastAsia" w:ascii="宋体" w:hAnsi="宋体" w:cs="宋体"/>
          <w:color w:val="auto"/>
          <w:szCs w:val="21"/>
        </w:rPr>
        <w:t>10.3 付款方式：</w:t>
      </w:r>
    </w:p>
    <w:p w14:paraId="37B0556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本项目保费分批次支付。</w:t>
      </w:r>
      <w:r>
        <w:rPr>
          <w:rFonts w:hint="eastAsia" w:ascii="宋体" w:hAnsi="宋体" w:cs="宋体"/>
          <w:color w:val="auto"/>
          <w:szCs w:val="21"/>
          <w:highlight w:val="none"/>
        </w:rPr>
        <w:t>合同签订后，乙方向甲方开具发票，甲方自收到发票之日起10个工作日内预付</w:t>
      </w:r>
      <w:r>
        <w:rPr>
          <w:rFonts w:hint="eastAsia" w:ascii="宋体" w:hAnsi="宋体" w:cs="宋体"/>
          <w:color w:val="auto"/>
          <w:szCs w:val="21"/>
          <w:highlight w:val="none"/>
          <w:lang w:val="en-US" w:eastAsia="zh-CN"/>
        </w:rPr>
        <w:t>保费</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服务期限满半年后，乙方向甲方开具发票，甲方自收到发票之日起10个工作日内支付剩余保费</w:t>
      </w:r>
      <w:r>
        <w:rPr>
          <w:rFonts w:hint="eastAsia" w:ascii="宋体" w:hAnsi="宋体" w:cs="宋体"/>
          <w:color w:val="auto"/>
          <w:szCs w:val="21"/>
          <w:highlight w:val="none"/>
        </w:rPr>
        <w:t>。</w:t>
      </w:r>
    </w:p>
    <w:p w14:paraId="2AC6B763">
      <w:pPr>
        <w:pStyle w:val="21"/>
        <w:spacing w:before="120" w:after="120" w:line="360" w:lineRule="auto"/>
        <w:ind w:firstLine="422"/>
        <w:rPr>
          <w:rFonts w:hAnsi="宋体"/>
          <w:b/>
          <w:bCs/>
          <w:color w:val="auto"/>
          <w:sz w:val="21"/>
        </w:rPr>
      </w:pPr>
      <w:r>
        <w:rPr>
          <w:rFonts w:hint="eastAsia" w:hAnsi="宋体"/>
          <w:b/>
          <w:bCs/>
          <w:color w:val="auto"/>
          <w:sz w:val="21"/>
        </w:rPr>
        <w:t>十一、税费</w:t>
      </w:r>
    </w:p>
    <w:p w14:paraId="01B894AD">
      <w:pPr>
        <w:pStyle w:val="21"/>
        <w:spacing w:before="120" w:after="120" w:line="360" w:lineRule="auto"/>
        <w:ind w:firstLine="420"/>
        <w:rPr>
          <w:rFonts w:hAnsi="宋体"/>
          <w:color w:val="auto"/>
          <w:sz w:val="21"/>
        </w:rPr>
      </w:pPr>
      <w:r>
        <w:rPr>
          <w:rFonts w:hint="eastAsia" w:hAnsi="宋体"/>
          <w:color w:val="auto"/>
          <w:sz w:val="21"/>
        </w:rPr>
        <w:t>11.1本合同执行中相关的一切税费均由乙方负担。</w:t>
      </w:r>
    </w:p>
    <w:p w14:paraId="67E15BA7">
      <w:pPr>
        <w:pStyle w:val="21"/>
        <w:spacing w:before="120" w:after="120" w:line="360" w:lineRule="auto"/>
        <w:ind w:firstLine="422"/>
        <w:rPr>
          <w:rFonts w:hAnsi="宋体"/>
          <w:b/>
          <w:bCs/>
          <w:color w:val="auto"/>
          <w:sz w:val="21"/>
        </w:rPr>
      </w:pPr>
      <w:r>
        <w:rPr>
          <w:rFonts w:hint="eastAsia" w:hAnsi="宋体"/>
          <w:b/>
          <w:bCs/>
          <w:color w:val="auto"/>
          <w:sz w:val="21"/>
        </w:rPr>
        <w:t>十二、质量保证及售后服务</w:t>
      </w:r>
    </w:p>
    <w:p w14:paraId="6076AF5B">
      <w:pPr>
        <w:spacing w:line="360" w:lineRule="auto"/>
        <w:ind w:firstLine="420"/>
        <w:rPr>
          <w:rFonts w:ascii="宋体" w:hAnsi="宋体"/>
          <w:color w:val="auto"/>
          <w:szCs w:val="21"/>
        </w:rPr>
      </w:pPr>
      <w:r>
        <w:rPr>
          <w:rFonts w:hint="eastAsia" w:ascii="宋体" w:hAnsi="宋体" w:cs="宋体"/>
          <w:color w:val="auto"/>
          <w:szCs w:val="21"/>
        </w:rPr>
        <w:t>12.1 乙方应按招标文件规定及响应文件承诺的技术性能、技术要求、质量标准向甲方提供服务；若无特殊说明，则按国家有关部门最新颁布的标准及规范为准。</w:t>
      </w:r>
    </w:p>
    <w:p w14:paraId="717D5C0C">
      <w:pPr>
        <w:spacing w:line="360" w:lineRule="auto"/>
        <w:ind w:firstLine="420"/>
        <w:rPr>
          <w:rFonts w:ascii="宋体" w:hAnsi="宋体"/>
          <w:color w:val="auto"/>
          <w:szCs w:val="21"/>
        </w:rPr>
      </w:pPr>
      <w:r>
        <w:rPr>
          <w:rFonts w:hint="eastAsia" w:ascii="宋体" w:hAnsi="宋体" w:cs="宋体"/>
          <w:color w:val="auto"/>
          <w:szCs w:val="21"/>
        </w:rPr>
        <w:t>12.2乙方应保证其提供的服务是全面和规范的，并完全符合招投标文件。如因乙方提供的服务有瑕疵造成甲方损失的，所需费用由乙方承担。</w:t>
      </w:r>
    </w:p>
    <w:p w14:paraId="64F20B10">
      <w:pPr>
        <w:spacing w:line="360" w:lineRule="auto"/>
        <w:ind w:firstLine="420"/>
        <w:rPr>
          <w:rFonts w:hAnsi="宋体"/>
          <w:color w:val="auto"/>
        </w:rPr>
      </w:pPr>
      <w:r>
        <w:rPr>
          <w:rFonts w:hint="eastAsia" w:ascii="宋体" w:hAnsi="宋体" w:cs="宋体"/>
          <w:color w:val="auto"/>
          <w:szCs w:val="21"/>
        </w:rPr>
        <w:t>12.3 如在使用过程中发生质量问题，乙方在接到甲方通知后在___小时内到达甲方现场。</w:t>
      </w:r>
    </w:p>
    <w:p w14:paraId="0A5B0FA0">
      <w:pPr>
        <w:pStyle w:val="21"/>
        <w:spacing w:before="120" w:after="120" w:line="360" w:lineRule="auto"/>
        <w:ind w:firstLine="422"/>
        <w:rPr>
          <w:rFonts w:hAnsi="宋体"/>
          <w:b/>
          <w:bCs/>
          <w:color w:val="auto"/>
          <w:sz w:val="21"/>
        </w:rPr>
      </w:pPr>
      <w:r>
        <w:rPr>
          <w:rFonts w:hint="eastAsia" w:hAnsi="宋体"/>
          <w:b/>
          <w:bCs/>
          <w:color w:val="auto"/>
          <w:sz w:val="21"/>
        </w:rPr>
        <w:t>十三、交付和验收</w:t>
      </w:r>
    </w:p>
    <w:p w14:paraId="1BA3F867">
      <w:pPr>
        <w:spacing w:line="360" w:lineRule="auto"/>
        <w:ind w:firstLine="420"/>
        <w:rPr>
          <w:rFonts w:ascii="宋体" w:hAnsi="宋体"/>
          <w:color w:val="auto"/>
          <w:szCs w:val="21"/>
        </w:rPr>
      </w:pPr>
      <w:r>
        <w:rPr>
          <w:rFonts w:hint="eastAsia" w:ascii="宋体" w:hAnsi="宋体"/>
          <w:color w:val="auto"/>
          <w:szCs w:val="21"/>
        </w:rPr>
        <w:t>13.1 乙方应当在合同签订后</w:t>
      </w:r>
      <w:r>
        <w:rPr>
          <w:rFonts w:hint="eastAsia" w:ascii="宋体" w:hAnsi="宋体"/>
          <w:color w:val="auto"/>
          <w:szCs w:val="21"/>
          <w:u w:val="none"/>
          <w:lang w:eastAsia="zh-CN"/>
        </w:rPr>
        <w:t>，</w:t>
      </w:r>
      <w:r>
        <w:rPr>
          <w:rFonts w:hint="eastAsia" w:ascii="宋体" w:hAnsi="宋体"/>
          <w:color w:val="auto"/>
          <w:szCs w:val="21"/>
          <w:u w:val="none"/>
          <w:lang w:val="en-US" w:eastAsia="zh-CN"/>
        </w:rPr>
        <w:t>按照合同约定</w:t>
      </w:r>
      <w:r>
        <w:rPr>
          <w:rFonts w:hint="eastAsia" w:ascii="宋体" w:hAnsi="宋体"/>
          <w:color w:val="auto"/>
          <w:szCs w:val="21"/>
        </w:rPr>
        <w:t>完成服务事项，招标文件有约定的，从其约定。</w:t>
      </w:r>
    </w:p>
    <w:p w14:paraId="4435C32E">
      <w:pPr>
        <w:spacing w:line="360" w:lineRule="auto"/>
        <w:ind w:firstLine="420"/>
        <w:rPr>
          <w:rFonts w:ascii="宋体" w:hAnsi="宋体"/>
          <w:color w:val="auto"/>
          <w:szCs w:val="21"/>
        </w:rPr>
      </w:pPr>
      <w:r>
        <w:rPr>
          <w:rFonts w:hint="eastAsia" w:ascii="宋体" w:hAnsi="宋体"/>
          <w:color w:val="auto"/>
          <w:szCs w:val="21"/>
        </w:rPr>
        <w:t>在交付前，乙方应作出全面检查和对验收文件进行整理，并列出清单，作为甲方初验收和使用的技术条件依据，检验的结果交甲方。</w:t>
      </w:r>
    </w:p>
    <w:p w14:paraId="19A6F05E">
      <w:pPr>
        <w:spacing w:line="360" w:lineRule="auto"/>
        <w:ind w:firstLine="420"/>
        <w:rPr>
          <w:rFonts w:ascii="宋体" w:hAnsi="宋体"/>
          <w:color w:val="auto"/>
          <w:szCs w:val="21"/>
        </w:rPr>
      </w:pPr>
      <w:r>
        <w:rPr>
          <w:rFonts w:hint="eastAsia" w:ascii="宋体" w:hAnsi="宋体"/>
          <w:color w:val="auto"/>
          <w:szCs w:val="21"/>
        </w:rPr>
        <w:t>13.2 验收标准：按乙方投标文件的承诺，并不低于国家相关标准。</w:t>
      </w:r>
    </w:p>
    <w:p w14:paraId="7409DBF5">
      <w:pPr>
        <w:spacing w:line="360" w:lineRule="auto"/>
        <w:ind w:firstLine="420"/>
        <w:rPr>
          <w:rFonts w:ascii="宋体" w:hAnsi="宋体"/>
          <w:color w:val="auto"/>
          <w:szCs w:val="21"/>
        </w:rPr>
      </w:pPr>
      <w:r>
        <w:rPr>
          <w:rFonts w:hint="eastAsia" w:ascii="宋体" w:hAnsi="宋体"/>
          <w:color w:val="auto"/>
          <w:szCs w:val="21"/>
        </w:rPr>
        <w:t>对于乙方要交付的服务，甲乙双方须在</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工作日内初验收，甲方对乙方提交的服务依据招标文件上的技术要求和国家有关质量标准进行现场初步验收，符合招标文件技术要求的，给予签收，初步验收不合格的不予签收。</w:t>
      </w:r>
    </w:p>
    <w:p w14:paraId="230C6E07">
      <w:pPr>
        <w:spacing w:line="360" w:lineRule="auto"/>
        <w:ind w:firstLine="420"/>
        <w:rPr>
          <w:rFonts w:ascii="宋体" w:hAnsi="宋体"/>
          <w:color w:val="auto"/>
          <w:szCs w:val="21"/>
          <w:u w:val="single"/>
        </w:rPr>
      </w:pPr>
      <w:r>
        <w:rPr>
          <w:rFonts w:hint="eastAsia" w:ascii="宋体" w:hAnsi="宋体"/>
          <w:color w:val="auto"/>
          <w:szCs w:val="21"/>
        </w:rPr>
        <w:t>13.3 甲乙双方关于交付和验收的其他约定：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2410FA48">
      <w:pPr>
        <w:pStyle w:val="21"/>
        <w:spacing w:before="120" w:after="120" w:line="360" w:lineRule="auto"/>
        <w:ind w:firstLine="422"/>
        <w:rPr>
          <w:rFonts w:hAnsi="宋体"/>
          <w:b/>
          <w:bCs/>
          <w:color w:val="auto"/>
          <w:sz w:val="21"/>
        </w:rPr>
      </w:pPr>
      <w:r>
        <w:rPr>
          <w:rFonts w:hint="eastAsia" w:hAnsi="宋体"/>
          <w:b/>
          <w:bCs/>
          <w:color w:val="auto"/>
          <w:sz w:val="21"/>
        </w:rPr>
        <w:t>十四、违约责任</w:t>
      </w:r>
    </w:p>
    <w:p w14:paraId="07DC81DD">
      <w:pPr>
        <w:pStyle w:val="21"/>
        <w:spacing w:before="120" w:after="120" w:line="360" w:lineRule="auto"/>
        <w:ind w:firstLine="420"/>
        <w:rPr>
          <w:rFonts w:hAnsi="宋体"/>
          <w:color w:val="auto"/>
          <w:sz w:val="21"/>
        </w:rPr>
      </w:pPr>
      <w:r>
        <w:rPr>
          <w:rFonts w:hint="eastAsia" w:hAnsi="宋体"/>
          <w:color w:val="auto"/>
          <w:sz w:val="21"/>
        </w:rPr>
        <w:t>14.1 甲方无正当理由拒收服务的，甲方向乙方偿付拒收款项总值的百分之五违约金。</w:t>
      </w:r>
    </w:p>
    <w:p w14:paraId="36512442">
      <w:pPr>
        <w:pStyle w:val="21"/>
        <w:spacing w:before="120" w:after="120" w:line="360" w:lineRule="auto"/>
        <w:ind w:firstLine="420"/>
        <w:rPr>
          <w:rFonts w:hAnsi="宋体"/>
          <w:color w:val="auto"/>
          <w:sz w:val="21"/>
        </w:rPr>
      </w:pPr>
      <w:r>
        <w:rPr>
          <w:rFonts w:hint="eastAsia" w:hAnsi="宋体"/>
          <w:color w:val="auto"/>
          <w:sz w:val="21"/>
        </w:rPr>
        <w:t>14.2 甲方无故逾期验收和办理款项支付手续的,甲方应按逾期付款总额每日万分之五向乙方支付违约金。</w:t>
      </w:r>
    </w:p>
    <w:p w14:paraId="663323D6">
      <w:pPr>
        <w:pStyle w:val="21"/>
        <w:spacing w:before="120" w:after="120" w:line="360" w:lineRule="auto"/>
        <w:ind w:firstLine="420"/>
        <w:rPr>
          <w:rFonts w:hAnsi="宋体"/>
          <w:color w:val="auto"/>
          <w:sz w:val="21"/>
        </w:rPr>
      </w:pPr>
      <w:r>
        <w:rPr>
          <w:rFonts w:hint="eastAsia" w:hAnsi="宋体"/>
          <w:color w:val="auto"/>
          <w:sz w:val="21"/>
        </w:rPr>
        <w:t xml:space="preserve">14.3 乙方逾期交付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67951DB0">
      <w:pPr>
        <w:pStyle w:val="21"/>
        <w:spacing w:before="120" w:after="120" w:line="360" w:lineRule="auto"/>
        <w:ind w:firstLine="420"/>
        <w:rPr>
          <w:rFonts w:hAnsi="宋体"/>
          <w:color w:val="auto"/>
          <w:sz w:val="21"/>
        </w:rPr>
      </w:pPr>
      <w:r>
        <w:rPr>
          <w:rFonts w:hint="eastAsia" w:hAnsi="宋体"/>
          <w:color w:val="auto"/>
          <w:sz w:val="21"/>
        </w:rPr>
        <w:t>14.4 乙方所交的服务数量、质量不符合合同规定及招标文件规定标准的，甲方有权拒收该服务，乙方愿意更换服务但逾期交付的，按乙方逾期交付处理。乙方拒绝更换服务的，甲方可单方面解除合同。</w:t>
      </w:r>
    </w:p>
    <w:p w14:paraId="4317D9AB">
      <w:pPr>
        <w:pStyle w:val="21"/>
        <w:spacing w:before="120" w:after="120" w:line="360" w:lineRule="auto"/>
        <w:ind w:firstLine="422"/>
        <w:rPr>
          <w:rFonts w:hAnsi="宋体"/>
          <w:b/>
          <w:bCs/>
          <w:color w:val="auto"/>
          <w:sz w:val="21"/>
        </w:rPr>
      </w:pPr>
      <w:r>
        <w:rPr>
          <w:rFonts w:hint="eastAsia" w:hAnsi="宋体"/>
          <w:b/>
          <w:bCs/>
          <w:color w:val="auto"/>
          <w:sz w:val="21"/>
        </w:rPr>
        <w:t>十五、不可抗力事件处理</w:t>
      </w:r>
    </w:p>
    <w:p w14:paraId="0D9F35D8">
      <w:pPr>
        <w:pStyle w:val="21"/>
        <w:spacing w:before="120" w:after="120" w:line="360" w:lineRule="auto"/>
        <w:ind w:firstLine="420"/>
        <w:rPr>
          <w:rFonts w:hAnsi="宋体"/>
          <w:color w:val="auto"/>
          <w:sz w:val="21"/>
        </w:rPr>
      </w:pPr>
      <w:r>
        <w:rPr>
          <w:rFonts w:hint="eastAsia" w:hAnsi="宋体"/>
          <w:color w:val="auto"/>
          <w:sz w:val="21"/>
        </w:rPr>
        <w:t>15.1 在合同有效期内，任何一方因不可抗力事件导致不能履行合同，则合同履行期可延长，其延长期与不可抗力影响期相同。</w:t>
      </w:r>
    </w:p>
    <w:p w14:paraId="4BCB8D69">
      <w:pPr>
        <w:pStyle w:val="21"/>
        <w:spacing w:before="120" w:after="120" w:line="360" w:lineRule="auto"/>
        <w:ind w:firstLine="420"/>
        <w:rPr>
          <w:rFonts w:hAnsi="宋体"/>
          <w:color w:val="auto"/>
          <w:sz w:val="21"/>
        </w:rPr>
      </w:pPr>
      <w:r>
        <w:rPr>
          <w:rFonts w:hint="eastAsia" w:hAnsi="宋体"/>
          <w:color w:val="auto"/>
          <w:sz w:val="21"/>
        </w:rPr>
        <w:t>15.2 不可抗力事件发生后，应立即通知对方，并寄送有关权威机构出具的证明。</w:t>
      </w:r>
    </w:p>
    <w:p w14:paraId="50BCD21C">
      <w:pPr>
        <w:pStyle w:val="21"/>
        <w:spacing w:before="120" w:after="120" w:line="360" w:lineRule="auto"/>
        <w:ind w:firstLine="420"/>
        <w:rPr>
          <w:rFonts w:hAnsi="宋体"/>
          <w:color w:val="auto"/>
          <w:sz w:val="21"/>
        </w:rPr>
      </w:pPr>
      <w:r>
        <w:rPr>
          <w:rFonts w:hint="eastAsia" w:hAnsi="宋体"/>
          <w:color w:val="auto"/>
          <w:sz w:val="21"/>
        </w:rPr>
        <w:t>15.3 不可抗力事件延续120天以上，双方应通过友好协商，确定是否继续履行合同。</w:t>
      </w:r>
    </w:p>
    <w:p w14:paraId="57F48AE8">
      <w:pPr>
        <w:pStyle w:val="21"/>
        <w:spacing w:before="120" w:after="120" w:line="360" w:lineRule="auto"/>
        <w:ind w:firstLine="422"/>
        <w:rPr>
          <w:rFonts w:hAnsi="宋体"/>
          <w:b/>
          <w:bCs/>
          <w:color w:val="auto"/>
          <w:sz w:val="21"/>
        </w:rPr>
      </w:pPr>
      <w:r>
        <w:rPr>
          <w:rFonts w:hint="eastAsia" w:hAnsi="宋体"/>
          <w:b/>
          <w:bCs/>
          <w:color w:val="auto"/>
          <w:sz w:val="21"/>
        </w:rPr>
        <w:t>十六、诉讼</w:t>
      </w:r>
    </w:p>
    <w:p w14:paraId="4FDDC3A7">
      <w:pPr>
        <w:pStyle w:val="21"/>
        <w:spacing w:before="120" w:after="120" w:line="360" w:lineRule="auto"/>
        <w:ind w:firstLine="420"/>
        <w:rPr>
          <w:rFonts w:hAnsi="宋体"/>
          <w:color w:val="auto"/>
          <w:sz w:val="21"/>
        </w:rPr>
      </w:pPr>
      <w:r>
        <w:rPr>
          <w:rFonts w:hint="eastAsia" w:hAnsi="宋体"/>
          <w:color w:val="auto"/>
          <w:sz w:val="21"/>
        </w:rPr>
        <w:t>16.1 双方在执行合同中所发生的一切争议，应通过协商解决。如协商不成，可向合同签订地法院起诉，合同签订地在此约定为扬州市。</w:t>
      </w:r>
    </w:p>
    <w:p w14:paraId="31DE5F55">
      <w:pPr>
        <w:spacing w:line="360" w:lineRule="auto"/>
        <w:ind w:firstLine="422"/>
        <w:rPr>
          <w:rFonts w:hAnsi="宋体"/>
          <w:color w:val="auto"/>
          <w:szCs w:val="21"/>
        </w:rPr>
      </w:pPr>
      <w:r>
        <w:rPr>
          <w:rFonts w:hint="eastAsia" w:ascii="宋体" w:hAnsi="宋体"/>
          <w:b/>
          <w:bCs/>
          <w:color w:val="auto"/>
          <w:szCs w:val="21"/>
        </w:rPr>
        <w:t>十七、</w:t>
      </w:r>
      <w:r>
        <w:rPr>
          <w:rFonts w:hint="eastAsia" w:ascii="宋体" w:hAnsi="宋体" w:cs="宋体"/>
          <w:bCs/>
          <w:color w:val="auto"/>
        </w:rPr>
        <w:t>为落实好政府采购履约资金扶持政策，乙方可凭政府采购合同办理融资贷款，详见江苏政府采购网“政采贷”专栏</w:t>
      </w:r>
      <w:r>
        <w:rPr>
          <w:rFonts w:hint="eastAsia" w:ascii="宋体" w:hAnsi="宋体"/>
          <w:color w:val="auto"/>
          <w:szCs w:val="21"/>
        </w:rPr>
        <w:t>。</w:t>
      </w:r>
    </w:p>
    <w:p w14:paraId="711A6682">
      <w:pPr>
        <w:pStyle w:val="21"/>
        <w:spacing w:before="120" w:after="120" w:line="360" w:lineRule="auto"/>
        <w:ind w:firstLine="422"/>
        <w:rPr>
          <w:rFonts w:hAnsi="宋体"/>
          <w:b/>
          <w:bCs/>
          <w:color w:val="auto"/>
          <w:sz w:val="21"/>
        </w:rPr>
      </w:pPr>
      <w:r>
        <w:rPr>
          <w:rFonts w:hint="eastAsia" w:hAnsi="宋体"/>
          <w:b/>
          <w:bCs/>
          <w:color w:val="auto"/>
          <w:sz w:val="21"/>
        </w:rPr>
        <w:t>十八、合同生效及其它</w:t>
      </w:r>
    </w:p>
    <w:p w14:paraId="45F256ED">
      <w:pPr>
        <w:pStyle w:val="21"/>
        <w:spacing w:before="120" w:after="120" w:line="360" w:lineRule="auto"/>
        <w:ind w:firstLine="420"/>
        <w:rPr>
          <w:rFonts w:hint="eastAsia" w:hAnsi="宋体"/>
          <w:color w:val="auto"/>
          <w:sz w:val="21"/>
        </w:rPr>
      </w:pPr>
      <w:r>
        <w:rPr>
          <w:rFonts w:hint="eastAsia" w:hAnsi="宋体"/>
          <w:color w:val="auto"/>
          <w:sz w:val="21"/>
        </w:rPr>
        <w:t>18.1 乙方应诚实信用，严格按照磋商文件要求和响应承诺履行合同，不向甲方进行商业贿赂或者提供不正当利益。</w:t>
      </w:r>
    </w:p>
    <w:p w14:paraId="1987AAD0">
      <w:pPr>
        <w:pStyle w:val="21"/>
        <w:spacing w:before="120" w:after="120" w:line="360" w:lineRule="auto"/>
        <w:ind w:firstLine="420"/>
        <w:rPr>
          <w:rFonts w:hAnsi="宋体"/>
          <w:color w:val="auto"/>
          <w:sz w:val="21"/>
        </w:rPr>
      </w:pPr>
      <w:r>
        <w:rPr>
          <w:rFonts w:hint="eastAsia" w:hAnsi="宋体"/>
          <w:color w:val="auto"/>
          <w:sz w:val="21"/>
        </w:rPr>
        <w:t>18.</w:t>
      </w:r>
      <w:r>
        <w:rPr>
          <w:rFonts w:hint="eastAsia" w:hAnsi="宋体"/>
          <w:color w:val="auto"/>
          <w:sz w:val="21"/>
          <w:lang w:val="en-US" w:eastAsia="zh-CN"/>
        </w:rPr>
        <w:t>2</w:t>
      </w:r>
      <w:r>
        <w:rPr>
          <w:rFonts w:hint="eastAsia" w:hAnsi="宋体"/>
          <w:color w:val="auto"/>
          <w:sz w:val="21"/>
        </w:rPr>
        <w:t>合同经双方法定代表人或授权代表签字并盖单位章后生效。</w:t>
      </w:r>
    </w:p>
    <w:p w14:paraId="0846A26A">
      <w:pPr>
        <w:pStyle w:val="21"/>
        <w:spacing w:before="120" w:after="120" w:line="360" w:lineRule="auto"/>
        <w:ind w:firstLine="420"/>
        <w:rPr>
          <w:rFonts w:hAnsi="宋体"/>
          <w:color w:val="auto"/>
          <w:sz w:val="21"/>
        </w:rPr>
      </w:pPr>
      <w:r>
        <w:rPr>
          <w:rFonts w:hint="eastAsia" w:hAnsi="宋体"/>
          <w:color w:val="auto"/>
          <w:sz w:val="21"/>
        </w:rPr>
        <w:t>18.</w:t>
      </w:r>
      <w:r>
        <w:rPr>
          <w:rFonts w:hint="eastAsia" w:hAnsi="宋体"/>
          <w:color w:val="auto"/>
          <w:sz w:val="21"/>
          <w:lang w:val="en-US" w:eastAsia="zh-CN"/>
        </w:rPr>
        <w:t>3</w:t>
      </w:r>
      <w:r>
        <w:rPr>
          <w:rFonts w:hint="eastAsia" w:hAnsi="宋体"/>
          <w:color w:val="auto"/>
          <w:sz w:val="21"/>
        </w:rPr>
        <w:t>本合同未尽事宜，遵照《</w:t>
      </w:r>
      <w:r>
        <w:rPr>
          <w:rFonts w:hint="eastAsia" w:hAnsi="宋体"/>
          <w:color w:val="auto"/>
          <w:sz w:val="21"/>
          <w:lang w:val="en-US" w:eastAsia="zh-CN"/>
        </w:rPr>
        <w:t>中华人民共和国</w:t>
      </w:r>
      <w:r>
        <w:rPr>
          <w:rFonts w:hint="eastAsia" w:hAnsi="宋体"/>
          <w:color w:val="auto"/>
          <w:sz w:val="21"/>
        </w:rPr>
        <w:t>民法典》有关条文执行。</w:t>
      </w:r>
    </w:p>
    <w:p w14:paraId="1F14473E">
      <w:pPr>
        <w:pStyle w:val="21"/>
        <w:spacing w:before="120" w:after="120" w:line="360" w:lineRule="auto"/>
        <w:ind w:firstLine="420"/>
        <w:rPr>
          <w:rFonts w:hAnsi="宋体"/>
          <w:color w:val="auto"/>
          <w:sz w:val="21"/>
        </w:rPr>
      </w:pPr>
      <w:r>
        <w:rPr>
          <w:rFonts w:hint="eastAsia" w:hAnsi="宋体"/>
          <w:color w:val="auto"/>
          <w:sz w:val="21"/>
        </w:rPr>
        <w:t>18.</w:t>
      </w:r>
      <w:r>
        <w:rPr>
          <w:rFonts w:hint="eastAsia" w:hAnsi="宋体"/>
          <w:color w:val="auto"/>
          <w:sz w:val="21"/>
          <w:lang w:val="en-US" w:eastAsia="zh-CN"/>
        </w:rPr>
        <w:t>4</w:t>
      </w:r>
      <w:r>
        <w:rPr>
          <w:rFonts w:hint="eastAsia" w:hAnsi="宋体"/>
          <w:color w:val="auto"/>
          <w:sz w:val="21"/>
        </w:rPr>
        <w:t xml:space="preserve"> 本合同正本一式</w:t>
      </w:r>
      <w:r>
        <w:rPr>
          <w:rFonts w:hint="eastAsia" w:hAnsi="宋体"/>
          <w:color w:val="auto"/>
          <w:sz w:val="21"/>
          <w:lang w:val="en-US" w:eastAsia="zh-CN"/>
        </w:rPr>
        <w:t>肆</w:t>
      </w:r>
      <w:r>
        <w:rPr>
          <w:rFonts w:hint="eastAsia" w:hAnsi="宋体"/>
          <w:color w:val="auto"/>
          <w:sz w:val="21"/>
        </w:rPr>
        <w:t xml:space="preserve">份，具有同等法律效力，甲方、乙方各执两份。  </w:t>
      </w:r>
    </w:p>
    <w:tbl>
      <w:tblPr>
        <w:tblStyle w:val="42"/>
        <w:tblW w:w="8522" w:type="dxa"/>
        <w:tblInd w:w="135" w:type="dxa"/>
        <w:tblLayout w:type="fixed"/>
        <w:tblCellMar>
          <w:top w:w="0" w:type="dxa"/>
          <w:left w:w="108" w:type="dxa"/>
          <w:bottom w:w="0" w:type="dxa"/>
          <w:right w:w="108" w:type="dxa"/>
        </w:tblCellMar>
      </w:tblPr>
      <w:tblGrid>
        <w:gridCol w:w="4284"/>
        <w:gridCol w:w="4238"/>
      </w:tblGrid>
      <w:tr w14:paraId="0E1C3A9C">
        <w:tblPrEx>
          <w:tblCellMar>
            <w:top w:w="0" w:type="dxa"/>
            <w:left w:w="108" w:type="dxa"/>
            <w:bottom w:w="0" w:type="dxa"/>
            <w:right w:w="108" w:type="dxa"/>
          </w:tblCellMar>
        </w:tblPrEx>
        <w:tc>
          <w:tcPr>
            <w:tcW w:w="4284" w:type="dxa"/>
            <w:tcBorders>
              <w:top w:val="nil"/>
              <w:left w:val="nil"/>
              <w:bottom w:val="nil"/>
              <w:right w:val="nil"/>
            </w:tcBorders>
            <w:noWrap w:val="0"/>
          </w:tcPr>
          <w:p w14:paraId="49A6748E">
            <w:pPr>
              <w:pStyle w:val="21"/>
              <w:spacing w:before="120" w:after="120" w:line="360" w:lineRule="auto"/>
              <w:rPr>
                <w:rFonts w:hAnsi="宋体"/>
                <w:color w:val="auto"/>
                <w:sz w:val="21"/>
              </w:rPr>
            </w:pPr>
            <w:r>
              <w:rPr>
                <w:rFonts w:hint="eastAsia" w:hAnsi="宋体"/>
                <w:color w:val="auto"/>
                <w:sz w:val="21"/>
              </w:rPr>
              <w:t>甲方： 扬州大学附属医院</w:t>
            </w:r>
          </w:p>
        </w:tc>
        <w:tc>
          <w:tcPr>
            <w:tcW w:w="4238" w:type="dxa"/>
            <w:tcBorders>
              <w:top w:val="nil"/>
              <w:left w:val="nil"/>
              <w:bottom w:val="nil"/>
              <w:right w:val="nil"/>
            </w:tcBorders>
            <w:noWrap w:val="0"/>
          </w:tcPr>
          <w:p w14:paraId="63B20466">
            <w:pPr>
              <w:pStyle w:val="21"/>
              <w:spacing w:before="120" w:after="120" w:line="360" w:lineRule="auto"/>
              <w:rPr>
                <w:rFonts w:hAnsi="宋体"/>
                <w:color w:val="auto"/>
                <w:sz w:val="21"/>
              </w:rPr>
            </w:pPr>
            <w:r>
              <w:rPr>
                <w:rFonts w:hint="eastAsia" w:hAnsi="宋体"/>
                <w:color w:val="auto"/>
                <w:sz w:val="21"/>
              </w:rPr>
              <w:t xml:space="preserve">乙方： </w:t>
            </w:r>
          </w:p>
        </w:tc>
      </w:tr>
      <w:tr w14:paraId="5419D7F8">
        <w:tblPrEx>
          <w:tblCellMar>
            <w:top w:w="0" w:type="dxa"/>
            <w:left w:w="108" w:type="dxa"/>
            <w:bottom w:w="0" w:type="dxa"/>
            <w:right w:w="108" w:type="dxa"/>
          </w:tblCellMar>
        </w:tblPrEx>
        <w:tc>
          <w:tcPr>
            <w:tcW w:w="4284" w:type="dxa"/>
            <w:tcBorders>
              <w:top w:val="nil"/>
              <w:left w:val="nil"/>
              <w:bottom w:val="nil"/>
              <w:right w:val="nil"/>
            </w:tcBorders>
            <w:noWrap w:val="0"/>
          </w:tcPr>
          <w:p w14:paraId="41B51221">
            <w:pPr>
              <w:pStyle w:val="21"/>
              <w:spacing w:before="120" w:after="120" w:line="360" w:lineRule="auto"/>
              <w:rPr>
                <w:rFonts w:hAnsi="宋体"/>
                <w:color w:val="auto"/>
                <w:sz w:val="21"/>
              </w:rPr>
            </w:pPr>
            <w:r>
              <w:rPr>
                <w:rFonts w:hint="eastAsia" w:hAnsi="宋体"/>
                <w:color w:val="auto"/>
                <w:sz w:val="21"/>
              </w:rPr>
              <w:t xml:space="preserve">地址： </w:t>
            </w:r>
          </w:p>
        </w:tc>
        <w:tc>
          <w:tcPr>
            <w:tcW w:w="4238" w:type="dxa"/>
            <w:tcBorders>
              <w:top w:val="nil"/>
              <w:left w:val="nil"/>
              <w:bottom w:val="nil"/>
              <w:right w:val="nil"/>
            </w:tcBorders>
            <w:noWrap w:val="0"/>
          </w:tcPr>
          <w:p w14:paraId="1E25A014">
            <w:pPr>
              <w:pStyle w:val="21"/>
              <w:spacing w:before="120" w:after="120" w:line="360" w:lineRule="auto"/>
              <w:rPr>
                <w:rFonts w:hAnsi="宋体"/>
                <w:color w:val="auto"/>
                <w:sz w:val="21"/>
              </w:rPr>
            </w:pPr>
            <w:r>
              <w:rPr>
                <w:rFonts w:hint="eastAsia" w:hAnsi="宋体"/>
                <w:color w:val="auto"/>
                <w:sz w:val="21"/>
              </w:rPr>
              <w:t xml:space="preserve">地址： </w:t>
            </w:r>
          </w:p>
        </w:tc>
      </w:tr>
      <w:tr w14:paraId="1EEAB43B">
        <w:tblPrEx>
          <w:tblCellMar>
            <w:top w:w="0" w:type="dxa"/>
            <w:left w:w="108" w:type="dxa"/>
            <w:bottom w:w="0" w:type="dxa"/>
            <w:right w:w="108" w:type="dxa"/>
          </w:tblCellMar>
        </w:tblPrEx>
        <w:tc>
          <w:tcPr>
            <w:tcW w:w="4284" w:type="dxa"/>
            <w:tcBorders>
              <w:top w:val="nil"/>
              <w:left w:val="nil"/>
              <w:bottom w:val="nil"/>
              <w:right w:val="nil"/>
            </w:tcBorders>
            <w:noWrap w:val="0"/>
          </w:tcPr>
          <w:p w14:paraId="21DA38E4">
            <w:pPr>
              <w:pStyle w:val="21"/>
              <w:spacing w:before="120" w:after="120" w:line="360" w:lineRule="auto"/>
              <w:rPr>
                <w:rFonts w:hAnsi="宋体"/>
                <w:color w:val="auto"/>
                <w:sz w:val="21"/>
              </w:rPr>
            </w:pPr>
            <w:r>
              <w:rPr>
                <w:rFonts w:hint="eastAsia" w:hAnsi="宋体"/>
                <w:color w:val="auto"/>
                <w:sz w:val="21"/>
              </w:rPr>
              <w:t>法定代表人或授权代表：</w:t>
            </w:r>
          </w:p>
        </w:tc>
        <w:tc>
          <w:tcPr>
            <w:tcW w:w="4238" w:type="dxa"/>
            <w:tcBorders>
              <w:top w:val="nil"/>
              <w:left w:val="nil"/>
              <w:bottom w:val="nil"/>
              <w:right w:val="nil"/>
            </w:tcBorders>
            <w:noWrap w:val="0"/>
          </w:tcPr>
          <w:p w14:paraId="40EA2D8E">
            <w:pPr>
              <w:pStyle w:val="21"/>
              <w:spacing w:before="120" w:after="120" w:line="360" w:lineRule="auto"/>
              <w:rPr>
                <w:rFonts w:hAnsi="宋体"/>
                <w:color w:val="auto"/>
                <w:sz w:val="21"/>
              </w:rPr>
            </w:pPr>
            <w:r>
              <w:rPr>
                <w:rFonts w:hint="eastAsia" w:hAnsi="宋体"/>
                <w:color w:val="auto"/>
                <w:sz w:val="21"/>
              </w:rPr>
              <w:t>法定代表人或授权代表：</w:t>
            </w:r>
          </w:p>
        </w:tc>
      </w:tr>
      <w:tr w14:paraId="7DC83EE6">
        <w:tblPrEx>
          <w:tblCellMar>
            <w:top w:w="0" w:type="dxa"/>
            <w:left w:w="108" w:type="dxa"/>
            <w:bottom w:w="0" w:type="dxa"/>
            <w:right w:w="108" w:type="dxa"/>
          </w:tblCellMar>
        </w:tblPrEx>
        <w:tc>
          <w:tcPr>
            <w:tcW w:w="4284" w:type="dxa"/>
            <w:tcBorders>
              <w:top w:val="nil"/>
              <w:left w:val="nil"/>
              <w:bottom w:val="nil"/>
              <w:right w:val="nil"/>
            </w:tcBorders>
            <w:noWrap w:val="0"/>
          </w:tcPr>
          <w:p w14:paraId="580FC643">
            <w:pPr>
              <w:pStyle w:val="21"/>
              <w:spacing w:before="120" w:after="120" w:line="360" w:lineRule="auto"/>
              <w:rPr>
                <w:rFonts w:hAnsi="宋体"/>
                <w:color w:val="auto"/>
                <w:sz w:val="21"/>
              </w:rPr>
            </w:pPr>
            <w:r>
              <w:rPr>
                <w:rFonts w:hint="eastAsia" w:hAnsi="宋体"/>
                <w:color w:val="auto"/>
                <w:sz w:val="21"/>
              </w:rPr>
              <w:t>联系电话：</w:t>
            </w:r>
          </w:p>
        </w:tc>
        <w:tc>
          <w:tcPr>
            <w:tcW w:w="4238" w:type="dxa"/>
            <w:tcBorders>
              <w:top w:val="nil"/>
              <w:left w:val="nil"/>
              <w:bottom w:val="nil"/>
              <w:right w:val="nil"/>
            </w:tcBorders>
            <w:noWrap w:val="0"/>
          </w:tcPr>
          <w:p w14:paraId="5C9C2833">
            <w:pPr>
              <w:pStyle w:val="21"/>
              <w:spacing w:before="120" w:after="120" w:line="360" w:lineRule="auto"/>
              <w:rPr>
                <w:rFonts w:hAnsi="宋体"/>
                <w:color w:val="auto"/>
                <w:sz w:val="21"/>
              </w:rPr>
            </w:pPr>
            <w:r>
              <w:rPr>
                <w:rFonts w:hint="eastAsia" w:hAnsi="宋体"/>
                <w:color w:val="auto"/>
                <w:sz w:val="21"/>
              </w:rPr>
              <w:t>联系电话：</w:t>
            </w:r>
          </w:p>
        </w:tc>
      </w:tr>
      <w:tr w14:paraId="72C11D79">
        <w:tblPrEx>
          <w:tblCellMar>
            <w:top w:w="0" w:type="dxa"/>
            <w:left w:w="108" w:type="dxa"/>
            <w:bottom w:w="0" w:type="dxa"/>
            <w:right w:w="108" w:type="dxa"/>
          </w:tblCellMar>
        </w:tblPrEx>
        <w:tc>
          <w:tcPr>
            <w:tcW w:w="4284" w:type="dxa"/>
            <w:tcBorders>
              <w:top w:val="nil"/>
              <w:left w:val="nil"/>
              <w:bottom w:val="nil"/>
              <w:right w:val="nil"/>
            </w:tcBorders>
            <w:noWrap w:val="0"/>
          </w:tcPr>
          <w:p w14:paraId="06836DB9">
            <w:pPr>
              <w:pStyle w:val="21"/>
              <w:spacing w:before="120" w:after="120" w:line="360" w:lineRule="auto"/>
              <w:rPr>
                <w:rFonts w:hAnsi="宋体"/>
                <w:color w:val="auto"/>
                <w:sz w:val="21"/>
              </w:rPr>
            </w:pPr>
            <w:r>
              <w:rPr>
                <w:rFonts w:hint="eastAsia" w:hAnsi="宋体"/>
                <w:color w:val="auto"/>
                <w:sz w:val="21"/>
              </w:rPr>
              <w:t xml:space="preserve">日期：      年    月    日  </w:t>
            </w:r>
          </w:p>
        </w:tc>
        <w:tc>
          <w:tcPr>
            <w:tcW w:w="4238" w:type="dxa"/>
            <w:tcBorders>
              <w:top w:val="nil"/>
              <w:left w:val="nil"/>
              <w:bottom w:val="nil"/>
              <w:right w:val="nil"/>
            </w:tcBorders>
            <w:noWrap w:val="0"/>
          </w:tcPr>
          <w:p w14:paraId="68F40376">
            <w:pPr>
              <w:pStyle w:val="21"/>
              <w:spacing w:before="120" w:after="120" w:line="360" w:lineRule="auto"/>
              <w:rPr>
                <w:rFonts w:hAnsi="宋体"/>
                <w:color w:val="auto"/>
                <w:sz w:val="21"/>
              </w:rPr>
            </w:pPr>
            <w:r>
              <w:rPr>
                <w:rFonts w:hint="eastAsia" w:hAnsi="宋体"/>
                <w:color w:val="auto"/>
                <w:sz w:val="21"/>
              </w:rPr>
              <w:t>日期：      年    月    日</w:t>
            </w:r>
          </w:p>
        </w:tc>
      </w:tr>
    </w:tbl>
    <w:p w14:paraId="4DB7B971">
      <w:pPr>
        <w:jc w:val="center"/>
        <w:rPr>
          <w:rFonts w:ascii="宋体" w:hAnsi="宋体" w:cs="宋体"/>
          <w:b/>
          <w:bCs/>
          <w:color w:val="auto"/>
          <w:sz w:val="36"/>
          <w:szCs w:val="36"/>
        </w:rPr>
      </w:pPr>
      <w:r>
        <w:rPr>
          <w:rFonts w:hint="eastAsia" w:ascii="宋体" w:hAnsi="宋体"/>
          <w:color w:val="auto"/>
          <w:sz w:val="36"/>
          <w:highlight w:val="none"/>
        </w:rPr>
        <w:br w:type="page" w:clear="all"/>
      </w:r>
      <w:r>
        <w:rPr>
          <w:rFonts w:hint="eastAsia" w:ascii="宋体" w:hAnsi="宋体" w:cs="宋体"/>
          <w:b/>
          <w:bCs/>
          <w:color w:val="auto"/>
          <w:sz w:val="36"/>
          <w:szCs w:val="36"/>
        </w:rPr>
        <w:t>廉洁合作协议</w:t>
      </w:r>
    </w:p>
    <w:p w14:paraId="24114402">
      <w:pPr>
        <w:spacing w:line="440" w:lineRule="exact"/>
        <w:contextualSpacing/>
        <w:rPr>
          <w:rFonts w:ascii="宋体" w:hAnsi="宋体" w:cs="宋体"/>
          <w:color w:val="auto"/>
          <w:szCs w:val="21"/>
        </w:rPr>
      </w:pPr>
      <w:r>
        <w:rPr>
          <w:rFonts w:hint="eastAsia" w:ascii="宋体" w:hAnsi="宋体" w:cs="宋体"/>
          <w:color w:val="auto"/>
          <w:szCs w:val="21"/>
        </w:rPr>
        <w:t>合同编号：</w:t>
      </w:r>
    </w:p>
    <w:p w14:paraId="6C999213">
      <w:pPr>
        <w:spacing w:line="340" w:lineRule="exact"/>
        <w:contextualSpacing/>
        <w:rPr>
          <w:rFonts w:ascii="宋体" w:hAnsi="宋体" w:cs="宋体"/>
          <w:b/>
          <w:color w:val="auto"/>
          <w:szCs w:val="21"/>
        </w:rPr>
      </w:pPr>
      <w:r>
        <w:rPr>
          <w:rFonts w:hint="eastAsia" w:ascii="宋体" w:hAnsi="宋体" w:cs="宋体"/>
          <w:color w:val="auto"/>
          <w:szCs w:val="21"/>
        </w:rPr>
        <w:t>甲方名称：</w:t>
      </w:r>
      <w:r>
        <w:rPr>
          <w:rFonts w:hint="eastAsia" w:ascii="宋体" w:hAnsi="宋体" w:cs="宋体"/>
          <w:b/>
          <w:bCs/>
          <w:color w:val="auto"/>
          <w:szCs w:val="21"/>
        </w:rPr>
        <w:t>扬州大学附属医院</w:t>
      </w:r>
    </w:p>
    <w:p w14:paraId="393F9FBE">
      <w:pPr>
        <w:spacing w:line="340" w:lineRule="exact"/>
        <w:contextualSpacing/>
        <w:rPr>
          <w:rFonts w:ascii="宋体" w:hAnsi="宋体" w:cs="宋体"/>
          <w:b/>
          <w:bCs/>
          <w:color w:val="auto"/>
          <w:szCs w:val="21"/>
        </w:rPr>
      </w:pPr>
      <w:r>
        <w:rPr>
          <w:rFonts w:hint="eastAsia" w:ascii="宋体" w:hAnsi="宋体" w:cs="宋体"/>
          <w:color w:val="auto"/>
          <w:szCs w:val="21"/>
        </w:rPr>
        <w:t>乙方名称：</w:t>
      </w:r>
      <w:r>
        <w:rPr>
          <w:rFonts w:hint="eastAsia" w:ascii="宋体" w:hAnsi="宋体" w:cs="宋体"/>
          <w:b/>
          <w:bCs/>
          <w:color w:val="auto"/>
          <w:szCs w:val="21"/>
        </w:rPr>
        <w:t xml:space="preserve"> </w:t>
      </w:r>
    </w:p>
    <w:p w14:paraId="2187B8BE">
      <w:pPr>
        <w:spacing w:line="340" w:lineRule="exact"/>
        <w:ind w:firstLine="420"/>
        <w:contextualSpacing/>
        <w:rPr>
          <w:rFonts w:ascii="宋体" w:hAnsi="宋体" w:cs="宋体"/>
          <w:color w:val="auto"/>
          <w:szCs w:val="21"/>
        </w:rPr>
      </w:pPr>
      <w:r>
        <w:rPr>
          <w:rFonts w:hint="eastAsia" w:ascii="宋体" w:hAnsi="宋体" w:cs="宋体"/>
          <w:color w:val="auto"/>
          <w:szCs w:val="21"/>
        </w:rPr>
        <w:t>在甲乙双方订立、履行合同过程中，为保持廉洁自律的工作作风，防止各种不正当行为的发生，甲乙双方订立协议如下：</w:t>
      </w:r>
    </w:p>
    <w:p w14:paraId="23B9DF8F">
      <w:pPr>
        <w:spacing w:line="340" w:lineRule="exact"/>
        <w:ind w:firstLine="420"/>
        <w:contextualSpacing/>
        <w:rPr>
          <w:rFonts w:ascii="宋体" w:hAnsi="宋体" w:cs="宋体"/>
          <w:color w:val="auto"/>
          <w:szCs w:val="21"/>
        </w:rPr>
      </w:pPr>
      <w:r>
        <w:rPr>
          <w:rFonts w:hint="eastAsia" w:ascii="宋体" w:hAnsi="宋体" w:cs="宋体"/>
          <w:color w:val="auto"/>
          <w:szCs w:val="21"/>
        </w:rPr>
        <w:t>一、甲乙双方应当自觉遵守国家、地方法律法规以及本协议的约定，在合同的订立、履行过程中廉洁自律。</w:t>
      </w:r>
    </w:p>
    <w:p w14:paraId="54598994">
      <w:pPr>
        <w:spacing w:line="340" w:lineRule="exact"/>
        <w:ind w:firstLine="420"/>
        <w:contextualSpacing/>
        <w:rPr>
          <w:rFonts w:ascii="宋体" w:hAnsi="宋体" w:cs="宋体"/>
          <w:color w:val="auto"/>
          <w:szCs w:val="21"/>
        </w:rPr>
      </w:pPr>
      <w:r>
        <w:rPr>
          <w:rFonts w:hint="eastAsia" w:ascii="宋体" w:hAnsi="宋体" w:cs="宋体"/>
          <w:color w:val="auto"/>
          <w:szCs w:val="21"/>
        </w:rPr>
        <w:t>二、甲方工作人员严禁进行商业目的的统方，不得以任何形式向乙方索要和收受个人回扣等好处费。</w:t>
      </w:r>
    </w:p>
    <w:p w14:paraId="7C96D443">
      <w:pPr>
        <w:spacing w:line="340" w:lineRule="exact"/>
        <w:ind w:firstLine="420"/>
        <w:contextualSpacing/>
        <w:rPr>
          <w:rFonts w:ascii="宋体" w:hAnsi="宋体" w:cs="宋体"/>
          <w:color w:val="auto"/>
          <w:szCs w:val="21"/>
        </w:rPr>
      </w:pPr>
      <w:r>
        <w:rPr>
          <w:rFonts w:hint="eastAsia" w:ascii="宋体" w:hAnsi="宋体" w:cs="宋体"/>
          <w:color w:val="auto"/>
          <w:szCs w:val="21"/>
        </w:rPr>
        <w:t>三、甲方工作人员应当保持与乙方的正常业务交往，不得接受乙方的礼金、有价证券和贵重物品，不得在乙方报销任何应由其个人承担的费用。</w:t>
      </w:r>
    </w:p>
    <w:p w14:paraId="340489DC">
      <w:pPr>
        <w:spacing w:line="340" w:lineRule="exact"/>
        <w:ind w:firstLine="420"/>
        <w:contextualSpacing/>
        <w:rPr>
          <w:rFonts w:ascii="宋体" w:hAnsi="宋体" w:cs="宋体"/>
          <w:color w:val="auto"/>
          <w:szCs w:val="21"/>
        </w:rPr>
      </w:pPr>
      <w:r>
        <w:rPr>
          <w:rFonts w:hint="eastAsia" w:ascii="宋体" w:hAnsi="宋体" w:cs="宋体"/>
          <w:color w:val="auto"/>
          <w:szCs w:val="21"/>
        </w:rPr>
        <w:t>四、甲方工作人员不得参加可能对公正开展业务有影响的宴请和娱乐活动。如甲方工作人员确因实际情况须参加宴请、进行娱乐活动的，须事先报上一级批准。</w:t>
      </w:r>
    </w:p>
    <w:p w14:paraId="48A89200">
      <w:pPr>
        <w:spacing w:line="340" w:lineRule="exact"/>
        <w:ind w:firstLine="420"/>
        <w:contextualSpacing/>
        <w:rPr>
          <w:rFonts w:ascii="宋体" w:hAnsi="宋体" w:cs="宋体"/>
          <w:color w:val="auto"/>
          <w:szCs w:val="21"/>
        </w:rPr>
      </w:pPr>
      <w:r>
        <w:rPr>
          <w:rFonts w:hint="eastAsia" w:ascii="宋体" w:hAnsi="宋体" w:cs="宋体"/>
          <w:color w:val="auto"/>
          <w:szCs w:val="21"/>
        </w:rPr>
        <w:t>五、甲方工作人员不得要求或者接受乙方为其住房装修、婚丧嫁娶、家属和子女的工作安排以及出国等提供方便。</w:t>
      </w:r>
    </w:p>
    <w:p w14:paraId="00ECF8AD">
      <w:pPr>
        <w:spacing w:line="340" w:lineRule="exact"/>
        <w:ind w:firstLine="420"/>
        <w:contextualSpacing/>
        <w:rPr>
          <w:rFonts w:ascii="宋体" w:hAnsi="宋体" w:cs="宋体"/>
          <w:color w:val="auto"/>
          <w:szCs w:val="21"/>
        </w:rPr>
      </w:pPr>
      <w:r>
        <w:rPr>
          <w:rFonts w:hint="eastAsia" w:ascii="宋体" w:hAnsi="宋体" w:cs="宋体"/>
          <w:color w:val="auto"/>
          <w:szCs w:val="21"/>
        </w:rPr>
        <w:t>六、乙方不得接受甲方工作人员介绍的家属或者亲友从事与合同相关的业务。</w:t>
      </w:r>
    </w:p>
    <w:p w14:paraId="4ED772C8">
      <w:pPr>
        <w:spacing w:line="340" w:lineRule="exact"/>
        <w:ind w:firstLine="420"/>
        <w:contextualSpacing/>
        <w:rPr>
          <w:rFonts w:ascii="宋体" w:hAnsi="宋体" w:cs="宋体"/>
          <w:color w:val="auto"/>
          <w:szCs w:val="21"/>
        </w:rPr>
      </w:pPr>
      <w:r>
        <w:rPr>
          <w:rFonts w:hint="eastAsia" w:ascii="宋体" w:hAnsi="宋体" w:cs="宋体"/>
          <w:color w:val="auto"/>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0D4630C4">
      <w:pPr>
        <w:spacing w:line="340" w:lineRule="exact"/>
        <w:ind w:firstLine="420"/>
        <w:contextualSpacing/>
        <w:rPr>
          <w:rFonts w:ascii="宋体" w:hAnsi="宋体" w:cs="宋体"/>
          <w:color w:val="auto"/>
          <w:szCs w:val="21"/>
        </w:rPr>
      </w:pPr>
      <w:r>
        <w:rPr>
          <w:rFonts w:hint="eastAsia" w:ascii="宋体" w:hAnsi="宋体" w:cs="宋体"/>
          <w:color w:val="auto"/>
          <w:szCs w:val="21"/>
        </w:rPr>
        <w:t>八、乙方如发现甲方工作人员有违反上述协议者，应向甲方举报（甲方举报接待部门：</w:t>
      </w:r>
      <w:r>
        <w:rPr>
          <w:rFonts w:hint="eastAsia" w:ascii="宋体" w:hAnsi="宋体" w:cs="宋体"/>
          <w:color w:val="auto"/>
          <w:szCs w:val="21"/>
          <w:highlight w:val="none"/>
        </w:rPr>
        <w:t>纪委办公室；举报电话：87907263）</w:t>
      </w:r>
      <w:r>
        <w:rPr>
          <w:rFonts w:hint="eastAsia" w:ascii="宋体" w:hAnsi="宋体" w:cs="宋体"/>
          <w:color w:val="auto"/>
          <w:szCs w:val="21"/>
        </w:rPr>
        <w:t>。甲方不得找任何借口对乙方进行报复。甲方对举报属实和严格遵守廉洁协议的乙方，在同等条件下优先考虑与乙方继续合作。</w:t>
      </w:r>
    </w:p>
    <w:p w14:paraId="20EB3646">
      <w:pPr>
        <w:spacing w:line="340" w:lineRule="exact"/>
        <w:ind w:firstLine="420"/>
        <w:contextualSpacing/>
        <w:rPr>
          <w:rFonts w:ascii="宋体" w:hAnsi="宋体" w:cs="宋体"/>
          <w:color w:val="auto"/>
          <w:szCs w:val="21"/>
        </w:rPr>
      </w:pPr>
      <w:r>
        <w:rPr>
          <w:rFonts w:hint="eastAsia" w:ascii="宋体" w:hAnsi="宋体" w:cs="宋体"/>
          <w:color w:val="auto"/>
          <w:szCs w:val="21"/>
        </w:rPr>
        <w:t>九、甲方发现乙方有违反本协议或者采用不正当的手段行贿甲方工作人员等不正当竞争行为的，甲方有权解除合同。</w:t>
      </w:r>
    </w:p>
    <w:p w14:paraId="2C9719F0">
      <w:pPr>
        <w:spacing w:line="340" w:lineRule="exact"/>
        <w:ind w:firstLine="420"/>
        <w:contextualSpacing/>
        <w:rPr>
          <w:rFonts w:ascii="宋体" w:hAnsi="宋体" w:cs="宋体"/>
          <w:color w:val="auto"/>
          <w:szCs w:val="21"/>
        </w:rPr>
      </w:pPr>
      <w:r>
        <w:rPr>
          <w:rFonts w:hint="eastAsia" w:ascii="宋体" w:hAnsi="宋体" w:cs="宋体"/>
          <w:color w:val="auto"/>
          <w:szCs w:val="21"/>
        </w:rPr>
        <w:t>十、本廉洁协议作为合同的附件，与合同具有同等法律效力。经协议双方签署后立即生效。</w:t>
      </w:r>
    </w:p>
    <w:p w14:paraId="7D3BCFC5">
      <w:pPr>
        <w:spacing w:line="340" w:lineRule="exact"/>
        <w:ind w:firstLine="420"/>
        <w:contextualSpacing/>
        <w:rPr>
          <w:rFonts w:ascii="宋体" w:hAnsi="宋体" w:cs="宋体"/>
          <w:color w:val="auto"/>
          <w:szCs w:val="21"/>
        </w:rPr>
      </w:pPr>
      <w:r>
        <w:rPr>
          <w:rFonts w:hint="eastAsia" w:ascii="宋体" w:hAnsi="宋体" w:cs="宋体"/>
          <w:color w:val="auto"/>
          <w:szCs w:val="21"/>
        </w:rPr>
        <w:t>十一、本协议一式陆份，甲方、乙方各执两份，见证方及财政监管部门各执一份，并从签订之日起生效。</w:t>
      </w:r>
    </w:p>
    <w:p w14:paraId="3C2A832D">
      <w:pPr>
        <w:pStyle w:val="17"/>
        <w:numPr>
          <w:ilvl w:val="0"/>
          <w:numId w:val="0"/>
        </w:numPr>
        <w:rPr>
          <w:color w:val="auto"/>
          <w:szCs w:val="21"/>
        </w:rPr>
      </w:pPr>
    </w:p>
    <w:p w14:paraId="1DF564D5">
      <w:pPr>
        <w:spacing w:line="440" w:lineRule="exact"/>
        <w:ind w:left="5250" w:hanging="5250"/>
        <w:contextualSpacing/>
        <w:rPr>
          <w:rFonts w:ascii="宋体" w:hAnsi="宋体" w:cs="宋体"/>
          <w:b/>
          <w:color w:val="auto"/>
          <w:szCs w:val="21"/>
        </w:rPr>
      </w:pPr>
      <w:r>
        <w:rPr>
          <w:rFonts w:hint="eastAsia" w:ascii="宋体" w:hAnsi="宋体" w:cs="宋体"/>
          <w:color w:val="auto"/>
          <w:szCs w:val="21"/>
        </w:rPr>
        <w:t>甲方：（盖章）</w:t>
      </w:r>
      <w:r>
        <w:rPr>
          <w:rFonts w:hint="eastAsia" w:ascii="宋体" w:hAnsi="宋体" w:cs="宋体"/>
          <w:b/>
          <w:color w:val="auto"/>
          <w:szCs w:val="21"/>
        </w:rPr>
        <w:t>扬州大学附属医院</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乙方：（盖章）</w:t>
      </w:r>
    </w:p>
    <w:p w14:paraId="404753ED">
      <w:pPr>
        <w:spacing w:line="340" w:lineRule="exact"/>
        <w:contextualSpacing/>
        <w:rPr>
          <w:rFonts w:ascii="宋体" w:hAnsi="宋体" w:cs="宋体"/>
          <w:color w:val="auto"/>
          <w:szCs w:val="21"/>
        </w:rPr>
      </w:pPr>
      <w:r>
        <w:rPr>
          <w:rFonts w:hint="eastAsia" w:ascii="宋体" w:hAnsi="宋体" w:cs="宋体"/>
          <w:color w:val="auto"/>
          <w:szCs w:val="21"/>
        </w:rPr>
        <w:t xml:space="preserve">法定代表人：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法定代表人：</w:t>
      </w:r>
    </w:p>
    <w:p w14:paraId="7826CD0E">
      <w:pPr>
        <w:spacing w:line="340" w:lineRule="exact"/>
        <w:contextualSpacing/>
        <w:rPr>
          <w:rFonts w:ascii="宋体" w:hAnsi="宋体" w:cs="宋体"/>
          <w:color w:val="auto"/>
          <w:szCs w:val="21"/>
        </w:rPr>
      </w:pPr>
      <w:r>
        <w:rPr>
          <w:rFonts w:hint="eastAsia" w:ascii="宋体" w:hAnsi="宋体" w:cs="宋体"/>
          <w:color w:val="auto"/>
          <w:szCs w:val="21"/>
        </w:rPr>
        <w:t xml:space="preserve">（或授权签约人）：                </w:t>
      </w:r>
      <w:r>
        <w:rPr>
          <w:rFonts w:hint="eastAsia" w:ascii="宋体" w:hAnsi="宋体" w:cs="宋体"/>
          <w:color w:val="auto"/>
          <w:szCs w:val="21"/>
          <w:lang w:val="en-US" w:eastAsia="zh-CN"/>
        </w:rPr>
        <w:t xml:space="preserve">       </w:t>
      </w:r>
      <w:r>
        <w:rPr>
          <w:rFonts w:hint="eastAsia" w:ascii="宋体" w:hAnsi="宋体" w:cs="宋体"/>
          <w:color w:val="auto"/>
          <w:szCs w:val="21"/>
        </w:rPr>
        <w:t>（或授权签约人）：</w:t>
      </w:r>
    </w:p>
    <w:p w14:paraId="07E16176">
      <w:pPr>
        <w:spacing w:line="340" w:lineRule="exact"/>
        <w:contextualSpacing/>
        <w:rPr>
          <w:rFonts w:ascii="宋体" w:hAnsi="宋体" w:cs="宋体"/>
          <w:color w:val="auto"/>
          <w:szCs w:val="21"/>
        </w:rPr>
      </w:pPr>
    </w:p>
    <w:p w14:paraId="250080E4">
      <w:pPr>
        <w:pStyle w:val="27"/>
        <w:rPr>
          <w:color w:val="auto"/>
          <w:sz w:val="21"/>
          <w:szCs w:val="21"/>
        </w:rPr>
      </w:pPr>
    </w:p>
    <w:p w14:paraId="25C32ED8">
      <w:pPr>
        <w:spacing w:line="340" w:lineRule="exact"/>
        <w:contextualSpacing/>
        <w:rPr>
          <w:rFonts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25</w:t>
      </w:r>
      <w:r>
        <w:rPr>
          <w:rFonts w:hint="eastAsia" w:ascii="宋体" w:hAnsi="宋体" w:cs="宋体"/>
          <w:color w:val="auto"/>
          <w:szCs w:val="21"/>
        </w:rPr>
        <w:t xml:space="preserve">年   月   日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日期：202</w:t>
      </w:r>
      <w:r>
        <w:rPr>
          <w:rFonts w:hint="eastAsia" w:ascii="宋体" w:hAnsi="宋体" w:cs="宋体"/>
          <w:color w:val="auto"/>
          <w:szCs w:val="21"/>
          <w:lang w:val="en-US" w:eastAsia="zh-CN"/>
        </w:rPr>
        <w:t>5</w:t>
      </w:r>
      <w:r>
        <w:rPr>
          <w:rFonts w:hint="eastAsia" w:ascii="宋体" w:hAnsi="宋体" w:cs="宋体"/>
          <w:color w:val="auto"/>
          <w:szCs w:val="21"/>
        </w:rPr>
        <w:t>年   月   日</w:t>
      </w:r>
    </w:p>
    <w:p w14:paraId="11524EFC">
      <w:pPr>
        <w:pStyle w:val="2"/>
        <w:jc w:val="center"/>
        <w:rPr>
          <w:rFonts w:ascii="宋体" w:hAnsi="宋体"/>
          <w:color w:val="auto"/>
          <w:sz w:val="22"/>
          <w:highlight w:val="none"/>
        </w:rPr>
      </w:pPr>
      <w:r>
        <w:rPr>
          <w:rFonts w:hint="eastAsia" w:ascii="宋体" w:hAnsi="宋体"/>
          <w:color w:val="auto"/>
          <w:sz w:val="36"/>
          <w:highlight w:val="none"/>
        </w:rPr>
        <w:t>第四章 项目需求</w:t>
      </w:r>
      <w:bookmarkEnd w:id="121"/>
    </w:p>
    <w:p w14:paraId="01BE7DB4">
      <w:pPr>
        <w:keepNext w:val="0"/>
        <w:keepLines w:val="0"/>
        <w:pageBreakBefore w:val="0"/>
        <w:widowControl w:val="0"/>
        <w:spacing w:line="360" w:lineRule="auto"/>
        <w:ind w:left="0" w:right="0" w:firstLine="420"/>
        <w:rPr>
          <w:rFonts w:hint="eastAsia" w:ascii="宋体" w:hAnsi="宋体" w:eastAsia="宋体" w:cs="宋体"/>
          <w:b/>
          <w:bCs/>
          <w:color w:val="auto"/>
          <w:sz w:val="21"/>
          <w:szCs w:val="21"/>
          <w:lang w:val="en-US" w:eastAsia="zh-CN"/>
        </w:rPr>
      </w:pPr>
      <w:bookmarkStart w:id="122" w:name="_Toc497133122"/>
      <w:r>
        <w:rPr>
          <w:rFonts w:hint="eastAsia" w:ascii="宋体" w:hAnsi="宋体" w:eastAsia="宋体" w:cs="宋体"/>
          <w:color w:val="auto"/>
          <w:sz w:val="21"/>
          <w:szCs w:val="21"/>
        </w:rPr>
        <w:t>注： 本章内容里斜体且有下划线部分为实质性要求和条件，投标文件不满足的，视为无效投标处理。</w:t>
      </w:r>
    </w:p>
    <w:p w14:paraId="4B8B59F8">
      <w:p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一、保险限额部分</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207"/>
        <w:gridCol w:w="1188"/>
        <w:gridCol w:w="5514"/>
      </w:tblGrid>
      <w:tr w14:paraId="26EE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gridSpan w:val="2"/>
            <w:noWrap w:val="0"/>
          </w:tcPr>
          <w:p w14:paraId="211796B7">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项目名称</w:t>
            </w:r>
          </w:p>
        </w:tc>
        <w:tc>
          <w:tcPr>
            <w:tcW w:w="1188" w:type="dxa"/>
            <w:shd w:val="clear" w:color="auto" w:fill="auto"/>
            <w:noWrap w:val="0"/>
            <w:vAlign w:val="top"/>
          </w:tcPr>
          <w:p w14:paraId="655D956A">
            <w:pPr>
              <w:jc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预算</w:t>
            </w:r>
            <w:r>
              <w:rPr>
                <w:rFonts w:hint="eastAsia" w:ascii="宋体" w:hAnsi="宋体" w:cs="宋体"/>
                <w:b/>
                <w:bCs/>
                <w:color w:val="auto"/>
                <w:sz w:val="21"/>
                <w:szCs w:val="21"/>
                <w:vertAlign w:val="baseline"/>
                <w:lang w:val="en-US" w:eastAsia="zh-CN"/>
              </w:rPr>
              <w:t>（同最高限价）</w:t>
            </w:r>
          </w:p>
        </w:tc>
        <w:tc>
          <w:tcPr>
            <w:tcW w:w="5514" w:type="dxa"/>
            <w:noWrap w:val="0"/>
          </w:tcPr>
          <w:p w14:paraId="1F629B91">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需求</w:t>
            </w:r>
          </w:p>
        </w:tc>
      </w:tr>
      <w:tr w14:paraId="5FBE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818" w:type="dxa"/>
            <w:gridSpan w:val="2"/>
            <w:shd w:val="clear" w:color="auto" w:fill="auto"/>
            <w:noWrap w:val="0"/>
            <w:vAlign w:val="top"/>
          </w:tcPr>
          <w:p w14:paraId="1B79668B">
            <w:pPr>
              <w:jc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rPr>
              <w:t>医疗责任险</w:t>
            </w:r>
          </w:p>
        </w:tc>
        <w:tc>
          <w:tcPr>
            <w:tcW w:w="1188" w:type="dxa"/>
            <w:shd w:val="clear" w:color="auto" w:fill="auto"/>
            <w:noWrap w:val="0"/>
            <w:vAlign w:val="top"/>
          </w:tcPr>
          <w:p w14:paraId="2D6338E4">
            <w:pPr>
              <w:jc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color w:val="auto"/>
                <w:sz w:val="21"/>
                <w:szCs w:val="21"/>
                <w:vertAlign w:val="baseline"/>
                <w:lang w:val="en-US" w:eastAsia="zh-CN" w:bidi="ar-SA"/>
              </w:rPr>
              <w:t>1</w:t>
            </w:r>
            <w:r>
              <w:rPr>
                <w:rFonts w:hint="eastAsia" w:ascii="宋体" w:hAnsi="宋体" w:cs="宋体"/>
                <w:b/>
                <w:bCs/>
                <w:color w:val="auto"/>
                <w:sz w:val="21"/>
                <w:szCs w:val="21"/>
                <w:vertAlign w:val="baseline"/>
                <w:lang w:val="en-US" w:eastAsia="zh-CN" w:bidi="ar-SA"/>
              </w:rPr>
              <w:t>75</w:t>
            </w:r>
            <w:r>
              <w:rPr>
                <w:rFonts w:hint="eastAsia" w:ascii="宋体" w:hAnsi="宋体" w:eastAsia="宋体" w:cs="宋体"/>
                <w:b/>
                <w:bCs/>
                <w:color w:val="auto"/>
                <w:sz w:val="21"/>
                <w:szCs w:val="21"/>
                <w:vertAlign w:val="baseline"/>
                <w:lang w:val="en-US" w:eastAsia="zh-CN" w:bidi="ar-SA"/>
              </w:rPr>
              <w:t>万</w:t>
            </w:r>
          </w:p>
        </w:tc>
        <w:tc>
          <w:tcPr>
            <w:tcW w:w="5514" w:type="dxa"/>
            <w:shd w:val="clear" w:color="auto" w:fill="auto"/>
            <w:noWrap w:val="0"/>
            <w:vAlign w:val="top"/>
          </w:tcPr>
          <w:p w14:paraId="3042D0CB">
            <w:pPr>
              <w:pStyle w:val="268"/>
              <w:keepNext w:val="0"/>
              <w:keepLines w:val="0"/>
              <w:pageBreakBefore w:val="0"/>
              <w:spacing w:before="0" w:beforeAutospacing="0" w:after="0" w:afterAutospacing="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保额：累计赔偿限额≥200万，其中每人赔偿限额≥40万，每次纠纷赔偿限额≥40万；</w:t>
            </w:r>
          </w:p>
          <w:p w14:paraId="4C554256">
            <w:pPr>
              <w:pStyle w:val="268"/>
              <w:keepNext w:val="0"/>
              <w:keepLines w:val="0"/>
              <w:pageBreakBefore w:val="0"/>
              <w:spacing w:before="0" w:beforeAutospacing="0" w:after="0" w:afterAutospacing="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附加险：包括但不限于</w:t>
            </w:r>
            <w:r>
              <w:rPr>
                <w:rFonts w:hint="eastAsia" w:ascii="宋体" w:hAnsi="宋体" w:eastAsia="宋体" w:cs="宋体"/>
                <w:bCs/>
                <w:color w:val="auto"/>
                <w:sz w:val="21"/>
                <w:szCs w:val="21"/>
              </w:rPr>
              <w:t>医务人员遭受伤害责任</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精神损害责任等；</w:t>
            </w:r>
          </w:p>
          <w:p w14:paraId="1B5AA97D">
            <w:pPr>
              <w:pStyle w:val="268"/>
              <w:keepNext w:val="0"/>
              <w:keepLines w:val="0"/>
              <w:pageBreakBefore w:val="0"/>
              <w:spacing w:before="0" w:beforeAutospacing="0" w:after="0" w:afterAutospacing="0" w:line="240" w:lineRule="auto"/>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免赔额：</w:t>
            </w:r>
            <w:r>
              <w:rPr>
                <w:rFonts w:hint="eastAsia" w:ascii="宋体" w:hAnsi="宋体" w:eastAsia="宋体" w:cs="宋体"/>
                <w:color w:val="auto"/>
                <w:sz w:val="21"/>
                <w:szCs w:val="21"/>
              </w:rPr>
              <w:t>1000元；每次事故免赔率10%；二者取高</w:t>
            </w:r>
            <w:r>
              <w:rPr>
                <w:rFonts w:hint="eastAsia" w:ascii="宋体" w:hAnsi="宋体" w:eastAsia="宋体" w:cs="宋体"/>
                <w:color w:val="auto"/>
                <w:sz w:val="21"/>
                <w:szCs w:val="21"/>
                <w:lang w:eastAsia="zh-CN"/>
              </w:rPr>
              <w:t>。</w:t>
            </w:r>
          </w:p>
          <w:p w14:paraId="0B7D6806">
            <w:pPr>
              <w:pStyle w:val="268"/>
              <w:keepNext w:val="0"/>
              <w:keepLines w:val="0"/>
              <w:pageBreakBefore w:val="0"/>
              <w:spacing w:before="0" w:beforeAutospacing="0" w:after="0" w:afterAutospacing="0" w:line="24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追诉期不低于5年。</w:t>
            </w:r>
          </w:p>
        </w:tc>
      </w:tr>
      <w:tr w14:paraId="139C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gridSpan w:val="2"/>
            <w:noWrap w:val="0"/>
          </w:tcPr>
          <w:p w14:paraId="0D77E9A9">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公共责任险</w:t>
            </w:r>
          </w:p>
        </w:tc>
        <w:tc>
          <w:tcPr>
            <w:tcW w:w="1188" w:type="dxa"/>
            <w:vMerge w:val="restart"/>
            <w:noWrap w:val="0"/>
            <w:vAlign w:val="center"/>
          </w:tcPr>
          <w:p w14:paraId="079DC32D">
            <w:pPr>
              <w:jc w:val="center"/>
              <w:rPr>
                <w:rFonts w:hint="eastAsia"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45</w:t>
            </w:r>
            <w:r>
              <w:rPr>
                <w:rFonts w:hint="eastAsia" w:ascii="宋体" w:hAnsi="宋体" w:eastAsia="宋体" w:cs="宋体"/>
                <w:b/>
                <w:bCs/>
                <w:color w:val="auto"/>
                <w:sz w:val="21"/>
                <w:szCs w:val="21"/>
                <w:vertAlign w:val="baseline"/>
                <w:lang w:val="en-US" w:eastAsia="zh-CN"/>
              </w:rPr>
              <w:t>万</w:t>
            </w:r>
          </w:p>
        </w:tc>
        <w:tc>
          <w:tcPr>
            <w:tcW w:w="5514" w:type="dxa"/>
            <w:vMerge w:val="restart"/>
            <w:noWrap w:val="0"/>
          </w:tcPr>
          <w:p w14:paraId="17381039">
            <w:pPr>
              <w:pStyle w:val="268"/>
              <w:keepNext w:val="0"/>
              <w:keepLines w:val="0"/>
              <w:pageBreakBefore w:val="0"/>
              <w:spacing w:before="0" w:beforeAutospacing="0" w:after="0" w:afterAutospacing="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保额：累计赔偿限额≥500万，其中每人赔偿限额≥50万，每次赔偿限额≥50万；</w:t>
            </w:r>
          </w:p>
          <w:p w14:paraId="67F514B6">
            <w:pPr>
              <w:pStyle w:val="268"/>
              <w:keepNext w:val="0"/>
              <w:keepLines w:val="0"/>
              <w:pageBreakBefore w:val="0"/>
              <w:spacing w:before="0" w:beforeAutospacing="0" w:after="0" w:afterAutospacing="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附加险：包括但不限于电梯责任、停车场责任、建筑物责任、广告牌及装饰物责任、火灾爆炸责任等，不少于5种；</w:t>
            </w:r>
          </w:p>
          <w:p w14:paraId="4FEA257D">
            <w:pPr>
              <w:pStyle w:val="268"/>
              <w:keepNext w:val="0"/>
              <w:keepLines w:val="0"/>
              <w:pageBreakBefore w:val="0"/>
              <w:spacing w:before="0" w:beforeAutospacing="0" w:after="0" w:afterAutospacing="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免赔额：</w:t>
            </w:r>
            <w:r>
              <w:rPr>
                <w:rFonts w:hint="eastAsia" w:ascii="宋体" w:hAnsi="宋体" w:eastAsia="宋体" w:cs="宋体"/>
                <w:color w:val="auto"/>
                <w:sz w:val="21"/>
                <w:szCs w:val="21"/>
              </w:rPr>
              <w:t>1000元；每次事故免赔率10%；二者取高</w:t>
            </w:r>
            <w:r>
              <w:rPr>
                <w:rFonts w:hint="eastAsia" w:ascii="宋体" w:hAnsi="宋体" w:eastAsia="宋体" w:cs="宋体"/>
                <w:color w:val="auto"/>
                <w:sz w:val="21"/>
                <w:szCs w:val="21"/>
                <w:lang w:eastAsia="zh-CN"/>
              </w:rPr>
              <w:t>。</w:t>
            </w:r>
          </w:p>
        </w:tc>
      </w:tr>
      <w:tr w14:paraId="3175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Merge w:val="restart"/>
            <w:noWrap w:val="0"/>
          </w:tcPr>
          <w:p w14:paraId="7451209E">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京沪医学中心保险</w:t>
            </w:r>
          </w:p>
        </w:tc>
        <w:tc>
          <w:tcPr>
            <w:tcW w:w="1207" w:type="dxa"/>
            <w:noWrap w:val="0"/>
          </w:tcPr>
          <w:p w14:paraId="48BB4106">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补充医责险</w:t>
            </w:r>
          </w:p>
        </w:tc>
        <w:tc>
          <w:tcPr>
            <w:tcW w:w="1188" w:type="dxa"/>
            <w:vMerge w:val="continue"/>
            <w:noWrap w:val="0"/>
          </w:tcPr>
          <w:p w14:paraId="2B2643E9">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p>
        </w:tc>
        <w:tc>
          <w:tcPr>
            <w:tcW w:w="5514" w:type="dxa"/>
            <w:noWrap w:val="0"/>
          </w:tcPr>
          <w:p w14:paraId="511AF90B">
            <w:pPr>
              <w:pStyle w:val="268"/>
              <w:keepNext w:val="0"/>
              <w:keepLines w:val="0"/>
              <w:pageBreakBefore w:val="0"/>
              <w:spacing w:before="0" w:beforeAutospacing="0" w:after="0" w:afterAutospacing="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保额：累计赔偿限额≥200万，其中每人赔偿限额≥50万，每次纠纷赔偿限额≥40万；</w:t>
            </w:r>
          </w:p>
        </w:tc>
      </w:tr>
      <w:tr w14:paraId="13AD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Merge w:val="continue"/>
            <w:noWrap w:val="0"/>
          </w:tcPr>
          <w:p w14:paraId="6DBC2EF1">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p>
        </w:tc>
        <w:tc>
          <w:tcPr>
            <w:tcW w:w="1207" w:type="dxa"/>
            <w:noWrap w:val="0"/>
          </w:tcPr>
          <w:p w14:paraId="38A452A5">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医疗意外险</w:t>
            </w:r>
          </w:p>
        </w:tc>
        <w:tc>
          <w:tcPr>
            <w:tcW w:w="1188" w:type="dxa"/>
            <w:vMerge w:val="continue"/>
            <w:noWrap w:val="0"/>
          </w:tcPr>
          <w:p w14:paraId="146E38F5">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p>
        </w:tc>
        <w:tc>
          <w:tcPr>
            <w:tcW w:w="5514" w:type="dxa"/>
            <w:noWrap w:val="0"/>
          </w:tcPr>
          <w:p w14:paraId="7BF5D551">
            <w:pPr>
              <w:keepNext w:val="0"/>
              <w:keepLines w:val="0"/>
              <w:pageBreakBefore w:val="0"/>
              <w:spacing w:before="0" w:beforeAutospacing="0" w:after="0" w:afterAutospacing="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保额：累计赔偿限额≥100万，其中每人赔偿限额≥30万，每次纠纷赔偿限额≥30万；</w:t>
            </w:r>
          </w:p>
        </w:tc>
      </w:tr>
      <w:tr w14:paraId="28C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Merge w:val="continue"/>
            <w:noWrap w:val="0"/>
          </w:tcPr>
          <w:p w14:paraId="5ACCD207">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p>
        </w:tc>
        <w:tc>
          <w:tcPr>
            <w:tcW w:w="1207" w:type="dxa"/>
            <w:noWrap w:val="0"/>
          </w:tcPr>
          <w:p w14:paraId="26F013D7">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医师责任险</w:t>
            </w:r>
          </w:p>
        </w:tc>
        <w:tc>
          <w:tcPr>
            <w:tcW w:w="1188" w:type="dxa"/>
            <w:vMerge w:val="continue"/>
            <w:noWrap w:val="0"/>
          </w:tcPr>
          <w:p w14:paraId="6B7E768F">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p>
        </w:tc>
        <w:tc>
          <w:tcPr>
            <w:tcW w:w="5514" w:type="dxa"/>
            <w:noWrap w:val="0"/>
          </w:tcPr>
          <w:p w14:paraId="2758A9A3">
            <w:pPr>
              <w:keepNext w:val="0"/>
              <w:keepLines w:val="0"/>
              <w:pageBreakBefore w:val="0"/>
              <w:spacing w:before="0" w:beforeAutospacing="0" w:after="0" w:afterAutospacing="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保额：累计赔偿限额≥200万，其中每人赔偿限额≥200万，每次纠纷赔偿限额≥200万；</w:t>
            </w:r>
          </w:p>
        </w:tc>
      </w:tr>
      <w:tr w14:paraId="4000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Merge w:val="continue"/>
            <w:noWrap w:val="0"/>
          </w:tcPr>
          <w:p w14:paraId="7656E72C">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p>
        </w:tc>
        <w:tc>
          <w:tcPr>
            <w:tcW w:w="1207" w:type="dxa"/>
            <w:noWrap w:val="0"/>
          </w:tcPr>
          <w:p w14:paraId="6AFC4641">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专家及团体意外险</w:t>
            </w:r>
          </w:p>
        </w:tc>
        <w:tc>
          <w:tcPr>
            <w:tcW w:w="1188" w:type="dxa"/>
            <w:vMerge w:val="continue"/>
            <w:noWrap w:val="0"/>
          </w:tcPr>
          <w:p w14:paraId="2DA301DB">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p>
        </w:tc>
        <w:tc>
          <w:tcPr>
            <w:tcW w:w="5514" w:type="dxa"/>
            <w:noWrap w:val="0"/>
          </w:tcPr>
          <w:p w14:paraId="53CBF41F">
            <w:pPr>
              <w:keepNext w:val="0"/>
              <w:keepLines w:val="0"/>
              <w:pageBreakBefore w:val="0"/>
              <w:spacing w:before="0" w:beforeAutospacing="0" w:after="0" w:afterAutospacing="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保额：累计赔偿限额≥300万，其中每人赔偿限额≥100万（可根据意外或伤残/死亡情况细化），每次赔偿限额≥100万；</w:t>
            </w:r>
          </w:p>
        </w:tc>
      </w:tr>
      <w:tr w14:paraId="587F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gridSpan w:val="2"/>
            <w:noWrap w:val="0"/>
          </w:tcPr>
          <w:p w14:paraId="366BBCF0">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手术意外险</w:t>
            </w:r>
          </w:p>
        </w:tc>
        <w:tc>
          <w:tcPr>
            <w:tcW w:w="1188" w:type="dxa"/>
            <w:noWrap w:val="0"/>
          </w:tcPr>
          <w:p w14:paraId="5B0E7A1D">
            <w:pPr>
              <w:keepNext w:val="0"/>
              <w:keepLines w:val="0"/>
              <w:pageBreakBefore w:val="0"/>
              <w:widowControl w:val="0"/>
              <w:spacing w:line="36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患方支付</w:t>
            </w:r>
          </w:p>
        </w:tc>
        <w:tc>
          <w:tcPr>
            <w:tcW w:w="5514" w:type="dxa"/>
            <w:noWrap w:val="0"/>
          </w:tcPr>
          <w:p w14:paraId="383770B8">
            <w:pPr>
              <w:pStyle w:val="268"/>
              <w:keepNext w:val="0"/>
              <w:keepLines w:val="0"/>
              <w:pageBreakBefore w:val="0"/>
              <w:spacing w:before="0" w:beforeAutospacing="0" w:after="0" w:afterAutospacing="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不低于20种，应当包含外科各科室常见病种、介入操作及治疗、内镜诊疗技术等</w:t>
            </w:r>
          </w:p>
        </w:tc>
      </w:tr>
    </w:tbl>
    <w:p w14:paraId="781A8B28">
      <w:pPr>
        <w:keepNext w:val="0"/>
        <w:keepLines w:val="0"/>
        <w:pageBreakBefore w:val="0"/>
        <w:widowControl w:val="0"/>
        <w:spacing w:line="520" w:lineRule="exac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二、服务要求</w:t>
      </w:r>
    </w:p>
    <w:p w14:paraId="3D043FCB">
      <w:pPr>
        <w:keepNext w:val="0"/>
        <w:keepLines w:val="0"/>
        <w:pageBreakBefore w:val="0"/>
        <w:widowControl w:val="0"/>
        <w:spacing w:line="520" w:lineRule="exact"/>
        <w:ind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1.投标人应具备稳定的财务状况和良好的声誉，以确保合同期内的保险责任履行。</w:t>
      </w:r>
    </w:p>
    <w:p w14:paraId="5CC0FFE5">
      <w:pPr>
        <w:keepNext w:val="0"/>
        <w:keepLines w:val="0"/>
        <w:pageBreakBefore w:val="0"/>
        <w:widowControl w:val="0"/>
        <w:spacing w:line="520" w:lineRule="exact"/>
        <w:ind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2.投标人应具备丰富的承保和理赔经验，熟悉医疗责任保险、公众责任险、医疗意外保险等相关业务流程。</w:t>
      </w:r>
    </w:p>
    <w:p w14:paraId="6850CB3B">
      <w:pPr>
        <w:keepNext w:val="0"/>
        <w:keepLines w:val="0"/>
        <w:pageBreakBefore w:val="0"/>
        <w:widowControl w:val="0"/>
        <w:spacing w:line="520" w:lineRule="exact"/>
        <w:ind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投标人应配备足够的服务人员，以确保及时高效地处理索赔申请及其他服务需求。投标人针对本项目应设立专职的服务团队，包括项目负责人、项目服务人员和理赔人员等。投标人应明确一名有医学或法学专业背景、有纠纷处置经验的人员驻点服务，及时参加纠纷处理，负责受理、调查、评估、协商、调解、鉴定、诉讼以及理赔等工作；派驻人员需具备基本的法学、医学知识同时还需掌握一定的沟通、临场应变与协调能力。同时积极配合采购人的调解工作，依法妥善处理日常医疗纠纷，维护医患双方合法权益。</w:t>
      </w:r>
    </w:p>
    <w:p w14:paraId="46FF66F1">
      <w:pPr>
        <w:keepNext w:val="0"/>
        <w:keepLines w:val="0"/>
        <w:pageBreakBefore w:val="0"/>
        <w:widowControl w:val="0"/>
        <w:spacing w:line="520" w:lineRule="exact"/>
        <w:ind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4.投标人应提供服务期内24小时*7天的快速上门服务，以快速响应医院的请求和查询。</w:t>
      </w:r>
    </w:p>
    <w:p w14:paraId="2A04C7AA">
      <w:pPr>
        <w:keepNext w:val="0"/>
        <w:keepLines w:val="0"/>
        <w:pageBreakBefore w:val="0"/>
        <w:widowControl w:val="0"/>
        <w:spacing w:line="520" w:lineRule="exact"/>
        <w:ind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投标人应提供快捷简便的理赔服务，由专人上门负责收集理赔材料。理赔材料应简便化，内容限于相关病历资料、判决/鉴定文书、纠纷处置协议、医师资格证明、本院就诊费用票据。超出以上内容的理赔资料由投标人自行负责收集。材料提交后，完成理赔周期应控制在7个工作日内。理赔款项转至医院账户后，再由医院支付给患方。由于理赔延迟导致的各种矛盾与法律责任由投标人承担与处置。</w:t>
      </w:r>
    </w:p>
    <w:p w14:paraId="19052899">
      <w:pPr>
        <w:keepNext w:val="0"/>
        <w:keepLines w:val="0"/>
        <w:pageBreakBefore w:val="0"/>
        <w:widowControl w:val="0"/>
        <w:spacing w:line="520" w:lineRule="exact"/>
        <w:ind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6.主动对医院员工开展有关医疗责任保险、手术意外险等基本知识和操作流程培训，提供培训资料。开展法律法规与医疗风险相关防范知识培训，全年不少于4次。</w:t>
      </w:r>
    </w:p>
    <w:p w14:paraId="2CDBA070">
      <w:pPr>
        <w:keepNext w:val="0"/>
        <w:keepLines w:val="0"/>
        <w:pageBreakBefore w:val="0"/>
        <w:widowControl w:val="0"/>
        <w:spacing w:line="520" w:lineRule="exact"/>
        <w:ind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7.积极开展手术意外险服务，并根据医院需求不断扩充、完善手术意外险险种。</w:t>
      </w:r>
    </w:p>
    <w:p w14:paraId="2545F1C4">
      <w:pPr>
        <w:keepNext w:val="0"/>
        <w:keepLines w:val="0"/>
        <w:pageBreakBefore w:val="0"/>
        <w:widowControl w:val="0"/>
        <w:spacing w:line="520" w:lineRule="exact"/>
        <w:ind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8.为医院提供各类医疗（手术）风险的医患沟通视频宣教素材供临床科室使用，提供第三方见证告知服务或医患沟通证据固定服务。</w:t>
      </w:r>
    </w:p>
    <w:p w14:paraId="5871B5A1">
      <w:pPr>
        <w:keepNext w:val="0"/>
        <w:keepLines w:val="0"/>
        <w:pageBreakBefore w:val="0"/>
        <w:widowControl w:val="0"/>
        <w:spacing w:line="520" w:lineRule="exact"/>
        <w:ind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9.参与医院风险管理、防范、控制各项工作，并提供必要帮助。</w:t>
      </w:r>
    </w:p>
    <w:p w14:paraId="0AC74950">
      <w:pPr>
        <w:spacing w:line="360" w:lineRule="auto"/>
        <w:ind w:firstLine="422"/>
        <w:rPr>
          <w:rFonts w:ascii="宋体" w:hAnsi="宋体" w:cs="宋体"/>
          <w:i/>
          <w:iCs/>
          <w:color w:val="auto"/>
          <w:szCs w:val="21"/>
          <w:u w:val="single"/>
        </w:rPr>
      </w:pPr>
      <w:r>
        <w:rPr>
          <w:rFonts w:hint="eastAsia" w:ascii="宋体" w:hAnsi="宋体" w:cs="宋体"/>
          <w:b/>
          <w:bCs/>
          <w:color w:val="auto"/>
          <w:szCs w:val="21"/>
          <w:lang w:val="en-US" w:eastAsia="zh-CN"/>
        </w:rPr>
        <w:t>三</w:t>
      </w:r>
      <w:r>
        <w:rPr>
          <w:rFonts w:hint="eastAsia" w:ascii="宋体" w:hAnsi="宋体" w:cs="宋体"/>
          <w:b/>
          <w:bCs/>
          <w:color w:val="auto"/>
          <w:szCs w:val="21"/>
        </w:rPr>
        <w:t>、</w:t>
      </w:r>
      <w:r>
        <w:rPr>
          <w:rFonts w:hint="eastAsia" w:ascii="宋体" w:hAnsi="宋体" w:cs="宋体"/>
          <w:b/>
          <w:bCs/>
          <w:iCs/>
          <w:color w:val="auto"/>
          <w:szCs w:val="21"/>
        </w:rPr>
        <w:t>节能产品：</w:t>
      </w:r>
      <w:r>
        <w:rPr>
          <w:rFonts w:hint="eastAsia" w:ascii="宋体" w:hAnsi="宋体" w:cs="宋体"/>
          <w:iCs/>
          <w:color w:val="auto"/>
          <w:szCs w:val="21"/>
        </w:rPr>
        <w:t>本次拟采购的产品属于《节能产品政府采购品目清单》中强制采购范围内产品，各供应商应当提供获得国家确定的认证机构出具的、有效期之内的节能产品认证证书的产品，上述品目清单可通过“中国政府采购网”（http://www.ccgp.gov.cn/zcfg/mof/201904/t20190403_11849836.htm）查询,</w:t>
      </w:r>
      <w:r>
        <w:rPr>
          <w:rFonts w:hint="eastAsia" w:ascii="宋体" w:hAnsi="宋体" w:cs="宋体"/>
          <w:i/>
          <w:iCs/>
          <w:color w:val="auto"/>
          <w:szCs w:val="21"/>
          <w:u w:val="single"/>
        </w:rPr>
        <w:t>并在投标文件内提供由国家确定的认证机构出具的、处于有效期之内的节能产品认证证书原件，扫描上传，否则视为无效投标。（本项目涉及强制采购范围内产品有：无）</w:t>
      </w:r>
    </w:p>
    <w:p w14:paraId="4EBFBE7D">
      <w:pPr>
        <w:rPr>
          <w:rFonts w:hint="eastAsia" w:ascii="宋体" w:hAnsi="宋体"/>
          <w:b/>
          <w:bCs/>
          <w:color w:val="auto"/>
          <w:sz w:val="36"/>
          <w:highlight w:val="none"/>
        </w:rPr>
      </w:pPr>
    </w:p>
    <w:p w14:paraId="26232C74">
      <w:pPr>
        <w:rPr>
          <w:rFonts w:hint="eastAsia" w:ascii="宋体" w:hAnsi="宋体"/>
          <w:b/>
          <w:bCs/>
          <w:color w:val="auto"/>
          <w:sz w:val="36"/>
          <w:highlight w:val="none"/>
        </w:rPr>
      </w:pPr>
      <w:r>
        <w:rPr>
          <w:rFonts w:hint="eastAsia" w:ascii="宋体" w:hAnsi="宋体"/>
          <w:b/>
          <w:bCs/>
          <w:color w:val="auto"/>
          <w:sz w:val="36"/>
          <w:highlight w:val="none"/>
        </w:rPr>
        <w:br w:type="page" w:clear="all"/>
      </w:r>
    </w:p>
    <w:p w14:paraId="62F59214">
      <w:pPr>
        <w:widowControl/>
        <w:spacing w:line="411" w:lineRule="auto"/>
        <w:ind w:left="23" w:right="2" w:firstLine="527"/>
        <w:jc w:val="center"/>
        <w:rPr>
          <w:rFonts w:ascii="宋体" w:hAnsi="宋体"/>
          <w:b/>
          <w:bCs/>
          <w:color w:val="auto"/>
          <w:sz w:val="36"/>
          <w:highlight w:val="none"/>
        </w:rPr>
      </w:pPr>
      <w:r>
        <w:rPr>
          <w:rFonts w:hint="eastAsia" w:ascii="宋体" w:hAnsi="宋体"/>
          <w:b/>
          <w:bCs/>
          <w:color w:val="auto"/>
          <w:sz w:val="36"/>
          <w:highlight w:val="none"/>
        </w:rPr>
        <w:t>第五章 评标方法及评标标准</w:t>
      </w:r>
      <w:bookmarkEnd w:id="122"/>
    </w:p>
    <w:p w14:paraId="7C86B596">
      <w:pPr>
        <w:pStyle w:val="270"/>
        <w:ind w:firstLine="422"/>
        <w:rPr>
          <w:rFonts w:ascii="宋体" w:hAnsi="宋体"/>
          <w:b/>
          <w:color w:val="auto"/>
          <w:sz w:val="21"/>
          <w:szCs w:val="21"/>
          <w:highlight w:val="none"/>
        </w:rPr>
      </w:pPr>
      <w:bookmarkStart w:id="123" w:name="_Toc497133123"/>
      <w:r>
        <w:rPr>
          <w:rFonts w:hint="eastAsia" w:ascii="宋体" w:hAnsi="宋体"/>
          <w:b/>
          <w:color w:val="auto"/>
          <w:sz w:val="21"/>
          <w:szCs w:val="21"/>
          <w:highlight w:val="none"/>
        </w:rPr>
        <w:t>一、评标方法</w:t>
      </w:r>
    </w:p>
    <w:p w14:paraId="76D5D70B">
      <w:pPr>
        <w:pStyle w:val="270"/>
        <w:spacing w:before="0" w:after="0"/>
        <w:ind w:firstLine="420"/>
        <w:rPr>
          <w:rFonts w:hint="eastAsia" w:ascii="宋体" w:hAnsi="宋体"/>
          <w:color w:val="auto"/>
          <w:sz w:val="21"/>
          <w:szCs w:val="21"/>
          <w:highlight w:val="none"/>
        </w:rPr>
      </w:pPr>
      <w:r>
        <w:rPr>
          <w:rFonts w:hint="eastAsia" w:ascii="宋体" w:hAnsi="宋体"/>
          <w:color w:val="auto"/>
          <w:sz w:val="21"/>
          <w:szCs w:val="21"/>
          <w:highlight w:val="none"/>
        </w:rPr>
        <w:t>本项目采用综合评分法，评委会将对确定为实质性响应采购文件要求的</w:t>
      </w:r>
      <w:r>
        <w:rPr>
          <w:rFonts w:hint="eastAsia" w:ascii="宋体" w:hAnsi="宋体"/>
          <w:color w:val="auto"/>
          <w:sz w:val="21"/>
          <w:szCs w:val="21"/>
          <w:highlight w:val="none"/>
          <w:lang w:eastAsia="zh-CN"/>
        </w:rPr>
        <w:t>投标文件</w:t>
      </w:r>
      <w:r>
        <w:rPr>
          <w:rFonts w:hint="eastAsia" w:ascii="宋体" w:hAnsi="宋体"/>
          <w:color w:val="auto"/>
          <w:sz w:val="21"/>
          <w:szCs w:val="21"/>
          <w:highlight w:val="none"/>
        </w:rPr>
        <w:t>进行评价和比较。评审结果按综合得分由高到低顺序排列。得分相同的，按报价由低到高顺序排列。得分且报价相同的并列，</w:t>
      </w:r>
      <w:r>
        <w:rPr>
          <w:rFonts w:hint="eastAsia" w:ascii="宋体" w:hAnsi="宋体"/>
          <w:color w:val="auto"/>
          <w:sz w:val="21"/>
          <w:szCs w:val="21"/>
          <w:highlight w:val="none"/>
          <w:lang w:eastAsia="zh-CN"/>
        </w:rPr>
        <w:t>投标文件</w:t>
      </w:r>
      <w:r>
        <w:rPr>
          <w:rFonts w:hint="eastAsia" w:ascii="宋体" w:hAnsi="宋体"/>
          <w:color w:val="auto"/>
          <w:sz w:val="21"/>
          <w:szCs w:val="21"/>
          <w:highlight w:val="none"/>
        </w:rPr>
        <w:t>满足采购文件全部实质性要求，且按照评审因素的量化指标评审得分最高的</w:t>
      </w:r>
      <w:r>
        <w:rPr>
          <w:rFonts w:hint="eastAsia" w:ascii="宋体" w:hAnsi="宋体"/>
          <w:color w:val="auto"/>
          <w:sz w:val="21"/>
          <w:szCs w:val="21"/>
          <w:highlight w:val="none"/>
          <w:lang w:val="en-US" w:eastAsia="zh-CN"/>
        </w:rPr>
        <w:t>前三名</w:t>
      </w:r>
      <w:r>
        <w:rPr>
          <w:rFonts w:hint="eastAsia" w:ascii="宋体" w:hAnsi="宋体"/>
          <w:color w:val="auto"/>
          <w:sz w:val="21"/>
          <w:szCs w:val="21"/>
          <w:highlight w:val="none"/>
        </w:rPr>
        <w:t>供应商为</w:t>
      </w:r>
      <w:r>
        <w:rPr>
          <w:rFonts w:hint="eastAsia" w:ascii="宋体" w:hAnsi="宋体"/>
          <w:color w:val="auto"/>
          <w:sz w:val="21"/>
          <w:szCs w:val="21"/>
          <w:highlight w:val="none"/>
          <w:lang w:eastAsia="zh-CN"/>
        </w:rPr>
        <w:t>中标</w:t>
      </w:r>
      <w:r>
        <w:rPr>
          <w:rFonts w:hint="eastAsia" w:ascii="宋体" w:hAnsi="宋体"/>
          <w:color w:val="auto"/>
          <w:sz w:val="21"/>
          <w:szCs w:val="21"/>
          <w:highlight w:val="none"/>
        </w:rPr>
        <w:t>候选人。</w:t>
      </w:r>
    </w:p>
    <w:p w14:paraId="442E5010">
      <w:pPr>
        <w:pStyle w:val="270"/>
        <w:ind w:firstLine="420"/>
        <w:rPr>
          <w:rFonts w:ascii="宋体" w:hAnsi="宋体"/>
          <w:color w:val="auto"/>
          <w:sz w:val="21"/>
          <w:szCs w:val="21"/>
          <w:highlight w:val="none"/>
        </w:rPr>
      </w:pPr>
      <w:r>
        <w:rPr>
          <w:rFonts w:hint="eastAsia" w:ascii="宋体" w:hAnsi="宋体" w:eastAsia="宋体" w:cs="Times New Roman"/>
          <w:color w:val="auto"/>
          <w:sz w:val="21"/>
          <w:szCs w:val="21"/>
          <w:highlight w:val="none"/>
          <w:lang w:val="en-US" w:eastAsia="zh-CN" w:bidi="ar-SA"/>
        </w:rPr>
        <w:t>确定</w:t>
      </w:r>
      <w:r>
        <w:rPr>
          <w:rFonts w:hint="eastAsia" w:ascii="宋体" w:hAnsi="宋体" w:cs="Times New Roman"/>
          <w:color w:val="auto"/>
          <w:sz w:val="21"/>
          <w:szCs w:val="21"/>
          <w:highlight w:val="none"/>
          <w:lang w:val="en-US" w:eastAsia="zh-CN" w:bidi="ar-SA"/>
        </w:rPr>
        <w:t>中标</w:t>
      </w:r>
      <w:r>
        <w:rPr>
          <w:rFonts w:hint="eastAsia" w:ascii="宋体" w:hAnsi="宋体" w:eastAsia="宋体" w:cs="Times New Roman"/>
          <w:color w:val="auto"/>
          <w:sz w:val="21"/>
          <w:szCs w:val="21"/>
          <w:highlight w:val="none"/>
          <w:lang w:val="en-US" w:eastAsia="zh-CN" w:bidi="ar-SA"/>
        </w:rPr>
        <w:t>人的原则：采购人按照评委会的书面评标报告中的</w:t>
      </w:r>
      <w:r>
        <w:rPr>
          <w:rFonts w:hint="eastAsia" w:ascii="宋体" w:hAnsi="宋体" w:cs="Times New Roman"/>
          <w:color w:val="auto"/>
          <w:sz w:val="21"/>
          <w:szCs w:val="21"/>
          <w:highlight w:val="none"/>
          <w:lang w:val="en-US" w:eastAsia="zh-CN" w:bidi="ar-SA"/>
        </w:rPr>
        <w:t>中标</w:t>
      </w:r>
      <w:r>
        <w:rPr>
          <w:rFonts w:hint="eastAsia" w:ascii="宋体" w:hAnsi="宋体" w:eastAsia="宋体" w:cs="Times New Roman"/>
          <w:color w:val="auto"/>
          <w:sz w:val="21"/>
          <w:szCs w:val="21"/>
          <w:highlight w:val="none"/>
          <w:lang w:val="en-US" w:eastAsia="zh-CN" w:bidi="ar-SA"/>
        </w:rPr>
        <w:t>候选人排序，确定排名第一的为</w:t>
      </w:r>
      <w:r>
        <w:rPr>
          <w:rFonts w:hint="eastAsia" w:ascii="宋体" w:hAnsi="宋体" w:cs="Times New Roman"/>
          <w:color w:val="auto"/>
          <w:sz w:val="21"/>
          <w:szCs w:val="21"/>
          <w:highlight w:val="none"/>
          <w:lang w:val="en-US" w:eastAsia="zh-CN" w:bidi="ar-SA"/>
        </w:rPr>
        <w:t>中标</w:t>
      </w:r>
      <w:r>
        <w:rPr>
          <w:rFonts w:hint="eastAsia" w:ascii="宋体" w:hAnsi="宋体" w:eastAsia="宋体" w:cs="Times New Roman"/>
          <w:color w:val="auto"/>
          <w:sz w:val="21"/>
          <w:szCs w:val="21"/>
          <w:highlight w:val="none"/>
          <w:lang w:val="en-US" w:eastAsia="zh-CN" w:bidi="ar-SA"/>
        </w:rPr>
        <w:t>人。当排名第一的</w:t>
      </w:r>
      <w:r>
        <w:rPr>
          <w:rFonts w:hint="eastAsia" w:ascii="宋体" w:hAnsi="宋体" w:cs="Times New Roman"/>
          <w:color w:val="auto"/>
          <w:sz w:val="21"/>
          <w:szCs w:val="21"/>
          <w:highlight w:val="none"/>
          <w:lang w:val="en-US" w:eastAsia="zh-CN" w:bidi="ar-SA"/>
        </w:rPr>
        <w:t>中标</w:t>
      </w:r>
      <w:r>
        <w:rPr>
          <w:rFonts w:hint="eastAsia" w:ascii="宋体" w:hAnsi="宋体" w:eastAsia="宋体" w:cs="Times New Roman"/>
          <w:color w:val="auto"/>
          <w:sz w:val="21"/>
          <w:szCs w:val="21"/>
          <w:highlight w:val="none"/>
          <w:lang w:val="en-US" w:eastAsia="zh-CN" w:bidi="ar-SA"/>
        </w:rPr>
        <w:t>候选人放弃</w:t>
      </w:r>
      <w:r>
        <w:rPr>
          <w:rFonts w:hint="eastAsia" w:ascii="宋体" w:hAnsi="宋体" w:cs="Times New Roman"/>
          <w:color w:val="auto"/>
          <w:sz w:val="21"/>
          <w:szCs w:val="21"/>
          <w:highlight w:val="none"/>
          <w:lang w:val="en-US" w:eastAsia="zh-CN" w:bidi="ar-SA"/>
        </w:rPr>
        <w:t>中标</w:t>
      </w:r>
      <w:r>
        <w:rPr>
          <w:rFonts w:hint="eastAsia" w:ascii="宋体" w:hAnsi="宋体" w:eastAsia="宋体" w:cs="Times New Roman"/>
          <w:color w:val="auto"/>
          <w:sz w:val="21"/>
          <w:szCs w:val="21"/>
          <w:highlight w:val="none"/>
          <w:lang w:val="en-US" w:eastAsia="zh-CN" w:bidi="ar-SA"/>
        </w:rPr>
        <w:t>、因不可抗力提出不能履行合同或者因其他原因被取消</w:t>
      </w:r>
      <w:r>
        <w:rPr>
          <w:rFonts w:hint="eastAsia" w:ascii="宋体" w:hAnsi="宋体" w:cs="Times New Roman"/>
          <w:color w:val="auto"/>
          <w:sz w:val="21"/>
          <w:szCs w:val="21"/>
          <w:highlight w:val="none"/>
          <w:lang w:val="en-US" w:eastAsia="zh-CN" w:bidi="ar-SA"/>
        </w:rPr>
        <w:t>中标</w:t>
      </w:r>
      <w:r>
        <w:rPr>
          <w:rFonts w:hint="eastAsia" w:ascii="宋体" w:hAnsi="宋体" w:eastAsia="宋体" w:cs="Times New Roman"/>
          <w:color w:val="auto"/>
          <w:sz w:val="21"/>
          <w:szCs w:val="21"/>
          <w:highlight w:val="none"/>
          <w:lang w:val="en-US" w:eastAsia="zh-CN" w:bidi="ar-SA"/>
        </w:rPr>
        <w:t>资格的，采购人可以确定排名第二的</w:t>
      </w:r>
      <w:r>
        <w:rPr>
          <w:rFonts w:hint="eastAsia" w:ascii="宋体" w:hAnsi="宋体" w:cs="Times New Roman"/>
          <w:color w:val="auto"/>
          <w:sz w:val="21"/>
          <w:szCs w:val="21"/>
          <w:highlight w:val="none"/>
          <w:lang w:val="en-US" w:eastAsia="zh-CN" w:bidi="ar-SA"/>
        </w:rPr>
        <w:t>中标</w:t>
      </w:r>
      <w:r>
        <w:rPr>
          <w:rFonts w:hint="eastAsia" w:ascii="宋体" w:hAnsi="宋体" w:eastAsia="宋体" w:cs="Times New Roman"/>
          <w:color w:val="auto"/>
          <w:sz w:val="21"/>
          <w:szCs w:val="21"/>
          <w:highlight w:val="none"/>
          <w:lang w:val="en-US" w:eastAsia="zh-CN" w:bidi="ar-SA"/>
        </w:rPr>
        <w:t>候选人为</w:t>
      </w:r>
      <w:r>
        <w:rPr>
          <w:rFonts w:hint="eastAsia" w:ascii="宋体" w:hAnsi="宋体" w:cs="Times New Roman"/>
          <w:color w:val="auto"/>
          <w:sz w:val="21"/>
          <w:szCs w:val="21"/>
          <w:highlight w:val="none"/>
          <w:lang w:val="en-US" w:eastAsia="zh-CN" w:bidi="ar-SA"/>
        </w:rPr>
        <w:t>中标，</w:t>
      </w:r>
      <w:r>
        <w:rPr>
          <w:rFonts w:hint="eastAsia" w:ascii="宋体" w:hAnsi="宋体" w:eastAsia="宋体" w:cs="Times New Roman"/>
          <w:color w:val="auto"/>
          <w:sz w:val="21"/>
          <w:szCs w:val="21"/>
          <w:highlight w:val="none"/>
          <w:lang w:val="en-US" w:eastAsia="zh-CN" w:bidi="ar-SA"/>
        </w:rPr>
        <w:t>以此类推</w:t>
      </w:r>
      <w:r>
        <w:rPr>
          <w:rFonts w:hint="eastAsia" w:ascii="宋体" w:hAnsi="宋体" w:cs="Times New Roman"/>
          <w:color w:val="auto"/>
          <w:sz w:val="21"/>
          <w:szCs w:val="21"/>
          <w:highlight w:val="none"/>
          <w:lang w:val="en-US" w:eastAsia="zh-CN" w:bidi="ar-SA"/>
        </w:rPr>
        <w:t>。也可以重新招标</w:t>
      </w:r>
      <w:r>
        <w:rPr>
          <w:rFonts w:hint="eastAsia" w:ascii="宋体" w:hAnsi="宋体" w:eastAsia="宋体" w:cs="Times New Roman"/>
          <w:color w:val="auto"/>
          <w:sz w:val="21"/>
          <w:szCs w:val="21"/>
          <w:highlight w:val="none"/>
          <w:lang w:val="en-US" w:eastAsia="zh-CN" w:bidi="ar-SA"/>
        </w:rPr>
        <w:t>。有效</w:t>
      </w:r>
      <w:r>
        <w:rPr>
          <w:rFonts w:hint="eastAsia" w:ascii="宋体" w:hAnsi="宋体" w:cs="Times New Roman"/>
          <w:color w:val="auto"/>
          <w:sz w:val="21"/>
          <w:szCs w:val="21"/>
          <w:highlight w:val="none"/>
          <w:lang w:val="en-US" w:eastAsia="zh-CN" w:bidi="ar-SA"/>
        </w:rPr>
        <w:t>中标</w:t>
      </w:r>
      <w:r>
        <w:rPr>
          <w:rFonts w:hint="eastAsia" w:ascii="宋体" w:hAnsi="宋体" w:eastAsia="宋体" w:cs="Times New Roman"/>
          <w:color w:val="auto"/>
          <w:sz w:val="21"/>
          <w:szCs w:val="21"/>
          <w:highlight w:val="none"/>
          <w:lang w:val="en-US" w:eastAsia="zh-CN" w:bidi="ar-SA"/>
        </w:rPr>
        <w:t>候选人不足三家的，本项目终止采购</w:t>
      </w:r>
      <w:r>
        <w:rPr>
          <w:rFonts w:hint="eastAsia" w:ascii="宋体" w:hAnsi="宋体"/>
          <w:color w:val="auto"/>
          <w:sz w:val="21"/>
          <w:szCs w:val="21"/>
          <w:highlight w:val="none"/>
        </w:rPr>
        <w:t>。</w:t>
      </w:r>
    </w:p>
    <w:p w14:paraId="799A2478">
      <w:pPr>
        <w:spacing w:line="360" w:lineRule="auto"/>
        <w:ind w:firstLine="422"/>
        <w:rPr>
          <w:rFonts w:ascii="宋体" w:hAnsi="宋体"/>
          <w:b/>
          <w:color w:val="auto"/>
          <w:szCs w:val="21"/>
          <w:highlight w:val="none"/>
        </w:rPr>
      </w:pPr>
      <w:bookmarkStart w:id="124" w:name="_Toc449017024"/>
      <w:bookmarkStart w:id="125" w:name="_Toc449016388"/>
      <w:r>
        <w:rPr>
          <w:rFonts w:ascii="宋体" w:hAnsi="宋体"/>
          <w:b/>
          <w:color w:val="auto"/>
          <w:szCs w:val="21"/>
          <w:highlight w:val="none"/>
        </w:rPr>
        <w:t>二、</w:t>
      </w:r>
      <w:r>
        <w:rPr>
          <w:rFonts w:hint="eastAsia" w:ascii="宋体" w:hAnsi="宋体"/>
          <w:b/>
          <w:color w:val="auto"/>
          <w:szCs w:val="21"/>
          <w:highlight w:val="none"/>
        </w:rPr>
        <w:t>政府采购政策功能落实</w:t>
      </w:r>
      <w:bookmarkEnd w:id="124"/>
      <w:bookmarkEnd w:id="125"/>
    </w:p>
    <w:p w14:paraId="4C8A31D1">
      <w:pPr>
        <w:spacing w:line="360" w:lineRule="auto"/>
        <w:ind w:firstLine="420"/>
        <w:rPr>
          <w:rFonts w:ascii="宋体" w:hAnsi="宋体"/>
          <w:b/>
          <w:color w:val="auto"/>
          <w:szCs w:val="21"/>
          <w:highlight w:val="none"/>
        </w:rPr>
      </w:pPr>
      <w:r>
        <w:rPr>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7983905A">
      <w:pPr>
        <w:pStyle w:val="270"/>
        <w:ind w:left="315" w:firstLine="105"/>
        <w:rPr>
          <w:rFonts w:ascii="宋体" w:hAnsi="宋体"/>
          <w:color w:val="auto"/>
          <w:sz w:val="21"/>
          <w:szCs w:val="21"/>
          <w:highlight w:val="none"/>
        </w:rPr>
      </w:pPr>
      <w:r>
        <w:rPr>
          <w:rFonts w:ascii="宋体" w:hAnsi="宋体"/>
          <w:color w:val="auto"/>
          <w:sz w:val="21"/>
          <w:szCs w:val="21"/>
          <w:highlight w:val="none"/>
        </w:rPr>
        <w:t>1、小微型企业价格扣除</w:t>
      </w:r>
    </w:p>
    <w:p w14:paraId="50AF7F22">
      <w:pPr>
        <w:pStyle w:val="270"/>
        <w:ind w:firstLine="420"/>
        <w:rPr>
          <w:rFonts w:ascii="宋体" w:hAnsi="宋体"/>
          <w:color w:val="auto"/>
          <w:sz w:val="21"/>
          <w:szCs w:val="21"/>
          <w:highlight w:val="none"/>
        </w:rPr>
      </w:pPr>
      <w:r>
        <w:rPr>
          <w:rFonts w:ascii="宋体" w:hAnsi="宋体"/>
          <w:color w:val="auto"/>
          <w:sz w:val="21"/>
          <w:szCs w:val="21"/>
          <w:highlight w:val="none"/>
        </w:rPr>
        <w:t>（1）本项目对小型和微型企业产品给予</w:t>
      </w:r>
      <w:r>
        <w:rPr>
          <w:rFonts w:hint="eastAsia" w:ascii="宋体" w:hAnsi="宋体"/>
          <w:color w:val="auto"/>
          <w:sz w:val="21"/>
          <w:szCs w:val="21"/>
          <w:highlight w:val="none"/>
        </w:rPr>
        <w:t>10</w:t>
      </w:r>
      <w:r>
        <w:rPr>
          <w:rFonts w:ascii="宋体" w:hAnsi="宋体"/>
          <w:color w:val="auto"/>
          <w:sz w:val="21"/>
          <w:szCs w:val="21"/>
          <w:highlight w:val="none"/>
        </w:rPr>
        <w:t>%的扣除价格，用扣除后的价格参与评审。</w:t>
      </w:r>
    </w:p>
    <w:p w14:paraId="03C7690A">
      <w:pPr>
        <w:pStyle w:val="270"/>
        <w:ind w:firstLine="420"/>
        <w:rPr>
          <w:rFonts w:ascii="宋体" w:hAnsi="宋体"/>
          <w:color w:val="auto"/>
          <w:sz w:val="21"/>
          <w:szCs w:val="21"/>
          <w:highlight w:val="none"/>
        </w:rPr>
      </w:pPr>
      <w:r>
        <w:rPr>
          <w:rFonts w:ascii="宋体" w:hAnsi="宋体"/>
          <w:color w:val="auto"/>
          <w:sz w:val="21"/>
          <w:szCs w:val="21"/>
          <w:highlight w:val="none"/>
        </w:rPr>
        <w:t>（2）供应商需按照采购文件的要求提供相应的《</w:t>
      </w:r>
      <w:r>
        <w:rPr>
          <w:rFonts w:hint="eastAsia" w:ascii="宋体" w:hAnsi="宋体"/>
          <w:color w:val="auto"/>
          <w:sz w:val="21"/>
          <w:szCs w:val="21"/>
          <w:highlight w:val="none"/>
        </w:rPr>
        <w:t>中小</w:t>
      </w:r>
      <w:r>
        <w:rPr>
          <w:rFonts w:ascii="宋体" w:hAnsi="宋体"/>
          <w:color w:val="auto"/>
          <w:sz w:val="21"/>
          <w:szCs w:val="21"/>
          <w:highlight w:val="none"/>
        </w:rPr>
        <w:t>企业声明函》。</w:t>
      </w:r>
    </w:p>
    <w:p w14:paraId="5718B033">
      <w:pPr>
        <w:pStyle w:val="270"/>
        <w:ind w:left="420" w:firstLine="0"/>
        <w:rPr>
          <w:rFonts w:ascii="宋体" w:hAnsi="宋体"/>
          <w:color w:val="auto"/>
          <w:sz w:val="21"/>
          <w:szCs w:val="21"/>
          <w:highlight w:val="none"/>
        </w:rPr>
      </w:pPr>
      <w:r>
        <w:rPr>
          <w:rFonts w:ascii="宋体" w:hAnsi="宋体"/>
          <w:color w:val="auto"/>
          <w:sz w:val="21"/>
          <w:szCs w:val="21"/>
          <w:highlight w:val="none"/>
        </w:rPr>
        <w:t>2、残疾人福利单位价格扣除</w:t>
      </w:r>
    </w:p>
    <w:p w14:paraId="4D5773E5">
      <w:pPr>
        <w:pStyle w:val="270"/>
        <w:rPr>
          <w:rFonts w:ascii="宋体" w:hAnsi="宋体"/>
          <w:color w:val="auto"/>
          <w:sz w:val="21"/>
          <w:szCs w:val="21"/>
          <w:highlight w:val="none"/>
        </w:rPr>
      </w:pPr>
      <w:r>
        <w:rPr>
          <w:rFonts w:ascii="宋体" w:hAnsi="宋体"/>
          <w:color w:val="auto"/>
          <w:sz w:val="21"/>
          <w:szCs w:val="21"/>
          <w:highlight w:val="none"/>
        </w:rPr>
        <w:t>（1）本项目对残疾人福利性单位视同小型、微型企业，给予</w:t>
      </w:r>
      <w:r>
        <w:rPr>
          <w:rFonts w:hint="eastAsia" w:ascii="宋体" w:hAnsi="宋体"/>
          <w:color w:val="auto"/>
          <w:sz w:val="21"/>
          <w:szCs w:val="21"/>
          <w:highlight w:val="none"/>
        </w:rPr>
        <w:t>10</w:t>
      </w:r>
      <w:r>
        <w:rPr>
          <w:rFonts w:ascii="宋体" w:hAnsi="宋体"/>
          <w:color w:val="auto"/>
          <w:sz w:val="21"/>
          <w:szCs w:val="21"/>
          <w:highlight w:val="none"/>
        </w:rPr>
        <w:t>%的价格扣除，用扣除后的价格参与评审。</w:t>
      </w:r>
    </w:p>
    <w:p w14:paraId="19A4C0FE">
      <w:pPr>
        <w:pStyle w:val="270"/>
        <w:ind w:left="420" w:firstLine="0"/>
        <w:rPr>
          <w:rFonts w:ascii="宋体" w:hAnsi="宋体"/>
          <w:color w:val="auto"/>
          <w:sz w:val="21"/>
          <w:szCs w:val="21"/>
          <w:highlight w:val="none"/>
        </w:rPr>
      </w:pPr>
      <w:r>
        <w:rPr>
          <w:rFonts w:ascii="宋体" w:hAnsi="宋体"/>
          <w:color w:val="auto"/>
          <w:sz w:val="21"/>
          <w:szCs w:val="21"/>
          <w:highlight w:val="none"/>
        </w:rPr>
        <w:t>（2）残疾人福利单位需按照采购文件的要求提供《残疾人福利性单位声明函》。</w:t>
      </w:r>
    </w:p>
    <w:p w14:paraId="41961BB2">
      <w:pPr>
        <w:pStyle w:val="270"/>
        <w:ind w:firstLine="420"/>
        <w:rPr>
          <w:rFonts w:ascii="宋体" w:hAnsi="宋体"/>
          <w:color w:val="auto"/>
          <w:sz w:val="21"/>
          <w:szCs w:val="21"/>
          <w:highlight w:val="none"/>
        </w:rPr>
      </w:pPr>
      <w:r>
        <w:rPr>
          <w:rFonts w:ascii="宋体" w:hAnsi="宋体"/>
          <w:color w:val="auto"/>
          <w:sz w:val="21"/>
          <w:szCs w:val="21"/>
          <w:highlight w:val="none"/>
        </w:rPr>
        <w:t>（3）残疾人福利单位标准请参照《关于促进残疾人就业政府采购政策的通知》（财库2017〕141号）。</w:t>
      </w:r>
    </w:p>
    <w:p w14:paraId="54233A1C">
      <w:pPr>
        <w:pStyle w:val="270"/>
        <w:ind w:left="420" w:firstLine="0"/>
        <w:rPr>
          <w:rFonts w:ascii="宋体" w:hAnsi="宋体"/>
          <w:color w:val="auto"/>
          <w:sz w:val="21"/>
          <w:szCs w:val="21"/>
          <w:highlight w:val="none"/>
        </w:rPr>
      </w:pPr>
      <w:r>
        <w:rPr>
          <w:rFonts w:ascii="宋体" w:hAnsi="宋体"/>
          <w:color w:val="auto"/>
          <w:sz w:val="21"/>
          <w:szCs w:val="21"/>
          <w:highlight w:val="none"/>
        </w:rPr>
        <w:t>3、监狱和戒毒企业价格扣除</w:t>
      </w:r>
    </w:p>
    <w:p w14:paraId="17FEDC64">
      <w:pPr>
        <w:pStyle w:val="270"/>
        <w:rPr>
          <w:rFonts w:ascii="宋体" w:hAnsi="宋体"/>
          <w:color w:val="auto"/>
          <w:sz w:val="21"/>
          <w:szCs w:val="21"/>
          <w:highlight w:val="none"/>
        </w:rPr>
      </w:pPr>
      <w:r>
        <w:rPr>
          <w:rFonts w:ascii="宋体" w:hAnsi="宋体"/>
          <w:color w:val="auto"/>
          <w:sz w:val="21"/>
          <w:szCs w:val="21"/>
          <w:highlight w:val="none"/>
        </w:rPr>
        <w:t>（1）本项目对监狱和戒毒企业（简称监狱企业）视同小型、微型企业，给予</w:t>
      </w:r>
      <w:r>
        <w:rPr>
          <w:rFonts w:hint="eastAsia" w:ascii="宋体" w:hAnsi="宋体"/>
          <w:color w:val="auto"/>
          <w:sz w:val="21"/>
          <w:szCs w:val="21"/>
          <w:highlight w:val="none"/>
        </w:rPr>
        <w:t>10</w:t>
      </w:r>
      <w:r>
        <w:rPr>
          <w:rFonts w:ascii="宋体" w:hAnsi="宋体"/>
          <w:color w:val="auto"/>
          <w:sz w:val="21"/>
          <w:szCs w:val="21"/>
          <w:highlight w:val="none"/>
        </w:rPr>
        <w:t>%的价格扣除，用扣除后的价格参与评审。</w:t>
      </w:r>
    </w:p>
    <w:p w14:paraId="52F1FA9D">
      <w:pPr>
        <w:pStyle w:val="270"/>
        <w:rPr>
          <w:rFonts w:ascii="宋体" w:hAnsi="宋体"/>
          <w:color w:val="auto"/>
          <w:sz w:val="21"/>
          <w:szCs w:val="21"/>
          <w:highlight w:val="none"/>
        </w:rPr>
      </w:pPr>
      <w:r>
        <w:rPr>
          <w:rFonts w:ascii="宋体" w:hAnsi="宋体"/>
          <w:color w:val="auto"/>
          <w:sz w:val="21"/>
          <w:szCs w:val="21"/>
          <w:highlight w:val="none"/>
        </w:rPr>
        <w:t>（2）监狱企业参加政府采购活动时，需提供由省级以上监狱管理局、戒毒管理局(含新疆生产建设兵团)出具的属于监狱企业的证明文件。供应商如不提供上述证明文件，价格将不做相应扣除。</w:t>
      </w:r>
    </w:p>
    <w:p w14:paraId="2486CA7E">
      <w:pPr>
        <w:pStyle w:val="270"/>
        <w:rPr>
          <w:rFonts w:ascii="宋体" w:hAnsi="宋体"/>
          <w:color w:val="auto"/>
          <w:sz w:val="21"/>
          <w:szCs w:val="21"/>
          <w:highlight w:val="none"/>
        </w:rPr>
      </w:pPr>
      <w:r>
        <w:rPr>
          <w:rFonts w:ascii="宋体" w:hAnsi="宋体"/>
          <w:color w:val="auto"/>
          <w:sz w:val="21"/>
          <w:szCs w:val="21"/>
          <w:highlight w:val="none"/>
        </w:rPr>
        <w:t>（3）监狱企业标准请参照《关于政府采购支持监狱企业发展有关问题的通知》（财库[2014]68号）。</w:t>
      </w:r>
    </w:p>
    <w:p w14:paraId="0F7CCF6A">
      <w:pPr>
        <w:pStyle w:val="270"/>
        <w:ind w:firstLine="420"/>
        <w:rPr>
          <w:rFonts w:ascii="宋体" w:hAnsi="宋体"/>
          <w:color w:val="auto"/>
          <w:sz w:val="21"/>
          <w:szCs w:val="21"/>
          <w:highlight w:val="none"/>
        </w:rPr>
      </w:pPr>
      <w:r>
        <w:rPr>
          <w:rFonts w:ascii="宋体" w:hAnsi="宋体"/>
          <w:color w:val="auto"/>
          <w:sz w:val="21"/>
          <w:szCs w:val="21"/>
          <w:highlight w:val="none"/>
        </w:rPr>
        <w:t>4、残疾人福利单位、监狱企业属于小型、微型企业的，不重复享受政策。</w:t>
      </w:r>
    </w:p>
    <w:p w14:paraId="35F341D7">
      <w:pPr>
        <w:pStyle w:val="270"/>
        <w:rPr>
          <w:rFonts w:ascii="宋体" w:hAnsi="宋体"/>
          <w:color w:val="auto"/>
          <w:sz w:val="21"/>
          <w:szCs w:val="21"/>
          <w:highlight w:val="none"/>
        </w:rPr>
      </w:pPr>
      <w:r>
        <w:rPr>
          <w:rFonts w:ascii="宋体" w:hAnsi="宋体"/>
          <w:color w:val="auto"/>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hint="eastAsia" w:ascii="宋体" w:hAnsi="宋体"/>
          <w:color w:val="auto"/>
          <w:sz w:val="21"/>
          <w:szCs w:val="21"/>
          <w:highlight w:val="none"/>
          <w:lang w:val="en-US" w:eastAsia="zh-CN"/>
        </w:rPr>
        <w:t>40</w:t>
      </w:r>
      <w:bookmarkStart w:id="131" w:name="_GoBack"/>
      <w:bookmarkEnd w:id="131"/>
      <w:r>
        <w:rPr>
          <w:rFonts w:ascii="宋体" w:hAnsi="宋体"/>
          <w:color w:val="auto"/>
          <w:sz w:val="21"/>
          <w:szCs w:val="21"/>
          <w:highlight w:val="none"/>
        </w:rPr>
        <w:t>%以上的，给予联合体</w:t>
      </w:r>
      <w:r>
        <w:rPr>
          <w:rFonts w:hint="eastAsia" w:ascii="宋体" w:hAnsi="宋体"/>
          <w:color w:val="auto"/>
          <w:sz w:val="21"/>
          <w:szCs w:val="21"/>
          <w:highlight w:val="none"/>
        </w:rPr>
        <w:t>4</w:t>
      </w:r>
      <w:r>
        <w:rPr>
          <w:rFonts w:ascii="宋体" w:hAnsi="宋体"/>
          <w:color w:val="auto"/>
          <w:sz w:val="21"/>
          <w:szCs w:val="21"/>
          <w:highlight w:val="none"/>
        </w:rPr>
        <w:t>%的价格扣除，用扣除后的价格参与评审。</w:t>
      </w:r>
    </w:p>
    <w:p w14:paraId="428F0F53">
      <w:pPr>
        <w:pStyle w:val="270"/>
        <w:rPr>
          <w:rFonts w:ascii="宋体" w:hAnsi="宋体"/>
          <w:color w:val="auto"/>
          <w:sz w:val="21"/>
          <w:szCs w:val="21"/>
          <w:highlight w:val="none"/>
        </w:rPr>
      </w:pPr>
      <w:r>
        <w:rPr>
          <w:rFonts w:ascii="宋体" w:hAnsi="宋体"/>
          <w:color w:val="auto"/>
          <w:sz w:val="21"/>
          <w:szCs w:val="21"/>
          <w:highlight w:val="none"/>
        </w:rPr>
        <w:t>6、联合体各方均为小型、微型企业（残疾人福利单位、监狱企业）的，联合体享受</w:t>
      </w:r>
      <w:r>
        <w:rPr>
          <w:rFonts w:hint="eastAsia" w:ascii="宋体" w:hAnsi="宋体"/>
          <w:color w:val="auto"/>
          <w:sz w:val="21"/>
          <w:szCs w:val="21"/>
          <w:highlight w:val="none"/>
        </w:rPr>
        <w:t>10</w:t>
      </w:r>
      <w:r>
        <w:rPr>
          <w:rFonts w:ascii="宋体" w:hAnsi="宋体"/>
          <w:color w:val="auto"/>
          <w:sz w:val="21"/>
          <w:szCs w:val="21"/>
          <w:highlight w:val="none"/>
        </w:rPr>
        <w:t>%价格扣除，用扣除后的价格参与评审。</w:t>
      </w:r>
    </w:p>
    <w:p w14:paraId="7C9DED70">
      <w:pPr>
        <w:pStyle w:val="270"/>
        <w:ind w:firstLine="420"/>
        <w:rPr>
          <w:rFonts w:ascii="宋体" w:hAnsi="宋体"/>
          <w:color w:val="auto"/>
          <w:szCs w:val="21"/>
          <w:highlight w:val="none"/>
        </w:rPr>
      </w:pPr>
      <w:r>
        <w:rPr>
          <w:rFonts w:hint="eastAsia" w:ascii="宋体" w:hAnsi="宋体"/>
          <w:color w:val="auto"/>
          <w:sz w:val="21"/>
          <w:szCs w:val="21"/>
          <w:highlight w:val="none"/>
        </w:rPr>
        <w:t>7、大中型企业向小型、微型企业分包的，分包意向协议约定小型、微型企业合同份额占到合同总金额</w:t>
      </w:r>
      <w:r>
        <w:rPr>
          <w:rFonts w:hint="eastAsia" w:ascii="宋体" w:hAnsi="宋体"/>
          <w:color w:val="auto"/>
          <w:sz w:val="21"/>
          <w:szCs w:val="21"/>
          <w:highlight w:val="none"/>
          <w:lang w:val="en-US" w:eastAsia="zh-CN"/>
        </w:rPr>
        <w:t>40</w:t>
      </w:r>
      <w:r>
        <w:rPr>
          <w:rFonts w:hint="eastAsia" w:ascii="宋体" w:hAnsi="宋体"/>
          <w:color w:val="auto"/>
          <w:sz w:val="21"/>
          <w:szCs w:val="21"/>
          <w:highlight w:val="none"/>
        </w:rPr>
        <w:t>%以上的，给予4</w:t>
      </w:r>
      <w:r>
        <w:rPr>
          <w:rFonts w:ascii="宋体" w:hAnsi="宋体"/>
          <w:color w:val="auto"/>
          <w:sz w:val="21"/>
          <w:szCs w:val="21"/>
          <w:highlight w:val="none"/>
        </w:rPr>
        <w:t>%</w:t>
      </w:r>
      <w:r>
        <w:rPr>
          <w:rFonts w:hint="eastAsia" w:ascii="宋体" w:hAnsi="宋体"/>
          <w:color w:val="auto"/>
          <w:sz w:val="21"/>
          <w:szCs w:val="21"/>
          <w:highlight w:val="none"/>
        </w:rPr>
        <w:t>的价格扣除，用扣除后的价格参与评审</w:t>
      </w:r>
      <w:r>
        <w:rPr>
          <w:rFonts w:hint="eastAsia" w:ascii="宋体" w:hAnsi="宋体" w:eastAsia="宋体" w:cs="Times New Roman"/>
          <w:color w:val="auto"/>
          <w:sz w:val="21"/>
          <w:szCs w:val="21"/>
          <w:highlight w:val="none"/>
          <w:lang w:val="en-US" w:eastAsia="zh-CN" w:bidi="ar-SA"/>
        </w:rPr>
        <w:t>。</w:t>
      </w:r>
    </w:p>
    <w:p w14:paraId="26E0BCC3">
      <w:pPr>
        <w:rPr>
          <w:rFonts w:hint="eastAsia" w:ascii="宋体" w:hAnsi="宋体"/>
          <w:color w:val="auto"/>
          <w:sz w:val="36"/>
          <w:highlight w:val="none"/>
        </w:rPr>
      </w:pPr>
      <w:r>
        <w:rPr>
          <w:rFonts w:hint="eastAsia" w:ascii="宋体" w:hAnsi="宋体"/>
          <w:b/>
          <w:color w:val="auto"/>
          <w:szCs w:val="21"/>
          <w:highlight w:val="none"/>
        </w:rPr>
        <w:t>三、评标标准</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8"/>
        <w:gridCol w:w="938"/>
        <w:gridCol w:w="856"/>
        <w:gridCol w:w="5720"/>
      </w:tblGrid>
      <w:tr w14:paraId="27BE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tcPr>
          <w:p w14:paraId="3A443A98">
            <w:pPr>
              <w:rPr>
                <w:rFonts w:hint="default"/>
                <w:color w:val="auto"/>
                <w:vertAlign w:val="baseline"/>
                <w:lang w:val="en-US" w:eastAsia="zh-CN"/>
              </w:rPr>
            </w:pPr>
            <w:r>
              <w:rPr>
                <w:rFonts w:hint="eastAsia"/>
                <w:color w:val="auto"/>
                <w:vertAlign w:val="baseline"/>
                <w:lang w:val="en-US" w:eastAsia="zh-CN"/>
              </w:rPr>
              <w:t>项目</w:t>
            </w:r>
          </w:p>
        </w:tc>
        <w:tc>
          <w:tcPr>
            <w:tcW w:w="1096" w:type="dxa"/>
            <w:gridSpan w:val="2"/>
            <w:noWrap w:val="0"/>
          </w:tcPr>
          <w:p w14:paraId="052FBF14">
            <w:pPr>
              <w:rPr>
                <w:rFonts w:hint="default"/>
                <w:color w:val="auto"/>
                <w:vertAlign w:val="baseline"/>
                <w:lang w:val="en-US" w:eastAsia="zh-CN"/>
              </w:rPr>
            </w:pPr>
            <w:r>
              <w:rPr>
                <w:rFonts w:hint="eastAsia"/>
                <w:color w:val="auto"/>
                <w:vertAlign w:val="baseline"/>
                <w:lang w:val="en-US" w:eastAsia="zh-CN"/>
              </w:rPr>
              <w:t>评审项</w:t>
            </w:r>
          </w:p>
        </w:tc>
        <w:tc>
          <w:tcPr>
            <w:tcW w:w="856" w:type="dxa"/>
            <w:noWrap w:val="0"/>
          </w:tcPr>
          <w:p w14:paraId="35117C01">
            <w:pPr>
              <w:rPr>
                <w:rFonts w:hint="default"/>
                <w:color w:val="auto"/>
                <w:vertAlign w:val="baseline"/>
                <w:lang w:val="en-US" w:eastAsia="zh-CN"/>
              </w:rPr>
            </w:pPr>
            <w:r>
              <w:rPr>
                <w:rFonts w:hint="eastAsia"/>
                <w:color w:val="auto"/>
                <w:vertAlign w:val="baseline"/>
                <w:lang w:val="en-US" w:eastAsia="zh-CN"/>
              </w:rPr>
              <w:t>分值</w:t>
            </w:r>
          </w:p>
        </w:tc>
        <w:tc>
          <w:tcPr>
            <w:tcW w:w="5720" w:type="dxa"/>
            <w:noWrap w:val="0"/>
            <w:vAlign w:val="center"/>
          </w:tcPr>
          <w:p w14:paraId="73DF2880">
            <w:pPr>
              <w:jc w:val="center"/>
              <w:rPr>
                <w:rFonts w:hint="default"/>
                <w:color w:val="auto"/>
                <w:vertAlign w:val="baseline"/>
                <w:lang w:val="en-US" w:eastAsia="zh-CN"/>
              </w:rPr>
            </w:pPr>
            <w:r>
              <w:rPr>
                <w:rFonts w:hint="eastAsia"/>
                <w:color w:val="auto"/>
                <w:vertAlign w:val="baseline"/>
                <w:lang w:val="en-US" w:eastAsia="zh-CN"/>
              </w:rPr>
              <w:t>评分标准</w:t>
            </w:r>
          </w:p>
        </w:tc>
      </w:tr>
      <w:tr w14:paraId="3F5A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noWrap w:val="0"/>
            <w:vAlign w:val="center"/>
          </w:tcPr>
          <w:p w14:paraId="17AAE3E5">
            <w:pPr>
              <w:jc w:val="center"/>
              <w:rPr>
                <w:rFonts w:hint="default"/>
                <w:color w:val="auto"/>
                <w:vertAlign w:val="baseline"/>
                <w:lang w:val="en-US" w:eastAsia="zh-CN"/>
              </w:rPr>
            </w:pPr>
            <w:r>
              <w:rPr>
                <w:rFonts w:hint="eastAsia"/>
                <w:b/>
                <w:bCs/>
                <w:color w:val="auto"/>
                <w:vertAlign w:val="baseline"/>
                <w:lang w:val="en-US" w:eastAsia="zh-CN"/>
              </w:rPr>
              <w:t>报价分（30）</w:t>
            </w:r>
          </w:p>
        </w:tc>
        <w:tc>
          <w:tcPr>
            <w:tcW w:w="938" w:type="dxa"/>
            <w:noWrap w:val="0"/>
          </w:tcPr>
          <w:p w14:paraId="2728AC0C">
            <w:pPr>
              <w:rPr>
                <w:rFonts w:hint="default"/>
                <w:color w:val="auto"/>
                <w:vertAlign w:val="baseline"/>
                <w:lang w:val="en-US" w:eastAsia="zh-CN"/>
              </w:rPr>
            </w:pPr>
            <w:r>
              <w:rPr>
                <w:rFonts w:hint="eastAsia"/>
                <w:color w:val="auto"/>
                <w:vertAlign w:val="baseline"/>
                <w:lang w:val="en-US" w:eastAsia="zh-CN"/>
              </w:rPr>
              <w:t>投标报价</w:t>
            </w:r>
          </w:p>
        </w:tc>
        <w:tc>
          <w:tcPr>
            <w:tcW w:w="856" w:type="dxa"/>
            <w:noWrap w:val="0"/>
          </w:tcPr>
          <w:p w14:paraId="58B30E9A">
            <w:pPr>
              <w:rPr>
                <w:rFonts w:hint="default"/>
                <w:color w:val="auto"/>
                <w:vertAlign w:val="baseline"/>
                <w:lang w:val="en-US" w:eastAsia="zh-CN"/>
              </w:rPr>
            </w:pPr>
            <w:r>
              <w:rPr>
                <w:rFonts w:hint="eastAsia"/>
                <w:color w:val="auto"/>
                <w:vertAlign w:val="baseline"/>
                <w:lang w:val="en-US" w:eastAsia="zh-CN"/>
              </w:rPr>
              <w:t>30</w:t>
            </w:r>
          </w:p>
        </w:tc>
        <w:tc>
          <w:tcPr>
            <w:tcW w:w="5720" w:type="dxa"/>
            <w:noWrap w:val="0"/>
          </w:tcPr>
          <w:p w14:paraId="57118844">
            <w:pPr>
              <w:rPr>
                <w:rFonts w:hint="default"/>
                <w:color w:val="auto"/>
                <w:vertAlign w:val="baseline"/>
                <w:lang w:val="en-US" w:eastAsia="zh-CN"/>
              </w:rPr>
            </w:pPr>
            <w:r>
              <w:rPr>
                <w:rFonts w:hint="default"/>
                <w:color w:val="auto"/>
                <w:vertAlign w:val="baseline"/>
                <w:lang w:val="en-US" w:eastAsia="zh-CN"/>
              </w:rPr>
              <w:t>以满足招标文件要求的最低报价为基准价，得30分，其他报价=（基准价/报价）×30×100%，</w:t>
            </w:r>
            <w:r>
              <w:rPr>
                <w:rFonts w:hint="eastAsia"/>
                <w:color w:val="auto"/>
                <w:vertAlign w:val="baseline"/>
                <w:lang w:val="en-US" w:eastAsia="zh-CN"/>
              </w:rPr>
              <w:t>四舍五入，</w:t>
            </w:r>
            <w:r>
              <w:rPr>
                <w:rFonts w:hint="default"/>
                <w:color w:val="auto"/>
                <w:vertAlign w:val="baseline"/>
                <w:lang w:val="en-US" w:eastAsia="zh-CN"/>
              </w:rPr>
              <w:t>结果保留两位有效小数。</w:t>
            </w:r>
          </w:p>
          <w:p w14:paraId="5F549BF0">
            <w:pPr>
              <w:rPr>
                <w:rFonts w:hint="default"/>
                <w:color w:val="auto"/>
                <w:vertAlign w:val="baseline"/>
                <w:lang w:val="en-US" w:eastAsia="zh-CN"/>
              </w:rPr>
            </w:pPr>
            <w:r>
              <w:rPr>
                <w:rFonts w:hint="default"/>
                <w:color w:val="auto"/>
                <w:vertAlign w:val="baseline"/>
                <w:lang w:val="en-US" w:eastAsia="zh-CN"/>
              </w:rPr>
              <w:t>注：评标委员会认为投标人的报价明显低于其他通过符合性审查投标人的报价，有可能影响服务质量或者不能诚信履约的，且投标人不能在评标现场合理的时间内证明其报价合理性的，评标委员会有权将其作为无效投标处理。</w:t>
            </w:r>
          </w:p>
        </w:tc>
      </w:tr>
      <w:tr w14:paraId="4AC0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008" w:type="dxa"/>
            <w:gridSpan w:val="2"/>
            <w:vMerge w:val="restart"/>
            <w:noWrap w:val="0"/>
            <w:vAlign w:val="center"/>
          </w:tcPr>
          <w:p w14:paraId="5D49BCC8">
            <w:pPr>
              <w:keepNext w:val="0"/>
              <w:keepLines w:val="0"/>
              <w:pageBreakBefore w:val="0"/>
              <w:spacing w:line="240" w:lineRule="auto"/>
              <w:jc w:val="center"/>
              <w:rPr>
                <w:rFonts w:hint="default" w:ascii="宋体" w:hAnsi="宋体"/>
                <w:b/>
                <w:bCs/>
                <w:color w:val="auto"/>
                <w:lang w:val="en-US" w:eastAsia="zh-CN"/>
              </w:rPr>
            </w:pPr>
            <w:r>
              <w:rPr>
                <w:rFonts w:hint="eastAsia" w:ascii="宋体" w:hAnsi="宋体"/>
                <w:b/>
                <w:bCs/>
                <w:color w:val="auto"/>
                <w:lang w:val="en-US" w:eastAsia="zh-CN"/>
              </w:rPr>
              <w:t>赔偿方案（22）</w:t>
            </w:r>
          </w:p>
        </w:tc>
        <w:tc>
          <w:tcPr>
            <w:tcW w:w="938" w:type="dxa"/>
            <w:noWrap w:val="0"/>
          </w:tcPr>
          <w:p w14:paraId="796DD5D5">
            <w:pPr>
              <w:rPr>
                <w:rFonts w:hint="default"/>
                <w:color w:val="auto"/>
                <w:vertAlign w:val="baseline"/>
                <w:lang w:val="en-US" w:eastAsia="zh-CN"/>
              </w:rPr>
            </w:pPr>
            <w:r>
              <w:rPr>
                <w:rFonts w:hint="eastAsia" w:ascii="宋体" w:hAnsi="宋体"/>
                <w:b w:val="0"/>
                <w:bCs w:val="0"/>
                <w:color w:val="auto"/>
                <w:lang w:val="en-US" w:eastAsia="zh-CN"/>
              </w:rPr>
              <w:t>医责险理赔限额</w:t>
            </w:r>
          </w:p>
        </w:tc>
        <w:tc>
          <w:tcPr>
            <w:tcW w:w="856" w:type="dxa"/>
            <w:noWrap w:val="0"/>
          </w:tcPr>
          <w:p w14:paraId="6062815F">
            <w:pPr>
              <w:rPr>
                <w:rFonts w:hint="default"/>
                <w:color w:val="auto"/>
                <w:vertAlign w:val="baseline"/>
                <w:lang w:val="en-US" w:eastAsia="zh-CN"/>
              </w:rPr>
            </w:pPr>
            <w:r>
              <w:rPr>
                <w:rFonts w:hint="eastAsia"/>
                <w:color w:val="auto"/>
                <w:vertAlign w:val="baseline"/>
                <w:lang w:val="en-US" w:eastAsia="zh-CN"/>
              </w:rPr>
              <w:t>10</w:t>
            </w:r>
          </w:p>
        </w:tc>
        <w:tc>
          <w:tcPr>
            <w:tcW w:w="5720" w:type="dxa"/>
            <w:noWrap w:val="0"/>
          </w:tcPr>
          <w:p w14:paraId="3C9B5B4C">
            <w:pPr>
              <w:rPr>
                <w:rFonts w:hint="default"/>
                <w:color w:val="auto"/>
                <w:vertAlign w:val="baseline"/>
                <w:lang w:val="en-US" w:eastAsia="zh-CN"/>
              </w:rPr>
            </w:pPr>
            <w:r>
              <w:rPr>
                <w:rFonts w:hint="eastAsia" w:ascii="宋体" w:hAnsi="宋体" w:cs="宋体"/>
                <w:b w:val="0"/>
                <w:bCs w:val="0"/>
                <w:color w:val="auto"/>
                <w:szCs w:val="21"/>
              </w:rPr>
              <w:t>得分=投标人所报赔偿限额</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总额</w:t>
            </w:r>
            <w:r>
              <w:rPr>
                <w:rFonts w:hint="eastAsia" w:ascii="宋体" w:hAnsi="宋体" w:cs="宋体"/>
                <w:b w:val="0"/>
                <w:bCs w:val="0"/>
                <w:color w:val="auto"/>
                <w:szCs w:val="21"/>
                <w:lang w:eastAsia="zh-CN"/>
              </w:rPr>
              <w:t>）</w:t>
            </w:r>
            <w:r>
              <w:rPr>
                <w:rFonts w:hint="eastAsia" w:ascii="宋体" w:hAnsi="宋体" w:cs="宋体"/>
                <w:b w:val="0"/>
                <w:bCs w:val="0"/>
                <w:color w:val="auto"/>
                <w:szCs w:val="21"/>
              </w:rPr>
              <w:t>／所报赔偿金额最高的投标人×</w:t>
            </w:r>
            <w:r>
              <w:rPr>
                <w:rFonts w:hint="eastAsia" w:ascii="宋体" w:hAnsi="宋体" w:cs="宋体"/>
                <w:b w:val="0"/>
                <w:bCs w:val="0"/>
                <w:color w:val="auto"/>
                <w:szCs w:val="21"/>
                <w:lang w:val="en-US" w:eastAsia="zh-CN"/>
              </w:rPr>
              <w:t>10</w:t>
            </w:r>
            <w:r>
              <w:rPr>
                <w:rFonts w:hint="default"/>
                <w:color w:val="auto"/>
                <w:vertAlign w:val="baseline"/>
                <w:lang w:val="en-US" w:eastAsia="zh-CN"/>
              </w:rPr>
              <w:t>×100%</w:t>
            </w:r>
            <w:r>
              <w:rPr>
                <w:rFonts w:hint="eastAsia" w:ascii="宋体" w:hAnsi="宋体" w:cs="宋体"/>
                <w:b w:val="0"/>
                <w:bCs w:val="0"/>
                <w:color w:val="auto"/>
                <w:szCs w:val="21"/>
              </w:rPr>
              <w:t>。</w:t>
            </w:r>
            <w:r>
              <w:rPr>
                <w:rFonts w:hint="eastAsia"/>
                <w:color w:val="auto"/>
                <w:vertAlign w:val="baseline"/>
                <w:lang w:val="en-US" w:eastAsia="zh-CN"/>
              </w:rPr>
              <w:t>四舍五入，</w:t>
            </w:r>
            <w:r>
              <w:rPr>
                <w:rFonts w:hint="default"/>
                <w:color w:val="auto"/>
                <w:vertAlign w:val="baseline"/>
                <w:lang w:val="en-US" w:eastAsia="zh-CN"/>
              </w:rPr>
              <w:t>结果保留两位有效小数。</w:t>
            </w:r>
          </w:p>
          <w:p w14:paraId="7C10A61B">
            <w:pPr>
              <w:rPr>
                <w:rFonts w:hint="default" w:ascii="宋体" w:hAnsi="宋体" w:cs="宋体" w:eastAsiaTheme="minorEastAsia"/>
                <w:b w:val="0"/>
                <w:bCs w:val="0"/>
                <w:color w:val="auto"/>
                <w:szCs w:val="21"/>
                <w:lang w:val="en-US" w:eastAsia="zh-CN"/>
              </w:rPr>
            </w:pPr>
            <w:r>
              <w:rPr>
                <w:rFonts w:hint="eastAsia"/>
                <w:color w:val="auto"/>
                <w:vertAlign w:val="baseline"/>
                <w:lang w:val="en-US" w:eastAsia="zh-CN"/>
              </w:rPr>
              <w:t>所报赔偿限额</w:t>
            </w:r>
            <w:r>
              <w:rPr>
                <w:rFonts w:hint="eastAsia" w:ascii="宋体" w:hAnsi="宋体" w:cs="宋体"/>
                <w:b w:val="0"/>
                <w:bCs w:val="0"/>
                <w:color w:val="auto"/>
                <w:szCs w:val="21"/>
                <w:lang w:val="en-US" w:eastAsia="zh-CN"/>
              </w:rPr>
              <w:t>超所有投标人所有赔偿限额（总额）平均值2倍以上者视为恶意冲标，恶意竞争或未提供此项不得分。</w:t>
            </w:r>
          </w:p>
        </w:tc>
      </w:tr>
      <w:tr w14:paraId="76D5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vMerge w:val="continue"/>
            <w:noWrap w:val="0"/>
            <w:vAlign w:val="center"/>
          </w:tcPr>
          <w:p w14:paraId="1AC96B5C">
            <w:pPr>
              <w:keepNext w:val="0"/>
              <w:keepLines w:val="0"/>
              <w:pageBreakBefore w:val="0"/>
              <w:spacing w:line="240" w:lineRule="auto"/>
              <w:jc w:val="center"/>
              <w:rPr>
                <w:rFonts w:hint="eastAsia" w:ascii="宋体" w:hAnsi="宋体"/>
                <w:b/>
                <w:bCs/>
                <w:color w:val="auto"/>
                <w:lang w:val="en-US" w:eastAsia="zh-CN"/>
              </w:rPr>
            </w:pPr>
          </w:p>
        </w:tc>
        <w:tc>
          <w:tcPr>
            <w:tcW w:w="938" w:type="dxa"/>
            <w:noWrap w:val="0"/>
          </w:tcPr>
          <w:p w14:paraId="05FFF21B">
            <w:pPr>
              <w:rPr>
                <w:rFonts w:hint="eastAsia" w:ascii="宋体" w:hAnsi="宋体"/>
                <w:b/>
                <w:bCs/>
                <w:color w:val="auto"/>
                <w:lang w:val="en-US" w:eastAsia="zh-CN"/>
              </w:rPr>
            </w:pPr>
            <w:r>
              <w:rPr>
                <w:rFonts w:hint="eastAsia"/>
                <w:color w:val="auto"/>
                <w:vertAlign w:val="baseline"/>
                <w:lang w:val="en-US" w:eastAsia="zh-CN"/>
              </w:rPr>
              <w:t>公共责任险</w:t>
            </w:r>
          </w:p>
        </w:tc>
        <w:tc>
          <w:tcPr>
            <w:tcW w:w="856" w:type="dxa"/>
            <w:noWrap w:val="0"/>
          </w:tcPr>
          <w:p w14:paraId="2972CDA3">
            <w:pPr>
              <w:rPr>
                <w:rFonts w:hint="default"/>
                <w:color w:val="auto"/>
                <w:vertAlign w:val="baseline"/>
                <w:lang w:val="en-US" w:eastAsia="zh-CN"/>
              </w:rPr>
            </w:pPr>
            <w:r>
              <w:rPr>
                <w:rFonts w:hint="eastAsia"/>
                <w:color w:val="auto"/>
                <w:vertAlign w:val="baseline"/>
                <w:lang w:val="en-US" w:eastAsia="zh-CN"/>
              </w:rPr>
              <w:t>2</w:t>
            </w:r>
          </w:p>
        </w:tc>
        <w:tc>
          <w:tcPr>
            <w:tcW w:w="5720" w:type="dxa"/>
            <w:noWrap w:val="0"/>
          </w:tcPr>
          <w:p w14:paraId="4FCBC310">
            <w:pPr>
              <w:rPr>
                <w:rFonts w:hint="eastAsia" w:ascii="宋体" w:hAnsi="宋体" w:cs="宋体"/>
                <w:b w:val="0"/>
                <w:bCs w:val="0"/>
                <w:color w:val="auto"/>
                <w:szCs w:val="21"/>
              </w:rPr>
            </w:pPr>
            <w:r>
              <w:rPr>
                <w:rFonts w:hint="eastAsia" w:ascii="宋体" w:hAnsi="宋体" w:cs="宋体"/>
                <w:b w:val="0"/>
                <w:bCs w:val="0"/>
                <w:color w:val="auto"/>
                <w:szCs w:val="21"/>
              </w:rPr>
              <w:t>得分=投标人所报赔偿限额</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总额</w:t>
            </w:r>
            <w:r>
              <w:rPr>
                <w:rFonts w:hint="eastAsia" w:ascii="宋体" w:hAnsi="宋体" w:cs="宋体"/>
                <w:b w:val="0"/>
                <w:bCs w:val="0"/>
                <w:color w:val="auto"/>
                <w:szCs w:val="21"/>
                <w:lang w:eastAsia="zh-CN"/>
              </w:rPr>
              <w:t>）</w:t>
            </w:r>
            <w:r>
              <w:rPr>
                <w:rFonts w:hint="eastAsia" w:ascii="宋体" w:hAnsi="宋体" w:cs="宋体"/>
                <w:b w:val="0"/>
                <w:bCs w:val="0"/>
                <w:color w:val="auto"/>
                <w:szCs w:val="21"/>
              </w:rPr>
              <w:t>／所报赔偿金额最高的投标人×</w:t>
            </w:r>
            <w:r>
              <w:rPr>
                <w:rFonts w:hint="eastAsia" w:ascii="宋体" w:hAnsi="宋体" w:cs="宋体"/>
                <w:b w:val="0"/>
                <w:bCs w:val="0"/>
                <w:color w:val="auto"/>
                <w:szCs w:val="21"/>
                <w:lang w:val="en-US" w:eastAsia="zh-CN"/>
              </w:rPr>
              <w:t>2</w:t>
            </w:r>
            <w:r>
              <w:rPr>
                <w:rFonts w:hint="default"/>
                <w:color w:val="auto"/>
                <w:vertAlign w:val="baseline"/>
                <w:lang w:val="en-US" w:eastAsia="zh-CN"/>
              </w:rPr>
              <w:t>×100%</w:t>
            </w:r>
            <w:r>
              <w:rPr>
                <w:rFonts w:hint="eastAsia" w:ascii="宋体" w:hAnsi="宋体" w:cs="宋体"/>
                <w:b w:val="0"/>
                <w:bCs w:val="0"/>
                <w:color w:val="auto"/>
                <w:szCs w:val="21"/>
              </w:rPr>
              <w:t>。</w:t>
            </w:r>
            <w:r>
              <w:rPr>
                <w:rFonts w:hint="eastAsia"/>
                <w:color w:val="auto"/>
                <w:vertAlign w:val="baseline"/>
                <w:lang w:val="en-US" w:eastAsia="zh-CN"/>
              </w:rPr>
              <w:t>四舍五入，</w:t>
            </w:r>
            <w:r>
              <w:rPr>
                <w:rFonts w:hint="default"/>
                <w:color w:val="auto"/>
                <w:vertAlign w:val="baseline"/>
                <w:lang w:val="en-US" w:eastAsia="zh-CN"/>
              </w:rPr>
              <w:t>结果保留两位有效小数。</w:t>
            </w:r>
          </w:p>
          <w:p w14:paraId="006450C5">
            <w:pPr>
              <w:rPr>
                <w:rFonts w:hint="eastAsia" w:ascii="宋体" w:hAnsi="宋体" w:cs="宋体"/>
                <w:b w:val="0"/>
                <w:bCs w:val="0"/>
                <w:color w:val="auto"/>
                <w:szCs w:val="21"/>
                <w:lang w:val="en-US" w:eastAsia="zh-CN"/>
              </w:rPr>
            </w:pPr>
            <w:r>
              <w:rPr>
                <w:rFonts w:hint="eastAsia"/>
                <w:color w:val="auto"/>
                <w:vertAlign w:val="baseline"/>
                <w:lang w:val="en-US" w:eastAsia="zh-CN"/>
              </w:rPr>
              <w:t>所报赔偿限额</w:t>
            </w:r>
            <w:r>
              <w:rPr>
                <w:rFonts w:hint="eastAsia" w:ascii="宋体" w:hAnsi="宋体" w:cs="宋体"/>
                <w:b w:val="0"/>
                <w:bCs w:val="0"/>
                <w:color w:val="auto"/>
                <w:szCs w:val="21"/>
                <w:lang w:val="en-US" w:eastAsia="zh-CN"/>
              </w:rPr>
              <w:t>超所有投标人所有赔偿限额（总额）平均值2倍以上者视为恶意冲标，恶意竞争或未提供此项不得分。</w:t>
            </w:r>
          </w:p>
        </w:tc>
      </w:tr>
      <w:tr w14:paraId="22B3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vMerge w:val="continue"/>
            <w:noWrap w:val="0"/>
            <w:vAlign w:val="center"/>
          </w:tcPr>
          <w:p w14:paraId="3A68BF04">
            <w:pPr>
              <w:jc w:val="center"/>
              <w:rPr>
                <w:rFonts w:hint="default"/>
                <w:color w:val="auto"/>
                <w:vertAlign w:val="baseline"/>
                <w:lang w:val="en-US" w:eastAsia="zh-CN"/>
              </w:rPr>
            </w:pPr>
          </w:p>
        </w:tc>
        <w:tc>
          <w:tcPr>
            <w:tcW w:w="938" w:type="dxa"/>
            <w:noWrap w:val="0"/>
          </w:tcPr>
          <w:p w14:paraId="008F898D">
            <w:pPr>
              <w:rPr>
                <w:rFonts w:hint="default"/>
                <w:color w:val="auto"/>
                <w:vertAlign w:val="baseline"/>
                <w:lang w:val="en-US" w:eastAsia="zh-CN"/>
              </w:rPr>
            </w:pPr>
            <w:r>
              <w:rPr>
                <w:rFonts w:hint="eastAsia"/>
                <w:color w:val="auto"/>
                <w:vertAlign w:val="baseline"/>
                <w:lang w:val="en-US" w:eastAsia="zh-CN"/>
              </w:rPr>
              <w:t>京沪医学中心保险服务项目理赔限额</w:t>
            </w:r>
          </w:p>
        </w:tc>
        <w:tc>
          <w:tcPr>
            <w:tcW w:w="856" w:type="dxa"/>
            <w:noWrap w:val="0"/>
          </w:tcPr>
          <w:p w14:paraId="6CBBC198">
            <w:pPr>
              <w:rPr>
                <w:rFonts w:hint="default"/>
                <w:color w:val="auto"/>
                <w:vertAlign w:val="baseline"/>
                <w:lang w:val="en-US" w:eastAsia="zh-CN"/>
              </w:rPr>
            </w:pPr>
            <w:r>
              <w:rPr>
                <w:rFonts w:hint="eastAsia"/>
                <w:color w:val="auto"/>
                <w:vertAlign w:val="baseline"/>
                <w:lang w:val="en-US" w:eastAsia="zh-CN"/>
              </w:rPr>
              <w:t>8</w:t>
            </w:r>
          </w:p>
        </w:tc>
        <w:tc>
          <w:tcPr>
            <w:tcW w:w="5720" w:type="dxa"/>
            <w:noWrap w:val="0"/>
          </w:tcPr>
          <w:p w14:paraId="54AAB2F9">
            <w:pP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京沪医疗中心医疗责任（补充）险、医疗意外险、医师责任险、专家及团体意外险各2分。本项累计计算，满分8分。</w:t>
            </w:r>
          </w:p>
          <w:p w14:paraId="609D77B8">
            <w:pPr>
              <w:rPr>
                <w:rFonts w:hint="eastAsia" w:ascii="宋体" w:hAnsi="宋体" w:cs="宋体"/>
                <w:b w:val="0"/>
                <w:bCs w:val="0"/>
                <w:color w:val="auto"/>
                <w:szCs w:val="21"/>
              </w:rPr>
            </w:pPr>
            <w:r>
              <w:rPr>
                <w:rFonts w:hint="eastAsia" w:ascii="宋体" w:hAnsi="宋体" w:cs="宋体"/>
                <w:b w:val="0"/>
                <w:bCs w:val="0"/>
                <w:color w:val="auto"/>
                <w:szCs w:val="21"/>
                <w:lang w:val="en-US" w:eastAsia="zh-CN"/>
              </w:rPr>
              <w:t>单项</w:t>
            </w:r>
            <w:r>
              <w:rPr>
                <w:rFonts w:hint="eastAsia" w:ascii="宋体" w:hAnsi="宋体" w:cs="宋体"/>
                <w:b w:val="0"/>
                <w:bCs w:val="0"/>
                <w:color w:val="auto"/>
                <w:szCs w:val="21"/>
              </w:rPr>
              <w:t>得分=投标人所报赔偿限额</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总额</w:t>
            </w:r>
            <w:r>
              <w:rPr>
                <w:rFonts w:hint="eastAsia" w:ascii="宋体" w:hAnsi="宋体" w:cs="宋体"/>
                <w:b w:val="0"/>
                <w:bCs w:val="0"/>
                <w:color w:val="auto"/>
                <w:szCs w:val="21"/>
                <w:lang w:eastAsia="zh-CN"/>
              </w:rPr>
              <w:t>）</w:t>
            </w:r>
            <w:r>
              <w:rPr>
                <w:rFonts w:hint="eastAsia" w:ascii="宋体" w:hAnsi="宋体" w:cs="宋体"/>
                <w:b w:val="0"/>
                <w:bCs w:val="0"/>
                <w:color w:val="auto"/>
                <w:szCs w:val="21"/>
              </w:rPr>
              <w:t>／</w:t>
            </w:r>
            <w:r>
              <w:rPr>
                <w:rFonts w:hint="eastAsia" w:ascii="宋体" w:hAnsi="宋体" w:cs="宋体"/>
                <w:b w:val="0"/>
                <w:bCs w:val="0"/>
                <w:color w:val="auto"/>
                <w:szCs w:val="21"/>
                <w:lang w:val="en-US" w:eastAsia="zh-CN"/>
              </w:rPr>
              <w:t>单项</w:t>
            </w:r>
            <w:r>
              <w:rPr>
                <w:rFonts w:hint="eastAsia" w:ascii="宋体" w:hAnsi="宋体" w:cs="宋体"/>
                <w:b w:val="0"/>
                <w:bCs w:val="0"/>
                <w:color w:val="auto"/>
                <w:szCs w:val="21"/>
              </w:rPr>
              <w:t>所报赔偿金额最高的投标人×</w:t>
            </w:r>
            <w:r>
              <w:rPr>
                <w:rFonts w:hint="eastAsia" w:ascii="宋体" w:hAnsi="宋体" w:cs="宋体"/>
                <w:b w:val="0"/>
                <w:bCs w:val="0"/>
                <w:color w:val="auto"/>
                <w:szCs w:val="21"/>
                <w:lang w:val="en-US" w:eastAsia="zh-CN"/>
              </w:rPr>
              <w:t>2</w:t>
            </w:r>
            <w:r>
              <w:rPr>
                <w:rFonts w:hint="default"/>
                <w:color w:val="auto"/>
                <w:vertAlign w:val="baseline"/>
                <w:lang w:val="en-US" w:eastAsia="zh-CN"/>
              </w:rPr>
              <w:t>×100%</w:t>
            </w:r>
            <w:r>
              <w:rPr>
                <w:rFonts w:hint="eastAsia" w:ascii="宋体" w:hAnsi="宋体" w:cs="宋体"/>
                <w:b w:val="0"/>
                <w:bCs w:val="0"/>
                <w:color w:val="auto"/>
                <w:szCs w:val="21"/>
              </w:rPr>
              <w:t>。</w:t>
            </w:r>
            <w:r>
              <w:rPr>
                <w:rFonts w:hint="eastAsia"/>
                <w:color w:val="auto"/>
                <w:vertAlign w:val="baseline"/>
                <w:lang w:val="en-US" w:eastAsia="zh-CN"/>
              </w:rPr>
              <w:t>四舍五入，</w:t>
            </w:r>
            <w:r>
              <w:rPr>
                <w:rFonts w:hint="default"/>
                <w:color w:val="auto"/>
                <w:vertAlign w:val="baseline"/>
                <w:lang w:val="en-US" w:eastAsia="zh-CN"/>
              </w:rPr>
              <w:t>结果保留两位有效小数。</w:t>
            </w:r>
          </w:p>
          <w:p w14:paraId="67ED6A7C">
            <w:pPr>
              <w:rPr>
                <w:rFonts w:hint="default" w:ascii="宋体" w:hAnsi="宋体" w:cs="宋体"/>
                <w:b w:val="0"/>
                <w:bCs w:val="0"/>
                <w:color w:val="auto"/>
                <w:sz w:val="21"/>
                <w:szCs w:val="21"/>
                <w:lang w:val="en-US" w:eastAsia="zh-CN"/>
              </w:rPr>
            </w:pPr>
            <w:r>
              <w:rPr>
                <w:rFonts w:hint="eastAsia"/>
                <w:color w:val="auto"/>
                <w:vertAlign w:val="baseline"/>
                <w:lang w:val="en-US" w:eastAsia="zh-CN"/>
              </w:rPr>
              <w:t>所报赔偿限额</w:t>
            </w:r>
            <w:r>
              <w:rPr>
                <w:rFonts w:hint="eastAsia" w:ascii="宋体" w:hAnsi="宋体" w:cs="宋体"/>
                <w:b w:val="0"/>
                <w:bCs w:val="0"/>
                <w:color w:val="auto"/>
                <w:szCs w:val="21"/>
                <w:lang w:val="en-US" w:eastAsia="zh-CN"/>
              </w:rPr>
              <w:t>超所有投标人所有赔偿限额（总额）平均值2倍以上者视为恶意冲标，恶意竞争或未提供此项不得分。</w:t>
            </w:r>
          </w:p>
        </w:tc>
      </w:tr>
      <w:tr w14:paraId="102D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08" w:type="dxa"/>
            <w:gridSpan w:val="2"/>
            <w:vMerge w:val="continue"/>
            <w:noWrap w:val="0"/>
            <w:vAlign w:val="center"/>
          </w:tcPr>
          <w:p w14:paraId="4CFB5712">
            <w:pPr>
              <w:jc w:val="center"/>
              <w:rPr>
                <w:rFonts w:hint="default"/>
                <w:color w:val="auto"/>
                <w:vertAlign w:val="baseline"/>
                <w:lang w:val="en-US" w:eastAsia="zh-CN"/>
              </w:rPr>
            </w:pPr>
          </w:p>
        </w:tc>
        <w:tc>
          <w:tcPr>
            <w:tcW w:w="938" w:type="dxa"/>
            <w:noWrap w:val="0"/>
          </w:tcPr>
          <w:p w14:paraId="26671B89">
            <w:pPr>
              <w:rPr>
                <w:rFonts w:hint="default"/>
                <w:color w:val="auto"/>
                <w:vertAlign w:val="baseline"/>
                <w:lang w:val="en-US" w:eastAsia="zh-CN"/>
              </w:rPr>
            </w:pPr>
            <w:r>
              <w:rPr>
                <w:rFonts w:hint="eastAsia"/>
                <w:color w:val="auto"/>
                <w:vertAlign w:val="baseline"/>
                <w:lang w:val="en-US" w:eastAsia="zh-CN"/>
              </w:rPr>
              <w:t>手术意外险险种数</w:t>
            </w:r>
          </w:p>
        </w:tc>
        <w:tc>
          <w:tcPr>
            <w:tcW w:w="856" w:type="dxa"/>
            <w:noWrap w:val="0"/>
          </w:tcPr>
          <w:p w14:paraId="434C0027">
            <w:pPr>
              <w:rPr>
                <w:rFonts w:hint="default"/>
                <w:color w:val="auto"/>
                <w:vertAlign w:val="baseline"/>
                <w:lang w:val="en-US" w:eastAsia="zh-CN"/>
              </w:rPr>
            </w:pPr>
            <w:r>
              <w:rPr>
                <w:rFonts w:hint="eastAsia"/>
                <w:color w:val="auto"/>
                <w:vertAlign w:val="baseline"/>
                <w:lang w:val="en-US" w:eastAsia="zh-CN"/>
              </w:rPr>
              <w:t>2</w:t>
            </w:r>
          </w:p>
        </w:tc>
        <w:tc>
          <w:tcPr>
            <w:tcW w:w="5720" w:type="dxa"/>
            <w:noWrap w:val="0"/>
          </w:tcPr>
          <w:p w14:paraId="699788E7">
            <w:pPr>
              <w:rPr>
                <w:rFonts w:hint="default"/>
                <w:color w:val="auto"/>
                <w:vertAlign w:val="baseline"/>
                <w:lang w:val="en-US" w:eastAsia="zh-CN"/>
              </w:rPr>
            </w:pPr>
            <w:r>
              <w:rPr>
                <w:rFonts w:hint="eastAsia"/>
                <w:color w:val="auto"/>
                <w:vertAlign w:val="baseline"/>
                <w:lang w:val="en-US" w:eastAsia="zh-CN"/>
              </w:rPr>
              <w:t>20个以下不得分，20（含）-30(含）个得1分，30个以上得2分。</w:t>
            </w:r>
            <w:r>
              <w:rPr>
                <w:rFonts w:hint="eastAsia"/>
                <w:b/>
                <w:bCs/>
                <w:color w:val="auto"/>
                <w:vertAlign w:val="baseline"/>
                <w:lang w:val="en-US" w:eastAsia="zh-CN"/>
              </w:rPr>
              <w:t>提供证明材料复印件加盖投标人公章。</w:t>
            </w:r>
          </w:p>
        </w:tc>
      </w:tr>
      <w:tr w14:paraId="3257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vMerge w:val="restart"/>
            <w:noWrap w:val="0"/>
            <w:vAlign w:val="center"/>
          </w:tcPr>
          <w:p w14:paraId="5A37ED68">
            <w:pPr>
              <w:keepNext w:val="0"/>
              <w:keepLines w:val="0"/>
              <w:pageBreakBefore w:val="0"/>
              <w:spacing w:line="240" w:lineRule="auto"/>
              <w:jc w:val="center"/>
              <w:rPr>
                <w:rFonts w:ascii="宋体" w:hAnsi="宋体"/>
                <w:b/>
                <w:bCs/>
                <w:color w:val="auto"/>
              </w:rPr>
            </w:pPr>
            <w:r>
              <w:rPr>
                <w:rFonts w:hint="eastAsia" w:ascii="宋体" w:hAnsi="宋体"/>
                <w:b/>
                <w:bCs/>
                <w:color w:val="auto"/>
              </w:rPr>
              <w:t>综合实力</w:t>
            </w:r>
          </w:p>
          <w:p w14:paraId="76023D65">
            <w:pPr>
              <w:jc w:val="center"/>
              <w:rPr>
                <w:rFonts w:hint="default"/>
                <w:color w:val="auto"/>
                <w:vertAlign w:val="baseline"/>
                <w:lang w:val="en-US" w:eastAsia="zh-CN"/>
              </w:rPr>
            </w:pPr>
            <w:r>
              <w:rPr>
                <w:rFonts w:hint="eastAsia"/>
                <w:color w:val="auto"/>
                <w:vertAlign w:val="baseline"/>
                <w:lang w:val="en-US" w:eastAsia="zh-CN"/>
              </w:rPr>
              <w:t>（20）</w:t>
            </w:r>
          </w:p>
        </w:tc>
        <w:tc>
          <w:tcPr>
            <w:tcW w:w="938" w:type="dxa"/>
            <w:noWrap w:val="0"/>
          </w:tcPr>
          <w:p w14:paraId="5672FCD8">
            <w:pPr>
              <w:rPr>
                <w:rFonts w:hint="default"/>
                <w:b w:val="0"/>
                <w:bCs w:val="0"/>
                <w:color w:val="auto"/>
                <w:vertAlign w:val="baseline"/>
                <w:lang w:val="en-US" w:eastAsia="zh-CN"/>
              </w:rPr>
            </w:pPr>
            <w:r>
              <w:rPr>
                <w:rFonts w:hint="eastAsia" w:ascii="宋体" w:hAnsi="宋体"/>
                <w:b w:val="0"/>
                <w:bCs w:val="0"/>
                <w:color w:val="auto"/>
                <w:highlight w:val="none"/>
              </w:rPr>
              <w:t>综合偿付能力</w:t>
            </w:r>
          </w:p>
        </w:tc>
        <w:tc>
          <w:tcPr>
            <w:tcW w:w="856" w:type="dxa"/>
            <w:noWrap w:val="0"/>
          </w:tcPr>
          <w:p w14:paraId="52241BB1">
            <w:pPr>
              <w:rPr>
                <w:rFonts w:hint="default"/>
                <w:b w:val="0"/>
                <w:bCs w:val="0"/>
                <w:color w:val="auto"/>
                <w:vertAlign w:val="baseline"/>
                <w:lang w:val="en-US" w:eastAsia="zh-CN"/>
              </w:rPr>
            </w:pPr>
            <w:r>
              <w:rPr>
                <w:rFonts w:hint="eastAsia"/>
                <w:b w:val="0"/>
                <w:bCs w:val="0"/>
                <w:color w:val="auto"/>
                <w:vertAlign w:val="baseline"/>
                <w:lang w:val="en-US" w:eastAsia="zh-CN"/>
              </w:rPr>
              <w:t>5</w:t>
            </w:r>
          </w:p>
        </w:tc>
        <w:tc>
          <w:tcPr>
            <w:tcW w:w="5720" w:type="dxa"/>
            <w:noWrap w:val="0"/>
          </w:tcPr>
          <w:p w14:paraId="7779E4CC">
            <w:pPr>
              <w:keepNext w:val="0"/>
              <w:keepLines w:val="0"/>
              <w:pageBreakBefore w:val="0"/>
              <w:widowControl w:val="0"/>
              <w:spacing w:line="240" w:lineRule="auto"/>
              <w:rPr>
                <w:rFonts w:hint="eastAsia" w:ascii="宋体" w:hAnsi="宋体"/>
                <w:b w:val="0"/>
                <w:bCs w:val="0"/>
                <w:color w:val="auto"/>
                <w:highlight w:val="none"/>
              </w:rPr>
            </w:pPr>
            <w:r>
              <w:rPr>
                <w:rFonts w:hint="eastAsia" w:ascii="宋体" w:hAnsi="宋体"/>
                <w:b w:val="0"/>
                <w:bCs w:val="0"/>
                <w:color w:val="auto"/>
                <w:highlight w:val="none"/>
                <w:lang w:val="en-US" w:eastAsia="zh-CN"/>
              </w:rPr>
              <w:t>查看</w:t>
            </w:r>
            <w:r>
              <w:rPr>
                <w:rFonts w:hint="eastAsia" w:ascii="宋体" w:hAnsi="宋体"/>
                <w:b w:val="0"/>
                <w:bCs w:val="0"/>
                <w:color w:val="auto"/>
                <w:highlight w:val="none"/>
              </w:rPr>
              <w:t>投标人所属公司</w:t>
            </w:r>
            <w:r>
              <w:rPr>
                <w:rFonts w:hint="eastAsia" w:ascii="宋体" w:hAnsi="宋体"/>
                <w:b w:val="0"/>
                <w:bCs w:val="0"/>
                <w:color w:val="auto"/>
                <w:highlight w:val="none"/>
                <w:lang w:val="en-US" w:eastAsia="zh-CN"/>
              </w:rPr>
              <w:t>(含总公司)已公布的最新季度的</w:t>
            </w:r>
            <w:r>
              <w:rPr>
                <w:rFonts w:hint="eastAsia" w:ascii="宋体" w:hAnsi="宋体"/>
                <w:b w:val="0"/>
                <w:bCs w:val="0"/>
                <w:color w:val="auto"/>
                <w:highlight w:val="none"/>
              </w:rPr>
              <w:t>综合偿付能力</w:t>
            </w:r>
            <w:r>
              <w:rPr>
                <w:rFonts w:hint="eastAsia" w:ascii="宋体" w:hAnsi="宋体"/>
                <w:b w:val="0"/>
                <w:bCs w:val="0"/>
                <w:color w:val="auto"/>
                <w:highlight w:val="none"/>
                <w:lang w:eastAsia="zh-CN"/>
              </w:rPr>
              <w:t>，</w:t>
            </w:r>
            <w:r>
              <w:rPr>
                <w:rFonts w:hint="eastAsia" w:ascii="宋体" w:hAnsi="宋体"/>
                <w:b w:val="0"/>
                <w:bCs w:val="0"/>
                <w:color w:val="auto"/>
                <w:highlight w:val="none"/>
              </w:rPr>
              <w:t>综合偿付能力充足率200%（含）以上，得</w:t>
            </w:r>
            <w:r>
              <w:rPr>
                <w:rFonts w:hint="eastAsia" w:ascii="宋体" w:hAnsi="宋体"/>
                <w:b w:val="0"/>
                <w:bCs w:val="0"/>
                <w:color w:val="auto"/>
                <w:highlight w:val="none"/>
                <w:lang w:val="en-US" w:eastAsia="zh-CN"/>
              </w:rPr>
              <w:t>5</w:t>
            </w:r>
            <w:r>
              <w:rPr>
                <w:rFonts w:hint="eastAsia" w:ascii="宋体" w:hAnsi="宋体"/>
                <w:b w:val="0"/>
                <w:bCs w:val="0"/>
                <w:color w:val="auto"/>
                <w:highlight w:val="none"/>
              </w:rPr>
              <w:t>分；综合偿付能力充足率175%（含）-200%（不含），得</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分；综合偿付能力充足率150%（含）-175%（不含），得</w:t>
            </w:r>
            <w:r>
              <w:rPr>
                <w:rFonts w:hint="eastAsia" w:ascii="宋体" w:hAnsi="宋体"/>
                <w:b w:val="0"/>
                <w:bCs w:val="0"/>
                <w:color w:val="auto"/>
                <w:highlight w:val="none"/>
                <w:lang w:val="en-US" w:eastAsia="zh-CN"/>
              </w:rPr>
              <w:t>1</w:t>
            </w:r>
            <w:r>
              <w:rPr>
                <w:rFonts w:hint="eastAsia" w:ascii="宋体" w:hAnsi="宋体"/>
                <w:b w:val="0"/>
                <w:bCs w:val="0"/>
                <w:color w:val="auto"/>
                <w:highlight w:val="none"/>
              </w:rPr>
              <w:t xml:space="preserve"> 分；综合偿付能力充足率150%以下（不含），不得分。</w:t>
            </w:r>
          </w:p>
          <w:p w14:paraId="5A42081D">
            <w:pPr>
              <w:keepNext w:val="0"/>
              <w:keepLines w:val="0"/>
              <w:pageBreakBefore w:val="0"/>
              <w:widowControl w:val="0"/>
              <w:spacing w:line="240" w:lineRule="auto"/>
              <w:rPr>
                <w:rFonts w:hint="eastAsia" w:ascii="宋体" w:hAnsi="宋体"/>
                <w:b/>
                <w:bCs/>
                <w:color w:val="auto"/>
                <w:highlight w:val="none"/>
                <w:lang w:val="en-US" w:eastAsia="zh-CN"/>
              </w:rPr>
            </w:pPr>
            <w:r>
              <w:rPr>
                <w:rFonts w:hint="eastAsia" w:ascii="宋体" w:hAnsi="宋体"/>
                <w:b/>
                <w:bCs/>
                <w:color w:val="auto"/>
                <w:highlight w:val="none"/>
              </w:rPr>
              <w:t>须提供银保监会发布的或行业协会网站下载的偿付能力情况截图或其他可以体现综合偿付能力充足率的证明材料</w:t>
            </w:r>
            <w:r>
              <w:rPr>
                <w:rFonts w:hint="eastAsia" w:ascii="宋体" w:hAnsi="宋体"/>
                <w:b/>
                <w:bCs/>
                <w:color w:val="auto"/>
                <w:highlight w:val="none"/>
                <w:lang w:val="en-US" w:eastAsia="zh-CN"/>
              </w:rPr>
              <w:t>加盖投标人公章</w:t>
            </w:r>
            <w:r>
              <w:rPr>
                <w:rFonts w:hint="eastAsia" w:ascii="宋体" w:hAnsi="宋体"/>
                <w:b/>
                <w:bCs/>
                <w:color w:val="auto"/>
                <w:highlight w:val="none"/>
                <w:lang w:eastAsia="zh-CN"/>
              </w:rPr>
              <w:t>。</w:t>
            </w:r>
          </w:p>
        </w:tc>
      </w:tr>
      <w:tr w14:paraId="30E4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vMerge w:val="continue"/>
            <w:noWrap w:val="0"/>
            <w:vAlign w:val="center"/>
          </w:tcPr>
          <w:p w14:paraId="65D44BF6">
            <w:pPr>
              <w:jc w:val="center"/>
              <w:rPr>
                <w:rFonts w:hint="default"/>
                <w:color w:val="auto"/>
                <w:vertAlign w:val="baseline"/>
                <w:lang w:val="en-US" w:eastAsia="zh-CN"/>
              </w:rPr>
            </w:pPr>
          </w:p>
        </w:tc>
        <w:tc>
          <w:tcPr>
            <w:tcW w:w="938" w:type="dxa"/>
            <w:noWrap w:val="0"/>
          </w:tcPr>
          <w:p w14:paraId="501DCAF8">
            <w:pPr>
              <w:rPr>
                <w:rFonts w:hint="default"/>
                <w:b w:val="0"/>
                <w:bCs w:val="0"/>
                <w:color w:val="auto"/>
                <w:vertAlign w:val="baseline"/>
                <w:lang w:val="en-US" w:eastAsia="zh-CN"/>
              </w:rPr>
            </w:pPr>
            <w:r>
              <w:rPr>
                <w:rFonts w:hint="eastAsia" w:ascii="宋体" w:hAnsi="宋体"/>
                <w:b w:val="0"/>
                <w:bCs w:val="0"/>
                <w:color w:val="auto"/>
                <w:highlight w:val="none"/>
              </w:rPr>
              <w:t>风险综合评级</w:t>
            </w:r>
          </w:p>
        </w:tc>
        <w:tc>
          <w:tcPr>
            <w:tcW w:w="856" w:type="dxa"/>
            <w:noWrap w:val="0"/>
          </w:tcPr>
          <w:p w14:paraId="03F75D26">
            <w:pPr>
              <w:rPr>
                <w:rFonts w:hint="default"/>
                <w:b w:val="0"/>
                <w:bCs w:val="0"/>
                <w:color w:val="auto"/>
                <w:vertAlign w:val="baseline"/>
                <w:lang w:val="en-US" w:eastAsia="zh-CN"/>
              </w:rPr>
            </w:pPr>
            <w:r>
              <w:rPr>
                <w:rFonts w:hint="eastAsia"/>
                <w:b w:val="0"/>
                <w:bCs w:val="0"/>
                <w:color w:val="auto"/>
                <w:vertAlign w:val="baseline"/>
                <w:lang w:val="en-US" w:eastAsia="zh-CN"/>
              </w:rPr>
              <w:t>5</w:t>
            </w:r>
          </w:p>
        </w:tc>
        <w:tc>
          <w:tcPr>
            <w:tcW w:w="5720" w:type="dxa"/>
            <w:noWrap w:val="0"/>
          </w:tcPr>
          <w:p w14:paraId="73BB316F">
            <w:pPr>
              <w:rPr>
                <w:rFonts w:hint="eastAsia" w:ascii="宋体" w:hAnsi="宋体"/>
                <w:b w:val="0"/>
                <w:bCs w:val="0"/>
                <w:color w:val="auto"/>
                <w:highlight w:val="none"/>
              </w:rPr>
            </w:pPr>
            <w:r>
              <w:rPr>
                <w:rFonts w:hint="eastAsia" w:ascii="宋体" w:hAnsi="宋体"/>
                <w:b w:val="0"/>
                <w:bCs w:val="0"/>
                <w:color w:val="auto"/>
                <w:highlight w:val="none"/>
              </w:rPr>
              <w:t>投标人所属公司</w:t>
            </w:r>
            <w:r>
              <w:rPr>
                <w:rFonts w:hint="eastAsia" w:ascii="宋体" w:hAnsi="宋体"/>
                <w:b w:val="0"/>
                <w:bCs w:val="0"/>
                <w:color w:val="auto"/>
                <w:highlight w:val="none"/>
                <w:lang w:val="en-US" w:eastAsia="zh-CN"/>
              </w:rPr>
              <w:t>(含总公司)已公布的最新季度</w:t>
            </w:r>
            <w:r>
              <w:rPr>
                <w:rFonts w:hint="eastAsia" w:ascii="宋体" w:hAnsi="宋体"/>
                <w:b w:val="0"/>
                <w:bCs w:val="0"/>
                <w:color w:val="auto"/>
                <w:highlight w:val="none"/>
              </w:rPr>
              <w:t>的风险综合评级</w:t>
            </w:r>
            <w:r>
              <w:rPr>
                <w:rFonts w:hint="eastAsia" w:ascii="宋体" w:hAnsi="宋体"/>
                <w:b w:val="0"/>
                <w:bCs w:val="0"/>
                <w:color w:val="auto"/>
                <w:highlight w:val="none"/>
                <w:lang w:eastAsia="zh-CN"/>
              </w:rPr>
              <w:t>，</w:t>
            </w:r>
            <w:r>
              <w:rPr>
                <w:rFonts w:hint="eastAsia" w:ascii="宋体" w:hAnsi="宋体"/>
                <w:b w:val="0"/>
                <w:bCs w:val="0"/>
                <w:color w:val="auto"/>
                <w:highlight w:val="none"/>
              </w:rPr>
              <w:t>评分标准A类得</w:t>
            </w:r>
            <w:r>
              <w:rPr>
                <w:rFonts w:hint="eastAsia" w:ascii="宋体" w:hAnsi="宋体"/>
                <w:b w:val="0"/>
                <w:bCs w:val="0"/>
                <w:color w:val="auto"/>
                <w:highlight w:val="none"/>
                <w:lang w:val="en-US" w:eastAsia="zh-CN"/>
              </w:rPr>
              <w:t>5</w:t>
            </w:r>
            <w:r>
              <w:rPr>
                <w:rFonts w:hint="eastAsia" w:ascii="宋体" w:hAnsi="宋体"/>
                <w:b w:val="0"/>
                <w:bCs w:val="0"/>
                <w:color w:val="auto"/>
                <w:highlight w:val="none"/>
              </w:rPr>
              <w:t>分、B类得</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分，其他不得分。</w:t>
            </w:r>
          </w:p>
          <w:p w14:paraId="161FBD97">
            <w:pPr>
              <w:rPr>
                <w:rFonts w:hint="default" w:ascii="宋体" w:hAnsi="宋体"/>
                <w:b/>
                <w:bCs/>
                <w:color w:val="auto"/>
                <w:highlight w:val="none"/>
                <w:lang w:val="en-US" w:eastAsia="zh-CN"/>
              </w:rPr>
            </w:pPr>
            <w:r>
              <w:rPr>
                <w:rFonts w:hint="eastAsia" w:ascii="宋体" w:hAnsi="宋体"/>
                <w:b/>
                <w:bCs/>
                <w:color w:val="auto"/>
                <w:highlight w:val="none"/>
              </w:rPr>
              <w:t>提供</w:t>
            </w:r>
            <w:r>
              <w:rPr>
                <w:rFonts w:hint="eastAsia" w:ascii="宋体" w:hAnsi="宋体"/>
                <w:b/>
                <w:bCs/>
                <w:color w:val="auto"/>
                <w:highlight w:val="none"/>
                <w:lang w:val="en-US" w:eastAsia="zh-CN"/>
              </w:rPr>
              <w:t>已公布的最新季度</w:t>
            </w:r>
            <w:r>
              <w:rPr>
                <w:rFonts w:hint="eastAsia" w:ascii="宋体" w:hAnsi="宋体"/>
                <w:b/>
                <w:bCs/>
                <w:color w:val="auto"/>
                <w:highlight w:val="none"/>
              </w:rPr>
              <w:t>保险监管机构偿二代监管信息系统截图和对应的网站链接或相应审计部门的审计评定结果证明材料</w:t>
            </w:r>
            <w:r>
              <w:rPr>
                <w:rFonts w:hint="eastAsia" w:ascii="宋体" w:hAnsi="宋体"/>
                <w:b/>
                <w:bCs/>
                <w:color w:val="auto"/>
                <w:highlight w:val="none"/>
                <w:lang w:val="en-US" w:eastAsia="zh-CN"/>
              </w:rPr>
              <w:t>加盖投标人公章。</w:t>
            </w:r>
          </w:p>
        </w:tc>
      </w:tr>
      <w:tr w14:paraId="041F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vMerge w:val="continue"/>
            <w:noWrap w:val="0"/>
            <w:vAlign w:val="center"/>
          </w:tcPr>
          <w:p w14:paraId="3C2EF5CA">
            <w:pPr>
              <w:jc w:val="center"/>
              <w:rPr>
                <w:rFonts w:hint="default"/>
                <w:color w:val="auto"/>
                <w:vertAlign w:val="baseline"/>
                <w:lang w:val="en-US" w:eastAsia="zh-CN"/>
              </w:rPr>
            </w:pPr>
          </w:p>
        </w:tc>
        <w:tc>
          <w:tcPr>
            <w:tcW w:w="938" w:type="dxa"/>
            <w:noWrap w:val="0"/>
          </w:tcPr>
          <w:p w14:paraId="6FE1AE6C">
            <w:pPr>
              <w:rPr>
                <w:rFonts w:hint="default"/>
                <w:b w:val="0"/>
                <w:bCs w:val="0"/>
                <w:color w:val="auto"/>
                <w:vertAlign w:val="baseline"/>
                <w:lang w:val="en-US" w:eastAsia="zh-CN"/>
              </w:rPr>
            </w:pPr>
            <w:r>
              <w:rPr>
                <w:rFonts w:hint="eastAsia" w:ascii="宋体" w:hAnsi="宋体"/>
                <w:b w:val="0"/>
                <w:bCs w:val="0"/>
                <w:color w:val="auto"/>
                <w:highlight w:val="none"/>
              </w:rPr>
              <w:t>业绩及理赔经验</w:t>
            </w:r>
          </w:p>
        </w:tc>
        <w:tc>
          <w:tcPr>
            <w:tcW w:w="856" w:type="dxa"/>
            <w:noWrap w:val="0"/>
          </w:tcPr>
          <w:p w14:paraId="52831104">
            <w:pPr>
              <w:rPr>
                <w:rFonts w:hint="default"/>
                <w:b w:val="0"/>
                <w:bCs w:val="0"/>
                <w:color w:val="auto"/>
                <w:vertAlign w:val="baseline"/>
                <w:lang w:val="en-US" w:eastAsia="zh-CN"/>
              </w:rPr>
            </w:pPr>
            <w:r>
              <w:rPr>
                <w:rFonts w:hint="eastAsia"/>
                <w:b w:val="0"/>
                <w:bCs w:val="0"/>
                <w:color w:val="auto"/>
                <w:vertAlign w:val="baseline"/>
                <w:lang w:val="en-US" w:eastAsia="zh-CN"/>
              </w:rPr>
              <w:t>10</w:t>
            </w:r>
          </w:p>
        </w:tc>
        <w:tc>
          <w:tcPr>
            <w:tcW w:w="5720" w:type="dxa"/>
            <w:shd w:val="clear" w:color="auto" w:fill="auto"/>
            <w:noWrap w:val="0"/>
            <w:vAlign w:val="top"/>
          </w:tcPr>
          <w:p w14:paraId="1C5E199C">
            <w:pPr>
              <w:rPr>
                <w:rFonts w:hint="default" w:ascii="宋体" w:hAnsi="宋体" w:cs="宋体"/>
                <w:b w:val="0"/>
                <w:bCs w:val="0"/>
                <w:color w:val="auto"/>
                <w:szCs w:val="21"/>
                <w:lang w:val="en-US" w:eastAsia="zh-CN"/>
              </w:rPr>
            </w:pPr>
            <w:r>
              <w:rPr>
                <w:rFonts w:hint="eastAsia" w:ascii="宋体" w:hAnsi="宋体" w:cs="宋体"/>
                <w:b w:val="0"/>
                <w:bCs w:val="0"/>
                <w:color w:val="auto"/>
                <w:szCs w:val="21"/>
              </w:rPr>
              <w:t>投标人</w:t>
            </w:r>
            <w:r>
              <w:rPr>
                <w:rFonts w:hint="eastAsia" w:ascii="宋体" w:hAnsi="宋体"/>
                <w:b w:val="0"/>
                <w:bCs w:val="0"/>
                <w:color w:val="auto"/>
                <w:highlight w:val="none"/>
              </w:rPr>
              <w:t>所属公司</w:t>
            </w:r>
            <w:r>
              <w:rPr>
                <w:rFonts w:hint="eastAsia" w:ascii="宋体" w:hAnsi="宋体"/>
                <w:b w:val="0"/>
                <w:bCs w:val="0"/>
                <w:color w:val="auto"/>
                <w:highlight w:val="none"/>
                <w:lang w:val="en-US" w:eastAsia="zh-CN"/>
              </w:rPr>
              <w:t>(含总公司)</w:t>
            </w:r>
            <w:r>
              <w:rPr>
                <w:rFonts w:hint="eastAsia" w:ascii="宋体" w:hAnsi="宋体" w:cs="宋体"/>
                <w:b w:val="0"/>
                <w:bCs w:val="0"/>
                <w:color w:val="auto"/>
                <w:szCs w:val="21"/>
              </w:rPr>
              <w:t>自202</w:t>
            </w:r>
            <w:r>
              <w:rPr>
                <w:rFonts w:hint="eastAsia" w:ascii="宋体" w:hAnsi="宋体" w:cs="宋体"/>
                <w:b w:val="0"/>
                <w:bCs w:val="0"/>
                <w:color w:val="auto"/>
                <w:szCs w:val="21"/>
                <w:lang w:val="en-US" w:eastAsia="zh-CN"/>
              </w:rPr>
              <w:t>2</w:t>
            </w:r>
            <w:r>
              <w:rPr>
                <w:rFonts w:hint="eastAsia" w:ascii="宋体" w:hAnsi="宋体" w:cs="宋体"/>
                <w:b w:val="0"/>
                <w:bCs w:val="0"/>
                <w:color w:val="auto"/>
                <w:szCs w:val="21"/>
              </w:rPr>
              <w:t>年1月1日以来（以合同/保险单签订时间为准）有类似医疗责任保险项目案例</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含理赔案例</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。需提供相关证明材料并加盖公章，提供不全或未提供本项不得分。</w:t>
            </w:r>
          </w:p>
          <w:p w14:paraId="00ED9754">
            <w:pPr>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每提供一个保险服务案例得1分，满分5分；</w:t>
            </w:r>
          </w:p>
          <w:p w14:paraId="3A86E0ED">
            <w:pPr>
              <w:spacing w:line="340" w:lineRule="exact"/>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每提供一个理赔案例得1分，满分5分。</w:t>
            </w:r>
          </w:p>
          <w:p w14:paraId="3C90C590">
            <w:pPr>
              <w:spacing w:line="340" w:lineRule="exact"/>
              <w:rPr>
                <w:rFonts w:hint="default" w:eastAsia="宋体"/>
                <w:b/>
                <w:bCs/>
                <w:color w:val="auto"/>
                <w:highlight w:val="none"/>
                <w:lang w:val="en-US" w:eastAsia="zh-CN"/>
              </w:rPr>
            </w:pPr>
            <w:r>
              <w:rPr>
                <w:rFonts w:hint="eastAsia" w:ascii="宋体" w:hAnsi="宋体"/>
                <w:b/>
                <w:bCs/>
                <w:color w:val="auto"/>
                <w:highlight w:val="none"/>
              </w:rPr>
              <w:t>注：业绩需提供</w:t>
            </w:r>
            <w:r>
              <w:rPr>
                <w:rFonts w:hint="eastAsia" w:ascii="宋体" w:hAnsi="宋体"/>
                <w:b/>
                <w:bCs/>
                <w:color w:val="auto"/>
                <w:highlight w:val="none"/>
                <w:lang w:val="en-US" w:eastAsia="zh-CN"/>
              </w:rPr>
              <w:t>合同及</w:t>
            </w:r>
            <w:r>
              <w:rPr>
                <w:rFonts w:hint="eastAsia" w:ascii="宋体" w:hAnsi="宋体"/>
                <w:b/>
                <w:bCs/>
                <w:color w:val="auto"/>
                <w:highlight w:val="none"/>
              </w:rPr>
              <w:t>保单：同一项目与同一单位或部门连续签约的，仅计一次</w:t>
            </w:r>
            <w:r>
              <w:rPr>
                <w:rFonts w:hint="eastAsia" w:ascii="宋体" w:hAnsi="宋体"/>
                <w:b/>
                <w:bCs/>
                <w:color w:val="auto"/>
                <w:highlight w:val="none"/>
                <w:lang w:val="en-US" w:eastAsia="zh-CN"/>
              </w:rPr>
              <w:t>类似案例</w:t>
            </w:r>
            <w:r>
              <w:rPr>
                <w:rFonts w:hint="eastAsia" w:ascii="宋体" w:hAnsi="宋体"/>
                <w:b/>
                <w:bCs/>
                <w:color w:val="auto"/>
                <w:highlight w:val="none"/>
              </w:rPr>
              <w:t>，协议中能清晰反映投保人名称以及投保日期，反映不全</w:t>
            </w:r>
            <w:r>
              <w:rPr>
                <w:rFonts w:hint="eastAsia" w:ascii="宋体" w:hAnsi="宋体"/>
                <w:b/>
                <w:bCs/>
                <w:color w:val="auto"/>
                <w:highlight w:val="none"/>
                <w:lang w:val="en-US" w:eastAsia="zh-CN"/>
              </w:rPr>
              <w:t>或提供不全</w:t>
            </w:r>
            <w:r>
              <w:rPr>
                <w:rFonts w:hint="eastAsia" w:ascii="宋体" w:hAnsi="宋体"/>
                <w:b/>
                <w:bCs/>
                <w:color w:val="auto"/>
                <w:highlight w:val="none"/>
              </w:rPr>
              <w:t>不得分。</w:t>
            </w:r>
            <w:r>
              <w:rPr>
                <w:rFonts w:hint="eastAsia" w:ascii="宋体" w:hAnsi="宋体"/>
                <w:b/>
                <w:bCs/>
                <w:color w:val="auto"/>
                <w:highlight w:val="none"/>
                <w:lang w:val="en-US" w:eastAsia="zh-CN"/>
              </w:rPr>
              <w:t>复印件加盖投标人公章。</w:t>
            </w:r>
          </w:p>
          <w:p w14:paraId="5E29B7B5">
            <w:pPr>
              <w:spacing w:line="340" w:lineRule="exact"/>
              <w:rPr>
                <w:rFonts w:hint="eastAsia" w:eastAsia="宋体" w:asciiTheme="minorHAnsi" w:hAnsiTheme="minorHAnsi" w:cstheme="minorBidi"/>
                <w:b w:val="0"/>
                <w:bCs w:val="0"/>
                <w:color w:val="auto"/>
                <w:sz w:val="21"/>
                <w:szCs w:val="24"/>
                <w:vertAlign w:val="baseline"/>
                <w:lang w:val="en-US" w:eastAsia="zh-CN" w:bidi="ar-SA"/>
              </w:rPr>
            </w:pPr>
            <w:r>
              <w:rPr>
                <w:rFonts w:hint="eastAsia" w:ascii="宋体" w:hAnsi="宋体"/>
                <w:b/>
                <w:bCs/>
                <w:color w:val="auto"/>
                <w:highlight w:val="none"/>
              </w:rPr>
              <w:t>理赔</w:t>
            </w:r>
            <w:r>
              <w:rPr>
                <w:rFonts w:hint="eastAsia" w:ascii="宋体" w:hAnsi="宋体"/>
                <w:b/>
                <w:bCs/>
                <w:color w:val="auto"/>
                <w:highlight w:val="none"/>
                <w:lang w:val="en-US" w:eastAsia="zh-CN"/>
              </w:rPr>
              <w:t>证明</w:t>
            </w:r>
            <w:r>
              <w:rPr>
                <w:rFonts w:hint="eastAsia" w:ascii="宋体" w:hAnsi="宋体"/>
                <w:b/>
                <w:bCs/>
                <w:color w:val="auto"/>
                <w:highlight w:val="none"/>
              </w:rPr>
              <w:t>须同时提供</w:t>
            </w:r>
            <w:r>
              <w:rPr>
                <w:rFonts w:hint="eastAsia" w:ascii="宋体" w:hAnsi="宋体"/>
                <w:b/>
                <w:bCs/>
                <w:color w:val="auto"/>
                <w:highlight w:val="none"/>
                <w:lang w:eastAsia="zh-CN"/>
              </w:rPr>
              <w:t>：</w:t>
            </w:r>
            <w:r>
              <w:rPr>
                <w:rFonts w:hint="eastAsia" w:ascii="宋体" w:hAnsi="宋体"/>
                <w:b/>
                <w:bCs/>
                <w:color w:val="auto"/>
                <w:highlight w:val="none"/>
              </w:rPr>
              <w:t>①赔款计算书；②赔款支付凭证或截图（收款人为医疗机构），两者缺一不可，缺一项不得分</w:t>
            </w:r>
            <w:r>
              <w:rPr>
                <w:rFonts w:hint="eastAsia" w:ascii="宋体" w:hAnsi="宋体"/>
                <w:b/>
                <w:bCs/>
                <w:color w:val="auto"/>
                <w:highlight w:val="none"/>
                <w:lang w:eastAsia="zh-CN"/>
              </w:rPr>
              <w:t>。</w:t>
            </w:r>
            <w:r>
              <w:rPr>
                <w:rFonts w:hint="eastAsia" w:ascii="宋体" w:hAnsi="宋体"/>
                <w:b/>
                <w:bCs/>
                <w:color w:val="auto"/>
                <w:highlight w:val="none"/>
                <w:lang w:val="en-US" w:eastAsia="zh-CN"/>
              </w:rPr>
              <w:t>复印件加盖投标人公章。</w:t>
            </w:r>
          </w:p>
        </w:tc>
      </w:tr>
      <w:tr w14:paraId="3B09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vMerge w:val="restart"/>
            <w:noWrap w:val="0"/>
            <w:vAlign w:val="center"/>
          </w:tcPr>
          <w:p w14:paraId="64A01C90">
            <w:pPr>
              <w:jc w:val="center"/>
              <w:rPr>
                <w:rFonts w:hint="eastAsia" w:ascii="宋体" w:hAnsi="宋体"/>
                <w:b/>
                <w:bCs/>
                <w:color w:val="auto"/>
              </w:rPr>
            </w:pPr>
            <w:r>
              <w:rPr>
                <w:rFonts w:hint="eastAsia" w:ascii="宋体" w:hAnsi="宋体"/>
                <w:b/>
                <w:bCs/>
                <w:color w:val="auto"/>
              </w:rPr>
              <w:t>服务方案</w:t>
            </w:r>
          </w:p>
          <w:p w14:paraId="6A4F051F">
            <w:pPr>
              <w:jc w:val="center"/>
              <w:rPr>
                <w:rFonts w:hint="default" w:ascii="宋体" w:hAnsi="宋体" w:eastAsiaTheme="minorEastAsia"/>
                <w:b/>
                <w:bCs/>
                <w:color w:val="auto"/>
                <w:lang w:val="en-US" w:eastAsia="zh-CN"/>
              </w:rPr>
            </w:pPr>
            <w:r>
              <w:rPr>
                <w:rFonts w:hint="eastAsia" w:ascii="宋体" w:hAnsi="宋体"/>
                <w:b/>
                <w:bCs/>
                <w:color w:val="auto"/>
                <w:lang w:val="en-US" w:eastAsia="zh-CN"/>
              </w:rPr>
              <w:t>(23)</w:t>
            </w:r>
          </w:p>
        </w:tc>
        <w:tc>
          <w:tcPr>
            <w:tcW w:w="938" w:type="dxa"/>
            <w:noWrap w:val="0"/>
          </w:tcPr>
          <w:p w14:paraId="1F01D9BB">
            <w:pPr>
              <w:rPr>
                <w:rFonts w:hint="default"/>
                <w:b w:val="0"/>
                <w:bCs w:val="0"/>
                <w:color w:val="auto"/>
                <w:vertAlign w:val="baseline"/>
                <w:lang w:val="en-US" w:eastAsia="zh-CN"/>
              </w:rPr>
            </w:pPr>
            <w:r>
              <w:rPr>
                <w:rFonts w:hint="eastAsia"/>
                <w:b w:val="0"/>
                <w:bCs w:val="0"/>
                <w:color w:val="auto"/>
              </w:rPr>
              <w:t>人员配置</w:t>
            </w:r>
          </w:p>
        </w:tc>
        <w:tc>
          <w:tcPr>
            <w:tcW w:w="856" w:type="dxa"/>
            <w:noWrap w:val="0"/>
          </w:tcPr>
          <w:p w14:paraId="76F59DE2">
            <w:pPr>
              <w:rPr>
                <w:rFonts w:hint="default"/>
                <w:color w:val="auto"/>
                <w:vertAlign w:val="baseline"/>
                <w:lang w:val="en-US" w:eastAsia="zh-CN"/>
              </w:rPr>
            </w:pPr>
            <w:r>
              <w:rPr>
                <w:rFonts w:hint="eastAsia"/>
                <w:color w:val="auto"/>
                <w:vertAlign w:val="baseline"/>
                <w:lang w:val="en-US" w:eastAsia="zh-CN"/>
              </w:rPr>
              <w:t>6</w:t>
            </w:r>
          </w:p>
        </w:tc>
        <w:tc>
          <w:tcPr>
            <w:tcW w:w="5720" w:type="dxa"/>
            <w:shd w:val="clear" w:color="auto" w:fill="auto"/>
            <w:noWrap w:val="0"/>
            <w:vAlign w:val="top"/>
          </w:tcPr>
          <w:p w14:paraId="1E233A5C">
            <w:pPr>
              <w:rPr>
                <w:rFonts w:hint="default" w:eastAsia="宋体" w:asciiTheme="minorHAnsi" w:hAnsiTheme="minorHAnsi" w:cstheme="minorBidi"/>
                <w:color w:val="auto"/>
                <w:sz w:val="21"/>
                <w:szCs w:val="24"/>
                <w:vertAlign w:val="baseline"/>
                <w:lang w:val="en-US" w:eastAsia="zh-CN" w:bidi="ar-SA"/>
              </w:rPr>
            </w:pPr>
            <w:r>
              <w:rPr>
                <w:rFonts w:hint="eastAsia"/>
                <w:color w:val="auto"/>
              </w:rPr>
              <w:t>项目服务团队应满足项目服务需要，配备各专业服务人员，包括项目负责人、项目服务人员和理赔人员，服务团队中具有全日制医学类或法学类或金融类</w:t>
            </w:r>
            <w:r>
              <w:rPr>
                <w:rFonts w:hint="eastAsia"/>
                <w:color w:val="auto"/>
                <w:lang w:val="en-US" w:eastAsia="zh-CN"/>
              </w:rPr>
              <w:t>本</w:t>
            </w:r>
            <w:r>
              <w:rPr>
                <w:rFonts w:hint="eastAsia"/>
                <w:color w:val="auto"/>
              </w:rPr>
              <w:t>科及以上学历的，每有1人得</w:t>
            </w:r>
            <w:r>
              <w:rPr>
                <w:rFonts w:hint="eastAsia"/>
                <w:color w:val="auto"/>
                <w:lang w:val="en-US" w:eastAsia="zh-CN"/>
              </w:rPr>
              <w:t>2</w:t>
            </w:r>
            <w:r>
              <w:rPr>
                <w:rFonts w:hint="eastAsia"/>
                <w:color w:val="auto"/>
              </w:rPr>
              <w:t>分，最高得</w:t>
            </w:r>
            <w:r>
              <w:rPr>
                <w:rFonts w:hint="eastAsia"/>
                <w:color w:val="auto"/>
                <w:lang w:val="en-US" w:eastAsia="zh-CN"/>
              </w:rPr>
              <w:t>6</w:t>
            </w:r>
            <w:r>
              <w:rPr>
                <w:rFonts w:hint="eastAsia"/>
                <w:color w:val="auto"/>
              </w:rPr>
              <w:t>分。</w:t>
            </w:r>
            <w:r>
              <w:rPr>
                <w:rFonts w:hint="eastAsia"/>
                <w:b/>
                <w:bCs/>
                <w:color w:val="auto"/>
              </w:rPr>
              <w:t>需提供人员名单、毕业证书、以及投标人或所属总公司最近三个月内任意一个月为其缴纳社保的缴费记录，加盖投标人公章。</w:t>
            </w:r>
            <w:r>
              <w:rPr>
                <w:rFonts w:hint="eastAsia"/>
                <w:b/>
                <w:bCs/>
                <w:color w:val="auto"/>
                <w:lang w:val="en-US" w:eastAsia="zh-CN"/>
              </w:rPr>
              <w:t>材料提供不全或未提供本项不得分。</w:t>
            </w:r>
          </w:p>
        </w:tc>
      </w:tr>
      <w:tr w14:paraId="2C64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vMerge w:val="continue"/>
            <w:noWrap w:val="0"/>
            <w:vAlign w:val="center"/>
          </w:tcPr>
          <w:p w14:paraId="118069DD">
            <w:pPr>
              <w:jc w:val="center"/>
              <w:rPr>
                <w:rFonts w:hint="eastAsia" w:ascii="宋体" w:hAnsi="宋体"/>
                <w:b/>
                <w:bCs/>
                <w:color w:val="auto"/>
              </w:rPr>
            </w:pPr>
          </w:p>
        </w:tc>
        <w:tc>
          <w:tcPr>
            <w:tcW w:w="938" w:type="dxa"/>
            <w:noWrap w:val="0"/>
          </w:tcPr>
          <w:p w14:paraId="709EBD27">
            <w:pPr>
              <w:rPr>
                <w:rFonts w:hint="default"/>
                <w:b w:val="0"/>
                <w:bCs w:val="0"/>
                <w:color w:val="auto"/>
                <w:vertAlign w:val="baseline"/>
                <w:lang w:val="en-US" w:eastAsia="zh-CN"/>
              </w:rPr>
            </w:pPr>
            <w:r>
              <w:rPr>
                <w:rFonts w:hint="eastAsia"/>
                <w:b w:val="0"/>
                <w:bCs w:val="0"/>
                <w:color w:val="auto"/>
                <w:lang w:val="en-US" w:eastAsia="zh-CN"/>
              </w:rPr>
              <w:t>理赔时效及资料要求</w:t>
            </w:r>
          </w:p>
        </w:tc>
        <w:tc>
          <w:tcPr>
            <w:tcW w:w="856" w:type="dxa"/>
            <w:noWrap w:val="0"/>
          </w:tcPr>
          <w:p w14:paraId="7A76DE16">
            <w:pPr>
              <w:rPr>
                <w:rFonts w:hint="default"/>
                <w:color w:val="auto"/>
                <w:vertAlign w:val="baseline"/>
                <w:lang w:val="en-US" w:eastAsia="zh-CN"/>
              </w:rPr>
            </w:pPr>
            <w:r>
              <w:rPr>
                <w:rFonts w:hint="eastAsia"/>
                <w:color w:val="auto"/>
                <w:vertAlign w:val="baseline"/>
                <w:lang w:val="en-US" w:eastAsia="zh-CN"/>
              </w:rPr>
              <w:t>4</w:t>
            </w:r>
          </w:p>
        </w:tc>
        <w:tc>
          <w:tcPr>
            <w:tcW w:w="5720" w:type="dxa"/>
            <w:shd w:val="clear" w:color="auto" w:fill="auto"/>
            <w:noWrap w:val="0"/>
            <w:vAlign w:val="top"/>
          </w:tcPr>
          <w:p w14:paraId="3982C5FC">
            <w:pPr>
              <w:rPr>
                <w:rFonts w:hint="eastAsia" w:cstheme="minorBidi"/>
                <w:b/>
                <w:bCs/>
                <w:color w:val="auto"/>
                <w:sz w:val="21"/>
                <w:szCs w:val="24"/>
                <w:vertAlign w:val="baseline"/>
                <w:lang w:val="en-US" w:eastAsia="zh-CN" w:bidi="ar-SA"/>
              </w:rPr>
            </w:pPr>
            <w:r>
              <w:rPr>
                <w:rFonts w:hint="eastAsia" w:cstheme="minorBidi"/>
                <w:color w:val="auto"/>
                <w:sz w:val="21"/>
                <w:szCs w:val="24"/>
                <w:vertAlign w:val="baseline"/>
                <w:lang w:val="en-US" w:eastAsia="zh-CN" w:bidi="ar-SA"/>
              </w:rPr>
              <w:t>1、从材料齐全到理赔到位时间在3个工作日内（不含3个工作日）的2分，3（含）-7（不含）个工作日得1分，7（含）-14（含）个工作日得0.5分，14个工作日以上</w:t>
            </w:r>
            <w:r>
              <w:rPr>
                <w:rFonts w:hint="eastAsia"/>
                <w:color w:val="auto"/>
                <w:lang w:eastAsia="zh-CN"/>
              </w:rPr>
              <w:t>（</w:t>
            </w:r>
            <w:r>
              <w:rPr>
                <w:rFonts w:hint="eastAsia"/>
                <w:color w:val="auto"/>
                <w:lang w:val="en-US" w:eastAsia="zh-CN"/>
              </w:rPr>
              <w:t>不含14个工作日</w:t>
            </w:r>
            <w:r>
              <w:rPr>
                <w:rFonts w:hint="eastAsia"/>
                <w:color w:val="auto"/>
                <w:lang w:eastAsia="zh-CN"/>
              </w:rPr>
              <w:t>）</w:t>
            </w:r>
            <w:r>
              <w:rPr>
                <w:rFonts w:hint="eastAsia" w:cstheme="minorBidi"/>
                <w:color w:val="auto"/>
                <w:sz w:val="21"/>
                <w:szCs w:val="24"/>
                <w:vertAlign w:val="baseline"/>
                <w:lang w:val="en-US" w:eastAsia="zh-CN" w:bidi="ar-SA"/>
              </w:rPr>
              <w:t>不得分；</w:t>
            </w:r>
            <w:r>
              <w:rPr>
                <w:rFonts w:hint="eastAsia" w:cstheme="minorBidi"/>
                <w:b/>
                <w:bCs/>
                <w:color w:val="auto"/>
                <w:sz w:val="21"/>
                <w:szCs w:val="24"/>
                <w:vertAlign w:val="baseline"/>
                <w:lang w:val="en-US" w:eastAsia="zh-CN" w:bidi="ar-SA"/>
              </w:rPr>
              <w:t>提供承诺函加盖投标人公章。</w:t>
            </w:r>
          </w:p>
          <w:p w14:paraId="39FF804D">
            <w:pPr>
              <w:rPr>
                <w:rFonts w:hint="default" w:cstheme="minorBidi"/>
                <w:color w:val="auto"/>
                <w:sz w:val="21"/>
                <w:szCs w:val="24"/>
                <w:vertAlign w:val="baseline"/>
                <w:lang w:val="en-US" w:eastAsia="zh-CN" w:bidi="ar-SA"/>
              </w:rPr>
            </w:pPr>
            <w:r>
              <w:rPr>
                <w:rFonts w:hint="eastAsia" w:cstheme="minorBidi"/>
                <w:color w:val="auto"/>
                <w:sz w:val="21"/>
                <w:szCs w:val="24"/>
                <w:vertAlign w:val="baseline"/>
                <w:lang w:val="en-US" w:eastAsia="zh-CN" w:bidi="ar-SA"/>
              </w:rPr>
              <w:t>2、理赔资料内容限于相关病历资料、判决/鉴定文书、纠纷处置协议、医师资格证明、本院就诊费用票据的得2分，超出要求的不得分。</w:t>
            </w:r>
            <w:bookmarkStart w:id="126" w:name="OLE_LINK2"/>
            <w:r>
              <w:rPr>
                <w:rFonts w:hint="eastAsia" w:cstheme="minorBidi"/>
                <w:b/>
                <w:bCs/>
                <w:color w:val="auto"/>
                <w:sz w:val="21"/>
                <w:szCs w:val="24"/>
                <w:vertAlign w:val="baseline"/>
                <w:lang w:val="en-US" w:eastAsia="zh-CN" w:bidi="ar-SA"/>
              </w:rPr>
              <w:t>提供承诺函加盖投标人公章。</w:t>
            </w:r>
            <w:bookmarkEnd w:id="126"/>
          </w:p>
        </w:tc>
      </w:tr>
      <w:tr w14:paraId="066B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vMerge w:val="continue"/>
            <w:noWrap w:val="0"/>
            <w:vAlign w:val="center"/>
          </w:tcPr>
          <w:p w14:paraId="07A856D5">
            <w:pPr>
              <w:jc w:val="center"/>
              <w:rPr>
                <w:rFonts w:hint="eastAsia" w:ascii="宋体" w:hAnsi="宋体"/>
                <w:b/>
                <w:bCs/>
                <w:color w:val="auto"/>
              </w:rPr>
            </w:pPr>
          </w:p>
        </w:tc>
        <w:tc>
          <w:tcPr>
            <w:tcW w:w="938" w:type="dxa"/>
            <w:noWrap w:val="0"/>
          </w:tcPr>
          <w:p w14:paraId="48495DBD">
            <w:pPr>
              <w:rPr>
                <w:rFonts w:hint="default"/>
                <w:b w:val="0"/>
                <w:bCs w:val="0"/>
                <w:color w:val="auto"/>
                <w:vertAlign w:val="baseline"/>
                <w:lang w:val="en-US" w:eastAsia="zh-CN"/>
              </w:rPr>
            </w:pPr>
            <w:r>
              <w:rPr>
                <w:rFonts w:hint="eastAsia"/>
                <w:b w:val="0"/>
                <w:bCs w:val="0"/>
                <w:color w:val="auto"/>
              </w:rPr>
              <w:t>理赔服务方案</w:t>
            </w:r>
          </w:p>
        </w:tc>
        <w:tc>
          <w:tcPr>
            <w:tcW w:w="856" w:type="dxa"/>
            <w:noWrap w:val="0"/>
          </w:tcPr>
          <w:p w14:paraId="1510C16E">
            <w:pPr>
              <w:rPr>
                <w:rFonts w:hint="default"/>
                <w:color w:val="auto"/>
                <w:vertAlign w:val="baseline"/>
                <w:lang w:val="en-US" w:eastAsia="zh-CN"/>
              </w:rPr>
            </w:pPr>
            <w:r>
              <w:rPr>
                <w:rFonts w:hint="eastAsia"/>
                <w:color w:val="auto"/>
                <w:vertAlign w:val="baseline"/>
                <w:lang w:val="en-US" w:eastAsia="zh-CN"/>
              </w:rPr>
              <w:t>4</w:t>
            </w:r>
          </w:p>
        </w:tc>
        <w:tc>
          <w:tcPr>
            <w:tcW w:w="5720" w:type="dxa"/>
            <w:shd w:val="clear" w:color="auto" w:fill="auto"/>
            <w:noWrap w:val="0"/>
            <w:vAlign w:val="top"/>
          </w:tcPr>
          <w:p w14:paraId="5E3C4354">
            <w:pPr>
              <w:rPr>
                <w:rFonts w:hint="default" w:asciiTheme="minorHAnsi" w:hAnsiTheme="minorHAnsi" w:eastAsiaTheme="minorEastAsia" w:cstheme="minorBidi"/>
                <w:color w:val="auto"/>
                <w:sz w:val="21"/>
                <w:szCs w:val="24"/>
                <w:vertAlign w:val="baseline"/>
                <w:lang w:val="en-US" w:eastAsia="zh-CN" w:bidi="ar-SA"/>
              </w:rPr>
            </w:pPr>
            <w:r>
              <w:rPr>
                <w:rFonts w:hint="eastAsia"/>
                <w:color w:val="auto"/>
              </w:rPr>
              <w:t>包括但不限于建立理赔绿色通道、快速响应机制、培训宣传服务等，服务方案方案细致、合理，程序规范，责任明确且可行性强得</w:t>
            </w:r>
            <w:r>
              <w:rPr>
                <w:rFonts w:hint="eastAsia"/>
                <w:color w:val="auto"/>
                <w:lang w:val="en-US" w:eastAsia="zh-CN"/>
              </w:rPr>
              <w:t>4</w:t>
            </w:r>
            <w:r>
              <w:rPr>
                <w:rFonts w:hint="eastAsia"/>
                <w:color w:val="auto"/>
              </w:rPr>
              <w:t>分；方案较合理、较科学，可行性较强</w:t>
            </w:r>
            <w:r>
              <w:rPr>
                <w:rFonts w:hint="eastAsia"/>
                <w:color w:val="auto"/>
                <w:lang w:val="en-US" w:eastAsia="zh-CN"/>
              </w:rPr>
              <w:t>3</w:t>
            </w:r>
            <w:r>
              <w:rPr>
                <w:rFonts w:hint="eastAsia"/>
                <w:color w:val="auto"/>
              </w:rPr>
              <w:t>分；方案合理性、科学性一般，可行性一般得</w:t>
            </w:r>
            <w:r>
              <w:rPr>
                <w:rFonts w:hint="eastAsia"/>
                <w:color w:val="auto"/>
                <w:lang w:val="en-US" w:eastAsia="zh-CN"/>
              </w:rPr>
              <w:t>2</w:t>
            </w:r>
            <w:r>
              <w:rPr>
                <w:rFonts w:hint="eastAsia"/>
                <w:color w:val="auto"/>
              </w:rPr>
              <w:t>分，方案合理性、科学性差，可行性差得</w:t>
            </w:r>
            <w:r>
              <w:rPr>
                <w:rFonts w:hint="eastAsia"/>
                <w:color w:val="auto"/>
                <w:lang w:val="en-US" w:eastAsia="zh-CN"/>
              </w:rPr>
              <w:t>1</w:t>
            </w:r>
            <w:r>
              <w:rPr>
                <w:rFonts w:hint="eastAsia"/>
                <w:color w:val="auto"/>
              </w:rPr>
              <w:t>分，没有或具有明显不合理项的不得分。</w:t>
            </w:r>
          </w:p>
        </w:tc>
      </w:tr>
      <w:tr w14:paraId="3022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vMerge w:val="continue"/>
            <w:noWrap w:val="0"/>
            <w:vAlign w:val="center"/>
          </w:tcPr>
          <w:p w14:paraId="29F8C2BD">
            <w:pPr>
              <w:jc w:val="center"/>
              <w:rPr>
                <w:rFonts w:hint="eastAsia" w:ascii="宋体" w:hAnsi="宋体"/>
                <w:b/>
                <w:bCs/>
                <w:color w:val="auto"/>
              </w:rPr>
            </w:pPr>
          </w:p>
        </w:tc>
        <w:tc>
          <w:tcPr>
            <w:tcW w:w="938" w:type="dxa"/>
            <w:noWrap w:val="0"/>
          </w:tcPr>
          <w:p w14:paraId="087B1CB1">
            <w:pPr>
              <w:rPr>
                <w:rFonts w:hint="default"/>
                <w:color w:val="auto"/>
                <w:vertAlign w:val="baseline"/>
                <w:lang w:val="en-US" w:eastAsia="zh-CN"/>
              </w:rPr>
            </w:pPr>
            <w:r>
              <w:rPr>
                <w:rFonts w:hint="eastAsia"/>
                <w:color w:val="auto"/>
                <w:vertAlign w:val="baseline"/>
                <w:lang w:val="en-US" w:eastAsia="zh-CN"/>
              </w:rPr>
              <w:t>医疗风险分担方案</w:t>
            </w:r>
          </w:p>
        </w:tc>
        <w:tc>
          <w:tcPr>
            <w:tcW w:w="856" w:type="dxa"/>
            <w:noWrap w:val="0"/>
          </w:tcPr>
          <w:p w14:paraId="41560C01">
            <w:pPr>
              <w:rPr>
                <w:rFonts w:hint="default"/>
                <w:color w:val="auto"/>
                <w:vertAlign w:val="baseline"/>
                <w:lang w:val="en-US" w:eastAsia="zh-CN"/>
              </w:rPr>
            </w:pPr>
            <w:r>
              <w:rPr>
                <w:rFonts w:hint="eastAsia"/>
                <w:color w:val="auto"/>
                <w:vertAlign w:val="baseline"/>
                <w:lang w:val="en-US" w:eastAsia="zh-CN"/>
              </w:rPr>
              <w:t>9</w:t>
            </w:r>
          </w:p>
        </w:tc>
        <w:tc>
          <w:tcPr>
            <w:tcW w:w="5720" w:type="dxa"/>
            <w:shd w:val="clear" w:color="auto" w:fill="auto"/>
            <w:noWrap w:val="0"/>
            <w:vAlign w:val="top"/>
          </w:tcPr>
          <w:p w14:paraId="6ED1AF6C">
            <w:pPr>
              <w:rPr>
                <w:rFonts w:hint="eastAsia"/>
                <w:color w:val="auto"/>
                <w:vertAlign w:val="baseline"/>
                <w:lang w:val="en-US" w:eastAsia="zh-CN"/>
              </w:rPr>
            </w:pPr>
            <w:r>
              <w:rPr>
                <w:rFonts w:hint="eastAsia"/>
                <w:color w:val="auto"/>
                <w:vertAlign w:val="baseline"/>
                <w:lang w:val="en-US" w:eastAsia="zh-CN"/>
              </w:rPr>
              <w:t>1、参与医院风险管理、防范、控制各项工作，并提供必要帮助。方案内容全面，描述清晰，具有针对性和可行性，完全满足采购需求，得2分；方案一般、可行性一般得1分；未提供承诺的或方案完全不可行的，不得分。</w:t>
            </w:r>
          </w:p>
          <w:p w14:paraId="46A14FBD">
            <w:pPr>
              <w:rPr>
                <w:rFonts w:hint="default"/>
                <w:color w:val="auto"/>
                <w:vertAlign w:val="baseline"/>
                <w:lang w:val="en-US" w:eastAsia="zh-CN"/>
              </w:rPr>
            </w:pPr>
            <w:r>
              <w:rPr>
                <w:rFonts w:hint="eastAsia"/>
                <w:color w:val="auto"/>
                <w:vertAlign w:val="baseline"/>
                <w:lang w:val="en-US" w:eastAsia="zh-CN"/>
              </w:rPr>
              <w:t>2、开展法律法规与医疗风险相关防范知识培训，全年不少于4次。符合要求得2分，不符合要求不得分。</w:t>
            </w:r>
            <w:r>
              <w:rPr>
                <w:rFonts w:hint="eastAsia" w:cstheme="minorBidi"/>
                <w:b/>
                <w:bCs/>
                <w:color w:val="auto"/>
                <w:sz w:val="21"/>
                <w:szCs w:val="24"/>
                <w:vertAlign w:val="baseline"/>
                <w:lang w:val="en-US" w:eastAsia="zh-CN" w:bidi="ar-SA"/>
              </w:rPr>
              <w:t>提供承诺函加盖投标人公章。</w:t>
            </w:r>
          </w:p>
          <w:p w14:paraId="6EC85805">
            <w:pPr>
              <w:rPr>
                <w:rFonts w:hint="default"/>
                <w:color w:val="auto"/>
                <w:vertAlign w:val="baseline"/>
                <w:lang w:val="en-US" w:eastAsia="zh-CN"/>
              </w:rPr>
            </w:pPr>
            <w:r>
              <w:rPr>
                <w:rFonts w:hint="eastAsia"/>
                <w:color w:val="auto"/>
                <w:vertAlign w:val="baseline"/>
                <w:lang w:val="en-US" w:eastAsia="zh-CN"/>
              </w:rPr>
              <w:t>3、为医院提供各类医疗（手术）风险的医患沟通视频宣教素材供临床科室使用；视频宣教素材在201个及以上得3分，100-200个得2分，50-99个得1分，49个及以下得0.5分，不能提供得0分。</w:t>
            </w:r>
            <w:r>
              <w:rPr>
                <w:rFonts w:hint="eastAsia" w:cstheme="minorBidi"/>
                <w:b/>
                <w:bCs/>
                <w:color w:val="auto"/>
                <w:sz w:val="21"/>
                <w:szCs w:val="24"/>
                <w:vertAlign w:val="baseline"/>
                <w:lang w:val="en-US" w:eastAsia="zh-CN" w:bidi="ar-SA"/>
              </w:rPr>
              <w:t>提供承诺函加盖投标人公章。</w:t>
            </w:r>
          </w:p>
          <w:p w14:paraId="1F5F1F1B">
            <w:pPr>
              <w:rPr>
                <w:rFonts w:hint="default"/>
                <w:color w:val="auto"/>
                <w:vertAlign w:val="baseline"/>
                <w:lang w:val="en-US" w:eastAsia="zh-CN"/>
              </w:rPr>
            </w:pPr>
            <w:r>
              <w:rPr>
                <w:rFonts w:hint="eastAsia"/>
                <w:color w:val="auto"/>
                <w:vertAlign w:val="baseline"/>
                <w:lang w:val="en-US" w:eastAsia="zh-CN"/>
              </w:rPr>
              <w:t>4、提供第三方见证告知服务或医患沟通证据固定服务，符合要求得2分，不能响应要求不得分。</w:t>
            </w:r>
            <w:r>
              <w:rPr>
                <w:rFonts w:hint="eastAsia" w:cstheme="minorBidi"/>
                <w:b/>
                <w:bCs/>
                <w:color w:val="auto"/>
                <w:sz w:val="21"/>
                <w:szCs w:val="24"/>
                <w:vertAlign w:val="baseline"/>
                <w:lang w:val="en-US" w:eastAsia="zh-CN" w:bidi="ar-SA"/>
              </w:rPr>
              <w:t>提供承诺函加盖投标人公章。</w:t>
            </w:r>
          </w:p>
        </w:tc>
      </w:tr>
      <w:tr w14:paraId="3723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gridSpan w:val="2"/>
            <w:noWrap w:val="0"/>
            <w:vAlign w:val="center"/>
          </w:tcPr>
          <w:p w14:paraId="6917E3CA">
            <w:pPr>
              <w:jc w:val="center"/>
              <w:rPr>
                <w:rFonts w:hint="eastAsia" w:ascii="宋体" w:hAnsi="宋体"/>
                <w:b/>
                <w:bCs/>
                <w:color w:val="auto"/>
              </w:rPr>
            </w:pPr>
            <w:r>
              <w:rPr>
                <w:rFonts w:hint="eastAsia" w:ascii="宋体" w:hAnsi="宋体"/>
                <w:b/>
                <w:bCs/>
                <w:color w:val="auto"/>
                <w:highlight w:val="none"/>
                <w:lang w:val="en-US" w:eastAsia="zh-CN"/>
              </w:rPr>
              <w:t>增值服务（5）</w:t>
            </w:r>
          </w:p>
        </w:tc>
        <w:tc>
          <w:tcPr>
            <w:tcW w:w="938" w:type="dxa"/>
            <w:noWrap w:val="0"/>
          </w:tcPr>
          <w:p w14:paraId="1EA7507D">
            <w:pPr>
              <w:rPr>
                <w:rFonts w:hint="default"/>
                <w:color w:val="auto"/>
                <w:vertAlign w:val="baseline"/>
                <w:lang w:val="en-US" w:eastAsia="zh-CN"/>
              </w:rPr>
            </w:pPr>
            <w:r>
              <w:rPr>
                <w:rFonts w:hint="eastAsia"/>
                <w:color w:val="auto"/>
                <w:vertAlign w:val="baseline"/>
                <w:lang w:val="en-US" w:eastAsia="zh-CN"/>
              </w:rPr>
              <w:t>项目需求外增值服务</w:t>
            </w:r>
          </w:p>
        </w:tc>
        <w:tc>
          <w:tcPr>
            <w:tcW w:w="856" w:type="dxa"/>
            <w:noWrap w:val="0"/>
          </w:tcPr>
          <w:p w14:paraId="227676EA">
            <w:pPr>
              <w:rPr>
                <w:rFonts w:hint="default"/>
                <w:color w:val="auto"/>
                <w:vertAlign w:val="baseline"/>
                <w:lang w:val="en-US" w:eastAsia="zh-CN"/>
              </w:rPr>
            </w:pPr>
            <w:r>
              <w:rPr>
                <w:rFonts w:hint="eastAsia"/>
                <w:color w:val="auto"/>
                <w:vertAlign w:val="baseline"/>
                <w:lang w:val="en-US" w:eastAsia="zh-CN"/>
              </w:rPr>
              <w:t>5</w:t>
            </w:r>
          </w:p>
        </w:tc>
        <w:tc>
          <w:tcPr>
            <w:tcW w:w="5720" w:type="dxa"/>
            <w:shd w:val="clear" w:color="auto" w:fill="auto"/>
            <w:noWrap w:val="0"/>
            <w:vAlign w:val="top"/>
          </w:tcPr>
          <w:p w14:paraId="7EAC2190">
            <w:pPr>
              <w:pStyle w:val="14"/>
              <w:rPr>
                <w:rFonts w:hint="default" w:asciiTheme="minorHAnsi" w:hAnsiTheme="minorHAnsi" w:eastAsiaTheme="minorEastAsia" w:cstheme="minorBidi"/>
                <w:color w:val="auto"/>
                <w:sz w:val="21"/>
                <w:szCs w:val="24"/>
                <w:vertAlign w:val="baseline"/>
                <w:lang w:val="en-US" w:eastAsia="zh-CN" w:bidi="ar-SA"/>
              </w:rPr>
            </w:pPr>
            <w:r>
              <w:rPr>
                <w:rFonts w:hint="eastAsia"/>
                <w:color w:val="auto"/>
                <w:lang w:val="en-US" w:eastAsia="zh-CN"/>
              </w:rPr>
              <w:t>在本项目需求外，投标人每提供一个经评委认定切实有效的、具有可操作性的增值服务得1分，满分5分</w:t>
            </w:r>
          </w:p>
        </w:tc>
      </w:tr>
    </w:tbl>
    <w:p w14:paraId="1B5CDA30">
      <w:pPr>
        <w:spacing w:line="360" w:lineRule="auto"/>
        <w:ind w:firstLine="422"/>
        <w:rPr>
          <w:rFonts w:hint="eastAsia" w:ascii="宋体" w:hAnsi="宋体" w:eastAsia="宋体" w:cs="宋体"/>
          <w:b/>
          <w:bCs w:val="0"/>
          <w:color w:val="auto"/>
          <w:szCs w:val="21"/>
          <w:highlight w:val="none"/>
        </w:rPr>
      </w:pPr>
      <w:r>
        <w:rPr>
          <w:rFonts w:hint="eastAsia" w:ascii="宋体" w:hAnsi="宋体"/>
          <w:b/>
          <w:bCs w:val="0"/>
          <w:color w:val="auto"/>
          <w:szCs w:val="21"/>
          <w:lang w:val="en-US" w:eastAsia="zh-CN"/>
        </w:rPr>
        <w:t>注：</w:t>
      </w: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rPr>
        <w:t>异常低价投标（响应）</w:t>
      </w:r>
    </w:p>
    <w:p w14:paraId="0FD04FB5">
      <w:pPr>
        <w:keepNext w:val="0"/>
        <w:keepLines w:val="0"/>
        <w:pageBreakBefore w:val="0"/>
        <w:widowControl w:val="0"/>
        <w:spacing w:line="360" w:lineRule="auto"/>
        <w:ind w:firstLine="422"/>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 xml:space="preserve">1.1 </w:t>
      </w:r>
      <w:r>
        <w:rPr>
          <w:rFonts w:hint="eastAsia" w:ascii="宋体" w:hAnsi="宋体" w:eastAsia="宋体" w:cs="宋体"/>
          <w:b/>
          <w:bCs w:val="0"/>
          <w:color w:val="auto"/>
          <w:szCs w:val="21"/>
          <w:highlight w:val="none"/>
        </w:rPr>
        <w:t>投标（响应）报价低于采购项目预算50%的，即投标（响应）报价&lt;采购项目预算×50%；</w:t>
      </w:r>
    </w:p>
    <w:p w14:paraId="33D5A8F7">
      <w:pPr>
        <w:keepNext w:val="0"/>
        <w:keepLines w:val="0"/>
        <w:pageBreakBefore w:val="0"/>
        <w:widowControl w:val="0"/>
        <w:spacing w:line="360" w:lineRule="auto"/>
        <w:ind w:firstLine="422"/>
        <w:rPr>
          <w:rFonts w:hint="eastAsia" w:ascii="宋体" w:hAnsi="宋体" w:eastAsia="宋体" w:cs="宋体"/>
          <w:b/>
          <w:bCs w:val="0"/>
          <w:color w:val="auto"/>
          <w:szCs w:val="21"/>
          <w:highlight w:val="none"/>
        </w:rPr>
      </w:pPr>
      <w:r>
        <w:rPr>
          <w:rFonts w:hint="eastAsia" w:ascii="宋体" w:hAnsi="宋体" w:cs="宋体"/>
          <w:b/>
          <w:bCs w:val="0"/>
          <w:color w:val="auto"/>
          <w:szCs w:val="21"/>
          <w:highlight w:val="none"/>
          <w:lang w:val="en-US" w:eastAsia="zh-CN"/>
        </w:rPr>
        <w:t xml:space="preserve">1.2 </w:t>
      </w:r>
      <w:r>
        <w:rPr>
          <w:rFonts w:hint="eastAsia" w:ascii="宋体" w:hAnsi="宋体" w:eastAsia="宋体" w:cs="宋体"/>
          <w:b/>
          <w:bCs w:val="0"/>
          <w:color w:val="auto"/>
          <w:szCs w:val="21"/>
          <w:highlight w:val="none"/>
        </w:rPr>
        <w:t>投标（响应）报价低于采购项目最高限价45%的，即投标（响应）报价&lt;采购项目最高限价×45%；</w:t>
      </w:r>
    </w:p>
    <w:p w14:paraId="36D7BD7C">
      <w:pPr>
        <w:keepNext w:val="0"/>
        <w:keepLines w:val="0"/>
        <w:pageBreakBefore w:val="0"/>
        <w:widowControl w:val="0"/>
        <w:spacing w:line="360" w:lineRule="auto"/>
        <w:ind w:firstLine="422"/>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 xml:space="preserve">1.3 </w:t>
      </w:r>
      <w:r>
        <w:rPr>
          <w:rFonts w:hint="eastAsia" w:ascii="宋体" w:hAnsi="宋体" w:eastAsia="宋体" w:cs="宋体"/>
          <w:b/>
          <w:bCs w:val="0"/>
          <w:color w:val="auto"/>
          <w:szCs w:val="21"/>
          <w:highlight w:val="none"/>
        </w:rPr>
        <w:t>评审委员会认定的供应商报价过低、有可能影响产品质量或者不能诚信履约的其他情形。</w:t>
      </w:r>
    </w:p>
    <w:p w14:paraId="72E0D7D2">
      <w:pPr>
        <w:keepNext w:val="0"/>
        <w:keepLines w:val="0"/>
        <w:pageBreakBefore w:val="0"/>
        <w:widowControl w:val="0"/>
        <w:spacing w:line="360" w:lineRule="auto"/>
        <w:ind w:firstLine="422"/>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1.4</w:t>
      </w:r>
      <w:r>
        <w:rPr>
          <w:rFonts w:hint="eastAsia" w:ascii="宋体" w:hAnsi="宋体" w:eastAsia="宋体" w:cs="宋体"/>
          <w:b/>
          <w:bCs w:val="0"/>
          <w:color w:val="auto"/>
          <w:szCs w:val="21"/>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7AFEC5C">
      <w:pPr>
        <w:rPr>
          <w:color w:val="auto"/>
        </w:rPr>
      </w:pPr>
    </w:p>
    <w:p w14:paraId="166704B8">
      <w:pPr>
        <w:rPr>
          <w:rFonts w:hint="eastAsia" w:ascii="宋体" w:hAnsi="宋体"/>
          <w:color w:val="auto"/>
          <w:sz w:val="36"/>
          <w:highlight w:val="none"/>
        </w:rPr>
      </w:pPr>
    </w:p>
    <w:p w14:paraId="31A49C93">
      <w:pPr>
        <w:rPr>
          <w:rFonts w:hint="eastAsia" w:ascii="宋体" w:hAnsi="宋体"/>
          <w:color w:val="auto"/>
          <w:sz w:val="36"/>
          <w:highlight w:val="none"/>
        </w:rPr>
      </w:pPr>
      <w:r>
        <w:rPr>
          <w:rFonts w:hint="eastAsia" w:ascii="宋体" w:hAnsi="宋体"/>
          <w:color w:val="auto"/>
          <w:sz w:val="36"/>
          <w:highlight w:val="none"/>
        </w:rPr>
        <w:br w:type="page" w:clear="all"/>
      </w:r>
    </w:p>
    <w:p w14:paraId="584C34F3">
      <w:pPr>
        <w:pStyle w:val="2"/>
        <w:jc w:val="center"/>
        <w:rPr>
          <w:rFonts w:ascii="宋体" w:hAnsi="宋体"/>
          <w:color w:val="auto"/>
          <w:sz w:val="36"/>
          <w:highlight w:val="none"/>
        </w:rPr>
      </w:pPr>
      <w:r>
        <w:rPr>
          <w:rFonts w:hint="eastAsia" w:ascii="宋体" w:hAnsi="宋体"/>
          <w:color w:val="auto"/>
          <w:sz w:val="36"/>
          <w:highlight w:val="none"/>
        </w:rPr>
        <w:t>第六章 投标文件格式</w:t>
      </w:r>
      <w:bookmarkEnd w:id="123"/>
    </w:p>
    <w:p w14:paraId="34369075">
      <w:pPr>
        <w:jc w:val="center"/>
        <w:rPr>
          <w:rFonts w:ascii="宋体" w:hAnsi="宋体"/>
          <w:b/>
          <w:color w:val="auto"/>
          <w:sz w:val="36"/>
          <w:highlight w:val="none"/>
        </w:rPr>
      </w:pPr>
    </w:p>
    <w:p w14:paraId="25829421">
      <w:pPr>
        <w:jc w:val="center"/>
        <w:rPr>
          <w:rFonts w:ascii="宋体" w:hAnsi="宋体"/>
          <w:b/>
          <w:color w:val="auto"/>
          <w:szCs w:val="21"/>
          <w:highlight w:val="none"/>
        </w:rPr>
      </w:pPr>
    </w:p>
    <w:p w14:paraId="2E83E32E">
      <w:pPr>
        <w:jc w:val="center"/>
        <w:rPr>
          <w:rFonts w:ascii="宋体" w:hAnsi="宋体"/>
          <w:b/>
          <w:color w:val="auto"/>
          <w:sz w:val="22"/>
          <w:szCs w:val="21"/>
          <w:highlight w:val="none"/>
        </w:rPr>
      </w:pPr>
    </w:p>
    <w:p w14:paraId="1183C417">
      <w:pPr>
        <w:jc w:val="center"/>
        <w:rPr>
          <w:rFonts w:ascii="宋体" w:hAnsi="宋体"/>
          <w:b/>
          <w:color w:val="auto"/>
          <w:sz w:val="72"/>
          <w:highlight w:val="none"/>
        </w:rPr>
      </w:pPr>
      <w:r>
        <w:rPr>
          <w:rFonts w:hint="eastAsia" w:ascii="宋体" w:hAnsi="宋体"/>
          <w:b/>
          <w:color w:val="auto"/>
          <w:sz w:val="72"/>
          <w:highlight w:val="none"/>
        </w:rPr>
        <w:t>投  标  文  件</w:t>
      </w:r>
    </w:p>
    <w:p w14:paraId="5CBF7B7A">
      <w:pPr>
        <w:jc w:val="center"/>
        <w:rPr>
          <w:rFonts w:ascii="宋体" w:hAnsi="宋体"/>
          <w:b/>
          <w:color w:val="auto"/>
          <w:sz w:val="72"/>
          <w:highlight w:val="none"/>
        </w:rPr>
      </w:pPr>
    </w:p>
    <w:p w14:paraId="4A525F39">
      <w:pPr>
        <w:jc w:val="center"/>
        <w:rPr>
          <w:rFonts w:ascii="宋体" w:hAnsi="宋体"/>
          <w:b/>
          <w:color w:val="auto"/>
          <w:sz w:val="72"/>
          <w:highlight w:val="none"/>
        </w:rPr>
      </w:pPr>
    </w:p>
    <w:p w14:paraId="5DB6E291">
      <w:pPr>
        <w:jc w:val="center"/>
        <w:rPr>
          <w:rFonts w:ascii="宋体" w:hAnsi="宋体"/>
          <w:b/>
          <w:color w:val="auto"/>
          <w:sz w:val="36"/>
          <w:highlight w:val="none"/>
        </w:rPr>
      </w:pPr>
    </w:p>
    <w:p w14:paraId="4BD1D5C0">
      <w:pPr>
        <w:jc w:val="center"/>
        <w:rPr>
          <w:rFonts w:ascii="宋体" w:hAnsi="宋体"/>
          <w:b/>
          <w:color w:val="auto"/>
          <w:sz w:val="36"/>
          <w:highlight w:val="none"/>
        </w:rPr>
      </w:pPr>
    </w:p>
    <w:p w14:paraId="52CB9E85">
      <w:pPr>
        <w:jc w:val="center"/>
        <w:rPr>
          <w:rFonts w:ascii="宋体" w:hAnsi="宋体"/>
          <w:b/>
          <w:color w:val="auto"/>
          <w:sz w:val="36"/>
          <w:highlight w:val="none"/>
        </w:rPr>
      </w:pPr>
    </w:p>
    <w:p w14:paraId="796B8260">
      <w:pPr>
        <w:ind w:firstLine="1084"/>
        <w:rPr>
          <w:rFonts w:hint="eastAsia" w:ascii="宋体" w:hAnsi="宋体" w:eastAsia="宋体"/>
          <w:color w:val="auto"/>
          <w:sz w:val="36"/>
          <w:szCs w:val="36"/>
          <w:highlight w:val="none"/>
          <w:lang w:eastAsia="zh-CN"/>
        </w:rPr>
      </w:pPr>
      <w:r>
        <w:rPr>
          <w:rFonts w:hint="eastAsia" w:ascii="宋体" w:hAnsi="宋体"/>
          <w:b/>
          <w:color w:val="auto"/>
          <w:sz w:val="36"/>
          <w:highlight w:val="none"/>
        </w:rPr>
        <w:t>项 目 名 称：</w:t>
      </w:r>
      <w:r>
        <w:rPr>
          <w:rFonts w:hint="eastAsia" w:ascii="宋体" w:hAnsi="宋体"/>
          <w:color w:val="auto"/>
          <w:sz w:val="36"/>
          <w:szCs w:val="36"/>
          <w:highlight w:val="none"/>
          <w:lang w:eastAsia="zh-CN"/>
        </w:rPr>
        <w:t>扬州大学附属医院医疗责任险与京沪医学中心风险分担服务项目（二次）</w:t>
      </w:r>
    </w:p>
    <w:p w14:paraId="6BF735AD">
      <w:pPr>
        <w:ind w:firstLine="1084"/>
        <w:rPr>
          <w:rFonts w:hint="eastAsia" w:ascii="宋体" w:hAnsi="宋体" w:eastAsia="宋体"/>
          <w:b/>
          <w:color w:val="auto"/>
          <w:sz w:val="36"/>
          <w:highlight w:val="none"/>
          <w:u w:val="single"/>
          <w:lang w:eastAsia="zh-CN"/>
        </w:rPr>
      </w:pPr>
      <w:r>
        <w:rPr>
          <w:rFonts w:hint="eastAsia" w:ascii="宋体" w:hAnsi="宋体"/>
          <w:b/>
          <w:color w:val="auto"/>
          <w:sz w:val="36"/>
          <w:highlight w:val="none"/>
        </w:rPr>
        <w:t>编      号：</w:t>
      </w:r>
      <w:r>
        <w:rPr>
          <w:rFonts w:hint="eastAsia" w:ascii="宋体" w:hAnsi="宋体"/>
          <w:color w:val="auto"/>
          <w:sz w:val="36"/>
          <w:szCs w:val="36"/>
          <w:highlight w:val="none"/>
          <w:lang w:eastAsia="zh-CN"/>
        </w:rPr>
        <w:t>JSZC-320000-SWGC-G2025-0171-1号</w:t>
      </w:r>
    </w:p>
    <w:p w14:paraId="3BAE93C5">
      <w:pPr>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 xml:space="preserve">               </w:t>
      </w:r>
    </w:p>
    <w:p w14:paraId="2CF32864">
      <w:pPr>
        <w:rPr>
          <w:rFonts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52F4B3F2">
      <w:pPr>
        <w:spacing w:line="440" w:lineRule="exact"/>
        <w:jc w:val="center"/>
        <w:rPr>
          <w:rFonts w:ascii="宋体" w:hAnsi="宋体"/>
          <w:b/>
          <w:bCs/>
          <w:color w:val="auto"/>
          <w:sz w:val="32"/>
          <w:szCs w:val="32"/>
          <w:highlight w:val="none"/>
        </w:rPr>
      </w:pPr>
    </w:p>
    <w:p w14:paraId="76830A65">
      <w:pPr>
        <w:spacing w:line="440" w:lineRule="exact"/>
        <w:ind w:firstLine="480"/>
        <w:rPr>
          <w:rFonts w:ascii="宋体" w:hAnsi="宋体"/>
          <w:color w:val="auto"/>
          <w:sz w:val="24"/>
          <w:highlight w:val="none"/>
        </w:rPr>
      </w:pPr>
    </w:p>
    <w:p w14:paraId="4AD2F090">
      <w:pPr>
        <w:spacing w:line="440" w:lineRule="exact"/>
        <w:ind w:firstLine="480"/>
        <w:rPr>
          <w:rFonts w:ascii="宋体" w:hAnsi="宋体"/>
          <w:color w:val="auto"/>
          <w:sz w:val="24"/>
          <w:highlight w:val="none"/>
        </w:rPr>
      </w:pPr>
    </w:p>
    <w:p w14:paraId="1C377184">
      <w:pPr>
        <w:spacing w:line="360" w:lineRule="auto"/>
        <w:rPr>
          <w:rFonts w:ascii="宋体" w:hAnsi="宋体"/>
          <w:b/>
          <w:bCs/>
          <w:color w:val="auto"/>
          <w:sz w:val="28"/>
          <w:szCs w:val="28"/>
          <w:highlight w:val="none"/>
        </w:rPr>
      </w:pPr>
      <w:r>
        <w:rPr>
          <w:rFonts w:hint="eastAsia" w:ascii="宋体" w:hAnsi="宋体" w:cs="宋体"/>
          <w:b/>
          <w:bCs/>
          <w:color w:val="auto"/>
          <w:sz w:val="28"/>
          <w:szCs w:val="28"/>
          <w:highlight w:val="none"/>
          <w:lang w:val="zh-CN"/>
        </w:rPr>
        <w:t>说明：</w:t>
      </w:r>
    </w:p>
    <w:p w14:paraId="0B34B8D7">
      <w:pPr>
        <w:spacing w:line="360" w:lineRule="auto"/>
        <w:ind w:firstLine="618"/>
        <w:rPr>
          <w:rFonts w:ascii="宋体" w:hAnsi="宋体"/>
          <w:b/>
          <w:bCs/>
          <w:color w:val="auto"/>
          <w:sz w:val="28"/>
          <w:szCs w:val="28"/>
          <w:highlight w:val="none"/>
        </w:rPr>
      </w:pPr>
      <w:r>
        <w:rPr>
          <w:rFonts w:hint="eastAsia" w:ascii="宋体" w:hAnsi="宋体" w:cs="宋体"/>
          <w:b/>
          <w:bCs/>
          <w:color w:val="auto"/>
          <w:sz w:val="28"/>
          <w:szCs w:val="28"/>
          <w:highlight w:val="none"/>
          <w:lang w:val="zh-CN"/>
        </w:rPr>
        <w:t>对本章所有的投标文件格式 ，投标人可根据自身情况进行补充和修改，但补充和修改不得造成与本格式内容有实质性的违背。</w:t>
      </w:r>
    </w:p>
    <w:p w14:paraId="4CEBFBA0">
      <w:pPr>
        <w:spacing w:before="312" w:after="312"/>
        <w:jc w:val="center"/>
        <w:rPr>
          <w:rFonts w:ascii="宋体" w:hAnsi="宋体"/>
          <w:b/>
          <w:color w:val="auto"/>
          <w:szCs w:val="21"/>
          <w:highlight w:val="none"/>
        </w:rPr>
      </w:pPr>
      <w:r>
        <w:rPr>
          <w:rFonts w:hint="eastAsia" w:ascii="宋体" w:hAnsi="宋体"/>
          <w:color w:val="auto"/>
          <w:sz w:val="24"/>
          <w:highlight w:val="none"/>
        </w:rPr>
        <w:br w:type="page" w:clear="all"/>
      </w:r>
      <w:r>
        <w:rPr>
          <w:rFonts w:hint="eastAsia" w:ascii="宋体" w:hAnsi="宋体"/>
          <w:b/>
          <w:color w:val="auto"/>
          <w:szCs w:val="21"/>
          <w:highlight w:val="none"/>
        </w:rPr>
        <w:t>评分索引表</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51EB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val="0"/>
          </w:tcPr>
          <w:p w14:paraId="506472B3">
            <w:pPr>
              <w:pStyle w:val="243"/>
              <w:shd w:val="clear" w:color="auto" w:fill="FFFFFF"/>
              <w:spacing w:line="265" w:lineRule="atLeast"/>
              <w:ind w:left="420" w:firstLine="422"/>
              <w:jc w:val="center"/>
              <w:rPr>
                <w:rFonts w:ascii="宋体" w:hAnsi="宋体"/>
                <w:b/>
                <w:bCs/>
                <w:color w:val="auto"/>
                <w:sz w:val="21"/>
                <w:szCs w:val="21"/>
                <w:highlight w:val="none"/>
              </w:rPr>
            </w:pPr>
            <w:r>
              <w:rPr>
                <w:rFonts w:hint="eastAsia" w:ascii="宋体" w:hAnsi="宋体"/>
                <w:b/>
                <w:color w:val="auto"/>
                <w:sz w:val="21"/>
                <w:szCs w:val="21"/>
                <w:highlight w:val="none"/>
              </w:rPr>
              <w:t>评分项目</w:t>
            </w:r>
          </w:p>
        </w:tc>
        <w:tc>
          <w:tcPr>
            <w:tcW w:w="3570" w:type="dxa"/>
            <w:tcBorders>
              <w:top w:val="single" w:color="auto" w:sz="4" w:space="0"/>
              <w:left w:val="single" w:color="auto" w:sz="4" w:space="0"/>
              <w:bottom w:val="single" w:color="auto" w:sz="4" w:space="0"/>
              <w:right w:val="single" w:color="auto" w:sz="4" w:space="0"/>
            </w:tcBorders>
            <w:noWrap w:val="0"/>
          </w:tcPr>
          <w:p w14:paraId="1768B6D1">
            <w:pPr>
              <w:spacing w:after="200" w:line="220" w:lineRule="atLeast"/>
              <w:jc w:val="center"/>
              <w:rPr>
                <w:rFonts w:ascii="宋体" w:hAnsi="宋体"/>
                <w:b/>
                <w:color w:val="auto"/>
                <w:szCs w:val="21"/>
                <w:highlight w:val="none"/>
              </w:rPr>
            </w:pPr>
            <w:r>
              <w:rPr>
                <w:rFonts w:hint="eastAsia" w:ascii="宋体" w:hAnsi="宋体"/>
                <w:b/>
                <w:color w:val="auto"/>
                <w:szCs w:val="21"/>
                <w:highlight w:val="none"/>
                <w:lang w:bidi="en-US"/>
              </w:rPr>
              <w:t>在投标文件中的页码位置</w:t>
            </w:r>
          </w:p>
        </w:tc>
      </w:tr>
      <w:tr w14:paraId="79B2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noWrap w:val="0"/>
          </w:tcPr>
          <w:p w14:paraId="706D6254">
            <w:pPr>
              <w:pStyle w:val="243"/>
              <w:shd w:val="clear" w:color="auto" w:fill="FFFFFF"/>
              <w:spacing w:line="265" w:lineRule="atLeast"/>
              <w:ind w:left="420" w:firstLine="422"/>
              <w:rPr>
                <w:rFonts w:ascii="宋体" w:hAnsi="宋体"/>
                <w:b/>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4E3F0F73">
            <w:pPr>
              <w:spacing w:after="200" w:line="220" w:lineRule="atLeast"/>
              <w:rPr>
                <w:rFonts w:ascii="宋体" w:hAnsi="宋体"/>
                <w:b/>
                <w:color w:val="auto"/>
                <w:sz w:val="24"/>
                <w:highlight w:val="none"/>
                <w:lang w:bidi="en-US"/>
              </w:rPr>
            </w:pPr>
          </w:p>
        </w:tc>
      </w:tr>
      <w:tr w14:paraId="6460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noWrap w:val="0"/>
          </w:tcPr>
          <w:p w14:paraId="6B3911B9">
            <w:pPr>
              <w:pStyle w:val="243"/>
              <w:shd w:val="clear" w:color="auto" w:fill="FFFFFF"/>
              <w:spacing w:line="265" w:lineRule="atLeast"/>
              <w:ind w:left="420" w:firstLine="420"/>
              <w:rPr>
                <w:rFonts w:ascii="宋体" w:hAnsi="宋体"/>
                <w:color w:val="auto"/>
                <w:sz w:val="21"/>
                <w:szCs w:val="22"/>
                <w:highlight w:val="none"/>
              </w:rPr>
            </w:pPr>
          </w:p>
        </w:tc>
      </w:tr>
      <w:tr w14:paraId="422D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val="0"/>
          </w:tcPr>
          <w:p w14:paraId="28FEE1CA">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7628DAEB">
            <w:pPr>
              <w:spacing w:after="200" w:line="220" w:lineRule="atLeast"/>
              <w:rPr>
                <w:rFonts w:ascii="宋体" w:hAnsi="宋体"/>
                <w:color w:val="auto"/>
                <w:highlight w:val="none"/>
              </w:rPr>
            </w:pPr>
          </w:p>
        </w:tc>
      </w:tr>
      <w:tr w14:paraId="5389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val="0"/>
          </w:tcPr>
          <w:p w14:paraId="779A2E3E">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44AF2492">
            <w:pPr>
              <w:spacing w:after="200" w:line="220" w:lineRule="atLeast"/>
              <w:rPr>
                <w:rFonts w:ascii="宋体" w:hAnsi="宋体"/>
                <w:color w:val="auto"/>
                <w:highlight w:val="none"/>
              </w:rPr>
            </w:pPr>
          </w:p>
        </w:tc>
      </w:tr>
      <w:tr w14:paraId="7F48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val="0"/>
          </w:tcPr>
          <w:p w14:paraId="16859782">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71A067C7">
            <w:pPr>
              <w:spacing w:after="200" w:line="220" w:lineRule="atLeast"/>
              <w:rPr>
                <w:rFonts w:ascii="宋体" w:hAnsi="宋体"/>
                <w:color w:val="auto"/>
                <w:highlight w:val="none"/>
              </w:rPr>
            </w:pPr>
          </w:p>
        </w:tc>
      </w:tr>
      <w:tr w14:paraId="3D45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val="0"/>
          </w:tcPr>
          <w:p w14:paraId="6A51759C">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1E9B55C1">
            <w:pPr>
              <w:spacing w:after="200" w:line="220" w:lineRule="atLeast"/>
              <w:rPr>
                <w:rFonts w:ascii="宋体" w:hAnsi="宋体"/>
                <w:color w:val="auto"/>
                <w:highlight w:val="none"/>
              </w:rPr>
            </w:pPr>
          </w:p>
        </w:tc>
      </w:tr>
      <w:tr w14:paraId="10A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val="0"/>
          </w:tcPr>
          <w:p w14:paraId="4E172171">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0D294489">
            <w:pPr>
              <w:spacing w:after="200" w:line="220" w:lineRule="atLeast"/>
              <w:rPr>
                <w:rFonts w:ascii="宋体" w:hAnsi="宋体"/>
                <w:color w:val="auto"/>
                <w:highlight w:val="none"/>
              </w:rPr>
            </w:pPr>
          </w:p>
        </w:tc>
      </w:tr>
      <w:tr w14:paraId="184C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noWrap w:val="0"/>
          </w:tcPr>
          <w:p w14:paraId="0CB52983">
            <w:pPr>
              <w:pStyle w:val="243"/>
              <w:shd w:val="clear" w:color="auto" w:fill="FFFFFF"/>
              <w:spacing w:line="265" w:lineRule="atLeast"/>
              <w:ind w:left="420" w:firstLine="420"/>
              <w:rPr>
                <w:rFonts w:ascii="宋体" w:hAnsi="宋体"/>
                <w:color w:val="auto"/>
                <w:sz w:val="21"/>
                <w:szCs w:val="22"/>
                <w:highlight w:val="none"/>
              </w:rPr>
            </w:pPr>
          </w:p>
        </w:tc>
      </w:tr>
      <w:tr w14:paraId="5630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noWrap w:val="0"/>
          </w:tcPr>
          <w:p w14:paraId="425D1ADD">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24A71909">
            <w:pPr>
              <w:spacing w:after="200" w:line="220" w:lineRule="atLeast"/>
              <w:rPr>
                <w:rFonts w:ascii="宋体" w:hAnsi="宋体"/>
                <w:color w:val="auto"/>
                <w:highlight w:val="none"/>
              </w:rPr>
            </w:pPr>
          </w:p>
        </w:tc>
      </w:tr>
      <w:tr w14:paraId="4692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noWrap w:val="0"/>
          </w:tcPr>
          <w:p w14:paraId="26DB2E2E">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43322118">
            <w:pPr>
              <w:spacing w:after="200" w:line="220" w:lineRule="atLeast"/>
              <w:rPr>
                <w:rFonts w:ascii="宋体" w:hAnsi="宋体"/>
                <w:color w:val="auto"/>
                <w:highlight w:val="none"/>
              </w:rPr>
            </w:pPr>
          </w:p>
        </w:tc>
      </w:tr>
      <w:tr w14:paraId="7488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noWrap w:val="0"/>
          </w:tcPr>
          <w:p w14:paraId="139EAEBD">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1DF0E745">
            <w:pPr>
              <w:spacing w:after="200" w:line="220" w:lineRule="atLeast"/>
              <w:rPr>
                <w:rFonts w:ascii="宋体" w:hAnsi="宋体"/>
                <w:color w:val="auto"/>
                <w:highlight w:val="none"/>
              </w:rPr>
            </w:pPr>
          </w:p>
        </w:tc>
      </w:tr>
      <w:tr w14:paraId="7771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noWrap w:val="0"/>
          </w:tcPr>
          <w:p w14:paraId="0519B717">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54308B92">
            <w:pPr>
              <w:spacing w:after="200" w:line="220" w:lineRule="atLeast"/>
              <w:rPr>
                <w:rFonts w:ascii="宋体" w:hAnsi="宋体"/>
                <w:color w:val="auto"/>
                <w:highlight w:val="none"/>
              </w:rPr>
            </w:pPr>
          </w:p>
        </w:tc>
      </w:tr>
      <w:tr w14:paraId="73A4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noWrap w:val="0"/>
          </w:tcPr>
          <w:p w14:paraId="60B05B4A">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7D24CE1B">
            <w:pPr>
              <w:spacing w:after="200" w:line="220" w:lineRule="atLeast"/>
              <w:rPr>
                <w:rFonts w:ascii="宋体" w:hAnsi="宋体"/>
                <w:color w:val="auto"/>
                <w:highlight w:val="none"/>
              </w:rPr>
            </w:pPr>
          </w:p>
        </w:tc>
      </w:tr>
      <w:tr w14:paraId="568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noWrap w:val="0"/>
          </w:tcPr>
          <w:p w14:paraId="61C90BA5">
            <w:pPr>
              <w:pStyle w:val="243"/>
              <w:shd w:val="clear" w:color="auto" w:fill="FFFFFF"/>
              <w:spacing w:line="265" w:lineRule="atLeast"/>
              <w:ind w:left="420" w:firstLine="422"/>
              <w:rPr>
                <w:rFonts w:ascii="宋体" w:hAnsi="宋体"/>
                <w:b/>
                <w:color w:val="auto"/>
                <w:sz w:val="21"/>
                <w:szCs w:val="22"/>
                <w:highlight w:val="none"/>
              </w:rPr>
            </w:pPr>
          </w:p>
        </w:tc>
      </w:tr>
      <w:tr w14:paraId="19A7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val="0"/>
          </w:tcPr>
          <w:p w14:paraId="7126256C">
            <w:pPr>
              <w:pStyle w:val="243"/>
              <w:shd w:val="clear" w:color="auto" w:fill="FFFFFF"/>
              <w:spacing w:line="265" w:lineRule="atLeast"/>
              <w:ind w:left="420" w:firstLine="422"/>
              <w:rPr>
                <w:rFonts w:ascii="宋体" w:hAnsi="宋体"/>
                <w:b/>
                <w:bCs/>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44B43E1B">
            <w:pPr>
              <w:spacing w:after="200" w:line="220" w:lineRule="atLeast"/>
              <w:rPr>
                <w:rFonts w:ascii="宋体" w:hAnsi="宋体"/>
                <w:color w:val="auto"/>
                <w:highlight w:val="none"/>
              </w:rPr>
            </w:pPr>
          </w:p>
        </w:tc>
      </w:tr>
      <w:tr w14:paraId="044A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val="0"/>
          </w:tcPr>
          <w:p w14:paraId="0EFEF175">
            <w:pPr>
              <w:pStyle w:val="243"/>
              <w:shd w:val="clear" w:color="auto" w:fill="FFFFFF"/>
              <w:spacing w:line="265" w:lineRule="atLeast"/>
              <w:ind w:left="420"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69D9A437">
            <w:pPr>
              <w:spacing w:after="200" w:line="220" w:lineRule="atLeast"/>
              <w:rPr>
                <w:rFonts w:ascii="宋体" w:hAnsi="宋体"/>
                <w:color w:val="auto"/>
                <w:highlight w:val="none"/>
              </w:rPr>
            </w:pPr>
          </w:p>
        </w:tc>
      </w:tr>
      <w:tr w14:paraId="3B69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val="0"/>
          </w:tcPr>
          <w:p w14:paraId="35C9135A">
            <w:pPr>
              <w:pStyle w:val="243"/>
              <w:shd w:val="clear" w:color="auto" w:fill="FFFFFF"/>
              <w:spacing w:line="265" w:lineRule="atLeast"/>
              <w:ind w:left="420" w:firstLine="422"/>
              <w:rPr>
                <w:rFonts w:ascii="宋体" w:hAnsi="宋体"/>
                <w:b/>
                <w:bCs/>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2E9C42AA">
            <w:pPr>
              <w:spacing w:after="200" w:line="220" w:lineRule="atLeast"/>
              <w:rPr>
                <w:rFonts w:ascii="宋体" w:hAnsi="宋体"/>
                <w:color w:val="auto"/>
                <w:highlight w:val="none"/>
              </w:rPr>
            </w:pPr>
          </w:p>
        </w:tc>
      </w:tr>
      <w:tr w14:paraId="46D8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noWrap w:val="0"/>
          </w:tcPr>
          <w:p w14:paraId="09048A93">
            <w:pPr>
              <w:pStyle w:val="243"/>
              <w:shd w:val="clear" w:color="auto" w:fill="FFFFFF"/>
              <w:spacing w:line="265" w:lineRule="atLeast"/>
              <w:ind w:left="420" w:firstLine="422"/>
              <w:rPr>
                <w:rFonts w:ascii="宋体" w:hAnsi="宋体"/>
                <w:b/>
                <w:color w:val="auto"/>
                <w:sz w:val="21"/>
                <w:szCs w:val="22"/>
                <w:highlight w:val="none"/>
              </w:rPr>
            </w:pPr>
          </w:p>
        </w:tc>
      </w:tr>
      <w:tr w14:paraId="590C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noWrap w:val="0"/>
          </w:tcPr>
          <w:p w14:paraId="4A22EAF0">
            <w:pPr>
              <w:pStyle w:val="243"/>
              <w:shd w:val="clear" w:color="auto" w:fill="FFFFFF"/>
              <w:spacing w:line="265" w:lineRule="atLeast"/>
              <w:ind w:firstLine="420"/>
              <w:rPr>
                <w:rFonts w:ascii="宋体" w:hAnsi="宋体"/>
                <w:color w:val="auto"/>
                <w:sz w:val="21"/>
                <w:szCs w:val="21"/>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0625C457">
            <w:pPr>
              <w:spacing w:after="200" w:line="220" w:lineRule="atLeast"/>
              <w:rPr>
                <w:rFonts w:ascii="宋体" w:hAnsi="宋体"/>
                <w:color w:val="auto"/>
                <w:highlight w:val="none"/>
              </w:rPr>
            </w:pPr>
          </w:p>
        </w:tc>
      </w:tr>
      <w:tr w14:paraId="3B19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noWrap w:val="0"/>
          </w:tcPr>
          <w:p w14:paraId="179A54C7">
            <w:pPr>
              <w:pStyle w:val="243"/>
              <w:shd w:val="clear" w:color="auto" w:fill="FFFFFF"/>
              <w:spacing w:line="265" w:lineRule="atLeast"/>
              <w:ind w:firstLine="420"/>
              <w:rPr>
                <w:rFonts w:ascii="宋体" w:hAnsi="宋体"/>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val="0"/>
          </w:tcPr>
          <w:p w14:paraId="3CFA38DB">
            <w:pPr>
              <w:spacing w:after="200" w:line="220" w:lineRule="atLeast"/>
              <w:rPr>
                <w:rFonts w:ascii="宋体" w:hAnsi="宋体"/>
                <w:color w:val="auto"/>
                <w:highlight w:val="none"/>
              </w:rPr>
            </w:pPr>
          </w:p>
        </w:tc>
      </w:tr>
    </w:tbl>
    <w:p w14:paraId="414F1217">
      <w:pPr>
        <w:rPr>
          <w:rFonts w:ascii="宋体" w:hAnsi="宋体" w:eastAsia="微软雅黑"/>
          <w:color w:val="auto"/>
          <w:highlight w:val="none"/>
        </w:rPr>
      </w:pPr>
    </w:p>
    <w:p w14:paraId="383ACE58">
      <w:pPr>
        <w:spacing w:after="312" w:line="360" w:lineRule="auto"/>
        <w:jc w:val="center"/>
        <w:rPr>
          <w:rFonts w:ascii="宋体" w:hAnsi="宋体"/>
          <w:b/>
          <w:bCs/>
          <w:color w:val="auto"/>
          <w:szCs w:val="21"/>
          <w:highlight w:val="none"/>
        </w:rPr>
      </w:pPr>
      <w:r>
        <w:rPr>
          <w:rFonts w:hint="eastAsia" w:ascii="宋体" w:hAnsi="宋体"/>
          <w:b/>
          <w:color w:val="auto"/>
          <w:sz w:val="36"/>
          <w:highlight w:val="none"/>
          <w:u w:val="single"/>
        </w:rPr>
        <w:br w:type="page" w:clear="all"/>
      </w:r>
      <w:r>
        <w:rPr>
          <w:rFonts w:hint="eastAsia" w:ascii="宋体" w:hAnsi="宋体"/>
          <w:b/>
          <w:bCs/>
          <w:color w:val="auto"/>
          <w:szCs w:val="21"/>
          <w:highlight w:val="none"/>
        </w:rPr>
        <w:t>投标主要文件目录</w:t>
      </w:r>
    </w:p>
    <w:p w14:paraId="4AAD1A2F">
      <w:pPr>
        <w:ind w:firstLine="420"/>
        <w:rPr>
          <w:rFonts w:ascii="宋体" w:hAnsi="宋体"/>
          <w:color w:val="auto"/>
          <w:szCs w:val="21"/>
          <w:highlight w:val="none"/>
        </w:rPr>
      </w:pPr>
      <w:r>
        <w:rPr>
          <w:rFonts w:hint="eastAsia" w:ascii="宋体" w:hAnsi="宋体"/>
          <w:color w:val="auto"/>
          <w:szCs w:val="21"/>
          <w:highlight w:val="none"/>
        </w:rPr>
        <w:t>一、资格性和符合性检查响应对照表</w:t>
      </w:r>
    </w:p>
    <w:p w14:paraId="23777477">
      <w:pPr>
        <w:ind w:firstLine="420"/>
        <w:rPr>
          <w:rFonts w:ascii="宋体" w:hAnsi="宋体"/>
          <w:color w:val="auto"/>
          <w:szCs w:val="21"/>
          <w:highlight w:val="none"/>
        </w:rPr>
      </w:pPr>
    </w:p>
    <w:p w14:paraId="4EE9D007">
      <w:pPr>
        <w:ind w:firstLine="422"/>
        <w:rPr>
          <w:rFonts w:ascii="宋体" w:hAnsi="宋体"/>
          <w:bCs/>
          <w:color w:val="auto"/>
          <w:szCs w:val="21"/>
          <w:highlight w:val="none"/>
        </w:rPr>
      </w:pPr>
      <w:r>
        <w:rPr>
          <w:rFonts w:hint="eastAsia" w:ascii="宋体" w:hAnsi="宋体"/>
          <w:b/>
          <w:bCs/>
          <w:color w:val="auto"/>
          <w:szCs w:val="21"/>
          <w:highlight w:val="none"/>
        </w:rPr>
        <w:t>二</w:t>
      </w:r>
      <w:r>
        <w:rPr>
          <w:rFonts w:hint="eastAsia" w:ascii="宋体" w:hAnsi="宋体"/>
          <w:color w:val="auto"/>
          <w:szCs w:val="21"/>
          <w:highlight w:val="none"/>
        </w:rPr>
        <w:t>、</w:t>
      </w:r>
      <w:r>
        <w:rPr>
          <w:rFonts w:hint="eastAsia" w:ascii="宋体" w:hAnsi="宋体"/>
          <w:bCs/>
          <w:color w:val="auto"/>
          <w:szCs w:val="21"/>
          <w:highlight w:val="none"/>
        </w:rPr>
        <w:t>资信证明文件</w:t>
      </w:r>
    </w:p>
    <w:p w14:paraId="11701EDC">
      <w:pPr>
        <w:ind w:firstLine="480"/>
        <w:rPr>
          <w:rFonts w:ascii="宋体" w:hAnsi="宋体"/>
          <w:bCs/>
          <w:color w:val="auto"/>
          <w:sz w:val="24"/>
          <w:szCs w:val="24"/>
          <w:highlight w:val="none"/>
        </w:rPr>
      </w:pPr>
    </w:p>
    <w:p w14:paraId="25F59DE3">
      <w:pPr>
        <w:ind w:firstLine="420"/>
        <w:rPr>
          <w:rFonts w:ascii="宋体" w:hAnsi="宋体"/>
          <w:color w:val="auto"/>
          <w:szCs w:val="21"/>
          <w:highlight w:val="none"/>
        </w:rPr>
      </w:pPr>
      <w:r>
        <w:rPr>
          <w:rFonts w:hint="eastAsia" w:ascii="宋体" w:hAnsi="宋体"/>
          <w:color w:val="auto"/>
          <w:szCs w:val="21"/>
          <w:highlight w:val="none"/>
        </w:rPr>
        <w:t>三、开标一览表</w:t>
      </w:r>
    </w:p>
    <w:p w14:paraId="741B4108">
      <w:pPr>
        <w:rPr>
          <w:rFonts w:ascii="宋体" w:hAnsi="宋体"/>
          <w:color w:val="auto"/>
          <w:szCs w:val="21"/>
          <w:highlight w:val="none"/>
        </w:rPr>
      </w:pPr>
    </w:p>
    <w:p w14:paraId="42EDD933">
      <w:pPr>
        <w:ind w:firstLine="420"/>
        <w:rPr>
          <w:rFonts w:hint="eastAsia" w:ascii="宋体" w:hAnsi="宋体" w:cs="Times New Roman"/>
          <w:color w:val="auto"/>
          <w:szCs w:val="21"/>
          <w:highlight w:val="none"/>
        </w:rPr>
      </w:pPr>
      <w:r>
        <w:rPr>
          <w:rFonts w:hint="eastAsia" w:ascii="宋体" w:hAnsi="宋体" w:cs="Times New Roman"/>
          <w:color w:val="auto"/>
          <w:szCs w:val="21"/>
          <w:highlight w:val="none"/>
        </w:rPr>
        <w:t>四、分项报价表</w:t>
      </w:r>
    </w:p>
    <w:p w14:paraId="64AFA0E9">
      <w:pPr>
        <w:ind w:firstLine="420"/>
        <w:rPr>
          <w:rFonts w:hint="eastAsia" w:ascii="宋体" w:hAnsi="宋体" w:cs="Times New Roman"/>
          <w:color w:val="auto"/>
          <w:szCs w:val="21"/>
          <w:highlight w:val="none"/>
        </w:rPr>
      </w:pPr>
    </w:p>
    <w:p w14:paraId="4759A9E9">
      <w:pPr>
        <w:ind w:firstLine="420"/>
        <w:rPr>
          <w:rFonts w:hint="eastAsia" w:ascii="宋体" w:hAnsi="宋体" w:cs="Times New Roman"/>
          <w:color w:val="auto"/>
          <w:szCs w:val="21"/>
          <w:highlight w:val="none"/>
        </w:rPr>
      </w:pPr>
      <w:r>
        <w:rPr>
          <w:rFonts w:hint="eastAsia" w:ascii="宋体" w:hAnsi="宋体" w:cs="Times New Roman"/>
          <w:color w:val="auto"/>
          <w:szCs w:val="21"/>
          <w:highlight w:val="none"/>
        </w:rPr>
        <w:t>五、拟投入人员一览表</w:t>
      </w:r>
    </w:p>
    <w:p w14:paraId="32AA554E">
      <w:pPr>
        <w:ind w:firstLine="420"/>
        <w:rPr>
          <w:rFonts w:hint="eastAsia" w:ascii="宋体" w:hAnsi="宋体" w:cs="Times New Roman"/>
          <w:color w:val="auto"/>
          <w:szCs w:val="21"/>
          <w:highlight w:val="none"/>
        </w:rPr>
      </w:pPr>
    </w:p>
    <w:p w14:paraId="366CCDE2">
      <w:pPr>
        <w:ind w:firstLine="420"/>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六、</w:t>
      </w:r>
      <w:r>
        <w:rPr>
          <w:rFonts w:hint="eastAsia" w:ascii="宋体" w:hAnsi="宋体" w:cs="Times New Roman"/>
          <w:color w:val="auto"/>
          <w:szCs w:val="21"/>
          <w:highlight w:val="none"/>
        </w:rPr>
        <w:t>主要标的信息</w:t>
      </w:r>
    </w:p>
    <w:p w14:paraId="19B9181B">
      <w:pPr>
        <w:ind w:firstLine="420"/>
        <w:rPr>
          <w:rFonts w:hint="eastAsia" w:ascii="宋体" w:hAnsi="宋体" w:cs="Times New Roman"/>
          <w:color w:val="auto"/>
          <w:szCs w:val="21"/>
          <w:highlight w:val="none"/>
        </w:rPr>
      </w:pPr>
    </w:p>
    <w:p w14:paraId="4DE8C524">
      <w:pPr>
        <w:ind w:firstLine="420"/>
        <w:rPr>
          <w:rFonts w:hint="eastAsia" w:ascii="宋体" w:hAnsi="宋体" w:cs="Times New Roman"/>
          <w:color w:val="auto"/>
          <w:szCs w:val="21"/>
          <w:highlight w:val="none"/>
        </w:rPr>
      </w:pPr>
      <w:r>
        <w:rPr>
          <w:rFonts w:hint="eastAsia" w:ascii="宋体" w:hAnsi="宋体" w:cs="Times New Roman"/>
          <w:color w:val="auto"/>
          <w:szCs w:val="21"/>
          <w:highlight w:val="none"/>
        </w:rPr>
        <w:t>……</w:t>
      </w:r>
    </w:p>
    <w:p w14:paraId="07F6F06B">
      <w:pPr>
        <w:jc w:val="left"/>
        <w:rPr>
          <w:rFonts w:ascii="宋体" w:hAnsi="宋体"/>
          <w:b/>
          <w:color w:val="auto"/>
          <w:szCs w:val="21"/>
          <w:highlight w:val="none"/>
        </w:rPr>
      </w:pPr>
    </w:p>
    <w:p w14:paraId="1222A308">
      <w:pPr>
        <w:jc w:val="left"/>
        <w:rPr>
          <w:rFonts w:ascii="宋体" w:hAnsi="宋体"/>
          <w:b/>
          <w:color w:val="auto"/>
          <w:szCs w:val="21"/>
          <w:highlight w:val="none"/>
        </w:rPr>
      </w:pPr>
    </w:p>
    <w:p w14:paraId="524DFB3E">
      <w:pPr>
        <w:jc w:val="left"/>
        <w:rPr>
          <w:rFonts w:ascii="宋体" w:hAnsi="宋体"/>
          <w:b/>
          <w:color w:val="auto"/>
          <w:szCs w:val="21"/>
          <w:highlight w:val="none"/>
        </w:rPr>
      </w:pPr>
    </w:p>
    <w:p w14:paraId="65511881">
      <w:pPr>
        <w:jc w:val="left"/>
        <w:rPr>
          <w:rFonts w:ascii="宋体" w:hAnsi="宋体"/>
          <w:b/>
          <w:color w:val="auto"/>
          <w:szCs w:val="21"/>
          <w:highlight w:val="none"/>
        </w:rPr>
      </w:pPr>
    </w:p>
    <w:p w14:paraId="7B9902A7">
      <w:pPr>
        <w:jc w:val="left"/>
        <w:rPr>
          <w:rFonts w:ascii="宋体" w:hAnsi="宋体"/>
          <w:b/>
          <w:color w:val="auto"/>
          <w:szCs w:val="21"/>
          <w:highlight w:val="none"/>
        </w:rPr>
      </w:pPr>
    </w:p>
    <w:p w14:paraId="2CABF6BF">
      <w:pPr>
        <w:jc w:val="left"/>
        <w:rPr>
          <w:rFonts w:ascii="宋体" w:hAnsi="宋体"/>
          <w:b/>
          <w:color w:val="auto"/>
          <w:szCs w:val="21"/>
          <w:highlight w:val="none"/>
        </w:rPr>
      </w:pPr>
    </w:p>
    <w:p w14:paraId="07B34308">
      <w:pPr>
        <w:jc w:val="left"/>
        <w:rPr>
          <w:rFonts w:ascii="宋体" w:hAnsi="宋体"/>
          <w:b/>
          <w:color w:val="auto"/>
          <w:szCs w:val="21"/>
          <w:highlight w:val="none"/>
        </w:rPr>
      </w:pPr>
    </w:p>
    <w:p w14:paraId="370C17C1">
      <w:pPr>
        <w:jc w:val="left"/>
        <w:rPr>
          <w:rFonts w:ascii="宋体" w:hAnsi="宋体"/>
          <w:b/>
          <w:color w:val="auto"/>
          <w:szCs w:val="21"/>
          <w:highlight w:val="none"/>
        </w:rPr>
      </w:pPr>
    </w:p>
    <w:p w14:paraId="3D6CE145">
      <w:pPr>
        <w:jc w:val="left"/>
        <w:rPr>
          <w:rFonts w:ascii="宋体" w:hAnsi="宋体"/>
          <w:b/>
          <w:color w:val="auto"/>
          <w:szCs w:val="21"/>
          <w:highlight w:val="none"/>
        </w:rPr>
      </w:pPr>
    </w:p>
    <w:p w14:paraId="62B2DC17">
      <w:pPr>
        <w:jc w:val="left"/>
        <w:rPr>
          <w:rFonts w:ascii="宋体" w:hAnsi="宋体"/>
          <w:b/>
          <w:color w:val="auto"/>
          <w:szCs w:val="21"/>
          <w:highlight w:val="none"/>
        </w:rPr>
      </w:pPr>
    </w:p>
    <w:p w14:paraId="4464CE87">
      <w:pPr>
        <w:jc w:val="left"/>
        <w:rPr>
          <w:rFonts w:ascii="宋体" w:hAnsi="宋体"/>
          <w:b/>
          <w:color w:val="auto"/>
          <w:szCs w:val="21"/>
          <w:highlight w:val="none"/>
        </w:rPr>
      </w:pPr>
    </w:p>
    <w:p w14:paraId="47A560CD">
      <w:pPr>
        <w:jc w:val="left"/>
        <w:rPr>
          <w:rFonts w:ascii="宋体" w:hAnsi="宋体"/>
          <w:b/>
          <w:color w:val="auto"/>
          <w:szCs w:val="21"/>
          <w:highlight w:val="none"/>
        </w:rPr>
      </w:pPr>
    </w:p>
    <w:p w14:paraId="5FFA937C">
      <w:pPr>
        <w:jc w:val="left"/>
        <w:rPr>
          <w:rFonts w:ascii="宋体" w:hAnsi="宋体"/>
          <w:b/>
          <w:color w:val="auto"/>
          <w:szCs w:val="21"/>
          <w:highlight w:val="none"/>
        </w:rPr>
      </w:pPr>
    </w:p>
    <w:p w14:paraId="60CFEA43">
      <w:pPr>
        <w:jc w:val="left"/>
        <w:rPr>
          <w:rFonts w:ascii="宋体" w:hAnsi="宋体"/>
          <w:b/>
          <w:color w:val="auto"/>
          <w:szCs w:val="21"/>
          <w:highlight w:val="none"/>
        </w:rPr>
      </w:pPr>
    </w:p>
    <w:p w14:paraId="2D5E2FF9">
      <w:pPr>
        <w:jc w:val="left"/>
        <w:rPr>
          <w:rFonts w:ascii="宋体" w:hAnsi="宋体"/>
          <w:b/>
          <w:color w:val="auto"/>
          <w:szCs w:val="21"/>
          <w:highlight w:val="none"/>
        </w:rPr>
      </w:pPr>
    </w:p>
    <w:p w14:paraId="2CCB6640">
      <w:pPr>
        <w:jc w:val="left"/>
        <w:rPr>
          <w:rFonts w:ascii="宋体" w:hAnsi="宋体"/>
          <w:b/>
          <w:color w:val="auto"/>
          <w:szCs w:val="21"/>
          <w:highlight w:val="none"/>
        </w:rPr>
      </w:pPr>
    </w:p>
    <w:p w14:paraId="4CDFBC5B">
      <w:pPr>
        <w:jc w:val="left"/>
        <w:rPr>
          <w:rFonts w:ascii="宋体" w:hAnsi="宋体"/>
          <w:b/>
          <w:color w:val="auto"/>
          <w:szCs w:val="21"/>
          <w:highlight w:val="none"/>
        </w:rPr>
      </w:pPr>
    </w:p>
    <w:p w14:paraId="240FA10A">
      <w:pPr>
        <w:jc w:val="left"/>
        <w:rPr>
          <w:rFonts w:ascii="宋体" w:hAnsi="宋体"/>
          <w:b/>
          <w:color w:val="auto"/>
          <w:szCs w:val="21"/>
          <w:highlight w:val="none"/>
        </w:rPr>
      </w:pPr>
    </w:p>
    <w:p w14:paraId="59AC2050">
      <w:pPr>
        <w:jc w:val="left"/>
        <w:rPr>
          <w:rFonts w:ascii="宋体" w:hAnsi="宋体"/>
          <w:b/>
          <w:color w:val="auto"/>
          <w:szCs w:val="21"/>
          <w:highlight w:val="none"/>
        </w:rPr>
      </w:pPr>
    </w:p>
    <w:p w14:paraId="724B9CDA">
      <w:pPr>
        <w:jc w:val="left"/>
        <w:rPr>
          <w:rFonts w:ascii="宋体" w:hAnsi="宋体"/>
          <w:b/>
          <w:color w:val="auto"/>
          <w:szCs w:val="21"/>
          <w:highlight w:val="none"/>
        </w:rPr>
      </w:pPr>
    </w:p>
    <w:p w14:paraId="309481DD">
      <w:pPr>
        <w:jc w:val="left"/>
        <w:rPr>
          <w:rFonts w:ascii="宋体" w:hAnsi="宋体"/>
          <w:b/>
          <w:color w:val="auto"/>
          <w:szCs w:val="21"/>
          <w:highlight w:val="none"/>
        </w:rPr>
      </w:pPr>
    </w:p>
    <w:p w14:paraId="62535604">
      <w:pPr>
        <w:jc w:val="left"/>
        <w:rPr>
          <w:rFonts w:ascii="宋体" w:hAnsi="宋体"/>
          <w:b/>
          <w:color w:val="auto"/>
          <w:szCs w:val="21"/>
          <w:highlight w:val="none"/>
        </w:rPr>
      </w:pPr>
    </w:p>
    <w:p w14:paraId="6E94E38F">
      <w:pPr>
        <w:jc w:val="left"/>
        <w:rPr>
          <w:rFonts w:ascii="宋体" w:hAnsi="宋体"/>
          <w:b/>
          <w:color w:val="auto"/>
          <w:szCs w:val="21"/>
          <w:highlight w:val="none"/>
        </w:rPr>
      </w:pPr>
    </w:p>
    <w:p w14:paraId="532131F5">
      <w:pPr>
        <w:jc w:val="left"/>
        <w:rPr>
          <w:rFonts w:ascii="宋体" w:hAnsi="宋体"/>
          <w:b/>
          <w:color w:val="auto"/>
          <w:szCs w:val="21"/>
          <w:highlight w:val="none"/>
        </w:rPr>
      </w:pPr>
    </w:p>
    <w:p w14:paraId="3A5BF031">
      <w:pPr>
        <w:jc w:val="left"/>
        <w:rPr>
          <w:rFonts w:ascii="宋体" w:hAnsi="宋体"/>
          <w:b/>
          <w:color w:val="auto"/>
          <w:szCs w:val="21"/>
          <w:highlight w:val="none"/>
        </w:rPr>
      </w:pPr>
    </w:p>
    <w:p w14:paraId="6FEC157F">
      <w:pPr>
        <w:jc w:val="left"/>
        <w:rPr>
          <w:rFonts w:ascii="宋体" w:hAnsi="宋体"/>
          <w:b/>
          <w:color w:val="auto"/>
          <w:szCs w:val="21"/>
          <w:highlight w:val="none"/>
        </w:rPr>
      </w:pPr>
    </w:p>
    <w:p w14:paraId="75F4005C">
      <w:pPr>
        <w:spacing w:after="312" w:line="360" w:lineRule="auto"/>
        <w:jc w:val="center"/>
        <w:rPr>
          <w:rFonts w:ascii="宋体" w:hAnsi="宋体"/>
          <w:b/>
          <w:color w:val="auto"/>
          <w:szCs w:val="21"/>
          <w:highlight w:val="none"/>
        </w:rPr>
        <w:sectPr>
          <w:headerReference r:id="rId6" w:type="default"/>
          <w:footerReference r:id="rId7" w:type="default"/>
          <w:pgSz w:w="11906" w:h="16838"/>
          <w:pgMar w:top="1440" w:right="1800" w:bottom="1440" w:left="1800" w:header="851" w:footer="992" w:gutter="0"/>
          <w:cols w:space="720" w:num="1"/>
          <w:docGrid w:linePitch="360" w:charSpace="0"/>
        </w:sectPr>
      </w:pPr>
    </w:p>
    <w:p w14:paraId="6657CDE4">
      <w:pPr>
        <w:spacing w:after="312" w:line="360" w:lineRule="auto"/>
        <w:jc w:val="center"/>
        <w:rPr>
          <w:rFonts w:ascii="宋体" w:hAnsi="宋体"/>
          <w:b/>
          <w:color w:val="auto"/>
          <w:szCs w:val="21"/>
          <w:highlight w:val="none"/>
        </w:rPr>
      </w:pPr>
      <w:r>
        <w:rPr>
          <w:rFonts w:hint="eastAsia" w:ascii="宋体" w:hAnsi="宋体"/>
          <w:b/>
          <w:color w:val="auto"/>
          <w:szCs w:val="21"/>
          <w:highlight w:val="none"/>
        </w:rPr>
        <w:t>一、资格性和符合性检查响应对照表</w:t>
      </w:r>
    </w:p>
    <w:p w14:paraId="50731A02">
      <w:pPr>
        <w:pStyle w:val="3"/>
        <w:numPr>
          <w:ilvl w:val="0"/>
          <w:numId w:val="0"/>
        </w:numPr>
        <w:jc w:val="center"/>
        <w:rPr>
          <w:rFonts w:ascii="宋体" w:hAnsi="宋体" w:eastAsia="宋体"/>
          <w:b w:val="0"/>
          <w:color w:val="auto"/>
          <w:sz w:val="21"/>
          <w:szCs w:val="21"/>
          <w:highlight w:val="none"/>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资格审查响应对照表</w:t>
      </w:r>
    </w:p>
    <w:tbl>
      <w:tblPr>
        <w:tblStyle w:val="42"/>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158"/>
      </w:tblGrid>
      <w:tr w14:paraId="3113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trPr>
        <w:tc>
          <w:tcPr>
            <w:tcW w:w="646" w:type="dxa"/>
            <w:noWrap w:val="0"/>
            <w:vAlign w:val="center"/>
          </w:tcPr>
          <w:p w14:paraId="259D4C35">
            <w:pPr>
              <w:spacing w:line="240" w:lineRule="atLeast"/>
              <w:jc w:val="center"/>
              <w:rPr>
                <w:rFonts w:ascii="幼圆" w:eastAsia="幼圆"/>
                <w:b/>
                <w:color w:val="auto"/>
                <w:szCs w:val="21"/>
                <w:highlight w:val="none"/>
              </w:rPr>
            </w:pPr>
            <w:r>
              <w:rPr>
                <w:rFonts w:hint="eastAsia" w:ascii="幼圆" w:eastAsia="幼圆"/>
                <w:b/>
                <w:color w:val="auto"/>
                <w:szCs w:val="21"/>
                <w:highlight w:val="none"/>
              </w:rPr>
              <w:t>序号</w:t>
            </w:r>
          </w:p>
        </w:tc>
        <w:tc>
          <w:tcPr>
            <w:tcW w:w="5447" w:type="dxa"/>
            <w:noWrap w:val="0"/>
            <w:vAlign w:val="center"/>
          </w:tcPr>
          <w:p w14:paraId="7E40AFDF">
            <w:pPr>
              <w:spacing w:line="240" w:lineRule="atLeast"/>
              <w:jc w:val="center"/>
              <w:rPr>
                <w:rFonts w:ascii="幼圆" w:eastAsia="幼圆"/>
                <w:b/>
                <w:color w:val="auto"/>
                <w:szCs w:val="21"/>
                <w:highlight w:val="none"/>
              </w:rPr>
            </w:pPr>
            <w:r>
              <w:rPr>
                <w:rFonts w:hint="eastAsia" w:ascii="幼圆" w:eastAsia="幼圆"/>
                <w:b/>
                <w:color w:val="auto"/>
                <w:szCs w:val="21"/>
                <w:highlight w:val="none"/>
              </w:rPr>
              <w:t>资格审查响应内容</w:t>
            </w:r>
          </w:p>
        </w:tc>
        <w:tc>
          <w:tcPr>
            <w:tcW w:w="2158" w:type="dxa"/>
            <w:noWrap w:val="0"/>
            <w:vAlign w:val="center"/>
          </w:tcPr>
          <w:p w14:paraId="64A7B5AF">
            <w:pPr>
              <w:spacing w:line="240" w:lineRule="atLeast"/>
              <w:jc w:val="center"/>
              <w:rPr>
                <w:rFonts w:ascii="幼圆" w:eastAsia="幼圆"/>
                <w:b/>
                <w:color w:val="auto"/>
                <w:szCs w:val="21"/>
                <w:highlight w:val="none"/>
              </w:rPr>
            </w:pPr>
            <w:r>
              <w:rPr>
                <w:rFonts w:hint="eastAsia" w:ascii="幼圆" w:eastAsia="幼圆"/>
                <w:b/>
                <w:color w:val="auto"/>
                <w:szCs w:val="21"/>
                <w:highlight w:val="none"/>
              </w:rPr>
              <w:t>是否响应</w:t>
            </w:r>
          </w:p>
          <w:p w14:paraId="7AEEB486">
            <w:pPr>
              <w:spacing w:line="240" w:lineRule="atLeast"/>
              <w:jc w:val="center"/>
              <w:rPr>
                <w:rFonts w:ascii="幼圆" w:eastAsia="幼圆"/>
                <w:b/>
                <w:color w:val="auto"/>
                <w:szCs w:val="21"/>
                <w:highlight w:val="none"/>
              </w:rPr>
            </w:pPr>
            <w:r>
              <w:rPr>
                <w:rFonts w:hint="eastAsia" w:ascii="幼圆" w:eastAsia="幼圆"/>
                <w:b/>
                <w:color w:val="auto"/>
                <w:szCs w:val="21"/>
                <w:highlight w:val="none"/>
              </w:rPr>
              <w:t>（填是或者否）</w:t>
            </w:r>
          </w:p>
        </w:tc>
      </w:tr>
      <w:tr w14:paraId="16D2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1" w:type="dxa"/>
            <w:gridSpan w:val="3"/>
            <w:noWrap w:val="0"/>
            <w:vAlign w:val="center"/>
          </w:tcPr>
          <w:p w14:paraId="54298302">
            <w:pPr>
              <w:rPr>
                <w:rFonts w:ascii="宋体" w:hAnsi="宋体"/>
                <w:b/>
                <w:color w:val="auto"/>
                <w:szCs w:val="21"/>
                <w:highlight w:val="none"/>
              </w:rPr>
            </w:pPr>
            <w:r>
              <w:rPr>
                <w:rFonts w:hint="eastAsia" w:ascii="宋体" w:hAnsi="宋体"/>
                <w:b/>
                <w:color w:val="auto"/>
                <w:szCs w:val="21"/>
                <w:highlight w:val="none"/>
              </w:rPr>
              <w:t>通用资格条件</w:t>
            </w:r>
          </w:p>
        </w:tc>
      </w:tr>
      <w:tr w14:paraId="32F5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46" w:type="dxa"/>
            <w:noWrap w:val="0"/>
            <w:vAlign w:val="center"/>
          </w:tcPr>
          <w:p w14:paraId="09D2F96D">
            <w:pPr>
              <w:jc w:val="center"/>
              <w:rPr>
                <w:rFonts w:ascii="宋体" w:hAnsi="宋体"/>
                <w:b/>
                <w:color w:val="auto"/>
                <w:szCs w:val="21"/>
                <w:highlight w:val="none"/>
              </w:rPr>
            </w:pPr>
            <w:r>
              <w:rPr>
                <w:rFonts w:hint="eastAsia" w:ascii="宋体" w:hAnsi="宋体"/>
                <w:color w:val="auto"/>
                <w:szCs w:val="21"/>
                <w:highlight w:val="none"/>
              </w:rPr>
              <w:t>1</w:t>
            </w:r>
          </w:p>
        </w:tc>
        <w:tc>
          <w:tcPr>
            <w:tcW w:w="5447" w:type="dxa"/>
            <w:noWrap w:val="0"/>
            <w:vAlign w:val="center"/>
          </w:tcPr>
          <w:p w14:paraId="7B625EBE">
            <w:pPr>
              <w:spacing w:line="360" w:lineRule="auto"/>
              <w:rPr>
                <w:rFonts w:ascii="宋体" w:hAnsi="宋体"/>
                <w:iCs/>
                <w:color w:val="auto"/>
                <w:szCs w:val="21"/>
                <w:highlight w:val="none"/>
              </w:rPr>
            </w:pPr>
            <w:r>
              <w:rPr>
                <w:rFonts w:hint="eastAsia" w:ascii="宋体" w:hAnsi="宋体" w:cs="宋体"/>
                <w:i/>
                <w:iCs/>
                <w:color w:val="auto"/>
                <w:szCs w:val="21"/>
                <w:highlight w:val="none"/>
                <w:u w:val="single"/>
              </w:rPr>
              <w:t>法人或者其他组织的营业执照等证明文件，自然人的身份证明</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复印件加盖投标人公章</w:t>
            </w:r>
            <w:r>
              <w:rPr>
                <w:rFonts w:hint="eastAsia" w:ascii="宋体" w:hAnsi="宋体" w:cs="宋体"/>
                <w:b/>
                <w:bCs/>
                <w:i/>
                <w:iCs/>
                <w:color w:val="auto"/>
                <w:szCs w:val="21"/>
                <w:highlight w:val="none"/>
                <w:u w:val="single"/>
                <w:lang w:eastAsia="zh-CN"/>
              </w:rPr>
              <w:t>）</w:t>
            </w:r>
          </w:p>
        </w:tc>
        <w:tc>
          <w:tcPr>
            <w:tcW w:w="2158" w:type="dxa"/>
            <w:noWrap w:val="0"/>
            <w:vAlign w:val="center"/>
          </w:tcPr>
          <w:p w14:paraId="001B8E5E">
            <w:pPr>
              <w:rPr>
                <w:rFonts w:ascii="宋体" w:hAnsi="宋体"/>
                <w:b/>
                <w:color w:val="auto"/>
                <w:szCs w:val="21"/>
                <w:highlight w:val="none"/>
              </w:rPr>
            </w:pPr>
          </w:p>
        </w:tc>
      </w:tr>
      <w:tr w14:paraId="0973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08364B2">
            <w:pPr>
              <w:jc w:val="center"/>
              <w:rPr>
                <w:rFonts w:ascii="宋体" w:hAnsi="宋体"/>
                <w:color w:val="auto"/>
                <w:szCs w:val="21"/>
                <w:highlight w:val="none"/>
              </w:rPr>
            </w:pPr>
            <w:r>
              <w:rPr>
                <w:rFonts w:hint="eastAsia" w:ascii="宋体" w:hAnsi="宋体"/>
                <w:color w:val="auto"/>
                <w:szCs w:val="21"/>
                <w:highlight w:val="none"/>
              </w:rPr>
              <w:t>2</w:t>
            </w:r>
          </w:p>
        </w:tc>
        <w:tc>
          <w:tcPr>
            <w:tcW w:w="5447" w:type="dxa"/>
            <w:noWrap w:val="0"/>
            <w:vAlign w:val="center"/>
          </w:tcPr>
          <w:p w14:paraId="02396B9D">
            <w:pPr>
              <w:spacing w:line="360" w:lineRule="auto"/>
              <w:rPr>
                <w:rFonts w:ascii="宋体" w:hAnsi="宋体"/>
                <w:iCs/>
                <w:color w:val="auto"/>
                <w:szCs w:val="21"/>
                <w:highlight w:val="none"/>
              </w:rPr>
            </w:pPr>
            <w:r>
              <w:rPr>
                <w:rFonts w:hint="eastAsia" w:ascii="宋体" w:hAnsi="宋体" w:eastAsia="宋体" w:cs="宋体"/>
                <w:i/>
                <w:iCs/>
                <w:color w:val="auto"/>
                <w:szCs w:val="21"/>
                <w:highlight w:val="none"/>
                <w:u w:val="single"/>
              </w:rPr>
              <w:t>上一年度的财务状况报告（成立不满一年无需提供）</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复印件加盖投标人公章</w:t>
            </w:r>
            <w:r>
              <w:rPr>
                <w:rFonts w:hint="eastAsia" w:ascii="宋体" w:hAnsi="宋体" w:cs="宋体"/>
                <w:b/>
                <w:bCs/>
                <w:i/>
                <w:iCs/>
                <w:color w:val="auto"/>
                <w:szCs w:val="21"/>
                <w:highlight w:val="none"/>
                <w:u w:val="single"/>
                <w:lang w:eastAsia="zh-CN"/>
              </w:rPr>
              <w:t>）</w:t>
            </w:r>
          </w:p>
        </w:tc>
        <w:tc>
          <w:tcPr>
            <w:tcW w:w="2158" w:type="dxa"/>
            <w:noWrap w:val="0"/>
            <w:vAlign w:val="center"/>
          </w:tcPr>
          <w:p w14:paraId="28025B88">
            <w:pPr>
              <w:rPr>
                <w:rFonts w:ascii="宋体" w:hAnsi="宋体"/>
                <w:color w:val="auto"/>
                <w:szCs w:val="21"/>
                <w:highlight w:val="none"/>
              </w:rPr>
            </w:pPr>
          </w:p>
        </w:tc>
      </w:tr>
      <w:tr w14:paraId="5F6C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D4E5390">
            <w:pPr>
              <w:jc w:val="center"/>
              <w:rPr>
                <w:rFonts w:ascii="宋体" w:hAnsi="宋体"/>
                <w:color w:val="auto"/>
                <w:szCs w:val="21"/>
                <w:highlight w:val="none"/>
              </w:rPr>
            </w:pPr>
            <w:r>
              <w:rPr>
                <w:rFonts w:hint="eastAsia" w:ascii="宋体" w:hAnsi="宋体"/>
                <w:color w:val="auto"/>
                <w:szCs w:val="21"/>
                <w:highlight w:val="none"/>
              </w:rPr>
              <w:t>3</w:t>
            </w:r>
          </w:p>
        </w:tc>
        <w:tc>
          <w:tcPr>
            <w:tcW w:w="5447" w:type="dxa"/>
            <w:noWrap w:val="0"/>
            <w:vAlign w:val="center"/>
          </w:tcPr>
          <w:p w14:paraId="6188864B">
            <w:pPr>
              <w:spacing w:line="360" w:lineRule="auto"/>
              <w:rPr>
                <w:rFonts w:ascii="宋体" w:hAnsi="宋体"/>
                <w:iCs/>
                <w:color w:val="auto"/>
                <w:szCs w:val="21"/>
                <w:highlight w:val="none"/>
              </w:rPr>
            </w:pPr>
            <w:r>
              <w:rPr>
                <w:rFonts w:hint="eastAsia" w:ascii="宋体" w:hAnsi="宋体" w:eastAsia="宋体" w:cs="宋体"/>
                <w:i/>
                <w:iCs/>
                <w:color w:val="auto"/>
                <w:szCs w:val="21"/>
                <w:highlight w:val="none"/>
                <w:u w:val="single"/>
              </w:rPr>
              <w:t>依法缴纳税收和社会保障资金的相关材料（提供提交</w:t>
            </w:r>
            <w:r>
              <w:rPr>
                <w:rFonts w:hint="eastAsia" w:ascii="宋体" w:hAnsi="宋体" w:eastAsia="宋体" w:cs="宋体"/>
                <w:i/>
                <w:iCs/>
                <w:color w:val="auto"/>
                <w:szCs w:val="21"/>
                <w:highlight w:val="none"/>
                <w:u w:val="single"/>
                <w:lang w:val="en-US" w:eastAsia="zh-CN"/>
              </w:rPr>
              <w:t>投标文件</w:t>
            </w:r>
            <w:r>
              <w:rPr>
                <w:rFonts w:hint="eastAsia" w:ascii="宋体" w:hAnsi="宋体" w:eastAsia="宋体" w:cs="宋体"/>
                <w:i/>
                <w:iCs/>
                <w:color w:val="auto"/>
                <w:szCs w:val="21"/>
                <w:highlight w:val="none"/>
                <w:u w:val="single"/>
              </w:rPr>
              <w:t>截止时间前一年内至少一个月依法缴纳税收及缴纳社会保障资金的证明材料。</w:t>
            </w:r>
            <w:r>
              <w:rPr>
                <w:rFonts w:hint="eastAsia" w:ascii="宋体" w:hAnsi="宋体" w:eastAsia="宋体" w:cs="宋体"/>
                <w:i/>
                <w:iCs/>
                <w:color w:val="auto"/>
                <w:szCs w:val="21"/>
                <w:highlight w:val="none"/>
                <w:u w:val="single"/>
                <w:lang w:val="en-US" w:eastAsia="zh-CN"/>
              </w:rPr>
              <w:t>供应商</w:t>
            </w:r>
            <w:r>
              <w:rPr>
                <w:rFonts w:hint="eastAsia" w:ascii="宋体" w:hAnsi="宋体" w:eastAsia="宋体" w:cs="宋体"/>
                <w:i/>
                <w:iCs/>
                <w:color w:val="auto"/>
                <w:szCs w:val="21"/>
                <w:highlight w:val="none"/>
                <w:u w:val="single"/>
              </w:rPr>
              <w:t>依法享受缓缴、免缴税收、社会保障资金的提供证明材料。新成立企业距投标截止日不足30日的，可不提供，以新办企业营业执照发放日期为准）</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复印件加盖投标人公章</w:t>
            </w:r>
            <w:r>
              <w:rPr>
                <w:rFonts w:hint="eastAsia" w:ascii="宋体" w:hAnsi="宋体" w:cs="宋体"/>
                <w:b/>
                <w:bCs/>
                <w:i/>
                <w:iCs/>
                <w:color w:val="auto"/>
                <w:szCs w:val="21"/>
                <w:highlight w:val="none"/>
                <w:u w:val="single"/>
                <w:lang w:eastAsia="zh-CN"/>
              </w:rPr>
              <w:t>）</w:t>
            </w:r>
          </w:p>
        </w:tc>
        <w:tc>
          <w:tcPr>
            <w:tcW w:w="2158" w:type="dxa"/>
            <w:noWrap w:val="0"/>
            <w:vAlign w:val="center"/>
          </w:tcPr>
          <w:p w14:paraId="4D252FC9">
            <w:pPr>
              <w:rPr>
                <w:rFonts w:ascii="宋体" w:hAnsi="宋体"/>
                <w:color w:val="auto"/>
                <w:szCs w:val="21"/>
                <w:highlight w:val="none"/>
              </w:rPr>
            </w:pPr>
          </w:p>
        </w:tc>
      </w:tr>
      <w:tr w14:paraId="0090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14:paraId="0498BB09">
            <w:pPr>
              <w:jc w:val="center"/>
              <w:rPr>
                <w:rFonts w:ascii="宋体" w:hAnsi="宋体"/>
                <w:color w:val="auto"/>
                <w:szCs w:val="21"/>
                <w:highlight w:val="none"/>
              </w:rPr>
            </w:pPr>
            <w:r>
              <w:rPr>
                <w:rFonts w:hint="eastAsia" w:ascii="宋体" w:hAnsi="宋体"/>
                <w:color w:val="auto"/>
                <w:szCs w:val="21"/>
                <w:highlight w:val="none"/>
              </w:rPr>
              <w:t>4</w:t>
            </w:r>
          </w:p>
        </w:tc>
        <w:tc>
          <w:tcPr>
            <w:tcW w:w="5447" w:type="dxa"/>
            <w:noWrap w:val="0"/>
            <w:vAlign w:val="center"/>
          </w:tcPr>
          <w:p w14:paraId="3A3B15BF">
            <w:pPr>
              <w:spacing w:line="360" w:lineRule="auto"/>
              <w:rPr>
                <w:rFonts w:ascii="宋体" w:hAnsi="宋体"/>
                <w:iCs/>
                <w:color w:val="auto"/>
                <w:szCs w:val="21"/>
                <w:highlight w:val="none"/>
              </w:rPr>
            </w:pPr>
            <w:r>
              <w:rPr>
                <w:rFonts w:hint="eastAsia" w:ascii="宋体" w:hAnsi="宋体" w:eastAsia="宋体" w:cs="宋体"/>
                <w:i/>
                <w:iCs/>
                <w:color w:val="auto"/>
                <w:szCs w:val="21"/>
                <w:highlight w:val="none"/>
                <w:u w:val="single"/>
              </w:rPr>
              <w:t>具备履行合同所必需的设备和专业技术能力的书面声明</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原件加盖投标人公章</w:t>
            </w:r>
            <w:r>
              <w:rPr>
                <w:rFonts w:hint="eastAsia" w:ascii="宋体" w:hAnsi="宋体" w:cs="宋体"/>
                <w:b/>
                <w:bCs/>
                <w:i/>
                <w:iCs/>
                <w:color w:val="auto"/>
                <w:szCs w:val="21"/>
                <w:highlight w:val="none"/>
                <w:u w:val="single"/>
                <w:lang w:eastAsia="zh-CN"/>
              </w:rPr>
              <w:t>）</w:t>
            </w:r>
          </w:p>
        </w:tc>
        <w:tc>
          <w:tcPr>
            <w:tcW w:w="2158" w:type="dxa"/>
            <w:noWrap w:val="0"/>
            <w:vAlign w:val="center"/>
          </w:tcPr>
          <w:p w14:paraId="5626B6F0">
            <w:pPr>
              <w:rPr>
                <w:rFonts w:ascii="宋体" w:hAnsi="宋体"/>
                <w:color w:val="auto"/>
                <w:szCs w:val="21"/>
                <w:highlight w:val="none"/>
              </w:rPr>
            </w:pPr>
          </w:p>
        </w:tc>
      </w:tr>
      <w:tr w14:paraId="4F3C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46EC3D6">
            <w:pPr>
              <w:jc w:val="center"/>
              <w:rPr>
                <w:rFonts w:ascii="宋体" w:hAnsi="宋体"/>
                <w:color w:val="auto"/>
                <w:szCs w:val="21"/>
                <w:highlight w:val="none"/>
              </w:rPr>
            </w:pPr>
            <w:r>
              <w:rPr>
                <w:rFonts w:hint="eastAsia" w:ascii="宋体" w:hAnsi="宋体"/>
                <w:color w:val="auto"/>
                <w:szCs w:val="21"/>
                <w:highlight w:val="none"/>
              </w:rPr>
              <w:t>5</w:t>
            </w:r>
          </w:p>
        </w:tc>
        <w:tc>
          <w:tcPr>
            <w:tcW w:w="5447" w:type="dxa"/>
            <w:noWrap w:val="0"/>
            <w:vAlign w:val="center"/>
          </w:tcPr>
          <w:p w14:paraId="3DAF91AC">
            <w:pPr>
              <w:spacing w:line="360" w:lineRule="auto"/>
              <w:rPr>
                <w:rFonts w:ascii="宋体" w:hAnsi="宋体"/>
                <w:iCs/>
                <w:color w:val="auto"/>
                <w:szCs w:val="21"/>
                <w:highlight w:val="none"/>
              </w:rPr>
            </w:pPr>
            <w:r>
              <w:rPr>
                <w:rFonts w:hint="eastAsia" w:ascii="宋体" w:hAnsi="宋体" w:eastAsia="宋体" w:cs="宋体"/>
                <w:i/>
                <w:iCs/>
                <w:color w:val="auto"/>
                <w:szCs w:val="21"/>
                <w:highlight w:val="none"/>
                <w:u w:val="single"/>
              </w:rPr>
              <w:t>参加政府采购活动前3年内在经营活动中没有重大违法记录的书面声明</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原件加盖投标人公章</w:t>
            </w:r>
            <w:r>
              <w:rPr>
                <w:rFonts w:hint="eastAsia" w:ascii="宋体" w:hAnsi="宋体" w:cs="宋体"/>
                <w:b/>
                <w:bCs/>
                <w:i/>
                <w:iCs/>
                <w:color w:val="auto"/>
                <w:szCs w:val="21"/>
                <w:highlight w:val="none"/>
                <w:u w:val="single"/>
                <w:lang w:eastAsia="zh-CN"/>
              </w:rPr>
              <w:t>）</w:t>
            </w:r>
          </w:p>
        </w:tc>
        <w:tc>
          <w:tcPr>
            <w:tcW w:w="2158" w:type="dxa"/>
            <w:noWrap w:val="0"/>
            <w:vAlign w:val="center"/>
          </w:tcPr>
          <w:p w14:paraId="68D8A0AC">
            <w:pPr>
              <w:rPr>
                <w:rFonts w:ascii="宋体" w:hAnsi="宋体"/>
                <w:color w:val="auto"/>
                <w:szCs w:val="21"/>
                <w:highlight w:val="none"/>
              </w:rPr>
            </w:pPr>
          </w:p>
        </w:tc>
      </w:tr>
      <w:tr w14:paraId="498D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46" w:type="dxa"/>
            <w:noWrap w:val="0"/>
            <w:vAlign w:val="center"/>
          </w:tcPr>
          <w:p w14:paraId="7DE78B0F">
            <w:pPr>
              <w:jc w:val="center"/>
              <w:rPr>
                <w:rFonts w:ascii="宋体" w:hAnsi="宋体"/>
                <w:color w:val="auto"/>
                <w:szCs w:val="21"/>
                <w:highlight w:val="none"/>
              </w:rPr>
            </w:pPr>
            <w:r>
              <w:rPr>
                <w:rFonts w:hint="eastAsia" w:ascii="宋体" w:hAnsi="宋体"/>
                <w:color w:val="auto"/>
                <w:szCs w:val="21"/>
                <w:highlight w:val="none"/>
              </w:rPr>
              <w:t>6</w:t>
            </w:r>
          </w:p>
        </w:tc>
        <w:tc>
          <w:tcPr>
            <w:tcW w:w="5447" w:type="dxa"/>
            <w:noWrap w:val="0"/>
            <w:vAlign w:val="center"/>
          </w:tcPr>
          <w:p w14:paraId="079FDCBB">
            <w:pPr>
              <w:spacing w:line="360" w:lineRule="auto"/>
              <w:rPr>
                <w:rFonts w:ascii="宋体" w:hAnsi="宋体"/>
                <w:iCs/>
                <w:color w:val="auto"/>
                <w:szCs w:val="21"/>
                <w:highlight w:val="none"/>
              </w:rPr>
            </w:pPr>
            <w:r>
              <w:rPr>
                <w:rFonts w:hint="eastAsia" w:ascii="宋体" w:hAnsi="宋体" w:eastAsia="宋体" w:cs="宋体"/>
                <w:i/>
                <w:iCs/>
                <w:color w:val="auto"/>
                <w:szCs w:val="21"/>
                <w:highlight w:val="none"/>
                <w:u w:val="single"/>
              </w:rPr>
              <w:t>供应商信用承诺</w:t>
            </w:r>
            <w:r>
              <w:rPr>
                <w:rFonts w:hint="eastAsia" w:ascii="宋体" w:hAnsi="宋体" w:eastAsia="宋体" w:cs="宋体"/>
                <w:i/>
                <w:iCs/>
                <w:color w:val="auto"/>
                <w:szCs w:val="21"/>
                <w:highlight w:val="none"/>
                <w:u w:val="single"/>
                <w:lang w:val="en-US" w:eastAsia="zh-CN"/>
              </w:rPr>
              <w:t>书</w:t>
            </w:r>
            <w:r>
              <w:rPr>
                <w:rFonts w:hint="eastAsia" w:ascii="宋体" w:hAnsi="宋体" w:cs="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原件加盖投标人公章</w:t>
            </w:r>
            <w:r>
              <w:rPr>
                <w:rFonts w:hint="eastAsia" w:ascii="宋体" w:hAnsi="宋体" w:cs="宋体"/>
                <w:b/>
                <w:bCs/>
                <w:i/>
                <w:iCs/>
                <w:color w:val="auto"/>
                <w:szCs w:val="21"/>
                <w:highlight w:val="none"/>
                <w:u w:val="single"/>
                <w:lang w:eastAsia="zh-CN"/>
              </w:rPr>
              <w:t>）</w:t>
            </w:r>
          </w:p>
        </w:tc>
        <w:tc>
          <w:tcPr>
            <w:tcW w:w="2158" w:type="dxa"/>
            <w:noWrap w:val="0"/>
            <w:vAlign w:val="center"/>
          </w:tcPr>
          <w:p w14:paraId="394BA6FE">
            <w:pPr>
              <w:rPr>
                <w:rFonts w:ascii="宋体" w:hAnsi="宋体"/>
                <w:color w:val="auto"/>
                <w:szCs w:val="21"/>
                <w:highlight w:val="none"/>
              </w:rPr>
            </w:pPr>
          </w:p>
        </w:tc>
      </w:tr>
      <w:tr w14:paraId="49B0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20550C6">
            <w:pPr>
              <w:jc w:val="center"/>
              <w:rPr>
                <w:rFonts w:ascii="宋体" w:hAnsi="宋体"/>
                <w:color w:val="auto"/>
                <w:szCs w:val="21"/>
                <w:highlight w:val="none"/>
              </w:rPr>
            </w:pPr>
            <w:r>
              <w:rPr>
                <w:rFonts w:hint="eastAsia" w:ascii="宋体" w:hAnsi="宋体"/>
                <w:color w:val="auto"/>
                <w:szCs w:val="21"/>
                <w:highlight w:val="none"/>
              </w:rPr>
              <w:t>7</w:t>
            </w:r>
          </w:p>
        </w:tc>
        <w:tc>
          <w:tcPr>
            <w:tcW w:w="5447" w:type="dxa"/>
            <w:noWrap w:val="0"/>
            <w:vAlign w:val="center"/>
          </w:tcPr>
          <w:p w14:paraId="0DB5A15D">
            <w:pPr>
              <w:spacing w:line="360" w:lineRule="auto"/>
              <w:rPr>
                <w:rFonts w:ascii="宋体" w:hAnsi="宋体" w:cs="宋体"/>
                <w:color w:val="auto"/>
                <w:szCs w:val="21"/>
                <w:highlight w:val="none"/>
              </w:rPr>
            </w:pPr>
            <w:r>
              <w:rPr>
                <w:rFonts w:hint="eastAsia" w:ascii="宋体" w:hAnsi="宋体" w:eastAsia="宋体" w:cs="宋体"/>
                <w:i/>
                <w:iCs/>
                <w:color w:val="auto"/>
                <w:szCs w:val="21"/>
                <w:highlight w:val="none"/>
                <w:u w:val="single"/>
              </w:rPr>
              <w:t>未被“信用中国”网站（www.creditchina.gov.cn）、“中国政府采购网</w:t>
            </w:r>
            <w:r>
              <w:rPr>
                <w:rFonts w:hint="eastAsia" w:ascii="宋体" w:hAnsi="宋体" w:eastAsia="宋体" w:cs="宋体"/>
                <w:i/>
                <w:iCs/>
                <w:color w:val="auto"/>
                <w:szCs w:val="21"/>
                <w:highlight w:val="none"/>
                <w:u w:val="single"/>
                <w:lang w:eastAsia="zh-CN"/>
              </w:rPr>
              <w:t>”</w:t>
            </w:r>
            <w:r>
              <w:rPr>
                <w:rFonts w:hint="eastAsia" w:ascii="宋体" w:hAnsi="宋体" w:eastAsia="宋体" w:cs="宋体"/>
                <w:i/>
                <w:iCs/>
                <w:color w:val="auto"/>
                <w:szCs w:val="21"/>
                <w:highlight w:val="none"/>
                <w:u w:val="single"/>
              </w:rPr>
              <w:t>(www.ccgp.gov.cn)列入失信被执行人、重大税收违法案件当事人名单、政府采购严重违法失信行为记录名单及其他不符合《中华人民共和国政府采购法》第二十二条规定条件的信用记录。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eastAsia="宋体" w:cs="宋体"/>
                <w:b/>
                <w:bCs/>
                <w:i/>
                <w:iCs/>
                <w:color w:val="auto"/>
                <w:szCs w:val="21"/>
                <w:highlight w:val="none"/>
                <w:u w:val="single"/>
              </w:rPr>
              <w:t>（</w:t>
            </w:r>
            <w:r>
              <w:rPr>
                <w:rFonts w:hint="eastAsia" w:ascii="宋体" w:hAnsi="宋体" w:eastAsia="宋体" w:cs="宋体"/>
                <w:b/>
                <w:bCs/>
                <w:i/>
                <w:iCs/>
                <w:color w:val="auto"/>
                <w:szCs w:val="21"/>
                <w:highlight w:val="none"/>
                <w:u w:val="single"/>
                <w:lang w:val="en-US" w:eastAsia="zh-CN"/>
              </w:rPr>
              <w:t>投标</w:t>
            </w:r>
            <w:r>
              <w:rPr>
                <w:rFonts w:hint="eastAsia" w:ascii="宋体" w:hAnsi="宋体" w:eastAsia="宋体" w:cs="宋体"/>
                <w:b/>
                <w:bCs/>
                <w:i/>
                <w:iCs/>
                <w:color w:val="auto"/>
                <w:szCs w:val="21"/>
                <w:highlight w:val="none"/>
                <w:u w:val="single"/>
              </w:rPr>
              <w:t>文件中无需提供证明材料）</w:t>
            </w:r>
          </w:p>
        </w:tc>
        <w:tc>
          <w:tcPr>
            <w:tcW w:w="2158" w:type="dxa"/>
            <w:noWrap w:val="0"/>
            <w:vAlign w:val="center"/>
          </w:tcPr>
          <w:p w14:paraId="6EDC460D">
            <w:pPr>
              <w:rPr>
                <w:rFonts w:ascii="宋体" w:hAnsi="宋体"/>
                <w:color w:val="auto"/>
                <w:szCs w:val="21"/>
                <w:highlight w:val="none"/>
              </w:rPr>
            </w:pPr>
          </w:p>
        </w:tc>
      </w:tr>
      <w:tr w14:paraId="2509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gridSpan w:val="3"/>
            <w:noWrap w:val="0"/>
            <w:vAlign w:val="center"/>
          </w:tcPr>
          <w:p w14:paraId="2D356615">
            <w:pPr>
              <w:rPr>
                <w:rFonts w:ascii="宋体" w:hAnsi="宋体"/>
                <w:color w:val="auto"/>
                <w:szCs w:val="21"/>
                <w:highlight w:val="none"/>
              </w:rPr>
            </w:pPr>
            <w:r>
              <w:rPr>
                <w:rFonts w:hint="eastAsia" w:ascii="宋体" w:hAnsi="宋体" w:cs="宋体"/>
                <w:b/>
                <w:bCs/>
                <w:color w:val="auto"/>
                <w:szCs w:val="21"/>
                <w:highlight w:val="none"/>
              </w:rPr>
              <w:t>落实政府采购政策需满足的资格要求</w:t>
            </w:r>
          </w:p>
        </w:tc>
      </w:tr>
      <w:tr w14:paraId="09E1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6" w:type="dxa"/>
            <w:noWrap w:val="0"/>
            <w:vAlign w:val="center"/>
          </w:tcPr>
          <w:p w14:paraId="767F8FB9">
            <w:pPr>
              <w:pageBreakBefore w:val="0"/>
              <w:widowControl w:val="0"/>
              <w:jc w:val="center"/>
              <w:rPr>
                <w:rFonts w:ascii="宋体" w:hAnsi="宋体"/>
                <w:color w:val="auto"/>
                <w:szCs w:val="21"/>
                <w:highlight w:val="none"/>
              </w:rPr>
            </w:pPr>
          </w:p>
        </w:tc>
        <w:tc>
          <w:tcPr>
            <w:tcW w:w="5447" w:type="dxa"/>
            <w:noWrap w:val="0"/>
            <w:vAlign w:val="center"/>
          </w:tcPr>
          <w:p w14:paraId="4DA90A88">
            <w:pPr>
              <w:pStyle w:val="4"/>
              <w:pageBreakBefore w:val="0"/>
              <w:widowControl w:val="0"/>
              <w:numPr>
                <w:ilvl w:val="0"/>
                <w:numId w:val="0"/>
              </w:numPr>
              <w:rPr>
                <w:rFonts w:hint="eastAsia" w:eastAsia="宋体"/>
                <w:color w:val="auto"/>
                <w:sz w:val="21"/>
                <w:szCs w:val="21"/>
                <w:highlight w:val="none"/>
                <w:lang w:val="en-US" w:eastAsia="zh-CN"/>
              </w:rPr>
            </w:pPr>
          </w:p>
        </w:tc>
        <w:tc>
          <w:tcPr>
            <w:tcW w:w="2158" w:type="dxa"/>
            <w:noWrap w:val="0"/>
            <w:vAlign w:val="center"/>
          </w:tcPr>
          <w:p w14:paraId="0C38A170">
            <w:pPr>
              <w:rPr>
                <w:rFonts w:ascii="宋体" w:hAnsi="宋体"/>
                <w:color w:val="auto"/>
                <w:szCs w:val="21"/>
                <w:highlight w:val="none"/>
              </w:rPr>
            </w:pPr>
          </w:p>
        </w:tc>
      </w:tr>
      <w:tr w14:paraId="4FD3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noWrap w:val="0"/>
            <w:vAlign w:val="center"/>
          </w:tcPr>
          <w:p w14:paraId="511B981E">
            <w:pPr>
              <w:spacing w:line="360" w:lineRule="auto"/>
              <w:rPr>
                <w:rFonts w:ascii="宋体" w:hAnsi="宋体"/>
                <w:color w:val="auto"/>
                <w:szCs w:val="21"/>
                <w:highlight w:val="none"/>
              </w:rPr>
            </w:pPr>
            <w:r>
              <w:rPr>
                <w:rFonts w:hint="eastAsia" w:ascii="宋体" w:hAnsi="宋体"/>
                <w:b/>
                <w:color w:val="auto"/>
                <w:szCs w:val="21"/>
                <w:highlight w:val="none"/>
              </w:rPr>
              <w:t>特定资格条件</w:t>
            </w:r>
          </w:p>
        </w:tc>
      </w:tr>
      <w:tr w14:paraId="42C0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noWrap w:val="0"/>
            <w:vAlign w:val="center"/>
          </w:tcPr>
          <w:p w14:paraId="007AB1D2">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5447" w:type="dxa"/>
            <w:noWrap w:val="0"/>
            <w:vAlign w:val="center"/>
          </w:tcPr>
          <w:p w14:paraId="1C2A81CD">
            <w:pPr>
              <w:spacing w:line="360" w:lineRule="auto"/>
              <w:rPr>
                <w:rFonts w:cs="Calibri"/>
                <w:i/>
                <w:iCs/>
                <w:color w:val="auto"/>
                <w:szCs w:val="21"/>
                <w:u w:val="single"/>
              </w:rPr>
            </w:pPr>
            <w:r>
              <w:rPr>
                <w:rFonts w:hint="eastAsia" w:ascii="宋体" w:hAnsi="宋体" w:cs="宋体"/>
                <w:i/>
                <w:iCs/>
                <w:color w:val="auto"/>
                <w:szCs w:val="21"/>
                <w:u w:val="single"/>
                <w:shd w:val="clear" w:color="auto" w:fill="FFFFFF"/>
                <w:lang w:val="en-US" w:eastAsia="zh-CN" w:bidi="ar"/>
              </w:rPr>
              <w:t>8</w:t>
            </w:r>
            <w:r>
              <w:rPr>
                <w:rFonts w:hint="eastAsia" w:ascii="宋体" w:hAnsi="宋体" w:cs="宋体"/>
                <w:i/>
                <w:iCs/>
                <w:color w:val="auto"/>
                <w:szCs w:val="21"/>
                <w:u w:val="single"/>
                <w:shd w:val="clear" w:color="auto" w:fill="FFFFFF"/>
                <w:lang w:bidi="ar"/>
              </w:rPr>
              <w:t>.1 投标人具有经营保险业务许可证</w:t>
            </w:r>
            <w:r>
              <w:rPr>
                <w:rFonts w:hint="eastAsia" w:ascii="宋体" w:hAnsi="宋体" w:cs="宋体"/>
                <w:b/>
                <w:i/>
                <w:iCs/>
                <w:color w:val="auto"/>
                <w:szCs w:val="21"/>
                <w:u w:val="single"/>
                <w:shd w:val="clear" w:color="auto" w:fill="FFFFFF"/>
                <w:lang w:bidi="ar"/>
              </w:rPr>
              <w:t>（复印件加盖投标人公章）</w:t>
            </w:r>
          </w:p>
          <w:p w14:paraId="595856F7">
            <w:pPr>
              <w:spacing w:line="360" w:lineRule="auto"/>
              <w:rPr>
                <w:rFonts w:cs="Calibri"/>
                <w:i/>
                <w:iCs/>
                <w:color w:val="auto"/>
                <w:szCs w:val="21"/>
                <w:u w:val="single"/>
              </w:rPr>
            </w:pPr>
            <w:r>
              <w:rPr>
                <w:rFonts w:hint="eastAsia" w:ascii="宋体" w:hAnsi="宋体" w:cs="宋体"/>
                <w:i/>
                <w:iCs/>
                <w:color w:val="auto"/>
                <w:szCs w:val="21"/>
                <w:u w:val="single"/>
                <w:shd w:val="clear" w:color="auto" w:fill="FFFFFF"/>
                <w:lang w:val="en-US" w:eastAsia="zh-CN" w:bidi="ar"/>
              </w:rPr>
              <w:t>8</w:t>
            </w:r>
            <w:r>
              <w:rPr>
                <w:rFonts w:hint="eastAsia" w:ascii="宋体" w:hAnsi="宋体" w:cs="宋体"/>
                <w:i/>
                <w:iCs/>
                <w:color w:val="auto"/>
                <w:szCs w:val="21"/>
                <w:u w:val="single"/>
                <w:shd w:val="clear" w:color="auto" w:fill="FFFFFF"/>
                <w:lang w:bidi="ar"/>
              </w:rPr>
              <w:t xml:space="preserve">.2 </w:t>
            </w:r>
            <w:r>
              <w:rPr>
                <w:rFonts w:hint="eastAsia" w:ascii="宋体" w:hAnsi="宋体" w:cs="宋体"/>
                <w:i/>
                <w:iCs/>
                <w:color w:val="auto"/>
                <w:szCs w:val="21"/>
                <w:highlight w:val="none"/>
                <w:u w:val="single"/>
                <w:shd w:val="clear" w:color="auto" w:fill="FFFFFF"/>
                <w:lang w:bidi="ar"/>
              </w:rPr>
              <w:t>投标人具有经过国家金融监督管理总局(原中国银行保险监督管理委员会)备案的医疗责任保险条款</w:t>
            </w:r>
            <w:r>
              <w:rPr>
                <w:rFonts w:hint="eastAsia" w:ascii="宋体" w:hAnsi="宋体" w:cs="宋体"/>
                <w:b/>
                <w:i/>
                <w:iCs/>
                <w:color w:val="auto"/>
                <w:szCs w:val="21"/>
                <w:highlight w:val="none"/>
                <w:u w:val="single"/>
                <w:shd w:val="clear" w:color="auto" w:fill="FFFFFF"/>
                <w:lang w:bidi="ar"/>
              </w:rPr>
              <w:t>（</w:t>
            </w:r>
            <w:r>
              <w:rPr>
                <w:rFonts w:hint="eastAsia" w:ascii="宋体" w:hAnsi="宋体" w:cs="宋体"/>
                <w:b/>
                <w:i/>
                <w:iCs/>
                <w:color w:val="auto"/>
                <w:szCs w:val="21"/>
                <w:u w:val="single"/>
                <w:shd w:val="clear" w:color="auto" w:fill="FFFFFF"/>
                <w:lang w:bidi="ar"/>
              </w:rPr>
              <w:t>复印件加盖投标人公章）</w:t>
            </w:r>
          </w:p>
          <w:p w14:paraId="54E94569">
            <w:pPr>
              <w:pStyle w:val="289"/>
              <w:widowControl/>
              <w:spacing w:line="360" w:lineRule="auto"/>
              <w:ind w:left="0" w:firstLine="0"/>
              <w:rPr>
                <w:rFonts w:ascii="宋体" w:hAnsi="宋体" w:cs="宋体"/>
                <w:i/>
                <w:iCs/>
                <w:color w:val="auto"/>
                <w:u w:val="single"/>
                <w:shd w:val="clear" w:color="auto" w:fill="FFFFFF"/>
              </w:rPr>
            </w:pPr>
            <w:r>
              <w:rPr>
                <w:rFonts w:hint="eastAsia" w:ascii="宋体" w:hAnsi="宋体" w:cs="宋体"/>
                <w:i/>
                <w:iCs/>
                <w:color w:val="auto"/>
                <w:u w:val="single"/>
                <w:shd w:val="clear" w:color="auto" w:fill="FFFFFF"/>
                <w:lang w:val="en-US" w:eastAsia="zh-CN"/>
              </w:rPr>
              <w:t>8</w:t>
            </w:r>
            <w:r>
              <w:rPr>
                <w:rFonts w:hint="eastAsia" w:ascii="宋体" w:hAnsi="宋体" w:cs="宋体"/>
                <w:i/>
                <w:iCs/>
                <w:color w:val="auto"/>
                <w:u w:val="single"/>
                <w:shd w:val="clear" w:color="auto" w:fill="FFFFFF"/>
              </w:rPr>
              <w:t>.3 本项目仅接受具有独立法人资格的公司或其下属分公司/支公司参与投标</w:t>
            </w:r>
            <w:r>
              <w:rPr>
                <w:rFonts w:hint="eastAsia" w:ascii="宋体" w:hAnsi="宋体" w:cs="宋体"/>
                <w:b/>
                <w:i/>
                <w:iCs/>
                <w:color w:val="auto"/>
                <w:u w:val="single"/>
                <w:shd w:val="clear" w:color="auto" w:fill="FFFFFF"/>
              </w:rPr>
              <w:t>（总公司及其各分公司/支公司视为同一家公司，不得同时作为供应商参与本项目的投标，投标人需提供“自身是独立法人或是其总公司下属唯一参与本项目投标的分支机构，否则自动放弃投标资格”的承诺函，格式自拟，</w:t>
            </w:r>
            <w:r>
              <w:rPr>
                <w:rFonts w:hint="eastAsia" w:ascii="宋体" w:hAnsi="宋体" w:cs="宋体"/>
                <w:b/>
                <w:i/>
                <w:iCs/>
                <w:color w:val="auto"/>
                <w:u w:val="single"/>
              </w:rPr>
              <w:t>原件</w:t>
            </w:r>
            <w:r>
              <w:rPr>
                <w:rFonts w:hint="eastAsia" w:ascii="宋体" w:hAnsi="宋体" w:cs="宋体"/>
                <w:b/>
                <w:i/>
                <w:iCs/>
                <w:color w:val="auto"/>
                <w:u w:val="single"/>
                <w:shd w:val="clear" w:color="auto" w:fill="FFFFFF"/>
              </w:rPr>
              <w:t>加盖投标人公章</w:t>
            </w:r>
            <w:r>
              <w:rPr>
                <w:rFonts w:hint="eastAsia" w:ascii="宋体" w:hAnsi="宋体" w:cs="宋体"/>
                <w:b/>
                <w:bCs/>
                <w:i/>
                <w:iCs/>
                <w:color w:val="auto"/>
                <w:u w:val="single"/>
                <w:shd w:val="clear" w:color="auto" w:fill="FFFFFF"/>
              </w:rPr>
              <w:t>）</w:t>
            </w:r>
          </w:p>
          <w:p w14:paraId="7FFC0E5C">
            <w:pPr>
              <w:tabs>
                <w:tab w:val="left" w:pos="735"/>
                <w:tab w:val="left" w:pos="1050"/>
                <w:tab w:val="left" w:pos="1080"/>
              </w:tabs>
              <w:spacing w:line="360" w:lineRule="auto"/>
              <w:rPr>
                <w:rFonts w:ascii="宋体" w:hAnsi="宋体"/>
                <w:iCs/>
                <w:color w:val="auto"/>
                <w:szCs w:val="21"/>
                <w:highlight w:val="none"/>
              </w:rPr>
            </w:pPr>
            <w:r>
              <w:rPr>
                <w:rFonts w:hint="eastAsia" w:cs="宋体"/>
                <w:b/>
                <w:color w:val="auto"/>
                <w:szCs w:val="21"/>
                <w:lang w:bidi="ar"/>
              </w:rPr>
              <w:t>注：银行、保险、石油石化、电力、电信等因有行业特殊情况，可以分支机构身份参加采购。本文件中所需法定代表人相关材料、盖章及签字等可用分支机构负责人的相应材料代替</w:t>
            </w:r>
            <w:r>
              <w:rPr>
                <w:rFonts w:hint="eastAsia" w:ascii="宋体" w:hAnsi="宋体" w:cs="宋体"/>
                <w:b/>
                <w:color w:val="auto"/>
                <w:szCs w:val="21"/>
                <w:lang w:bidi="ar"/>
              </w:rPr>
              <w:t>。</w:t>
            </w:r>
          </w:p>
        </w:tc>
        <w:tc>
          <w:tcPr>
            <w:tcW w:w="2158" w:type="dxa"/>
            <w:noWrap w:val="0"/>
            <w:vAlign w:val="center"/>
          </w:tcPr>
          <w:p w14:paraId="3C4FFE02">
            <w:pPr>
              <w:rPr>
                <w:rFonts w:ascii="宋体" w:hAnsi="宋体"/>
                <w:color w:val="auto"/>
                <w:szCs w:val="21"/>
                <w:highlight w:val="none"/>
              </w:rPr>
            </w:pPr>
          </w:p>
        </w:tc>
      </w:tr>
      <w:tr w14:paraId="42D0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noWrap w:val="0"/>
            <w:vAlign w:val="center"/>
          </w:tcPr>
          <w:p w14:paraId="57346882">
            <w:pPr>
              <w:rPr>
                <w:rFonts w:ascii="宋体" w:hAnsi="宋体"/>
                <w:color w:val="auto"/>
                <w:szCs w:val="21"/>
                <w:highlight w:val="none"/>
              </w:rPr>
            </w:pPr>
            <w:r>
              <w:rPr>
                <w:rFonts w:hint="eastAsia" w:ascii="宋体" w:hAnsi="宋体"/>
                <w:b/>
                <w:color w:val="auto"/>
                <w:szCs w:val="21"/>
                <w:highlight w:val="none"/>
              </w:rPr>
              <w:t>其他资格条件</w:t>
            </w:r>
          </w:p>
        </w:tc>
      </w:tr>
      <w:tr w14:paraId="3F77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09D17D72">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5447" w:type="dxa"/>
            <w:noWrap w:val="0"/>
            <w:vAlign w:val="center"/>
          </w:tcPr>
          <w:p w14:paraId="6FA9E081">
            <w:pPr>
              <w:spacing w:line="0" w:lineRule="atLeast"/>
              <w:jc w:val="left"/>
              <w:rPr>
                <w:rFonts w:hint="eastAsia" w:ascii="宋体" w:hAnsi="宋体" w:eastAsia="宋体"/>
                <w:i/>
                <w:iCs/>
                <w:color w:val="auto"/>
                <w:szCs w:val="21"/>
                <w:highlight w:val="none"/>
                <w:u w:val="single"/>
                <w:lang w:val="en-US" w:eastAsia="zh-CN"/>
              </w:rPr>
            </w:pPr>
            <w:r>
              <w:rPr>
                <w:rFonts w:hint="eastAsia" w:ascii="宋体" w:hAnsi="宋体"/>
                <w:i/>
                <w:iCs/>
                <w:color w:val="auto"/>
                <w:szCs w:val="21"/>
                <w:highlight w:val="none"/>
                <w:u w:val="single"/>
                <w:lang w:val="en-US" w:eastAsia="zh-CN"/>
              </w:rPr>
              <w:t>投标函</w:t>
            </w:r>
            <w:r>
              <w:rPr>
                <w:rFonts w:hint="eastAsia" w:ascii="宋体" w:hAnsi="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原件加盖投标人公章</w:t>
            </w:r>
            <w:r>
              <w:rPr>
                <w:rFonts w:hint="eastAsia" w:ascii="宋体" w:hAnsi="宋体"/>
                <w:b/>
                <w:bCs/>
                <w:i/>
                <w:iCs/>
                <w:color w:val="auto"/>
                <w:szCs w:val="21"/>
                <w:highlight w:val="none"/>
                <w:u w:val="single"/>
                <w:lang w:eastAsia="zh-CN"/>
              </w:rPr>
              <w:t>）</w:t>
            </w:r>
          </w:p>
        </w:tc>
        <w:tc>
          <w:tcPr>
            <w:tcW w:w="2158" w:type="dxa"/>
            <w:noWrap w:val="0"/>
            <w:vAlign w:val="center"/>
          </w:tcPr>
          <w:p w14:paraId="5C04D81F">
            <w:pPr>
              <w:rPr>
                <w:rFonts w:ascii="宋体" w:hAnsi="宋体"/>
                <w:color w:val="auto"/>
                <w:szCs w:val="21"/>
                <w:highlight w:val="none"/>
              </w:rPr>
            </w:pPr>
          </w:p>
        </w:tc>
      </w:tr>
      <w:tr w14:paraId="4521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0C0FADC8">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5447" w:type="dxa"/>
            <w:noWrap w:val="0"/>
            <w:vAlign w:val="center"/>
          </w:tcPr>
          <w:p w14:paraId="5A54A66E">
            <w:pPr>
              <w:spacing w:line="0" w:lineRule="atLeast"/>
              <w:jc w:val="left"/>
              <w:rPr>
                <w:rFonts w:hint="eastAsia" w:ascii="宋体" w:hAnsi="宋体" w:eastAsia="宋体"/>
                <w:i/>
                <w:iCs/>
                <w:color w:val="auto"/>
                <w:szCs w:val="21"/>
                <w:highlight w:val="none"/>
                <w:u w:val="single"/>
                <w:lang w:eastAsia="zh-CN"/>
              </w:rPr>
            </w:pPr>
            <w:r>
              <w:rPr>
                <w:rFonts w:hint="eastAsia" w:ascii="宋体" w:hAnsi="宋体"/>
                <w:i/>
                <w:iCs/>
                <w:color w:val="auto"/>
                <w:szCs w:val="21"/>
                <w:highlight w:val="none"/>
                <w:u w:val="single"/>
              </w:rPr>
              <w:t>法人授权书</w:t>
            </w:r>
            <w:r>
              <w:rPr>
                <w:rFonts w:hint="eastAsia" w:ascii="宋体" w:hAnsi="宋体"/>
                <w:b/>
                <w:bCs/>
                <w:i/>
                <w:iCs/>
                <w:color w:val="auto"/>
                <w:szCs w:val="21"/>
                <w:highlight w:val="none"/>
                <w:u w:val="single"/>
                <w:lang w:eastAsia="zh-CN"/>
              </w:rPr>
              <w:t>（</w:t>
            </w:r>
            <w:r>
              <w:rPr>
                <w:rFonts w:hint="eastAsia" w:ascii="宋体" w:hAnsi="宋体" w:cs="宋体"/>
                <w:b/>
                <w:bCs/>
                <w:i/>
                <w:iCs/>
                <w:color w:val="auto"/>
                <w:szCs w:val="21"/>
                <w:highlight w:val="none"/>
                <w:u w:val="single"/>
                <w:lang w:val="en-US" w:eastAsia="zh-CN"/>
              </w:rPr>
              <w:t>原件加盖投标人公章</w:t>
            </w:r>
            <w:r>
              <w:rPr>
                <w:rFonts w:hint="eastAsia" w:ascii="宋体" w:hAnsi="宋体"/>
                <w:b/>
                <w:bCs/>
                <w:i/>
                <w:iCs/>
                <w:color w:val="auto"/>
                <w:szCs w:val="21"/>
                <w:highlight w:val="none"/>
                <w:u w:val="single"/>
                <w:lang w:eastAsia="zh-CN"/>
              </w:rPr>
              <w:t>）</w:t>
            </w:r>
          </w:p>
        </w:tc>
        <w:tc>
          <w:tcPr>
            <w:tcW w:w="2158" w:type="dxa"/>
            <w:noWrap w:val="0"/>
            <w:vAlign w:val="center"/>
          </w:tcPr>
          <w:p w14:paraId="1ECDE423">
            <w:pPr>
              <w:rPr>
                <w:rFonts w:ascii="宋体" w:hAnsi="宋体"/>
                <w:color w:val="auto"/>
                <w:szCs w:val="21"/>
                <w:highlight w:val="none"/>
              </w:rPr>
            </w:pPr>
          </w:p>
        </w:tc>
      </w:tr>
    </w:tbl>
    <w:p w14:paraId="4E55DFA4">
      <w:pPr>
        <w:spacing w:before="50" w:after="50"/>
        <w:rPr>
          <w:rFonts w:ascii="黑体" w:eastAsia="黑体"/>
          <w:color w:val="auto"/>
          <w:szCs w:val="21"/>
          <w:highlight w:val="none"/>
        </w:rPr>
      </w:pPr>
    </w:p>
    <w:p w14:paraId="34F930DB">
      <w:pPr>
        <w:spacing w:line="360" w:lineRule="auto"/>
        <w:jc w:val="center"/>
        <w:rPr>
          <w:rFonts w:ascii="宋体" w:hAnsi="宋体"/>
          <w:b/>
          <w:color w:val="auto"/>
          <w:szCs w:val="21"/>
          <w:highlight w:val="none"/>
        </w:rPr>
      </w:pPr>
    </w:p>
    <w:p w14:paraId="549D23FB">
      <w:pPr>
        <w:pStyle w:val="3"/>
        <w:rPr>
          <w:rFonts w:hint="eastAsia" w:ascii="宋体" w:hAnsi="宋体"/>
          <w:b w:val="0"/>
          <w:color w:val="auto"/>
          <w:szCs w:val="21"/>
          <w:highlight w:val="none"/>
          <w:lang w:eastAsia="zh-CN"/>
        </w:rPr>
        <w:sectPr>
          <w:pgSz w:w="11906" w:h="16838"/>
          <w:pgMar w:top="1440" w:right="1800" w:bottom="1440" w:left="1800" w:header="851" w:footer="992" w:gutter="0"/>
          <w:cols w:space="720" w:num="1"/>
          <w:docGrid w:linePitch="360" w:charSpace="0"/>
        </w:sectPr>
      </w:pPr>
    </w:p>
    <w:p w14:paraId="77DA6A31">
      <w:pPr>
        <w:pStyle w:val="3"/>
        <w:numPr>
          <w:ilvl w:val="0"/>
          <w:numId w:val="0"/>
        </w:numPr>
        <w:ind w:left="851" w:hanging="567"/>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符合性审查响应对照表</w:t>
      </w:r>
    </w:p>
    <w:p w14:paraId="2B2BFBAB">
      <w:pPr>
        <w:rPr>
          <w:rFonts w:ascii="宋体" w:hAnsi="宋体"/>
          <w:b/>
          <w:color w:val="auto"/>
          <w:sz w:val="32"/>
          <w:szCs w:val="32"/>
          <w:highlight w:val="none"/>
        </w:rPr>
      </w:pPr>
    </w:p>
    <w:tbl>
      <w:tblPr>
        <w:tblStyle w:val="42"/>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5CED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277CDB3D">
            <w:pPr>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序号</w:t>
            </w:r>
          </w:p>
        </w:tc>
        <w:tc>
          <w:tcPr>
            <w:tcW w:w="5447" w:type="dxa"/>
            <w:noWrap w:val="0"/>
            <w:vAlign w:val="center"/>
          </w:tcPr>
          <w:p w14:paraId="54C38249">
            <w:pPr>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符合性审查响应内容</w:t>
            </w:r>
          </w:p>
        </w:tc>
        <w:tc>
          <w:tcPr>
            <w:tcW w:w="1680" w:type="dxa"/>
            <w:noWrap w:val="0"/>
            <w:vAlign w:val="center"/>
          </w:tcPr>
          <w:p w14:paraId="7A232530">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684BF20">
            <w:pPr>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（填是或者否）</w:t>
            </w:r>
          </w:p>
        </w:tc>
        <w:tc>
          <w:tcPr>
            <w:tcW w:w="1308" w:type="dxa"/>
            <w:noWrap w:val="0"/>
            <w:vAlign w:val="center"/>
          </w:tcPr>
          <w:p w14:paraId="798AF212">
            <w:pPr>
              <w:spacing w:line="240" w:lineRule="atLeast"/>
              <w:jc w:val="center"/>
              <w:rPr>
                <w:rFonts w:ascii="幼圆" w:eastAsia="幼圆"/>
                <w:b/>
                <w:color w:val="auto"/>
                <w:szCs w:val="21"/>
                <w:highlight w:val="none"/>
              </w:rPr>
            </w:pPr>
            <w:r>
              <w:rPr>
                <w:rFonts w:hint="eastAsia" w:ascii="宋体" w:hAnsi="宋体" w:cs="宋体"/>
                <w:b/>
                <w:color w:val="auto"/>
                <w:szCs w:val="21"/>
                <w:highlight w:val="none"/>
              </w:rPr>
              <w:t>响应情况</w:t>
            </w:r>
          </w:p>
        </w:tc>
      </w:tr>
      <w:tr w14:paraId="3EB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3505017">
            <w:pPr>
              <w:jc w:val="center"/>
              <w:rPr>
                <w:rFonts w:ascii="宋体" w:hAnsi="宋体"/>
                <w:b/>
                <w:color w:val="auto"/>
                <w:szCs w:val="21"/>
                <w:highlight w:val="none"/>
              </w:rPr>
            </w:pPr>
            <w:r>
              <w:rPr>
                <w:rFonts w:hint="eastAsia" w:ascii="宋体" w:hAnsi="宋体"/>
                <w:b w:val="0"/>
                <w:bCs/>
                <w:color w:val="auto"/>
                <w:szCs w:val="21"/>
                <w:highlight w:val="none"/>
              </w:rPr>
              <w:t>1</w:t>
            </w:r>
          </w:p>
        </w:tc>
        <w:tc>
          <w:tcPr>
            <w:tcW w:w="5447" w:type="dxa"/>
            <w:noWrap w:val="0"/>
            <w:vAlign w:val="center"/>
          </w:tcPr>
          <w:p w14:paraId="30828EE0">
            <w:pPr>
              <w:spacing w:line="0" w:lineRule="atLeast"/>
              <w:rPr>
                <w:rFonts w:ascii="宋体" w:hAnsi="宋体"/>
                <w:iCs/>
                <w:color w:val="auto"/>
                <w:szCs w:val="21"/>
                <w:highlight w:val="none"/>
              </w:rPr>
            </w:pPr>
            <w:r>
              <w:rPr>
                <w:rFonts w:hint="eastAsia" w:ascii="宋体" w:hAnsi="宋体"/>
                <w:iCs/>
                <w:color w:val="auto"/>
                <w:szCs w:val="21"/>
                <w:highlight w:val="none"/>
              </w:rPr>
              <w:t>采购需求中必须满足的实质性要求（即加斜体下划线内容，每条详细列出）</w:t>
            </w:r>
          </w:p>
        </w:tc>
        <w:tc>
          <w:tcPr>
            <w:tcW w:w="1680" w:type="dxa"/>
            <w:noWrap w:val="0"/>
            <w:vAlign w:val="center"/>
          </w:tcPr>
          <w:p w14:paraId="7547D63A">
            <w:pPr>
              <w:rPr>
                <w:rFonts w:ascii="宋体" w:hAnsi="宋体"/>
                <w:b/>
                <w:color w:val="auto"/>
                <w:szCs w:val="21"/>
                <w:highlight w:val="none"/>
              </w:rPr>
            </w:pPr>
          </w:p>
        </w:tc>
        <w:tc>
          <w:tcPr>
            <w:tcW w:w="1308" w:type="dxa"/>
            <w:noWrap w:val="0"/>
            <w:vAlign w:val="center"/>
          </w:tcPr>
          <w:p w14:paraId="217ABD76">
            <w:pPr>
              <w:rPr>
                <w:rFonts w:ascii="宋体" w:hAnsi="宋体"/>
                <w:b/>
                <w:color w:val="auto"/>
                <w:szCs w:val="21"/>
                <w:highlight w:val="none"/>
              </w:rPr>
            </w:pPr>
          </w:p>
        </w:tc>
      </w:tr>
      <w:tr w14:paraId="6D39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3D44859">
            <w:pPr>
              <w:jc w:val="center"/>
              <w:rPr>
                <w:rFonts w:ascii="宋体" w:hAnsi="宋体"/>
                <w:color w:val="auto"/>
                <w:szCs w:val="21"/>
                <w:highlight w:val="none"/>
              </w:rPr>
            </w:pPr>
            <w:r>
              <w:rPr>
                <w:rFonts w:hint="eastAsia" w:ascii="宋体" w:hAnsi="宋体"/>
                <w:color w:val="auto"/>
                <w:szCs w:val="21"/>
                <w:highlight w:val="none"/>
              </w:rPr>
              <w:t>2</w:t>
            </w:r>
          </w:p>
        </w:tc>
        <w:tc>
          <w:tcPr>
            <w:tcW w:w="5447" w:type="dxa"/>
            <w:noWrap w:val="0"/>
            <w:vAlign w:val="center"/>
          </w:tcPr>
          <w:p w14:paraId="6AF32B3C">
            <w:pPr>
              <w:spacing w:line="0" w:lineRule="atLeast"/>
              <w:rPr>
                <w:rFonts w:ascii="宋体" w:hAnsi="宋体"/>
                <w:iCs/>
                <w:color w:val="auto"/>
                <w:szCs w:val="21"/>
                <w:highlight w:val="none"/>
              </w:rPr>
            </w:pPr>
          </w:p>
        </w:tc>
        <w:tc>
          <w:tcPr>
            <w:tcW w:w="1680" w:type="dxa"/>
            <w:noWrap w:val="0"/>
            <w:vAlign w:val="center"/>
          </w:tcPr>
          <w:p w14:paraId="6F3582F1">
            <w:pPr>
              <w:rPr>
                <w:rFonts w:ascii="宋体" w:hAnsi="宋体"/>
                <w:color w:val="auto"/>
                <w:szCs w:val="21"/>
                <w:highlight w:val="none"/>
              </w:rPr>
            </w:pPr>
          </w:p>
        </w:tc>
        <w:tc>
          <w:tcPr>
            <w:tcW w:w="1308" w:type="dxa"/>
            <w:noWrap w:val="0"/>
            <w:vAlign w:val="center"/>
          </w:tcPr>
          <w:p w14:paraId="08C08CFA">
            <w:pPr>
              <w:rPr>
                <w:rFonts w:ascii="宋体" w:hAnsi="宋体"/>
                <w:color w:val="auto"/>
                <w:szCs w:val="21"/>
                <w:highlight w:val="none"/>
              </w:rPr>
            </w:pPr>
          </w:p>
        </w:tc>
      </w:tr>
      <w:tr w14:paraId="70ED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646" w:type="dxa"/>
            <w:noWrap w:val="0"/>
            <w:vAlign w:val="center"/>
          </w:tcPr>
          <w:p w14:paraId="37999781">
            <w:pPr>
              <w:jc w:val="center"/>
              <w:rPr>
                <w:rFonts w:ascii="宋体" w:hAnsi="宋体"/>
                <w:color w:val="auto"/>
                <w:szCs w:val="21"/>
                <w:highlight w:val="none"/>
              </w:rPr>
            </w:pPr>
            <w:r>
              <w:rPr>
                <w:rFonts w:hint="eastAsia" w:ascii="宋体" w:hAnsi="宋体"/>
                <w:color w:val="auto"/>
                <w:szCs w:val="21"/>
                <w:highlight w:val="none"/>
              </w:rPr>
              <w:t>3</w:t>
            </w:r>
          </w:p>
        </w:tc>
        <w:tc>
          <w:tcPr>
            <w:tcW w:w="5447" w:type="dxa"/>
            <w:noWrap w:val="0"/>
            <w:vAlign w:val="center"/>
          </w:tcPr>
          <w:p w14:paraId="725B8D0A">
            <w:pPr>
              <w:spacing w:line="0" w:lineRule="atLeast"/>
              <w:rPr>
                <w:rFonts w:ascii="宋体" w:hAnsi="宋体"/>
                <w:iCs/>
                <w:color w:val="auto"/>
                <w:szCs w:val="21"/>
                <w:highlight w:val="none"/>
              </w:rPr>
            </w:pPr>
          </w:p>
        </w:tc>
        <w:tc>
          <w:tcPr>
            <w:tcW w:w="1680" w:type="dxa"/>
            <w:noWrap w:val="0"/>
            <w:vAlign w:val="center"/>
          </w:tcPr>
          <w:p w14:paraId="5F46C349">
            <w:pPr>
              <w:rPr>
                <w:rFonts w:ascii="宋体" w:hAnsi="宋体"/>
                <w:color w:val="auto"/>
                <w:szCs w:val="21"/>
                <w:highlight w:val="none"/>
              </w:rPr>
            </w:pPr>
          </w:p>
        </w:tc>
        <w:tc>
          <w:tcPr>
            <w:tcW w:w="1308" w:type="dxa"/>
            <w:noWrap w:val="0"/>
            <w:vAlign w:val="center"/>
          </w:tcPr>
          <w:p w14:paraId="273163D7">
            <w:pPr>
              <w:rPr>
                <w:rFonts w:ascii="宋体" w:hAnsi="宋体"/>
                <w:color w:val="auto"/>
                <w:szCs w:val="21"/>
                <w:highlight w:val="none"/>
              </w:rPr>
            </w:pPr>
          </w:p>
        </w:tc>
      </w:tr>
      <w:tr w14:paraId="1C92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0C0A860F">
            <w:pPr>
              <w:jc w:val="center"/>
              <w:rPr>
                <w:rFonts w:ascii="宋体" w:hAnsi="宋体"/>
                <w:color w:val="auto"/>
                <w:szCs w:val="21"/>
                <w:highlight w:val="none"/>
              </w:rPr>
            </w:pPr>
            <w:r>
              <w:rPr>
                <w:rFonts w:hint="eastAsia" w:ascii="宋体" w:hAnsi="宋体"/>
                <w:color w:val="auto"/>
                <w:szCs w:val="21"/>
                <w:highlight w:val="none"/>
              </w:rPr>
              <w:t>4</w:t>
            </w:r>
          </w:p>
        </w:tc>
        <w:tc>
          <w:tcPr>
            <w:tcW w:w="5447" w:type="dxa"/>
            <w:noWrap w:val="0"/>
            <w:vAlign w:val="center"/>
          </w:tcPr>
          <w:p w14:paraId="6CF35C32">
            <w:pPr>
              <w:spacing w:line="0" w:lineRule="atLeast"/>
              <w:rPr>
                <w:rFonts w:ascii="宋体" w:hAnsi="宋体"/>
                <w:iCs/>
                <w:color w:val="auto"/>
                <w:szCs w:val="21"/>
                <w:highlight w:val="none"/>
              </w:rPr>
            </w:pPr>
          </w:p>
        </w:tc>
        <w:tc>
          <w:tcPr>
            <w:tcW w:w="1680" w:type="dxa"/>
            <w:noWrap w:val="0"/>
            <w:vAlign w:val="center"/>
          </w:tcPr>
          <w:p w14:paraId="3A7901FC">
            <w:pPr>
              <w:rPr>
                <w:rFonts w:ascii="宋体" w:hAnsi="宋体"/>
                <w:color w:val="auto"/>
                <w:szCs w:val="21"/>
                <w:highlight w:val="none"/>
              </w:rPr>
            </w:pPr>
          </w:p>
        </w:tc>
        <w:tc>
          <w:tcPr>
            <w:tcW w:w="1308" w:type="dxa"/>
            <w:noWrap w:val="0"/>
            <w:vAlign w:val="center"/>
          </w:tcPr>
          <w:p w14:paraId="1444ABC1">
            <w:pPr>
              <w:rPr>
                <w:rFonts w:ascii="宋体" w:hAnsi="宋体"/>
                <w:color w:val="auto"/>
                <w:szCs w:val="21"/>
                <w:highlight w:val="none"/>
              </w:rPr>
            </w:pPr>
          </w:p>
        </w:tc>
      </w:tr>
      <w:tr w14:paraId="36F2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3B133F13">
            <w:pPr>
              <w:jc w:val="center"/>
              <w:rPr>
                <w:rFonts w:ascii="宋体" w:hAnsi="宋体"/>
                <w:color w:val="auto"/>
                <w:szCs w:val="21"/>
                <w:highlight w:val="none"/>
              </w:rPr>
            </w:pPr>
            <w:r>
              <w:rPr>
                <w:rFonts w:hint="eastAsia" w:ascii="宋体" w:hAnsi="宋体"/>
                <w:color w:val="auto"/>
                <w:szCs w:val="21"/>
                <w:highlight w:val="none"/>
              </w:rPr>
              <w:t>5</w:t>
            </w:r>
          </w:p>
        </w:tc>
        <w:tc>
          <w:tcPr>
            <w:tcW w:w="5447" w:type="dxa"/>
            <w:noWrap w:val="0"/>
            <w:vAlign w:val="center"/>
          </w:tcPr>
          <w:p w14:paraId="08666AD3">
            <w:pPr>
              <w:spacing w:line="0" w:lineRule="atLeast"/>
              <w:rPr>
                <w:rFonts w:ascii="宋体" w:hAnsi="宋体"/>
                <w:iCs/>
                <w:color w:val="auto"/>
                <w:szCs w:val="21"/>
                <w:highlight w:val="none"/>
              </w:rPr>
            </w:pPr>
            <w:r>
              <w:rPr>
                <w:rFonts w:ascii="宋体" w:hAnsi="宋体"/>
                <w:iCs/>
                <w:color w:val="auto"/>
                <w:szCs w:val="21"/>
                <w:highlight w:val="none"/>
              </w:rPr>
              <w:t>……</w:t>
            </w:r>
          </w:p>
        </w:tc>
        <w:tc>
          <w:tcPr>
            <w:tcW w:w="1680" w:type="dxa"/>
            <w:noWrap w:val="0"/>
            <w:vAlign w:val="center"/>
          </w:tcPr>
          <w:p w14:paraId="7F28E45D">
            <w:pPr>
              <w:rPr>
                <w:rFonts w:ascii="宋体" w:hAnsi="宋体"/>
                <w:color w:val="auto"/>
                <w:szCs w:val="21"/>
                <w:highlight w:val="none"/>
              </w:rPr>
            </w:pPr>
          </w:p>
        </w:tc>
        <w:tc>
          <w:tcPr>
            <w:tcW w:w="1308" w:type="dxa"/>
            <w:noWrap w:val="0"/>
            <w:vAlign w:val="center"/>
          </w:tcPr>
          <w:p w14:paraId="5969D048">
            <w:pPr>
              <w:rPr>
                <w:rFonts w:ascii="宋体" w:hAnsi="宋体"/>
                <w:color w:val="auto"/>
                <w:szCs w:val="21"/>
                <w:highlight w:val="none"/>
              </w:rPr>
            </w:pPr>
          </w:p>
        </w:tc>
      </w:tr>
    </w:tbl>
    <w:p w14:paraId="5164D955">
      <w:pPr>
        <w:spacing w:before="50" w:after="50"/>
        <w:rPr>
          <w:rFonts w:ascii="黑体" w:hAnsi="Tahoma" w:eastAsia="黑体"/>
          <w:color w:val="auto"/>
          <w:sz w:val="22"/>
          <w:szCs w:val="21"/>
          <w:highlight w:val="none"/>
        </w:rPr>
      </w:pPr>
    </w:p>
    <w:p w14:paraId="0B774232">
      <w:pPr>
        <w:spacing w:before="50" w:after="50"/>
        <w:rPr>
          <w:rFonts w:ascii="黑体" w:eastAsia="黑体"/>
          <w:color w:val="auto"/>
          <w:szCs w:val="21"/>
          <w:highlight w:val="none"/>
        </w:rPr>
      </w:pPr>
    </w:p>
    <w:p w14:paraId="006FDC26">
      <w:pPr>
        <w:spacing w:before="50" w:after="50"/>
        <w:rPr>
          <w:rFonts w:ascii="黑体" w:eastAsia="黑体"/>
          <w:color w:val="auto"/>
          <w:szCs w:val="21"/>
          <w:highlight w:val="none"/>
        </w:rPr>
      </w:pPr>
    </w:p>
    <w:p w14:paraId="39D1A0CD">
      <w:pPr>
        <w:spacing w:before="50" w:after="50"/>
        <w:rPr>
          <w:rFonts w:ascii="黑体" w:eastAsia="黑体"/>
          <w:color w:val="auto"/>
          <w:szCs w:val="21"/>
          <w:highlight w:val="none"/>
        </w:rPr>
      </w:pPr>
    </w:p>
    <w:p w14:paraId="10774B00">
      <w:pPr>
        <w:spacing w:before="50" w:after="50"/>
        <w:rPr>
          <w:rFonts w:ascii="黑体" w:eastAsia="黑体"/>
          <w:color w:val="auto"/>
          <w:szCs w:val="21"/>
          <w:highlight w:val="none"/>
        </w:rPr>
      </w:pPr>
    </w:p>
    <w:p w14:paraId="2B837239">
      <w:pPr>
        <w:spacing w:before="50" w:after="50"/>
        <w:rPr>
          <w:rFonts w:ascii="黑体" w:eastAsia="黑体"/>
          <w:color w:val="auto"/>
          <w:szCs w:val="21"/>
          <w:highlight w:val="none"/>
        </w:rPr>
      </w:pPr>
    </w:p>
    <w:p w14:paraId="1A25A0C8">
      <w:pPr>
        <w:spacing w:before="50" w:after="50"/>
        <w:rPr>
          <w:rFonts w:ascii="黑体" w:eastAsia="黑体"/>
          <w:color w:val="auto"/>
          <w:szCs w:val="21"/>
          <w:highlight w:val="none"/>
        </w:rPr>
      </w:pPr>
    </w:p>
    <w:p w14:paraId="597F4602">
      <w:pPr>
        <w:spacing w:before="50" w:after="50"/>
        <w:rPr>
          <w:rFonts w:ascii="黑体" w:eastAsia="黑体"/>
          <w:color w:val="auto"/>
          <w:szCs w:val="21"/>
          <w:highlight w:val="none"/>
        </w:rPr>
      </w:pPr>
    </w:p>
    <w:p w14:paraId="4F923C78">
      <w:pPr>
        <w:spacing w:before="50" w:after="50"/>
        <w:rPr>
          <w:rFonts w:ascii="黑体" w:eastAsia="黑体"/>
          <w:color w:val="auto"/>
          <w:szCs w:val="21"/>
          <w:highlight w:val="none"/>
        </w:rPr>
        <w:sectPr>
          <w:pgSz w:w="11906" w:h="16838"/>
          <w:pgMar w:top="1440" w:right="1800" w:bottom="1440" w:left="1800" w:header="851" w:footer="992" w:gutter="0"/>
          <w:cols w:space="720" w:num="1"/>
          <w:docGrid w:linePitch="360" w:charSpace="0"/>
        </w:sectPr>
      </w:pPr>
    </w:p>
    <w:p w14:paraId="5518D0F7">
      <w:pPr>
        <w:spacing w:line="360" w:lineRule="auto"/>
        <w:jc w:val="left"/>
        <w:rPr>
          <w:rFonts w:ascii="宋体" w:hAnsi="宋体"/>
          <w:b/>
          <w:bCs/>
          <w:color w:val="auto"/>
          <w:szCs w:val="21"/>
          <w:highlight w:val="none"/>
        </w:rPr>
      </w:pPr>
      <w:r>
        <w:rPr>
          <w:rFonts w:hint="eastAsia" w:ascii="宋体" w:hAnsi="宋体"/>
          <w:b/>
          <w:bCs/>
          <w:color w:val="auto"/>
          <w:sz w:val="21"/>
          <w:szCs w:val="21"/>
          <w:highlight w:val="none"/>
          <w:lang w:val="en-US" w:eastAsia="zh-CN"/>
        </w:rPr>
        <w:t>二、资信证明文件</w:t>
      </w:r>
      <w:r>
        <w:rPr>
          <w:rFonts w:hint="eastAsia" w:ascii="宋体" w:hAnsi="宋体"/>
          <w:b/>
          <w:bCs/>
          <w:color w:val="auto"/>
          <w:szCs w:val="21"/>
          <w:highlight w:val="none"/>
        </w:rPr>
        <w:t>：</w:t>
      </w:r>
    </w:p>
    <w:p w14:paraId="5944C7D1">
      <w:pPr>
        <w:spacing w:before="50" w:after="50"/>
        <w:rPr>
          <w:rFonts w:ascii="黑体" w:eastAsia="黑体"/>
          <w:color w:val="auto"/>
          <w:szCs w:val="21"/>
          <w:highlight w:val="none"/>
        </w:rPr>
      </w:pPr>
    </w:p>
    <w:p w14:paraId="7E86312F">
      <w:pPr>
        <w:spacing w:line="360" w:lineRule="auto"/>
        <w:jc w:val="center"/>
        <w:rPr>
          <w:rFonts w:ascii="宋体" w:hAnsi="宋体"/>
          <w:b/>
          <w:bCs/>
          <w:color w:val="auto"/>
          <w:szCs w:val="21"/>
          <w:highlight w:val="none"/>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投标函</w:t>
      </w:r>
    </w:p>
    <w:p w14:paraId="0A6FC8DC">
      <w:pPr>
        <w:pStyle w:val="270"/>
        <w:spacing w:before="0" w:after="0"/>
        <w:ind w:firstLine="0"/>
        <w:rPr>
          <w:rFonts w:ascii="宋体" w:hAnsi="宋体"/>
          <w:color w:val="auto"/>
          <w:sz w:val="21"/>
          <w:szCs w:val="21"/>
          <w:highlight w:val="none"/>
        </w:rPr>
      </w:pPr>
      <w:r>
        <w:rPr>
          <w:rFonts w:hint="eastAsia" w:ascii="宋体" w:hAnsi="宋体"/>
          <w:color w:val="auto"/>
          <w:sz w:val="21"/>
          <w:szCs w:val="21"/>
          <w:highlight w:val="none"/>
        </w:rPr>
        <w:t>致：江苏苏维工程管理有限公司</w:t>
      </w:r>
    </w:p>
    <w:p w14:paraId="08B7626A">
      <w:pPr>
        <w:pStyle w:val="270"/>
        <w:spacing w:before="0" w:after="0"/>
        <w:ind w:firstLine="420"/>
        <w:rPr>
          <w:rFonts w:ascii="宋体" w:hAnsi="宋体"/>
          <w:color w:val="auto"/>
          <w:sz w:val="21"/>
          <w:szCs w:val="21"/>
          <w:highlight w:val="none"/>
        </w:rPr>
      </w:pPr>
      <w:r>
        <w:rPr>
          <w:rFonts w:hint="eastAsia" w:ascii="宋体" w:hAnsi="宋体"/>
          <w:color w:val="auto"/>
          <w:sz w:val="21"/>
          <w:szCs w:val="21"/>
          <w:highlight w:val="none"/>
        </w:rPr>
        <w:t>根据贵方的</w:t>
      </w:r>
      <w:r>
        <w:rPr>
          <w:rFonts w:hint="eastAsia" w:ascii="宋体" w:hAnsi="宋体"/>
          <w:color w:val="auto"/>
          <w:sz w:val="21"/>
          <w:szCs w:val="21"/>
          <w:highlight w:val="none"/>
          <w:lang w:eastAsia="zh-CN"/>
        </w:rPr>
        <w:t>JSZC-320000-SWGC-G2025-0171-1号</w:t>
      </w:r>
      <w:r>
        <w:rPr>
          <w:rFonts w:hint="eastAsia" w:ascii="宋体" w:hAnsi="宋体"/>
          <w:color w:val="auto"/>
          <w:sz w:val="21"/>
          <w:szCs w:val="21"/>
          <w:highlight w:val="none"/>
        </w:rPr>
        <w:t>招标文件，正式授权下述签字人_________________(姓名)代表我方______________（投标人的名称），全权处理本次项目投标的有关事宜。</w:t>
      </w:r>
    </w:p>
    <w:p w14:paraId="60FD8922">
      <w:pPr>
        <w:pStyle w:val="270"/>
        <w:spacing w:before="0" w:after="0"/>
        <w:ind w:firstLine="420"/>
        <w:rPr>
          <w:rFonts w:ascii="宋体" w:hAnsi="宋体"/>
          <w:color w:val="auto"/>
          <w:sz w:val="21"/>
          <w:szCs w:val="21"/>
          <w:highlight w:val="none"/>
        </w:rPr>
      </w:pPr>
      <w:r>
        <w:rPr>
          <w:rFonts w:hint="eastAsia" w:ascii="宋体" w:hAnsi="宋体"/>
          <w:color w:val="auto"/>
          <w:sz w:val="21"/>
          <w:szCs w:val="21"/>
          <w:highlight w:val="none"/>
        </w:rPr>
        <w:t>据此函，__________签字人兹宣布同意如下：</w:t>
      </w:r>
    </w:p>
    <w:p w14:paraId="31EC56EA">
      <w:pPr>
        <w:pStyle w:val="270"/>
        <w:spacing w:before="0" w:after="0"/>
        <w:ind w:firstLine="420"/>
        <w:rPr>
          <w:rFonts w:ascii="宋体" w:hAnsi="宋体"/>
          <w:color w:val="auto"/>
          <w:sz w:val="21"/>
          <w:szCs w:val="21"/>
          <w:highlight w:val="none"/>
        </w:rPr>
      </w:pPr>
      <w:r>
        <w:rPr>
          <w:rFonts w:hint="eastAsia" w:ascii="宋体" w:hAnsi="宋体"/>
          <w:color w:val="auto"/>
          <w:sz w:val="21"/>
          <w:szCs w:val="21"/>
          <w:highlight w:val="none"/>
        </w:rPr>
        <w:t>1.按招标文件规定的各项要求，向买方提供所需货物与服务。</w:t>
      </w:r>
    </w:p>
    <w:p w14:paraId="26FF632C">
      <w:pPr>
        <w:pStyle w:val="270"/>
        <w:spacing w:before="0" w:after="0"/>
        <w:ind w:firstLine="420"/>
        <w:rPr>
          <w:rFonts w:ascii="宋体" w:hAnsi="宋体"/>
          <w:color w:val="auto"/>
          <w:sz w:val="21"/>
          <w:szCs w:val="21"/>
          <w:highlight w:val="none"/>
        </w:rPr>
      </w:pPr>
      <w:r>
        <w:rPr>
          <w:rFonts w:hint="eastAsia" w:ascii="宋体" w:hAnsi="宋体"/>
          <w:color w:val="auto"/>
          <w:sz w:val="21"/>
          <w:szCs w:val="21"/>
          <w:highlight w:val="none"/>
        </w:rPr>
        <w:t>2.我们完全理解贵方不一定将合同授予最低报价的投标人。</w:t>
      </w:r>
    </w:p>
    <w:p w14:paraId="47487A1E">
      <w:pPr>
        <w:pStyle w:val="270"/>
        <w:spacing w:before="0" w:after="0"/>
        <w:ind w:firstLine="420"/>
        <w:rPr>
          <w:rFonts w:ascii="宋体" w:hAnsi="宋体"/>
          <w:color w:val="auto"/>
          <w:sz w:val="21"/>
          <w:szCs w:val="21"/>
          <w:highlight w:val="none"/>
        </w:rPr>
      </w:pPr>
      <w:r>
        <w:rPr>
          <w:rFonts w:hint="eastAsia" w:ascii="宋体" w:hAnsi="宋体"/>
          <w:color w:val="auto"/>
          <w:sz w:val="21"/>
          <w:szCs w:val="21"/>
          <w:highlight w:val="none"/>
        </w:rPr>
        <w:t>3.我们已详细审核全部招标文件及其有效补充文件，我们知道必须放弃提出含糊不清或误解问题的权利。</w:t>
      </w:r>
    </w:p>
    <w:p w14:paraId="1CE0B7EB">
      <w:pPr>
        <w:pStyle w:val="270"/>
        <w:spacing w:before="0" w:after="0"/>
        <w:rPr>
          <w:rFonts w:ascii="宋体" w:hAnsi="宋体"/>
          <w:color w:val="auto"/>
          <w:sz w:val="21"/>
          <w:szCs w:val="21"/>
          <w:highlight w:val="none"/>
        </w:rPr>
      </w:pPr>
      <w:r>
        <w:rPr>
          <w:rFonts w:hint="eastAsia" w:ascii="宋体" w:hAnsi="宋体"/>
          <w:color w:val="auto"/>
          <w:sz w:val="21"/>
          <w:szCs w:val="21"/>
          <w:highlight w:val="none"/>
        </w:rPr>
        <w:t>4.我们同意从规定的开标日期起遵循本投标文件，并在规定的投标有效期期满之前均具有约束力。</w:t>
      </w:r>
    </w:p>
    <w:p w14:paraId="0E941F9A">
      <w:pPr>
        <w:pStyle w:val="270"/>
        <w:spacing w:before="0" w:after="0"/>
        <w:rPr>
          <w:rFonts w:ascii="宋体" w:hAnsi="宋体"/>
          <w:color w:val="auto"/>
          <w:sz w:val="21"/>
          <w:szCs w:val="21"/>
          <w:highlight w:val="none"/>
        </w:rPr>
      </w:pPr>
      <w:r>
        <w:rPr>
          <w:rFonts w:hint="eastAsia" w:ascii="宋体" w:hAnsi="宋体"/>
          <w:color w:val="auto"/>
          <w:sz w:val="21"/>
          <w:szCs w:val="21"/>
          <w:highlight w:val="none"/>
        </w:rPr>
        <w:t>5.同意向贵方提供贵方可能另外要求的与投标有关的任何证据或资料，并保证我方已提供和将要提供的文件是真实的、准确的。</w:t>
      </w:r>
    </w:p>
    <w:p w14:paraId="3328D510">
      <w:pPr>
        <w:pStyle w:val="270"/>
        <w:spacing w:before="0" w:after="0"/>
        <w:rPr>
          <w:rFonts w:ascii="宋体" w:hAnsi="宋体"/>
          <w:color w:val="auto"/>
          <w:sz w:val="21"/>
          <w:szCs w:val="21"/>
          <w:highlight w:val="none"/>
        </w:rPr>
      </w:pPr>
      <w:r>
        <w:rPr>
          <w:rFonts w:hint="eastAsia" w:ascii="宋体" w:hAnsi="宋体"/>
          <w:color w:val="auto"/>
          <w:sz w:val="21"/>
          <w:szCs w:val="21"/>
          <w:highlight w:val="none"/>
        </w:rPr>
        <w:t>6.一旦我方中标,我方将根据招标文件的规定，严格履行合同的责任和义务,并保证在招标文件规定的时间完成项目，交付买方验收、使用。</w:t>
      </w:r>
    </w:p>
    <w:p w14:paraId="34C74268">
      <w:pPr>
        <w:pStyle w:val="270"/>
        <w:spacing w:before="0" w:after="0"/>
        <w:ind w:left="425" w:firstLine="105"/>
        <w:rPr>
          <w:rFonts w:ascii="宋体" w:hAnsi="宋体"/>
          <w:color w:val="auto"/>
          <w:sz w:val="21"/>
          <w:szCs w:val="21"/>
          <w:highlight w:val="none"/>
        </w:rPr>
      </w:pPr>
      <w:r>
        <w:rPr>
          <w:rFonts w:hint="eastAsia" w:ascii="宋体" w:hAnsi="宋体"/>
          <w:color w:val="auto"/>
          <w:sz w:val="21"/>
          <w:szCs w:val="21"/>
          <w:highlight w:val="none"/>
        </w:rPr>
        <w:t>7.与本投标有关的正式通讯地址为：</w:t>
      </w:r>
    </w:p>
    <w:p w14:paraId="25296ED6">
      <w:pPr>
        <w:pStyle w:val="270"/>
        <w:spacing w:before="0" w:after="0"/>
        <w:ind w:firstLine="478"/>
        <w:rPr>
          <w:rFonts w:ascii="宋体" w:hAnsi="宋体"/>
          <w:color w:val="auto"/>
          <w:sz w:val="21"/>
          <w:szCs w:val="21"/>
          <w:highlight w:val="none"/>
        </w:rPr>
      </w:pPr>
      <w:r>
        <w:rPr>
          <w:rFonts w:hint="eastAsia" w:ascii="宋体" w:hAnsi="宋体"/>
          <w:color w:val="auto"/>
          <w:sz w:val="21"/>
          <w:szCs w:val="21"/>
          <w:highlight w:val="none"/>
        </w:rPr>
        <w:t>地 址：</w:t>
      </w:r>
    </w:p>
    <w:p w14:paraId="3EE1436D">
      <w:pPr>
        <w:pStyle w:val="270"/>
        <w:spacing w:before="0" w:after="0"/>
        <w:ind w:firstLine="478"/>
        <w:rPr>
          <w:rFonts w:ascii="宋体" w:hAnsi="宋体"/>
          <w:color w:val="auto"/>
          <w:sz w:val="21"/>
          <w:szCs w:val="21"/>
          <w:highlight w:val="none"/>
        </w:rPr>
      </w:pPr>
      <w:r>
        <w:rPr>
          <w:rFonts w:hint="eastAsia" w:ascii="宋体" w:hAnsi="宋体"/>
          <w:color w:val="auto"/>
          <w:sz w:val="21"/>
          <w:szCs w:val="21"/>
          <w:highlight w:val="none"/>
        </w:rPr>
        <w:t>邮 编：</w:t>
      </w:r>
    </w:p>
    <w:p w14:paraId="35388916">
      <w:pPr>
        <w:pStyle w:val="270"/>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电 话： </w:t>
      </w:r>
    </w:p>
    <w:p w14:paraId="4C0E5E5C">
      <w:pPr>
        <w:pStyle w:val="270"/>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传 真： </w:t>
      </w:r>
    </w:p>
    <w:p w14:paraId="3FF4012B">
      <w:pPr>
        <w:pStyle w:val="270"/>
        <w:spacing w:before="0" w:after="0"/>
        <w:ind w:firstLine="478"/>
        <w:rPr>
          <w:rFonts w:ascii="宋体" w:hAnsi="宋体"/>
          <w:color w:val="auto"/>
          <w:sz w:val="21"/>
          <w:szCs w:val="21"/>
          <w:highlight w:val="none"/>
        </w:rPr>
      </w:pPr>
      <w:r>
        <w:rPr>
          <w:rFonts w:hint="eastAsia" w:ascii="宋体" w:hAnsi="宋体"/>
          <w:color w:val="auto"/>
          <w:sz w:val="21"/>
          <w:szCs w:val="21"/>
          <w:highlight w:val="none"/>
        </w:rPr>
        <w:t>投标人开户行：</w:t>
      </w:r>
    </w:p>
    <w:p w14:paraId="42046CCF">
      <w:pPr>
        <w:pStyle w:val="270"/>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账 户： </w:t>
      </w:r>
    </w:p>
    <w:p w14:paraId="5DCA0B76">
      <w:pPr>
        <w:pStyle w:val="270"/>
        <w:spacing w:before="0" w:after="0"/>
        <w:ind w:firstLine="478"/>
        <w:rPr>
          <w:rFonts w:ascii="宋体" w:hAnsi="宋体"/>
          <w:color w:val="auto"/>
          <w:sz w:val="21"/>
          <w:szCs w:val="21"/>
          <w:highlight w:val="none"/>
        </w:rPr>
      </w:pPr>
      <w:r>
        <w:rPr>
          <w:rFonts w:hint="eastAsia" w:ascii="宋体" w:hAnsi="宋体"/>
          <w:color w:val="auto"/>
          <w:sz w:val="21"/>
          <w:szCs w:val="21"/>
          <w:highlight w:val="none"/>
        </w:rPr>
        <w:t>行 号：</w:t>
      </w:r>
    </w:p>
    <w:p w14:paraId="1C7714CF">
      <w:pPr>
        <w:pStyle w:val="270"/>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法定代表人或授权代表（签字）： </w:t>
      </w:r>
    </w:p>
    <w:p w14:paraId="7480A606">
      <w:pPr>
        <w:pStyle w:val="270"/>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投标人名称（公章）： </w:t>
      </w:r>
    </w:p>
    <w:p w14:paraId="38190565">
      <w:pPr>
        <w:pStyle w:val="270"/>
        <w:spacing w:before="0" w:after="0"/>
        <w:ind w:firstLine="478"/>
        <w:rPr>
          <w:rFonts w:ascii="宋体" w:hAnsi="宋体"/>
          <w:color w:val="auto"/>
          <w:sz w:val="21"/>
          <w:szCs w:val="21"/>
          <w:highlight w:val="none"/>
        </w:rPr>
      </w:pPr>
      <w:r>
        <w:rPr>
          <w:rFonts w:hint="eastAsia" w:ascii="宋体" w:hAnsi="宋体"/>
          <w:color w:val="auto"/>
          <w:sz w:val="21"/>
          <w:szCs w:val="21"/>
          <w:highlight w:val="none"/>
        </w:rPr>
        <w:t>日 期：________年____月____日</w:t>
      </w:r>
    </w:p>
    <w:p w14:paraId="2187C830">
      <w:pPr>
        <w:rPr>
          <w:rFonts w:ascii="宋体" w:hAnsi="宋体"/>
          <w:b/>
          <w:color w:val="auto"/>
          <w:sz w:val="21"/>
          <w:szCs w:val="21"/>
          <w:highlight w:val="none"/>
        </w:rPr>
      </w:pPr>
      <w:r>
        <w:rPr>
          <w:rFonts w:ascii="宋体" w:hAnsi="宋体"/>
          <w:b/>
          <w:color w:val="auto"/>
          <w:sz w:val="21"/>
          <w:szCs w:val="21"/>
          <w:highlight w:val="none"/>
        </w:rPr>
        <w:br w:type="page"/>
      </w:r>
    </w:p>
    <w:p w14:paraId="7DBE075F">
      <w:pPr>
        <w:pStyle w:val="279"/>
        <w:spacing w:after="312" w:line="360" w:lineRule="auto"/>
        <w:ind w:left="0" w:firstLine="0"/>
        <w:jc w:val="both"/>
        <w:rPr>
          <w:rFonts w:ascii="宋体" w:hAnsi="宋体"/>
          <w:b/>
          <w:color w:val="auto"/>
          <w:sz w:val="21"/>
          <w:szCs w:val="21"/>
          <w:highlight w:val="none"/>
        </w:rPr>
      </w:pPr>
    </w:p>
    <w:p w14:paraId="07CB20A5">
      <w:pPr>
        <w:pStyle w:val="279"/>
        <w:spacing w:after="312" w:line="360" w:lineRule="auto"/>
        <w:ind w:firstLine="422"/>
        <w:jc w:val="center"/>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法人授权书</w:t>
      </w:r>
    </w:p>
    <w:p w14:paraId="5FFDC544">
      <w:pPr>
        <w:pStyle w:val="279"/>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本授权书声明：</w:t>
      </w:r>
      <w:r>
        <w:rPr>
          <w:rFonts w:ascii="宋体" w:hAnsi="宋体"/>
          <w:color w:val="auto"/>
          <w:sz w:val="21"/>
          <w:szCs w:val="21"/>
          <w:highlight w:val="none"/>
        </w:rPr>
        <w:t>________________</w:t>
      </w:r>
      <w:r>
        <w:rPr>
          <w:rFonts w:hint="eastAsia" w:ascii="宋体" w:hAnsi="宋体"/>
          <w:color w:val="auto"/>
          <w:sz w:val="21"/>
          <w:szCs w:val="21"/>
          <w:highlight w:val="none"/>
        </w:rPr>
        <w:t>（投标人名称）授权</w:t>
      </w:r>
      <w:r>
        <w:rPr>
          <w:rFonts w:ascii="宋体" w:hAnsi="宋体"/>
          <w:color w:val="auto"/>
          <w:sz w:val="21"/>
          <w:szCs w:val="21"/>
          <w:highlight w:val="none"/>
        </w:rPr>
        <w:t>________________</w:t>
      </w:r>
      <w:r>
        <w:rPr>
          <w:rFonts w:hint="eastAsia" w:ascii="宋体" w:hAnsi="宋体"/>
          <w:color w:val="auto"/>
          <w:sz w:val="21"/>
          <w:szCs w:val="21"/>
          <w:highlight w:val="none"/>
        </w:rPr>
        <w:t>（被授权人的姓名）为我方就</w:t>
      </w:r>
      <w:r>
        <w:rPr>
          <w:rFonts w:hint="eastAsia" w:ascii="宋体" w:hAnsi="宋体"/>
          <w:color w:val="auto"/>
          <w:sz w:val="21"/>
          <w:szCs w:val="21"/>
          <w:highlight w:val="none"/>
          <w:lang w:eastAsia="zh-CN"/>
        </w:rPr>
        <w:t>JSZC-320000-SWGC-G2025-0171-1号扬州大学附属医院医疗责任险与京沪医学中心风险分担服务项目（二次）</w:t>
      </w:r>
      <w:r>
        <w:rPr>
          <w:rFonts w:hint="eastAsia" w:ascii="宋体" w:hAnsi="宋体"/>
          <w:color w:val="auto"/>
          <w:sz w:val="21"/>
          <w:szCs w:val="21"/>
          <w:highlight w:val="none"/>
        </w:rPr>
        <w:t>采购活动的合法代理人，以本公司名义全权处理一切与该项目采购有关的事务。</w:t>
      </w:r>
    </w:p>
    <w:p w14:paraId="65405B2E">
      <w:pPr>
        <w:pStyle w:val="279"/>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w:t>
      </w:r>
      <w:r>
        <w:rPr>
          <w:rFonts w:ascii="宋体" w:hAnsi="宋体"/>
          <w:color w:val="auto"/>
          <w:sz w:val="21"/>
          <w:szCs w:val="21"/>
          <w:highlight w:val="none"/>
        </w:rPr>
        <w:t>______</w:t>
      </w:r>
      <w:r>
        <w:rPr>
          <w:rFonts w:hint="eastAsia" w:ascii="宋体" w:hAnsi="宋体"/>
          <w:color w:val="auto"/>
          <w:sz w:val="21"/>
          <w:szCs w:val="21"/>
          <w:highlight w:val="none"/>
        </w:rPr>
        <w:t>年</w:t>
      </w:r>
      <w:r>
        <w:rPr>
          <w:rFonts w:ascii="宋体" w:hAnsi="宋体"/>
          <w:color w:val="auto"/>
          <w:sz w:val="21"/>
          <w:szCs w:val="21"/>
          <w:highlight w:val="none"/>
        </w:rPr>
        <w:t>____</w:t>
      </w:r>
      <w:r>
        <w:rPr>
          <w:rFonts w:hint="eastAsia" w:ascii="宋体" w:hAnsi="宋体"/>
          <w:color w:val="auto"/>
          <w:sz w:val="21"/>
          <w:szCs w:val="21"/>
          <w:highlight w:val="none"/>
        </w:rPr>
        <w:t>月</w:t>
      </w:r>
      <w:r>
        <w:rPr>
          <w:rFonts w:ascii="宋体" w:hAnsi="宋体"/>
          <w:color w:val="auto"/>
          <w:sz w:val="21"/>
          <w:szCs w:val="21"/>
          <w:highlight w:val="none"/>
        </w:rPr>
        <w:t>____</w:t>
      </w:r>
      <w:r>
        <w:rPr>
          <w:rFonts w:hint="eastAsia" w:ascii="宋体" w:hAnsi="宋体"/>
          <w:color w:val="auto"/>
          <w:sz w:val="21"/>
          <w:szCs w:val="21"/>
          <w:highlight w:val="none"/>
        </w:rPr>
        <w:t>日起生效，特此声明。</w:t>
      </w:r>
    </w:p>
    <w:p w14:paraId="381F2B82">
      <w:pPr>
        <w:pStyle w:val="279"/>
        <w:spacing w:line="360" w:lineRule="auto"/>
        <w:ind w:firstLine="0"/>
        <w:rPr>
          <w:rFonts w:ascii="宋体" w:hAnsi="宋体"/>
          <w:color w:val="auto"/>
          <w:sz w:val="21"/>
          <w:szCs w:val="21"/>
          <w:highlight w:val="none"/>
        </w:rPr>
      </w:pPr>
      <w:r>
        <w:rPr>
          <w:rFonts w:ascii="宋体" w:hAnsi="宋体"/>
          <w:color w:val="auto"/>
          <w:sz w:val="21"/>
          <w:szCs w:val="21"/>
          <w:highlight w:val="none"/>
        </w:rPr>
        <w:t xml:space="preserve">    </w:t>
      </w:r>
    </w:p>
    <w:p w14:paraId="5F1AAE1B">
      <w:pPr>
        <w:pStyle w:val="279"/>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被授权人签字：</w:t>
      </w:r>
      <w:r>
        <w:rPr>
          <w:rFonts w:ascii="宋体" w:hAnsi="宋体"/>
          <w:color w:val="auto"/>
          <w:sz w:val="21"/>
          <w:szCs w:val="21"/>
          <w:highlight w:val="none"/>
        </w:rPr>
        <w:t>_____________________</w:t>
      </w:r>
      <w:r>
        <w:rPr>
          <w:rFonts w:hint="eastAsia" w:ascii="宋体" w:hAnsi="宋体"/>
          <w:color w:val="auto"/>
          <w:sz w:val="21"/>
          <w:szCs w:val="21"/>
          <w:highlight w:val="none"/>
          <w:u w:val="single"/>
        </w:rPr>
        <w:t xml:space="preserve">         </w:t>
      </w:r>
      <w:r>
        <w:rPr>
          <w:rFonts w:ascii="宋体" w:hAnsi="宋体"/>
          <w:color w:val="auto"/>
          <w:sz w:val="21"/>
          <w:szCs w:val="21"/>
          <w:highlight w:val="none"/>
        </w:rPr>
        <w:t>__</w:t>
      </w:r>
      <w:r>
        <w:rPr>
          <w:rFonts w:hint="eastAsia" w:ascii="宋体" w:hAnsi="宋体"/>
          <w:color w:val="auto"/>
          <w:sz w:val="21"/>
          <w:szCs w:val="21"/>
          <w:highlight w:val="none"/>
        </w:rPr>
        <w:t xml:space="preserve">     </w:t>
      </w:r>
    </w:p>
    <w:p w14:paraId="0D4C0E09">
      <w:pPr>
        <w:pStyle w:val="279"/>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联系电话（手机）：</w:t>
      </w:r>
      <w:r>
        <w:rPr>
          <w:rFonts w:hint="eastAsia" w:ascii="宋体" w:hAnsi="宋体"/>
          <w:color w:val="auto"/>
          <w:sz w:val="21"/>
          <w:szCs w:val="21"/>
          <w:highlight w:val="none"/>
          <w:u w:val="single"/>
        </w:rPr>
        <w:t xml:space="preserve">                             </w:t>
      </w:r>
    </w:p>
    <w:p w14:paraId="4DF57390">
      <w:pPr>
        <w:pStyle w:val="279"/>
        <w:spacing w:line="360" w:lineRule="auto"/>
        <w:ind w:firstLine="0"/>
        <w:rPr>
          <w:rFonts w:ascii="宋体" w:hAnsi="宋体"/>
          <w:color w:val="auto"/>
          <w:sz w:val="21"/>
          <w:szCs w:val="21"/>
          <w:highlight w:val="none"/>
        </w:rPr>
      </w:pPr>
      <w:r>
        <w:rPr>
          <w:rFonts w:ascii="宋体" w:hAnsi="宋体"/>
          <w:color w:val="auto"/>
          <w:sz w:val="21"/>
          <w:szCs w:val="21"/>
          <w:highlight w:val="none"/>
        </w:rPr>
        <w:t xml:space="preserve">    </w:t>
      </w:r>
      <w:r>
        <w:rPr>
          <w:rFonts w:hint="eastAsia" w:ascii="宋体" w:hAnsi="宋体"/>
          <w:color w:val="auto"/>
          <w:sz w:val="21"/>
          <w:szCs w:val="21"/>
          <w:highlight w:val="none"/>
        </w:rPr>
        <w:t>单位名称：</w:t>
      </w:r>
      <w:r>
        <w:rPr>
          <w:rFonts w:ascii="宋体" w:hAnsi="宋体"/>
          <w:color w:val="auto"/>
          <w:sz w:val="21"/>
          <w:szCs w:val="21"/>
          <w:highlight w:val="none"/>
        </w:rPr>
        <w:t>____________________________________</w:t>
      </w:r>
    </w:p>
    <w:p w14:paraId="49583BE4">
      <w:pPr>
        <w:pStyle w:val="279"/>
        <w:spacing w:line="360" w:lineRule="auto"/>
        <w:ind w:firstLine="0"/>
        <w:rPr>
          <w:rFonts w:ascii="宋体" w:hAnsi="宋体"/>
          <w:color w:val="auto"/>
          <w:sz w:val="21"/>
          <w:szCs w:val="21"/>
          <w:highlight w:val="none"/>
        </w:rPr>
      </w:pP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ascii="宋体" w:hAnsi="宋体"/>
          <w:color w:val="auto"/>
          <w:sz w:val="21"/>
          <w:szCs w:val="21"/>
          <w:highlight w:val="none"/>
        </w:rPr>
        <w:t>授权单位盖章：</w:t>
      </w:r>
      <w:r>
        <w:rPr>
          <w:rFonts w:ascii="宋体" w:hAnsi="宋体"/>
          <w:color w:val="auto"/>
          <w:sz w:val="21"/>
          <w:szCs w:val="21"/>
          <w:highlight w:val="none"/>
        </w:rPr>
        <w:t>_________________________________</w:t>
      </w:r>
    </w:p>
    <w:p w14:paraId="723CC2FC">
      <w:pPr>
        <w:pStyle w:val="279"/>
        <w:spacing w:line="360" w:lineRule="auto"/>
        <w:ind w:firstLine="420"/>
        <w:rPr>
          <w:color w:val="auto"/>
          <w:sz w:val="21"/>
          <w:szCs w:val="21"/>
          <w:highlight w:val="none"/>
          <w:u w:val="single"/>
        </w:rPr>
      </w:pPr>
      <w:r>
        <w:rPr>
          <w:rFonts w:hint="eastAsia"/>
          <w:color w:val="auto"/>
          <w:sz w:val="21"/>
          <w:szCs w:val="21"/>
          <w:highlight w:val="none"/>
        </w:rPr>
        <w:t>地址：</w:t>
      </w:r>
      <w:r>
        <w:rPr>
          <w:color w:val="auto"/>
          <w:sz w:val="21"/>
          <w:szCs w:val="21"/>
          <w:highlight w:val="none"/>
          <w:u w:val="single"/>
        </w:rPr>
        <w:t xml:space="preserve">                                         </w:t>
      </w:r>
    </w:p>
    <w:p w14:paraId="2AD5C69A">
      <w:pPr>
        <w:pStyle w:val="279"/>
        <w:spacing w:line="360" w:lineRule="auto"/>
        <w:ind w:firstLine="420"/>
        <w:rPr>
          <w:color w:val="auto"/>
          <w:sz w:val="21"/>
          <w:szCs w:val="21"/>
          <w:highlight w:val="none"/>
        </w:rPr>
      </w:pPr>
      <w:r>
        <w:rPr>
          <w:rFonts w:hint="eastAsia"/>
          <w:color w:val="auto"/>
          <w:sz w:val="21"/>
          <w:szCs w:val="21"/>
          <w:highlight w:val="none"/>
        </w:rPr>
        <w:t>日期：</w:t>
      </w:r>
      <w:r>
        <w:rPr>
          <w:color w:val="auto"/>
          <w:sz w:val="21"/>
          <w:szCs w:val="21"/>
          <w:highlight w:val="none"/>
          <w:u w:val="single"/>
        </w:rPr>
        <w:t xml:space="preserve">                                         </w:t>
      </w:r>
      <w:r>
        <w:rPr>
          <w:color w:val="auto"/>
          <w:sz w:val="21"/>
          <w:szCs w:val="21"/>
          <w:highlight w:val="none"/>
        </w:rPr>
        <w:t xml:space="preserve"> </w:t>
      </w:r>
    </w:p>
    <w:p w14:paraId="52CA5981">
      <w:pPr>
        <w:spacing w:line="460" w:lineRule="exact"/>
        <w:rPr>
          <w:rFonts w:ascii="宋体" w:hAnsi="宋体"/>
          <w:bCs/>
          <w:color w:val="auto"/>
          <w:szCs w:val="21"/>
          <w:highlight w:val="none"/>
        </w:rPr>
      </w:pPr>
    </w:p>
    <w:p w14:paraId="11A5428B">
      <w:pPr>
        <w:spacing w:line="460" w:lineRule="exact"/>
        <w:rPr>
          <w:rFonts w:ascii="宋体" w:hAnsi="宋体"/>
          <w:bCs/>
          <w:color w:val="auto"/>
          <w:sz w:val="24"/>
          <w:highlight w:val="none"/>
        </w:rPr>
      </w:pPr>
    </w:p>
    <w:p w14:paraId="198FD5D5">
      <w:pPr>
        <w:spacing w:line="460" w:lineRule="exact"/>
        <w:ind w:firstLine="420"/>
        <w:rPr>
          <w:rFonts w:ascii="宋体" w:hAnsi="宋体"/>
          <w:bCs/>
          <w:color w:val="auto"/>
          <w:szCs w:val="21"/>
          <w:highlight w:val="none"/>
        </w:rPr>
      </w:pPr>
      <w:r>
        <w:rPr>
          <w:rFonts w:hint="eastAsia" w:ascii="宋体" w:hAnsi="宋体"/>
          <w:bCs/>
          <w:color w:val="auto"/>
          <w:szCs w:val="21"/>
          <w:highlight w:val="none"/>
          <w:lang w:val="en-US" w:eastAsia="zh-CN"/>
        </w:rPr>
        <w:t>法定代表人身份证复印件、</w:t>
      </w:r>
      <w:r>
        <w:rPr>
          <w:rFonts w:hint="eastAsia" w:ascii="宋体" w:hAnsi="宋体"/>
          <w:bCs/>
          <w:color w:val="auto"/>
          <w:szCs w:val="21"/>
          <w:highlight w:val="none"/>
        </w:rPr>
        <w:t>被授权人身份证复印件：</w:t>
      </w:r>
    </w:p>
    <w:p w14:paraId="5ED5CA0B">
      <w:pPr>
        <w:spacing w:line="460" w:lineRule="exact"/>
        <w:rPr>
          <w:rFonts w:ascii="宋体" w:hAnsi="宋体"/>
          <w:bCs/>
          <w:color w:val="auto"/>
          <w:sz w:val="24"/>
          <w:highlight w:val="none"/>
        </w:rPr>
      </w:pPr>
    </w:p>
    <w:p w14:paraId="5F6007CD">
      <w:pPr>
        <w:spacing w:line="460" w:lineRule="exact"/>
        <w:rPr>
          <w:rFonts w:ascii="宋体" w:hAnsi="宋体"/>
          <w:bCs/>
          <w:color w:val="auto"/>
          <w:sz w:val="24"/>
          <w:highlight w:val="none"/>
        </w:rPr>
      </w:pPr>
    </w:p>
    <w:p w14:paraId="2CCF9D5D">
      <w:pPr>
        <w:spacing w:line="460" w:lineRule="exact"/>
        <w:rPr>
          <w:rFonts w:ascii="宋体" w:hAnsi="宋体"/>
          <w:bCs/>
          <w:color w:val="auto"/>
          <w:sz w:val="24"/>
          <w:highlight w:val="none"/>
        </w:rPr>
      </w:pPr>
    </w:p>
    <w:p w14:paraId="111BF71D">
      <w:pPr>
        <w:spacing w:line="460" w:lineRule="exact"/>
        <w:rPr>
          <w:rFonts w:ascii="宋体" w:hAnsi="宋体"/>
          <w:bCs/>
          <w:color w:val="auto"/>
          <w:sz w:val="24"/>
          <w:highlight w:val="none"/>
        </w:rPr>
      </w:pPr>
    </w:p>
    <w:p w14:paraId="3FCB1B5F">
      <w:pPr>
        <w:spacing w:line="460" w:lineRule="exact"/>
        <w:rPr>
          <w:rFonts w:ascii="宋体" w:hAnsi="宋体"/>
          <w:bCs/>
          <w:color w:val="auto"/>
          <w:sz w:val="24"/>
          <w:highlight w:val="none"/>
        </w:rPr>
      </w:pPr>
    </w:p>
    <w:p w14:paraId="05D6CF1F">
      <w:pPr>
        <w:spacing w:line="460" w:lineRule="exact"/>
        <w:rPr>
          <w:rFonts w:ascii="宋体" w:hAnsi="宋体"/>
          <w:bCs/>
          <w:color w:val="auto"/>
          <w:sz w:val="24"/>
          <w:highlight w:val="none"/>
        </w:rPr>
      </w:pPr>
    </w:p>
    <w:p w14:paraId="59393D09">
      <w:pPr>
        <w:spacing w:line="460" w:lineRule="exact"/>
        <w:rPr>
          <w:rFonts w:ascii="宋体" w:hAnsi="宋体"/>
          <w:bCs/>
          <w:color w:val="auto"/>
          <w:sz w:val="24"/>
          <w:highlight w:val="none"/>
        </w:rPr>
      </w:pPr>
    </w:p>
    <w:p w14:paraId="31AC2C32">
      <w:pPr>
        <w:spacing w:line="460" w:lineRule="exact"/>
        <w:rPr>
          <w:rFonts w:ascii="宋体" w:hAnsi="宋体"/>
          <w:bCs/>
          <w:color w:val="auto"/>
          <w:sz w:val="24"/>
          <w:highlight w:val="none"/>
        </w:rPr>
      </w:pPr>
    </w:p>
    <w:p w14:paraId="00DED553">
      <w:pPr>
        <w:spacing w:line="460" w:lineRule="exact"/>
        <w:rPr>
          <w:rFonts w:ascii="宋体" w:hAnsi="宋体"/>
          <w:bCs/>
          <w:color w:val="auto"/>
          <w:sz w:val="24"/>
          <w:highlight w:val="none"/>
        </w:rPr>
      </w:pPr>
    </w:p>
    <w:p w14:paraId="5D53C94A">
      <w:pPr>
        <w:spacing w:line="460" w:lineRule="exact"/>
        <w:rPr>
          <w:rFonts w:ascii="宋体" w:hAnsi="宋体"/>
          <w:bCs/>
          <w:color w:val="auto"/>
          <w:sz w:val="24"/>
          <w:highlight w:val="none"/>
        </w:rPr>
      </w:pPr>
    </w:p>
    <w:p w14:paraId="1925A1A7">
      <w:pPr>
        <w:spacing w:line="460" w:lineRule="exact"/>
        <w:rPr>
          <w:rFonts w:ascii="宋体" w:hAnsi="宋体"/>
          <w:bCs/>
          <w:color w:val="auto"/>
          <w:sz w:val="24"/>
          <w:highlight w:val="none"/>
        </w:rPr>
      </w:pPr>
    </w:p>
    <w:p w14:paraId="02F4B554">
      <w:pPr>
        <w:spacing w:line="460" w:lineRule="exact"/>
        <w:rPr>
          <w:rFonts w:ascii="宋体" w:hAnsi="宋体"/>
          <w:bCs/>
          <w:color w:val="auto"/>
          <w:sz w:val="24"/>
          <w:highlight w:val="none"/>
        </w:rPr>
      </w:pPr>
    </w:p>
    <w:p w14:paraId="32FAD171">
      <w:pPr>
        <w:spacing w:line="460" w:lineRule="exact"/>
        <w:rPr>
          <w:rFonts w:ascii="宋体" w:hAnsi="宋体"/>
          <w:bCs/>
          <w:color w:val="auto"/>
          <w:sz w:val="24"/>
          <w:highlight w:val="none"/>
        </w:rPr>
      </w:pPr>
    </w:p>
    <w:p w14:paraId="08DDB8AE">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highlight w:val="none"/>
        </w:rPr>
        <w:t>具备履行合同所必需的设备和专业技术能力的书面声明</w:t>
      </w:r>
    </w:p>
    <w:p w14:paraId="41DBD568">
      <w:pPr>
        <w:spacing w:line="360" w:lineRule="auto"/>
        <w:rPr>
          <w:rFonts w:hint="eastAsia" w:ascii="宋体" w:hAnsi="宋体"/>
          <w:color w:val="auto"/>
          <w:szCs w:val="21"/>
          <w:highlight w:val="none"/>
        </w:rPr>
      </w:pPr>
    </w:p>
    <w:p w14:paraId="451A4DE2">
      <w:pPr>
        <w:spacing w:line="460" w:lineRule="exact"/>
        <w:ind w:firstLine="492"/>
        <w:rPr>
          <w:rFonts w:ascii="宋体" w:hAnsi="宋体"/>
          <w:bCs/>
          <w:color w:val="auto"/>
          <w:szCs w:val="21"/>
          <w:highlight w:val="none"/>
        </w:rPr>
      </w:pPr>
      <w:r>
        <w:rPr>
          <w:rFonts w:hint="eastAsia" w:ascii="宋体" w:hAnsi="宋体"/>
          <w:b/>
          <w:bCs/>
          <w:color w:val="auto"/>
          <w:szCs w:val="21"/>
          <w:highlight w:val="none"/>
        </w:rPr>
        <w:t xml:space="preserve"> </w:t>
      </w:r>
      <w:r>
        <w:rPr>
          <w:rFonts w:hint="eastAsia" w:ascii="宋体" w:hAnsi="宋体"/>
          <w:bCs/>
          <w:color w:val="auto"/>
          <w:szCs w:val="21"/>
          <w:highlight w:val="none"/>
        </w:rPr>
        <w:t>我单位郑重声明：我单位具备履行本项采购合同所必需的设备和专业技术能力，为履行本项采购合同我公司具备如下主要设备和主要专业技术能力：</w:t>
      </w:r>
    </w:p>
    <w:p w14:paraId="39AE11A8">
      <w:pPr>
        <w:spacing w:line="460" w:lineRule="exact"/>
        <w:ind w:firstLine="701"/>
        <w:rPr>
          <w:rFonts w:ascii="宋体" w:hAnsi="宋体"/>
          <w:bCs/>
          <w:color w:val="auto"/>
          <w:szCs w:val="21"/>
          <w:highlight w:val="none"/>
        </w:rPr>
      </w:pPr>
      <w:r>
        <w:rPr>
          <w:rFonts w:hint="eastAsia" w:ascii="宋体" w:hAnsi="宋体"/>
          <w:bCs/>
          <w:color w:val="auto"/>
          <w:szCs w:val="21"/>
          <w:highlight w:val="none"/>
        </w:rPr>
        <w:t>主要设备有：。</w:t>
      </w:r>
    </w:p>
    <w:p w14:paraId="03E20D82">
      <w:pPr>
        <w:spacing w:line="360" w:lineRule="auto"/>
        <w:ind w:firstLine="630"/>
        <w:rPr>
          <w:rFonts w:hint="eastAsia" w:ascii="宋体" w:hAnsi="宋体"/>
          <w:bCs/>
          <w:color w:val="auto"/>
          <w:szCs w:val="21"/>
          <w:highlight w:val="none"/>
        </w:rPr>
      </w:pPr>
      <w:r>
        <w:rPr>
          <w:rFonts w:hint="eastAsia" w:ascii="宋体" w:hAnsi="宋体"/>
          <w:bCs/>
          <w:color w:val="auto"/>
          <w:szCs w:val="21"/>
          <w:highlight w:val="none"/>
        </w:rPr>
        <w:t>主要专业技术能力有：。</w:t>
      </w:r>
    </w:p>
    <w:p w14:paraId="780AE165">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lang w:eastAsia="zh-CN"/>
        </w:rPr>
        <w:t>投标人名称（公章）</w:t>
      </w:r>
      <w:r>
        <w:rPr>
          <w:rFonts w:hint="eastAsia" w:ascii="宋体" w:hAnsi="宋体"/>
          <w:bCs/>
          <w:color w:val="auto"/>
          <w:szCs w:val="21"/>
          <w:highlight w:val="none"/>
        </w:rPr>
        <w:t>：</w:t>
      </w:r>
    </w:p>
    <w:p w14:paraId="2D4A3431">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法定代表人或授权代表（签字）</w:t>
      </w:r>
      <w:r>
        <w:rPr>
          <w:rFonts w:hint="eastAsia" w:ascii="宋体" w:hAnsi="宋体"/>
          <w:bCs/>
          <w:color w:val="auto"/>
          <w:szCs w:val="21"/>
          <w:highlight w:val="none"/>
        </w:rPr>
        <w:t>：</w:t>
      </w:r>
    </w:p>
    <w:p w14:paraId="79981F45">
      <w:pPr>
        <w:spacing w:line="360" w:lineRule="auto"/>
        <w:rPr>
          <w:rFonts w:hint="eastAsia" w:ascii="宋体" w:hAnsi="宋体"/>
          <w:b/>
          <w:bCs/>
          <w:color w:val="auto"/>
          <w:szCs w:val="21"/>
          <w:highlight w:val="none"/>
          <w:lang w:val="en-US" w:eastAsia="zh-CN"/>
        </w:rPr>
        <w:sectPr>
          <w:pgSz w:w="11906" w:h="16838"/>
          <w:pgMar w:top="1440" w:right="1800" w:bottom="1440" w:left="1800" w:header="851" w:footer="992" w:gutter="0"/>
          <w:cols w:space="720" w:num="1"/>
          <w:docGrid w:linePitch="360" w:charSpace="0"/>
        </w:sectPr>
      </w:pPr>
      <w:r>
        <w:rPr>
          <w:rFonts w:hint="eastAsia" w:ascii="宋体" w:hAnsi="宋体"/>
          <w:bCs/>
          <w:color w:val="auto"/>
          <w:szCs w:val="21"/>
          <w:highlight w:val="none"/>
        </w:rPr>
        <w:t xml:space="preserve">                               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6A81AF7">
      <w:pPr>
        <w:spacing w:line="460" w:lineRule="exact"/>
        <w:rPr>
          <w:rFonts w:ascii="宋体" w:hAnsi="宋体"/>
          <w:bCs/>
          <w:color w:val="auto"/>
          <w:sz w:val="24"/>
          <w:highlight w:val="none"/>
        </w:rPr>
      </w:pPr>
    </w:p>
    <w:p w14:paraId="7A5E15BC">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rPr>
        <w:t>参加本次政府采购活动前 3 年内在经营活动中没有重大违法记录的书面声明</w:t>
      </w:r>
    </w:p>
    <w:p w14:paraId="5B761109">
      <w:pPr>
        <w:spacing w:line="360" w:lineRule="auto"/>
        <w:rPr>
          <w:rFonts w:hint="eastAsia" w:ascii="宋体" w:hAnsi="宋体"/>
          <w:color w:val="auto"/>
          <w:szCs w:val="21"/>
          <w:highlight w:val="none"/>
        </w:rPr>
      </w:pPr>
    </w:p>
    <w:p w14:paraId="266D614D">
      <w:pPr>
        <w:spacing w:after="312"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声  明</w:t>
      </w:r>
    </w:p>
    <w:p w14:paraId="62641BD3">
      <w:pPr>
        <w:spacing w:line="360" w:lineRule="auto"/>
        <w:rPr>
          <w:rFonts w:hint="eastAsia" w:ascii="宋体" w:hAnsi="宋体"/>
          <w:bCs/>
          <w:color w:val="auto"/>
          <w:szCs w:val="21"/>
          <w:highlight w:val="none"/>
        </w:rPr>
      </w:pPr>
      <w:r>
        <w:rPr>
          <w:rFonts w:hint="eastAsia" w:ascii="宋体" w:hAnsi="宋体"/>
          <w:b/>
          <w:bCs/>
          <w:color w:val="auto"/>
          <w:szCs w:val="21"/>
          <w:highlight w:val="none"/>
        </w:rPr>
        <w:t xml:space="preserve">    </w:t>
      </w:r>
      <w:r>
        <w:rPr>
          <w:rFonts w:hint="eastAsia" w:ascii="宋体" w:hAnsi="宋体"/>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14:paraId="5498DF3D">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lang w:eastAsia="zh-CN"/>
        </w:rPr>
        <w:t>投标人名称（公章）</w:t>
      </w:r>
      <w:r>
        <w:rPr>
          <w:rFonts w:hint="eastAsia" w:ascii="宋体" w:hAnsi="宋体"/>
          <w:bCs/>
          <w:color w:val="auto"/>
          <w:szCs w:val="21"/>
          <w:highlight w:val="none"/>
        </w:rPr>
        <w:t>：</w:t>
      </w:r>
    </w:p>
    <w:p w14:paraId="7706B813">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法定代表人或授权代表（签字）</w:t>
      </w:r>
      <w:r>
        <w:rPr>
          <w:rFonts w:hint="eastAsia" w:ascii="宋体" w:hAnsi="宋体"/>
          <w:bCs/>
          <w:color w:val="auto"/>
          <w:szCs w:val="21"/>
          <w:highlight w:val="none"/>
        </w:rPr>
        <w:t>：</w:t>
      </w:r>
    </w:p>
    <w:p w14:paraId="79A7A38D">
      <w:pPr>
        <w:spacing w:line="360" w:lineRule="auto"/>
        <w:rPr>
          <w:rFonts w:hint="eastAsia" w:ascii="宋体" w:hAnsi="宋体"/>
          <w:bCs/>
          <w:color w:val="auto"/>
          <w:szCs w:val="21"/>
          <w:highlight w:val="none"/>
        </w:rPr>
        <w:sectPr>
          <w:pgSz w:w="11906" w:h="16838"/>
          <w:pgMar w:top="1440" w:right="1800" w:bottom="1440" w:left="1800" w:header="851" w:footer="992" w:gutter="0"/>
          <w:cols w:space="720" w:num="1"/>
          <w:docGrid w:linePitch="360" w:charSpace="0"/>
        </w:sectPr>
      </w:pPr>
      <w:r>
        <w:rPr>
          <w:rFonts w:hint="eastAsia" w:ascii="宋体" w:hAnsi="宋体"/>
          <w:bCs/>
          <w:color w:val="auto"/>
          <w:szCs w:val="21"/>
          <w:highlight w:val="none"/>
        </w:rPr>
        <w:t xml:space="preserve">                               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A59917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供应商信用承诺书</w:t>
      </w:r>
    </w:p>
    <w:p w14:paraId="4999BE86">
      <w:pPr>
        <w:spacing w:line="500" w:lineRule="exact"/>
        <w:rPr>
          <w:rFonts w:ascii="方正仿宋_GBK"/>
          <w:color w:val="auto"/>
          <w:szCs w:val="32"/>
          <w:highlight w:val="none"/>
        </w:rPr>
      </w:pPr>
    </w:p>
    <w:p w14:paraId="6D9597DF">
      <w:pPr>
        <w:spacing w:line="560" w:lineRule="exact"/>
        <w:rPr>
          <w:rFonts w:hint="eastAsia" w:ascii="宋体" w:hAnsi="宋体" w:cs="宋体"/>
          <w:color w:val="auto"/>
          <w:szCs w:val="32"/>
          <w:highlight w:val="none"/>
        </w:rPr>
      </w:pPr>
      <w:r>
        <w:rPr>
          <w:rFonts w:hint="eastAsia" w:ascii="宋体" w:hAnsi="宋体" w:cs="宋体"/>
          <w:color w:val="auto"/>
          <w:szCs w:val="32"/>
          <w:highlight w:val="none"/>
        </w:rPr>
        <w:t>承诺主体名称：</w:t>
      </w:r>
    </w:p>
    <w:p w14:paraId="3F9F4906">
      <w:pPr>
        <w:spacing w:line="560" w:lineRule="exact"/>
        <w:rPr>
          <w:rFonts w:hint="eastAsia" w:ascii="宋体" w:hAnsi="宋体" w:cs="宋体"/>
          <w:color w:val="auto"/>
          <w:szCs w:val="32"/>
          <w:highlight w:val="none"/>
        </w:rPr>
      </w:pPr>
      <w:r>
        <w:rPr>
          <w:rFonts w:hint="eastAsia" w:ascii="宋体" w:hAnsi="宋体" w:cs="宋体"/>
          <w:color w:val="auto"/>
          <w:szCs w:val="32"/>
          <w:highlight w:val="none"/>
        </w:rPr>
        <w:t>统一社会信用代码：</w:t>
      </w:r>
    </w:p>
    <w:p w14:paraId="0D4848BA">
      <w:pPr>
        <w:spacing w:line="560" w:lineRule="exact"/>
        <w:rPr>
          <w:rFonts w:hint="eastAsia" w:ascii="宋体" w:hAnsi="宋体" w:cs="宋体"/>
          <w:color w:val="auto"/>
          <w:szCs w:val="32"/>
          <w:highlight w:val="none"/>
        </w:rPr>
      </w:pPr>
    </w:p>
    <w:p w14:paraId="53AE6053">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51EEB7B2">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一、对提供给注册登记部门、行业管理部门、司法部门、行业组织以及在政府采购活动中提交的所有资料的合法性、真实性、准确性和有效性负责；</w:t>
      </w:r>
    </w:p>
    <w:p w14:paraId="115F021B">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14:paraId="554CA845">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三、严格依法开展生产经营活动，主动接受行业监管，自愿接受依法开展的日常检查；违法失信经营后将自愿接受约束和惩戒，并依法承担相应责任；</w:t>
      </w:r>
    </w:p>
    <w:p w14:paraId="4B2953CB">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四、自觉接受行政管理部门、行业组织、社会公众、新闻舆论的监督；</w:t>
      </w:r>
    </w:p>
    <w:p w14:paraId="376CAA92">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五、自觉做到自我约束、自我管理，不制假售假、商标侵权、虚假宣传、违约毁约、恶意逃债、偷税漏税、垄断和不正当竞争，维护经营者、消费者的合法权益；</w:t>
      </w:r>
    </w:p>
    <w:p w14:paraId="0BF19E23">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六、提出政府采购质疑和投诉坚持依法依规、诚实信用原则，在全国范围12个月内没有三次以上查无实据的政府采购投诉；</w:t>
      </w:r>
    </w:p>
    <w:p w14:paraId="61866A69">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七、严格遵守信用信息公示相关规定，向社会公示信用信息；</w:t>
      </w:r>
    </w:p>
    <w:p w14:paraId="412AF779">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八、在“信用中国”和“中国政府采购网”网站中无违法违规、较重或严重失信记录；</w:t>
      </w:r>
    </w:p>
    <w:p w14:paraId="59E6EFA8">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19D81D5B">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十、本承诺书自签订之日起生效。</w:t>
      </w:r>
    </w:p>
    <w:p w14:paraId="0F89DFAF">
      <w:pPr>
        <w:spacing w:line="560" w:lineRule="exact"/>
        <w:ind w:firstLine="420"/>
        <w:rPr>
          <w:rFonts w:hint="eastAsia" w:ascii="宋体" w:hAnsi="宋体" w:cs="宋体"/>
          <w:color w:val="auto"/>
          <w:szCs w:val="32"/>
          <w:highlight w:val="none"/>
        </w:rPr>
      </w:pPr>
      <w:r>
        <w:rPr>
          <w:rFonts w:hint="eastAsia" w:ascii="宋体" w:hAnsi="宋体" w:cs="宋体"/>
          <w:color w:val="auto"/>
          <w:szCs w:val="32"/>
          <w:highlight w:val="none"/>
        </w:rPr>
        <w:t> （注：法定代表人或负责人、主体名称发生变更的应当重新做出承诺。）</w:t>
      </w:r>
    </w:p>
    <w:p w14:paraId="6DB9207A">
      <w:pPr>
        <w:spacing w:line="560" w:lineRule="exact"/>
        <w:rPr>
          <w:rFonts w:hint="eastAsia" w:ascii="宋体" w:hAnsi="宋体" w:cs="宋体"/>
          <w:color w:val="auto"/>
          <w:szCs w:val="32"/>
          <w:highlight w:val="none"/>
        </w:rPr>
      </w:pPr>
    </w:p>
    <w:p w14:paraId="32C688DC">
      <w:pPr>
        <w:spacing w:line="360" w:lineRule="auto"/>
        <w:jc w:val="center"/>
        <w:rPr>
          <w:rFonts w:hint="eastAsia" w:ascii="宋体" w:hAnsi="宋体" w:cs="宋体"/>
          <w:color w:val="auto"/>
          <w:szCs w:val="32"/>
          <w:highlight w:val="none"/>
        </w:rPr>
      </w:pPr>
      <w:r>
        <w:rPr>
          <w:rFonts w:hint="eastAsia" w:ascii="宋体" w:hAnsi="宋体" w:cs="宋体"/>
          <w:color w:val="auto"/>
          <w:szCs w:val="32"/>
          <w:highlight w:val="none"/>
        </w:rPr>
        <w:t xml:space="preserve">　　　　　　　　　　       </w:t>
      </w:r>
      <w:r>
        <w:rPr>
          <w:rFonts w:hint="eastAsia" w:ascii="宋体" w:hAnsi="宋体" w:cs="宋体"/>
          <w:color w:val="auto"/>
          <w:szCs w:val="32"/>
          <w:highlight w:val="none"/>
          <w:lang w:val="en-US" w:eastAsia="zh-CN"/>
        </w:rPr>
        <w:t xml:space="preserve">  </w:t>
      </w:r>
      <w:r>
        <w:rPr>
          <w:rFonts w:hint="eastAsia" w:ascii="宋体" w:hAnsi="宋体" w:cs="宋体"/>
          <w:color w:val="auto"/>
          <w:szCs w:val="32"/>
          <w:highlight w:val="none"/>
        </w:rPr>
        <w:t xml:space="preserve">投标人名称（公章）           </w:t>
      </w:r>
    </w:p>
    <w:p w14:paraId="6AA55B17">
      <w:pPr>
        <w:spacing w:line="360" w:lineRule="auto"/>
        <w:jc w:val="center"/>
        <w:rPr>
          <w:rFonts w:hint="eastAsia" w:ascii="宋体" w:hAnsi="宋体" w:cs="宋体"/>
          <w:color w:val="auto"/>
          <w:szCs w:val="32"/>
          <w:highlight w:val="none"/>
        </w:rPr>
      </w:pPr>
      <w:r>
        <w:rPr>
          <w:rFonts w:hint="eastAsia" w:ascii="宋体" w:hAnsi="宋体" w:cs="宋体"/>
          <w:color w:val="auto"/>
          <w:szCs w:val="32"/>
          <w:highlight w:val="none"/>
        </w:rPr>
        <w:t xml:space="preserve">　　　　　　　　　   </w:t>
      </w:r>
      <w:r>
        <w:rPr>
          <w:rFonts w:hint="eastAsia" w:ascii="宋体" w:hAnsi="宋体"/>
          <w:bCs/>
          <w:color w:val="auto"/>
          <w:szCs w:val="21"/>
          <w:highlight w:val="none"/>
          <w:lang w:eastAsia="zh-CN"/>
        </w:rPr>
        <w:t>法定代表人或授权代表（签字）</w:t>
      </w:r>
      <w:r>
        <w:rPr>
          <w:rFonts w:hint="eastAsia" w:ascii="宋体" w:hAnsi="宋体"/>
          <w:bCs/>
          <w:color w:val="auto"/>
          <w:szCs w:val="21"/>
          <w:highlight w:val="none"/>
        </w:rPr>
        <w:t>：</w:t>
      </w:r>
    </w:p>
    <w:p w14:paraId="28826DFD">
      <w:pPr>
        <w:spacing w:line="360" w:lineRule="auto"/>
        <w:jc w:val="center"/>
        <w:rPr>
          <w:rFonts w:hint="eastAsia" w:ascii="宋体" w:hAnsi="宋体" w:cs="宋体"/>
          <w:color w:val="auto"/>
          <w:szCs w:val="32"/>
          <w:highlight w:val="none"/>
        </w:rPr>
        <w:sectPr>
          <w:pgSz w:w="11906" w:h="16838"/>
          <w:pgMar w:top="1440" w:right="1800" w:bottom="1440" w:left="1800" w:header="851" w:footer="992" w:gutter="0"/>
          <w:cols w:space="720" w:num="1"/>
          <w:docGrid w:linePitch="360" w:charSpace="0"/>
        </w:sectPr>
      </w:pPr>
      <w:r>
        <w:rPr>
          <w:rFonts w:hint="eastAsia" w:ascii="宋体" w:hAnsi="宋体" w:cs="宋体"/>
          <w:color w:val="auto"/>
          <w:szCs w:val="32"/>
          <w:highlight w:val="none"/>
        </w:rPr>
        <w:t>　　　　　　　　　      　年    月    日</w:t>
      </w:r>
    </w:p>
    <w:p w14:paraId="56DDC101">
      <w:pPr>
        <w:pageBreakBefore w:val="0"/>
        <w:spacing w:line="360" w:lineRule="auto"/>
        <w:jc w:val="center"/>
        <w:rPr>
          <w:rFonts w:ascii="Times New Roman" w:hAnsi="Times New Roman" w:eastAsia="宋体"/>
          <w:b/>
          <w:bCs/>
          <w:color w:val="auto"/>
          <w:highlight w:val="none"/>
        </w:rPr>
      </w:pPr>
      <w:r>
        <w:rPr>
          <w:rFonts w:hint="eastAsia"/>
          <w:b/>
          <w:bCs/>
          <w:color w:val="auto"/>
          <w:highlight w:val="none"/>
          <w:lang w:val="en-US" w:eastAsia="zh-CN"/>
        </w:rPr>
        <w:t>6、</w:t>
      </w:r>
      <w:r>
        <w:rPr>
          <w:rFonts w:hint="eastAsia" w:ascii="Times New Roman" w:hAnsi="Times New Roman" w:eastAsia="宋体"/>
          <w:b/>
          <w:bCs/>
          <w:color w:val="auto"/>
          <w:highlight w:val="none"/>
        </w:rPr>
        <w:t>中小企业声明函（工程、服务）</w:t>
      </w:r>
    </w:p>
    <w:p w14:paraId="5221F0D9">
      <w:pPr>
        <w:pageBreakBefore w:val="0"/>
        <w:spacing w:line="360" w:lineRule="auto"/>
        <w:ind w:firstLine="420"/>
        <w:jc w:val="left"/>
        <w:rPr>
          <w:rFonts w:ascii="Times New Roman" w:hAnsi="Times New Roman" w:eastAsia="宋体"/>
          <w:color w:val="auto"/>
          <w:highlight w:val="none"/>
        </w:rPr>
      </w:pPr>
      <w:r>
        <w:rPr>
          <w:rFonts w:hint="eastAsia" w:ascii="Times New Roman" w:hAnsi="Times New Roman" w:eastAsia="宋体"/>
          <w:color w:val="auto"/>
          <w:highlight w:val="none"/>
        </w:rPr>
        <w:t>本公司（联合体）郑重声明，根据《政府采购促进中小企业发展管理办法》（财库﹝2020﹞46 号）的规定，本公司（联合体）参加</w:t>
      </w:r>
      <w:r>
        <w:rPr>
          <w:rFonts w:hint="eastAsia" w:ascii="Times New Roman" w:hAnsi="Times New Roman" w:eastAsia="宋体"/>
          <w:color w:val="auto"/>
          <w:highlight w:val="none"/>
          <w:u w:val="single"/>
        </w:rPr>
        <w:t>（单位名称）</w:t>
      </w:r>
      <w:r>
        <w:rPr>
          <w:rFonts w:hint="eastAsia" w:ascii="Times New Roman" w:hAnsi="Times New Roman" w:eastAsia="宋体"/>
          <w:color w:val="auto"/>
          <w:highlight w:val="none"/>
        </w:rPr>
        <w:t>的</w:t>
      </w:r>
      <w:r>
        <w:rPr>
          <w:rFonts w:hint="eastAsia" w:ascii="Times New Roman" w:hAnsi="Times New Roman" w:eastAsia="宋体"/>
          <w:color w:val="auto"/>
          <w:highlight w:val="none"/>
          <w:u w:val="single"/>
        </w:rPr>
        <w:t>（项目名称）</w:t>
      </w:r>
      <w:r>
        <w:rPr>
          <w:rFonts w:hint="eastAsia" w:ascii="Times New Roman" w:hAnsi="Times New Roman" w:eastAsia="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8D70E03">
      <w:pPr>
        <w:pageBreakBefore w:val="0"/>
        <w:spacing w:line="360" w:lineRule="auto"/>
        <w:ind w:firstLine="420"/>
        <w:jc w:val="left"/>
        <w:rPr>
          <w:rFonts w:ascii="Times New Roman" w:hAnsi="Times New Roman" w:eastAsia="宋体"/>
          <w:color w:val="auto"/>
          <w:highlight w:val="none"/>
          <w:u w:val="single"/>
        </w:rPr>
      </w:pPr>
      <w:r>
        <w:rPr>
          <w:rFonts w:hint="eastAsia" w:ascii="Times New Roman" w:hAnsi="Times New Roman" w:eastAsia="宋体"/>
          <w:color w:val="auto"/>
          <w:highlight w:val="none"/>
        </w:rPr>
        <w:t xml:space="preserve">1. </w:t>
      </w:r>
      <w:r>
        <w:rPr>
          <w:rFonts w:hint="eastAsia" w:ascii="Times New Roman" w:hAnsi="Times New Roman" w:eastAsia="宋体"/>
          <w:color w:val="auto"/>
          <w:highlight w:val="none"/>
          <w:u w:val="single"/>
        </w:rPr>
        <w:t xml:space="preserve">（标的名称） </w:t>
      </w:r>
      <w:r>
        <w:rPr>
          <w:rFonts w:hint="eastAsia" w:ascii="Times New Roman" w:hAnsi="Times New Roman" w:eastAsia="宋体"/>
          <w:color w:val="auto"/>
          <w:highlight w:val="none"/>
        </w:rPr>
        <w:t>，属于</w:t>
      </w:r>
      <w:r>
        <w:rPr>
          <w:rFonts w:hint="eastAsia" w:ascii="Times New Roman" w:hAnsi="Times New Roman" w:eastAsia="宋体"/>
          <w:b/>
          <w:bCs/>
          <w:color w:val="auto"/>
          <w:highlight w:val="none"/>
          <w:u w:val="single"/>
        </w:rPr>
        <w:t>（（其他未列明行业））（不得对行业类别修改）</w:t>
      </w:r>
      <w:r>
        <w:rPr>
          <w:rFonts w:hint="eastAsia" w:ascii="Times New Roman" w:hAnsi="Times New Roman" w:eastAsia="宋体"/>
          <w:color w:val="auto"/>
          <w:highlight w:val="none"/>
        </w:rPr>
        <w:t>；承建（承接）企业为</w:t>
      </w:r>
      <w:r>
        <w:rPr>
          <w:rFonts w:hint="eastAsia" w:ascii="Times New Roman" w:hAnsi="Times New Roman" w:eastAsia="宋体"/>
          <w:color w:val="auto"/>
          <w:highlight w:val="none"/>
          <w:u w:val="single"/>
        </w:rPr>
        <w:t>（企业名称）</w:t>
      </w:r>
      <w:r>
        <w:rPr>
          <w:rFonts w:hint="eastAsia" w:ascii="Times New Roman" w:hAnsi="Times New Roman" w:eastAsia="宋体"/>
          <w:color w:val="auto"/>
          <w:highlight w:val="none"/>
        </w:rPr>
        <w:t>，从业人员</w:t>
      </w:r>
      <w:r>
        <w:rPr>
          <w:rFonts w:hint="eastAsia" w:ascii="Times New Roman" w:hAnsi="Times New Roman" w:eastAsia="宋体"/>
          <w:color w:val="auto"/>
          <w:highlight w:val="none"/>
          <w:u w:val="single"/>
        </w:rPr>
        <w:t xml:space="preserve">      </w:t>
      </w:r>
      <w:r>
        <w:rPr>
          <w:rFonts w:hint="eastAsia" w:ascii="Times New Roman" w:hAnsi="Times New Roman" w:eastAsia="宋体"/>
          <w:color w:val="auto"/>
          <w:highlight w:val="none"/>
        </w:rPr>
        <w:t>人，营业收入为</w:t>
      </w:r>
      <w:r>
        <w:rPr>
          <w:rFonts w:hint="eastAsia" w:ascii="Times New Roman" w:hAnsi="Times New Roman" w:eastAsia="宋体"/>
          <w:color w:val="auto"/>
          <w:highlight w:val="none"/>
          <w:u w:val="single"/>
        </w:rPr>
        <w:t xml:space="preserve">      </w:t>
      </w:r>
      <w:r>
        <w:rPr>
          <w:rFonts w:hint="eastAsia" w:ascii="Times New Roman" w:hAnsi="Times New Roman" w:eastAsia="宋体"/>
          <w:color w:val="auto"/>
          <w:highlight w:val="none"/>
        </w:rPr>
        <w:t>万元，资产总额为</w:t>
      </w:r>
      <w:r>
        <w:rPr>
          <w:rFonts w:hint="eastAsia" w:ascii="Times New Roman" w:hAnsi="Times New Roman" w:eastAsia="宋体"/>
          <w:color w:val="auto"/>
          <w:highlight w:val="none"/>
          <w:u w:val="single"/>
        </w:rPr>
        <w:t xml:space="preserve">       </w:t>
      </w:r>
      <w:r>
        <w:rPr>
          <w:rFonts w:hint="eastAsia" w:ascii="Times New Roman" w:hAnsi="Times New Roman" w:eastAsia="宋体"/>
          <w:color w:val="auto"/>
          <w:highlight w:val="none"/>
        </w:rPr>
        <w:t>万元</w:t>
      </w: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"br1" </w:instrText>
      </w:r>
      <w:r>
        <w:rPr>
          <w:rFonts w:ascii="Times New Roman" w:hAnsi="Times New Roman" w:eastAsia="宋体"/>
          <w:color w:val="auto"/>
          <w:highlight w:val="none"/>
        </w:rPr>
        <w:fldChar w:fldCharType="separate"/>
      </w:r>
      <w:r>
        <w:rPr>
          <w:rFonts w:ascii="Times New Roman" w:hAnsi="Times New Roman" w:eastAsia="宋体"/>
          <w:color w:val="auto"/>
          <w:spacing w:val="-1"/>
          <w:highlight w:val="none"/>
          <w:vertAlign w:val="superscript"/>
        </w:rPr>
        <w:t>1</w:t>
      </w:r>
      <w:r>
        <w:rPr>
          <w:rFonts w:ascii="Times New Roman" w:hAnsi="Times New Roman" w:eastAsia="宋体"/>
          <w:color w:val="auto"/>
          <w:spacing w:val="-1"/>
          <w:highlight w:val="none"/>
          <w:vertAlign w:val="superscript"/>
        </w:rPr>
        <w:fldChar w:fldCharType="end"/>
      </w:r>
      <w:r>
        <w:rPr>
          <w:rFonts w:hint="eastAsia" w:ascii="Times New Roman" w:hAnsi="Times New Roman" w:eastAsia="宋体"/>
          <w:color w:val="auto"/>
          <w:highlight w:val="none"/>
        </w:rPr>
        <w:t>，属于</w:t>
      </w:r>
      <w:r>
        <w:rPr>
          <w:rFonts w:hint="eastAsia" w:ascii="Times New Roman" w:hAnsi="Times New Roman" w:eastAsia="宋体"/>
          <w:color w:val="auto"/>
          <w:highlight w:val="none"/>
          <w:u w:val="single"/>
        </w:rPr>
        <w:t>（中型企业、小型企业、微型企业）；</w:t>
      </w:r>
    </w:p>
    <w:p w14:paraId="08BADF95">
      <w:pPr>
        <w:pageBreakBefore w:val="0"/>
        <w:spacing w:line="360" w:lineRule="auto"/>
        <w:ind w:firstLine="420"/>
        <w:jc w:val="left"/>
        <w:rPr>
          <w:rFonts w:ascii="Times New Roman" w:hAnsi="Times New Roman" w:eastAsia="宋体"/>
          <w:color w:val="auto"/>
          <w:highlight w:val="none"/>
          <w:u w:val="single"/>
        </w:rPr>
      </w:pPr>
      <w:r>
        <w:rPr>
          <w:rFonts w:hint="eastAsia" w:ascii="Times New Roman" w:hAnsi="Times New Roman" w:eastAsia="宋体"/>
          <w:color w:val="auto"/>
          <w:highlight w:val="none"/>
        </w:rPr>
        <w:t xml:space="preserve">2. </w:t>
      </w:r>
      <w:r>
        <w:rPr>
          <w:rFonts w:hint="eastAsia" w:ascii="Times New Roman" w:hAnsi="Times New Roman" w:eastAsia="宋体"/>
          <w:color w:val="auto"/>
          <w:highlight w:val="none"/>
          <w:u w:val="single"/>
        </w:rPr>
        <w:t>（标的名称）</w:t>
      </w:r>
      <w:r>
        <w:rPr>
          <w:rFonts w:hint="eastAsia" w:ascii="Times New Roman" w:hAnsi="Times New Roman" w:eastAsia="宋体"/>
          <w:color w:val="auto"/>
          <w:highlight w:val="none"/>
        </w:rPr>
        <w:t xml:space="preserve"> ，属于</w:t>
      </w:r>
      <w:r>
        <w:rPr>
          <w:rFonts w:hint="eastAsia" w:ascii="Times New Roman" w:hAnsi="Times New Roman" w:eastAsia="宋体"/>
          <w:b/>
          <w:bCs/>
          <w:color w:val="auto"/>
          <w:highlight w:val="none"/>
          <w:u w:val="single"/>
        </w:rPr>
        <w:t>（（其他未列明行业））（不得对行业类别修改）</w:t>
      </w:r>
      <w:r>
        <w:rPr>
          <w:rFonts w:hint="eastAsia" w:ascii="Times New Roman" w:hAnsi="Times New Roman" w:eastAsia="宋体"/>
          <w:color w:val="auto"/>
          <w:highlight w:val="none"/>
        </w:rPr>
        <w:t>；承建（承接）企业为</w:t>
      </w:r>
      <w:r>
        <w:rPr>
          <w:rFonts w:hint="eastAsia" w:ascii="Times New Roman" w:hAnsi="Times New Roman" w:eastAsia="宋体"/>
          <w:color w:val="auto"/>
          <w:highlight w:val="none"/>
          <w:u w:val="single"/>
        </w:rPr>
        <w:t>（企业名称）</w:t>
      </w:r>
      <w:r>
        <w:rPr>
          <w:rFonts w:hint="eastAsia" w:ascii="Times New Roman" w:hAnsi="Times New Roman" w:eastAsia="宋体"/>
          <w:color w:val="auto"/>
          <w:highlight w:val="none"/>
        </w:rPr>
        <w:t>，从业人员</w:t>
      </w:r>
      <w:r>
        <w:rPr>
          <w:rFonts w:hint="eastAsia" w:ascii="Times New Roman" w:hAnsi="Times New Roman" w:eastAsia="宋体"/>
          <w:color w:val="auto"/>
          <w:highlight w:val="none"/>
          <w:u w:val="single"/>
        </w:rPr>
        <w:t xml:space="preserve">      </w:t>
      </w:r>
      <w:r>
        <w:rPr>
          <w:rFonts w:hint="eastAsia" w:ascii="Times New Roman" w:hAnsi="Times New Roman" w:eastAsia="宋体"/>
          <w:color w:val="auto"/>
          <w:highlight w:val="none"/>
        </w:rPr>
        <w:t>人，营业收入为</w:t>
      </w:r>
      <w:r>
        <w:rPr>
          <w:rFonts w:hint="eastAsia" w:ascii="Times New Roman" w:hAnsi="Times New Roman" w:eastAsia="宋体"/>
          <w:color w:val="auto"/>
          <w:highlight w:val="none"/>
          <w:u w:val="single"/>
        </w:rPr>
        <w:t xml:space="preserve">      </w:t>
      </w:r>
      <w:r>
        <w:rPr>
          <w:rFonts w:hint="eastAsia" w:ascii="Times New Roman" w:hAnsi="Times New Roman" w:eastAsia="宋体"/>
          <w:color w:val="auto"/>
          <w:highlight w:val="none"/>
        </w:rPr>
        <w:t>万元，资产总额为</w:t>
      </w:r>
      <w:r>
        <w:rPr>
          <w:rFonts w:hint="eastAsia" w:ascii="Times New Roman" w:hAnsi="Times New Roman" w:eastAsia="宋体"/>
          <w:color w:val="auto"/>
          <w:highlight w:val="none"/>
          <w:u w:val="single"/>
        </w:rPr>
        <w:t xml:space="preserve">       </w:t>
      </w:r>
      <w:r>
        <w:rPr>
          <w:rFonts w:hint="eastAsia" w:ascii="Times New Roman" w:hAnsi="Times New Roman" w:eastAsia="宋体"/>
          <w:color w:val="auto"/>
          <w:highlight w:val="none"/>
        </w:rPr>
        <w:t>万元，属于</w:t>
      </w:r>
      <w:r>
        <w:rPr>
          <w:rFonts w:hint="eastAsia" w:ascii="Times New Roman" w:hAnsi="Times New Roman" w:eastAsia="宋体"/>
          <w:color w:val="auto"/>
          <w:highlight w:val="none"/>
          <w:u w:val="single"/>
        </w:rPr>
        <w:t>（中型企业、小型企业、微型企业）；</w:t>
      </w:r>
    </w:p>
    <w:p w14:paraId="5016D520">
      <w:pPr>
        <w:pageBreakBefore w:val="0"/>
        <w:spacing w:line="360" w:lineRule="auto"/>
        <w:ind w:firstLine="420"/>
        <w:jc w:val="left"/>
        <w:rPr>
          <w:rFonts w:ascii="Times New Roman" w:hAnsi="Times New Roman" w:eastAsia="宋体"/>
          <w:color w:val="auto"/>
          <w:highlight w:val="none"/>
        </w:rPr>
      </w:pPr>
      <w:r>
        <w:rPr>
          <w:rFonts w:hint="eastAsia" w:ascii="Times New Roman" w:hAnsi="Times New Roman" w:eastAsia="宋体"/>
          <w:color w:val="auto"/>
          <w:highlight w:val="none"/>
        </w:rPr>
        <w:t>……</w:t>
      </w:r>
    </w:p>
    <w:p w14:paraId="67DD4C6D">
      <w:pPr>
        <w:pageBreakBefore w:val="0"/>
        <w:spacing w:line="360" w:lineRule="auto"/>
        <w:ind w:firstLine="420"/>
        <w:jc w:val="left"/>
        <w:rPr>
          <w:rFonts w:ascii="Times New Roman" w:hAnsi="Times New Roman" w:eastAsia="宋体"/>
          <w:color w:val="auto"/>
          <w:highlight w:val="none"/>
        </w:rPr>
      </w:pPr>
      <w:r>
        <w:rPr>
          <w:rFonts w:hint="eastAsia" w:ascii="Times New Roman" w:hAnsi="Times New Roman" w:eastAsia="宋体"/>
          <w:color w:val="auto"/>
          <w:highlight w:val="none"/>
        </w:rPr>
        <w:t>以上企业，不属于大企业的分支机构，不存在控股股东为大企业的情形，也不存在与大企业的负责人为同一人的情形。</w:t>
      </w:r>
    </w:p>
    <w:p w14:paraId="43B5DBE3">
      <w:pPr>
        <w:pageBreakBefore w:val="0"/>
        <w:spacing w:line="360" w:lineRule="auto"/>
        <w:ind w:firstLine="420"/>
        <w:jc w:val="left"/>
        <w:rPr>
          <w:rFonts w:ascii="Times New Roman" w:hAnsi="Times New Roman" w:eastAsia="宋体"/>
          <w:color w:val="auto"/>
          <w:highlight w:val="none"/>
        </w:rPr>
      </w:pPr>
      <w:r>
        <w:rPr>
          <w:rFonts w:hint="eastAsia" w:ascii="Times New Roman" w:hAnsi="Times New Roman" w:eastAsia="宋体"/>
          <w:color w:val="auto"/>
          <w:highlight w:val="none"/>
        </w:rPr>
        <w:t>本企业对上述声明内容的真实性负责。如有虚假，将依法承担相应责任。</w:t>
      </w:r>
    </w:p>
    <w:p w14:paraId="216669DE">
      <w:pPr>
        <w:pageBreakBefore w:val="0"/>
        <w:spacing w:line="360" w:lineRule="auto"/>
        <w:ind w:firstLine="420"/>
        <w:jc w:val="left"/>
        <w:rPr>
          <w:rFonts w:ascii="Times New Roman" w:hAnsi="Times New Roman" w:eastAsia="宋体"/>
          <w:color w:val="auto"/>
          <w:highlight w:val="none"/>
        </w:rPr>
      </w:pPr>
    </w:p>
    <w:p w14:paraId="6CB39DDA">
      <w:pPr>
        <w:pageBreakBefore w:val="0"/>
        <w:spacing w:line="360" w:lineRule="auto"/>
        <w:rPr>
          <w:rFonts w:ascii="Times New Roman" w:hAnsi="Times New Roman" w:eastAsia="宋体"/>
          <w:color w:val="auto"/>
          <w:highlight w:val="none"/>
        </w:rPr>
      </w:pPr>
      <w:r>
        <w:rPr>
          <w:rFonts w:hint="eastAsia" w:ascii="Times New Roman" w:hAnsi="Times New Roman" w:eastAsia="宋体"/>
          <w:color w:val="auto"/>
          <w:highlight w:val="none"/>
        </w:rPr>
        <w:t>注：1、从业人员（不仅指在职职工）、营业收入、资产总额填报上一年度数据，无上一年度数据的新成立企业可不填报。</w:t>
      </w:r>
    </w:p>
    <w:p w14:paraId="57520BD6">
      <w:pPr>
        <w:pageBreakBefore w:val="0"/>
        <w:spacing w:line="360" w:lineRule="auto"/>
        <w:ind w:firstLine="420"/>
        <w:jc w:val="left"/>
        <w:rPr>
          <w:rFonts w:ascii="Times New Roman" w:hAnsi="Times New Roman" w:eastAsia="宋体" w:cs="宋体"/>
          <w:color w:val="auto"/>
          <w:highlight w:val="none"/>
        </w:rPr>
      </w:pPr>
      <w:r>
        <w:rPr>
          <w:rFonts w:hint="eastAsia" w:ascii="Times New Roman" w:hAnsi="Times New Roman" w:eastAsia="宋体" w:cs="宋体"/>
          <w:color w:val="auto"/>
          <w:highlight w:val="none"/>
        </w:rPr>
        <w:t>2、《中小企业声明函》不符合要求或未提供的，作如下处理：①如本项目专门面向中小企业采购，则投标（响应）文件无效；②如本项目不专门面向中小企业采购，则价格将不做相应扣除。</w:t>
      </w:r>
    </w:p>
    <w:p w14:paraId="42E348EA">
      <w:pPr>
        <w:pageBreakBefore w:val="0"/>
        <w:spacing w:line="360" w:lineRule="auto"/>
        <w:rPr>
          <w:rFonts w:ascii="Times New Roman" w:hAnsi="Times New Roman" w:eastAsia="宋体"/>
          <w:color w:val="auto"/>
          <w:highlight w:val="none"/>
        </w:rPr>
      </w:pPr>
      <w:r>
        <w:rPr>
          <w:rFonts w:hint="eastAsia" w:ascii="Times New Roman" w:hAnsi="Times New Roman" w:eastAsia="宋体"/>
          <w:color w:val="auto"/>
          <w:highlight w:val="none"/>
        </w:rPr>
        <w:t xml:space="preserve">    3、企业声明函请完整填写，中标后将公示。</w:t>
      </w:r>
    </w:p>
    <w:p w14:paraId="10B7EC9A">
      <w:pPr>
        <w:pageBreakBefore w:val="0"/>
        <w:spacing w:line="360" w:lineRule="auto"/>
        <w:ind w:firstLine="420"/>
        <w:jc w:val="left"/>
        <w:rPr>
          <w:rFonts w:ascii="Times New Roman" w:hAnsi="Times New Roman" w:eastAsia="宋体"/>
          <w:color w:val="auto"/>
          <w:highlight w:val="none"/>
        </w:rPr>
      </w:pPr>
      <w:r>
        <w:rPr>
          <w:rFonts w:hint="eastAsia" w:ascii="Times New Roman" w:hAnsi="Times New Roman" w:eastAsia="宋体"/>
          <w:color w:val="auto"/>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118F1521">
      <w:pPr>
        <w:pageBreakBefore w:val="0"/>
        <w:spacing w:line="360" w:lineRule="auto"/>
        <w:ind w:firstLine="420"/>
        <w:jc w:val="left"/>
        <w:rPr>
          <w:rFonts w:ascii="Times New Roman" w:hAnsi="Times New Roman" w:eastAsia="宋体"/>
          <w:color w:val="auto"/>
          <w:highlight w:val="none"/>
        </w:rPr>
      </w:pPr>
      <w:r>
        <w:rPr>
          <w:rFonts w:hint="eastAsia" w:ascii="Times New Roman" w:hAnsi="Times New Roman" w:eastAsia="宋体"/>
          <w:color w:val="auto"/>
          <w:highlight w:val="none"/>
        </w:rPr>
        <w:t>5、中小企业不得属于大企业的分支机构，不得存在控股股东为大企业的情形，不得存在与大企业的负责人为同一人的情形。</w:t>
      </w:r>
    </w:p>
    <w:p w14:paraId="3CF97055">
      <w:pPr>
        <w:pageBreakBefore w:val="0"/>
        <w:spacing w:line="360" w:lineRule="auto"/>
        <w:ind w:firstLine="420"/>
        <w:jc w:val="left"/>
        <w:rPr>
          <w:rFonts w:ascii="Times New Roman" w:hAnsi="Times New Roman" w:eastAsia="宋体"/>
          <w:color w:val="auto"/>
          <w:highlight w:val="none"/>
        </w:rPr>
      </w:pPr>
      <w:r>
        <w:rPr>
          <w:rFonts w:hint="eastAsia" w:ascii="Times New Roman" w:hAnsi="Times New Roman" w:eastAsia="宋体"/>
          <w:color w:val="auto"/>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19B356D1">
      <w:pPr>
        <w:pageBreakBefore w:val="0"/>
        <w:spacing w:line="360" w:lineRule="auto"/>
        <w:ind w:firstLine="4620"/>
        <w:jc w:val="left"/>
        <w:rPr>
          <w:rFonts w:ascii="Times New Roman" w:hAnsi="Times New Roman" w:eastAsia="宋体"/>
          <w:color w:val="auto"/>
          <w:highlight w:val="none"/>
        </w:rPr>
      </w:pPr>
      <w:r>
        <w:rPr>
          <w:rFonts w:hint="eastAsia" w:ascii="Times New Roman" w:hAnsi="Times New Roman" w:eastAsia="宋体"/>
          <w:color w:val="auto"/>
          <w:highlight w:val="none"/>
        </w:rPr>
        <w:t>企业名称（盖章）：</w:t>
      </w:r>
    </w:p>
    <w:p w14:paraId="3BE96022">
      <w:pPr>
        <w:pageBreakBefore w:val="0"/>
        <w:spacing w:line="360" w:lineRule="auto"/>
        <w:ind w:firstLine="4620"/>
        <w:jc w:val="left"/>
        <w:rPr>
          <w:rFonts w:ascii="Times New Roman" w:hAnsi="Times New Roman" w:eastAsia="宋体"/>
          <w:color w:val="auto"/>
          <w:highlight w:val="none"/>
        </w:rPr>
      </w:pPr>
      <w:r>
        <w:rPr>
          <w:rFonts w:hint="eastAsia" w:ascii="Times New Roman" w:hAnsi="Times New Roman" w:eastAsia="宋体"/>
          <w:color w:val="auto"/>
          <w:highlight w:val="none"/>
        </w:rPr>
        <w:t>日 期：</w:t>
      </w:r>
    </w:p>
    <w:p w14:paraId="6DDBCC29">
      <w:pPr>
        <w:pStyle w:val="38"/>
        <w:pageBreakBefore w:val="0"/>
        <w:widowControl/>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s="仿宋"/>
          <w:color w:val="auto"/>
          <w:sz w:val="21"/>
          <w:szCs w:val="21"/>
          <w:highlight w:val="none"/>
        </w:rPr>
        <w:t>    </w:t>
      </w:r>
      <w:r>
        <w:rPr>
          <w:rStyle w:val="45"/>
          <w:rFonts w:hint="eastAsia" w:ascii="Times New Roman" w:hAnsi="Times New Roman" w:eastAsia="宋体" w:cs="仿宋"/>
          <w:color w:val="auto"/>
          <w:sz w:val="21"/>
          <w:szCs w:val="21"/>
          <w:highlight w:val="none"/>
        </w:rPr>
        <w:t>中小微企业划型标准如下：</w:t>
      </w:r>
    </w:p>
    <w:tbl>
      <w:tblPr>
        <w:tblStyle w:val="42"/>
        <w:tblW w:w="8988" w:type="dxa"/>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739"/>
        <w:gridCol w:w="1181"/>
        <w:gridCol w:w="1413"/>
        <w:gridCol w:w="1709"/>
        <w:gridCol w:w="1500"/>
      </w:tblGrid>
      <w:tr w14:paraId="3160A94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trPr>
        <w:tc>
          <w:tcPr>
            <w:tcW w:w="140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0E5EE6">
            <w:pPr>
              <w:pStyle w:val="38"/>
              <w:pageBreakBefore w:val="0"/>
              <w:widowControl/>
              <w:spacing w:line="360" w:lineRule="auto"/>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行业名称</w:t>
            </w:r>
          </w:p>
        </w:tc>
        <w:tc>
          <w:tcPr>
            <w:tcW w:w="170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7800374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指标名称</w:t>
            </w:r>
          </w:p>
        </w:tc>
        <w:tc>
          <w:tcPr>
            <w:tcW w:w="1151"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3792AB50">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计量单位</w:t>
            </w:r>
          </w:p>
        </w:tc>
        <w:tc>
          <w:tcPr>
            <w:tcW w:w="1383"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226E735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中型</w:t>
            </w:r>
          </w:p>
        </w:tc>
        <w:tc>
          <w:tcPr>
            <w:tcW w:w="167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45629EA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小型</w:t>
            </w:r>
          </w:p>
        </w:tc>
        <w:tc>
          <w:tcPr>
            <w:tcW w:w="1455"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537B2121">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微型</w:t>
            </w:r>
          </w:p>
        </w:tc>
      </w:tr>
      <w:tr w14:paraId="01AD969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4A8AD0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农、林、牧、渔</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1E571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F14F31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C19EA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500≤Y＜20000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D4A4D6">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50≤Y＜500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4D35A1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Y＜50</w:t>
            </w:r>
          </w:p>
        </w:tc>
      </w:tr>
      <w:tr w14:paraId="1C89DAD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21642166">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工业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4B074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BEA888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F184DC1">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9C313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905C39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X＜20</w:t>
            </w:r>
          </w:p>
        </w:tc>
      </w:tr>
      <w:tr w14:paraId="56A6E0C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3CCFA834">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6F4E7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5562631">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932D263">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2000≤Y＜40000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3DEEBB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300≤Y＜2000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8F79DA">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Y＜300</w:t>
            </w:r>
          </w:p>
        </w:tc>
      </w:tr>
      <w:tr w14:paraId="2575B0A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48CAD610">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建筑业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6D155B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8B0872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97F39D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6000≤Y＜80000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C89E75">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300≤Y＜6000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929E943">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Y＜300</w:t>
            </w:r>
          </w:p>
        </w:tc>
      </w:tr>
      <w:tr w14:paraId="133A5C5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31AC816F">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2436C2A">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B7BEE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4BE8D0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5000≤Z＜80000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C44155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300≤Z＜5000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AEE300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Z＜300</w:t>
            </w:r>
          </w:p>
        </w:tc>
      </w:tr>
      <w:tr w14:paraId="77F1131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14A0C855">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批发业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802E7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E43D67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0DD617A">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20≤X＜200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3A61A11">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5≤X＜20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3B6EF23">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X＜5</w:t>
            </w:r>
          </w:p>
        </w:tc>
      </w:tr>
      <w:tr w14:paraId="77068A0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5A803F71">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1D4FFFA">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5D6051">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237D0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5000≤Y＜40000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879051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1000≤Y＜5000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4E6CA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Y＜1000</w:t>
            </w:r>
          </w:p>
        </w:tc>
      </w:tr>
      <w:tr w14:paraId="01AFF0D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C94A58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零售业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CFEF4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85531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3E2192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50≤X＜300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CA55A1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10≤X＜50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949567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X＜10</w:t>
            </w:r>
          </w:p>
        </w:tc>
      </w:tr>
      <w:tr w14:paraId="4F1AEAF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442275F7">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BBED999">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66277E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662439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500≤Y＜20000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F8C45D9">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100≤Y＜500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B96109">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Y＜100</w:t>
            </w:r>
          </w:p>
        </w:tc>
      </w:tr>
      <w:tr w14:paraId="3590A82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26205FA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交通运输业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2A5E4D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F6EC5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9B9B4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4B18FA">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7FCB85">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X＜20</w:t>
            </w:r>
          </w:p>
        </w:tc>
      </w:tr>
      <w:tr w14:paraId="6573FE4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62DBA6E3">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A5ABDE3">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A541E79">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82902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3000≤Y＜30000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1DF91A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200≤Y＜3000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B1E8DF1">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Y＜200</w:t>
            </w:r>
          </w:p>
        </w:tc>
      </w:tr>
      <w:tr w14:paraId="3D8E075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CD77E49">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仓储业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678E71">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45557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622E4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100≤X＜200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7893699">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D1BBC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X＜20</w:t>
            </w:r>
          </w:p>
        </w:tc>
      </w:tr>
      <w:tr w14:paraId="5B27DA9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90FBD2D">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8CC63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AAFAD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66E14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BD8303">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4EBD83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Y＜100</w:t>
            </w:r>
          </w:p>
        </w:tc>
      </w:tr>
      <w:tr w14:paraId="5113AD8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93CB3A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邮政业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B719AF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B568D7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4C7F739">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594C22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B456E4">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X＜20</w:t>
            </w:r>
          </w:p>
        </w:tc>
      </w:tr>
      <w:tr w14:paraId="3498FE9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E3589E0">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42C4B14">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55A667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BB6513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519780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FBAC9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Y＜100</w:t>
            </w:r>
          </w:p>
        </w:tc>
      </w:tr>
      <w:tr w14:paraId="2048428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0AC199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住宿业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84430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6765674">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A9A3E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18DE634">
            <w:pPr>
              <w:pStyle w:val="38"/>
              <w:pageBreakBefore w:val="0"/>
              <w:widowControl/>
              <w:spacing w:line="360" w:lineRule="auto"/>
              <w:ind w:firstLine="420"/>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3FD000">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X＜10</w:t>
            </w:r>
          </w:p>
        </w:tc>
      </w:tr>
      <w:tr w14:paraId="6C65E86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E1E0647">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C3DE5F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E4B2C4">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7A2CDD1">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801FB5">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7BB2C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Y＜100</w:t>
            </w:r>
          </w:p>
        </w:tc>
      </w:tr>
      <w:tr w14:paraId="35ABC5E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44E22DC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餐饮业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99AE24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7B44524">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05908D4">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961EF4">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720C3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X＜10</w:t>
            </w:r>
          </w:p>
        </w:tc>
      </w:tr>
      <w:tr w14:paraId="18CC648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7039456">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0B10D8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603E0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332135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47AE34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AE11C15">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Y＜100</w:t>
            </w:r>
          </w:p>
        </w:tc>
      </w:tr>
      <w:tr w14:paraId="7DE2DC1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14B69E2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信息传输业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105DB0">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7EBAB4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9BC0861">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100≤X＜2000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B02306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5E8909">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X＜10</w:t>
            </w:r>
          </w:p>
        </w:tc>
      </w:tr>
      <w:tr w14:paraId="564E7CC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7F29F19F">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F92D9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EC8F1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99E45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1000≤Y＜100000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BEF353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F60A0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Y＜100</w:t>
            </w:r>
          </w:p>
        </w:tc>
      </w:tr>
      <w:tr w14:paraId="0ABBD3B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131DCD5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软件和信息技术服务业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A2F7C6">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F31613">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F14DF6">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34C845">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368DD45">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X＜10</w:t>
            </w:r>
          </w:p>
        </w:tc>
      </w:tr>
      <w:tr w14:paraId="72CD55E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155FCAA">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065CB56">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30E9B3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3F827E3">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B44DE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50≤Y＜1000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7FEB1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Y＜50</w:t>
            </w:r>
          </w:p>
        </w:tc>
      </w:tr>
      <w:tr w14:paraId="5B2E9E7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73ED20F5">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房地产开发经营</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AF8E9A">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9635BAC">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040CD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1000≤Y＜200000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C88F09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100≤X＜1000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A0C1D8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X＜100</w:t>
            </w:r>
          </w:p>
        </w:tc>
      </w:tr>
      <w:tr w14:paraId="1E89981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05C76D0A">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5451B6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EE09AC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DB58A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5000≤Z＜10000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0B46FD0">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2000≤Y＜5000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49C7AD7">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Y＜2000</w:t>
            </w:r>
          </w:p>
        </w:tc>
      </w:tr>
      <w:tr w14:paraId="4A83C96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119F2924">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物业管理</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D509595">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5C1786">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CCA6EE4">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63D91B9">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7A9F1E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X＜100</w:t>
            </w:r>
          </w:p>
        </w:tc>
      </w:tr>
      <w:tr w14:paraId="2D4AD45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FDB488A">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8B42D0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8443F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596790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1000≤Y＜5000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E7F304E">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500≤Y＜1000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9123EB9">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Y＜500</w:t>
            </w:r>
          </w:p>
        </w:tc>
      </w:tr>
      <w:tr w14:paraId="4F128E1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49554394">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租赁和商务服务业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80A30EA">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98B4C3">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22B1B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EFE59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D9620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X＜10</w:t>
            </w:r>
          </w:p>
        </w:tc>
      </w:tr>
      <w:tr w14:paraId="64CD9E0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0A4D4445">
            <w:pPr>
              <w:pageBreakBefore w:val="0"/>
              <w:widowControl/>
              <w:spacing w:line="360" w:lineRule="auto"/>
              <w:jc w:val="center"/>
              <w:rPr>
                <w:rFonts w:ascii="Times New Roman" w:hAnsi="Times New Roman" w:eastAsia="宋体"/>
                <w:color w:val="auto"/>
                <w:szCs w:val="21"/>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D9476D">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6693C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万元</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5CF1E55">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8000≤Z＜120000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F326BF8">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100≤Z＜8000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F077D4A">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Y＜100</w:t>
            </w:r>
          </w:p>
        </w:tc>
      </w:tr>
      <w:tr w14:paraId="2ACCE3A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B9F0E76">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其他未列明行业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24D3C0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53378F">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人</w:t>
            </w:r>
          </w:p>
        </w:tc>
        <w:tc>
          <w:tcPr>
            <w:tcW w:w="138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1A8B542">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2026A3">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E6514B">
            <w:pPr>
              <w:pStyle w:val="38"/>
              <w:pageBreakBefore w:val="0"/>
              <w:widowControl/>
              <w:spacing w:line="360" w:lineRule="auto"/>
              <w:jc w:val="center"/>
              <w:rPr>
                <w:rFonts w:ascii="Times New Roman" w:hAnsi="Times New Roman" w:eastAsia="宋体"/>
                <w:color w:val="auto"/>
                <w:sz w:val="21"/>
                <w:szCs w:val="21"/>
                <w:highlight w:val="none"/>
              </w:rPr>
            </w:pPr>
            <w:r>
              <w:rPr>
                <w:rStyle w:val="45"/>
                <w:rFonts w:hint="eastAsia" w:ascii="Times New Roman" w:hAnsi="Times New Roman" w:eastAsia="宋体" w:cs="仿宋"/>
                <w:color w:val="auto"/>
                <w:sz w:val="21"/>
                <w:szCs w:val="21"/>
                <w:highlight w:val="none"/>
              </w:rPr>
              <w:t>X＜10</w:t>
            </w:r>
          </w:p>
        </w:tc>
      </w:tr>
    </w:tbl>
    <w:p w14:paraId="476C4438">
      <w:pPr>
        <w:pStyle w:val="38"/>
        <w:widowControl/>
        <w:spacing w:before="300" w:after="452" w:line="360" w:lineRule="auto"/>
        <w:ind w:firstLine="810"/>
        <w:rPr>
          <w:rStyle w:val="45"/>
          <w:rFonts w:ascii="宋体" w:hAnsi="宋体" w:cs="仿宋"/>
          <w:color w:val="auto"/>
          <w:sz w:val="21"/>
          <w:szCs w:val="21"/>
          <w:highlight w:val="none"/>
        </w:rPr>
      </w:pPr>
      <w:r>
        <w:rPr>
          <w:rStyle w:val="45"/>
          <w:rFonts w:hint="eastAsia" w:ascii="Times New Roman" w:hAnsi="Times New Roman" w:eastAsia="宋体" w:cs="仿宋"/>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B8E4E27">
      <w:pPr>
        <w:widowControl/>
        <w:jc w:val="left"/>
        <w:rPr>
          <w:rFonts w:ascii="宋体" w:hAnsi="宋体" w:cs="Arial"/>
          <w:b/>
          <w:bCs/>
          <w:color w:val="auto"/>
          <w:highlight w:val="none"/>
        </w:rPr>
      </w:pPr>
    </w:p>
    <w:p w14:paraId="5ECF62FE">
      <w:pPr>
        <w:widowControl/>
        <w:jc w:val="left"/>
        <w:rPr>
          <w:rFonts w:ascii="宋体" w:hAnsi="宋体" w:cs="Arial"/>
          <w:b/>
          <w:bCs/>
          <w:color w:val="auto"/>
          <w:highlight w:val="none"/>
        </w:rPr>
      </w:pPr>
    </w:p>
    <w:p w14:paraId="35A9F44C">
      <w:pPr>
        <w:widowControl/>
        <w:jc w:val="left"/>
        <w:rPr>
          <w:rFonts w:ascii="宋体" w:hAnsi="宋体" w:cs="Arial"/>
          <w:b/>
          <w:bCs/>
          <w:color w:val="auto"/>
          <w:highlight w:val="none"/>
        </w:rPr>
      </w:pPr>
    </w:p>
    <w:p w14:paraId="4796D81B">
      <w:pPr>
        <w:pStyle w:val="4"/>
        <w:rPr>
          <w:rStyle w:val="45"/>
          <w:rFonts w:cs="仿宋"/>
          <w:b w:val="0"/>
          <w:bCs w:val="0"/>
          <w:color w:val="auto"/>
          <w:sz w:val="21"/>
          <w:szCs w:val="21"/>
          <w:highlight w:val="none"/>
        </w:rPr>
      </w:pPr>
      <w:r>
        <w:rPr>
          <w:rStyle w:val="45"/>
          <w:rFonts w:ascii="宋体" w:hAnsi="宋体" w:cs="仿宋"/>
          <w:b w:val="0"/>
          <w:bCs w:val="0"/>
          <w:color w:val="auto"/>
          <w:sz w:val="21"/>
          <w:szCs w:val="21"/>
          <w:highlight w:val="none"/>
        </w:rPr>
        <w:br w:type="page" w:clear="all"/>
      </w:r>
    </w:p>
    <w:p w14:paraId="7B797055">
      <w:pPr>
        <w:jc w:val="center"/>
        <w:rPr>
          <w:color w:val="auto"/>
          <w:highlight w:val="none"/>
        </w:rPr>
      </w:pPr>
      <w:r>
        <w:rPr>
          <w:rFonts w:hint="eastAsia" w:ascii="宋体" w:hAnsi="宋体"/>
          <w:b/>
          <w:bCs/>
          <w:color w:val="auto"/>
          <w:highlight w:val="none"/>
          <w:lang w:val="en-US" w:eastAsia="zh-CN"/>
        </w:rPr>
        <w:t>7、</w:t>
      </w:r>
      <w:r>
        <w:rPr>
          <w:rFonts w:hint="eastAsia" w:ascii="宋体" w:hAnsi="宋体"/>
          <w:b/>
          <w:bCs/>
          <w:color w:val="auto"/>
          <w:highlight w:val="none"/>
        </w:rPr>
        <w:t>残疾人福利性单位声明函</w:t>
      </w:r>
    </w:p>
    <w:p w14:paraId="370E7559">
      <w:pPr>
        <w:spacing w:line="588" w:lineRule="exact"/>
        <w:ind w:firstLine="624"/>
        <w:rPr>
          <w:rFonts w:ascii="仿宋_GB2312" w:eastAsia="仿宋_GB2312"/>
          <w:color w:val="auto"/>
          <w:spacing w:val="6"/>
          <w:sz w:val="30"/>
          <w:szCs w:val="30"/>
          <w:highlight w:val="none"/>
        </w:rPr>
      </w:pPr>
    </w:p>
    <w:p w14:paraId="72A578E9">
      <w:pPr>
        <w:spacing w:line="588" w:lineRule="exact"/>
        <w:ind w:firstLine="42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2662D6E3">
      <w:pPr>
        <w:spacing w:line="588" w:lineRule="exact"/>
        <w:ind w:firstLine="420"/>
        <w:rPr>
          <w:rFonts w:ascii="宋体" w:hAnsi="宋体"/>
          <w:color w:val="auto"/>
          <w:szCs w:val="21"/>
          <w:highlight w:val="none"/>
        </w:rPr>
      </w:pPr>
      <w:r>
        <w:rPr>
          <w:rFonts w:hint="eastAsia" w:ascii="宋体" w:hAnsi="宋体"/>
          <w:color w:val="auto"/>
          <w:szCs w:val="21"/>
          <w:highlight w:val="none"/>
        </w:rPr>
        <w:t>本单位在本次政府采购活动中提供的残疾人福利单位产品报价合计为人民币（大写）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圆整（￥：     ）。</w:t>
      </w:r>
    </w:p>
    <w:p w14:paraId="2BC19113">
      <w:pPr>
        <w:spacing w:line="588" w:lineRule="exact"/>
        <w:ind w:firstLine="42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2F16C6B7">
      <w:pPr>
        <w:spacing w:line="588" w:lineRule="exact"/>
        <w:ind w:firstLine="420"/>
        <w:rPr>
          <w:rFonts w:ascii="宋体" w:hAnsi="宋体"/>
          <w:color w:val="auto"/>
          <w:szCs w:val="21"/>
          <w:highlight w:val="none"/>
        </w:rPr>
      </w:pPr>
    </w:p>
    <w:p w14:paraId="77FD6356">
      <w:pPr>
        <w:spacing w:line="588" w:lineRule="exact"/>
        <w:ind w:firstLine="420"/>
        <w:rPr>
          <w:rFonts w:ascii="宋体" w:hAnsi="宋体"/>
          <w:color w:val="auto"/>
          <w:szCs w:val="21"/>
          <w:highlight w:val="none"/>
        </w:rPr>
      </w:pPr>
      <w:r>
        <w:rPr>
          <w:rFonts w:hint="eastAsia" w:ascii="宋体" w:hAnsi="宋体"/>
          <w:color w:val="auto"/>
          <w:szCs w:val="21"/>
          <w:highlight w:val="none"/>
        </w:rPr>
        <w:t>（备注：1、供应商如不提供此声明函，价格将不做相应扣除。2、中标供应商为残疾人福利单位的，此声明函将随中标结果同时公告，接受社会监督）</w:t>
      </w:r>
    </w:p>
    <w:p w14:paraId="37850792">
      <w:pPr>
        <w:spacing w:line="588" w:lineRule="exact"/>
        <w:ind w:firstLine="444"/>
        <w:rPr>
          <w:rFonts w:ascii="仿宋_GB2312" w:eastAsia="仿宋_GB2312"/>
          <w:color w:val="auto"/>
          <w:spacing w:val="6"/>
          <w:szCs w:val="21"/>
          <w:highlight w:val="none"/>
        </w:rPr>
      </w:pPr>
    </w:p>
    <w:p w14:paraId="50B81CBB">
      <w:pPr>
        <w:tabs>
          <w:tab w:val="left" w:pos="4860"/>
        </w:tabs>
        <w:spacing w:line="588" w:lineRule="exact"/>
        <w:ind w:right="1560" w:firstLine="444"/>
        <w:jc w:val="center"/>
        <w:rPr>
          <w:rFonts w:ascii="宋体" w:hAnsi="宋体"/>
          <w:color w:val="auto"/>
          <w:szCs w:val="21"/>
          <w:highlight w:val="none"/>
        </w:rPr>
      </w:pPr>
      <w:r>
        <w:rPr>
          <w:rFonts w:hint="eastAsia" w:ascii="仿宋_GB2312" w:eastAsia="仿宋_GB2312"/>
          <w:color w:val="auto"/>
          <w:spacing w:val="6"/>
          <w:szCs w:val="21"/>
          <w:highlight w:val="none"/>
        </w:rPr>
        <w:t xml:space="preserve">             </w:t>
      </w:r>
      <w:r>
        <w:rPr>
          <w:rFonts w:hint="eastAsia" w:ascii="宋体" w:hAnsi="宋体"/>
          <w:color w:val="auto"/>
          <w:szCs w:val="21"/>
          <w:highlight w:val="none"/>
        </w:rPr>
        <w:t xml:space="preserve">               供应商全称（盖章）：</w:t>
      </w:r>
    </w:p>
    <w:p w14:paraId="59DDCD4E">
      <w:pPr>
        <w:tabs>
          <w:tab w:val="left" w:pos="4860"/>
        </w:tabs>
        <w:spacing w:line="588" w:lineRule="exact"/>
        <w:ind w:right="1560" w:firstLine="420"/>
        <w:jc w:val="center"/>
        <w:rPr>
          <w:rFonts w:ascii="宋体" w:hAnsi="宋体"/>
          <w:color w:val="auto"/>
          <w:szCs w:val="21"/>
          <w:highlight w:val="none"/>
        </w:rPr>
      </w:pPr>
      <w:r>
        <w:rPr>
          <w:rFonts w:hint="eastAsia" w:ascii="宋体" w:hAnsi="宋体"/>
          <w:color w:val="auto"/>
          <w:szCs w:val="21"/>
          <w:highlight w:val="none"/>
        </w:rPr>
        <w:t xml:space="preserve">                              日  期：</w:t>
      </w:r>
    </w:p>
    <w:p w14:paraId="7E587F5E">
      <w:pPr>
        <w:tabs>
          <w:tab w:val="left" w:pos="4860"/>
        </w:tabs>
        <w:spacing w:line="588" w:lineRule="exact"/>
        <w:ind w:right="1560" w:firstLine="420"/>
        <w:jc w:val="center"/>
        <w:rPr>
          <w:rFonts w:ascii="宋体" w:hAnsi="宋体"/>
          <w:color w:val="auto"/>
          <w:szCs w:val="21"/>
          <w:highlight w:val="none"/>
        </w:rPr>
      </w:pPr>
      <w:r>
        <w:rPr>
          <w:rFonts w:hint="eastAsia" w:ascii="宋体" w:hAnsi="宋体"/>
          <w:color w:val="auto"/>
          <w:szCs w:val="21"/>
          <w:highlight w:val="none"/>
        </w:rPr>
        <w:t xml:space="preserve">                              日  期：</w:t>
      </w:r>
    </w:p>
    <w:p w14:paraId="47C8EFC5">
      <w:pPr>
        <w:widowControl/>
        <w:jc w:val="left"/>
        <w:rPr>
          <w:rFonts w:ascii="宋体" w:hAnsi="宋体" w:cs="Arial"/>
          <w:b/>
          <w:bCs/>
          <w:color w:val="auto"/>
          <w:highlight w:val="none"/>
        </w:rPr>
      </w:pPr>
    </w:p>
    <w:p w14:paraId="57ABE02A">
      <w:pPr>
        <w:spacing w:after="312"/>
        <w:jc w:val="center"/>
        <w:rPr>
          <w:rFonts w:hint="eastAsia" w:ascii="宋体" w:hAnsi="宋体"/>
          <w:b/>
          <w:color w:val="auto"/>
          <w:szCs w:val="21"/>
          <w:highlight w:val="none"/>
        </w:rPr>
        <w:sectPr>
          <w:pgSz w:w="11906" w:h="16838"/>
          <w:pgMar w:top="1440" w:right="1800" w:bottom="1440" w:left="1800" w:header="851" w:footer="992" w:gutter="0"/>
          <w:cols w:space="720" w:num="1"/>
          <w:docGrid w:linePitch="360" w:charSpace="0"/>
        </w:sectPr>
      </w:pPr>
    </w:p>
    <w:p w14:paraId="1686FDBB">
      <w:pPr>
        <w:spacing w:after="312"/>
        <w:jc w:val="center"/>
        <w:rPr>
          <w:rFonts w:eastAsia="仿宋_GB2312" w:cs="Calibri"/>
          <w:b/>
          <w:color w:val="auto"/>
          <w:szCs w:val="21"/>
          <w:highlight w:val="none"/>
        </w:rPr>
      </w:pPr>
      <w:r>
        <w:rPr>
          <w:rFonts w:hint="eastAsia" w:ascii="宋体" w:hAnsi="宋体"/>
          <w:b/>
          <w:color w:val="auto"/>
          <w:szCs w:val="21"/>
          <w:highlight w:val="none"/>
        </w:rPr>
        <w:t>三、开标一览表</w:t>
      </w:r>
    </w:p>
    <w:p w14:paraId="66F2EAE3">
      <w:pPr>
        <w:spacing w:line="360" w:lineRule="auto"/>
        <w:ind w:firstLine="480"/>
        <w:rPr>
          <w:rFonts w:ascii="宋体" w:hAnsi="宋体"/>
          <w:color w:val="auto"/>
          <w:szCs w:val="21"/>
          <w:highlight w:val="none"/>
        </w:rPr>
      </w:pPr>
      <w:r>
        <w:rPr>
          <w:rFonts w:hint="eastAsia" w:ascii="宋体" w:hAnsi="宋体"/>
          <w:color w:val="auto"/>
          <w:szCs w:val="21"/>
          <w:highlight w:val="none"/>
        </w:rPr>
        <w:t>投标人全称（加盖公章）：</w:t>
      </w:r>
    </w:p>
    <w:p w14:paraId="7C1207E1">
      <w:pPr>
        <w:spacing w:line="360" w:lineRule="auto"/>
        <w:ind w:firstLine="480"/>
        <w:rPr>
          <w:rFonts w:hint="eastAsia" w:eastAsia="宋体" w:cs="Calibri"/>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扬州大学附属医院医疗责任险与京沪医学中心风险分担服务项目（二次）</w:t>
      </w:r>
    </w:p>
    <w:p w14:paraId="7E61430C">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JSZC-320000-SWGC-G2025-0171-1号</w:t>
      </w:r>
      <w:r>
        <w:rPr>
          <w:rFonts w:hint="eastAsia" w:ascii="宋体" w:hAnsi="宋体"/>
          <w:color w:val="auto"/>
          <w:szCs w:val="21"/>
          <w:highlight w:val="none"/>
        </w:rPr>
        <w:t xml:space="preserve">                                  </w:t>
      </w:r>
    </w:p>
    <w:p w14:paraId="7AD98545">
      <w:pPr>
        <w:spacing w:after="312" w:line="360" w:lineRule="auto"/>
        <w:ind w:firstLine="482"/>
        <w:rPr>
          <w:rFonts w:ascii="宋体" w:hAnsi="宋体"/>
          <w:color w:val="auto"/>
          <w:szCs w:val="21"/>
          <w:highlight w:val="none"/>
        </w:rPr>
      </w:pPr>
      <w:r>
        <w:rPr>
          <w:rFonts w:hint="eastAsia" w:ascii="宋体" w:hAnsi="宋体"/>
          <w:color w:val="auto"/>
          <w:szCs w:val="21"/>
          <w:highlight w:val="none"/>
        </w:rPr>
        <w:t>分 包 号：</w:t>
      </w:r>
    </w:p>
    <w:tbl>
      <w:tblPr>
        <w:tblStyle w:val="42"/>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5D47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noWrap w:val="0"/>
            <w:vAlign w:val="center"/>
          </w:tcPr>
          <w:p w14:paraId="26797E3B">
            <w:pPr>
              <w:pStyle w:val="15"/>
              <w:spacing w:line="30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投标服务或产品名称</w:t>
            </w:r>
          </w:p>
        </w:tc>
        <w:tc>
          <w:tcPr>
            <w:tcW w:w="6405" w:type="dxa"/>
            <w:noWrap w:val="0"/>
            <w:vAlign w:val="center"/>
          </w:tcPr>
          <w:p w14:paraId="316F60D1">
            <w:pP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投标报价</w:t>
            </w:r>
          </w:p>
        </w:tc>
      </w:tr>
      <w:tr w14:paraId="4D35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0"/>
            <w:vAlign w:val="center"/>
          </w:tcPr>
          <w:p w14:paraId="3BCC4DD6">
            <w:pPr>
              <w:pStyle w:val="15"/>
              <w:spacing w:line="300" w:lineRule="auto"/>
              <w:rPr>
                <w:rFonts w:ascii="宋体" w:hAnsi="宋体" w:eastAsia="宋体" w:cs="宋体"/>
                <w:color w:val="auto"/>
                <w:sz w:val="21"/>
                <w:szCs w:val="21"/>
                <w:highlight w:val="none"/>
              </w:rPr>
            </w:pPr>
          </w:p>
        </w:tc>
        <w:tc>
          <w:tcPr>
            <w:tcW w:w="6405" w:type="dxa"/>
            <w:noWrap w:val="0"/>
            <w:vAlign w:val="center"/>
          </w:tcPr>
          <w:p w14:paraId="6FFEF703">
            <w:pPr>
              <w:pStyle w:val="270"/>
              <w:spacing w:before="0" w:after="0" w:line="50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 xml:space="preserve">大写：                       </w:t>
            </w:r>
          </w:p>
          <w:p w14:paraId="42BCFD70">
            <w:pPr>
              <w:pStyle w:val="270"/>
              <w:spacing w:before="0" w:after="0" w:line="50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小写：                            （人民币：元   ）</w:t>
            </w:r>
          </w:p>
        </w:tc>
      </w:tr>
    </w:tbl>
    <w:p w14:paraId="00BF48E8">
      <w:pPr>
        <w:rPr>
          <w:rFonts w:ascii="宋体" w:hAnsi="宋体"/>
          <w:color w:val="auto"/>
          <w:szCs w:val="21"/>
          <w:highlight w:val="none"/>
        </w:rPr>
      </w:pPr>
    </w:p>
    <w:p w14:paraId="020668E5">
      <w:pPr>
        <w:ind w:firstLine="480"/>
        <w:rPr>
          <w:rFonts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1AFD013">
      <w:pPr>
        <w:spacing w:line="360" w:lineRule="auto"/>
        <w:jc w:val="center"/>
        <w:rPr>
          <w:rFonts w:ascii="宋体" w:hAnsi="宋体"/>
          <w:b/>
          <w:color w:val="auto"/>
          <w:szCs w:val="21"/>
          <w:highlight w:val="none"/>
        </w:rPr>
      </w:pPr>
    </w:p>
    <w:p w14:paraId="5E8D42D6">
      <w:pPr>
        <w:jc w:val="center"/>
        <w:rPr>
          <w:rFonts w:ascii="宋体" w:hAnsi="宋体"/>
          <w:color w:val="auto"/>
          <w:sz w:val="24"/>
          <w:szCs w:val="24"/>
          <w:highlight w:val="none"/>
        </w:rPr>
      </w:pPr>
    </w:p>
    <w:p w14:paraId="5D51323B">
      <w:pPr>
        <w:spacing w:line="460" w:lineRule="exact"/>
        <w:rPr>
          <w:rFonts w:ascii="宋体" w:hAnsi="宋体"/>
          <w:bCs/>
          <w:color w:val="auto"/>
          <w:sz w:val="24"/>
          <w:highlight w:val="none"/>
        </w:rPr>
      </w:pPr>
    </w:p>
    <w:p w14:paraId="66412418">
      <w:pPr>
        <w:spacing w:line="460" w:lineRule="exact"/>
        <w:rPr>
          <w:rFonts w:ascii="宋体" w:hAnsi="宋体"/>
          <w:bCs/>
          <w:color w:val="auto"/>
          <w:sz w:val="24"/>
          <w:highlight w:val="none"/>
        </w:rPr>
      </w:pPr>
    </w:p>
    <w:p w14:paraId="1F55E482">
      <w:pPr>
        <w:spacing w:line="220" w:lineRule="atLeast"/>
        <w:rPr>
          <w:rFonts w:ascii="Tahoma" w:hAnsi="Tahoma"/>
          <w:color w:val="auto"/>
          <w:sz w:val="22"/>
          <w:highlight w:val="none"/>
        </w:rPr>
      </w:pPr>
    </w:p>
    <w:p w14:paraId="184DCCEC">
      <w:pPr>
        <w:rPr>
          <w:color w:val="auto"/>
          <w:highlight w:val="none"/>
        </w:rPr>
      </w:pPr>
    </w:p>
    <w:p w14:paraId="0A64F78C">
      <w:pPr>
        <w:spacing w:after="312" w:line="360" w:lineRule="auto"/>
        <w:jc w:val="center"/>
        <w:rPr>
          <w:rFonts w:ascii="宋体" w:hAnsi="宋体"/>
          <w:b/>
          <w:color w:val="auto"/>
          <w:szCs w:val="21"/>
          <w:highlight w:val="none"/>
        </w:rPr>
      </w:pPr>
    </w:p>
    <w:p w14:paraId="240F66F7">
      <w:pPr>
        <w:spacing w:after="312" w:line="360" w:lineRule="auto"/>
        <w:jc w:val="center"/>
        <w:rPr>
          <w:rFonts w:ascii="宋体" w:hAnsi="宋体"/>
          <w:b/>
          <w:color w:val="auto"/>
          <w:szCs w:val="21"/>
          <w:highlight w:val="none"/>
        </w:rPr>
      </w:pPr>
    </w:p>
    <w:p w14:paraId="11B0443D">
      <w:pPr>
        <w:spacing w:after="312" w:line="360" w:lineRule="auto"/>
        <w:jc w:val="center"/>
        <w:rPr>
          <w:rFonts w:ascii="宋体" w:hAnsi="宋体"/>
          <w:b/>
          <w:color w:val="auto"/>
          <w:szCs w:val="21"/>
          <w:highlight w:val="none"/>
        </w:rPr>
      </w:pPr>
    </w:p>
    <w:p w14:paraId="1037DBF1">
      <w:pPr>
        <w:spacing w:after="312" w:line="360" w:lineRule="auto"/>
        <w:jc w:val="center"/>
        <w:rPr>
          <w:rFonts w:ascii="宋体" w:hAnsi="宋体"/>
          <w:b/>
          <w:color w:val="auto"/>
          <w:szCs w:val="21"/>
          <w:highlight w:val="none"/>
        </w:rPr>
      </w:pPr>
    </w:p>
    <w:p w14:paraId="0BC19473">
      <w:pPr>
        <w:jc w:val="center"/>
        <w:rPr>
          <w:rFonts w:ascii="宋体" w:hAnsi="宋体"/>
          <w:b/>
          <w:color w:val="auto"/>
          <w:szCs w:val="21"/>
          <w:highlight w:val="none"/>
        </w:rPr>
      </w:pPr>
    </w:p>
    <w:p w14:paraId="704C4C1B">
      <w:pPr>
        <w:jc w:val="center"/>
        <w:rPr>
          <w:rFonts w:ascii="宋体" w:hAnsi="宋体"/>
          <w:b/>
          <w:color w:val="auto"/>
          <w:szCs w:val="21"/>
          <w:highlight w:val="none"/>
        </w:rPr>
      </w:pPr>
    </w:p>
    <w:p w14:paraId="1D91ED1C">
      <w:pPr>
        <w:jc w:val="center"/>
        <w:rPr>
          <w:rFonts w:hint="eastAsia" w:ascii="宋体" w:hAnsi="宋体"/>
          <w:b/>
          <w:color w:val="auto"/>
          <w:szCs w:val="21"/>
          <w:highlight w:val="none"/>
        </w:rPr>
      </w:pPr>
    </w:p>
    <w:p w14:paraId="706C178E">
      <w:pPr>
        <w:jc w:val="center"/>
        <w:rPr>
          <w:rFonts w:hint="eastAsia" w:ascii="宋体" w:hAnsi="宋体"/>
          <w:b/>
          <w:color w:val="auto"/>
          <w:szCs w:val="21"/>
          <w:highlight w:val="none"/>
        </w:rPr>
      </w:pPr>
    </w:p>
    <w:p w14:paraId="279D1003">
      <w:pPr>
        <w:jc w:val="center"/>
        <w:rPr>
          <w:rFonts w:hint="eastAsia" w:ascii="宋体" w:hAnsi="宋体"/>
          <w:b/>
          <w:color w:val="auto"/>
          <w:szCs w:val="21"/>
          <w:highlight w:val="none"/>
        </w:rPr>
        <w:sectPr>
          <w:pgSz w:w="11906" w:h="16838"/>
          <w:pgMar w:top="1440" w:right="1800" w:bottom="1440" w:left="1800" w:header="851" w:footer="992" w:gutter="0"/>
          <w:cols w:space="720" w:num="1"/>
          <w:docGrid w:linePitch="360" w:charSpace="0"/>
        </w:sectPr>
      </w:pPr>
    </w:p>
    <w:p w14:paraId="4A42AB0E">
      <w:pPr>
        <w:pStyle w:val="3"/>
        <w:pageBreakBefore w:val="0"/>
        <w:spacing w:before="0" w:after="0" w:line="360" w:lineRule="auto"/>
        <w:jc w:val="center"/>
        <w:rPr>
          <w:rFonts w:hint="eastAsia" w:ascii="宋体" w:hAnsi="宋体" w:eastAsia="宋体" w:cs="宋体"/>
          <w:bCs w:val="0"/>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bCs w:val="0"/>
          <w:color w:val="auto"/>
          <w:sz w:val="21"/>
          <w:szCs w:val="21"/>
          <w:highlight w:val="none"/>
        </w:rPr>
        <w:t>分项报价表</w:t>
      </w:r>
    </w:p>
    <w:tbl>
      <w:tblPr>
        <w:tblStyle w:val="4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25"/>
        <w:gridCol w:w="1452"/>
        <w:gridCol w:w="1242"/>
        <w:gridCol w:w="1338"/>
        <w:gridCol w:w="1691"/>
      </w:tblGrid>
      <w:tr w14:paraId="7158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A071ED7">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BB397C9">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3C4556E">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BC2D547">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DE2300A">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69FAEA3A">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8BD4149">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单项合计价</w:t>
            </w:r>
          </w:p>
          <w:p w14:paraId="63637F8D">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5C11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9CDEBB5">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5EAA9C6">
            <w:pPr>
              <w:pageBreakBefore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医疗责任险</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1B32B7D4">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C7B196C">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EAC347E">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6D8AEBA">
            <w:pPr>
              <w:pageBreakBefore w:val="0"/>
              <w:spacing w:line="360" w:lineRule="auto"/>
              <w:jc w:val="center"/>
              <w:rPr>
                <w:rFonts w:hint="eastAsia" w:ascii="宋体" w:hAnsi="宋体" w:eastAsia="宋体" w:cs="宋体"/>
                <w:color w:val="auto"/>
                <w:sz w:val="21"/>
                <w:szCs w:val="21"/>
                <w:highlight w:val="none"/>
              </w:rPr>
            </w:pPr>
          </w:p>
        </w:tc>
      </w:tr>
      <w:tr w14:paraId="2563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4C2F9A7">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81A4E68">
            <w:pPr>
              <w:pageBreakBefore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公共责任险及京沪医学中心保险</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76486D3B">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792E544">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4F67650B">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E433A81">
            <w:pPr>
              <w:pageBreakBefore w:val="0"/>
              <w:spacing w:line="360" w:lineRule="auto"/>
              <w:jc w:val="center"/>
              <w:rPr>
                <w:rFonts w:hint="eastAsia" w:ascii="宋体" w:hAnsi="宋体" w:eastAsia="宋体" w:cs="宋体"/>
                <w:color w:val="auto"/>
                <w:sz w:val="21"/>
                <w:szCs w:val="21"/>
                <w:highlight w:val="none"/>
              </w:rPr>
            </w:pPr>
          </w:p>
        </w:tc>
      </w:tr>
      <w:tr w14:paraId="3CF5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E178E35">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2479A1D">
            <w:pPr>
              <w:pageBreakBefore w:val="0"/>
              <w:spacing w:line="360" w:lineRule="auto"/>
              <w:jc w:val="center"/>
              <w:rPr>
                <w:rFonts w:hint="default" w:ascii="宋体" w:hAnsi="宋体" w:eastAsia="宋体" w:cs="宋体"/>
                <w:color w:val="auto"/>
                <w:sz w:val="21"/>
                <w:szCs w:val="21"/>
                <w:highlight w:val="none"/>
                <w:lang w:val="en-US" w:eastAsia="zh-CN"/>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7E52763C">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099A0DB3">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5834CBE">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6AF0CA0">
            <w:pPr>
              <w:pageBreakBefore w:val="0"/>
              <w:spacing w:line="360" w:lineRule="auto"/>
              <w:jc w:val="center"/>
              <w:rPr>
                <w:rFonts w:hint="eastAsia" w:ascii="宋体" w:hAnsi="宋体" w:eastAsia="宋体" w:cs="宋体"/>
                <w:color w:val="auto"/>
                <w:sz w:val="21"/>
                <w:szCs w:val="21"/>
                <w:highlight w:val="none"/>
              </w:rPr>
            </w:pPr>
          </w:p>
        </w:tc>
      </w:tr>
      <w:tr w14:paraId="680D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D267BC7">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71A0549">
            <w:pPr>
              <w:pageBreakBefore w:val="0"/>
              <w:spacing w:line="360" w:lineRule="auto"/>
              <w:jc w:val="center"/>
              <w:rPr>
                <w:rFonts w:hint="eastAsia" w:ascii="宋体" w:hAnsi="宋体" w:eastAsia="宋体" w:cs="宋体"/>
                <w:color w:val="auto"/>
                <w:sz w:val="21"/>
                <w:szCs w:val="21"/>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7E39E0D2">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B7115C1">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25AB338">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941A389">
            <w:pPr>
              <w:pageBreakBefore w:val="0"/>
              <w:spacing w:line="360" w:lineRule="auto"/>
              <w:jc w:val="center"/>
              <w:rPr>
                <w:rFonts w:hint="eastAsia" w:ascii="宋体" w:hAnsi="宋体" w:eastAsia="宋体" w:cs="宋体"/>
                <w:color w:val="auto"/>
                <w:sz w:val="21"/>
                <w:szCs w:val="21"/>
                <w:highlight w:val="none"/>
              </w:rPr>
            </w:pPr>
          </w:p>
        </w:tc>
      </w:tr>
      <w:tr w14:paraId="1E0E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FE50583">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07AA4C0">
            <w:pPr>
              <w:pageBreakBefore w:val="0"/>
              <w:spacing w:line="360" w:lineRule="auto"/>
              <w:jc w:val="center"/>
              <w:rPr>
                <w:rFonts w:hint="eastAsia" w:ascii="宋体" w:hAnsi="宋体" w:eastAsia="宋体" w:cs="宋体"/>
                <w:color w:val="auto"/>
                <w:sz w:val="21"/>
                <w:szCs w:val="21"/>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0B162692">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BB3B636">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D48E645">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BA79113">
            <w:pPr>
              <w:pageBreakBefore w:val="0"/>
              <w:spacing w:line="360" w:lineRule="auto"/>
              <w:jc w:val="center"/>
              <w:rPr>
                <w:rFonts w:hint="eastAsia" w:ascii="宋体" w:hAnsi="宋体" w:eastAsia="宋体" w:cs="宋体"/>
                <w:color w:val="auto"/>
                <w:sz w:val="21"/>
                <w:szCs w:val="21"/>
                <w:highlight w:val="none"/>
              </w:rPr>
            </w:pPr>
          </w:p>
        </w:tc>
      </w:tr>
      <w:tr w14:paraId="57C8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124BB1F">
            <w:pPr>
              <w:pageBreakBefore w:val="0"/>
              <w:spacing w:line="360" w:lineRule="auto"/>
              <w:jc w:val="center"/>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0838AE8">
            <w:pPr>
              <w:pageBreakBefore w:val="0"/>
              <w:spacing w:line="360" w:lineRule="auto"/>
              <w:jc w:val="center"/>
              <w:rPr>
                <w:rFonts w:hint="eastAsia" w:ascii="宋体" w:hAnsi="宋体" w:eastAsia="宋体" w:cs="宋体"/>
                <w:color w:val="auto"/>
                <w:sz w:val="21"/>
                <w:szCs w:val="21"/>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76F3E9AB">
            <w:pPr>
              <w:pageBreakBefore w:val="0"/>
              <w:spacing w:line="360" w:lineRule="auto"/>
              <w:jc w:val="center"/>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6F642F7">
            <w:pPr>
              <w:pageBreakBefore w:val="0"/>
              <w:spacing w:line="360" w:lineRule="auto"/>
              <w:jc w:val="center"/>
              <w:rPr>
                <w:rFonts w:hint="eastAsia" w:ascii="宋体" w:hAnsi="宋体" w:eastAsia="宋体" w:cs="宋体"/>
                <w:color w:val="auto"/>
                <w:sz w:val="21"/>
                <w:szCs w:val="21"/>
                <w:highlight w:val="none"/>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483EF3E">
            <w:pPr>
              <w:pageBreakBefore w:val="0"/>
              <w:spacing w:line="360" w:lineRule="auto"/>
              <w:jc w:val="center"/>
              <w:rPr>
                <w:rFonts w:hint="eastAsia" w:ascii="宋体" w:hAnsi="宋体" w:eastAsia="宋体" w:cs="宋体"/>
                <w:color w:val="auto"/>
                <w:sz w:val="21"/>
                <w:szCs w:val="21"/>
                <w:highlight w:val="none"/>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F436B71">
            <w:pPr>
              <w:pageBreakBefore w:val="0"/>
              <w:spacing w:line="360" w:lineRule="auto"/>
              <w:jc w:val="center"/>
              <w:rPr>
                <w:rFonts w:hint="eastAsia" w:ascii="宋体" w:hAnsi="宋体" w:eastAsia="宋体" w:cs="宋体"/>
                <w:color w:val="auto"/>
                <w:sz w:val="21"/>
                <w:szCs w:val="21"/>
                <w:highlight w:val="none"/>
              </w:rPr>
            </w:pPr>
          </w:p>
        </w:tc>
      </w:tr>
      <w:tr w14:paraId="00F9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4234" w:type="dxa"/>
            <w:gridSpan w:val="3"/>
            <w:tcBorders>
              <w:top w:val="single" w:color="auto" w:sz="4" w:space="0"/>
              <w:left w:val="single" w:color="auto" w:sz="4" w:space="0"/>
              <w:bottom w:val="single" w:color="auto" w:sz="4" w:space="0"/>
              <w:right w:val="single" w:color="auto" w:sz="4" w:space="0"/>
            </w:tcBorders>
            <w:noWrap w:val="0"/>
            <w:vAlign w:val="center"/>
          </w:tcPr>
          <w:p w14:paraId="00BF421F">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总报价</w:t>
            </w:r>
          </w:p>
        </w:tc>
        <w:tc>
          <w:tcPr>
            <w:tcW w:w="4271" w:type="dxa"/>
            <w:gridSpan w:val="3"/>
            <w:tcBorders>
              <w:top w:val="single" w:color="auto" w:sz="4" w:space="0"/>
              <w:left w:val="single" w:color="auto" w:sz="4" w:space="0"/>
              <w:bottom w:val="single" w:color="auto" w:sz="4" w:space="0"/>
              <w:right w:val="single" w:color="auto" w:sz="4" w:space="0"/>
            </w:tcBorders>
            <w:noWrap w:val="0"/>
            <w:vAlign w:val="center"/>
          </w:tcPr>
          <w:p w14:paraId="0BA96F68">
            <w:pPr>
              <w:pageBreakBefore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圆整</w:t>
            </w:r>
          </w:p>
          <w:p w14:paraId="5E951F4F">
            <w:pPr>
              <w:pageBreakBefore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tc>
      </w:tr>
    </w:tbl>
    <w:p w14:paraId="5609C884">
      <w:pPr>
        <w:spacing w:line="360" w:lineRule="auto"/>
        <w:rPr>
          <w:rFonts w:ascii="宋体" w:hAnsi="宋体"/>
          <w:b/>
          <w:color w:val="auto"/>
          <w:szCs w:val="21"/>
          <w:highlight w:val="none"/>
        </w:rPr>
      </w:pPr>
    </w:p>
    <w:p w14:paraId="7779FFAC">
      <w:pPr>
        <w:spacing w:line="360" w:lineRule="auto"/>
        <w:ind w:right="-2"/>
        <w:jc w:val="center"/>
        <w:rPr>
          <w:rFonts w:ascii="宋体" w:hAnsi="宋体"/>
          <w:b/>
          <w:bCs/>
          <w:color w:val="auto"/>
          <w:szCs w:val="21"/>
          <w:highlight w:val="none"/>
        </w:rPr>
        <w:sectPr>
          <w:pgSz w:w="11906" w:h="16838"/>
          <w:pgMar w:top="1440" w:right="1800" w:bottom="1440" w:left="1800" w:header="851" w:footer="992" w:gutter="0"/>
          <w:cols w:space="720" w:num="1"/>
          <w:docGrid w:linePitch="360" w:charSpace="0"/>
        </w:sectPr>
      </w:pPr>
    </w:p>
    <w:p w14:paraId="74188244">
      <w:pPr>
        <w:spacing w:line="360" w:lineRule="auto"/>
        <w:ind w:right="-2"/>
        <w:jc w:val="both"/>
        <w:rPr>
          <w:rFonts w:hint="eastAsia" w:ascii="宋体" w:hAnsi="宋体"/>
          <w:b/>
          <w:bCs/>
          <w:color w:val="auto"/>
          <w:szCs w:val="21"/>
          <w:highlight w:val="none"/>
          <w:lang w:val="en-US" w:eastAsia="zh-CN"/>
        </w:rPr>
      </w:pPr>
      <w:r>
        <w:rPr>
          <w:rFonts w:hint="eastAsia" w:ascii="宋体" w:hAnsi="宋体"/>
          <w:b/>
          <w:bCs/>
          <w:i/>
          <w:iCs/>
          <w:color w:val="auto"/>
          <w:szCs w:val="21"/>
          <w:highlight w:val="none"/>
          <w:u w:val="single"/>
          <w:lang w:val="en-US" w:eastAsia="zh-CN"/>
        </w:rPr>
        <w:t>注：报价超过各部分最高限价的为无效投标。</w:t>
      </w:r>
    </w:p>
    <w:p w14:paraId="644CDFED">
      <w:pPr>
        <w:spacing w:line="360" w:lineRule="auto"/>
        <w:ind w:right="-2"/>
        <w:jc w:val="both"/>
        <w:rPr>
          <w:rFonts w:hint="eastAsia" w:ascii="宋体" w:hAnsi="宋体"/>
          <w:b/>
          <w:bCs/>
          <w:color w:val="auto"/>
          <w:szCs w:val="21"/>
          <w:highlight w:val="none"/>
          <w:lang w:val="en-US" w:eastAsia="zh-CN"/>
        </w:rPr>
      </w:pPr>
    </w:p>
    <w:p w14:paraId="6CAA4CAA">
      <w:pPr>
        <w:spacing w:line="360" w:lineRule="auto"/>
        <w:jc w:val="both"/>
        <w:rPr>
          <w:bCs/>
          <w:color w:val="auto"/>
          <w:szCs w:val="21"/>
          <w:highlight w:val="none"/>
        </w:rPr>
      </w:pPr>
      <w:r>
        <w:rPr>
          <w:rFonts w:hint="eastAsia"/>
          <w:bCs/>
          <w:color w:val="auto"/>
          <w:szCs w:val="21"/>
          <w:highlight w:val="none"/>
        </w:rPr>
        <w:t>投标人名称（公章）：</w:t>
      </w:r>
    </w:p>
    <w:p w14:paraId="7AB39D7A">
      <w:pPr>
        <w:spacing w:line="360" w:lineRule="auto"/>
        <w:rPr>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法定代表人或授权代表（签字）：</w:t>
      </w:r>
    </w:p>
    <w:p w14:paraId="44477115">
      <w:pPr>
        <w:spacing w:line="360" w:lineRule="auto"/>
        <w:rPr>
          <w:rFonts w:hint="eastAsia"/>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14:paraId="0752FF05">
      <w:pPr>
        <w:spacing w:line="360" w:lineRule="auto"/>
        <w:ind w:right="-2"/>
        <w:jc w:val="both"/>
        <w:rPr>
          <w:rFonts w:hint="default" w:ascii="宋体" w:hAnsi="宋体"/>
          <w:b/>
          <w:bCs/>
          <w:color w:val="auto"/>
          <w:szCs w:val="21"/>
          <w:highlight w:val="none"/>
          <w:lang w:val="en-US" w:eastAsia="zh-CN"/>
        </w:rPr>
        <w:sectPr>
          <w:type w:val="continuous"/>
          <w:pgSz w:w="11906" w:h="16838"/>
          <w:pgMar w:top="1440" w:right="1800" w:bottom="1440" w:left="1800" w:header="851" w:footer="992" w:gutter="0"/>
          <w:cols w:space="720" w:num="1"/>
          <w:docGrid w:linePitch="360" w:charSpace="0"/>
        </w:sectPr>
      </w:pPr>
    </w:p>
    <w:p w14:paraId="01E3E67A">
      <w:pPr>
        <w:spacing w:line="360" w:lineRule="auto"/>
        <w:ind w:right="-2"/>
        <w:jc w:val="center"/>
        <w:rPr>
          <w:rFonts w:ascii="宋体" w:hAnsi="宋体"/>
          <w:b/>
          <w:bCs/>
          <w:color w:val="auto"/>
          <w:szCs w:val="21"/>
          <w:highlight w:val="none"/>
        </w:rPr>
      </w:pPr>
      <w:r>
        <w:rPr>
          <w:rFonts w:hint="eastAsia" w:ascii="宋体" w:hAnsi="宋体"/>
          <w:b/>
          <w:bCs/>
          <w:color w:val="auto"/>
          <w:szCs w:val="21"/>
          <w:highlight w:val="none"/>
        </w:rPr>
        <w:t>五、拟投入人员一览表</w:t>
      </w:r>
    </w:p>
    <w:p w14:paraId="456B6E96">
      <w:pPr>
        <w:ind w:firstLine="422"/>
        <w:jc w:val="left"/>
        <w:rPr>
          <w:rFonts w:ascii="宋体" w:hAnsi="宋体"/>
          <w:b/>
          <w:color w:val="auto"/>
          <w:szCs w:val="21"/>
          <w:highlight w:val="none"/>
        </w:rPr>
      </w:pPr>
    </w:p>
    <w:tbl>
      <w:tblPr>
        <w:tblStyle w:val="42"/>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19"/>
        <w:gridCol w:w="996"/>
        <w:gridCol w:w="823"/>
        <w:gridCol w:w="1000"/>
        <w:gridCol w:w="1165"/>
        <w:gridCol w:w="996"/>
        <w:gridCol w:w="1301"/>
        <w:gridCol w:w="1301"/>
      </w:tblGrid>
      <w:tr w14:paraId="6EE0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3" w:type="dxa"/>
            <w:noWrap w:val="0"/>
            <w:vAlign w:val="center"/>
          </w:tcPr>
          <w:p w14:paraId="4E242097">
            <w:pPr>
              <w:spacing w:before="312" w:line="360" w:lineRule="auto"/>
              <w:ind w:right="-2"/>
              <w:jc w:val="center"/>
              <w:rPr>
                <w:rFonts w:ascii="宋体" w:hAnsi="宋体"/>
                <w:color w:val="auto"/>
                <w:szCs w:val="21"/>
                <w:highlight w:val="none"/>
              </w:rPr>
            </w:pPr>
            <w:r>
              <w:rPr>
                <w:rFonts w:hint="eastAsia" w:ascii="宋体" w:hAnsi="宋体"/>
                <w:color w:val="auto"/>
                <w:szCs w:val="21"/>
                <w:highlight w:val="none"/>
              </w:rPr>
              <w:t>序号</w:t>
            </w:r>
          </w:p>
        </w:tc>
        <w:tc>
          <w:tcPr>
            <w:tcW w:w="1219" w:type="dxa"/>
            <w:noWrap w:val="0"/>
            <w:vAlign w:val="center"/>
          </w:tcPr>
          <w:p w14:paraId="064B4D00">
            <w:pPr>
              <w:spacing w:before="312" w:line="360" w:lineRule="auto"/>
              <w:ind w:right="-2"/>
              <w:jc w:val="center"/>
              <w:rPr>
                <w:rFonts w:ascii="宋体" w:hAnsi="宋体"/>
                <w:color w:val="auto"/>
                <w:szCs w:val="21"/>
                <w:highlight w:val="none"/>
              </w:rPr>
            </w:pPr>
            <w:r>
              <w:rPr>
                <w:rFonts w:hint="eastAsia" w:ascii="宋体" w:hAnsi="宋体"/>
                <w:color w:val="auto"/>
                <w:szCs w:val="21"/>
                <w:highlight w:val="none"/>
              </w:rPr>
              <w:t>岗位</w:t>
            </w:r>
          </w:p>
        </w:tc>
        <w:tc>
          <w:tcPr>
            <w:tcW w:w="996" w:type="dxa"/>
            <w:noWrap w:val="0"/>
            <w:vAlign w:val="center"/>
          </w:tcPr>
          <w:p w14:paraId="190324EC">
            <w:pPr>
              <w:spacing w:before="312" w:line="360" w:lineRule="auto"/>
              <w:ind w:right="-2"/>
              <w:jc w:val="center"/>
              <w:rPr>
                <w:rFonts w:ascii="宋体" w:hAnsi="宋体"/>
                <w:color w:val="auto"/>
                <w:szCs w:val="21"/>
                <w:highlight w:val="none"/>
              </w:rPr>
            </w:pPr>
            <w:r>
              <w:rPr>
                <w:rFonts w:hint="eastAsia" w:ascii="宋体" w:hAnsi="宋体"/>
                <w:color w:val="auto"/>
                <w:szCs w:val="21"/>
                <w:highlight w:val="none"/>
              </w:rPr>
              <w:t>姓 名</w:t>
            </w:r>
          </w:p>
        </w:tc>
        <w:tc>
          <w:tcPr>
            <w:tcW w:w="823" w:type="dxa"/>
            <w:noWrap w:val="0"/>
            <w:vAlign w:val="center"/>
          </w:tcPr>
          <w:p w14:paraId="48D5975C">
            <w:pPr>
              <w:spacing w:before="312" w:line="360" w:lineRule="auto"/>
              <w:ind w:right="-2"/>
              <w:jc w:val="center"/>
              <w:rPr>
                <w:rFonts w:ascii="宋体" w:hAnsi="宋体"/>
                <w:color w:val="auto"/>
                <w:szCs w:val="21"/>
                <w:highlight w:val="none"/>
              </w:rPr>
            </w:pPr>
            <w:r>
              <w:rPr>
                <w:rFonts w:hint="eastAsia" w:ascii="宋体" w:hAnsi="宋体"/>
                <w:color w:val="auto"/>
                <w:szCs w:val="21"/>
                <w:highlight w:val="none"/>
              </w:rPr>
              <w:t>性别</w:t>
            </w:r>
          </w:p>
        </w:tc>
        <w:tc>
          <w:tcPr>
            <w:tcW w:w="1000" w:type="dxa"/>
            <w:noWrap w:val="0"/>
            <w:vAlign w:val="center"/>
          </w:tcPr>
          <w:p w14:paraId="6E315868">
            <w:pPr>
              <w:spacing w:before="312" w:line="360" w:lineRule="auto"/>
              <w:ind w:right="-2"/>
              <w:jc w:val="center"/>
              <w:rPr>
                <w:rFonts w:ascii="宋体" w:hAnsi="宋体"/>
                <w:color w:val="auto"/>
                <w:szCs w:val="21"/>
                <w:highlight w:val="none"/>
              </w:rPr>
            </w:pPr>
            <w:r>
              <w:rPr>
                <w:rFonts w:hint="eastAsia" w:ascii="宋体" w:hAnsi="宋体"/>
                <w:color w:val="auto"/>
                <w:szCs w:val="21"/>
                <w:highlight w:val="none"/>
              </w:rPr>
              <w:t>学历</w:t>
            </w:r>
          </w:p>
        </w:tc>
        <w:tc>
          <w:tcPr>
            <w:tcW w:w="1165" w:type="dxa"/>
            <w:noWrap w:val="0"/>
            <w:vAlign w:val="center"/>
          </w:tcPr>
          <w:p w14:paraId="07F16A09">
            <w:pPr>
              <w:spacing w:before="312" w:line="360" w:lineRule="auto"/>
              <w:ind w:right="-2"/>
              <w:jc w:val="center"/>
              <w:rPr>
                <w:rFonts w:ascii="宋体" w:hAnsi="宋体"/>
                <w:color w:val="auto"/>
                <w:szCs w:val="21"/>
                <w:highlight w:val="none"/>
              </w:rPr>
            </w:pPr>
            <w:r>
              <w:rPr>
                <w:rFonts w:hint="eastAsia" w:ascii="宋体" w:hAnsi="宋体"/>
                <w:color w:val="auto"/>
                <w:szCs w:val="21"/>
                <w:highlight w:val="none"/>
              </w:rPr>
              <w:t>出生年月</w:t>
            </w:r>
          </w:p>
        </w:tc>
        <w:tc>
          <w:tcPr>
            <w:tcW w:w="996" w:type="dxa"/>
            <w:noWrap w:val="0"/>
            <w:vAlign w:val="center"/>
          </w:tcPr>
          <w:p w14:paraId="4DA2A33F">
            <w:pPr>
              <w:spacing w:before="312" w:line="360" w:lineRule="auto"/>
              <w:ind w:right="-2"/>
              <w:jc w:val="center"/>
              <w:rPr>
                <w:rFonts w:ascii="宋体" w:hAnsi="宋体"/>
                <w:color w:val="auto"/>
                <w:szCs w:val="21"/>
                <w:highlight w:val="none"/>
              </w:rPr>
            </w:pPr>
            <w:r>
              <w:rPr>
                <w:rFonts w:hint="eastAsia" w:ascii="宋体" w:hAnsi="宋体"/>
                <w:color w:val="auto"/>
                <w:szCs w:val="21"/>
                <w:highlight w:val="none"/>
              </w:rPr>
              <w:t>专业</w:t>
            </w:r>
          </w:p>
        </w:tc>
        <w:tc>
          <w:tcPr>
            <w:tcW w:w="1301" w:type="dxa"/>
            <w:noWrap w:val="0"/>
            <w:vAlign w:val="center"/>
          </w:tcPr>
          <w:p w14:paraId="531632E0">
            <w:pPr>
              <w:spacing w:before="312" w:line="360" w:lineRule="auto"/>
              <w:ind w:right="-2"/>
              <w:jc w:val="center"/>
              <w:rPr>
                <w:rFonts w:ascii="宋体" w:hAnsi="宋体"/>
                <w:color w:val="auto"/>
                <w:szCs w:val="21"/>
                <w:highlight w:val="none"/>
              </w:rPr>
            </w:pPr>
            <w:r>
              <w:rPr>
                <w:rFonts w:hint="eastAsia" w:ascii="宋体" w:hAnsi="宋体"/>
                <w:color w:val="auto"/>
                <w:szCs w:val="21"/>
                <w:highlight w:val="none"/>
              </w:rPr>
              <w:t>类似经验</w:t>
            </w:r>
          </w:p>
        </w:tc>
        <w:tc>
          <w:tcPr>
            <w:tcW w:w="1301" w:type="dxa"/>
            <w:noWrap w:val="0"/>
            <w:vAlign w:val="center"/>
          </w:tcPr>
          <w:p w14:paraId="32228BA7">
            <w:pPr>
              <w:spacing w:before="312" w:line="360" w:lineRule="auto"/>
              <w:ind w:right="-2"/>
              <w:jc w:val="center"/>
              <w:rPr>
                <w:rFonts w:ascii="宋体" w:hAnsi="宋体"/>
                <w:color w:val="auto"/>
                <w:szCs w:val="21"/>
                <w:highlight w:val="none"/>
              </w:rPr>
            </w:pPr>
            <w:r>
              <w:rPr>
                <w:rFonts w:hint="eastAsia" w:ascii="宋体" w:hAnsi="宋体"/>
                <w:color w:val="auto"/>
                <w:szCs w:val="21"/>
                <w:highlight w:val="none"/>
              </w:rPr>
              <w:t>备注</w:t>
            </w:r>
          </w:p>
        </w:tc>
      </w:tr>
      <w:tr w14:paraId="420A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D3FC243">
            <w:pPr>
              <w:spacing w:line="360" w:lineRule="auto"/>
              <w:ind w:right="-2"/>
              <w:jc w:val="center"/>
              <w:rPr>
                <w:rFonts w:ascii="宋体" w:hAnsi="宋体"/>
                <w:color w:val="auto"/>
                <w:szCs w:val="21"/>
                <w:highlight w:val="none"/>
              </w:rPr>
            </w:pPr>
          </w:p>
        </w:tc>
        <w:tc>
          <w:tcPr>
            <w:tcW w:w="1219" w:type="dxa"/>
            <w:noWrap w:val="0"/>
            <w:vAlign w:val="center"/>
          </w:tcPr>
          <w:p w14:paraId="1930F1FC">
            <w:pPr>
              <w:spacing w:line="360" w:lineRule="auto"/>
              <w:ind w:right="-2"/>
              <w:jc w:val="center"/>
              <w:rPr>
                <w:rFonts w:ascii="宋体" w:hAnsi="宋体"/>
                <w:color w:val="auto"/>
                <w:szCs w:val="21"/>
                <w:highlight w:val="none"/>
              </w:rPr>
            </w:pPr>
          </w:p>
        </w:tc>
        <w:tc>
          <w:tcPr>
            <w:tcW w:w="996" w:type="dxa"/>
            <w:noWrap w:val="0"/>
            <w:vAlign w:val="center"/>
          </w:tcPr>
          <w:p w14:paraId="75231C98">
            <w:pPr>
              <w:spacing w:line="360" w:lineRule="auto"/>
              <w:ind w:right="-2"/>
              <w:jc w:val="center"/>
              <w:rPr>
                <w:rFonts w:ascii="宋体" w:hAnsi="宋体"/>
                <w:color w:val="auto"/>
                <w:szCs w:val="21"/>
                <w:highlight w:val="none"/>
              </w:rPr>
            </w:pPr>
          </w:p>
        </w:tc>
        <w:tc>
          <w:tcPr>
            <w:tcW w:w="823" w:type="dxa"/>
            <w:noWrap w:val="0"/>
            <w:vAlign w:val="center"/>
          </w:tcPr>
          <w:p w14:paraId="457DF092">
            <w:pPr>
              <w:spacing w:line="360" w:lineRule="auto"/>
              <w:ind w:right="-2"/>
              <w:jc w:val="center"/>
              <w:rPr>
                <w:rFonts w:ascii="宋体" w:hAnsi="宋体"/>
                <w:color w:val="auto"/>
                <w:szCs w:val="21"/>
                <w:highlight w:val="none"/>
              </w:rPr>
            </w:pPr>
          </w:p>
        </w:tc>
        <w:tc>
          <w:tcPr>
            <w:tcW w:w="1000" w:type="dxa"/>
            <w:noWrap w:val="0"/>
            <w:vAlign w:val="center"/>
          </w:tcPr>
          <w:p w14:paraId="62C23688">
            <w:pPr>
              <w:spacing w:line="360" w:lineRule="auto"/>
              <w:ind w:right="-2"/>
              <w:jc w:val="center"/>
              <w:rPr>
                <w:rFonts w:ascii="宋体" w:hAnsi="宋体"/>
                <w:color w:val="auto"/>
                <w:szCs w:val="21"/>
                <w:highlight w:val="none"/>
              </w:rPr>
            </w:pPr>
          </w:p>
        </w:tc>
        <w:tc>
          <w:tcPr>
            <w:tcW w:w="1165" w:type="dxa"/>
            <w:noWrap w:val="0"/>
            <w:vAlign w:val="center"/>
          </w:tcPr>
          <w:p w14:paraId="6310308C">
            <w:pPr>
              <w:spacing w:line="360" w:lineRule="auto"/>
              <w:ind w:right="-2"/>
              <w:jc w:val="center"/>
              <w:rPr>
                <w:rFonts w:ascii="宋体" w:hAnsi="宋体"/>
                <w:color w:val="auto"/>
                <w:szCs w:val="21"/>
                <w:highlight w:val="none"/>
              </w:rPr>
            </w:pPr>
          </w:p>
        </w:tc>
        <w:tc>
          <w:tcPr>
            <w:tcW w:w="996" w:type="dxa"/>
            <w:noWrap w:val="0"/>
            <w:vAlign w:val="center"/>
          </w:tcPr>
          <w:p w14:paraId="7AEAFB44">
            <w:pPr>
              <w:spacing w:line="360" w:lineRule="auto"/>
              <w:ind w:right="-2"/>
              <w:jc w:val="center"/>
              <w:rPr>
                <w:rFonts w:ascii="宋体" w:hAnsi="宋体"/>
                <w:color w:val="auto"/>
                <w:szCs w:val="21"/>
                <w:highlight w:val="none"/>
              </w:rPr>
            </w:pPr>
          </w:p>
        </w:tc>
        <w:tc>
          <w:tcPr>
            <w:tcW w:w="1301" w:type="dxa"/>
            <w:noWrap w:val="0"/>
            <w:vAlign w:val="center"/>
          </w:tcPr>
          <w:p w14:paraId="22D7312E">
            <w:pPr>
              <w:spacing w:line="360" w:lineRule="auto"/>
              <w:ind w:right="-2"/>
              <w:jc w:val="center"/>
              <w:rPr>
                <w:rFonts w:ascii="宋体" w:hAnsi="宋体"/>
                <w:color w:val="auto"/>
                <w:szCs w:val="21"/>
                <w:highlight w:val="none"/>
              </w:rPr>
            </w:pPr>
          </w:p>
        </w:tc>
        <w:tc>
          <w:tcPr>
            <w:tcW w:w="1301" w:type="dxa"/>
            <w:noWrap w:val="0"/>
            <w:vAlign w:val="center"/>
          </w:tcPr>
          <w:p w14:paraId="711722CB">
            <w:pPr>
              <w:spacing w:line="360" w:lineRule="auto"/>
              <w:ind w:right="-2"/>
              <w:jc w:val="center"/>
              <w:rPr>
                <w:rFonts w:ascii="宋体" w:hAnsi="宋体"/>
                <w:color w:val="auto"/>
                <w:szCs w:val="21"/>
                <w:highlight w:val="none"/>
              </w:rPr>
            </w:pPr>
          </w:p>
        </w:tc>
      </w:tr>
      <w:tr w14:paraId="2985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853233B">
            <w:pPr>
              <w:spacing w:line="360" w:lineRule="auto"/>
              <w:ind w:right="-2"/>
              <w:jc w:val="center"/>
              <w:rPr>
                <w:rFonts w:ascii="宋体" w:hAnsi="宋体"/>
                <w:color w:val="auto"/>
                <w:szCs w:val="21"/>
                <w:highlight w:val="none"/>
              </w:rPr>
            </w:pPr>
          </w:p>
        </w:tc>
        <w:tc>
          <w:tcPr>
            <w:tcW w:w="1219" w:type="dxa"/>
            <w:noWrap w:val="0"/>
            <w:vAlign w:val="center"/>
          </w:tcPr>
          <w:p w14:paraId="76864186">
            <w:pPr>
              <w:spacing w:line="360" w:lineRule="auto"/>
              <w:ind w:right="-2"/>
              <w:jc w:val="center"/>
              <w:rPr>
                <w:rFonts w:ascii="宋体" w:hAnsi="宋体"/>
                <w:color w:val="auto"/>
                <w:szCs w:val="21"/>
                <w:highlight w:val="none"/>
              </w:rPr>
            </w:pPr>
          </w:p>
        </w:tc>
        <w:tc>
          <w:tcPr>
            <w:tcW w:w="996" w:type="dxa"/>
            <w:noWrap w:val="0"/>
            <w:vAlign w:val="center"/>
          </w:tcPr>
          <w:p w14:paraId="04DF0F3A">
            <w:pPr>
              <w:spacing w:line="360" w:lineRule="auto"/>
              <w:ind w:right="-2"/>
              <w:jc w:val="center"/>
              <w:rPr>
                <w:rFonts w:ascii="宋体" w:hAnsi="宋体"/>
                <w:color w:val="auto"/>
                <w:szCs w:val="21"/>
                <w:highlight w:val="none"/>
              </w:rPr>
            </w:pPr>
          </w:p>
        </w:tc>
        <w:tc>
          <w:tcPr>
            <w:tcW w:w="823" w:type="dxa"/>
            <w:noWrap w:val="0"/>
            <w:vAlign w:val="center"/>
          </w:tcPr>
          <w:p w14:paraId="7699053E">
            <w:pPr>
              <w:spacing w:line="360" w:lineRule="auto"/>
              <w:ind w:right="-2"/>
              <w:jc w:val="center"/>
              <w:rPr>
                <w:rFonts w:ascii="宋体" w:hAnsi="宋体"/>
                <w:color w:val="auto"/>
                <w:szCs w:val="21"/>
                <w:highlight w:val="none"/>
              </w:rPr>
            </w:pPr>
          </w:p>
        </w:tc>
        <w:tc>
          <w:tcPr>
            <w:tcW w:w="1000" w:type="dxa"/>
            <w:noWrap w:val="0"/>
            <w:vAlign w:val="center"/>
          </w:tcPr>
          <w:p w14:paraId="5903887F">
            <w:pPr>
              <w:spacing w:line="360" w:lineRule="auto"/>
              <w:ind w:right="-2"/>
              <w:jc w:val="center"/>
              <w:rPr>
                <w:rFonts w:ascii="宋体" w:hAnsi="宋体"/>
                <w:color w:val="auto"/>
                <w:szCs w:val="21"/>
                <w:highlight w:val="none"/>
              </w:rPr>
            </w:pPr>
          </w:p>
        </w:tc>
        <w:tc>
          <w:tcPr>
            <w:tcW w:w="1165" w:type="dxa"/>
            <w:noWrap w:val="0"/>
            <w:vAlign w:val="center"/>
          </w:tcPr>
          <w:p w14:paraId="3379E4BF">
            <w:pPr>
              <w:spacing w:line="360" w:lineRule="auto"/>
              <w:ind w:right="-2"/>
              <w:jc w:val="center"/>
              <w:rPr>
                <w:rFonts w:ascii="宋体" w:hAnsi="宋体"/>
                <w:color w:val="auto"/>
                <w:szCs w:val="21"/>
                <w:highlight w:val="none"/>
              </w:rPr>
            </w:pPr>
          </w:p>
        </w:tc>
        <w:tc>
          <w:tcPr>
            <w:tcW w:w="996" w:type="dxa"/>
            <w:noWrap w:val="0"/>
            <w:vAlign w:val="center"/>
          </w:tcPr>
          <w:p w14:paraId="09DC725D">
            <w:pPr>
              <w:spacing w:line="360" w:lineRule="auto"/>
              <w:ind w:right="-2"/>
              <w:jc w:val="center"/>
              <w:rPr>
                <w:rFonts w:ascii="宋体" w:hAnsi="宋体"/>
                <w:color w:val="auto"/>
                <w:szCs w:val="21"/>
                <w:highlight w:val="none"/>
              </w:rPr>
            </w:pPr>
          </w:p>
        </w:tc>
        <w:tc>
          <w:tcPr>
            <w:tcW w:w="1301" w:type="dxa"/>
            <w:noWrap w:val="0"/>
            <w:vAlign w:val="center"/>
          </w:tcPr>
          <w:p w14:paraId="0C7FC8C8">
            <w:pPr>
              <w:spacing w:line="360" w:lineRule="auto"/>
              <w:ind w:right="-2"/>
              <w:jc w:val="center"/>
              <w:rPr>
                <w:rFonts w:ascii="宋体" w:hAnsi="宋体"/>
                <w:color w:val="auto"/>
                <w:szCs w:val="21"/>
                <w:highlight w:val="none"/>
              </w:rPr>
            </w:pPr>
          </w:p>
        </w:tc>
        <w:tc>
          <w:tcPr>
            <w:tcW w:w="1301" w:type="dxa"/>
            <w:noWrap w:val="0"/>
            <w:vAlign w:val="center"/>
          </w:tcPr>
          <w:p w14:paraId="7EB4D6CC">
            <w:pPr>
              <w:spacing w:line="360" w:lineRule="auto"/>
              <w:ind w:right="-2"/>
              <w:jc w:val="center"/>
              <w:rPr>
                <w:rFonts w:ascii="宋体" w:hAnsi="宋体"/>
                <w:color w:val="auto"/>
                <w:szCs w:val="21"/>
                <w:highlight w:val="none"/>
              </w:rPr>
            </w:pPr>
          </w:p>
        </w:tc>
      </w:tr>
      <w:tr w14:paraId="4679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5505DDEA">
            <w:pPr>
              <w:spacing w:line="360" w:lineRule="auto"/>
              <w:ind w:right="-2"/>
              <w:jc w:val="center"/>
              <w:rPr>
                <w:rFonts w:ascii="宋体" w:hAnsi="宋体"/>
                <w:color w:val="auto"/>
                <w:szCs w:val="21"/>
                <w:highlight w:val="none"/>
              </w:rPr>
            </w:pPr>
          </w:p>
        </w:tc>
        <w:tc>
          <w:tcPr>
            <w:tcW w:w="1219" w:type="dxa"/>
            <w:noWrap w:val="0"/>
            <w:vAlign w:val="center"/>
          </w:tcPr>
          <w:p w14:paraId="30F29C42">
            <w:pPr>
              <w:spacing w:line="360" w:lineRule="auto"/>
              <w:ind w:right="-2"/>
              <w:jc w:val="center"/>
              <w:rPr>
                <w:rFonts w:ascii="宋体" w:hAnsi="宋体"/>
                <w:color w:val="auto"/>
                <w:szCs w:val="21"/>
                <w:highlight w:val="none"/>
              </w:rPr>
            </w:pPr>
          </w:p>
        </w:tc>
        <w:tc>
          <w:tcPr>
            <w:tcW w:w="996" w:type="dxa"/>
            <w:noWrap w:val="0"/>
            <w:vAlign w:val="center"/>
          </w:tcPr>
          <w:p w14:paraId="48737CB0">
            <w:pPr>
              <w:spacing w:line="360" w:lineRule="auto"/>
              <w:ind w:right="-2"/>
              <w:jc w:val="center"/>
              <w:rPr>
                <w:rFonts w:ascii="宋体" w:hAnsi="宋体"/>
                <w:color w:val="auto"/>
                <w:szCs w:val="21"/>
                <w:highlight w:val="none"/>
              </w:rPr>
            </w:pPr>
          </w:p>
        </w:tc>
        <w:tc>
          <w:tcPr>
            <w:tcW w:w="823" w:type="dxa"/>
            <w:noWrap w:val="0"/>
            <w:vAlign w:val="center"/>
          </w:tcPr>
          <w:p w14:paraId="36403DC0">
            <w:pPr>
              <w:spacing w:line="360" w:lineRule="auto"/>
              <w:ind w:right="-2"/>
              <w:jc w:val="center"/>
              <w:rPr>
                <w:rFonts w:ascii="宋体" w:hAnsi="宋体"/>
                <w:color w:val="auto"/>
                <w:szCs w:val="21"/>
                <w:highlight w:val="none"/>
              </w:rPr>
            </w:pPr>
          </w:p>
        </w:tc>
        <w:tc>
          <w:tcPr>
            <w:tcW w:w="1000" w:type="dxa"/>
            <w:noWrap w:val="0"/>
            <w:vAlign w:val="center"/>
          </w:tcPr>
          <w:p w14:paraId="5A9F2A58">
            <w:pPr>
              <w:spacing w:line="360" w:lineRule="auto"/>
              <w:ind w:right="-2"/>
              <w:jc w:val="center"/>
              <w:rPr>
                <w:rFonts w:ascii="宋体" w:hAnsi="宋体"/>
                <w:color w:val="auto"/>
                <w:szCs w:val="21"/>
                <w:highlight w:val="none"/>
              </w:rPr>
            </w:pPr>
          </w:p>
        </w:tc>
        <w:tc>
          <w:tcPr>
            <w:tcW w:w="1165" w:type="dxa"/>
            <w:noWrap w:val="0"/>
            <w:vAlign w:val="center"/>
          </w:tcPr>
          <w:p w14:paraId="5078B6CD">
            <w:pPr>
              <w:spacing w:line="360" w:lineRule="auto"/>
              <w:ind w:right="-2"/>
              <w:jc w:val="center"/>
              <w:rPr>
                <w:rFonts w:ascii="宋体" w:hAnsi="宋体"/>
                <w:color w:val="auto"/>
                <w:szCs w:val="21"/>
                <w:highlight w:val="none"/>
              </w:rPr>
            </w:pPr>
          </w:p>
        </w:tc>
        <w:tc>
          <w:tcPr>
            <w:tcW w:w="996" w:type="dxa"/>
            <w:noWrap w:val="0"/>
            <w:vAlign w:val="center"/>
          </w:tcPr>
          <w:p w14:paraId="0CE306E3">
            <w:pPr>
              <w:spacing w:line="360" w:lineRule="auto"/>
              <w:ind w:right="-2"/>
              <w:jc w:val="center"/>
              <w:rPr>
                <w:rFonts w:ascii="宋体" w:hAnsi="宋体"/>
                <w:color w:val="auto"/>
                <w:szCs w:val="21"/>
                <w:highlight w:val="none"/>
              </w:rPr>
            </w:pPr>
          </w:p>
        </w:tc>
        <w:tc>
          <w:tcPr>
            <w:tcW w:w="1301" w:type="dxa"/>
            <w:noWrap w:val="0"/>
            <w:vAlign w:val="center"/>
          </w:tcPr>
          <w:p w14:paraId="28363F42">
            <w:pPr>
              <w:spacing w:line="360" w:lineRule="auto"/>
              <w:ind w:right="-2"/>
              <w:jc w:val="center"/>
              <w:rPr>
                <w:rFonts w:ascii="宋体" w:hAnsi="宋体"/>
                <w:color w:val="auto"/>
                <w:szCs w:val="21"/>
                <w:highlight w:val="none"/>
              </w:rPr>
            </w:pPr>
          </w:p>
        </w:tc>
        <w:tc>
          <w:tcPr>
            <w:tcW w:w="1301" w:type="dxa"/>
            <w:noWrap w:val="0"/>
            <w:vAlign w:val="center"/>
          </w:tcPr>
          <w:p w14:paraId="3A5D824C">
            <w:pPr>
              <w:spacing w:line="360" w:lineRule="auto"/>
              <w:ind w:right="-2"/>
              <w:jc w:val="center"/>
              <w:rPr>
                <w:rFonts w:ascii="宋体" w:hAnsi="宋体"/>
                <w:color w:val="auto"/>
                <w:szCs w:val="21"/>
                <w:highlight w:val="none"/>
              </w:rPr>
            </w:pPr>
          </w:p>
        </w:tc>
      </w:tr>
      <w:tr w14:paraId="7AD2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6C245DF">
            <w:pPr>
              <w:spacing w:line="360" w:lineRule="auto"/>
              <w:ind w:right="-2"/>
              <w:jc w:val="center"/>
              <w:rPr>
                <w:rFonts w:ascii="宋体" w:hAnsi="宋体"/>
                <w:color w:val="auto"/>
                <w:szCs w:val="21"/>
                <w:highlight w:val="none"/>
              </w:rPr>
            </w:pPr>
          </w:p>
        </w:tc>
        <w:tc>
          <w:tcPr>
            <w:tcW w:w="1219" w:type="dxa"/>
            <w:noWrap w:val="0"/>
            <w:vAlign w:val="center"/>
          </w:tcPr>
          <w:p w14:paraId="65F891AA">
            <w:pPr>
              <w:spacing w:line="360" w:lineRule="auto"/>
              <w:ind w:right="-2"/>
              <w:jc w:val="center"/>
              <w:rPr>
                <w:rFonts w:ascii="宋体" w:hAnsi="宋体"/>
                <w:color w:val="auto"/>
                <w:szCs w:val="21"/>
                <w:highlight w:val="none"/>
              </w:rPr>
            </w:pPr>
          </w:p>
        </w:tc>
        <w:tc>
          <w:tcPr>
            <w:tcW w:w="996" w:type="dxa"/>
            <w:noWrap w:val="0"/>
            <w:vAlign w:val="center"/>
          </w:tcPr>
          <w:p w14:paraId="4D3E9A0C">
            <w:pPr>
              <w:spacing w:line="360" w:lineRule="auto"/>
              <w:ind w:right="-2"/>
              <w:jc w:val="center"/>
              <w:rPr>
                <w:rFonts w:ascii="宋体" w:hAnsi="宋体"/>
                <w:color w:val="auto"/>
                <w:szCs w:val="21"/>
                <w:highlight w:val="none"/>
              </w:rPr>
            </w:pPr>
          </w:p>
        </w:tc>
        <w:tc>
          <w:tcPr>
            <w:tcW w:w="823" w:type="dxa"/>
            <w:noWrap w:val="0"/>
            <w:vAlign w:val="center"/>
          </w:tcPr>
          <w:p w14:paraId="25C5EB58">
            <w:pPr>
              <w:spacing w:line="360" w:lineRule="auto"/>
              <w:ind w:right="-2"/>
              <w:jc w:val="center"/>
              <w:rPr>
                <w:rFonts w:ascii="宋体" w:hAnsi="宋体"/>
                <w:color w:val="auto"/>
                <w:szCs w:val="21"/>
                <w:highlight w:val="none"/>
              </w:rPr>
            </w:pPr>
          </w:p>
        </w:tc>
        <w:tc>
          <w:tcPr>
            <w:tcW w:w="1000" w:type="dxa"/>
            <w:noWrap w:val="0"/>
            <w:vAlign w:val="center"/>
          </w:tcPr>
          <w:p w14:paraId="5C67D056">
            <w:pPr>
              <w:spacing w:line="360" w:lineRule="auto"/>
              <w:ind w:right="-2"/>
              <w:jc w:val="center"/>
              <w:rPr>
                <w:rFonts w:ascii="宋体" w:hAnsi="宋体"/>
                <w:color w:val="auto"/>
                <w:szCs w:val="21"/>
                <w:highlight w:val="none"/>
              </w:rPr>
            </w:pPr>
          </w:p>
        </w:tc>
        <w:tc>
          <w:tcPr>
            <w:tcW w:w="1165" w:type="dxa"/>
            <w:noWrap w:val="0"/>
            <w:vAlign w:val="center"/>
          </w:tcPr>
          <w:p w14:paraId="27AF9195">
            <w:pPr>
              <w:spacing w:line="360" w:lineRule="auto"/>
              <w:ind w:right="-2"/>
              <w:jc w:val="center"/>
              <w:rPr>
                <w:rFonts w:ascii="宋体" w:hAnsi="宋体"/>
                <w:color w:val="auto"/>
                <w:szCs w:val="21"/>
                <w:highlight w:val="none"/>
              </w:rPr>
            </w:pPr>
          </w:p>
        </w:tc>
        <w:tc>
          <w:tcPr>
            <w:tcW w:w="996" w:type="dxa"/>
            <w:noWrap w:val="0"/>
            <w:vAlign w:val="center"/>
          </w:tcPr>
          <w:p w14:paraId="2BAC4C15">
            <w:pPr>
              <w:spacing w:line="360" w:lineRule="auto"/>
              <w:ind w:right="-2"/>
              <w:jc w:val="center"/>
              <w:rPr>
                <w:rFonts w:ascii="宋体" w:hAnsi="宋体"/>
                <w:color w:val="auto"/>
                <w:szCs w:val="21"/>
                <w:highlight w:val="none"/>
              </w:rPr>
            </w:pPr>
          </w:p>
        </w:tc>
        <w:tc>
          <w:tcPr>
            <w:tcW w:w="1301" w:type="dxa"/>
            <w:noWrap w:val="0"/>
            <w:vAlign w:val="center"/>
          </w:tcPr>
          <w:p w14:paraId="3FCB6C1C">
            <w:pPr>
              <w:spacing w:line="360" w:lineRule="auto"/>
              <w:ind w:right="-2"/>
              <w:jc w:val="center"/>
              <w:rPr>
                <w:rFonts w:ascii="宋体" w:hAnsi="宋体"/>
                <w:color w:val="auto"/>
                <w:szCs w:val="21"/>
                <w:highlight w:val="none"/>
              </w:rPr>
            </w:pPr>
          </w:p>
        </w:tc>
        <w:tc>
          <w:tcPr>
            <w:tcW w:w="1301" w:type="dxa"/>
            <w:noWrap w:val="0"/>
            <w:vAlign w:val="center"/>
          </w:tcPr>
          <w:p w14:paraId="37E9ED6E">
            <w:pPr>
              <w:spacing w:line="360" w:lineRule="auto"/>
              <w:ind w:right="-2"/>
              <w:jc w:val="center"/>
              <w:rPr>
                <w:rFonts w:ascii="宋体" w:hAnsi="宋体"/>
                <w:color w:val="auto"/>
                <w:szCs w:val="21"/>
                <w:highlight w:val="none"/>
              </w:rPr>
            </w:pPr>
          </w:p>
        </w:tc>
      </w:tr>
      <w:tr w14:paraId="5412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6BBDA4A">
            <w:pPr>
              <w:spacing w:line="360" w:lineRule="auto"/>
              <w:ind w:right="-2"/>
              <w:jc w:val="center"/>
              <w:rPr>
                <w:rFonts w:ascii="宋体" w:hAnsi="宋体"/>
                <w:color w:val="auto"/>
                <w:szCs w:val="21"/>
                <w:highlight w:val="none"/>
              </w:rPr>
            </w:pPr>
          </w:p>
        </w:tc>
        <w:tc>
          <w:tcPr>
            <w:tcW w:w="1219" w:type="dxa"/>
            <w:noWrap w:val="0"/>
            <w:vAlign w:val="center"/>
          </w:tcPr>
          <w:p w14:paraId="3994162B">
            <w:pPr>
              <w:spacing w:line="360" w:lineRule="auto"/>
              <w:ind w:right="-2"/>
              <w:jc w:val="center"/>
              <w:rPr>
                <w:rFonts w:ascii="宋体" w:hAnsi="宋体"/>
                <w:color w:val="auto"/>
                <w:szCs w:val="21"/>
                <w:highlight w:val="none"/>
              </w:rPr>
            </w:pPr>
          </w:p>
        </w:tc>
        <w:tc>
          <w:tcPr>
            <w:tcW w:w="996" w:type="dxa"/>
            <w:noWrap w:val="0"/>
            <w:vAlign w:val="center"/>
          </w:tcPr>
          <w:p w14:paraId="5BEB0B65">
            <w:pPr>
              <w:spacing w:line="360" w:lineRule="auto"/>
              <w:ind w:right="-2"/>
              <w:jc w:val="center"/>
              <w:rPr>
                <w:rFonts w:ascii="宋体" w:hAnsi="宋体"/>
                <w:color w:val="auto"/>
                <w:szCs w:val="21"/>
                <w:highlight w:val="none"/>
              </w:rPr>
            </w:pPr>
          </w:p>
        </w:tc>
        <w:tc>
          <w:tcPr>
            <w:tcW w:w="823" w:type="dxa"/>
            <w:noWrap w:val="0"/>
            <w:vAlign w:val="center"/>
          </w:tcPr>
          <w:p w14:paraId="6B086C73">
            <w:pPr>
              <w:spacing w:line="360" w:lineRule="auto"/>
              <w:ind w:right="-2"/>
              <w:jc w:val="center"/>
              <w:rPr>
                <w:rFonts w:ascii="宋体" w:hAnsi="宋体"/>
                <w:color w:val="auto"/>
                <w:szCs w:val="21"/>
                <w:highlight w:val="none"/>
              </w:rPr>
            </w:pPr>
          </w:p>
        </w:tc>
        <w:tc>
          <w:tcPr>
            <w:tcW w:w="1000" w:type="dxa"/>
            <w:noWrap w:val="0"/>
            <w:vAlign w:val="center"/>
          </w:tcPr>
          <w:p w14:paraId="660B63C0">
            <w:pPr>
              <w:spacing w:line="360" w:lineRule="auto"/>
              <w:ind w:right="-2"/>
              <w:jc w:val="center"/>
              <w:rPr>
                <w:rFonts w:ascii="宋体" w:hAnsi="宋体"/>
                <w:color w:val="auto"/>
                <w:szCs w:val="21"/>
                <w:highlight w:val="none"/>
              </w:rPr>
            </w:pPr>
          </w:p>
        </w:tc>
        <w:tc>
          <w:tcPr>
            <w:tcW w:w="1165" w:type="dxa"/>
            <w:noWrap w:val="0"/>
            <w:vAlign w:val="center"/>
          </w:tcPr>
          <w:p w14:paraId="0C175B5B">
            <w:pPr>
              <w:spacing w:line="360" w:lineRule="auto"/>
              <w:ind w:right="-2"/>
              <w:jc w:val="center"/>
              <w:rPr>
                <w:rFonts w:ascii="宋体" w:hAnsi="宋体"/>
                <w:color w:val="auto"/>
                <w:szCs w:val="21"/>
                <w:highlight w:val="none"/>
              </w:rPr>
            </w:pPr>
          </w:p>
        </w:tc>
        <w:tc>
          <w:tcPr>
            <w:tcW w:w="996" w:type="dxa"/>
            <w:noWrap w:val="0"/>
            <w:vAlign w:val="center"/>
          </w:tcPr>
          <w:p w14:paraId="6C41542A">
            <w:pPr>
              <w:spacing w:line="360" w:lineRule="auto"/>
              <w:ind w:right="-2"/>
              <w:jc w:val="center"/>
              <w:rPr>
                <w:rFonts w:ascii="宋体" w:hAnsi="宋体"/>
                <w:color w:val="auto"/>
                <w:szCs w:val="21"/>
                <w:highlight w:val="none"/>
              </w:rPr>
            </w:pPr>
          </w:p>
        </w:tc>
        <w:tc>
          <w:tcPr>
            <w:tcW w:w="1301" w:type="dxa"/>
            <w:noWrap w:val="0"/>
            <w:vAlign w:val="center"/>
          </w:tcPr>
          <w:p w14:paraId="1571355D">
            <w:pPr>
              <w:spacing w:line="360" w:lineRule="auto"/>
              <w:ind w:right="-2"/>
              <w:jc w:val="center"/>
              <w:rPr>
                <w:rFonts w:ascii="宋体" w:hAnsi="宋体"/>
                <w:color w:val="auto"/>
                <w:szCs w:val="21"/>
                <w:highlight w:val="none"/>
              </w:rPr>
            </w:pPr>
          </w:p>
        </w:tc>
        <w:tc>
          <w:tcPr>
            <w:tcW w:w="1301" w:type="dxa"/>
            <w:noWrap w:val="0"/>
            <w:vAlign w:val="center"/>
          </w:tcPr>
          <w:p w14:paraId="45787D98">
            <w:pPr>
              <w:spacing w:line="360" w:lineRule="auto"/>
              <w:ind w:right="-2"/>
              <w:jc w:val="center"/>
              <w:rPr>
                <w:rFonts w:ascii="宋体" w:hAnsi="宋体"/>
                <w:color w:val="auto"/>
                <w:szCs w:val="21"/>
                <w:highlight w:val="none"/>
              </w:rPr>
            </w:pPr>
          </w:p>
        </w:tc>
      </w:tr>
      <w:tr w14:paraId="4FFC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3C3372D1">
            <w:pPr>
              <w:spacing w:line="360" w:lineRule="auto"/>
              <w:ind w:right="-2"/>
              <w:jc w:val="center"/>
              <w:rPr>
                <w:rFonts w:ascii="宋体" w:hAnsi="宋体"/>
                <w:color w:val="auto"/>
                <w:szCs w:val="21"/>
                <w:highlight w:val="none"/>
              </w:rPr>
            </w:pPr>
          </w:p>
        </w:tc>
        <w:tc>
          <w:tcPr>
            <w:tcW w:w="1219" w:type="dxa"/>
            <w:noWrap w:val="0"/>
            <w:vAlign w:val="center"/>
          </w:tcPr>
          <w:p w14:paraId="181653BE">
            <w:pPr>
              <w:spacing w:line="360" w:lineRule="auto"/>
              <w:ind w:right="-2"/>
              <w:jc w:val="center"/>
              <w:rPr>
                <w:rFonts w:ascii="宋体" w:hAnsi="宋体"/>
                <w:color w:val="auto"/>
                <w:szCs w:val="21"/>
                <w:highlight w:val="none"/>
              </w:rPr>
            </w:pPr>
          </w:p>
        </w:tc>
        <w:tc>
          <w:tcPr>
            <w:tcW w:w="996" w:type="dxa"/>
            <w:noWrap w:val="0"/>
            <w:vAlign w:val="center"/>
          </w:tcPr>
          <w:p w14:paraId="162BA046">
            <w:pPr>
              <w:spacing w:line="360" w:lineRule="auto"/>
              <w:ind w:right="-2"/>
              <w:jc w:val="center"/>
              <w:rPr>
                <w:rFonts w:ascii="宋体" w:hAnsi="宋体"/>
                <w:color w:val="auto"/>
                <w:szCs w:val="21"/>
                <w:highlight w:val="none"/>
              </w:rPr>
            </w:pPr>
          </w:p>
        </w:tc>
        <w:tc>
          <w:tcPr>
            <w:tcW w:w="823" w:type="dxa"/>
            <w:noWrap w:val="0"/>
            <w:vAlign w:val="center"/>
          </w:tcPr>
          <w:p w14:paraId="50941539">
            <w:pPr>
              <w:spacing w:line="360" w:lineRule="auto"/>
              <w:ind w:right="-2"/>
              <w:jc w:val="center"/>
              <w:rPr>
                <w:rFonts w:ascii="宋体" w:hAnsi="宋体"/>
                <w:color w:val="auto"/>
                <w:szCs w:val="21"/>
                <w:highlight w:val="none"/>
              </w:rPr>
            </w:pPr>
          </w:p>
        </w:tc>
        <w:tc>
          <w:tcPr>
            <w:tcW w:w="1000" w:type="dxa"/>
            <w:noWrap w:val="0"/>
            <w:vAlign w:val="center"/>
          </w:tcPr>
          <w:p w14:paraId="4DEB2DCB">
            <w:pPr>
              <w:spacing w:line="360" w:lineRule="auto"/>
              <w:ind w:right="-2"/>
              <w:jc w:val="center"/>
              <w:rPr>
                <w:rFonts w:ascii="宋体" w:hAnsi="宋体"/>
                <w:color w:val="auto"/>
                <w:szCs w:val="21"/>
                <w:highlight w:val="none"/>
              </w:rPr>
            </w:pPr>
          </w:p>
        </w:tc>
        <w:tc>
          <w:tcPr>
            <w:tcW w:w="1165" w:type="dxa"/>
            <w:noWrap w:val="0"/>
            <w:vAlign w:val="center"/>
          </w:tcPr>
          <w:p w14:paraId="1ECAC327">
            <w:pPr>
              <w:spacing w:line="360" w:lineRule="auto"/>
              <w:ind w:right="-2"/>
              <w:jc w:val="center"/>
              <w:rPr>
                <w:rFonts w:ascii="宋体" w:hAnsi="宋体"/>
                <w:color w:val="auto"/>
                <w:szCs w:val="21"/>
                <w:highlight w:val="none"/>
              </w:rPr>
            </w:pPr>
          </w:p>
        </w:tc>
        <w:tc>
          <w:tcPr>
            <w:tcW w:w="996" w:type="dxa"/>
            <w:noWrap w:val="0"/>
            <w:vAlign w:val="center"/>
          </w:tcPr>
          <w:p w14:paraId="12D6E4ED">
            <w:pPr>
              <w:spacing w:line="360" w:lineRule="auto"/>
              <w:ind w:right="-2"/>
              <w:jc w:val="center"/>
              <w:rPr>
                <w:rFonts w:ascii="宋体" w:hAnsi="宋体"/>
                <w:color w:val="auto"/>
                <w:szCs w:val="21"/>
                <w:highlight w:val="none"/>
              </w:rPr>
            </w:pPr>
          </w:p>
        </w:tc>
        <w:tc>
          <w:tcPr>
            <w:tcW w:w="1301" w:type="dxa"/>
            <w:noWrap w:val="0"/>
            <w:vAlign w:val="center"/>
          </w:tcPr>
          <w:p w14:paraId="1E80F1E5">
            <w:pPr>
              <w:spacing w:line="360" w:lineRule="auto"/>
              <w:ind w:right="-2"/>
              <w:jc w:val="center"/>
              <w:rPr>
                <w:rFonts w:ascii="宋体" w:hAnsi="宋体"/>
                <w:color w:val="auto"/>
                <w:szCs w:val="21"/>
                <w:highlight w:val="none"/>
              </w:rPr>
            </w:pPr>
          </w:p>
        </w:tc>
        <w:tc>
          <w:tcPr>
            <w:tcW w:w="1301" w:type="dxa"/>
            <w:noWrap w:val="0"/>
            <w:vAlign w:val="center"/>
          </w:tcPr>
          <w:p w14:paraId="2C334E1A">
            <w:pPr>
              <w:spacing w:line="360" w:lineRule="auto"/>
              <w:ind w:right="-2"/>
              <w:jc w:val="center"/>
              <w:rPr>
                <w:rFonts w:ascii="宋体" w:hAnsi="宋体"/>
                <w:color w:val="auto"/>
                <w:szCs w:val="21"/>
                <w:highlight w:val="none"/>
              </w:rPr>
            </w:pPr>
          </w:p>
        </w:tc>
      </w:tr>
      <w:tr w14:paraId="4835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16F087A3">
            <w:pPr>
              <w:spacing w:line="360" w:lineRule="auto"/>
              <w:ind w:right="-2"/>
              <w:jc w:val="center"/>
              <w:rPr>
                <w:rFonts w:ascii="宋体" w:hAnsi="宋体"/>
                <w:color w:val="auto"/>
                <w:szCs w:val="21"/>
                <w:highlight w:val="none"/>
              </w:rPr>
            </w:pPr>
          </w:p>
        </w:tc>
        <w:tc>
          <w:tcPr>
            <w:tcW w:w="1219" w:type="dxa"/>
            <w:noWrap w:val="0"/>
            <w:vAlign w:val="center"/>
          </w:tcPr>
          <w:p w14:paraId="049C28C2">
            <w:pPr>
              <w:spacing w:line="360" w:lineRule="auto"/>
              <w:ind w:right="-2"/>
              <w:jc w:val="center"/>
              <w:rPr>
                <w:rFonts w:ascii="宋体" w:hAnsi="宋体"/>
                <w:color w:val="auto"/>
                <w:szCs w:val="21"/>
                <w:highlight w:val="none"/>
              </w:rPr>
            </w:pPr>
          </w:p>
        </w:tc>
        <w:tc>
          <w:tcPr>
            <w:tcW w:w="996" w:type="dxa"/>
            <w:noWrap w:val="0"/>
            <w:vAlign w:val="center"/>
          </w:tcPr>
          <w:p w14:paraId="041CFB8D">
            <w:pPr>
              <w:spacing w:line="360" w:lineRule="auto"/>
              <w:ind w:right="-2"/>
              <w:jc w:val="center"/>
              <w:rPr>
                <w:rFonts w:ascii="宋体" w:hAnsi="宋体"/>
                <w:color w:val="auto"/>
                <w:szCs w:val="21"/>
                <w:highlight w:val="none"/>
              </w:rPr>
            </w:pPr>
          </w:p>
        </w:tc>
        <w:tc>
          <w:tcPr>
            <w:tcW w:w="823" w:type="dxa"/>
            <w:noWrap w:val="0"/>
            <w:vAlign w:val="center"/>
          </w:tcPr>
          <w:p w14:paraId="4FE7518F">
            <w:pPr>
              <w:spacing w:line="360" w:lineRule="auto"/>
              <w:ind w:right="-2"/>
              <w:jc w:val="center"/>
              <w:rPr>
                <w:rFonts w:ascii="宋体" w:hAnsi="宋体"/>
                <w:color w:val="auto"/>
                <w:szCs w:val="21"/>
                <w:highlight w:val="none"/>
              </w:rPr>
            </w:pPr>
          </w:p>
        </w:tc>
        <w:tc>
          <w:tcPr>
            <w:tcW w:w="1000" w:type="dxa"/>
            <w:noWrap w:val="0"/>
            <w:vAlign w:val="center"/>
          </w:tcPr>
          <w:p w14:paraId="5FD4D5F7">
            <w:pPr>
              <w:spacing w:line="360" w:lineRule="auto"/>
              <w:ind w:right="-2"/>
              <w:jc w:val="center"/>
              <w:rPr>
                <w:rFonts w:ascii="宋体" w:hAnsi="宋体"/>
                <w:color w:val="auto"/>
                <w:szCs w:val="21"/>
                <w:highlight w:val="none"/>
              </w:rPr>
            </w:pPr>
          </w:p>
        </w:tc>
        <w:tc>
          <w:tcPr>
            <w:tcW w:w="1165" w:type="dxa"/>
            <w:noWrap w:val="0"/>
            <w:vAlign w:val="center"/>
          </w:tcPr>
          <w:p w14:paraId="3E8F3437">
            <w:pPr>
              <w:spacing w:line="360" w:lineRule="auto"/>
              <w:ind w:right="-2"/>
              <w:jc w:val="center"/>
              <w:rPr>
                <w:rFonts w:ascii="宋体" w:hAnsi="宋体"/>
                <w:color w:val="auto"/>
                <w:szCs w:val="21"/>
                <w:highlight w:val="none"/>
              </w:rPr>
            </w:pPr>
          </w:p>
        </w:tc>
        <w:tc>
          <w:tcPr>
            <w:tcW w:w="996" w:type="dxa"/>
            <w:noWrap w:val="0"/>
            <w:vAlign w:val="center"/>
          </w:tcPr>
          <w:p w14:paraId="024078E2">
            <w:pPr>
              <w:spacing w:line="360" w:lineRule="auto"/>
              <w:ind w:right="-2"/>
              <w:jc w:val="center"/>
              <w:rPr>
                <w:rFonts w:ascii="宋体" w:hAnsi="宋体"/>
                <w:color w:val="auto"/>
                <w:szCs w:val="21"/>
                <w:highlight w:val="none"/>
              </w:rPr>
            </w:pPr>
          </w:p>
        </w:tc>
        <w:tc>
          <w:tcPr>
            <w:tcW w:w="1301" w:type="dxa"/>
            <w:noWrap w:val="0"/>
            <w:vAlign w:val="center"/>
          </w:tcPr>
          <w:p w14:paraId="08258A43">
            <w:pPr>
              <w:spacing w:line="360" w:lineRule="auto"/>
              <w:ind w:right="-2"/>
              <w:jc w:val="center"/>
              <w:rPr>
                <w:rFonts w:ascii="宋体" w:hAnsi="宋体"/>
                <w:color w:val="auto"/>
                <w:szCs w:val="21"/>
                <w:highlight w:val="none"/>
              </w:rPr>
            </w:pPr>
          </w:p>
        </w:tc>
        <w:tc>
          <w:tcPr>
            <w:tcW w:w="1301" w:type="dxa"/>
            <w:noWrap w:val="0"/>
            <w:vAlign w:val="center"/>
          </w:tcPr>
          <w:p w14:paraId="00DAB395">
            <w:pPr>
              <w:spacing w:line="360" w:lineRule="auto"/>
              <w:ind w:right="-2"/>
              <w:jc w:val="center"/>
              <w:rPr>
                <w:rFonts w:ascii="宋体" w:hAnsi="宋体"/>
                <w:color w:val="auto"/>
                <w:szCs w:val="21"/>
                <w:highlight w:val="none"/>
              </w:rPr>
            </w:pPr>
          </w:p>
        </w:tc>
      </w:tr>
      <w:tr w14:paraId="3657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856B682">
            <w:pPr>
              <w:spacing w:line="360" w:lineRule="auto"/>
              <w:ind w:right="-2"/>
              <w:jc w:val="center"/>
              <w:rPr>
                <w:rFonts w:ascii="宋体" w:hAnsi="宋体"/>
                <w:color w:val="auto"/>
                <w:szCs w:val="21"/>
                <w:highlight w:val="none"/>
              </w:rPr>
            </w:pPr>
          </w:p>
        </w:tc>
        <w:tc>
          <w:tcPr>
            <w:tcW w:w="1219" w:type="dxa"/>
            <w:noWrap w:val="0"/>
            <w:vAlign w:val="center"/>
          </w:tcPr>
          <w:p w14:paraId="0BF00FB2">
            <w:pPr>
              <w:spacing w:line="360" w:lineRule="auto"/>
              <w:ind w:right="-2"/>
              <w:jc w:val="center"/>
              <w:rPr>
                <w:rFonts w:ascii="宋体" w:hAnsi="宋体"/>
                <w:color w:val="auto"/>
                <w:szCs w:val="21"/>
                <w:highlight w:val="none"/>
              </w:rPr>
            </w:pPr>
          </w:p>
        </w:tc>
        <w:tc>
          <w:tcPr>
            <w:tcW w:w="996" w:type="dxa"/>
            <w:noWrap w:val="0"/>
            <w:vAlign w:val="center"/>
          </w:tcPr>
          <w:p w14:paraId="79A85930">
            <w:pPr>
              <w:spacing w:line="360" w:lineRule="auto"/>
              <w:ind w:right="-2"/>
              <w:jc w:val="center"/>
              <w:rPr>
                <w:rFonts w:ascii="宋体" w:hAnsi="宋体"/>
                <w:color w:val="auto"/>
                <w:szCs w:val="21"/>
                <w:highlight w:val="none"/>
              </w:rPr>
            </w:pPr>
          </w:p>
        </w:tc>
        <w:tc>
          <w:tcPr>
            <w:tcW w:w="823" w:type="dxa"/>
            <w:noWrap w:val="0"/>
            <w:vAlign w:val="center"/>
          </w:tcPr>
          <w:p w14:paraId="1954CF69">
            <w:pPr>
              <w:spacing w:line="360" w:lineRule="auto"/>
              <w:ind w:right="-2"/>
              <w:jc w:val="center"/>
              <w:rPr>
                <w:rFonts w:ascii="宋体" w:hAnsi="宋体"/>
                <w:color w:val="auto"/>
                <w:szCs w:val="21"/>
                <w:highlight w:val="none"/>
              </w:rPr>
            </w:pPr>
          </w:p>
        </w:tc>
        <w:tc>
          <w:tcPr>
            <w:tcW w:w="1000" w:type="dxa"/>
            <w:noWrap w:val="0"/>
            <w:vAlign w:val="center"/>
          </w:tcPr>
          <w:p w14:paraId="35500A81">
            <w:pPr>
              <w:spacing w:line="360" w:lineRule="auto"/>
              <w:ind w:right="-2"/>
              <w:jc w:val="center"/>
              <w:rPr>
                <w:rFonts w:ascii="宋体" w:hAnsi="宋体"/>
                <w:color w:val="auto"/>
                <w:szCs w:val="21"/>
                <w:highlight w:val="none"/>
              </w:rPr>
            </w:pPr>
          </w:p>
        </w:tc>
        <w:tc>
          <w:tcPr>
            <w:tcW w:w="1165" w:type="dxa"/>
            <w:noWrap w:val="0"/>
            <w:vAlign w:val="center"/>
          </w:tcPr>
          <w:p w14:paraId="7D559FC2">
            <w:pPr>
              <w:spacing w:line="360" w:lineRule="auto"/>
              <w:ind w:right="-2"/>
              <w:jc w:val="center"/>
              <w:rPr>
                <w:rFonts w:ascii="宋体" w:hAnsi="宋体"/>
                <w:color w:val="auto"/>
                <w:szCs w:val="21"/>
                <w:highlight w:val="none"/>
              </w:rPr>
            </w:pPr>
          </w:p>
        </w:tc>
        <w:tc>
          <w:tcPr>
            <w:tcW w:w="996" w:type="dxa"/>
            <w:noWrap w:val="0"/>
            <w:vAlign w:val="center"/>
          </w:tcPr>
          <w:p w14:paraId="47147553">
            <w:pPr>
              <w:spacing w:line="360" w:lineRule="auto"/>
              <w:ind w:right="-2"/>
              <w:jc w:val="center"/>
              <w:rPr>
                <w:rFonts w:ascii="宋体" w:hAnsi="宋体"/>
                <w:color w:val="auto"/>
                <w:szCs w:val="21"/>
                <w:highlight w:val="none"/>
              </w:rPr>
            </w:pPr>
          </w:p>
        </w:tc>
        <w:tc>
          <w:tcPr>
            <w:tcW w:w="1301" w:type="dxa"/>
            <w:noWrap w:val="0"/>
            <w:vAlign w:val="center"/>
          </w:tcPr>
          <w:p w14:paraId="5D1D0926">
            <w:pPr>
              <w:spacing w:line="360" w:lineRule="auto"/>
              <w:ind w:right="-2"/>
              <w:jc w:val="center"/>
              <w:rPr>
                <w:rFonts w:ascii="宋体" w:hAnsi="宋体"/>
                <w:color w:val="auto"/>
                <w:szCs w:val="21"/>
                <w:highlight w:val="none"/>
              </w:rPr>
            </w:pPr>
          </w:p>
        </w:tc>
        <w:tc>
          <w:tcPr>
            <w:tcW w:w="1301" w:type="dxa"/>
            <w:noWrap w:val="0"/>
            <w:vAlign w:val="center"/>
          </w:tcPr>
          <w:p w14:paraId="11C7B380">
            <w:pPr>
              <w:spacing w:line="360" w:lineRule="auto"/>
              <w:ind w:right="-2"/>
              <w:jc w:val="center"/>
              <w:rPr>
                <w:rFonts w:ascii="宋体" w:hAnsi="宋体"/>
                <w:color w:val="auto"/>
                <w:szCs w:val="21"/>
                <w:highlight w:val="none"/>
              </w:rPr>
            </w:pPr>
          </w:p>
        </w:tc>
      </w:tr>
      <w:tr w14:paraId="4D0C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C7A781F">
            <w:pPr>
              <w:spacing w:line="360" w:lineRule="auto"/>
              <w:ind w:right="-2"/>
              <w:jc w:val="center"/>
              <w:rPr>
                <w:rFonts w:ascii="宋体" w:hAnsi="宋体"/>
                <w:color w:val="auto"/>
                <w:szCs w:val="21"/>
                <w:highlight w:val="none"/>
              </w:rPr>
            </w:pPr>
          </w:p>
        </w:tc>
        <w:tc>
          <w:tcPr>
            <w:tcW w:w="1219" w:type="dxa"/>
            <w:noWrap w:val="0"/>
            <w:vAlign w:val="center"/>
          </w:tcPr>
          <w:p w14:paraId="0E598F20">
            <w:pPr>
              <w:spacing w:line="360" w:lineRule="auto"/>
              <w:ind w:right="-2"/>
              <w:jc w:val="center"/>
              <w:rPr>
                <w:rFonts w:ascii="宋体" w:hAnsi="宋体"/>
                <w:color w:val="auto"/>
                <w:szCs w:val="21"/>
                <w:highlight w:val="none"/>
              </w:rPr>
            </w:pPr>
          </w:p>
        </w:tc>
        <w:tc>
          <w:tcPr>
            <w:tcW w:w="996" w:type="dxa"/>
            <w:noWrap w:val="0"/>
            <w:vAlign w:val="center"/>
          </w:tcPr>
          <w:p w14:paraId="3E949BD9">
            <w:pPr>
              <w:spacing w:line="360" w:lineRule="auto"/>
              <w:ind w:right="-2"/>
              <w:jc w:val="center"/>
              <w:rPr>
                <w:rFonts w:ascii="宋体" w:hAnsi="宋体"/>
                <w:color w:val="auto"/>
                <w:szCs w:val="21"/>
                <w:highlight w:val="none"/>
              </w:rPr>
            </w:pPr>
          </w:p>
        </w:tc>
        <w:tc>
          <w:tcPr>
            <w:tcW w:w="823" w:type="dxa"/>
            <w:noWrap w:val="0"/>
            <w:vAlign w:val="center"/>
          </w:tcPr>
          <w:p w14:paraId="7D1D596F">
            <w:pPr>
              <w:spacing w:line="360" w:lineRule="auto"/>
              <w:ind w:right="-2"/>
              <w:jc w:val="center"/>
              <w:rPr>
                <w:rFonts w:ascii="宋体" w:hAnsi="宋体"/>
                <w:color w:val="auto"/>
                <w:szCs w:val="21"/>
                <w:highlight w:val="none"/>
              </w:rPr>
            </w:pPr>
          </w:p>
        </w:tc>
        <w:tc>
          <w:tcPr>
            <w:tcW w:w="1000" w:type="dxa"/>
            <w:noWrap w:val="0"/>
            <w:vAlign w:val="center"/>
          </w:tcPr>
          <w:p w14:paraId="40DE0A9C">
            <w:pPr>
              <w:spacing w:line="360" w:lineRule="auto"/>
              <w:ind w:right="-2"/>
              <w:jc w:val="center"/>
              <w:rPr>
                <w:rFonts w:ascii="宋体" w:hAnsi="宋体"/>
                <w:color w:val="auto"/>
                <w:szCs w:val="21"/>
                <w:highlight w:val="none"/>
              </w:rPr>
            </w:pPr>
          </w:p>
        </w:tc>
        <w:tc>
          <w:tcPr>
            <w:tcW w:w="1165" w:type="dxa"/>
            <w:noWrap w:val="0"/>
            <w:vAlign w:val="center"/>
          </w:tcPr>
          <w:p w14:paraId="2716519C">
            <w:pPr>
              <w:spacing w:line="360" w:lineRule="auto"/>
              <w:ind w:right="-2"/>
              <w:jc w:val="center"/>
              <w:rPr>
                <w:rFonts w:ascii="宋体" w:hAnsi="宋体"/>
                <w:color w:val="auto"/>
                <w:szCs w:val="21"/>
                <w:highlight w:val="none"/>
              </w:rPr>
            </w:pPr>
          </w:p>
        </w:tc>
        <w:tc>
          <w:tcPr>
            <w:tcW w:w="996" w:type="dxa"/>
            <w:noWrap w:val="0"/>
            <w:vAlign w:val="center"/>
          </w:tcPr>
          <w:p w14:paraId="4573A03C">
            <w:pPr>
              <w:spacing w:line="360" w:lineRule="auto"/>
              <w:ind w:right="-2"/>
              <w:jc w:val="center"/>
              <w:rPr>
                <w:rFonts w:ascii="宋体" w:hAnsi="宋体"/>
                <w:color w:val="auto"/>
                <w:szCs w:val="21"/>
                <w:highlight w:val="none"/>
              </w:rPr>
            </w:pPr>
          </w:p>
        </w:tc>
        <w:tc>
          <w:tcPr>
            <w:tcW w:w="1301" w:type="dxa"/>
            <w:noWrap w:val="0"/>
            <w:vAlign w:val="center"/>
          </w:tcPr>
          <w:p w14:paraId="52210AD3">
            <w:pPr>
              <w:spacing w:line="360" w:lineRule="auto"/>
              <w:ind w:right="-2"/>
              <w:jc w:val="center"/>
              <w:rPr>
                <w:rFonts w:ascii="宋体" w:hAnsi="宋体"/>
                <w:color w:val="auto"/>
                <w:szCs w:val="21"/>
                <w:highlight w:val="none"/>
              </w:rPr>
            </w:pPr>
          </w:p>
        </w:tc>
        <w:tc>
          <w:tcPr>
            <w:tcW w:w="1301" w:type="dxa"/>
            <w:noWrap w:val="0"/>
            <w:vAlign w:val="center"/>
          </w:tcPr>
          <w:p w14:paraId="74E2EB6A">
            <w:pPr>
              <w:spacing w:line="360" w:lineRule="auto"/>
              <w:ind w:right="-2"/>
              <w:jc w:val="center"/>
              <w:rPr>
                <w:rFonts w:ascii="宋体" w:hAnsi="宋体"/>
                <w:color w:val="auto"/>
                <w:szCs w:val="21"/>
                <w:highlight w:val="none"/>
              </w:rPr>
            </w:pPr>
          </w:p>
        </w:tc>
      </w:tr>
    </w:tbl>
    <w:p w14:paraId="475BF725">
      <w:pPr>
        <w:ind w:firstLine="420"/>
        <w:jc w:val="left"/>
        <w:rPr>
          <w:color w:val="auto"/>
          <w:highlight w:val="none"/>
        </w:rPr>
      </w:pPr>
    </w:p>
    <w:p w14:paraId="345B8CBA">
      <w:pPr>
        <w:spacing w:line="360" w:lineRule="auto"/>
        <w:ind w:firstLine="420"/>
        <w:jc w:val="left"/>
        <w:rPr>
          <w:color w:val="auto"/>
          <w:highlight w:val="none"/>
        </w:rPr>
      </w:pPr>
      <w:r>
        <w:rPr>
          <w:rFonts w:hint="eastAsia"/>
          <w:color w:val="auto"/>
          <w:highlight w:val="none"/>
        </w:rPr>
        <w:t>投标人：（单位公章）</w:t>
      </w:r>
    </w:p>
    <w:p w14:paraId="0C312BE4">
      <w:pPr>
        <w:spacing w:line="360" w:lineRule="auto"/>
        <w:ind w:firstLine="420"/>
        <w:jc w:val="left"/>
        <w:rPr>
          <w:color w:val="auto"/>
          <w:highlight w:val="none"/>
        </w:rPr>
      </w:pPr>
      <w:r>
        <w:rPr>
          <w:rFonts w:hint="eastAsia"/>
          <w:color w:val="auto"/>
          <w:highlight w:val="none"/>
        </w:rPr>
        <w:t>授权代表（签字）：</w:t>
      </w:r>
    </w:p>
    <w:p w14:paraId="1E21DF11">
      <w:pPr>
        <w:spacing w:line="360" w:lineRule="auto"/>
        <w:ind w:firstLine="420"/>
        <w:jc w:val="left"/>
        <w:rPr>
          <w:color w:val="auto"/>
          <w:highlight w:val="none"/>
        </w:rPr>
      </w:pPr>
      <w:r>
        <w:rPr>
          <w:rFonts w:hint="eastAsia"/>
          <w:color w:val="auto"/>
          <w:highlight w:val="none"/>
        </w:rPr>
        <w:t>日期：</w:t>
      </w:r>
    </w:p>
    <w:p w14:paraId="233B8E68">
      <w:pPr>
        <w:rPr>
          <w:rFonts w:hint="eastAsia" w:ascii="宋体" w:hAnsi="宋体"/>
          <w:b/>
          <w:color w:val="auto"/>
          <w:szCs w:val="21"/>
          <w:highlight w:val="none"/>
        </w:rPr>
      </w:pPr>
      <w:r>
        <w:rPr>
          <w:rFonts w:hint="eastAsia" w:ascii="宋体" w:hAnsi="宋体"/>
          <w:b/>
          <w:color w:val="auto"/>
          <w:szCs w:val="21"/>
          <w:highlight w:val="none"/>
        </w:rPr>
        <w:br w:type="page" w:clear="all"/>
      </w:r>
    </w:p>
    <w:p w14:paraId="53EB0C44">
      <w:pPr>
        <w:pStyle w:val="3"/>
        <w:pageBreakBefore w:val="0"/>
        <w:spacing w:before="0" w:after="0" w:line="360" w:lineRule="auto"/>
        <w:jc w:val="center"/>
        <w:rPr>
          <w:rFonts w:hint="eastAsia" w:ascii="宋体" w:hAnsi="宋体" w:eastAsia="宋体" w:cs="宋体"/>
          <w:color w:val="auto"/>
          <w:sz w:val="21"/>
          <w:szCs w:val="21"/>
          <w:highlight w:val="none"/>
        </w:rPr>
      </w:pPr>
      <w:bookmarkStart w:id="127" w:name="_Toc11077"/>
      <w:r>
        <w:rPr>
          <w:rFonts w:hint="eastAsia" w:ascii="宋体" w:hAnsi="宋体" w:eastAsia="宋体" w:cs="宋体"/>
          <w:color w:val="auto"/>
          <w:sz w:val="21"/>
          <w:szCs w:val="21"/>
          <w:highlight w:val="none"/>
        </w:rPr>
        <w:t>六、技术参数响应及偏离表</w:t>
      </w:r>
      <w:bookmarkEnd w:id="127"/>
    </w:p>
    <w:tbl>
      <w:tblPr>
        <w:tblStyle w:val="4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6577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5FBD6CE5">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52" w:type="dxa"/>
            <w:noWrap w:val="0"/>
            <w:vAlign w:val="center"/>
          </w:tcPr>
          <w:p w14:paraId="7636980D">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招标要求</w:t>
            </w:r>
          </w:p>
        </w:tc>
        <w:tc>
          <w:tcPr>
            <w:tcW w:w="2852" w:type="dxa"/>
            <w:noWrap w:val="0"/>
            <w:vAlign w:val="center"/>
          </w:tcPr>
          <w:p w14:paraId="19105E7E">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1308" w:type="dxa"/>
            <w:noWrap w:val="0"/>
            <w:vAlign w:val="center"/>
          </w:tcPr>
          <w:p w14:paraId="4AE0487F">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超出、符合或偏离</w:t>
            </w:r>
          </w:p>
        </w:tc>
        <w:tc>
          <w:tcPr>
            <w:tcW w:w="1173" w:type="dxa"/>
            <w:noWrap w:val="0"/>
            <w:vAlign w:val="center"/>
          </w:tcPr>
          <w:p w14:paraId="2C685288">
            <w:pPr>
              <w:pageBreakBefore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w:t>
            </w:r>
          </w:p>
        </w:tc>
      </w:tr>
      <w:tr w14:paraId="431A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44D513D7">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08D06514">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11F96DD2">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26EBF35E">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218A39ED">
            <w:pPr>
              <w:pageBreakBefore w:val="0"/>
              <w:spacing w:line="360" w:lineRule="auto"/>
              <w:jc w:val="center"/>
              <w:rPr>
                <w:rFonts w:hint="eastAsia" w:ascii="宋体" w:hAnsi="宋体" w:eastAsia="宋体" w:cs="宋体"/>
                <w:color w:val="auto"/>
                <w:sz w:val="21"/>
                <w:szCs w:val="21"/>
                <w:highlight w:val="none"/>
              </w:rPr>
            </w:pPr>
          </w:p>
        </w:tc>
      </w:tr>
      <w:tr w14:paraId="480F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D9F78EB">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6B8C641B">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472205E9">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4294D256">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7AEAC31D">
            <w:pPr>
              <w:pageBreakBefore w:val="0"/>
              <w:spacing w:line="360" w:lineRule="auto"/>
              <w:jc w:val="center"/>
              <w:rPr>
                <w:rFonts w:hint="eastAsia" w:ascii="宋体" w:hAnsi="宋体" w:eastAsia="宋体" w:cs="宋体"/>
                <w:color w:val="auto"/>
                <w:sz w:val="21"/>
                <w:szCs w:val="21"/>
                <w:highlight w:val="none"/>
              </w:rPr>
            </w:pPr>
          </w:p>
        </w:tc>
      </w:tr>
      <w:tr w14:paraId="56DF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33D5C95">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6AC8FE58">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1B7908A1">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61AB24D1">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091DD405">
            <w:pPr>
              <w:pageBreakBefore w:val="0"/>
              <w:spacing w:line="360" w:lineRule="auto"/>
              <w:jc w:val="center"/>
              <w:rPr>
                <w:rFonts w:hint="eastAsia" w:ascii="宋体" w:hAnsi="宋体" w:eastAsia="宋体" w:cs="宋体"/>
                <w:color w:val="auto"/>
                <w:sz w:val="21"/>
                <w:szCs w:val="21"/>
                <w:highlight w:val="none"/>
              </w:rPr>
            </w:pPr>
          </w:p>
        </w:tc>
      </w:tr>
      <w:tr w14:paraId="67AD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285571A3">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35A38BF7">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5CD7B24C">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4FF37E31">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766F12BC">
            <w:pPr>
              <w:pageBreakBefore w:val="0"/>
              <w:spacing w:line="360" w:lineRule="auto"/>
              <w:jc w:val="center"/>
              <w:rPr>
                <w:rFonts w:hint="eastAsia" w:ascii="宋体" w:hAnsi="宋体" w:eastAsia="宋体" w:cs="宋体"/>
                <w:color w:val="auto"/>
                <w:sz w:val="21"/>
                <w:szCs w:val="21"/>
                <w:highlight w:val="none"/>
              </w:rPr>
            </w:pPr>
          </w:p>
        </w:tc>
      </w:tr>
      <w:tr w14:paraId="728D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68E2B32">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50C29B07">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4B8036A5">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29035F17">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1D073597">
            <w:pPr>
              <w:pageBreakBefore w:val="0"/>
              <w:spacing w:line="360" w:lineRule="auto"/>
              <w:jc w:val="center"/>
              <w:rPr>
                <w:rFonts w:hint="eastAsia" w:ascii="宋体" w:hAnsi="宋体" w:eastAsia="宋体" w:cs="宋体"/>
                <w:color w:val="auto"/>
                <w:sz w:val="21"/>
                <w:szCs w:val="21"/>
                <w:highlight w:val="none"/>
              </w:rPr>
            </w:pPr>
          </w:p>
        </w:tc>
      </w:tr>
      <w:tr w14:paraId="5713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226B465E">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108F3AF9">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76153060">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7AF8866A">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2FE5F287">
            <w:pPr>
              <w:pageBreakBefore w:val="0"/>
              <w:spacing w:line="360" w:lineRule="auto"/>
              <w:jc w:val="center"/>
              <w:rPr>
                <w:rFonts w:hint="eastAsia" w:ascii="宋体" w:hAnsi="宋体" w:eastAsia="宋体" w:cs="宋体"/>
                <w:color w:val="auto"/>
                <w:sz w:val="21"/>
                <w:szCs w:val="21"/>
                <w:highlight w:val="none"/>
              </w:rPr>
            </w:pPr>
          </w:p>
        </w:tc>
      </w:tr>
      <w:tr w14:paraId="0B80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6B9E20D5">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0DEDAEA6">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49F90048">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7A3BA9FA">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7719752C">
            <w:pPr>
              <w:pageBreakBefore w:val="0"/>
              <w:spacing w:line="360" w:lineRule="auto"/>
              <w:jc w:val="center"/>
              <w:rPr>
                <w:rFonts w:hint="eastAsia" w:ascii="宋体" w:hAnsi="宋体" w:eastAsia="宋体" w:cs="宋体"/>
                <w:color w:val="auto"/>
                <w:sz w:val="21"/>
                <w:szCs w:val="21"/>
                <w:highlight w:val="none"/>
              </w:rPr>
            </w:pPr>
          </w:p>
        </w:tc>
      </w:tr>
      <w:tr w14:paraId="449F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9933922">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3A09BA4D">
            <w:pPr>
              <w:pageBreakBefore w:val="0"/>
              <w:spacing w:line="360" w:lineRule="auto"/>
              <w:jc w:val="center"/>
              <w:rPr>
                <w:rFonts w:hint="eastAsia" w:ascii="宋体" w:hAnsi="宋体" w:eastAsia="宋体" w:cs="宋体"/>
                <w:color w:val="auto"/>
                <w:sz w:val="21"/>
                <w:szCs w:val="21"/>
                <w:highlight w:val="none"/>
              </w:rPr>
            </w:pPr>
          </w:p>
        </w:tc>
        <w:tc>
          <w:tcPr>
            <w:tcW w:w="2852" w:type="dxa"/>
            <w:noWrap w:val="0"/>
            <w:vAlign w:val="top"/>
          </w:tcPr>
          <w:p w14:paraId="3325E16E">
            <w:pPr>
              <w:pageBreakBefore w:val="0"/>
              <w:spacing w:line="360" w:lineRule="auto"/>
              <w:jc w:val="center"/>
              <w:rPr>
                <w:rFonts w:hint="eastAsia" w:ascii="宋体" w:hAnsi="宋体" w:eastAsia="宋体" w:cs="宋体"/>
                <w:color w:val="auto"/>
                <w:sz w:val="21"/>
                <w:szCs w:val="21"/>
                <w:highlight w:val="none"/>
              </w:rPr>
            </w:pPr>
          </w:p>
        </w:tc>
        <w:tc>
          <w:tcPr>
            <w:tcW w:w="1308" w:type="dxa"/>
            <w:noWrap w:val="0"/>
            <w:vAlign w:val="top"/>
          </w:tcPr>
          <w:p w14:paraId="45786DAB">
            <w:pPr>
              <w:pageBreakBefore w:val="0"/>
              <w:spacing w:line="360" w:lineRule="auto"/>
              <w:jc w:val="center"/>
              <w:rPr>
                <w:rFonts w:hint="eastAsia" w:ascii="宋体" w:hAnsi="宋体" w:eastAsia="宋体" w:cs="宋体"/>
                <w:color w:val="auto"/>
                <w:sz w:val="21"/>
                <w:szCs w:val="21"/>
                <w:highlight w:val="none"/>
              </w:rPr>
            </w:pPr>
          </w:p>
        </w:tc>
        <w:tc>
          <w:tcPr>
            <w:tcW w:w="1173" w:type="dxa"/>
            <w:noWrap w:val="0"/>
            <w:vAlign w:val="top"/>
          </w:tcPr>
          <w:p w14:paraId="5CF97A84">
            <w:pPr>
              <w:pageBreakBefore w:val="0"/>
              <w:spacing w:line="360" w:lineRule="auto"/>
              <w:jc w:val="center"/>
              <w:rPr>
                <w:rFonts w:hint="eastAsia" w:ascii="宋体" w:hAnsi="宋体" w:eastAsia="宋体" w:cs="宋体"/>
                <w:color w:val="auto"/>
                <w:sz w:val="21"/>
                <w:szCs w:val="21"/>
                <w:highlight w:val="none"/>
              </w:rPr>
            </w:pPr>
          </w:p>
        </w:tc>
      </w:tr>
    </w:tbl>
    <w:p w14:paraId="2E8EBC45">
      <w:pPr>
        <w:pageBreakBefore w:val="0"/>
        <w:spacing w:line="360" w:lineRule="auto"/>
        <w:rPr>
          <w:rFonts w:hint="eastAsia" w:ascii="宋体" w:hAnsi="宋体" w:eastAsia="宋体" w:cs="宋体"/>
          <w:color w:val="auto"/>
          <w:sz w:val="21"/>
          <w:szCs w:val="21"/>
          <w:highlight w:val="none"/>
        </w:rPr>
      </w:pPr>
    </w:p>
    <w:p w14:paraId="63FF9026">
      <w:pPr>
        <w:pageBreakBefore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注：1、按照基本技术要求详细填列。</w:t>
      </w:r>
    </w:p>
    <w:p w14:paraId="1624ABF1">
      <w:pPr>
        <w:pageBreakBefore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2、行数不够，可自行添加。</w:t>
      </w:r>
    </w:p>
    <w:p w14:paraId="0CA2E494">
      <w:pPr>
        <w:spacing w:line="360" w:lineRule="auto"/>
        <w:jc w:val="left"/>
        <w:rPr>
          <w:rFonts w:hint="eastAsia"/>
          <w:bCs/>
          <w:color w:val="auto"/>
          <w:szCs w:val="21"/>
          <w:highlight w:val="none"/>
        </w:rPr>
      </w:pPr>
    </w:p>
    <w:p w14:paraId="77C2B361">
      <w:pPr>
        <w:spacing w:line="360" w:lineRule="auto"/>
        <w:jc w:val="left"/>
        <w:rPr>
          <w:bCs/>
          <w:color w:val="auto"/>
          <w:szCs w:val="21"/>
          <w:highlight w:val="none"/>
        </w:rPr>
      </w:pPr>
      <w:r>
        <w:rPr>
          <w:rFonts w:hint="eastAsia"/>
          <w:bCs/>
          <w:color w:val="auto"/>
          <w:szCs w:val="21"/>
          <w:highlight w:val="none"/>
        </w:rPr>
        <w:t>投标人名称（公章）：</w:t>
      </w:r>
    </w:p>
    <w:p w14:paraId="730DA9E4">
      <w:pPr>
        <w:spacing w:line="360" w:lineRule="auto"/>
        <w:rPr>
          <w:bCs/>
          <w:color w:val="auto"/>
          <w:szCs w:val="21"/>
          <w:highlight w:val="none"/>
        </w:rPr>
      </w:pPr>
      <w:r>
        <w:rPr>
          <w:rFonts w:hint="eastAsia"/>
          <w:bCs/>
          <w:color w:val="auto"/>
          <w:szCs w:val="21"/>
          <w:highlight w:val="none"/>
        </w:rPr>
        <w:t>法定代表人或授权代表（签字）：</w:t>
      </w:r>
    </w:p>
    <w:p w14:paraId="3272278E">
      <w:pPr>
        <w:spacing w:line="360" w:lineRule="auto"/>
        <w:rPr>
          <w:rFonts w:ascii="黑体" w:hAnsi="Arial" w:eastAsia="黑体"/>
          <w:b/>
          <w:color w:val="auto"/>
          <w:sz w:val="36"/>
          <w:highlight w:val="none"/>
        </w:rPr>
      </w:pPr>
      <w:r>
        <w:rPr>
          <w:rFonts w:hint="eastAsia"/>
          <w:bCs/>
          <w:color w:val="auto"/>
          <w:szCs w:val="21"/>
          <w:highlight w:val="none"/>
        </w:rPr>
        <w:t>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14:paraId="5B86D179">
      <w:pPr>
        <w:pageBreakBefore w:val="0"/>
        <w:spacing w:line="360" w:lineRule="auto"/>
        <w:jc w:val="both"/>
        <w:rPr>
          <w:rFonts w:hint="eastAsia" w:ascii="宋体" w:hAnsi="宋体" w:eastAsia="宋体" w:cs="宋体"/>
          <w:b/>
          <w:color w:val="auto"/>
          <w:sz w:val="21"/>
          <w:szCs w:val="21"/>
          <w:highlight w:val="none"/>
        </w:rPr>
      </w:pPr>
    </w:p>
    <w:p w14:paraId="65686AB0">
      <w:pPr>
        <w:pageBreakBefore w:val="0"/>
        <w:spacing w:line="360" w:lineRule="auto"/>
        <w:jc w:val="center"/>
        <w:rPr>
          <w:rFonts w:hint="eastAsia" w:ascii="宋体" w:hAnsi="宋体" w:eastAsia="宋体" w:cs="宋体"/>
          <w:b/>
          <w:color w:val="auto"/>
          <w:sz w:val="21"/>
          <w:szCs w:val="21"/>
          <w:highlight w:val="none"/>
        </w:rPr>
      </w:pPr>
    </w:p>
    <w:p w14:paraId="424C7BC6">
      <w:pPr>
        <w:pageBreakBefore w:val="0"/>
        <w:spacing w:line="360" w:lineRule="auto"/>
        <w:jc w:val="center"/>
        <w:rPr>
          <w:rFonts w:hint="eastAsia" w:ascii="宋体" w:hAnsi="宋体" w:eastAsia="宋体" w:cs="宋体"/>
          <w:b/>
          <w:color w:val="auto"/>
          <w:sz w:val="21"/>
          <w:szCs w:val="21"/>
          <w:highlight w:val="none"/>
        </w:rPr>
      </w:pPr>
    </w:p>
    <w:p w14:paraId="75FD8432">
      <w:pPr>
        <w:pageBreakBefore w:val="0"/>
        <w:spacing w:line="360" w:lineRule="auto"/>
        <w:jc w:val="center"/>
        <w:rPr>
          <w:rFonts w:hint="eastAsia" w:ascii="宋体" w:hAnsi="宋体" w:eastAsia="宋体" w:cs="宋体"/>
          <w:b/>
          <w:color w:val="auto"/>
          <w:sz w:val="21"/>
          <w:szCs w:val="21"/>
          <w:highlight w:val="none"/>
        </w:rPr>
      </w:pPr>
    </w:p>
    <w:p w14:paraId="1886C520">
      <w:pPr>
        <w:pageBreakBefore w:val="0"/>
        <w:spacing w:line="360" w:lineRule="auto"/>
        <w:rPr>
          <w:rFonts w:hint="eastAsia" w:ascii="宋体" w:hAnsi="宋体" w:eastAsia="宋体" w:cs="宋体"/>
          <w:color w:val="auto"/>
          <w:sz w:val="21"/>
          <w:szCs w:val="21"/>
          <w:highlight w:val="none"/>
        </w:rPr>
      </w:pPr>
    </w:p>
    <w:p w14:paraId="2591181A">
      <w:pPr>
        <w:pageBreakBefore w:val="0"/>
        <w:spacing w:line="360" w:lineRule="auto"/>
        <w:rPr>
          <w:rFonts w:hint="eastAsia" w:ascii="宋体" w:hAnsi="宋体" w:eastAsia="宋体" w:cs="宋体"/>
          <w:color w:val="auto"/>
          <w:sz w:val="21"/>
          <w:szCs w:val="21"/>
          <w:highlight w:val="none"/>
        </w:rPr>
      </w:pPr>
    </w:p>
    <w:p w14:paraId="62A9D357">
      <w:pPr>
        <w:pageBreakBefore w:val="0"/>
        <w:spacing w:line="360" w:lineRule="auto"/>
        <w:rPr>
          <w:rFonts w:hint="eastAsia" w:ascii="宋体" w:hAnsi="宋体" w:eastAsia="宋体" w:cs="宋体"/>
          <w:color w:val="auto"/>
          <w:sz w:val="21"/>
          <w:szCs w:val="21"/>
          <w:highlight w:val="none"/>
        </w:rPr>
      </w:pPr>
    </w:p>
    <w:p w14:paraId="10ECF44A">
      <w:pPr>
        <w:pStyle w:val="24"/>
        <w:pageBreakBefore w:val="0"/>
        <w:spacing w:line="360" w:lineRule="auto"/>
        <w:rPr>
          <w:rFonts w:hint="eastAsia" w:ascii="宋体" w:hAnsi="宋体" w:eastAsia="宋体" w:cs="宋体"/>
          <w:color w:val="auto"/>
          <w:sz w:val="21"/>
          <w:szCs w:val="21"/>
        </w:rPr>
      </w:pPr>
    </w:p>
    <w:p w14:paraId="22D26D49">
      <w:pPr>
        <w:rPr>
          <w:rFonts w:hint="eastAsia" w:ascii="宋体" w:hAnsi="宋体" w:eastAsia="宋体" w:cs="宋体"/>
          <w:bCs w:val="0"/>
          <w:color w:val="auto"/>
          <w:sz w:val="21"/>
          <w:szCs w:val="21"/>
          <w:highlight w:val="none"/>
        </w:rPr>
      </w:pPr>
      <w:bookmarkStart w:id="128" w:name="_Hlt26955054"/>
      <w:bookmarkEnd w:id="128"/>
      <w:bookmarkStart w:id="129" w:name="_Toc6599"/>
      <w:bookmarkStart w:id="130" w:name="_Toc113352363"/>
      <w:r>
        <w:rPr>
          <w:rFonts w:hint="eastAsia" w:ascii="宋体" w:hAnsi="宋体" w:eastAsia="宋体" w:cs="宋体"/>
          <w:bCs w:val="0"/>
          <w:color w:val="auto"/>
          <w:sz w:val="21"/>
          <w:szCs w:val="21"/>
          <w:highlight w:val="none"/>
        </w:rPr>
        <w:br w:type="page" w:clear="all"/>
      </w:r>
    </w:p>
    <w:p w14:paraId="5502F3BC">
      <w:pPr>
        <w:pStyle w:val="3"/>
        <w:pageBreakBefore w:val="0"/>
        <w:spacing w:before="0" w:after="0" w:line="360" w:lineRule="auto"/>
        <w:jc w:val="center"/>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七、商务条款响应及偏离表</w:t>
      </w:r>
      <w:bookmarkEnd w:id="129"/>
      <w:bookmarkEnd w:id="130"/>
    </w:p>
    <w:tbl>
      <w:tblPr>
        <w:tblStyle w:val="4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29"/>
        <w:gridCol w:w="2130"/>
        <w:gridCol w:w="2130"/>
        <w:gridCol w:w="2130"/>
      </w:tblGrid>
      <w:tr w14:paraId="3D811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71408B09">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311CE5D2">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采购文件要求</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17BD7B39">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是否响应</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13345317">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供应商的承诺或说明</w:t>
            </w:r>
          </w:p>
        </w:tc>
      </w:tr>
      <w:tr w14:paraId="24A4A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6ADEBCCB">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7AC47973">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7331791">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B0D664F">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r>
      <w:tr w14:paraId="5B076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9021D9B">
            <w:pPr>
              <w:keepNext w:val="0"/>
              <w:keepLines w:val="0"/>
              <w:pageBreakBefore w:val="0"/>
              <w:widowControl w:val="0"/>
              <w:tabs>
                <w:tab w:val="center" w:pos="1019"/>
                <w:tab w:val="right" w:pos="1919"/>
              </w:tabs>
              <w:spacing w:line="48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t>服务方式</w:t>
            </w:r>
            <w:r>
              <w:rPr>
                <w:rFonts w:hint="eastAsia" w:ascii="宋体" w:hAnsi="宋体" w:eastAsia="宋体" w:cs="宋体"/>
                <w:color w:val="auto"/>
                <w:sz w:val="21"/>
                <w:szCs w:val="21"/>
                <w:highlight w:val="none"/>
                <w:lang w:eastAsia="zh-CN"/>
              </w:rPr>
              <w:tab/>
            </w:r>
          </w:p>
        </w:tc>
        <w:tc>
          <w:tcPr>
            <w:tcW w:w="1250" w:type="pct"/>
            <w:tcBorders>
              <w:top w:val="single" w:color="auto" w:sz="4" w:space="0"/>
              <w:left w:val="single" w:color="auto" w:sz="4" w:space="0"/>
              <w:bottom w:val="single" w:color="auto" w:sz="4" w:space="0"/>
              <w:right w:val="single" w:color="auto" w:sz="4" w:space="0"/>
            </w:tcBorders>
            <w:noWrap w:val="0"/>
            <w:vAlign w:val="top"/>
          </w:tcPr>
          <w:p w14:paraId="6B862CEB">
            <w:pPr>
              <w:keepNext w:val="0"/>
              <w:keepLines w:val="0"/>
              <w:pageBreakBefore w:val="0"/>
              <w:widowControl w:val="0"/>
              <w:spacing w:line="480" w:lineRule="auto"/>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0A3DDA7">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6FEEF35">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r>
      <w:tr w14:paraId="3BEEF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299AE1C">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08C93611">
            <w:pPr>
              <w:keepNext w:val="0"/>
              <w:keepLines w:val="0"/>
              <w:pageBreakBefore w:val="0"/>
              <w:widowControl w:val="0"/>
              <w:spacing w:line="480" w:lineRule="auto"/>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56982D77">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48978ED5">
            <w:pPr>
              <w:keepNext w:val="0"/>
              <w:keepLines w:val="0"/>
              <w:pageBreakBefore w:val="0"/>
              <w:widowControl w:val="0"/>
              <w:spacing w:line="480" w:lineRule="auto"/>
              <w:ind w:left="43"/>
              <w:jc w:val="center"/>
              <w:rPr>
                <w:rFonts w:hint="eastAsia" w:ascii="宋体" w:hAnsi="宋体" w:eastAsia="宋体" w:cs="宋体"/>
                <w:color w:val="auto"/>
                <w:sz w:val="21"/>
                <w:szCs w:val="21"/>
                <w:highlight w:val="none"/>
              </w:rPr>
            </w:pPr>
          </w:p>
        </w:tc>
      </w:tr>
      <w:tr w14:paraId="493D1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3292716">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46EF1B38">
            <w:pPr>
              <w:keepNext w:val="0"/>
              <w:keepLines w:val="0"/>
              <w:pageBreakBefore w:val="0"/>
              <w:widowControl w:val="0"/>
              <w:spacing w:line="480" w:lineRule="auto"/>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58CD9A49">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55BC051A">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r>
      <w:tr w14:paraId="4511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00CA2914">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0D138D7C">
            <w:pPr>
              <w:keepNext w:val="0"/>
              <w:keepLines w:val="0"/>
              <w:pageBreakBefore w:val="0"/>
              <w:widowControl w:val="0"/>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1C6EDA66">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535BA26">
            <w:pPr>
              <w:keepNext w:val="0"/>
              <w:keepLines w:val="0"/>
              <w:pageBreakBefore w:val="0"/>
              <w:widowControl w:val="0"/>
              <w:spacing w:line="480" w:lineRule="auto"/>
              <w:jc w:val="center"/>
              <w:rPr>
                <w:rFonts w:hint="eastAsia" w:ascii="宋体" w:hAnsi="宋体" w:eastAsia="宋体" w:cs="宋体"/>
                <w:color w:val="auto"/>
                <w:sz w:val="21"/>
                <w:szCs w:val="21"/>
                <w:highlight w:val="none"/>
              </w:rPr>
            </w:pPr>
          </w:p>
        </w:tc>
      </w:tr>
    </w:tbl>
    <w:p w14:paraId="53D0B2B7">
      <w:pPr>
        <w:pageBreakBefore w:val="0"/>
        <w:spacing w:line="360" w:lineRule="auto"/>
        <w:rPr>
          <w:rFonts w:hint="eastAsia" w:ascii="宋体" w:hAnsi="宋体" w:eastAsia="宋体" w:cs="宋体"/>
          <w:color w:val="auto"/>
          <w:sz w:val="21"/>
          <w:szCs w:val="21"/>
          <w:highlight w:val="none"/>
        </w:rPr>
      </w:pPr>
    </w:p>
    <w:p w14:paraId="707FE20D">
      <w:pPr>
        <w:spacing w:line="360" w:lineRule="auto"/>
        <w:rPr>
          <w:bCs/>
          <w:color w:val="auto"/>
          <w:szCs w:val="21"/>
          <w:highlight w:val="none"/>
        </w:rPr>
      </w:pPr>
      <w:r>
        <w:rPr>
          <w:rFonts w:hint="eastAsia"/>
          <w:bCs/>
          <w:color w:val="auto"/>
          <w:szCs w:val="21"/>
          <w:highlight w:val="none"/>
        </w:rPr>
        <w:t>投标人名称（公章）：</w:t>
      </w:r>
    </w:p>
    <w:p w14:paraId="2BEC66AC">
      <w:pPr>
        <w:spacing w:line="360" w:lineRule="auto"/>
        <w:rPr>
          <w:bCs/>
          <w:color w:val="auto"/>
          <w:szCs w:val="21"/>
          <w:highlight w:val="none"/>
        </w:rPr>
      </w:pPr>
      <w:r>
        <w:rPr>
          <w:rFonts w:hint="eastAsia"/>
          <w:bCs/>
          <w:color w:val="auto"/>
          <w:szCs w:val="21"/>
          <w:highlight w:val="none"/>
        </w:rPr>
        <w:t>法定代表人或授权代表（签字）：</w:t>
      </w:r>
    </w:p>
    <w:p w14:paraId="03E65F21">
      <w:pPr>
        <w:spacing w:line="360" w:lineRule="auto"/>
        <w:rPr>
          <w:rFonts w:ascii="宋体" w:hAnsi="宋体"/>
          <w:color w:val="auto"/>
          <w:sz w:val="24"/>
          <w:highlight w:val="none"/>
        </w:rPr>
      </w:pPr>
      <w:r>
        <w:rPr>
          <w:rFonts w:hint="eastAsia"/>
          <w:bCs/>
          <w:color w:val="auto"/>
          <w:szCs w:val="21"/>
          <w:highlight w:val="none"/>
        </w:rPr>
        <w:t>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14:paraId="4F1E289D">
      <w:pPr>
        <w:rPr>
          <w:rFonts w:hint="eastAsia" w:ascii="宋体" w:hAnsi="宋体"/>
          <w:b/>
          <w:color w:val="auto"/>
          <w:highlight w:val="none"/>
          <w:lang w:val="en-US" w:eastAsia="zh-CN"/>
        </w:rPr>
      </w:pPr>
      <w:r>
        <w:rPr>
          <w:rFonts w:hint="eastAsia" w:ascii="宋体" w:hAnsi="宋体"/>
          <w:b/>
          <w:color w:val="auto"/>
          <w:highlight w:val="none"/>
          <w:lang w:val="en-US" w:eastAsia="zh-CN"/>
        </w:rPr>
        <w:br w:type="page" w:clear="all"/>
      </w:r>
    </w:p>
    <w:p w14:paraId="058DDD81">
      <w:pPr>
        <w:spacing w:before="312" w:line="360" w:lineRule="auto"/>
        <w:jc w:val="center"/>
        <w:rPr>
          <w:rFonts w:ascii="宋体" w:hAnsi="宋体"/>
          <w:b/>
          <w:color w:val="auto"/>
          <w:highlight w:val="none"/>
        </w:rPr>
      </w:pPr>
      <w:r>
        <w:rPr>
          <w:rFonts w:hint="eastAsia" w:ascii="宋体" w:hAnsi="宋体"/>
          <w:b/>
          <w:color w:val="auto"/>
          <w:highlight w:val="none"/>
          <w:lang w:val="en-US" w:eastAsia="zh-CN"/>
        </w:rPr>
        <w:t>八</w:t>
      </w:r>
      <w:r>
        <w:rPr>
          <w:rFonts w:hint="eastAsia" w:ascii="宋体" w:hAnsi="宋体"/>
          <w:b/>
          <w:color w:val="auto"/>
          <w:highlight w:val="none"/>
          <w:lang w:eastAsia="zh-CN"/>
        </w:rPr>
        <w:t>、</w:t>
      </w:r>
      <w:r>
        <w:rPr>
          <w:rFonts w:hint="eastAsia" w:ascii="宋体" w:hAnsi="宋体"/>
          <w:b/>
          <w:color w:val="auto"/>
          <w:highlight w:val="none"/>
        </w:rPr>
        <w:t>主要标的信息（中标后将公示）</w:t>
      </w:r>
    </w:p>
    <w:p w14:paraId="28A1DBE9">
      <w:pPr>
        <w:spacing w:after="312" w:line="360" w:lineRule="auto"/>
        <w:rPr>
          <w:rFonts w:ascii="宋体" w:hAnsi="宋体"/>
          <w:b/>
          <w:color w:val="auto"/>
          <w:highlight w:val="none"/>
        </w:rPr>
      </w:pPr>
      <w:r>
        <w:rPr>
          <w:rFonts w:hint="eastAsia" w:ascii="宋体" w:hAnsi="宋体"/>
          <w:color w:val="auto"/>
          <w:highlight w:val="none"/>
        </w:rPr>
        <w:t>投标人全称：</w:t>
      </w:r>
    </w:p>
    <w:tbl>
      <w:tblPr>
        <w:tblStyle w:val="42"/>
        <w:tblW w:w="7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14:paraId="70AA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noWrap w:val="0"/>
            <w:vAlign w:val="top"/>
          </w:tcPr>
          <w:p w14:paraId="2DB37836">
            <w:pPr>
              <w:jc w:val="center"/>
              <w:rPr>
                <w:rFonts w:ascii="宋体" w:hAnsi="宋体" w:cs="宋体"/>
                <w:color w:val="auto"/>
                <w:highlight w:val="none"/>
              </w:rPr>
            </w:pPr>
            <w:r>
              <w:rPr>
                <w:rFonts w:hint="eastAsia" w:ascii="宋体" w:hAnsi="宋体" w:cs="宋体"/>
                <w:color w:val="auto"/>
                <w:highlight w:val="none"/>
              </w:rPr>
              <w:t>货物类</w:t>
            </w:r>
          </w:p>
        </w:tc>
        <w:tc>
          <w:tcPr>
            <w:tcW w:w="3780" w:type="dxa"/>
            <w:noWrap w:val="0"/>
            <w:vAlign w:val="top"/>
          </w:tcPr>
          <w:p w14:paraId="042C1E5B">
            <w:pPr>
              <w:jc w:val="center"/>
              <w:rPr>
                <w:rFonts w:ascii="宋体" w:hAnsi="宋体" w:cs="宋体"/>
                <w:color w:val="auto"/>
                <w:highlight w:val="none"/>
              </w:rPr>
            </w:pPr>
            <w:r>
              <w:rPr>
                <w:rFonts w:hint="eastAsia" w:ascii="宋体" w:hAnsi="宋体" w:cs="宋体"/>
                <w:color w:val="auto"/>
                <w:highlight w:val="none"/>
              </w:rPr>
              <w:t>服务类</w:t>
            </w:r>
          </w:p>
        </w:tc>
      </w:tr>
      <w:tr w14:paraId="20CC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noWrap w:val="0"/>
            <w:vAlign w:val="top"/>
          </w:tcPr>
          <w:p w14:paraId="464392B7">
            <w:pPr>
              <w:spacing w:line="360" w:lineRule="auto"/>
              <w:rPr>
                <w:rFonts w:ascii="宋体" w:hAnsi="宋体" w:cs="宋体"/>
                <w:color w:val="auto"/>
                <w:highlight w:val="none"/>
              </w:rPr>
            </w:pPr>
            <w:r>
              <w:rPr>
                <w:rFonts w:hint="eastAsia" w:ascii="宋体" w:hAnsi="宋体" w:cs="宋体"/>
                <w:color w:val="auto"/>
                <w:highlight w:val="none"/>
              </w:rPr>
              <w:t>名称：</w:t>
            </w:r>
          </w:p>
          <w:p w14:paraId="109B9D65">
            <w:pPr>
              <w:spacing w:line="360" w:lineRule="auto"/>
              <w:rPr>
                <w:rFonts w:ascii="宋体" w:hAnsi="宋体" w:cs="宋体"/>
                <w:color w:val="auto"/>
                <w:highlight w:val="none"/>
              </w:rPr>
            </w:pPr>
            <w:r>
              <w:rPr>
                <w:rFonts w:hint="eastAsia" w:ascii="宋体" w:hAnsi="宋体" w:cs="宋体"/>
                <w:color w:val="auto"/>
                <w:highlight w:val="none"/>
              </w:rPr>
              <w:t>品牌（如有）：</w:t>
            </w:r>
          </w:p>
          <w:p w14:paraId="20D16590">
            <w:pPr>
              <w:spacing w:line="360" w:lineRule="auto"/>
              <w:rPr>
                <w:rFonts w:ascii="宋体" w:hAnsi="宋体" w:cs="宋体"/>
                <w:color w:val="auto"/>
                <w:highlight w:val="none"/>
              </w:rPr>
            </w:pPr>
            <w:r>
              <w:rPr>
                <w:rFonts w:hint="eastAsia" w:ascii="宋体" w:hAnsi="宋体" w:cs="宋体"/>
                <w:color w:val="auto"/>
                <w:highlight w:val="none"/>
              </w:rPr>
              <w:t>规格型号：</w:t>
            </w:r>
          </w:p>
          <w:p w14:paraId="55E4BB5A">
            <w:pPr>
              <w:spacing w:line="360" w:lineRule="auto"/>
              <w:rPr>
                <w:rFonts w:ascii="宋体" w:hAnsi="宋体" w:cs="宋体"/>
                <w:color w:val="auto"/>
                <w:highlight w:val="none"/>
              </w:rPr>
            </w:pPr>
            <w:r>
              <w:rPr>
                <w:rFonts w:hint="eastAsia" w:ascii="宋体" w:hAnsi="宋体" w:cs="宋体"/>
                <w:color w:val="auto"/>
                <w:highlight w:val="none"/>
              </w:rPr>
              <w:t>数量：</w:t>
            </w:r>
          </w:p>
          <w:p w14:paraId="411E3E52">
            <w:pPr>
              <w:spacing w:line="360" w:lineRule="auto"/>
              <w:rPr>
                <w:rFonts w:ascii="宋体" w:hAnsi="宋体" w:cs="宋体"/>
                <w:color w:val="auto"/>
                <w:highlight w:val="none"/>
              </w:rPr>
            </w:pPr>
            <w:r>
              <w:rPr>
                <w:rFonts w:hint="eastAsia" w:ascii="宋体" w:hAnsi="宋体" w:cs="宋体"/>
                <w:color w:val="auto"/>
                <w:highlight w:val="none"/>
              </w:rPr>
              <w:t>单价：</w:t>
            </w:r>
          </w:p>
        </w:tc>
        <w:tc>
          <w:tcPr>
            <w:tcW w:w="3780" w:type="dxa"/>
            <w:noWrap w:val="0"/>
            <w:vAlign w:val="top"/>
          </w:tcPr>
          <w:p w14:paraId="1C542106">
            <w:pPr>
              <w:spacing w:line="360" w:lineRule="auto"/>
              <w:rPr>
                <w:rFonts w:ascii="宋体" w:hAnsi="宋体" w:cs="宋体"/>
                <w:color w:val="auto"/>
                <w:highlight w:val="none"/>
              </w:rPr>
            </w:pPr>
            <w:r>
              <w:rPr>
                <w:rFonts w:hint="eastAsia" w:ascii="宋体" w:hAnsi="宋体" w:cs="宋体"/>
                <w:color w:val="auto"/>
                <w:highlight w:val="none"/>
              </w:rPr>
              <w:t>名称：</w:t>
            </w:r>
          </w:p>
          <w:p w14:paraId="18C4C063">
            <w:pPr>
              <w:spacing w:line="360" w:lineRule="auto"/>
              <w:rPr>
                <w:rFonts w:ascii="宋体" w:hAnsi="宋体" w:cs="宋体"/>
                <w:color w:val="auto"/>
                <w:highlight w:val="none"/>
              </w:rPr>
            </w:pPr>
            <w:r>
              <w:rPr>
                <w:rFonts w:hint="eastAsia" w:ascii="宋体" w:hAnsi="宋体" w:cs="宋体"/>
                <w:color w:val="auto"/>
                <w:highlight w:val="none"/>
              </w:rPr>
              <w:t>服务范围：</w:t>
            </w:r>
          </w:p>
          <w:p w14:paraId="14466073">
            <w:pPr>
              <w:spacing w:line="360" w:lineRule="auto"/>
              <w:rPr>
                <w:rFonts w:ascii="宋体" w:hAnsi="宋体" w:cs="宋体"/>
                <w:color w:val="auto"/>
                <w:highlight w:val="none"/>
                <w:u w:val="single"/>
              </w:rPr>
            </w:pPr>
            <w:r>
              <w:rPr>
                <w:rFonts w:hint="eastAsia" w:ascii="宋体" w:hAnsi="宋体" w:cs="宋体"/>
                <w:color w:val="auto"/>
                <w:highlight w:val="none"/>
              </w:rPr>
              <w:t>服务要求：</w:t>
            </w:r>
          </w:p>
          <w:p w14:paraId="5BEA449A">
            <w:pPr>
              <w:spacing w:line="360" w:lineRule="auto"/>
              <w:rPr>
                <w:rFonts w:ascii="宋体" w:hAnsi="宋体" w:cs="宋体"/>
                <w:color w:val="auto"/>
                <w:highlight w:val="none"/>
                <w:u w:val="single"/>
              </w:rPr>
            </w:pPr>
            <w:r>
              <w:rPr>
                <w:rFonts w:hint="eastAsia" w:ascii="宋体" w:hAnsi="宋体" w:cs="宋体"/>
                <w:color w:val="auto"/>
                <w:highlight w:val="none"/>
              </w:rPr>
              <w:t>服务时间：</w:t>
            </w:r>
          </w:p>
          <w:p w14:paraId="70C70A4F">
            <w:pPr>
              <w:spacing w:line="360" w:lineRule="auto"/>
              <w:rPr>
                <w:rFonts w:ascii="宋体" w:hAnsi="宋体" w:cs="宋体"/>
                <w:color w:val="auto"/>
                <w:highlight w:val="none"/>
              </w:rPr>
            </w:pPr>
            <w:r>
              <w:rPr>
                <w:rFonts w:hint="eastAsia" w:ascii="宋体" w:hAnsi="宋体" w:cs="宋体"/>
                <w:color w:val="auto"/>
                <w:highlight w:val="none"/>
              </w:rPr>
              <w:t>服务标准：</w:t>
            </w:r>
          </w:p>
        </w:tc>
      </w:tr>
    </w:tbl>
    <w:p w14:paraId="64834A16">
      <w:pPr>
        <w:rPr>
          <w:rFonts w:hint="eastAsia" w:ascii="Times New Roman" w:hAnsi="Times New Roman" w:eastAsia="宋体"/>
          <w:b/>
          <w:color w:val="auto"/>
          <w:highlight w:val="none"/>
        </w:rPr>
      </w:pPr>
      <w:r>
        <w:rPr>
          <w:rFonts w:hint="eastAsia" w:ascii="Times New Roman" w:hAnsi="Times New Roman" w:eastAsia="宋体"/>
          <w:b/>
          <w:color w:val="auto"/>
          <w:highlight w:val="none"/>
        </w:rPr>
        <w:br w:type="page" w:clear="all"/>
      </w:r>
    </w:p>
    <w:p w14:paraId="0A63D1CE">
      <w:pPr>
        <w:pageBreakBefore w:val="0"/>
        <w:spacing w:line="360" w:lineRule="auto"/>
        <w:ind w:firstLine="211"/>
        <w:jc w:val="center"/>
        <w:rPr>
          <w:rFonts w:ascii="Times New Roman" w:hAnsi="Times New Roman" w:eastAsia="宋体"/>
          <w:b/>
          <w:color w:val="auto"/>
          <w:highlight w:val="none"/>
        </w:rPr>
      </w:pPr>
      <w:r>
        <w:rPr>
          <w:rFonts w:hint="eastAsia" w:ascii="Times New Roman" w:hAnsi="Times New Roman" w:eastAsia="宋体"/>
          <w:b/>
          <w:color w:val="auto"/>
          <w:highlight w:val="none"/>
        </w:rPr>
        <w:t>联合体协议（如有）</w:t>
      </w:r>
    </w:p>
    <w:p w14:paraId="56A4C669">
      <w:pPr>
        <w:pageBreakBefore w:val="0"/>
        <w:spacing w:line="360" w:lineRule="auto"/>
        <w:ind w:firstLine="211"/>
        <w:jc w:val="center"/>
        <w:rPr>
          <w:rFonts w:ascii="Times New Roman" w:hAnsi="Times New Roman" w:eastAsia="宋体"/>
          <w:b/>
          <w:color w:val="auto"/>
          <w:highlight w:val="none"/>
        </w:rPr>
      </w:pPr>
    </w:p>
    <w:p w14:paraId="61A1CBF5">
      <w:pPr>
        <w:pageBreakBefore w:val="0"/>
        <w:spacing w:line="360" w:lineRule="auto"/>
        <w:rPr>
          <w:rFonts w:ascii="Times New Roman" w:hAnsi="Times New Roman" w:eastAsia="宋体"/>
          <w:color w:val="auto"/>
          <w:highlight w:val="none"/>
        </w:rPr>
      </w:pPr>
      <w:r>
        <w:rPr>
          <w:rFonts w:hint="eastAsia" w:ascii="Times New Roman" w:hAnsi="Times New Roman" w:eastAsia="宋体"/>
          <w:color w:val="auto"/>
          <w:highlight w:val="none"/>
        </w:rPr>
        <w:t>（联合体中各供应商全称）在此达成以下协议：</w:t>
      </w:r>
    </w:p>
    <w:p w14:paraId="4AEF0719">
      <w:pPr>
        <w:pageBreakBefore w:val="0"/>
        <w:spacing w:line="360" w:lineRule="auto"/>
        <w:ind w:firstLine="645"/>
        <w:rPr>
          <w:rFonts w:ascii="Times New Roman" w:hAnsi="Times New Roman" w:eastAsia="宋体"/>
          <w:color w:val="auto"/>
          <w:highlight w:val="none"/>
        </w:rPr>
      </w:pPr>
      <w:r>
        <w:rPr>
          <w:rFonts w:hint="eastAsia" w:ascii="Times New Roman" w:hAnsi="Times New Roman" w:eastAsia="宋体"/>
          <w:color w:val="auto"/>
          <w:highlight w:val="none"/>
        </w:rPr>
        <w:t>1、我们自愿组成联合体，参加（代理机构）的采购编号为（项目编号）（项目全称）的政府采购活动。</w:t>
      </w:r>
    </w:p>
    <w:p w14:paraId="3A5A1D15">
      <w:pPr>
        <w:pageBreakBefore w:val="0"/>
        <w:spacing w:line="360" w:lineRule="auto"/>
        <w:ind w:firstLine="645"/>
        <w:rPr>
          <w:rFonts w:ascii="Times New Roman" w:hAnsi="Times New Roman" w:eastAsia="宋体"/>
          <w:color w:val="auto"/>
          <w:highlight w:val="none"/>
        </w:rPr>
      </w:pPr>
      <w:r>
        <w:rPr>
          <w:rFonts w:hint="eastAsia" w:ascii="Times New Roman" w:hAnsi="Times New Roman" w:eastAsia="宋体"/>
          <w:color w:val="auto"/>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0E46276C">
      <w:pPr>
        <w:pageBreakBefore w:val="0"/>
        <w:spacing w:line="360" w:lineRule="auto"/>
        <w:ind w:firstLine="645"/>
        <w:rPr>
          <w:rFonts w:ascii="Times New Roman" w:hAnsi="Times New Roman" w:eastAsia="宋体"/>
          <w:color w:val="auto"/>
          <w:highlight w:val="none"/>
        </w:rPr>
      </w:pPr>
      <w:r>
        <w:rPr>
          <w:rFonts w:hint="eastAsia" w:ascii="Times New Roman" w:hAnsi="Times New Roman" w:eastAsia="宋体"/>
          <w:color w:val="auto"/>
          <w:sz w:val="24"/>
          <w:highlight w:val="none"/>
        </w:rPr>
        <w:t xml:space="preserve">                                       </w:t>
      </w:r>
      <w:r>
        <w:rPr>
          <w:rFonts w:hint="eastAsia" w:ascii="Times New Roman" w:hAnsi="Times New Roman" w:eastAsia="宋体"/>
          <w:color w:val="auto"/>
          <w:highlight w:val="none"/>
        </w:rPr>
        <w:t xml:space="preserve"> </w:t>
      </w:r>
    </w:p>
    <w:p w14:paraId="141E66A5">
      <w:pPr>
        <w:pageBreakBefore w:val="0"/>
        <w:spacing w:line="360" w:lineRule="auto"/>
        <w:ind w:firstLine="4620"/>
        <w:rPr>
          <w:rFonts w:ascii="Times New Roman" w:hAnsi="Times New Roman" w:eastAsia="宋体"/>
          <w:color w:val="auto"/>
          <w:highlight w:val="none"/>
        </w:rPr>
      </w:pPr>
      <w:r>
        <w:rPr>
          <w:rFonts w:hint="eastAsia" w:ascii="Times New Roman" w:hAnsi="Times New Roman" w:eastAsia="宋体"/>
          <w:color w:val="auto"/>
          <w:highlight w:val="none"/>
        </w:rPr>
        <w:t>所有供应商全称：</w:t>
      </w:r>
    </w:p>
    <w:p w14:paraId="46D6A6E3">
      <w:pPr>
        <w:pageBreakBefore w:val="0"/>
        <w:spacing w:line="360" w:lineRule="auto"/>
        <w:ind w:firstLine="645"/>
        <w:rPr>
          <w:rFonts w:ascii="Times New Roman" w:hAnsi="Times New Roman" w:eastAsia="宋体"/>
          <w:color w:val="auto"/>
          <w:highlight w:val="none"/>
        </w:rPr>
      </w:pPr>
      <w:r>
        <w:rPr>
          <w:rFonts w:hint="eastAsia" w:ascii="Times New Roman" w:hAnsi="Times New Roman" w:eastAsia="宋体"/>
          <w:color w:val="auto"/>
          <w:highlight w:val="none"/>
        </w:rPr>
        <w:t xml:space="preserve">                                      法定代表人：  </w:t>
      </w:r>
    </w:p>
    <w:p w14:paraId="11809B19">
      <w:pPr>
        <w:spacing w:after="312" w:line="360" w:lineRule="auto"/>
        <w:jc w:val="center"/>
        <w:rPr>
          <w:rFonts w:hint="eastAsia" w:ascii="Times New Roman" w:hAnsi="Times New Roman" w:eastAsia="宋体"/>
          <w:color w:val="auto"/>
          <w:highlight w:val="none"/>
        </w:rPr>
      </w:pPr>
      <w:r>
        <w:rPr>
          <w:rFonts w:hint="eastAsia"/>
          <w:color w:val="auto"/>
          <w:highlight w:val="none"/>
          <w:lang w:val="en-US" w:eastAsia="zh-CN"/>
        </w:rPr>
        <w:t xml:space="preserve">                </w:t>
      </w:r>
      <w:r>
        <w:rPr>
          <w:rFonts w:hint="eastAsia" w:ascii="Times New Roman" w:hAnsi="Times New Roman" w:eastAsia="宋体"/>
          <w:color w:val="auto"/>
          <w:highlight w:val="none"/>
        </w:rPr>
        <w:t>日期：</w:t>
      </w:r>
    </w:p>
    <w:p w14:paraId="38C3FA3E">
      <w:pPr>
        <w:spacing w:after="312" w:line="360" w:lineRule="auto"/>
        <w:jc w:val="center"/>
        <w:rPr>
          <w:rFonts w:hint="eastAsia" w:ascii="Times New Roman" w:hAnsi="Times New Roman" w:eastAsia="宋体"/>
          <w:color w:val="auto"/>
          <w:highlight w:val="none"/>
        </w:rPr>
      </w:pPr>
    </w:p>
    <w:p w14:paraId="6552F3DB">
      <w:pPr>
        <w:spacing w:after="312" w:line="360" w:lineRule="auto"/>
        <w:jc w:val="center"/>
        <w:rPr>
          <w:rFonts w:hint="eastAsia" w:ascii="Times New Roman" w:hAnsi="Times New Roman" w:eastAsia="宋体"/>
          <w:color w:val="auto"/>
          <w:highlight w:val="none"/>
        </w:rPr>
      </w:pPr>
    </w:p>
    <w:p w14:paraId="3CB92ADB">
      <w:pPr>
        <w:spacing w:after="312" w:line="360" w:lineRule="auto"/>
        <w:jc w:val="center"/>
        <w:rPr>
          <w:rFonts w:hint="eastAsia" w:ascii="Times New Roman" w:hAnsi="Times New Roman" w:eastAsia="宋体"/>
          <w:color w:val="auto"/>
          <w:highlight w:val="none"/>
        </w:rPr>
      </w:pPr>
    </w:p>
    <w:p w14:paraId="3E1848E7">
      <w:pPr>
        <w:spacing w:after="312" w:line="360" w:lineRule="auto"/>
        <w:jc w:val="center"/>
        <w:rPr>
          <w:rFonts w:hint="eastAsia" w:ascii="Times New Roman" w:hAnsi="Times New Roman" w:eastAsia="宋体"/>
          <w:color w:val="auto"/>
          <w:highlight w:val="none"/>
        </w:rPr>
      </w:pPr>
    </w:p>
    <w:p w14:paraId="63087C07">
      <w:pPr>
        <w:spacing w:after="312" w:line="360" w:lineRule="auto"/>
        <w:jc w:val="center"/>
        <w:rPr>
          <w:rFonts w:hint="eastAsia" w:ascii="Times New Roman" w:hAnsi="Times New Roman" w:eastAsia="宋体"/>
          <w:color w:val="auto"/>
          <w:highlight w:val="none"/>
        </w:rPr>
      </w:pPr>
    </w:p>
    <w:p w14:paraId="7C9CB004">
      <w:pPr>
        <w:spacing w:after="312" w:line="360" w:lineRule="auto"/>
        <w:jc w:val="center"/>
        <w:rPr>
          <w:rFonts w:hint="eastAsia" w:ascii="Times New Roman" w:hAnsi="Times New Roman" w:eastAsia="宋体"/>
          <w:color w:val="auto"/>
          <w:highlight w:val="none"/>
        </w:rPr>
      </w:pPr>
    </w:p>
    <w:p w14:paraId="0C555153">
      <w:pPr>
        <w:spacing w:after="312" w:line="360" w:lineRule="auto"/>
        <w:jc w:val="center"/>
        <w:rPr>
          <w:rFonts w:hint="eastAsia" w:ascii="Times New Roman" w:hAnsi="Times New Roman" w:eastAsia="宋体"/>
          <w:color w:val="auto"/>
          <w:highlight w:val="none"/>
        </w:rPr>
      </w:pPr>
    </w:p>
    <w:p w14:paraId="1162402A">
      <w:pPr>
        <w:spacing w:after="312" w:line="360" w:lineRule="auto"/>
        <w:jc w:val="center"/>
        <w:rPr>
          <w:rFonts w:hint="eastAsia" w:ascii="Times New Roman" w:hAnsi="Times New Roman" w:eastAsia="宋体"/>
          <w:color w:val="auto"/>
          <w:highlight w:val="none"/>
        </w:rPr>
      </w:pPr>
    </w:p>
    <w:p w14:paraId="5C6964D4">
      <w:pPr>
        <w:rPr>
          <w:rFonts w:hint="eastAsia" w:ascii="Times New Roman" w:hAnsi="Times New Roman" w:eastAsia="宋体"/>
          <w:color w:val="auto"/>
          <w:highlight w:val="none"/>
        </w:rPr>
      </w:pPr>
      <w:r>
        <w:rPr>
          <w:rFonts w:hint="eastAsia" w:ascii="Times New Roman" w:hAnsi="Times New Roman" w:eastAsia="宋体"/>
          <w:color w:val="auto"/>
          <w:highlight w:val="none"/>
        </w:rPr>
        <w:br w:type="page"/>
      </w:r>
    </w:p>
    <w:p w14:paraId="2DCE3797">
      <w:pPr>
        <w:spacing w:after="312" w:line="360" w:lineRule="auto"/>
        <w:jc w:val="center"/>
        <w:rPr>
          <w:rFonts w:hint="eastAsia" w:ascii="Times New Roman" w:hAnsi="Times New Roman" w:eastAsia="宋体"/>
          <w:color w:val="auto"/>
          <w:highlight w:val="none"/>
        </w:rPr>
      </w:pPr>
    </w:p>
    <w:p w14:paraId="3E64076F">
      <w:pPr>
        <w:ind w:firstLine="482"/>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供应商参加投标确认函格式</w:t>
      </w:r>
    </w:p>
    <w:p w14:paraId="7CA87DE2">
      <w:pPr>
        <w:spacing w:line="440" w:lineRule="exact"/>
        <w:ind w:firstLine="480"/>
        <w:contextualSpacing/>
        <w:rPr>
          <w:rFonts w:ascii="宋体" w:hAnsi="宋体" w:cs="宋体"/>
          <w:color w:val="auto"/>
          <w:sz w:val="24"/>
          <w:szCs w:val="24"/>
          <w:highlight w:val="none"/>
        </w:rPr>
      </w:pPr>
    </w:p>
    <w:p w14:paraId="2E96D4C0">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江苏苏维工程管理有限公司：</w:t>
      </w:r>
    </w:p>
    <w:p w14:paraId="36F0EDA5">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本单位将参加贵公司于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日开标的采购编号为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的项目的投标。本单位已在“扬州大学附属医院网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扬州大学网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江苏政府采购网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中国政府采购网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成功下载标书，特发函确认。</w:t>
      </w:r>
    </w:p>
    <w:p w14:paraId="1148DBA8">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（单位公章）</w:t>
      </w:r>
    </w:p>
    <w:p w14:paraId="60649A33">
      <w:pPr>
        <w:pBdr>
          <w:bottom w:val="single" w:color="auto" w:sz="6" w:space="1"/>
        </w:pBd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1402B8EF">
      <w:pPr>
        <w:ind w:left="3960" w:hanging="3960"/>
        <w:rPr>
          <w:rFonts w:ascii="宋体" w:hAnsi="宋体" w:cs="宋体"/>
          <w:color w:val="auto"/>
          <w:sz w:val="24"/>
          <w:szCs w:val="24"/>
          <w:highlight w:val="none"/>
        </w:rPr>
      </w:pPr>
      <w:r>
        <w:rPr>
          <w:rFonts w:hint="eastAsia" w:ascii="宋体" w:hAnsi="宋体" w:cs="宋体"/>
          <w:color w:val="auto"/>
          <w:sz w:val="24"/>
          <w:szCs w:val="24"/>
          <w:highlight w:val="none"/>
        </w:rPr>
        <w:t>附：</w:t>
      </w:r>
    </w:p>
    <w:p w14:paraId="477D9900">
      <w:pPr>
        <w:ind w:left="3975" w:hanging="3975"/>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供应商联系表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2AD5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26F0AAA9">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005" w:type="dxa"/>
            <w:gridSpan w:val="3"/>
            <w:noWrap/>
          </w:tcPr>
          <w:p w14:paraId="573A0D41">
            <w:pPr>
              <w:spacing w:line="480" w:lineRule="auto"/>
              <w:ind w:firstLine="480"/>
              <w:jc w:val="center"/>
              <w:rPr>
                <w:rFonts w:ascii="宋体" w:hAnsi="宋体" w:cs="宋体"/>
                <w:color w:val="auto"/>
                <w:sz w:val="24"/>
                <w:szCs w:val="24"/>
                <w:highlight w:val="none"/>
              </w:rPr>
            </w:pPr>
          </w:p>
        </w:tc>
      </w:tr>
      <w:tr w14:paraId="1D8B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476CD188">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005" w:type="dxa"/>
            <w:gridSpan w:val="3"/>
            <w:noWrap/>
          </w:tcPr>
          <w:p w14:paraId="2C40C464">
            <w:pPr>
              <w:spacing w:line="480" w:lineRule="auto"/>
              <w:ind w:firstLine="480"/>
              <w:jc w:val="center"/>
              <w:rPr>
                <w:rFonts w:ascii="宋体" w:hAnsi="宋体" w:cs="宋体"/>
                <w:color w:val="auto"/>
                <w:sz w:val="24"/>
                <w:szCs w:val="24"/>
                <w:highlight w:val="none"/>
              </w:rPr>
            </w:pPr>
          </w:p>
        </w:tc>
      </w:tr>
      <w:tr w14:paraId="1B89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4FBC8A71">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005" w:type="dxa"/>
            <w:gridSpan w:val="3"/>
            <w:noWrap/>
          </w:tcPr>
          <w:p w14:paraId="27EC3F54">
            <w:pPr>
              <w:spacing w:line="480" w:lineRule="auto"/>
              <w:ind w:firstLine="480"/>
              <w:jc w:val="center"/>
              <w:rPr>
                <w:rFonts w:ascii="宋体" w:hAnsi="宋体" w:cs="宋体"/>
                <w:color w:val="auto"/>
                <w:sz w:val="24"/>
                <w:szCs w:val="24"/>
                <w:highlight w:val="none"/>
              </w:rPr>
            </w:pPr>
          </w:p>
        </w:tc>
      </w:tr>
      <w:tr w14:paraId="5EF0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3268B4E5">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137" w:type="dxa"/>
            <w:noWrap/>
          </w:tcPr>
          <w:p w14:paraId="01EEC433">
            <w:pPr>
              <w:spacing w:line="480" w:lineRule="auto"/>
              <w:ind w:firstLine="480"/>
              <w:jc w:val="center"/>
              <w:rPr>
                <w:rFonts w:ascii="宋体" w:hAnsi="宋体" w:cs="宋体"/>
                <w:color w:val="auto"/>
                <w:sz w:val="24"/>
                <w:szCs w:val="24"/>
                <w:highlight w:val="none"/>
              </w:rPr>
            </w:pPr>
          </w:p>
        </w:tc>
        <w:tc>
          <w:tcPr>
            <w:tcW w:w="1843" w:type="dxa"/>
            <w:noWrap/>
          </w:tcPr>
          <w:p w14:paraId="1FCB32C3">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单位电话</w:t>
            </w:r>
          </w:p>
        </w:tc>
        <w:tc>
          <w:tcPr>
            <w:tcW w:w="2025" w:type="dxa"/>
            <w:noWrap/>
          </w:tcPr>
          <w:p w14:paraId="050C1AA2">
            <w:pPr>
              <w:spacing w:line="480" w:lineRule="auto"/>
              <w:ind w:firstLine="480"/>
              <w:jc w:val="center"/>
              <w:rPr>
                <w:rFonts w:ascii="宋体" w:hAnsi="宋体" w:cs="宋体"/>
                <w:color w:val="auto"/>
                <w:sz w:val="24"/>
                <w:szCs w:val="24"/>
                <w:highlight w:val="none"/>
              </w:rPr>
            </w:pPr>
          </w:p>
        </w:tc>
      </w:tr>
      <w:tr w14:paraId="219E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tcPr>
          <w:p w14:paraId="4DD55BD3">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项目联系人</w:t>
            </w:r>
          </w:p>
        </w:tc>
        <w:tc>
          <w:tcPr>
            <w:tcW w:w="2137" w:type="dxa"/>
            <w:noWrap/>
          </w:tcPr>
          <w:p w14:paraId="016400BE">
            <w:pPr>
              <w:spacing w:line="480" w:lineRule="auto"/>
              <w:ind w:firstLine="480"/>
              <w:jc w:val="center"/>
              <w:rPr>
                <w:rFonts w:ascii="宋体" w:hAnsi="宋体" w:cs="宋体"/>
                <w:color w:val="auto"/>
                <w:sz w:val="24"/>
                <w:szCs w:val="24"/>
                <w:highlight w:val="none"/>
              </w:rPr>
            </w:pPr>
          </w:p>
        </w:tc>
        <w:tc>
          <w:tcPr>
            <w:tcW w:w="1843" w:type="dxa"/>
            <w:noWrap/>
          </w:tcPr>
          <w:p w14:paraId="69456241">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邮    箱</w:t>
            </w:r>
          </w:p>
        </w:tc>
        <w:tc>
          <w:tcPr>
            <w:tcW w:w="2025" w:type="dxa"/>
            <w:noWrap/>
          </w:tcPr>
          <w:p w14:paraId="5C17810F">
            <w:pPr>
              <w:spacing w:line="480" w:lineRule="auto"/>
              <w:ind w:firstLine="480"/>
              <w:jc w:val="center"/>
              <w:rPr>
                <w:rFonts w:ascii="宋体" w:hAnsi="宋体" w:cs="宋体"/>
                <w:color w:val="auto"/>
                <w:sz w:val="24"/>
                <w:szCs w:val="24"/>
                <w:highlight w:val="none"/>
              </w:rPr>
            </w:pPr>
          </w:p>
        </w:tc>
      </w:tr>
      <w:tr w14:paraId="674E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tcPr>
          <w:p w14:paraId="3A61F378">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联系人电话</w:t>
            </w:r>
          </w:p>
        </w:tc>
        <w:tc>
          <w:tcPr>
            <w:tcW w:w="2137" w:type="dxa"/>
            <w:noWrap/>
          </w:tcPr>
          <w:p w14:paraId="254CD97C">
            <w:pPr>
              <w:spacing w:line="480" w:lineRule="auto"/>
              <w:ind w:firstLine="480"/>
              <w:jc w:val="center"/>
              <w:rPr>
                <w:rFonts w:ascii="宋体" w:hAnsi="宋体" w:cs="宋体"/>
                <w:color w:val="auto"/>
                <w:sz w:val="24"/>
                <w:szCs w:val="24"/>
                <w:highlight w:val="none"/>
              </w:rPr>
            </w:pPr>
          </w:p>
        </w:tc>
        <w:tc>
          <w:tcPr>
            <w:tcW w:w="1843" w:type="dxa"/>
            <w:noWrap/>
          </w:tcPr>
          <w:p w14:paraId="5B918249">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联系人手机</w:t>
            </w:r>
          </w:p>
        </w:tc>
        <w:tc>
          <w:tcPr>
            <w:tcW w:w="2025" w:type="dxa"/>
            <w:noWrap/>
          </w:tcPr>
          <w:p w14:paraId="1BB8CA3B">
            <w:pPr>
              <w:spacing w:line="480" w:lineRule="auto"/>
              <w:ind w:firstLine="480"/>
              <w:jc w:val="center"/>
              <w:rPr>
                <w:rFonts w:ascii="宋体" w:hAnsi="宋体" w:cs="宋体"/>
                <w:color w:val="auto"/>
                <w:sz w:val="24"/>
                <w:szCs w:val="24"/>
                <w:highlight w:val="none"/>
              </w:rPr>
            </w:pPr>
          </w:p>
        </w:tc>
      </w:tr>
      <w:tr w14:paraId="4BCB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ign w:val="center"/>
          </w:tcPr>
          <w:p w14:paraId="2E6901D1">
            <w:pPr>
              <w:spacing w:line="440" w:lineRule="exact"/>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所投项目名称</w:t>
            </w:r>
          </w:p>
        </w:tc>
        <w:tc>
          <w:tcPr>
            <w:tcW w:w="6005" w:type="dxa"/>
            <w:gridSpan w:val="3"/>
            <w:noWrap/>
            <w:vAlign w:val="center"/>
          </w:tcPr>
          <w:p w14:paraId="6E6F4F3A">
            <w:pPr>
              <w:spacing w:line="480" w:lineRule="auto"/>
              <w:ind w:firstLine="480"/>
              <w:jc w:val="center"/>
              <w:rPr>
                <w:rFonts w:ascii="宋体" w:hAnsi="宋体" w:cs="宋体"/>
                <w:color w:val="auto"/>
                <w:sz w:val="24"/>
                <w:szCs w:val="24"/>
                <w:highlight w:val="none"/>
              </w:rPr>
            </w:pPr>
          </w:p>
        </w:tc>
      </w:tr>
    </w:tbl>
    <w:p w14:paraId="551A7EE6">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备注：</w:t>
      </w:r>
    </w:p>
    <w:p w14:paraId="6725ADF8">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1.请准备参与本项目投标的供应商如实填写（以上信息均为必填内容）后邮件至采购代理机构（邮箱：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hint="eastAsia" w:ascii="宋体" w:hAnsi="宋体" w:cs="宋体"/>
          <w:b/>
          <w:color w:val="auto"/>
          <w:sz w:val="24"/>
          <w:szCs w:val="24"/>
          <w:highlight w:val="none"/>
          <w:lang w:eastAsia="zh-CN"/>
        </w:rPr>
        <w:t>3391686552@qq.com</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，固定电话：</w:t>
      </w:r>
      <w:r>
        <w:rPr>
          <w:rFonts w:hint="eastAsia" w:ascii="宋体" w:hAnsi="宋体" w:cs="宋体"/>
          <w:b/>
          <w:color w:val="auto"/>
          <w:sz w:val="24"/>
          <w:szCs w:val="24"/>
          <w:highlight w:val="none"/>
          <w:lang w:eastAsia="zh-CN"/>
        </w:rPr>
        <w:t>0514-82129116</w:t>
      </w:r>
      <w:r>
        <w:rPr>
          <w:rFonts w:hint="eastAsia" w:ascii="宋体" w:hAnsi="宋体" w:cs="宋体"/>
          <w:b/>
          <w:color w:val="auto"/>
          <w:sz w:val="24"/>
          <w:szCs w:val="24"/>
          <w:highlight w:val="none"/>
        </w:rPr>
        <w:t>）。</w:t>
      </w:r>
    </w:p>
    <w:p w14:paraId="12406D5D">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2.因投标人填写有误，造成以上信息资料的不实将由投标人承担责任。</w:t>
      </w:r>
    </w:p>
    <w:p w14:paraId="318EC775">
      <w:pPr>
        <w:spacing w:after="312" w:line="360" w:lineRule="auto"/>
        <w:ind w:firstLine="482"/>
        <w:jc w:val="both"/>
        <w:rPr>
          <w:rFonts w:hint="eastAsia" w:ascii="Times New Roman" w:hAnsi="Times New Roman" w:eastAsia="宋体"/>
          <w:color w:val="auto"/>
          <w:highlight w:val="none"/>
        </w:rPr>
      </w:pPr>
      <w:r>
        <w:rPr>
          <w:rFonts w:hint="eastAsia" w:ascii="宋体" w:hAnsi="宋体" w:cs="宋体"/>
          <w:b/>
          <w:color w:val="auto"/>
          <w:sz w:val="24"/>
          <w:szCs w:val="24"/>
          <w:highlight w:val="none"/>
        </w:rPr>
        <w:t>3.已确认参加投标的投标人，故意迟到或无故不参加，影响开标活动正常进行的，根据《江苏省政府采购信用管理暂行办法》，将被列为一般失信行为。</w:t>
      </w:r>
    </w:p>
    <w:sectPr>
      <w:pgSz w:w="11906" w:h="16838"/>
      <w:pgMar w:top="1440" w:right="1800" w:bottom="1440" w:left="180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60101010101"/>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_GB2312">
    <w:altName w:val="宋体"/>
    <w:panose1 w:val="0201060003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方正仿宋_GBK">
    <w:altName w:val="微软雅黑"/>
    <w:panose1 w:val="020B0503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E409">
    <w:pPr>
      <w:pStyle w:val="27"/>
      <w:jc w:val="center"/>
      <w:rPr>
        <w:rFonts w:ascii="宋体_GB2312" w:eastAsia="宋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02FB">
    <w:pPr>
      <w:pStyle w:val="27"/>
      <w:jc w:val="center"/>
      <w:rPr>
        <w:rFonts w:asci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B2CFE">
                          <w:pPr>
                            <w:pStyle w:val="27"/>
                            <w:jc w:val="cente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38</w:t>
                          </w:r>
                          <w:r>
                            <w:rPr>
                              <w:rFonts w:ascii="宋体_GB2312" w:eastAsia="宋体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4CWU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Z1m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p4CWU8AgAAbwQAAA4AAAAAAAAAAQAgAAAAHwEAAGRycy9lMm9E&#10;b2MueG1sUEsFBgAAAAAGAAYAWQEAAM0FAAAAAA==&#10;">
              <v:fill on="f" focussize="0,0"/>
              <v:stroke on="f" weight="0.5pt"/>
              <v:imagedata o:title=""/>
              <o:lock v:ext="edit" aspectratio="f"/>
              <v:textbox inset="0mm,0mm,0mm,0mm" style="mso-fit-shape-to-text:t;">
                <w:txbxContent>
                  <w:p w14:paraId="6D8B2CFE">
                    <w:pPr>
                      <w:pStyle w:val="27"/>
                      <w:jc w:val="cente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38</w:t>
                    </w:r>
                    <w:r>
                      <w:rPr>
                        <w:rFonts w:ascii="宋体_GB2312" w:eastAsia="宋体_GB231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56CB7">
    <w:pPr>
      <w:spacing w:line="126" w:lineRule="exact"/>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037F1">
                          <w:pPr>
                            <w:pStyle w:val="2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t6PG2PQIAAG8EAAAOAAAAAAAAAAEAIAAAAB8BAABkcnMvZTJv&#10;RG9jLnhtbFBLBQYAAAAABgAGAFkBAADOBQAAAAA=&#10;">
              <v:fill on="f" focussize="0,0"/>
              <v:stroke on="f" weight="0.5pt"/>
              <v:imagedata o:title=""/>
              <o:lock v:ext="edit" aspectratio="f"/>
              <v:textbox inset="0mm,0mm,0mm,0mm" style="mso-fit-shape-to-text:t;">
                <w:txbxContent>
                  <w:p w14:paraId="217037F1">
                    <w:pPr>
                      <w:pStyle w:val="2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9F0C">
    <w:pPr>
      <w:pStyle w:val="28"/>
    </w:pPr>
    <w:r>
      <w:rPr>
        <w:rFonts w:hint="eastAsia"/>
        <w:lang w:eastAsia="zh-CN"/>
      </w:rPr>
      <w:t>JSZC-320000-SWGC-G2025-0171-1号</w:t>
    </w:r>
    <w:r>
      <w:rPr>
        <w:rFonts w:hint="eastAsia"/>
      </w:rPr>
      <w:t xml:space="preserve">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E9D5">
    <w:pPr>
      <w:pStyle w:val="28"/>
    </w:pPr>
    <w:r>
      <w:rPr>
        <w:rFonts w:hint="eastAsia"/>
        <w:lang w:eastAsia="zh-CN"/>
      </w:rPr>
      <w:t>JSZC-320000-SWGC-G2025-0171-1号</w:t>
    </w:r>
    <w:r>
      <w:rPr>
        <w:rFonts w:hint="eastAsia"/>
      </w:rPr>
      <w:t xml:space="preserve">                       江苏苏维工程管理有限公司</w:t>
    </w:r>
  </w:p>
  <w:p w14:paraId="2299B960">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pStyle w:val="17"/>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E5684"/>
    <w:rsid w:val="4312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link w:val="213"/>
    <w:qFormat/>
    <w:uiPriority w:val="0"/>
    <w:pPr>
      <w:keepNext/>
      <w:keepLines/>
      <w:spacing w:before="340" w:after="330" w:line="578" w:lineRule="auto"/>
      <w:outlineLvl w:val="0"/>
    </w:pPr>
    <w:rPr>
      <w:b/>
      <w:bCs/>
      <w:sz w:val="44"/>
      <w:szCs w:val="44"/>
    </w:rPr>
  </w:style>
  <w:style w:type="paragraph" w:styleId="3">
    <w:name w:val="heading 2"/>
    <w:basedOn w:val="1"/>
    <w:next w:val="1"/>
    <w:link w:val="239"/>
    <w:qFormat/>
    <w:uiPriority w:val="0"/>
    <w:pPr>
      <w:keepNext/>
      <w:keepLines/>
      <w:ind w:left="851" w:hanging="567"/>
      <w:jc w:val="left"/>
      <w:outlineLvl w:val="1"/>
    </w:pPr>
    <w:rPr>
      <w:rFonts w:ascii="Arial" w:hAnsi="Arial"/>
      <w:b/>
      <w:bCs/>
      <w:sz w:val="28"/>
      <w:szCs w:val="36"/>
    </w:rPr>
  </w:style>
  <w:style w:type="paragraph" w:styleId="4">
    <w:name w:val="heading 3"/>
    <w:basedOn w:val="1"/>
    <w:next w:val="1"/>
    <w:link w:val="212"/>
    <w:qFormat/>
    <w:uiPriority w:val="0"/>
    <w:pPr>
      <w:keepNext/>
      <w:keepLines/>
      <w:ind w:left="720" w:hanging="720"/>
      <w:jc w:val="left"/>
      <w:outlineLvl w:val="2"/>
    </w:pPr>
    <w:rPr>
      <w:rFonts w:ascii="Arial" w:hAnsi="Arial" w:eastAsia="黑体"/>
      <w:b/>
      <w:bCs/>
      <w:sz w:val="30"/>
      <w:szCs w:val="32"/>
    </w:rPr>
  </w:style>
  <w:style w:type="paragraph" w:styleId="5">
    <w:name w:val="heading 4"/>
    <w:basedOn w:val="1"/>
    <w:next w:val="6"/>
    <w:link w:val="202"/>
    <w:qFormat/>
    <w:uiPriority w:val="0"/>
    <w:pPr>
      <w:spacing w:before="280" w:after="290" w:line="377" w:lineRule="auto"/>
      <w:outlineLvl w:val="3"/>
    </w:pPr>
    <w:rPr>
      <w:rFonts w:ascii="Arial" w:hAnsi="Arial" w:eastAsia="黑体"/>
      <w:b/>
      <w:bCs/>
      <w:sz w:val="28"/>
      <w:szCs w:val="28"/>
    </w:rPr>
  </w:style>
  <w:style w:type="paragraph" w:styleId="7">
    <w:name w:val="heading 5"/>
    <w:basedOn w:val="1"/>
    <w:next w:val="1"/>
    <w:link w:val="211"/>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256"/>
    <w:qFormat/>
    <w:uiPriority w:val="0"/>
    <w:pPr>
      <w:keepNext/>
      <w:keepLines/>
      <w:spacing w:before="240" w:after="64" w:line="320" w:lineRule="auto"/>
      <w:ind w:left="1152" w:hanging="1152"/>
      <w:outlineLvl w:val="5"/>
    </w:pPr>
    <w:rPr>
      <w:rFonts w:ascii="Cambria" w:hAnsi="Cambria"/>
      <w:b/>
      <w:bCs/>
      <w:sz w:val="24"/>
      <w:szCs w:val="24"/>
    </w:rPr>
  </w:style>
  <w:style w:type="paragraph" w:styleId="9">
    <w:name w:val="heading 7"/>
    <w:basedOn w:val="1"/>
    <w:next w:val="1"/>
    <w:link w:val="250"/>
    <w:qFormat/>
    <w:uiPriority w:val="0"/>
    <w:pPr>
      <w:keepNext/>
      <w:keepLines/>
      <w:spacing w:before="240" w:after="64" w:line="320" w:lineRule="auto"/>
      <w:ind w:left="1296" w:hanging="1296"/>
      <w:outlineLvl w:val="6"/>
    </w:pPr>
    <w:rPr>
      <w:b/>
      <w:bCs/>
      <w:sz w:val="24"/>
      <w:szCs w:val="24"/>
    </w:rPr>
  </w:style>
  <w:style w:type="paragraph" w:styleId="10">
    <w:name w:val="heading 8"/>
    <w:basedOn w:val="1"/>
    <w:next w:val="1"/>
    <w:link w:val="221"/>
    <w:qFormat/>
    <w:uiPriority w:val="0"/>
    <w:pPr>
      <w:keepNext/>
      <w:keepLines/>
      <w:spacing w:before="240" w:after="64" w:line="320" w:lineRule="auto"/>
      <w:ind w:left="1440" w:hanging="1440"/>
      <w:outlineLvl w:val="7"/>
    </w:pPr>
    <w:rPr>
      <w:rFonts w:ascii="Cambria" w:hAnsi="Cambria"/>
      <w:sz w:val="24"/>
      <w:szCs w:val="24"/>
    </w:rPr>
  </w:style>
  <w:style w:type="paragraph" w:styleId="11">
    <w:name w:val="heading 9"/>
    <w:basedOn w:val="1"/>
    <w:next w:val="1"/>
    <w:link w:val="234"/>
    <w:qFormat/>
    <w:uiPriority w:val="0"/>
    <w:pPr>
      <w:keepNext/>
      <w:keepLines/>
      <w:spacing w:before="240" w:after="64" w:line="320" w:lineRule="auto"/>
      <w:ind w:left="1584" w:hanging="1584"/>
      <w:outlineLvl w:val="8"/>
    </w:pPr>
    <w:rPr>
      <w:rFonts w:ascii="Cambria" w:hAnsi="Cambria"/>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253"/>
    <w:unhideWhenUsed/>
    <w:qFormat/>
    <w:uiPriority w:val="0"/>
    <w:pPr>
      <w:ind w:firstLine="42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03"/>
    <w:unhideWhenUsed/>
    <w:qFormat/>
    <w:uiPriority w:val="99"/>
    <w:pPr>
      <w:jc w:val="left"/>
    </w:pPr>
    <w:rPr>
      <w:sz w:val="20"/>
      <w:szCs w:val="24"/>
    </w:rPr>
  </w:style>
  <w:style w:type="paragraph" w:styleId="15">
    <w:name w:val="Body Text"/>
    <w:basedOn w:val="1"/>
    <w:next w:val="1"/>
    <w:link w:val="210"/>
    <w:qFormat/>
    <w:uiPriority w:val="0"/>
    <w:rPr>
      <w:rFonts w:ascii="楷体_GB2312" w:hAnsi="Arial" w:eastAsia="楷体_GB2312"/>
      <w:sz w:val="28"/>
      <w:szCs w:val="28"/>
    </w:rPr>
  </w:style>
  <w:style w:type="paragraph" w:styleId="16">
    <w:name w:val="Body Text Indent"/>
    <w:basedOn w:val="1"/>
    <w:link w:val="245"/>
    <w:qFormat/>
    <w:uiPriority w:val="0"/>
    <w:pPr>
      <w:spacing w:after="120"/>
      <w:ind w:left="420"/>
    </w:pPr>
    <w:rPr>
      <w:sz w:val="20"/>
      <w:szCs w:val="24"/>
    </w:rPr>
  </w:style>
  <w:style w:type="paragraph" w:styleId="17">
    <w:name w:val="List Bullet 2"/>
    <w:basedOn w:val="1"/>
    <w:semiHidden/>
    <w:unhideWhenUsed/>
    <w:qFormat/>
    <w:uiPriority w:val="99"/>
    <w:pPr>
      <w:numPr>
        <w:ilvl w:val="0"/>
        <w:numId w:val="1"/>
      </w:numPr>
    </w:pPr>
  </w:style>
  <w:style w:type="paragraph" w:styleId="18">
    <w:name w:val="index 4"/>
    <w:basedOn w:val="1"/>
    <w:next w:val="1"/>
    <w:unhideWhenUsed/>
    <w:qFormat/>
    <w:uiPriority w:val="99"/>
    <w:pPr>
      <w:ind w:left="600"/>
    </w:pPr>
    <w:rPr>
      <w:rFonts w:ascii="Verdana" w:hAnsi="Verdana"/>
      <w:szCs w:val="20"/>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ind w:left="840"/>
    </w:pPr>
    <w:rPr>
      <w:rFonts w:ascii="Calibri" w:hAnsi="Calibri"/>
    </w:rPr>
  </w:style>
  <w:style w:type="paragraph" w:styleId="21">
    <w:name w:val="Plain Text"/>
    <w:basedOn w:val="1"/>
    <w:link w:val="206"/>
    <w:qFormat/>
    <w:uiPriority w:val="0"/>
    <w:rPr>
      <w:rFonts w:ascii="宋体" w:hAnsi="Courier New"/>
      <w:sz w:val="20"/>
      <w:szCs w:val="21"/>
    </w:rPr>
  </w:style>
  <w:style w:type="paragraph" w:styleId="22">
    <w:name w:val="toc 8"/>
    <w:basedOn w:val="1"/>
    <w:next w:val="1"/>
    <w:unhideWhenUsed/>
    <w:qFormat/>
    <w:uiPriority w:val="39"/>
    <w:pPr>
      <w:spacing w:after="57"/>
      <w:ind w:left="1984" w:right="0" w:firstLine="0"/>
    </w:pPr>
  </w:style>
  <w:style w:type="paragraph" w:styleId="23">
    <w:name w:val="Date"/>
    <w:basedOn w:val="1"/>
    <w:next w:val="1"/>
    <w:unhideWhenUsed/>
    <w:qFormat/>
    <w:uiPriority w:val="99"/>
    <w:pPr>
      <w:ind w:left="100"/>
    </w:pPr>
    <w:rPr>
      <w:rFonts w:eastAsia="楷体_GB2312"/>
      <w:b/>
      <w:bCs/>
      <w:sz w:val="32"/>
    </w:rPr>
  </w:style>
  <w:style w:type="paragraph" w:styleId="24">
    <w:name w:val="Body Text Indent 2"/>
    <w:basedOn w:val="1"/>
    <w:link w:val="252"/>
    <w:qFormat/>
    <w:uiPriority w:val="0"/>
    <w:pPr>
      <w:spacing w:line="480" w:lineRule="exact"/>
      <w:ind w:firstLine="562"/>
    </w:pPr>
    <w:rPr>
      <w:rFonts w:ascii="楷体_GB2312" w:eastAsia="楷体_GB2312"/>
      <w:b/>
      <w:bCs/>
      <w:sz w:val="28"/>
      <w:szCs w:val="24"/>
    </w:rPr>
  </w:style>
  <w:style w:type="paragraph" w:styleId="25">
    <w:name w:val="endnote text"/>
    <w:basedOn w:val="1"/>
    <w:link w:val="197"/>
    <w:semiHidden/>
    <w:unhideWhenUsed/>
    <w:qFormat/>
    <w:uiPriority w:val="99"/>
    <w:pPr>
      <w:spacing w:after="0" w:line="240" w:lineRule="auto"/>
    </w:pPr>
    <w:rPr>
      <w:sz w:val="20"/>
    </w:rPr>
  </w:style>
  <w:style w:type="paragraph" w:styleId="26">
    <w:name w:val="Balloon Text"/>
    <w:basedOn w:val="1"/>
    <w:link w:val="244"/>
    <w:unhideWhenUsed/>
    <w:qFormat/>
    <w:uiPriority w:val="0"/>
    <w:rPr>
      <w:sz w:val="18"/>
      <w:szCs w:val="18"/>
    </w:rPr>
  </w:style>
  <w:style w:type="paragraph" w:styleId="27">
    <w:name w:val="footer"/>
    <w:basedOn w:val="1"/>
    <w:link w:val="254"/>
    <w:unhideWhenUsed/>
    <w:qFormat/>
    <w:uiPriority w:val="0"/>
    <w:pPr>
      <w:tabs>
        <w:tab w:val="center" w:pos="4153"/>
        <w:tab w:val="right" w:pos="8306"/>
      </w:tabs>
      <w:jc w:val="left"/>
    </w:pPr>
    <w:rPr>
      <w:sz w:val="18"/>
      <w:szCs w:val="18"/>
    </w:rPr>
  </w:style>
  <w:style w:type="paragraph" w:styleId="28">
    <w:name w:val="header"/>
    <w:basedOn w:val="1"/>
    <w:link w:val="200"/>
    <w:unhideWhenUsed/>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unhideWhenUsed/>
    <w:qFormat/>
    <w:uiPriority w:val="39"/>
    <w:rPr>
      <w:rFonts w:ascii="Calibri" w:hAnsi="Calibri"/>
    </w:rPr>
  </w:style>
  <w:style w:type="paragraph" w:styleId="30">
    <w:name w:val="toc 4"/>
    <w:basedOn w:val="1"/>
    <w:next w:val="1"/>
    <w:unhideWhenUsed/>
    <w:qFormat/>
    <w:uiPriority w:val="39"/>
    <w:pPr>
      <w:spacing w:after="57"/>
      <w:ind w:left="850" w:right="0" w:firstLine="0"/>
    </w:pPr>
  </w:style>
  <w:style w:type="paragraph" w:styleId="31">
    <w:name w:val="Subtitle"/>
    <w:basedOn w:val="1"/>
    <w:next w:val="1"/>
    <w:link w:val="63"/>
    <w:qFormat/>
    <w:uiPriority w:val="11"/>
    <w:pPr>
      <w:spacing w:before="200" w:after="200"/>
    </w:pPr>
    <w:rPr>
      <w:sz w:val="24"/>
      <w:szCs w:val="24"/>
    </w:rPr>
  </w:style>
  <w:style w:type="paragraph" w:styleId="32">
    <w:name w:val="footnote text"/>
    <w:basedOn w:val="1"/>
    <w:link w:val="196"/>
    <w:semiHidden/>
    <w:unhideWhenUsed/>
    <w:qFormat/>
    <w:uiPriority w:val="99"/>
    <w:pPr>
      <w:spacing w:after="40" w:line="240" w:lineRule="auto"/>
    </w:pPr>
    <w:rPr>
      <w:sz w:val="18"/>
    </w:rPr>
  </w:style>
  <w:style w:type="paragraph" w:styleId="33">
    <w:name w:val="toc 6"/>
    <w:basedOn w:val="1"/>
    <w:next w:val="1"/>
    <w:unhideWhenUsed/>
    <w:qFormat/>
    <w:uiPriority w:val="39"/>
    <w:pPr>
      <w:spacing w:after="57"/>
      <w:ind w:left="1417" w:right="0" w:firstLine="0"/>
    </w:pPr>
  </w:style>
  <w:style w:type="paragraph" w:styleId="34">
    <w:name w:val="table of figures"/>
    <w:basedOn w:val="1"/>
    <w:next w:val="1"/>
    <w:semiHidden/>
    <w:qFormat/>
    <w:uiPriority w:val="0"/>
    <w:pPr>
      <w:ind w:left="840" w:hanging="420"/>
    </w:pPr>
    <w:rPr>
      <w:sz w:val="24"/>
      <w:szCs w:val="24"/>
    </w:rPr>
  </w:style>
  <w:style w:type="paragraph" w:styleId="35">
    <w:name w:val="toc 2"/>
    <w:basedOn w:val="1"/>
    <w:next w:val="1"/>
    <w:unhideWhenUsed/>
    <w:qFormat/>
    <w:uiPriority w:val="39"/>
    <w:pPr>
      <w:ind w:left="420"/>
    </w:pPr>
    <w:rPr>
      <w:rFonts w:ascii="Calibri" w:hAnsi="Calibri"/>
    </w:rPr>
  </w:style>
  <w:style w:type="paragraph" w:styleId="36">
    <w:name w:val="toc 9"/>
    <w:basedOn w:val="1"/>
    <w:next w:val="1"/>
    <w:unhideWhenUsed/>
    <w:qFormat/>
    <w:uiPriority w:val="39"/>
    <w:pPr>
      <w:spacing w:after="57"/>
      <w:ind w:left="2268" w:right="0" w:firstLine="0"/>
    </w:pPr>
  </w:style>
  <w:style w:type="paragraph" w:styleId="37">
    <w:name w:val="Body Text 2"/>
    <w:basedOn w:val="1"/>
    <w:qFormat/>
    <w:uiPriority w:val="0"/>
    <w:pPr>
      <w:spacing w:after="120" w:line="480" w:lineRule="auto"/>
    </w:pPr>
  </w:style>
  <w:style w:type="paragraph" w:styleId="38">
    <w:name w:val="Normal (Web)"/>
    <w:basedOn w:val="1"/>
    <w:unhideWhenUsed/>
    <w:qFormat/>
    <w:uiPriority w:val="99"/>
    <w:rPr>
      <w:sz w:val="24"/>
    </w:rPr>
  </w:style>
  <w:style w:type="paragraph" w:styleId="39">
    <w:name w:val="Title"/>
    <w:basedOn w:val="1"/>
    <w:next w:val="1"/>
    <w:link w:val="62"/>
    <w:qFormat/>
    <w:uiPriority w:val="10"/>
    <w:pPr>
      <w:spacing w:before="300" w:after="200"/>
      <w:contextualSpacing/>
    </w:pPr>
    <w:rPr>
      <w:sz w:val="48"/>
      <w:szCs w:val="48"/>
    </w:rPr>
  </w:style>
  <w:style w:type="paragraph" w:styleId="40">
    <w:name w:val="annotation subject"/>
    <w:basedOn w:val="14"/>
    <w:next w:val="14"/>
    <w:link w:val="247"/>
    <w:unhideWhenUsed/>
    <w:qFormat/>
    <w:uiPriority w:val="99"/>
    <w:rPr>
      <w:b/>
      <w:bCs/>
      <w:szCs w:val="20"/>
    </w:rPr>
  </w:style>
  <w:style w:type="paragraph" w:styleId="41">
    <w:name w:val="Body Text First Indent"/>
    <w:basedOn w:val="15"/>
    <w:qFormat/>
    <w:uiPriority w:val="0"/>
    <w:pPr>
      <w:spacing w:before="100" w:after="100" w:line="360" w:lineRule="atLeast"/>
      <w:ind w:firstLine="425"/>
    </w:pPr>
  </w:style>
  <w:style w:type="table" w:styleId="43">
    <w:name w:val="Table Grid"/>
    <w:basedOn w:val="4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qFormat/>
    <w:uiPriority w:val="0"/>
    <w:rPr>
      <w:rFonts w:ascii="Tahoma" w:hAnsi="Tahoma" w:eastAsia="宋体"/>
      <w:b/>
      <w:bCs/>
      <w:spacing w:val="10"/>
      <w:sz w:val="24"/>
      <w:lang w:val="en-US" w:eastAsia="zh-CN" w:bidi="ar-SA"/>
    </w:rPr>
  </w:style>
  <w:style w:type="character" w:styleId="46">
    <w:name w:val="endnote reference"/>
    <w:basedOn w:val="44"/>
    <w:semiHidden/>
    <w:unhideWhenUsed/>
    <w:qFormat/>
    <w:uiPriority w:val="99"/>
    <w:rPr>
      <w:vertAlign w:val="superscript"/>
    </w:rPr>
  </w:style>
  <w:style w:type="character" w:styleId="47">
    <w:name w:val="page number"/>
    <w:qFormat/>
    <w:uiPriority w:val="0"/>
  </w:style>
  <w:style w:type="character" w:styleId="48">
    <w:name w:val="HTML Typewriter"/>
    <w:qFormat/>
    <w:uiPriority w:val="0"/>
    <w:rPr>
      <w:rFonts w:ascii="Courier New" w:hAnsi="Courier New" w:cs="Courier New"/>
      <w:sz w:val="20"/>
      <w:szCs w:val="20"/>
    </w:rPr>
  </w:style>
  <w:style w:type="character" w:styleId="49">
    <w:name w:val="Hyperlink"/>
    <w:unhideWhenUsed/>
    <w:qFormat/>
    <w:uiPriority w:val="99"/>
    <w:rPr>
      <w:color w:val="0000FF"/>
      <w:u w:val="single"/>
    </w:rPr>
  </w:style>
  <w:style w:type="character" w:styleId="50">
    <w:name w:val="annotation reference"/>
    <w:unhideWhenUsed/>
    <w:qFormat/>
    <w:uiPriority w:val="99"/>
    <w:rPr>
      <w:sz w:val="21"/>
      <w:szCs w:val="21"/>
    </w:rPr>
  </w:style>
  <w:style w:type="character" w:styleId="51">
    <w:name w:val="footnote reference"/>
    <w:basedOn w:val="44"/>
    <w:unhideWhenUsed/>
    <w:qFormat/>
    <w:uiPriority w:val="99"/>
    <w:rPr>
      <w:vertAlign w:val="superscript"/>
    </w:rPr>
  </w:style>
  <w:style w:type="character" w:customStyle="1" w:styleId="52">
    <w:name w:val="Heading 1 Char"/>
    <w:basedOn w:val="44"/>
    <w:uiPriority w:val="9"/>
    <w:rPr>
      <w:rFonts w:ascii="Arial" w:hAnsi="Arial" w:eastAsia="Arial" w:cs="Arial"/>
      <w:sz w:val="40"/>
      <w:szCs w:val="40"/>
    </w:rPr>
  </w:style>
  <w:style w:type="character" w:customStyle="1" w:styleId="53">
    <w:name w:val="Heading 2 Char"/>
    <w:basedOn w:val="44"/>
    <w:qFormat/>
    <w:uiPriority w:val="9"/>
    <w:rPr>
      <w:rFonts w:ascii="Arial" w:hAnsi="Arial" w:eastAsia="Arial" w:cs="Arial"/>
      <w:sz w:val="34"/>
    </w:rPr>
  </w:style>
  <w:style w:type="character" w:customStyle="1" w:styleId="54">
    <w:name w:val="Heading 3 Char"/>
    <w:basedOn w:val="44"/>
    <w:qFormat/>
    <w:uiPriority w:val="9"/>
    <w:rPr>
      <w:rFonts w:ascii="Arial" w:hAnsi="Arial" w:eastAsia="Arial" w:cs="Arial"/>
      <w:sz w:val="30"/>
      <w:szCs w:val="30"/>
    </w:rPr>
  </w:style>
  <w:style w:type="character" w:customStyle="1" w:styleId="55">
    <w:name w:val="Heading 4 Char"/>
    <w:basedOn w:val="44"/>
    <w:qFormat/>
    <w:uiPriority w:val="9"/>
    <w:rPr>
      <w:rFonts w:ascii="Arial" w:hAnsi="Arial" w:eastAsia="Arial" w:cs="Arial"/>
      <w:b/>
      <w:bCs/>
      <w:sz w:val="26"/>
      <w:szCs w:val="26"/>
    </w:rPr>
  </w:style>
  <w:style w:type="character" w:customStyle="1" w:styleId="56">
    <w:name w:val="Heading 5 Char"/>
    <w:basedOn w:val="44"/>
    <w:qFormat/>
    <w:uiPriority w:val="9"/>
    <w:rPr>
      <w:rFonts w:ascii="Arial" w:hAnsi="Arial" w:eastAsia="Arial" w:cs="Arial"/>
      <w:b/>
      <w:bCs/>
      <w:sz w:val="24"/>
      <w:szCs w:val="24"/>
    </w:rPr>
  </w:style>
  <w:style w:type="character" w:customStyle="1" w:styleId="57">
    <w:name w:val="Heading 6 Char"/>
    <w:basedOn w:val="44"/>
    <w:uiPriority w:val="9"/>
    <w:rPr>
      <w:rFonts w:ascii="Arial" w:hAnsi="Arial" w:eastAsia="Arial" w:cs="Arial"/>
      <w:b/>
      <w:bCs/>
      <w:sz w:val="22"/>
      <w:szCs w:val="22"/>
    </w:rPr>
  </w:style>
  <w:style w:type="character" w:customStyle="1" w:styleId="58">
    <w:name w:val="Heading 7 Char"/>
    <w:basedOn w:val="44"/>
    <w:qFormat/>
    <w:uiPriority w:val="9"/>
    <w:rPr>
      <w:rFonts w:ascii="Arial" w:hAnsi="Arial" w:eastAsia="Arial" w:cs="Arial"/>
      <w:b/>
      <w:bCs/>
      <w:i/>
      <w:iCs/>
      <w:sz w:val="22"/>
      <w:szCs w:val="22"/>
    </w:rPr>
  </w:style>
  <w:style w:type="character" w:customStyle="1" w:styleId="59">
    <w:name w:val="Heading 8 Char"/>
    <w:basedOn w:val="44"/>
    <w:qFormat/>
    <w:uiPriority w:val="9"/>
    <w:rPr>
      <w:rFonts w:ascii="Arial" w:hAnsi="Arial" w:eastAsia="Arial" w:cs="Arial"/>
      <w:i/>
      <w:iCs/>
      <w:sz w:val="22"/>
      <w:szCs w:val="22"/>
    </w:rPr>
  </w:style>
  <w:style w:type="character" w:customStyle="1" w:styleId="60">
    <w:name w:val="Heading 9 Char"/>
    <w:basedOn w:val="44"/>
    <w:uiPriority w:val="9"/>
    <w:rPr>
      <w:rFonts w:ascii="Arial" w:hAnsi="Arial" w:eastAsia="Arial" w:cs="Arial"/>
      <w:i/>
      <w:iCs/>
      <w:sz w:val="21"/>
      <w:szCs w:val="21"/>
    </w:rPr>
  </w:style>
  <w:style w:type="paragraph" w:styleId="61">
    <w:name w:val="No Spacing"/>
    <w:qFormat/>
    <w:uiPriority w:val="1"/>
    <w:pPr>
      <w:spacing w:before="0" w:after="0" w:line="240" w:lineRule="auto"/>
    </w:pPr>
    <w:rPr>
      <w:rFonts w:hint="default" w:ascii="Calibri" w:hAnsi="Calibri" w:eastAsia="宋体" w:cs="Times New Roman"/>
    </w:rPr>
  </w:style>
  <w:style w:type="character" w:customStyle="1" w:styleId="62">
    <w:name w:val="Title Char"/>
    <w:basedOn w:val="44"/>
    <w:link w:val="39"/>
    <w:uiPriority w:val="10"/>
    <w:rPr>
      <w:sz w:val="48"/>
      <w:szCs w:val="48"/>
    </w:rPr>
  </w:style>
  <w:style w:type="character" w:customStyle="1" w:styleId="63">
    <w:name w:val="Subtitle Char"/>
    <w:basedOn w:val="44"/>
    <w:link w:val="31"/>
    <w:qFormat/>
    <w:uiPriority w:val="11"/>
    <w:rPr>
      <w:sz w:val="24"/>
      <w:szCs w:val="24"/>
    </w:rPr>
  </w:style>
  <w:style w:type="paragraph" w:styleId="64">
    <w:name w:val="Quote"/>
    <w:basedOn w:val="1"/>
    <w:next w:val="1"/>
    <w:link w:val="65"/>
    <w:qFormat/>
    <w:uiPriority w:val="29"/>
    <w:pPr>
      <w:ind w:left="720" w:right="720"/>
    </w:pPr>
    <w:rPr>
      <w:i/>
    </w:rPr>
  </w:style>
  <w:style w:type="character" w:customStyle="1" w:styleId="65">
    <w:name w:val="Quote Char"/>
    <w:link w:val="64"/>
    <w:qFormat/>
    <w:uiPriority w:val="29"/>
    <w:rPr>
      <w:i/>
    </w:rPr>
  </w:style>
  <w:style w:type="paragraph" w:styleId="66">
    <w:name w:val="Intense Quote"/>
    <w:basedOn w:val="1"/>
    <w:next w:val="1"/>
    <w:link w:val="6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7">
    <w:name w:val="Intense Quote Char"/>
    <w:link w:val="66"/>
    <w:qFormat/>
    <w:uiPriority w:val="30"/>
    <w:rPr>
      <w:i/>
    </w:rPr>
  </w:style>
  <w:style w:type="character" w:customStyle="1" w:styleId="68">
    <w:name w:val="Header Char"/>
    <w:basedOn w:val="44"/>
    <w:qFormat/>
    <w:uiPriority w:val="99"/>
  </w:style>
  <w:style w:type="character" w:customStyle="1" w:styleId="69">
    <w:name w:val="Footer Char"/>
    <w:basedOn w:val="44"/>
    <w:qFormat/>
    <w:uiPriority w:val="99"/>
  </w:style>
  <w:style w:type="character" w:customStyle="1" w:styleId="70">
    <w:name w:val="Caption Char"/>
    <w:qFormat/>
    <w:uiPriority w:val="99"/>
  </w:style>
  <w:style w:type="table" w:customStyle="1" w:styleId="71">
    <w:name w:val="Table Grid Light"/>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2">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3">
    <w:name w:val="Plain Table 2"/>
    <w:basedOn w:val="4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4">
    <w:name w:val="Plain Table 3"/>
    <w:basedOn w:val="42"/>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Plain Table 4"/>
    <w:basedOn w:val="42"/>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5"/>
    <w:basedOn w:val="42"/>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Grid Table 1 Light"/>
    <w:basedOn w:val="4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8">
    <w:name w:val="Grid Table 1 Light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9">
    <w:name w:val="Grid Table 1 Light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0">
    <w:name w:val="Grid Table 1 Light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1">
    <w:name w:val="Grid Table 1 Light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2">
    <w:name w:val="Grid Table 1 Light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3">
    <w:name w:val="Grid Table 1 Light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4">
    <w:name w:val="Grid Table 2"/>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2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6">
    <w:name w:val="Grid Table 2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2 - Accent 3"/>
    <w:basedOn w:val="4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2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2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2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3"/>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3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3">
    <w:name w:val="Grid Table 3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3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3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3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3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4"/>
    <w:basedOn w:val="4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4 - Accent 1"/>
    <w:basedOn w:val="4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0">
    <w:name w:val="Grid Table 4 - Accent 2"/>
    <w:basedOn w:val="4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1">
    <w:name w:val="Grid Table 4 - Accent 3"/>
    <w:basedOn w:val="4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2">
    <w:name w:val="Grid Table 4 - Accent 4"/>
    <w:basedOn w:val="4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3">
    <w:name w:val="Grid Table 4 - Accent 5"/>
    <w:basedOn w:val="4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4">
    <w:name w:val="Grid Table 4 - Accent 6"/>
    <w:basedOn w:val="4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5">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6">
    <w:name w:val="Grid Table 5 Dark- Accent 1"/>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7">
    <w:name w:val="Grid Table 5 Dark - Accent 2"/>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8">
    <w:name w:val="Grid Table 5 Dark - Accent 3"/>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9">
    <w:name w:val="Grid Table 5 Dark- Accent 4"/>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0">
    <w:name w:val="Grid Table 5 Dark - Accent 5"/>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1">
    <w:name w:val="Grid Table 5 Dark - Accent 6"/>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2">
    <w:name w:val="Grid Table 6 Colorful"/>
    <w:basedOn w:val="4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6 Colorful - Accent 1"/>
    <w:basedOn w:val="4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4">
    <w:name w:val="Grid Table 6 Colorful - Accent 2"/>
    <w:basedOn w:val="4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5">
    <w:name w:val="Grid Table 6 Colorful - Accent 3"/>
    <w:basedOn w:val="4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6">
    <w:name w:val="Grid Table 6 Colorful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7">
    <w:name w:val="Grid Table 6 Colorful - Accent 5"/>
    <w:basedOn w:val="4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8">
    <w:name w:val="Grid Table 6 Colorful - Accent 6"/>
    <w:basedOn w:val="4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9">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7 Colorful - Accent 1"/>
    <w:basedOn w:val="4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1">
    <w:name w:val="Grid Table 7 Colorful - Accent 2"/>
    <w:basedOn w:val="4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2">
    <w:name w:val="Grid Table 7 Colorful - Accent 3"/>
    <w:basedOn w:val="4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3">
    <w:name w:val="Grid Table 7 Colorful - Accent 4"/>
    <w:basedOn w:val="4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4">
    <w:name w:val="Grid Table 7 Colorful - Accent 5"/>
    <w:basedOn w:val="4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5">
    <w:name w:val="Grid Table 7 Colorful - Accent 6"/>
    <w:basedOn w:val="4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6">
    <w:name w:val="List Table 1 Light"/>
    <w:basedOn w:val="42"/>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7">
    <w:name w:val="List Table 1 Light - Accent 1"/>
    <w:basedOn w:val="42"/>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8">
    <w:name w:val="List Table 1 Light - Accent 2"/>
    <w:basedOn w:val="42"/>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9">
    <w:name w:val="List Table 1 Light - Accent 3"/>
    <w:basedOn w:val="42"/>
    <w:qFormat/>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0">
    <w:name w:val="List Table 1 Light - Accent 4"/>
    <w:basedOn w:val="42"/>
    <w:qFormat/>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1">
    <w:name w:val="List Table 1 Light - Accent 5"/>
    <w:basedOn w:val="42"/>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2">
    <w:name w:val="List Table 1 Light - Accent 6"/>
    <w:basedOn w:val="42"/>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3">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2 - Accent 1"/>
    <w:basedOn w:val="4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2 - Accent 2"/>
    <w:basedOn w:val="4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2 - Accent 3"/>
    <w:basedOn w:val="4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2 - Accent 4"/>
    <w:basedOn w:val="4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2 - Accent 5"/>
    <w:basedOn w:val="4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2 - Accent 6"/>
    <w:basedOn w:val="4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3"/>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1">
    <w:name w:val="List Table 3 - Accent 1"/>
    <w:basedOn w:val="4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2">
    <w:name w:val="List Table 3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3">
    <w:name w:val="List Table 3 - Accent 3"/>
    <w:basedOn w:val="4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4">
    <w:name w:val="List Table 3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5">
    <w:name w:val="List Table 3 - Accent 5"/>
    <w:basedOn w:val="4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6">
    <w:name w:val="List Table 3 - Accent 6"/>
    <w:basedOn w:val="4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7">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8">
    <w:name w:val="List Table 4 - Accent 1"/>
    <w:basedOn w:val="4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9">
    <w:name w:val="List Table 4 - Accent 2"/>
    <w:basedOn w:val="4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0">
    <w:name w:val="List Table 4 - Accent 3"/>
    <w:basedOn w:val="4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1">
    <w:name w:val="List Table 4 - Accent 4"/>
    <w:basedOn w:val="4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2">
    <w:name w:val="List Table 4 - Accent 5"/>
    <w:basedOn w:val="4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3">
    <w:name w:val="List Table 4 - Accent 6"/>
    <w:basedOn w:val="4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4">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5">
    <w:name w:val="List Table 5 Dark - Accent 1"/>
    <w:basedOn w:val="4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6">
    <w:name w:val="List Table 5 Dark - Accent 2"/>
    <w:basedOn w:val="4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7">
    <w:name w:val="List Table 5 Dark - Accent 3"/>
    <w:basedOn w:val="4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8">
    <w:name w:val="List Table 5 Dark - Accent 4"/>
    <w:basedOn w:val="4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9">
    <w:name w:val="List Table 5 Dark - Accent 5"/>
    <w:basedOn w:val="4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0">
    <w:name w:val="List Table 5 Dark - Accent 6"/>
    <w:basedOn w:val="4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1">
    <w:name w:val="List Table 6 Colorful"/>
    <w:basedOn w:val="4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2">
    <w:name w:val="List Table 6 Colorful - Accent 1"/>
    <w:basedOn w:val="4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3">
    <w:name w:val="List Table 6 Colorful - Accent 2"/>
    <w:basedOn w:val="4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4">
    <w:name w:val="List Table 6 Colorful - Accent 3"/>
    <w:basedOn w:val="4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5">
    <w:name w:val="List Table 6 Colorful - Accent 4"/>
    <w:basedOn w:val="4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6">
    <w:name w:val="List Table 6 Colorful - Accent 5"/>
    <w:basedOn w:val="4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7">
    <w:name w:val="List Table 6 Colorful - Accent 6"/>
    <w:basedOn w:val="4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8">
    <w:name w:val="List Table 7 Colorful"/>
    <w:basedOn w:val="4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9">
    <w:name w:val="List Table 7 Colorful - Accent 1"/>
    <w:basedOn w:val="4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0">
    <w:name w:val="List Table 7 Colorful - Accent 2"/>
    <w:basedOn w:val="4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1">
    <w:name w:val="List Table 7 Colorful - Accent 3"/>
    <w:basedOn w:val="4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2">
    <w:name w:val="List Table 7 Colorful - Accent 4"/>
    <w:basedOn w:val="4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3">
    <w:name w:val="List Table 7 Colorful - Accent 5"/>
    <w:basedOn w:val="4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4">
    <w:name w:val="List Table 7 Colorful - Accent 6"/>
    <w:basedOn w:val="4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5">
    <w:name w:val="Lined - Accent"/>
    <w:basedOn w:val="42"/>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Lined - Accent 1"/>
    <w:basedOn w:val="42"/>
    <w:qFormat/>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7">
    <w:name w:val="Lined - Accent 2"/>
    <w:basedOn w:val="42"/>
    <w:qFormat/>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8">
    <w:name w:val="Lined - Accent 3"/>
    <w:basedOn w:val="42"/>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9">
    <w:name w:val="Lined - Accent 4"/>
    <w:basedOn w:val="42"/>
    <w:qFormat/>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0">
    <w:name w:val="Lined - Accent 5"/>
    <w:basedOn w:val="42"/>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1">
    <w:name w:val="Lined - Accent 6"/>
    <w:basedOn w:val="42"/>
    <w:qFormat/>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2">
    <w:name w:val="Bordered &amp; Lined - Accent"/>
    <w:basedOn w:val="4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3">
    <w:name w:val="Bordered &amp; Lined - Accent 1"/>
    <w:basedOn w:val="4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4">
    <w:name w:val="Bordered &amp; Lined - Accent 2"/>
    <w:basedOn w:val="4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5">
    <w:name w:val="Bordered &amp; Lined - Accent 3"/>
    <w:basedOn w:val="4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6">
    <w:name w:val="Bordered &amp; Lined - Accent 4"/>
    <w:basedOn w:val="4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7">
    <w:name w:val="Bordered &amp; Lined - Accent 5"/>
    <w:basedOn w:val="4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8">
    <w:name w:val="Bordered &amp; Lined - Accent 6"/>
    <w:basedOn w:val="4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9">
    <w:name w:val="Bordered"/>
    <w:basedOn w:val="4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0">
    <w:name w:val="Bordered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1">
    <w:name w:val="Bordered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2">
    <w:name w:val="Bordered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3">
    <w:name w:val="Bordered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4">
    <w:name w:val="Bordered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5">
    <w:name w:val="Bordered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6">
    <w:name w:val="Footnote Text Char"/>
    <w:link w:val="32"/>
    <w:qFormat/>
    <w:uiPriority w:val="99"/>
    <w:rPr>
      <w:sz w:val="18"/>
    </w:rPr>
  </w:style>
  <w:style w:type="character" w:customStyle="1" w:styleId="197">
    <w:name w:val="Endnote Text Char"/>
    <w:link w:val="25"/>
    <w:qFormat/>
    <w:uiPriority w:val="99"/>
    <w:rPr>
      <w:sz w:val="20"/>
    </w:rPr>
  </w:style>
  <w:style w:type="paragraph" w:customStyle="1" w:styleId="198">
    <w:name w:val="TOC Heading"/>
    <w:unhideWhenUsed/>
    <w:qFormat/>
    <w:uiPriority w:val="39"/>
    <w:rPr>
      <w:rFonts w:hint="default" w:ascii="Calibri" w:hAnsi="Calibri" w:eastAsia="宋体" w:cs="Times New Roman"/>
    </w:rPr>
  </w:style>
  <w:style w:type="paragraph" w:customStyle="1" w:styleId="199">
    <w:name w:val="正文（缩进）"/>
    <w:basedOn w:val="1"/>
    <w:qFormat/>
    <w:uiPriority w:val="0"/>
    <w:pPr>
      <w:ind w:firstLine="480"/>
    </w:pPr>
  </w:style>
  <w:style w:type="character" w:customStyle="1" w:styleId="200">
    <w:name w:val="页眉 Char"/>
    <w:link w:val="28"/>
    <w:qFormat/>
    <w:uiPriority w:val="0"/>
    <w:rPr>
      <w:rFonts w:ascii="Times New Roman" w:hAnsi="Times New Roman" w:eastAsia="宋体" w:cs="Times New Roman"/>
      <w:sz w:val="18"/>
      <w:szCs w:val="18"/>
    </w:rPr>
  </w:style>
  <w:style w:type="character" w:customStyle="1" w:styleId="201">
    <w:name w:val="font01"/>
    <w:qFormat/>
    <w:uiPriority w:val="0"/>
    <w:rPr>
      <w:rFonts w:hint="eastAsia" w:ascii="宋体" w:hAnsi="宋体" w:eastAsia="宋体" w:cs="宋体"/>
      <w:color w:val="000000"/>
      <w:sz w:val="24"/>
      <w:szCs w:val="24"/>
      <w:u w:val="none"/>
    </w:rPr>
  </w:style>
  <w:style w:type="character" w:customStyle="1" w:styleId="202">
    <w:name w:val="标题 4 Char"/>
    <w:link w:val="5"/>
    <w:qFormat/>
    <w:uiPriority w:val="0"/>
    <w:rPr>
      <w:rFonts w:ascii="Arial" w:hAnsi="Arial" w:eastAsia="黑体" w:cs="Arial"/>
      <w:b/>
      <w:bCs/>
      <w:sz w:val="28"/>
      <w:szCs w:val="28"/>
    </w:rPr>
  </w:style>
  <w:style w:type="character" w:customStyle="1" w:styleId="203">
    <w:name w:val="批注文字 Char1"/>
    <w:link w:val="14"/>
    <w:qFormat/>
    <w:uiPriority w:val="99"/>
    <w:rPr>
      <w:rFonts w:ascii="Times New Roman" w:hAnsi="Times New Roman" w:eastAsia="宋体" w:cs="Times New Roman"/>
      <w:szCs w:val="24"/>
    </w:rPr>
  </w:style>
  <w:style w:type="character" w:customStyle="1" w:styleId="204">
    <w:name w:val="font11"/>
    <w:basedOn w:val="44"/>
    <w:qFormat/>
    <w:uiPriority w:val="0"/>
    <w:rPr>
      <w:rFonts w:hint="eastAsia" w:ascii="宋体" w:hAnsi="宋体" w:eastAsia="宋体" w:cs="宋体"/>
      <w:color w:val="000000"/>
      <w:sz w:val="20"/>
      <w:szCs w:val="20"/>
      <w:u w:val="none"/>
    </w:rPr>
  </w:style>
  <w:style w:type="character" w:customStyle="1" w:styleId="205">
    <w:name w:val="Char Char11"/>
    <w:qFormat/>
    <w:uiPriority w:val="0"/>
    <w:rPr>
      <w:rFonts w:ascii="Arial" w:hAnsi="Arial" w:eastAsia="宋体" w:cs="Times New Roman"/>
      <w:b/>
      <w:bCs/>
      <w:sz w:val="28"/>
      <w:szCs w:val="36"/>
    </w:rPr>
  </w:style>
  <w:style w:type="character" w:customStyle="1" w:styleId="206">
    <w:name w:val="纯文本 Char"/>
    <w:link w:val="21"/>
    <w:qFormat/>
    <w:uiPriority w:val="0"/>
    <w:rPr>
      <w:rFonts w:ascii="宋体" w:hAnsi="Courier New" w:eastAsia="宋体" w:cs="Times New Roman"/>
      <w:szCs w:val="21"/>
    </w:rPr>
  </w:style>
  <w:style w:type="character" w:customStyle="1" w:styleId="207">
    <w:name w:val="段落 Char1"/>
    <w:link w:val="208"/>
    <w:qFormat/>
    <w:uiPriority w:val="0"/>
    <w:rPr>
      <w:rFonts w:eastAsia="仿宋_GB2312"/>
      <w:sz w:val="32"/>
      <w:szCs w:val="32"/>
      <w:lang w:val="en-US" w:eastAsia="zh-CN" w:bidi="ar-SA"/>
    </w:rPr>
  </w:style>
  <w:style w:type="paragraph" w:customStyle="1" w:styleId="208">
    <w:name w:val="段落"/>
    <w:link w:val="207"/>
    <w:qFormat/>
    <w:uiPriority w:val="0"/>
    <w:pPr>
      <w:spacing w:before="120" w:after="120" w:line="360" w:lineRule="auto"/>
      <w:ind w:firstLine="640"/>
      <w:jc w:val="both"/>
    </w:pPr>
    <w:rPr>
      <w:rFonts w:hint="default" w:ascii="Times New Roman" w:hAnsi="Times New Roman" w:eastAsia="仿宋_GB2312" w:cs="Times New Roman"/>
      <w:sz w:val="32"/>
      <w:szCs w:val="32"/>
      <w:lang w:val="en-US" w:eastAsia="zh-CN" w:bidi="ar-SA"/>
    </w:rPr>
  </w:style>
  <w:style w:type="character" w:customStyle="1" w:styleId="209">
    <w:name w:val="正文文本缩进 2 Char1"/>
    <w:basedOn w:val="44"/>
    <w:semiHidden/>
    <w:qFormat/>
    <w:uiPriority w:val="99"/>
  </w:style>
  <w:style w:type="character" w:customStyle="1" w:styleId="210">
    <w:name w:val="正文文本 Char"/>
    <w:link w:val="15"/>
    <w:qFormat/>
    <w:uiPriority w:val="0"/>
    <w:rPr>
      <w:rFonts w:ascii="楷体_GB2312" w:hAnsi="Arial" w:eastAsia="楷体_GB2312" w:cs="Times New Roman"/>
      <w:sz w:val="28"/>
      <w:szCs w:val="28"/>
    </w:rPr>
  </w:style>
  <w:style w:type="character" w:customStyle="1" w:styleId="211">
    <w:name w:val="标题 5 Char"/>
    <w:link w:val="7"/>
    <w:qFormat/>
    <w:uiPriority w:val="0"/>
    <w:rPr>
      <w:rFonts w:ascii="Calibri" w:hAnsi="Calibri" w:eastAsia="宋体" w:cs="Times New Roman"/>
      <w:b/>
      <w:bCs/>
      <w:sz w:val="28"/>
      <w:szCs w:val="28"/>
    </w:rPr>
  </w:style>
  <w:style w:type="character" w:customStyle="1" w:styleId="212">
    <w:name w:val="标题 3 Char"/>
    <w:link w:val="4"/>
    <w:qFormat/>
    <w:uiPriority w:val="0"/>
    <w:rPr>
      <w:rFonts w:ascii="Arial" w:hAnsi="Arial" w:eastAsia="黑体"/>
      <w:b/>
      <w:bCs/>
      <w:sz w:val="30"/>
      <w:szCs w:val="32"/>
    </w:rPr>
  </w:style>
  <w:style w:type="character" w:customStyle="1" w:styleId="213">
    <w:name w:val="标题 1 Char"/>
    <w:link w:val="2"/>
    <w:qFormat/>
    <w:uiPriority w:val="0"/>
    <w:rPr>
      <w:b/>
      <w:bCs/>
      <w:sz w:val="44"/>
      <w:szCs w:val="44"/>
    </w:rPr>
  </w:style>
  <w:style w:type="character" w:customStyle="1" w:styleId="214">
    <w:name w:val="表格样式居中 Char"/>
    <w:link w:val="215"/>
    <w:qFormat/>
    <w:uiPriority w:val="0"/>
    <w:rPr>
      <w:rFonts w:ascii="宋体" w:hAnsi="宋体"/>
      <w:bCs/>
      <w:sz w:val="21"/>
      <w:szCs w:val="21"/>
      <w:lang w:val="zh-CN" w:eastAsia="zh-CN" w:bidi="ar-SA"/>
    </w:rPr>
  </w:style>
  <w:style w:type="paragraph" w:customStyle="1" w:styleId="215">
    <w:name w:val="表格样式居中"/>
    <w:link w:val="214"/>
    <w:qFormat/>
    <w:uiPriority w:val="0"/>
    <w:pPr>
      <w:spacing w:line="360" w:lineRule="auto"/>
      <w:jc w:val="center"/>
    </w:pPr>
    <w:rPr>
      <w:rFonts w:hint="default" w:ascii="宋体" w:hAnsi="宋体" w:eastAsia="宋体" w:cs="Times New Roman"/>
      <w:bCs/>
      <w:sz w:val="21"/>
      <w:szCs w:val="21"/>
      <w:lang w:val="zh-CN" w:eastAsia="zh-CN" w:bidi="ar-SA"/>
    </w:rPr>
  </w:style>
  <w:style w:type="character" w:customStyle="1" w:styleId="216">
    <w:name w:val="font51"/>
    <w:qFormat/>
    <w:uiPriority w:val="0"/>
    <w:rPr>
      <w:rFonts w:hint="eastAsia" w:ascii="宋体" w:hAnsi="宋体" w:eastAsia="宋体" w:cs="宋体"/>
      <w:b/>
      <w:color w:val="000000"/>
      <w:sz w:val="20"/>
      <w:szCs w:val="20"/>
      <w:u w:val="none"/>
    </w:rPr>
  </w:style>
  <w:style w:type="character" w:customStyle="1" w:styleId="217">
    <w:name w:val="无间隔 Char"/>
    <w:link w:val="218"/>
    <w:qFormat/>
    <w:uiPriority w:val="0"/>
    <w:rPr>
      <w:sz w:val="21"/>
      <w:szCs w:val="22"/>
      <w:lang w:val="en-US" w:eastAsia="zh-CN" w:bidi="ar-SA"/>
    </w:rPr>
  </w:style>
  <w:style w:type="paragraph" w:customStyle="1" w:styleId="218">
    <w:name w:val="msonospacing"/>
    <w:link w:val="217"/>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19">
    <w:name w:val="Char Char9"/>
    <w:qFormat/>
    <w:uiPriority w:val="0"/>
    <w:rPr>
      <w:rFonts w:ascii="等线 Light" w:hAnsi="等线 Light" w:eastAsia="等线 Light" w:cs="Times New Roman"/>
      <w:b/>
      <w:bCs/>
      <w:sz w:val="28"/>
      <w:szCs w:val="28"/>
    </w:rPr>
  </w:style>
  <w:style w:type="character" w:customStyle="1" w:styleId="220">
    <w:name w:val="15"/>
    <w:qFormat/>
    <w:uiPriority w:val="0"/>
    <w:rPr>
      <w:rFonts w:hint="eastAsia" w:ascii="宋体" w:hAnsi="宋体" w:eastAsia="宋体"/>
      <w:color w:val="000000"/>
      <w:sz w:val="18"/>
      <w:szCs w:val="18"/>
    </w:rPr>
  </w:style>
  <w:style w:type="character" w:customStyle="1" w:styleId="221">
    <w:name w:val="标题 8 Char"/>
    <w:link w:val="10"/>
    <w:qFormat/>
    <w:uiPriority w:val="0"/>
    <w:rPr>
      <w:rFonts w:ascii="Cambria" w:hAnsi="Cambria" w:eastAsia="宋体" w:cs="Times New Roman"/>
      <w:sz w:val="24"/>
      <w:szCs w:val="24"/>
    </w:rPr>
  </w:style>
  <w:style w:type="character" w:customStyle="1" w:styleId="222">
    <w:name w:val="表格样式居左 Char"/>
    <w:link w:val="223"/>
    <w:qFormat/>
    <w:uiPriority w:val="0"/>
    <w:rPr>
      <w:rFonts w:eastAsia="仿宋_GB2312"/>
      <w:bCs/>
      <w:color w:val="000000"/>
      <w:sz w:val="21"/>
      <w:szCs w:val="44"/>
      <w:lang w:val="en-US" w:eastAsia="zh-CN" w:bidi="ar-SA"/>
    </w:rPr>
  </w:style>
  <w:style w:type="paragraph" w:customStyle="1" w:styleId="223">
    <w:name w:val="表格样式居左"/>
    <w:link w:val="222"/>
    <w:qFormat/>
    <w:uiPriority w:val="0"/>
    <w:pPr>
      <w:spacing w:line="360" w:lineRule="exact"/>
    </w:pPr>
    <w:rPr>
      <w:rFonts w:hint="default" w:ascii="Times New Roman" w:hAnsi="Times New Roman" w:eastAsia="仿宋_GB2312" w:cs="Times New Roman"/>
      <w:bCs/>
      <w:color w:val="000000"/>
      <w:sz w:val="21"/>
      <w:szCs w:val="44"/>
      <w:lang w:val="en-US" w:eastAsia="zh-CN" w:bidi="ar-SA"/>
    </w:rPr>
  </w:style>
  <w:style w:type="character" w:customStyle="1" w:styleId="224">
    <w:name w:val="正文缩进 Char1"/>
    <w:qFormat/>
    <w:uiPriority w:val="0"/>
    <w:rPr>
      <w:rFonts w:ascii="Times New Roman" w:hAnsi="Times New Roman" w:eastAsia="宋体" w:cs="Times New Roman"/>
      <w:szCs w:val="20"/>
    </w:rPr>
  </w:style>
  <w:style w:type="character" w:customStyle="1" w:styleId="225">
    <w:name w:val="批注文字 Char"/>
    <w:qFormat/>
    <w:uiPriority w:val="99"/>
    <w:rPr>
      <w:sz w:val="21"/>
      <w:szCs w:val="22"/>
    </w:rPr>
  </w:style>
  <w:style w:type="character" w:customStyle="1" w:styleId="226">
    <w:name w:val="apple-style-span"/>
    <w:qFormat/>
    <w:uiPriority w:val="0"/>
  </w:style>
  <w:style w:type="character" w:customStyle="1" w:styleId="227">
    <w:name w:val="一级缩进 Char"/>
    <w:link w:val="228"/>
    <w:qFormat/>
    <w:uiPriority w:val="0"/>
    <w:rPr>
      <w:rFonts w:eastAsia="仿宋_GB2312"/>
      <w:sz w:val="32"/>
      <w:szCs w:val="32"/>
      <w:lang w:val="en-US" w:eastAsia="zh-CN" w:bidi="ar-SA"/>
    </w:rPr>
  </w:style>
  <w:style w:type="paragraph" w:customStyle="1" w:styleId="228">
    <w:name w:val="一级缩进"/>
    <w:link w:val="227"/>
    <w:qFormat/>
    <w:uiPriority w:val="0"/>
    <w:pPr>
      <w:tabs>
        <w:tab w:val="left" w:pos="720"/>
      </w:tabs>
      <w:spacing w:before="120" w:after="120" w:line="360" w:lineRule="auto"/>
      <w:ind w:left="987"/>
      <w:jc w:val="both"/>
    </w:pPr>
    <w:rPr>
      <w:rFonts w:hint="default" w:ascii="Times New Roman" w:hAnsi="Times New Roman" w:eastAsia="仿宋_GB2312" w:cs="Times New Roman"/>
      <w:sz w:val="32"/>
      <w:szCs w:val="32"/>
      <w:lang w:val="en-US" w:eastAsia="zh-CN" w:bidi="ar-SA"/>
    </w:rPr>
  </w:style>
  <w:style w:type="character" w:customStyle="1" w:styleId="229">
    <w:name w:val="Char Char8"/>
    <w:qFormat/>
    <w:uiPriority w:val="0"/>
    <w:rPr>
      <w:rFonts w:ascii="Calibri" w:hAnsi="Calibri" w:eastAsia="宋体" w:cs="Times New Roman"/>
      <w:b/>
      <w:bCs/>
      <w:sz w:val="28"/>
      <w:szCs w:val="28"/>
    </w:rPr>
  </w:style>
  <w:style w:type="character" w:customStyle="1" w:styleId="230">
    <w:name w:val="项目排列 Char"/>
    <w:link w:val="231"/>
    <w:qFormat/>
    <w:uiPriority w:val="0"/>
    <w:rPr>
      <w:sz w:val="24"/>
      <w:szCs w:val="24"/>
    </w:rPr>
  </w:style>
  <w:style w:type="paragraph" w:customStyle="1" w:styleId="231">
    <w:name w:val="项目排列"/>
    <w:basedOn w:val="1"/>
    <w:link w:val="230"/>
    <w:qFormat/>
    <w:uiPriority w:val="0"/>
    <w:pPr>
      <w:tabs>
        <w:tab w:val="left" w:pos="900"/>
      </w:tabs>
      <w:spacing w:line="300" w:lineRule="auto"/>
      <w:ind w:left="900" w:hanging="420"/>
    </w:pPr>
    <w:rPr>
      <w:sz w:val="24"/>
      <w:szCs w:val="24"/>
    </w:rPr>
  </w:style>
  <w:style w:type="character" w:customStyle="1" w:styleId="232">
    <w:name w:val="Char Char12"/>
    <w:qFormat/>
    <w:uiPriority w:val="0"/>
    <w:rPr>
      <w:b/>
      <w:bCs/>
      <w:sz w:val="44"/>
      <w:szCs w:val="44"/>
    </w:rPr>
  </w:style>
  <w:style w:type="character" w:customStyle="1" w:styleId="233">
    <w:name w:val="font101"/>
    <w:qFormat/>
    <w:uiPriority w:val="0"/>
    <w:rPr>
      <w:rFonts w:hint="eastAsia" w:ascii="宋体" w:hAnsi="宋体" w:eastAsia="宋体" w:cs="宋体"/>
      <w:b/>
      <w:color w:val="000000"/>
      <w:sz w:val="18"/>
      <w:szCs w:val="18"/>
      <w:u w:val="none"/>
    </w:rPr>
  </w:style>
  <w:style w:type="character" w:customStyle="1" w:styleId="234">
    <w:name w:val="标题 9 Char"/>
    <w:link w:val="11"/>
    <w:qFormat/>
    <w:uiPriority w:val="0"/>
    <w:rPr>
      <w:rFonts w:ascii="Cambria" w:hAnsi="Cambria" w:eastAsia="宋体" w:cs="Times New Roman"/>
      <w:sz w:val="20"/>
      <w:szCs w:val="21"/>
    </w:rPr>
  </w:style>
  <w:style w:type="character" w:customStyle="1" w:styleId="235">
    <w:name w:val="font91"/>
    <w:qFormat/>
    <w:uiPriority w:val="0"/>
    <w:rPr>
      <w:rFonts w:hint="eastAsia" w:ascii="宋体" w:hAnsi="宋体" w:eastAsia="宋体" w:cs="宋体"/>
      <w:color w:val="000000"/>
      <w:sz w:val="16"/>
      <w:szCs w:val="16"/>
      <w:u w:val="none"/>
    </w:rPr>
  </w:style>
  <w:style w:type="character" w:customStyle="1" w:styleId="236">
    <w:name w:val="表格文字 Char"/>
    <w:link w:val="237"/>
    <w:qFormat/>
    <w:uiPriority w:val="0"/>
    <w:rPr>
      <w:szCs w:val="21"/>
    </w:rPr>
  </w:style>
  <w:style w:type="paragraph" w:customStyle="1" w:styleId="237">
    <w:name w:val="表格文字"/>
    <w:basedOn w:val="1"/>
    <w:link w:val="236"/>
    <w:qFormat/>
    <w:uiPriority w:val="0"/>
    <w:pPr>
      <w:jc w:val="left"/>
    </w:pPr>
    <w:rPr>
      <w:sz w:val="20"/>
      <w:szCs w:val="21"/>
    </w:rPr>
  </w:style>
  <w:style w:type="character" w:customStyle="1" w:styleId="238">
    <w:name w:val="标题 5 字符"/>
    <w:semiHidden/>
    <w:qFormat/>
    <w:uiPriority w:val="0"/>
    <w:rPr>
      <w:rFonts w:ascii="Calibri" w:hAnsi="Calibri"/>
      <w:b/>
      <w:bCs/>
      <w:sz w:val="28"/>
      <w:szCs w:val="28"/>
    </w:rPr>
  </w:style>
  <w:style w:type="character" w:customStyle="1" w:styleId="239">
    <w:name w:val="标题 2 Char"/>
    <w:link w:val="3"/>
    <w:qFormat/>
    <w:uiPriority w:val="0"/>
    <w:rPr>
      <w:rFonts w:ascii="Arial" w:hAnsi="Arial"/>
      <w:b/>
      <w:bCs/>
      <w:sz w:val="28"/>
      <w:szCs w:val="36"/>
    </w:rPr>
  </w:style>
  <w:style w:type="character" w:customStyle="1" w:styleId="240">
    <w:name w:val="Table Text Char1"/>
    <w:link w:val="241"/>
    <w:qFormat/>
    <w:uiPriority w:val="0"/>
    <w:rPr>
      <w:rFonts w:ascii="Arial" w:hAnsi="Arial" w:cs="Arial"/>
      <w:sz w:val="18"/>
      <w:szCs w:val="24"/>
    </w:rPr>
  </w:style>
  <w:style w:type="paragraph" w:customStyle="1" w:styleId="241">
    <w:name w:val="Table Text"/>
    <w:basedOn w:val="1"/>
    <w:link w:val="240"/>
    <w:qFormat/>
    <w:uiPriority w:val="0"/>
    <w:pPr>
      <w:widowControl/>
      <w:tabs>
        <w:tab w:val="decimal" w:pos="0"/>
      </w:tabs>
      <w:spacing w:before="80" w:after="80"/>
    </w:pPr>
    <w:rPr>
      <w:rFonts w:ascii="Arial" w:hAnsi="Arial"/>
      <w:sz w:val="18"/>
      <w:szCs w:val="24"/>
    </w:rPr>
  </w:style>
  <w:style w:type="character" w:customStyle="1" w:styleId="242">
    <w:name w:val="列出段落 Char"/>
    <w:link w:val="243"/>
    <w:qFormat/>
    <w:uiPriority w:val="0"/>
    <w:rPr>
      <w:rFonts w:ascii="Calibri" w:hAnsi="Calibri" w:eastAsia="宋体" w:cs="Times New Roman"/>
    </w:rPr>
  </w:style>
  <w:style w:type="paragraph" w:customStyle="1" w:styleId="243">
    <w:name w:val="列出段落11"/>
    <w:basedOn w:val="1"/>
    <w:link w:val="242"/>
    <w:qFormat/>
    <w:uiPriority w:val="0"/>
    <w:pPr>
      <w:ind w:firstLine="200"/>
    </w:pPr>
    <w:rPr>
      <w:rFonts w:ascii="Calibri" w:hAnsi="Calibri"/>
      <w:sz w:val="20"/>
      <w:szCs w:val="20"/>
    </w:rPr>
  </w:style>
  <w:style w:type="character" w:customStyle="1" w:styleId="244">
    <w:name w:val="批注框文本 Char"/>
    <w:link w:val="26"/>
    <w:qFormat/>
    <w:uiPriority w:val="0"/>
    <w:rPr>
      <w:sz w:val="18"/>
      <w:szCs w:val="18"/>
    </w:rPr>
  </w:style>
  <w:style w:type="character" w:customStyle="1" w:styleId="245">
    <w:name w:val="正文文本缩进 Char"/>
    <w:link w:val="16"/>
    <w:qFormat/>
    <w:uiPriority w:val="0"/>
    <w:rPr>
      <w:rFonts w:ascii="Times New Roman" w:hAnsi="Times New Roman"/>
      <w:szCs w:val="24"/>
    </w:rPr>
  </w:style>
  <w:style w:type="character" w:customStyle="1" w:styleId="246">
    <w:name w:val="Char Char10"/>
    <w:qFormat/>
    <w:uiPriority w:val="0"/>
    <w:rPr>
      <w:rFonts w:ascii="Arial" w:hAnsi="Arial" w:eastAsia="黑体" w:cs="Times New Roman"/>
      <w:b/>
      <w:bCs/>
      <w:sz w:val="30"/>
      <w:szCs w:val="32"/>
    </w:rPr>
  </w:style>
  <w:style w:type="character" w:customStyle="1" w:styleId="247">
    <w:name w:val="批注主题 Char"/>
    <w:link w:val="40"/>
    <w:qFormat/>
    <w:uiPriority w:val="99"/>
    <w:rPr>
      <w:b/>
      <w:bCs/>
    </w:rPr>
  </w:style>
  <w:style w:type="character" w:customStyle="1" w:styleId="248">
    <w:name w:val="批注主题 Char1"/>
    <w:semiHidden/>
    <w:qFormat/>
    <w:uiPriority w:val="99"/>
    <w:rPr>
      <w:rFonts w:ascii="Times New Roman" w:hAnsi="Times New Roman" w:eastAsia="宋体" w:cs="Times New Roman"/>
      <w:b/>
      <w:bCs/>
      <w:szCs w:val="24"/>
    </w:rPr>
  </w:style>
  <w:style w:type="character" w:customStyle="1" w:styleId="249">
    <w:name w:val="font21"/>
    <w:qFormat/>
    <w:uiPriority w:val="0"/>
    <w:rPr>
      <w:rFonts w:hint="eastAsia" w:ascii="宋体" w:hAnsi="宋体" w:eastAsia="宋体" w:cs="宋体"/>
      <w:color w:val="000000"/>
      <w:sz w:val="20"/>
      <w:szCs w:val="20"/>
      <w:u w:val="none"/>
    </w:rPr>
  </w:style>
  <w:style w:type="character" w:customStyle="1" w:styleId="250">
    <w:name w:val="标题 7 Char"/>
    <w:link w:val="9"/>
    <w:qFormat/>
    <w:uiPriority w:val="0"/>
    <w:rPr>
      <w:rFonts w:ascii="Times New Roman" w:hAnsi="Times New Roman" w:eastAsia="宋体" w:cs="Times New Roman"/>
      <w:b/>
      <w:bCs/>
      <w:sz w:val="24"/>
      <w:szCs w:val="24"/>
    </w:rPr>
  </w:style>
  <w:style w:type="character" w:customStyle="1" w:styleId="251">
    <w:name w:val="正文文本缩进 Char1"/>
    <w:basedOn w:val="44"/>
    <w:semiHidden/>
    <w:qFormat/>
    <w:uiPriority w:val="99"/>
  </w:style>
  <w:style w:type="character" w:customStyle="1" w:styleId="252">
    <w:name w:val="正文文本缩进 2 Char"/>
    <w:link w:val="24"/>
    <w:qFormat/>
    <w:uiPriority w:val="0"/>
    <w:rPr>
      <w:rFonts w:ascii="楷体_GB2312" w:hAnsi="Times New Roman" w:eastAsia="楷体_GB2312"/>
      <w:b/>
      <w:bCs/>
      <w:sz w:val="28"/>
      <w:szCs w:val="24"/>
    </w:rPr>
  </w:style>
  <w:style w:type="character" w:customStyle="1" w:styleId="253">
    <w:name w:val="正文缩进 Char"/>
    <w:link w:val="6"/>
    <w:qFormat/>
    <w:uiPriority w:val="0"/>
  </w:style>
  <w:style w:type="character" w:customStyle="1" w:styleId="254">
    <w:name w:val="页脚 Char"/>
    <w:link w:val="27"/>
    <w:qFormat/>
    <w:uiPriority w:val="0"/>
    <w:rPr>
      <w:rFonts w:ascii="Times New Roman" w:hAnsi="Times New Roman" w:eastAsia="宋体" w:cs="Times New Roman"/>
      <w:sz w:val="18"/>
      <w:szCs w:val="18"/>
    </w:rPr>
  </w:style>
  <w:style w:type="character" w:customStyle="1" w:styleId="255">
    <w:name w:val="批注框文本 Char1"/>
    <w:semiHidden/>
    <w:qFormat/>
    <w:uiPriority w:val="99"/>
    <w:rPr>
      <w:rFonts w:ascii="Times New Roman" w:hAnsi="Times New Roman"/>
      <w:sz w:val="18"/>
      <w:szCs w:val="18"/>
    </w:rPr>
  </w:style>
  <w:style w:type="character" w:customStyle="1" w:styleId="256">
    <w:name w:val="标题 6 Char"/>
    <w:link w:val="8"/>
    <w:qFormat/>
    <w:uiPriority w:val="0"/>
    <w:rPr>
      <w:rFonts w:ascii="Cambria" w:hAnsi="Cambria" w:eastAsia="宋体" w:cs="Times New Roman"/>
      <w:b/>
      <w:bCs/>
      <w:sz w:val="24"/>
      <w:szCs w:val="24"/>
    </w:rPr>
  </w:style>
  <w:style w:type="paragraph" w:customStyle="1" w:styleId="257">
    <w:name w:val="彩色列表 - 强调文字颜色 11"/>
    <w:basedOn w:val="1"/>
    <w:qFormat/>
    <w:uiPriority w:val="34"/>
    <w:pPr>
      <w:spacing w:line="360" w:lineRule="auto"/>
      <w:ind w:firstLine="420"/>
    </w:pPr>
    <w:rPr>
      <w:sz w:val="24"/>
    </w:rPr>
  </w:style>
  <w:style w:type="paragraph" w:customStyle="1" w:styleId="258">
    <w:name w:val="正文 1.1.1"/>
    <w:basedOn w:val="1"/>
    <w:next w:val="1"/>
    <w:qFormat/>
    <w:uiPriority w:val="0"/>
    <w:pPr>
      <w:tabs>
        <w:tab w:val="left" w:pos="851"/>
      </w:tabs>
      <w:outlineLvl w:val="2"/>
    </w:pPr>
    <w:rPr>
      <w:rFonts w:hAnsi="宋体"/>
      <w:color w:val="FF0000"/>
    </w:rPr>
  </w:style>
  <w:style w:type="paragraph" w:customStyle="1" w:styleId="259">
    <w:name w:val="（1）"/>
    <w:basedOn w:val="1"/>
    <w:qFormat/>
    <w:uiPriority w:val="0"/>
    <w:pPr>
      <w:spacing w:line="360" w:lineRule="auto"/>
      <w:ind w:firstLine="480"/>
    </w:pPr>
    <w:rPr>
      <w:rFonts w:ascii="宋体" w:hAnsi="宋体" w:cs="宋体"/>
      <w:sz w:val="24"/>
      <w:szCs w:val="24"/>
    </w:rPr>
  </w:style>
  <w:style w:type="paragraph" w:customStyle="1" w:styleId="260">
    <w:name w:val="修订1"/>
    <w:unhideWhenUsed/>
    <w:qFormat/>
    <w:uiPriority w:val="99"/>
    <w:rPr>
      <w:rFonts w:hint="default" w:ascii="Times New Roman" w:hAnsi="Times New Roman" w:eastAsia="宋体" w:cs="Times New Roman"/>
      <w:sz w:val="21"/>
      <w:szCs w:val="22"/>
      <w:lang w:val="en-US" w:eastAsia="zh-CN" w:bidi="ar-SA"/>
    </w:rPr>
  </w:style>
  <w:style w:type="paragraph" w:customStyle="1" w:styleId="261">
    <w:name w:val="Default"/>
    <w:qFormat/>
    <w:uiPriority w:val="0"/>
    <w:pPr>
      <w:widowControl w:val="0"/>
    </w:pPr>
    <w:rPr>
      <w:rFonts w:hint="default" w:ascii="微软雅黑" w:hAnsi="Times New Roman" w:eastAsia="微软雅黑" w:cs="微软雅黑"/>
      <w:color w:val="000000"/>
      <w:sz w:val="24"/>
      <w:szCs w:val="24"/>
      <w:lang w:val="en-US" w:eastAsia="zh-CN" w:bidi="ar-SA"/>
    </w:rPr>
  </w:style>
  <w:style w:type="paragraph" w:customStyle="1" w:styleId="262">
    <w:name w:val="正文缩进1"/>
    <w:basedOn w:val="1"/>
    <w:qFormat/>
    <w:uiPriority w:val="0"/>
    <w:pPr>
      <w:widowControl/>
      <w:spacing w:line="360" w:lineRule="auto"/>
      <w:ind w:firstLine="420"/>
      <w:jc w:val="left"/>
    </w:pPr>
    <w:rPr>
      <w:rFonts w:ascii="宋体"/>
      <w:sz w:val="20"/>
      <w:szCs w:val="20"/>
    </w:rPr>
  </w:style>
  <w:style w:type="paragraph" w:customStyle="1" w:styleId="263">
    <w:name w:val="FUNO正文"/>
    <w:qFormat/>
    <w:uiPriority w:val="0"/>
    <w:pPr>
      <w:spacing w:line="360" w:lineRule="auto"/>
      <w:ind w:firstLine="480"/>
      <w:jc w:val="both"/>
    </w:pPr>
    <w:rPr>
      <w:rFonts w:hint="default" w:ascii="宋体" w:hAnsi="宋体" w:eastAsia="宋体" w:cs="Times New Roman"/>
      <w:sz w:val="24"/>
      <w:szCs w:val="21"/>
      <w:lang w:val="en-US" w:eastAsia="zh-CN" w:bidi="ar-SA"/>
    </w:rPr>
  </w:style>
  <w:style w:type="paragraph" w:customStyle="1" w:styleId="264">
    <w:name w:val="列出段落1"/>
    <w:basedOn w:val="1"/>
    <w:qFormat/>
    <w:uiPriority w:val="0"/>
    <w:pPr>
      <w:ind w:firstLine="420"/>
    </w:pPr>
    <w:rPr>
      <w:szCs w:val="20"/>
    </w:rPr>
  </w:style>
  <w:style w:type="paragraph" w:customStyle="1" w:styleId="265">
    <w:name w:val="列表段落1"/>
    <w:basedOn w:val="1"/>
    <w:qFormat/>
    <w:uiPriority w:val="34"/>
    <w:pPr>
      <w:ind w:firstLine="420"/>
    </w:pPr>
    <w:rPr>
      <w:rFonts w:ascii="Calibri" w:hAnsi="Calibri"/>
    </w:rPr>
  </w:style>
  <w:style w:type="paragraph" w:customStyle="1" w:styleId="266">
    <w:name w:val="文档标题"/>
    <w:basedOn w:val="1"/>
    <w:qFormat/>
    <w:uiPriority w:val="0"/>
    <w:pPr>
      <w:spacing w:line="300" w:lineRule="auto"/>
      <w:jc w:val="center"/>
    </w:pPr>
    <w:rPr>
      <w:rFonts w:ascii="Arial" w:hAnsi="Arial" w:eastAsia="黑体" w:cs="Arial"/>
      <w:b/>
      <w:sz w:val="48"/>
      <w:szCs w:val="32"/>
    </w:rPr>
  </w:style>
  <w:style w:type="paragraph" w:styleId="267">
    <w:name w:val="List Paragraph"/>
    <w:basedOn w:val="1"/>
    <w:qFormat/>
    <w:uiPriority w:val="34"/>
    <w:pPr>
      <w:ind w:left="720"/>
    </w:pPr>
    <w:rPr>
      <w:szCs w:val="21"/>
    </w:rPr>
  </w:style>
  <w:style w:type="paragraph" w:customStyle="1" w:styleId="268">
    <w:name w:val="p0"/>
    <w:basedOn w:val="1"/>
    <w:qFormat/>
    <w:uiPriority w:val="0"/>
    <w:pPr>
      <w:widowControl/>
    </w:pPr>
    <w:rPr>
      <w:szCs w:val="21"/>
    </w:rPr>
  </w:style>
  <w:style w:type="paragraph" w:customStyle="1" w:styleId="269">
    <w:name w:val="正文 1.1"/>
    <w:basedOn w:val="1"/>
    <w:next w:val="258"/>
    <w:qFormat/>
    <w:uiPriority w:val="0"/>
    <w:pPr>
      <w:tabs>
        <w:tab w:val="left" w:pos="851"/>
      </w:tabs>
      <w:ind w:firstLine="550"/>
      <w:outlineLvl w:val="1"/>
    </w:pPr>
    <w:rPr>
      <w:rFonts w:ascii="仿宋" w:hAnsi="仿宋"/>
      <w:b/>
    </w:rPr>
  </w:style>
  <w:style w:type="paragraph" w:customStyle="1" w:styleId="270">
    <w:name w:val="普通正文"/>
    <w:basedOn w:val="1"/>
    <w:qFormat/>
    <w:uiPriority w:val="0"/>
    <w:pPr>
      <w:spacing w:before="120" w:after="120" w:line="360" w:lineRule="auto"/>
      <w:ind w:firstLine="480"/>
      <w:jc w:val="left"/>
    </w:pPr>
    <w:rPr>
      <w:rFonts w:ascii="Arial" w:hAnsi="Arial"/>
      <w:sz w:val="24"/>
      <w:szCs w:val="24"/>
    </w:rPr>
  </w:style>
  <w:style w:type="paragraph" w:customStyle="1" w:styleId="271">
    <w:name w:val="Default Paragraph Font Para Char"/>
    <w:basedOn w:val="1"/>
    <w:qFormat/>
    <w:uiPriority w:val="0"/>
    <w:pPr>
      <w:widowControl/>
      <w:spacing w:after="160" w:line="240" w:lineRule="exact"/>
      <w:jc w:val="left"/>
    </w:pPr>
    <w:rPr>
      <w:rFonts w:ascii="Verdana" w:hAnsi="Verdana"/>
      <w:sz w:val="20"/>
      <w:szCs w:val="20"/>
      <w:lang w:eastAsia="en-US"/>
    </w:rPr>
  </w:style>
  <w:style w:type="paragraph" w:customStyle="1" w:styleId="272">
    <w:name w:val="二级目录"/>
    <w:next w:val="1"/>
    <w:qFormat/>
    <w:uiPriority w:val="0"/>
    <w:pPr>
      <w:tabs>
        <w:tab w:val="left" w:pos="720"/>
      </w:tabs>
      <w:ind w:left="720" w:hanging="720"/>
      <w:outlineLvl w:val="1"/>
    </w:pPr>
    <w:rPr>
      <w:rFonts w:hint="default" w:ascii="Times New Roman" w:hAnsi="Times New Roman" w:eastAsia="宋体" w:cs="Times New Roman"/>
      <w:b/>
      <w:sz w:val="30"/>
      <w:szCs w:val="28"/>
      <w:lang w:val="en-US" w:eastAsia="zh-CN" w:bidi="ar-SA"/>
    </w:rPr>
  </w:style>
  <w:style w:type="paragraph" w:customStyle="1" w:styleId="273">
    <w:name w:val="_Style 2"/>
    <w:basedOn w:val="1"/>
    <w:qFormat/>
    <w:uiPriority w:val="0"/>
    <w:pPr>
      <w:ind w:firstLine="420"/>
    </w:pPr>
  </w:style>
  <w:style w:type="paragraph" w:customStyle="1" w:styleId="274">
    <w:name w:val="列出段落3"/>
    <w:basedOn w:val="1"/>
    <w:qFormat/>
    <w:uiPriority w:val="0"/>
    <w:pPr>
      <w:ind w:firstLine="420"/>
    </w:pPr>
    <w:rPr>
      <w:rFonts w:ascii="Cambria" w:hAnsi="Cambria"/>
      <w:sz w:val="24"/>
      <w:szCs w:val="20"/>
    </w:rPr>
  </w:style>
  <w:style w:type="paragraph" w:customStyle="1" w:styleId="275">
    <w:name w:val="段"/>
    <w:next w:val="1"/>
    <w:qFormat/>
    <w:uiPriority w:val="0"/>
    <w:pPr>
      <w:tabs>
        <w:tab w:val="center" w:pos="4201"/>
        <w:tab w:val="right" w:leader="dot" w:pos="9298"/>
      </w:tabs>
      <w:ind w:firstLine="420"/>
      <w:jc w:val="both"/>
    </w:pPr>
    <w:rPr>
      <w:rFonts w:hint="default" w:ascii="宋体" w:hAnsi="Times New Roman" w:eastAsia="宋体" w:cs="Times New Roman"/>
      <w:lang w:val="en-US" w:eastAsia="zh-CN" w:bidi="ar-SA"/>
    </w:rPr>
  </w:style>
  <w:style w:type="paragraph" w:customStyle="1" w:styleId="276">
    <w:name w:val="表格正文"/>
    <w:basedOn w:val="1"/>
    <w:qFormat/>
    <w:uiPriority w:val="0"/>
    <w:pPr>
      <w:spacing w:line="360" w:lineRule="atLeast"/>
    </w:pPr>
  </w:style>
  <w:style w:type="paragraph" w:customStyle="1" w:styleId="277">
    <w:name w:val="CD 正文"/>
    <w:basedOn w:val="1"/>
    <w:qFormat/>
    <w:uiPriority w:val="0"/>
    <w:pPr>
      <w:jc w:val="left"/>
    </w:pPr>
    <w:rPr>
      <w:rFonts w:ascii="Arial" w:hAnsi="Arial" w:eastAsia="微软雅黑" w:cs="Arial"/>
      <w:szCs w:val="21"/>
    </w:rPr>
  </w:style>
  <w:style w:type="paragraph" w:customStyle="1" w:styleId="278">
    <w:name w:val="标准正文"/>
    <w:qFormat/>
    <w:uiPriority w:val="0"/>
    <w:pPr>
      <w:spacing w:line="360" w:lineRule="auto"/>
      <w:ind w:firstLine="200"/>
    </w:pPr>
    <w:rPr>
      <w:rFonts w:hint="default" w:ascii="Times New Roman" w:hAnsi="Times New Roman" w:eastAsia="宋体" w:cs="Times New Roman"/>
      <w:sz w:val="21"/>
      <w:szCs w:val="22"/>
      <w:lang w:val="en-US" w:eastAsia="zh-CN" w:bidi="ar-SA"/>
    </w:rPr>
  </w:style>
  <w:style w:type="paragraph" w:customStyle="1" w:styleId="279">
    <w:name w:val="Char"/>
    <w:basedOn w:val="1"/>
    <w:qFormat/>
    <w:uiPriority w:val="0"/>
    <w:pPr>
      <w:tabs>
        <w:tab w:val="left" w:pos="360"/>
      </w:tabs>
      <w:ind w:firstLine="200"/>
    </w:pPr>
    <w:rPr>
      <w:sz w:val="28"/>
      <w:szCs w:val="30"/>
    </w:rPr>
  </w:style>
  <w:style w:type="paragraph" w:customStyle="1" w:styleId="280">
    <w:name w:val="表格（小四，宋体）"/>
    <w:basedOn w:val="1"/>
    <w:qFormat/>
    <w:uiPriority w:val="0"/>
    <w:pPr>
      <w:widowControl/>
      <w:contextualSpacing/>
      <w:jc w:val="left"/>
    </w:pPr>
    <w:rPr>
      <w:rFonts w:ascii="宋体" w:hAnsi="宋体"/>
      <w:sz w:val="24"/>
      <w:szCs w:val="24"/>
      <w:lang w:val="zh-CN"/>
    </w:rPr>
  </w:style>
  <w:style w:type="paragraph" w:customStyle="1" w:styleId="281">
    <w:name w:val="注解（小四，楷体）"/>
    <w:basedOn w:val="1"/>
    <w:qFormat/>
    <w:uiPriority w:val="0"/>
    <w:pPr>
      <w:widowControl/>
      <w:contextualSpacing/>
      <w:jc w:val="left"/>
    </w:pPr>
    <w:rPr>
      <w:rFonts w:ascii="楷体" w:hAnsi="楷体" w:eastAsia="楷体"/>
      <w:sz w:val="24"/>
      <w:szCs w:val="24"/>
      <w:lang w:val="zh-CN"/>
    </w:rPr>
  </w:style>
  <w:style w:type="paragraph" w:customStyle="1" w:styleId="282">
    <w:name w:val="样式 首行缩进:  2 字符"/>
    <w:basedOn w:val="1"/>
    <w:qFormat/>
    <w:uiPriority w:val="0"/>
    <w:pPr>
      <w:ind w:firstLine="560"/>
    </w:pPr>
    <w:rPr>
      <w:rFonts w:ascii="Calibri" w:hAnsi="Calibri" w:eastAsia="仿宋_GB2312" w:cs="宋体"/>
      <w:sz w:val="24"/>
      <w:szCs w:val="22"/>
    </w:rPr>
  </w:style>
  <w:style w:type="paragraph" w:customStyle="1" w:styleId="283">
    <w:name w:val="正文1"/>
    <w:basedOn w:val="1"/>
    <w:next w:val="284"/>
    <w:qFormat/>
    <w:uiPriority w:val="0"/>
    <w:pPr>
      <w:spacing w:line="360" w:lineRule="atLeast"/>
      <w:jc w:val="left"/>
    </w:pPr>
    <w:rPr>
      <w:rFonts w:ascii="宋体" w:hAnsi="Calibri" w:eastAsia="宋体" w:cs="Times New Roman"/>
      <w:sz w:val="24"/>
      <w:szCs w:val="20"/>
    </w:rPr>
  </w:style>
  <w:style w:type="paragraph" w:customStyle="1" w:styleId="284">
    <w:name w:val="正文文本1"/>
    <w:basedOn w:val="283"/>
    <w:next w:val="285"/>
    <w:qFormat/>
    <w:uiPriority w:val="0"/>
    <w:pPr>
      <w:spacing w:after="120"/>
    </w:pPr>
    <w:rPr>
      <w:lang w:eastAsia="en-US"/>
    </w:rPr>
  </w:style>
  <w:style w:type="paragraph" w:customStyle="1" w:styleId="285">
    <w:name w:val="一级条标题"/>
    <w:basedOn w:val="286"/>
    <w:next w:val="275"/>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86">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character" w:customStyle="1" w:styleId="287">
    <w:name w:val="a"/>
    <w:basedOn w:val="44"/>
    <w:qFormat/>
    <w:uiPriority w:val="0"/>
    <w:rPr>
      <w:rFonts w:hint="default" w:ascii="Calibri" w:hAnsi="Calibri" w:cs="Calibri"/>
      <w:sz w:val="20"/>
      <w:szCs w:val="20"/>
    </w:rPr>
  </w:style>
  <w:style w:type="paragraph" w:customStyle="1" w:styleId="288">
    <w:name w:val="纯文本11"/>
    <w:basedOn w:val="1"/>
    <w:qFormat/>
    <w:uiPriority w:val="99"/>
    <w:rPr>
      <w:rFonts w:ascii="宋体" w:hAnsi="Courier New"/>
      <w:sz w:val="20"/>
      <w:szCs w:val="21"/>
    </w:rPr>
  </w:style>
  <w:style w:type="paragraph" w:customStyle="1" w:styleId="289">
    <w:name w:val="msolistparagraph"/>
    <w:basedOn w:val="1"/>
    <w:qFormat/>
    <w:uiPriority w:val="0"/>
    <w:pPr>
      <w:ind w:left="720"/>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23273EDF.dotm</Template>
  <Pages>55</Pages>
  <Words>19036</Words>
  <Characters>20511</Characters>
  <TotalTime>22</TotalTime>
  <ScaleCrop>false</ScaleCrop>
  <LinksUpToDate>false</LinksUpToDate>
  <CharactersWithSpaces>22383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2020-10-14T04:11:00Z</dcterms:created>
  <dc:creator>admin</dc:creator>
  <cp:lastModifiedBy>rr</cp:lastModifiedBy>
  <dcterms:modified xsi:type="dcterms:W3CDTF">2025-09-04T12:30:36Z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6B22A6A2B27E47B3B2CDCB24BC0E005D_13</vt:lpwstr>
  </property>
  <property fmtid="{D5CDD505-2E9C-101B-9397-08002B2CF9AE}" pid="4" name="KSOTemplateDocerSaveRecord">
    <vt:lpwstr>eyJoZGlkIjoiMTY0MDU0ZTNhNjIyODJlZjM0NjA3YWYxYTMxMWQ0ZjMiLCJ1c2VySWQiOiIxOTI0NjExMTkifQ==</vt:lpwstr>
  </property>
</Properties>
</file>