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85" w:rsidRPr="002F0BF7" w:rsidRDefault="001A4325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扬州大学附属医院</w:t>
      </w:r>
      <w:r w:rsidR="001D4E38" w:rsidRPr="001D4E38">
        <w:rPr>
          <w:rFonts w:ascii="宋体" w:hAnsi="宋体" w:hint="eastAsia"/>
          <w:b/>
          <w:bCs/>
          <w:sz w:val="32"/>
          <w:szCs w:val="32"/>
        </w:rPr>
        <w:t>东西区</w:t>
      </w:r>
      <w:r>
        <w:rPr>
          <w:rFonts w:ascii="宋体" w:hAnsi="宋体" w:hint="eastAsia"/>
          <w:b/>
          <w:bCs/>
          <w:sz w:val="32"/>
          <w:szCs w:val="32"/>
        </w:rPr>
        <w:t>配</w:t>
      </w:r>
      <w:r w:rsidR="001D4E38" w:rsidRPr="001D4E38">
        <w:rPr>
          <w:rFonts w:ascii="宋体" w:hAnsi="宋体" w:hint="eastAsia"/>
          <w:b/>
          <w:bCs/>
          <w:sz w:val="32"/>
          <w:szCs w:val="32"/>
        </w:rPr>
        <w:t>电房改造项目</w:t>
      </w:r>
      <w:r w:rsidR="00AD01E6" w:rsidRPr="002F0BF7">
        <w:rPr>
          <w:rFonts w:ascii="宋体" w:hAnsi="宋体" w:hint="eastAsia"/>
          <w:b/>
          <w:bCs/>
          <w:sz w:val="32"/>
          <w:szCs w:val="32"/>
        </w:rPr>
        <w:t>需求</w:t>
      </w:r>
    </w:p>
    <w:p w:rsidR="00EC4685" w:rsidRPr="002F0BF7" w:rsidRDefault="00AD01E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2F0BF7">
        <w:rPr>
          <w:rFonts w:ascii="宋体" w:hAnsi="宋体" w:hint="eastAsia"/>
          <w:b/>
          <w:bCs/>
          <w:sz w:val="28"/>
          <w:szCs w:val="28"/>
        </w:rPr>
        <w:t>一、</w:t>
      </w:r>
      <w:r w:rsidR="006A0788" w:rsidRPr="002F0BF7">
        <w:rPr>
          <w:rFonts w:ascii="宋体" w:hAnsi="宋体" w:hint="eastAsia"/>
          <w:b/>
          <w:bCs/>
          <w:sz w:val="28"/>
          <w:szCs w:val="28"/>
        </w:rPr>
        <w:t>改造</w:t>
      </w:r>
      <w:r w:rsidRPr="002F0BF7">
        <w:rPr>
          <w:rFonts w:ascii="宋体" w:hAnsi="宋体" w:hint="eastAsia"/>
          <w:b/>
          <w:bCs/>
          <w:sz w:val="28"/>
          <w:szCs w:val="28"/>
        </w:rPr>
        <w:t>目的</w:t>
      </w:r>
    </w:p>
    <w:p w:rsidR="00EC4685" w:rsidRDefault="007809D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809D1">
        <w:rPr>
          <w:rFonts w:ascii="宋体" w:hAnsi="宋体" w:hint="eastAsia"/>
          <w:sz w:val="24"/>
          <w:szCs w:val="24"/>
        </w:rPr>
        <w:t>医院配电系统是保障医疗设备正常运行、患者生命安全及医院各项工作有序开展的核心基础设施。随着现有配电房设备使用年限</w:t>
      </w:r>
      <w:r w:rsidR="001A4325">
        <w:rPr>
          <w:rFonts w:ascii="宋体" w:hAnsi="宋体" w:hint="eastAsia"/>
          <w:sz w:val="24"/>
          <w:szCs w:val="24"/>
        </w:rPr>
        <w:t>之久</w:t>
      </w:r>
      <w:r w:rsidRPr="007809D1">
        <w:rPr>
          <w:rFonts w:ascii="宋体" w:hAnsi="宋体" w:hint="eastAsia"/>
          <w:sz w:val="24"/>
          <w:szCs w:val="24"/>
        </w:rPr>
        <w:t>，现部分设备出现老化、性能下降等问题，为确保供电稳定性、安全性及节能性，特提出本设备维修更换项目</w:t>
      </w:r>
      <w:r w:rsidR="00E137CC" w:rsidRPr="002F0BF7">
        <w:rPr>
          <w:rFonts w:ascii="宋体" w:hAnsi="宋体" w:hint="eastAsia"/>
          <w:sz w:val="24"/>
          <w:szCs w:val="24"/>
        </w:rPr>
        <w:t>。</w:t>
      </w:r>
    </w:p>
    <w:p w:rsidR="009534D2" w:rsidRPr="003A0E1A" w:rsidRDefault="009534D2" w:rsidP="009534D2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3A0E1A">
        <w:rPr>
          <w:rFonts w:ascii="宋体" w:hAnsi="宋体" w:hint="eastAsia"/>
          <w:b/>
          <w:bCs/>
          <w:sz w:val="28"/>
          <w:szCs w:val="28"/>
        </w:rPr>
        <w:t>二、</w:t>
      </w:r>
      <w:r w:rsidR="008A2A1C" w:rsidRPr="003A0E1A">
        <w:rPr>
          <w:rFonts w:ascii="宋体" w:hAnsi="宋体" w:hint="eastAsia"/>
          <w:b/>
          <w:bCs/>
          <w:sz w:val="28"/>
          <w:szCs w:val="28"/>
        </w:rPr>
        <w:t>项目概况</w:t>
      </w:r>
    </w:p>
    <w:p w:rsidR="008A2A1C" w:rsidRPr="003A0E1A" w:rsidRDefault="008A2A1C" w:rsidP="008A2A1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A0E1A">
        <w:rPr>
          <w:rFonts w:ascii="宋体" w:hAnsi="宋体" w:hint="eastAsia"/>
          <w:sz w:val="24"/>
          <w:szCs w:val="24"/>
        </w:rPr>
        <w:t>1．招标内容：框架断路器3台、变压器1250KVA2台，真空断路器2台，母线槽2组、电容柜改造等，具体内容和要求以工程量清单为准。</w:t>
      </w:r>
    </w:p>
    <w:p w:rsidR="008A2A1C" w:rsidRPr="003A0E1A" w:rsidRDefault="008A2A1C" w:rsidP="008A2A1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A0E1A">
        <w:rPr>
          <w:rFonts w:ascii="宋体" w:hAnsi="宋体" w:hint="eastAsia"/>
          <w:sz w:val="24"/>
          <w:szCs w:val="24"/>
        </w:rPr>
        <w:t>2．投标人需到招标单位电房现场考察，根据实际情况投标（包含所有设备采购、安装、电容柜改造、施工</w:t>
      </w:r>
      <w:r w:rsidR="008758A7">
        <w:rPr>
          <w:rFonts w:ascii="宋体" w:hAnsi="宋体" w:hint="eastAsia"/>
          <w:sz w:val="24"/>
          <w:szCs w:val="24"/>
        </w:rPr>
        <w:t>、调试、试验</w:t>
      </w:r>
      <w:r w:rsidRPr="003A0E1A">
        <w:rPr>
          <w:rFonts w:ascii="宋体" w:hAnsi="宋体" w:hint="eastAsia"/>
          <w:sz w:val="24"/>
          <w:szCs w:val="24"/>
        </w:rPr>
        <w:t>等），以及中标单位与供电部门协调一切事宜。</w:t>
      </w:r>
    </w:p>
    <w:p w:rsidR="002F0BF7" w:rsidRPr="003A0E1A" w:rsidRDefault="003A0E1A" w:rsidP="002F0BF7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</w:t>
      </w:r>
      <w:r w:rsidR="002F0BF7" w:rsidRPr="003A0E1A">
        <w:rPr>
          <w:rFonts w:ascii="宋体" w:hAnsi="宋体" w:hint="eastAsia"/>
          <w:b/>
          <w:bCs/>
          <w:sz w:val="28"/>
          <w:szCs w:val="28"/>
        </w:rPr>
        <w:t>、</w:t>
      </w:r>
      <w:r w:rsidR="00E25CD5" w:rsidRPr="003A0E1A">
        <w:rPr>
          <w:rFonts w:ascii="宋体" w:hAnsi="宋体" w:hint="eastAsia"/>
          <w:b/>
          <w:bCs/>
          <w:sz w:val="28"/>
          <w:szCs w:val="28"/>
        </w:rPr>
        <w:t>项目</w:t>
      </w:r>
      <w:r w:rsidR="002F0BF7" w:rsidRPr="003A0E1A">
        <w:rPr>
          <w:rFonts w:ascii="宋体" w:hAnsi="宋体" w:hint="eastAsia"/>
          <w:b/>
          <w:bCs/>
          <w:sz w:val="28"/>
          <w:szCs w:val="28"/>
        </w:rPr>
        <w:t>资格要求</w:t>
      </w:r>
    </w:p>
    <w:p w:rsidR="001A4325" w:rsidRDefault="001F3071" w:rsidP="002F0BF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A0E1A">
        <w:rPr>
          <w:rFonts w:ascii="宋体" w:hAnsi="宋体" w:hint="eastAsia"/>
          <w:sz w:val="24"/>
          <w:szCs w:val="24"/>
        </w:rPr>
        <w:t>项目名称：</w:t>
      </w:r>
      <w:r w:rsidR="001A4325" w:rsidRPr="001A4325">
        <w:rPr>
          <w:rFonts w:ascii="宋体" w:hAnsi="宋体" w:hint="eastAsia"/>
          <w:sz w:val="24"/>
          <w:szCs w:val="24"/>
        </w:rPr>
        <w:t>扬州大学附属医院东西区配电房改造项目</w:t>
      </w:r>
    </w:p>
    <w:p w:rsidR="002F0BF7" w:rsidRPr="003A0E1A" w:rsidRDefault="00037CEC" w:rsidP="002F0BF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A0E1A">
        <w:rPr>
          <w:rFonts w:ascii="宋体" w:hAnsi="宋体" w:hint="eastAsia"/>
          <w:sz w:val="24"/>
          <w:szCs w:val="24"/>
        </w:rPr>
        <w:t>1.</w:t>
      </w:r>
      <w:r w:rsidR="002F0BF7" w:rsidRPr="003A0E1A">
        <w:rPr>
          <w:rFonts w:ascii="宋体" w:hAnsi="宋体" w:hint="eastAsia"/>
          <w:sz w:val="24"/>
          <w:szCs w:val="24"/>
        </w:rPr>
        <w:t>企业资质要求：电力工程施工总承包</w:t>
      </w:r>
      <w:r w:rsidR="00CF729C">
        <w:rPr>
          <w:rFonts w:ascii="宋体" w:hAnsi="宋体" w:hint="eastAsia"/>
          <w:sz w:val="24"/>
          <w:szCs w:val="24"/>
        </w:rPr>
        <w:t>贰级</w:t>
      </w:r>
      <w:r w:rsidR="002F0BF7" w:rsidRPr="003A0E1A">
        <w:rPr>
          <w:rFonts w:ascii="宋体" w:hAnsi="宋体" w:hint="eastAsia"/>
          <w:sz w:val="24"/>
          <w:szCs w:val="24"/>
        </w:rPr>
        <w:t>及以上或输变电工程专业承包</w:t>
      </w:r>
      <w:r w:rsidR="00CF729C">
        <w:rPr>
          <w:rFonts w:ascii="宋体" w:hAnsi="宋体" w:hint="eastAsia"/>
          <w:sz w:val="24"/>
          <w:szCs w:val="24"/>
        </w:rPr>
        <w:t>贰</w:t>
      </w:r>
      <w:r w:rsidR="002F0BF7" w:rsidRPr="003A0E1A">
        <w:rPr>
          <w:rFonts w:ascii="宋体" w:hAnsi="宋体" w:hint="eastAsia"/>
          <w:sz w:val="24"/>
          <w:szCs w:val="24"/>
        </w:rPr>
        <w:t>级及以上资质，同时具有承装（修、试）电力设施许可证</w:t>
      </w:r>
      <w:r w:rsidR="00CF729C">
        <w:rPr>
          <w:rFonts w:ascii="宋体" w:hAnsi="宋体" w:hint="eastAsia"/>
          <w:sz w:val="24"/>
          <w:szCs w:val="24"/>
        </w:rPr>
        <w:t>三</w:t>
      </w:r>
      <w:r w:rsidR="002F0BF7" w:rsidRPr="003A0E1A">
        <w:rPr>
          <w:rFonts w:ascii="宋体" w:hAnsi="宋体" w:hint="eastAsia"/>
          <w:sz w:val="24"/>
          <w:szCs w:val="24"/>
        </w:rPr>
        <w:t>级及以上资质；</w:t>
      </w:r>
    </w:p>
    <w:p w:rsidR="002F0BF7" w:rsidRPr="003A0E1A" w:rsidRDefault="00037CEC" w:rsidP="002F0BF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A0E1A">
        <w:rPr>
          <w:rFonts w:ascii="宋体" w:hAnsi="宋体" w:hint="eastAsia"/>
          <w:sz w:val="24"/>
          <w:szCs w:val="24"/>
        </w:rPr>
        <w:t>2.</w:t>
      </w:r>
      <w:r w:rsidR="002F0BF7" w:rsidRPr="003A0E1A">
        <w:rPr>
          <w:rFonts w:ascii="宋体" w:hAnsi="宋体" w:hint="eastAsia"/>
          <w:sz w:val="24"/>
          <w:szCs w:val="24"/>
        </w:rPr>
        <w:t>项目负责人资质要求：机电安装工程二级及以上注册建造师资格，具备有效的安全生产考核合格证书（B证）；</w:t>
      </w:r>
    </w:p>
    <w:p w:rsidR="002F0BF7" w:rsidRPr="003A0E1A" w:rsidRDefault="003A0E1A" w:rsidP="005279DA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 w:rsidR="002F0BF7" w:rsidRPr="003A0E1A">
        <w:rPr>
          <w:rFonts w:ascii="宋体" w:hAnsi="宋体" w:hint="eastAsia"/>
          <w:b/>
          <w:bCs/>
          <w:sz w:val="28"/>
          <w:szCs w:val="28"/>
        </w:rPr>
        <w:t>、质量要求</w:t>
      </w:r>
    </w:p>
    <w:p w:rsidR="002F0BF7" w:rsidRPr="003A0E1A" w:rsidRDefault="00D45023" w:rsidP="002F0BF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质量要求：设备投用运行正常，符合相关国家及行业标准</w:t>
      </w:r>
      <w:r w:rsidR="004226CB" w:rsidRPr="003A0E1A">
        <w:rPr>
          <w:rFonts w:ascii="宋体" w:hAnsi="宋体" w:hint="eastAsia"/>
          <w:sz w:val="24"/>
          <w:szCs w:val="24"/>
        </w:rPr>
        <w:t xml:space="preserve">。 </w:t>
      </w:r>
    </w:p>
    <w:p w:rsidR="0041337D" w:rsidRPr="003A0E1A" w:rsidRDefault="003A0E1A" w:rsidP="0041337D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</w:t>
      </w:r>
      <w:r w:rsidR="0041337D" w:rsidRPr="003A0E1A">
        <w:rPr>
          <w:rFonts w:ascii="宋体" w:hAnsi="宋体" w:hint="eastAsia"/>
          <w:b/>
          <w:bCs/>
          <w:sz w:val="28"/>
          <w:szCs w:val="28"/>
        </w:rPr>
        <w:t>、质保期</w:t>
      </w:r>
    </w:p>
    <w:p w:rsidR="0041337D" w:rsidRPr="00BA7ED8" w:rsidRDefault="0041337D" w:rsidP="0041337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A0E1A">
        <w:rPr>
          <w:rFonts w:ascii="宋体" w:hAnsi="宋体" w:hint="eastAsia"/>
          <w:sz w:val="24"/>
          <w:szCs w:val="24"/>
        </w:rPr>
        <w:t>本项目免费质保期三年（自工程验收合格送电之日起计）；其中电容</w:t>
      </w:r>
      <w:r w:rsidR="001A4325">
        <w:rPr>
          <w:rFonts w:ascii="宋体" w:hAnsi="宋体" w:hint="eastAsia"/>
          <w:sz w:val="24"/>
          <w:szCs w:val="24"/>
        </w:rPr>
        <w:t>免费</w:t>
      </w:r>
      <w:r w:rsidRPr="003A0E1A">
        <w:rPr>
          <w:rFonts w:ascii="宋体" w:hAnsi="宋体" w:hint="eastAsia"/>
          <w:sz w:val="24"/>
          <w:szCs w:val="24"/>
        </w:rPr>
        <w:t>质保期为五年。</w:t>
      </w:r>
    </w:p>
    <w:p w:rsidR="00EC4685" w:rsidRPr="002F0BF7" w:rsidRDefault="003A0E1A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</w:t>
      </w:r>
      <w:r w:rsidR="00AD01E6" w:rsidRPr="002F0BF7">
        <w:rPr>
          <w:rFonts w:ascii="宋体" w:hAnsi="宋体" w:hint="eastAsia"/>
          <w:b/>
          <w:bCs/>
          <w:sz w:val="28"/>
          <w:szCs w:val="28"/>
        </w:rPr>
        <w:t>、</w:t>
      </w:r>
      <w:r w:rsidR="00612334">
        <w:rPr>
          <w:rFonts w:ascii="宋体" w:hAnsi="宋体" w:hint="eastAsia"/>
          <w:b/>
          <w:bCs/>
          <w:sz w:val="28"/>
          <w:szCs w:val="28"/>
        </w:rPr>
        <w:t>更换设备及具体需求</w:t>
      </w:r>
    </w:p>
    <w:p w:rsidR="00612334" w:rsidRPr="00612334" w:rsidRDefault="00612334" w:rsidP="00E01620">
      <w:pPr>
        <w:wordWrap w:val="0"/>
        <w:topLinePunct/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D75B6A" w:rsidRPr="00612334">
        <w:rPr>
          <w:rFonts w:ascii="宋体" w:hAnsi="宋体" w:hint="eastAsia"/>
          <w:sz w:val="24"/>
          <w:szCs w:val="24"/>
        </w:rPr>
        <w:t>变压器</w:t>
      </w:r>
      <w:r w:rsidRPr="00612334">
        <w:rPr>
          <w:rFonts w:ascii="宋体" w:hAnsi="宋体" w:hint="eastAsia"/>
          <w:sz w:val="24"/>
          <w:szCs w:val="24"/>
        </w:rPr>
        <w:t>选用型号：推荐选用SCB14型干式变压器，规格与医院现有变压器容量一样（2台1250kVA）。该型号采用环氧树脂浇注，具有防火、防潮、维护方便、体积小等特点，特别适合医院等对安全性要求高的场所。</w:t>
      </w:r>
    </w:p>
    <w:p w:rsidR="00EC4685" w:rsidRDefault="00612334" w:rsidP="00612334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612334">
        <w:rPr>
          <w:rFonts w:ascii="宋体" w:hAnsi="宋体" w:hint="eastAsia"/>
          <w:sz w:val="24"/>
          <w:szCs w:val="24"/>
        </w:rPr>
        <w:lastRenderedPageBreak/>
        <w:t>节能效比：该型号干式变压器符合国家及当地供电部门能效标准，空载损耗较旧型号降低约20%，负载损耗降低约15%，能有效减少电能浪费。</w:t>
      </w:r>
    </w:p>
    <w:p w:rsidR="00E62A44" w:rsidRPr="00E62A44" w:rsidRDefault="00E62A44" w:rsidP="00E62A44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Pr="00E62A44">
        <w:rPr>
          <w:rFonts w:ascii="宋体" w:hAnsi="宋体" w:hint="eastAsia"/>
          <w:sz w:val="24"/>
          <w:szCs w:val="24"/>
        </w:rPr>
        <w:t>电容采用分体式无功补偿装置，补偿容量根据医院无功负荷计算确定，具备自动投切、过压保护、谐波抑制等功能。</w:t>
      </w:r>
    </w:p>
    <w:p w:rsidR="00E62A44" w:rsidRDefault="00E62A44" w:rsidP="00E62A44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E62A44">
        <w:rPr>
          <w:rFonts w:ascii="宋体" w:hAnsi="宋体" w:hint="eastAsia"/>
          <w:sz w:val="24"/>
          <w:szCs w:val="24"/>
        </w:rPr>
        <w:t>节能效比：可将功率因数提升至0.95以上，根据医院用电负荷，年节约电费约3%-5%，同时减少线路损耗，提高供电质量。</w:t>
      </w:r>
    </w:p>
    <w:p w:rsidR="00E62A44" w:rsidRPr="00E62A44" w:rsidRDefault="00E62A44" w:rsidP="00E62A44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Pr="00E62A44">
        <w:rPr>
          <w:rFonts w:ascii="宋体" w:hAnsi="宋体" w:hint="eastAsia"/>
          <w:sz w:val="24"/>
          <w:szCs w:val="24"/>
        </w:rPr>
        <w:t>选用密集型绝缘母线槽（如CMC型），导体材质为铜质，额定电流与现有配电系统设计一致（2500A），防护等级IP54，具备良好的散热性和机械强度。</w:t>
      </w:r>
    </w:p>
    <w:p w:rsidR="00E62A44" w:rsidRDefault="00E62A44" w:rsidP="00E62A44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E62A44">
        <w:rPr>
          <w:rFonts w:ascii="宋体" w:hAnsi="宋体" w:hint="eastAsia"/>
          <w:sz w:val="24"/>
          <w:szCs w:val="24"/>
        </w:rPr>
        <w:t>节能效比：采用高导电率铜材及优化的结构设计，电阻损耗小，与旧型号相比，输电效率提升5%-8%。</w:t>
      </w:r>
    </w:p>
    <w:p w:rsidR="00802541" w:rsidRPr="00802541" w:rsidRDefault="00802541" w:rsidP="00D75B6A">
      <w:pPr>
        <w:wordWrap w:val="0"/>
        <w:topLinePunct/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D75B6A" w:rsidRPr="00D75B6A">
        <w:rPr>
          <w:rFonts w:ascii="宋体" w:hAnsi="宋体" w:hint="eastAsia"/>
          <w:sz w:val="24"/>
          <w:szCs w:val="24"/>
        </w:rPr>
        <w:t>低压柜进线开关</w:t>
      </w:r>
      <w:r w:rsidR="00D75B6A">
        <w:rPr>
          <w:rFonts w:ascii="宋体" w:hAnsi="宋体" w:hint="eastAsia"/>
          <w:sz w:val="24"/>
          <w:szCs w:val="24"/>
        </w:rPr>
        <w:t>：</w:t>
      </w:r>
      <w:r w:rsidRPr="00802541">
        <w:rPr>
          <w:rFonts w:ascii="宋体" w:hAnsi="宋体" w:hint="eastAsia"/>
          <w:sz w:val="24"/>
          <w:szCs w:val="24"/>
        </w:rPr>
        <w:t>选用框架式断路器MasterpactMT25H1  MasterpactMT20H1，额定电流2500A与2000A，分断能力≥50kA，具备智能脱扣器，可实现远程监控与保护。</w:t>
      </w:r>
    </w:p>
    <w:p w:rsidR="00802541" w:rsidRDefault="00802541" w:rsidP="00802541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802541">
        <w:rPr>
          <w:rFonts w:ascii="宋体" w:hAnsi="宋体" w:hint="eastAsia"/>
          <w:sz w:val="24"/>
          <w:szCs w:val="24"/>
        </w:rPr>
        <w:t>节能效比：采用低功耗线圈设计，自身功耗较旧型号降低约30%，同时精准的保护功能可减少因故障导致的停电损失。</w:t>
      </w:r>
    </w:p>
    <w:p w:rsidR="00D75B6A" w:rsidRPr="002F0BF7" w:rsidRDefault="00D75B6A" w:rsidP="00802541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5.高压真空断路器</w:t>
      </w:r>
      <w:r w:rsidRPr="00D75B6A">
        <w:rPr>
          <w:rFonts w:ascii="宋体" w:hAnsi="宋体" w:hint="eastAsia"/>
          <w:sz w:val="24"/>
          <w:szCs w:val="24"/>
        </w:rPr>
        <w:t>选用型号：原型号是西门子3AH2，建议更换断路器时保留原接线，让更换后的断路器具备与现运行的断路器可相互互换。</w:t>
      </w:r>
    </w:p>
    <w:p w:rsidR="00646DED" w:rsidRPr="00646DED" w:rsidRDefault="003A0E1A" w:rsidP="00646DED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</w:t>
      </w:r>
      <w:r w:rsidR="00AD01E6" w:rsidRPr="002F0BF7">
        <w:rPr>
          <w:rFonts w:ascii="宋体" w:hAnsi="宋体" w:hint="eastAsia"/>
          <w:b/>
          <w:bCs/>
          <w:sz w:val="28"/>
          <w:szCs w:val="28"/>
        </w:rPr>
        <w:t>、</w:t>
      </w:r>
      <w:bookmarkStart w:id="0" w:name="_Hlk208998929"/>
      <w:r w:rsidR="00AD01E6" w:rsidRPr="002F0BF7">
        <w:rPr>
          <w:rFonts w:ascii="宋体" w:hAnsi="宋体" w:hint="eastAsia"/>
          <w:b/>
          <w:bCs/>
          <w:sz w:val="28"/>
          <w:szCs w:val="28"/>
        </w:rPr>
        <w:t>设备具体技术要求</w:t>
      </w:r>
      <w:bookmarkEnd w:id="0"/>
    </w:p>
    <w:tbl>
      <w:tblPr>
        <w:tblW w:w="6155" w:type="pct"/>
        <w:tblInd w:w="-885" w:type="dxa"/>
        <w:tblLayout w:type="fixed"/>
        <w:tblLook w:val="04A0"/>
      </w:tblPr>
      <w:tblGrid>
        <w:gridCol w:w="535"/>
        <w:gridCol w:w="1009"/>
        <w:gridCol w:w="1150"/>
        <w:gridCol w:w="2551"/>
        <w:gridCol w:w="709"/>
        <w:gridCol w:w="850"/>
        <w:gridCol w:w="2411"/>
        <w:gridCol w:w="1276"/>
      </w:tblGrid>
      <w:tr w:rsidR="00646DED" w:rsidRPr="00646DED" w:rsidTr="00646DED">
        <w:trPr>
          <w:trHeight w:val="3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工程量清单</w:t>
            </w:r>
          </w:p>
        </w:tc>
      </w:tr>
      <w:tr w:rsidR="00646DED" w:rsidRPr="00646DED" w:rsidTr="00CF729C">
        <w:trPr>
          <w:trHeight w:val="1179"/>
        </w:trPr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型号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规格参数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现场图片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CF729C" w:rsidRPr="00646DED" w:rsidTr="00CF729C">
        <w:trPr>
          <w:trHeight w:val="260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 w:rsidRPr="00646DED">
              <w:rPr>
                <w:rFonts w:ascii="宋体" w:hAnsi="宋体" w:cs="宋体" w:hint="eastAsia"/>
                <w:color w:val="0000FF"/>
                <w:kern w:val="0"/>
                <w:sz w:val="22"/>
                <w:u w:val="single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变压器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SCB14-1250 10/0.4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B8298C">
            <w:pPr>
              <w:widowControl/>
              <w:wordWrap w:val="0"/>
              <w:topLinePunct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干式变压器，连接组别：DYn11，阻抗=6%，全套温控器风机，铝合金IP20外壳，尺寸与现场一致，符合国家及当地供电部门</w:t>
            </w:r>
            <w:r w:rsidR="00B500AB">
              <w:rPr>
                <w:rFonts w:ascii="宋体" w:hAnsi="宋体" w:cs="宋体" w:hint="eastAsia"/>
                <w:kern w:val="0"/>
                <w:sz w:val="22"/>
              </w:rPr>
              <w:t>要求，</w:t>
            </w:r>
            <w:r w:rsidR="001A4325">
              <w:rPr>
                <w:rFonts w:ascii="宋体" w:hAnsi="宋体" w:cs="宋体" w:hint="eastAsia"/>
                <w:kern w:val="0"/>
                <w:sz w:val="22"/>
              </w:rPr>
              <w:t>一</w:t>
            </w:r>
            <w:r w:rsidR="00B500AB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646DED">
              <w:rPr>
                <w:rFonts w:ascii="宋体" w:hAnsi="宋体" w:cs="宋体" w:hint="eastAsia"/>
                <w:kern w:val="0"/>
                <w:sz w:val="22"/>
              </w:rPr>
              <w:t>能效标准。提供节能认证证书（符合GB 20052-2024标准)。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1A43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品牌：顺特、南京大全、常州华迪</w:t>
            </w:r>
            <w:r w:rsidR="00BC2C39">
              <w:rPr>
                <w:rFonts w:ascii="宋体" w:hAnsi="宋体" w:cs="宋体" w:hint="eastAsia"/>
                <w:kern w:val="0"/>
                <w:sz w:val="22"/>
              </w:rPr>
              <w:t>、许继。</w:t>
            </w:r>
          </w:p>
        </w:tc>
      </w:tr>
      <w:tr w:rsidR="00646DED" w:rsidRPr="00646DED" w:rsidTr="00CF729C">
        <w:trPr>
          <w:trHeight w:val="26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 w:rsidRPr="00646DED">
              <w:rPr>
                <w:rFonts w:ascii="宋体" w:hAnsi="宋体" w:cs="宋体" w:hint="eastAsia"/>
                <w:color w:val="0000FF"/>
                <w:kern w:val="0"/>
                <w:sz w:val="22"/>
                <w:u w:val="single"/>
              </w:rPr>
              <w:lastRenderedPageBreak/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框架断路器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MT25H1 2500A 2.0A抽屉式/3P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6DED" w:rsidRPr="00646DED" w:rsidRDefault="00646DED" w:rsidP="00B8298C">
            <w:pPr>
              <w:widowControl/>
              <w:wordWrap w:val="0"/>
              <w:topLinePunct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分断能力65KA,电流2500A,控制器MIC2.0,基本保护型，标配，3P，尺寸与现场一致。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noProof/>
                <w:kern w:val="0"/>
                <w:sz w:val="22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-62865</wp:posOffset>
                  </wp:positionV>
                  <wp:extent cx="1463040" cy="1170940"/>
                  <wp:effectExtent l="0" t="0" r="0" b="0"/>
                  <wp:wrapNone/>
                  <wp:docPr id="3" name="图片 3" descr="16b3a799e5fcde8bf1c7a54e1cb9d6b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6b3a799e5fcde8bf1c7a54e1cb9d6b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17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品牌：施耐德</w:t>
            </w:r>
          </w:p>
        </w:tc>
      </w:tr>
      <w:tr w:rsidR="00CF729C" w:rsidRPr="00646DED" w:rsidTr="00CF729C">
        <w:trPr>
          <w:trHeight w:val="26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 w:rsidRPr="00646DED">
              <w:rPr>
                <w:rFonts w:ascii="宋体" w:hAnsi="宋体" w:cs="宋体" w:hint="eastAsia"/>
                <w:color w:val="0000FF"/>
                <w:kern w:val="0"/>
                <w:sz w:val="22"/>
                <w:u w:val="single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框架断路器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DED" w:rsidRPr="00646DED" w:rsidRDefault="00646DED" w:rsidP="00C06473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MT25H1 2000A 2.0A抽屉式/3P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分断能力65KA,电流2000A,控制器MIC2.0,基本保护型，标配，3P，尺寸与现场一致。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60"/>
            </w:tblGrid>
            <w:tr w:rsidR="00646DED" w:rsidRPr="00646DED" w:rsidTr="00646DED">
              <w:trPr>
                <w:trHeight w:val="2601"/>
                <w:tblCellSpacing w:w="0" w:type="dxa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6DED" w:rsidRPr="00646DED" w:rsidRDefault="00646DED" w:rsidP="00646DE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646DED">
                    <w:rPr>
                      <w:rFonts w:ascii="宋体" w:hAnsi="宋体" w:cs="宋体" w:hint="eastAsia"/>
                      <w:noProof/>
                      <w:color w:val="000000"/>
                      <w:kern w:val="0"/>
                      <w:sz w:val="22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-13335</wp:posOffset>
                        </wp:positionH>
                        <wp:positionV relativeFrom="paragraph">
                          <wp:posOffset>-385445</wp:posOffset>
                        </wp:positionV>
                        <wp:extent cx="1394460" cy="1079500"/>
                        <wp:effectExtent l="0" t="0" r="0" b="0"/>
                        <wp:wrapNone/>
                        <wp:docPr id="2" name="图片 2" descr="f41f7b5e153131e4f077a4260f87010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5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4" descr="f41f7b5e153131e4f077a4260f870109">
                                  <a:extLst>
                                    <a:ext uri="{FF2B5EF4-FFF2-40B4-BE49-F238E27FC236}">
      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5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4460" cy="1079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46DED"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品牌：施耐德</w:t>
            </w:r>
          </w:p>
        </w:tc>
      </w:tr>
      <w:tr w:rsidR="00CF729C" w:rsidRPr="00646DED" w:rsidTr="00CF729C">
        <w:trPr>
          <w:trHeight w:val="26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 w:rsidRPr="00646DED">
              <w:rPr>
                <w:rFonts w:ascii="宋体" w:hAnsi="宋体" w:cs="宋体" w:hint="eastAsia"/>
                <w:color w:val="0000FF"/>
                <w:kern w:val="0"/>
                <w:sz w:val="22"/>
                <w:u w:val="single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真空断路器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C06473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10KV/630-25KA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60"/>
            </w:tblGrid>
            <w:tr w:rsidR="00646DED" w:rsidRPr="00646DED" w:rsidTr="00646DED">
              <w:trPr>
                <w:trHeight w:val="2601"/>
                <w:tblCellSpacing w:w="0" w:type="dxa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6DED" w:rsidRPr="00646DED" w:rsidRDefault="00646DED" w:rsidP="00646DE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646DED">
                    <w:rPr>
                      <w:rFonts w:ascii="宋体" w:hAnsi="宋体" w:cs="宋体" w:hint="eastAsia"/>
                      <w:noProof/>
                      <w:color w:val="000000"/>
                      <w:kern w:val="0"/>
                      <w:sz w:val="22"/>
                    </w:rPr>
                    <w:drawing>
                      <wp:anchor distT="0" distB="0" distL="114300" distR="114300" simplePos="0" relativeHeight="251702272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-184785</wp:posOffset>
                        </wp:positionV>
                        <wp:extent cx="1371600" cy="1353820"/>
                        <wp:effectExtent l="0" t="0" r="0" b="0"/>
                        <wp:wrapNone/>
                        <wp:docPr id="1" name="图片 1" descr="007db6edec2df06d9927dc7624ff2fc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6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007db6edec2df06d9927dc7624ff2fc4">
                                  <a:extLst>
                                    <a:ext uri="{FF2B5EF4-FFF2-40B4-BE49-F238E27FC236}">
      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6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35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46DED"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品牌：西门子</w:t>
            </w:r>
          </w:p>
        </w:tc>
      </w:tr>
      <w:tr w:rsidR="00CF729C" w:rsidRPr="00646DED" w:rsidTr="00CF729C">
        <w:trPr>
          <w:trHeight w:val="110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 w:rsidRPr="00646DED">
              <w:rPr>
                <w:rFonts w:ascii="宋体" w:hAnsi="宋体" w:cs="宋体" w:hint="eastAsia"/>
                <w:color w:val="0000FF"/>
                <w:kern w:val="0"/>
                <w:sz w:val="22"/>
                <w:u w:val="single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母线槽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2500A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实际数量以现场测量为准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组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46DED" w:rsidRPr="00646DED" w:rsidTr="00CF729C">
        <w:trPr>
          <w:trHeight w:val="441"/>
        </w:trPr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 w:rsidRPr="00646DED">
              <w:rPr>
                <w:rFonts w:ascii="宋体" w:hAnsi="宋体" w:cs="宋体" w:hint="eastAsia"/>
                <w:color w:val="0000FF"/>
                <w:kern w:val="0"/>
                <w:sz w:val="22"/>
                <w:u w:val="single"/>
              </w:rPr>
              <w:t>6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电容柜改造东区</w:t>
            </w:r>
            <w:r w:rsidRPr="00646DED">
              <w:rPr>
                <w:rFonts w:ascii="宋体" w:hAnsi="宋体" w:cs="宋体" w:hint="eastAsia"/>
                <w:kern w:val="0"/>
                <w:sz w:val="22"/>
              </w:rPr>
              <w:t>（整柜更换方案）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LRAC480-360/9-7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共补300+分补60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共补：30KVAR LCP480-30 + LDR-S-480-30-7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壳体尺寸：宽1000*深1000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电容品牌系列：           </w:t>
            </w:r>
            <w:r w:rsidRPr="00646DE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①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、莱提：电容器LCP，电抗器LDR，控制器LPF                             </w:t>
            </w:r>
            <w:r w:rsidRPr="00646DE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②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、安弗仕:电容器AFSCu480-3-30，电抗器AFSRu480-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30/7，控制器AFSCN-24A                    </w:t>
            </w:r>
            <w:r w:rsidRPr="00646DE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③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、南通现代：电容器TDS-BSMJ,电抗器TDS-CKSG,控制器TDS-1631                  电容投切开关品牌：施耐德    </w:t>
            </w: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分补：60KVAR 3*LCP280-20 + LDR-S-280-60-7F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LRAC480-210/4-7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共补：30KVAR LCP480-30 + LDR-S-480-30-7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控制器：LPF230-12-JF 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LRAC480-210/4-7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共补：30KVAR LCP480-30 + LDR-S-480-30-7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LRAC480-210/4-7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共补：30KVAR LCP480-30 + LDR-S-480-30-7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065D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LRAC480-210/4-7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共补：30KVAR LCP480-30 + LDR-S-480-30-7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46DED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电容柜改造西区（整柜更换方案）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LRAC480-480/18-7</w:t>
            </w:r>
            <w:r w:rsidRPr="00646DED">
              <w:rPr>
                <w:rFonts w:ascii="宋体" w:hAnsi="宋体" w:cs="宋体" w:hint="eastAsia"/>
                <w:kern w:val="0"/>
                <w:sz w:val="22"/>
              </w:rPr>
              <w:br/>
              <w:t>主辅柜2*（共补140+分补100）</w:t>
            </w:r>
            <w:r w:rsidRPr="00646DED">
              <w:rPr>
                <w:rFonts w:ascii="宋体" w:hAnsi="宋体" w:cs="宋体" w:hint="eastAsia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共补：20KVAR LCP480-20 + LDR-S-480-20-7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分补：50KVAR 3*LCP280-16.7 + LDR-S-280-50-7F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LRAC480-480/18-7</w:t>
            </w:r>
            <w:r w:rsidRPr="00646DED">
              <w:rPr>
                <w:rFonts w:ascii="宋体" w:hAnsi="宋体" w:cs="宋体" w:hint="eastAsia"/>
                <w:kern w:val="0"/>
                <w:sz w:val="22"/>
              </w:rPr>
              <w:br/>
              <w:t>主辅柜2*（共补140+分补100）</w:t>
            </w:r>
            <w:r w:rsidRPr="00646DED">
              <w:rPr>
                <w:rFonts w:ascii="宋体" w:hAnsi="宋体" w:cs="宋体" w:hint="eastAsia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共补：20KVAR LCP480-20 + LDR-S-480-20-7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分补：50KVAR 3*LCP280-16.7 + LDR-S-280-50-7F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LRAC480-360/9-7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共补300+分补60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（补偿元件含软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共补：30KVAR LCP480-30 + LDR-S-480-30-7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分补：60KVAR 3*LCP280-20 + LDR-S-280-60-7F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9F03C8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LRAC480-360/9-7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共补300+分补60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（补偿元件含软件）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共补：30KVAR LCP480-30 + LDR-S-480-30-7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壳体尺寸：宽800*深1000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共补：60KVAR 2*LCP480-30 + LDR-S-480-60-7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分补：60KVAR 3*LCP280-20 + LDR-S-280-60-7F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F729C" w:rsidRPr="00646DED" w:rsidTr="00CF729C">
        <w:trPr>
          <w:trHeight w:val="441"/>
        </w:trPr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控制器：LPF230-12-JF 控制器及软件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46DED" w:rsidRPr="00646DED" w:rsidTr="00CF729C">
        <w:trPr>
          <w:trHeight w:val="12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6DE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施工改造费用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6DE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78215D">
            <w:pPr>
              <w:widowControl/>
              <w:wordWrap w:val="0"/>
              <w:topLinePunct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工作内容：涉及2台变压器、2台框架断路器、1台真空断路器，2组母线槽、东区西区7组电容柜的改造，拆除旧的设备，安装全新设备，重制一次电缆，二次电线，安装完毕现场调试</w:t>
            </w:r>
            <w:r w:rsidR="00E01620">
              <w:rPr>
                <w:rFonts w:ascii="宋体" w:hAnsi="宋体" w:cs="宋体" w:hint="eastAsia"/>
                <w:color w:val="000000"/>
                <w:kern w:val="0"/>
                <w:sz w:val="22"/>
              </w:rPr>
              <w:t>、试验</w:t>
            </w: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等费用。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ordWrap w:val="0"/>
              <w:topLinePunct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6DE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46DED" w:rsidRPr="00646DED" w:rsidTr="00646DE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6DE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ED" w:rsidRPr="00646DED" w:rsidRDefault="00646DED" w:rsidP="00646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2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ED" w:rsidRPr="00646DED" w:rsidRDefault="00646DED" w:rsidP="00646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6DE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电容柜改造先按全部更换方案投标报价，最终按实际更换数量结算，（现场部分电容可以利旧）</w:t>
            </w:r>
          </w:p>
        </w:tc>
      </w:tr>
    </w:tbl>
    <w:p w:rsidR="00FF130C" w:rsidRPr="00646DED" w:rsidRDefault="00FF130C" w:rsidP="001D4E38">
      <w:pPr>
        <w:spacing w:line="360" w:lineRule="auto"/>
        <w:rPr>
          <w:rFonts w:ascii="宋体" w:hAnsi="宋体"/>
          <w:sz w:val="24"/>
          <w:szCs w:val="24"/>
        </w:rPr>
      </w:pPr>
    </w:p>
    <w:p w:rsidR="00EC4685" w:rsidRPr="001D4E38" w:rsidRDefault="006A0788" w:rsidP="001D4E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F0BF7">
        <w:rPr>
          <w:rFonts w:ascii="宋体" w:hAnsi="宋体" w:hint="eastAsia"/>
          <w:sz w:val="24"/>
          <w:szCs w:val="24"/>
        </w:rPr>
        <w:t>以上清单仅供参考，建议现场查看，自行补充需要补充的工作量，并包含在报价内，验收结算时不增加任何费用。</w:t>
      </w:r>
    </w:p>
    <w:sectPr w:rsidR="00EC4685" w:rsidRPr="001D4E38" w:rsidSect="00EC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068" w:rsidRDefault="00D25068" w:rsidP="00E137CC">
      <w:r>
        <w:separator/>
      </w:r>
    </w:p>
  </w:endnote>
  <w:endnote w:type="continuationSeparator" w:id="1">
    <w:p w:rsidR="00D25068" w:rsidRDefault="00D25068" w:rsidP="00E1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068" w:rsidRDefault="00D25068" w:rsidP="00E137CC">
      <w:r>
        <w:separator/>
      </w:r>
    </w:p>
  </w:footnote>
  <w:footnote w:type="continuationSeparator" w:id="1">
    <w:p w:rsidR="00D25068" w:rsidRDefault="00D25068" w:rsidP="00E13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43EDF"/>
    <w:rsid w:val="000101F4"/>
    <w:rsid w:val="00037CEC"/>
    <w:rsid w:val="00051D5A"/>
    <w:rsid w:val="00052CCE"/>
    <w:rsid w:val="000B3AFD"/>
    <w:rsid w:val="00120BD0"/>
    <w:rsid w:val="0012551B"/>
    <w:rsid w:val="00161996"/>
    <w:rsid w:val="00174389"/>
    <w:rsid w:val="00175402"/>
    <w:rsid w:val="00177079"/>
    <w:rsid w:val="00183528"/>
    <w:rsid w:val="001A4325"/>
    <w:rsid w:val="001B6047"/>
    <w:rsid w:val="001C5F28"/>
    <w:rsid w:val="001D4E38"/>
    <w:rsid w:val="001F3071"/>
    <w:rsid w:val="0021072A"/>
    <w:rsid w:val="00217669"/>
    <w:rsid w:val="00222F6E"/>
    <w:rsid w:val="0028299A"/>
    <w:rsid w:val="002851EC"/>
    <w:rsid w:val="002F0BF7"/>
    <w:rsid w:val="00305A41"/>
    <w:rsid w:val="00333F4C"/>
    <w:rsid w:val="00360B84"/>
    <w:rsid w:val="00394623"/>
    <w:rsid w:val="003A0E1A"/>
    <w:rsid w:val="003C231E"/>
    <w:rsid w:val="003E2F83"/>
    <w:rsid w:val="0041337D"/>
    <w:rsid w:val="004166A7"/>
    <w:rsid w:val="004226CB"/>
    <w:rsid w:val="00445445"/>
    <w:rsid w:val="00445C55"/>
    <w:rsid w:val="00483370"/>
    <w:rsid w:val="0048734C"/>
    <w:rsid w:val="004E6071"/>
    <w:rsid w:val="005279DA"/>
    <w:rsid w:val="00534C8D"/>
    <w:rsid w:val="005647D8"/>
    <w:rsid w:val="00572CE5"/>
    <w:rsid w:val="005B7657"/>
    <w:rsid w:val="005C6A5F"/>
    <w:rsid w:val="00601290"/>
    <w:rsid w:val="00612334"/>
    <w:rsid w:val="00635FF4"/>
    <w:rsid w:val="00646DED"/>
    <w:rsid w:val="006668FF"/>
    <w:rsid w:val="00696330"/>
    <w:rsid w:val="006A0788"/>
    <w:rsid w:val="006D75E6"/>
    <w:rsid w:val="007065DD"/>
    <w:rsid w:val="007716F8"/>
    <w:rsid w:val="00773CAB"/>
    <w:rsid w:val="007809D1"/>
    <w:rsid w:val="0078215D"/>
    <w:rsid w:val="007A3612"/>
    <w:rsid w:val="007B0E07"/>
    <w:rsid w:val="00802541"/>
    <w:rsid w:val="008041A8"/>
    <w:rsid w:val="00820AA1"/>
    <w:rsid w:val="00851199"/>
    <w:rsid w:val="0085323B"/>
    <w:rsid w:val="008758A7"/>
    <w:rsid w:val="008A2A1C"/>
    <w:rsid w:val="008C2A42"/>
    <w:rsid w:val="008E7E52"/>
    <w:rsid w:val="00910252"/>
    <w:rsid w:val="009534D2"/>
    <w:rsid w:val="009633DC"/>
    <w:rsid w:val="0096641D"/>
    <w:rsid w:val="009952B0"/>
    <w:rsid w:val="009F03C8"/>
    <w:rsid w:val="009F5ADA"/>
    <w:rsid w:val="00A032AA"/>
    <w:rsid w:val="00A336CC"/>
    <w:rsid w:val="00A3777C"/>
    <w:rsid w:val="00A41809"/>
    <w:rsid w:val="00A6471B"/>
    <w:rsid w:val="00A67C92"/>
    <w:rsid w:val="00A87C49"/>
    <w:rsid w:val="00AD01E6"/>
    <w:rsid w:val="00AD7F25"/>
    <w:rsid w:val="00B1596C"/>
    <w:rsid w:val="00B16221"/>
    <w:rsid w:val="00B2479E"/>
    <w:rsid w:val="00B41459"/>
    <w:rsid w:val="00B500AB"/>
    <w:rsid w:val="00B8298C"/>
    <w:rsid w:val="00B96C98"/>
    <w:rsid w:val="00BA7ED8"/>
    <w:rsid w:val="00BC2C39"/>
    <w:rsid w:val="00C06473"/>
    <w:rsid w:val="00C125C1"/>
    <w:rsid w:val="00C30702"/>
    <w:rsid w:val="00CA0F16"/>
    <w:rsid w:val="00CA1CFC"/>
    <w:rsid w:val="00CB74F2"/>
    <w:rsid w:val="00CE02E7"/>
    <w:rsid w:val="00CF729C"/>
    <w:rsid w:val="00D25068"/>
    <w:rsid w:val="00D41D06"/>
    <w:rsid w:val="00D45023"/>
    <w:rsid w:val="00D74276"/>
    <w:rsid w:val="00D75B6A"/>
    <w:rsid w:val="00DB0EB0"/>
    <w:rsid w:val="00DB4EE3"/>
    <w:rsid w:val="00DC658E"/>
    <w:rsid w:val="00DF5E71"/>
    <w:rsid w:val="00DF61B4"/>
    <w:rsid w:val="00E01620"/>
    <w:rsid w:val="00E137CC"/>
    <w:rsid w:val="00E20E02"/>
    <w:rsid w:val="00E25CD5"/>
    <w:rsid w:val="00E315AF"/>
    <w:rsid w:val="00E43EDF"/>
    <w:rsid w:val="00E527D5"/>
    <w:rsid w:val="00E62A44"/>
    <w:rsid w:val="00E62D68"/>
    <w:rsid w:val="00EC4685"/>
    <w:rsid w:val="00F41AFB"/>
    <w:rsid w:val="00F60230"/>
    <w:rsid w:val="00F818AC"/>
    <w:rsid w:val="00F97D80"/>
    <w:rsid w:val="00FB73FF"/>
    <w:rsid w:val="00FF130C"/>
    <w:rsid w:val="1A847AF1"/>
    <w:rsid w:val="37CD4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4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6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6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6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6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6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6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C4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46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EC4685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EC46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EC46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EC4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EC4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C468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EC468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EC468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C468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EC468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C4685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sid w:val="00EC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sid w:val="00EC4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rsid w:val="00EC4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rsid w:val="00EC4685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EC4685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EC46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rsid w:val="00EC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rsid w:val="00EC4685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EC4685"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sid w:val="00EC46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4685"/>
    <w:rPr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rsid w:val="005C6A5F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5C6A5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2A695C9-B221-49E6-A68C-88578BF8F888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DA8D2C49-0E6B-4B54-922C-1D5371429F5B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587</Words>
  <Characters>3350</Characters>
  <Application>Microsoft Office Word</Application>
  <DocSecurity>0</DocSecurity>
  <Lines>27</Lines>
  <Paragraphs>7</Paragraphs>
  <ScaleCrop>false</ScaleCrop>
  <Company>HP Inc.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齐耳 柳</dc:creator>
  <cp:lastModifiedBy>ADMIN</cp:lastModifiedBy>
  <cp:revision>100</cp:revision>
  <cp:lastPrinted>2025-09-30T04:17:00Z</cp:lastPrinted>
  <dcterms:created xsi:type="dcterms:W3CDTF">2025-09-17T01:21:00Z</dcterms:created>
  <dcterms:modified xsi:type="dcterms:W3CDTF">2025-10-17T08:50:00Z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eyJoZGlkIjoiYzdiYThlYjI5MjY3OGQwZmZjMWEwZmI2ZWFjNDhiMDMiLCJ1c2VySWQiOiIyMDYwOTAzMzcifQ==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B9DB686A218C4B30894666D2399A198F_13</vt:lpwstr>
  </property>
</Properties>
</file>