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6F82" w14:textId="77777777" w:rsidR="00EA56A7" w:rsidRDefault="00000000">
      <w:pPr>
        <w:pStyle w:val="a9"/>
      </w:pPr>
      <w:r>
        <w:rPr>
          <w:rFonts w:hint="eastAsia"/>
        </w:rPr>
        <w:t>东区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t>空调</w:t>
      </w:r>
      <w:r>
        <w:rPr>
          <w:rFonts w:hint="eastAsia"/>
        </w:rPr>
        <w:t>采暖</w:t>
      </w:r>
      <w:r>
        <w:t>系统水泵控制柜更换项目</w:t>
      </w:r>
      <w:r>
        <w:rPr>
          <w:rFonts w:hint="eastAsia"/>
        </w:rPr>
        <w:t>方案</w:t>
      </w:r>
    </w:p>
    <w:p w14:paraId="5DD9B421" w14:textId="77777777" w:rsidR="00EA56A7" w:rsidRDefault="00000000">
      <w:pPr>
        <w:pStyle w:val="a3"/>
        <w:widowControl/>
        <w:ind w:firstLine="480"/>
      </w:pPr>
      <w:r>
        <w:rPr>
          <w:rFonts w:hint="eastAsia"/>
        </w:rPr>
        <w:t>本更换项目</w:t>
      </w:r>
      <w:r>
        <w:t>现场</w:t>
      </w:r>
      <w:r>
        <w:t xml:space="preserve"> 3 </w:t>
      </w:r>
      <w:r>
        <w:t>台空调系统循环水泵</w:t>
      </w:r>
      <w:proofErr w:type="gramStart"/>
      <w:r>
        <w:t>原配套</w:t>
      </w:r>
      <w:proofErr w:type="gramEnd"/>
      <w:r>
        <w:t>控制柜为</w:t>
      </w:r>
      <w:r>
        <w:t xml:space="preserve"> 2006 </w:t>
      </w:r>
      <w:r>
        <w:t>年生产，采用自耦变压器降压启动方式实现工频按钮启动，因使用年限久远及故障损坏，已无法正常运行。为保障冬季采暖及全年空调水循环稳定，需更换为符合最新技术标准的控制柜。</w:t>
      </w:r>
    </w:p>
    <w:p w14:paraId="03E03108" w14:textId="77777777" w:rsidR="00EA56A7" w:rsidRDefault="00000000">
      <w:pPr>
        <w:pStyle w:val="a3"/>
        <w:widowControl/>
        <w:ind w:firstLine="480"/>
      </w:pPr>
      <w:r>
        <w:rPr>
          <w:rFonts w:hint="eastAsia"/>
        </w:rPr>
        <w:t>以下清单更换项目仅供参考，实际更换项目以现场勘察为准，自行拟定更换清单，现场勘察联系人：罗垠</w:t>
      </w:r>
      <w:proofErr w:type="gramStart"/>
      <w:r>
        <w:rPr>
          <w:rFonts w:hint="eastAsia"/>
        </w:rPr>
        <w:t>塍</w:t>
      </w:r>
      <w:proofErr w:type="gramEnd"/>
      <w:r>
        <w:rPr>
          <w:rFonts w:hint="eastAsia"/>
        </w:rPr>
        <w:t>；电话：</w:t>
      </w:r>
      <w:r>
        <w:rPr>
          <w:rFonts w:hint="eastAsia"/>
        </w:rPr>
        <w:t>13912132986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560"/>
        <w:gridCol w:w="2720"/>
        <w:gridCol w:w="717"/>
        <w:gridCol w:w="703"/>
        <w:gridCol w:w="2866"/>
      </w:tblGrid>
      <w:tr w:rsidR="00EA56A7" w14:paraId="691154A4" w14:textId="77777777">
        <w:trPr>
          <w:tblHeader/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5A79E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eastAsia="宋体" w:hint="eastAsia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b/>
              </w:rPr>
              <w:t xml:space="preserve">序号                       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C3C9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产品名称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CCDFD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型号/规格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71CAE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单位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41AC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数量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3F66C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</w:tr>
      <w:tr w:rsidR="00EA56A7" w14:paraId="5134F449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8F563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AC0AF" w14:textId="77777777" w:rsidR="00EA56A7" w:rsidRDefault="00000000">
            <w:pPr>
              <w:pStyle w:val="Style13"/>
              <w:snapToGrid w:val="0"/>
              <w:spacing w:line="240" w:lineRule="auto"/>
              <w:ind w:left="1100" w:hangingChars="500" w:hanging="110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控制柜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F0518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尺寸：1900×800×500mm，壁厚：2mm；（定制）材质：冷轧喷塑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32596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具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5CA5A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0B6E2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适配现场安装空间，防护等级IP21</w:t>
            </w:r>
          </w:p>
        </w:tc>
      </w:tr>
      <w:tr w:rsidR="00EA56A7" w14:paraId="2FDC39A4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C7BD8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7F9D0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软启动器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79395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ABB 22KW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567A2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台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5AE02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15BD0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匹配原水泵电机功率，稳定启动，单台额定功率22KW</w:t>
            </w:r>
          </w:p>
        </w:tc>
      </w:tr>
      <w:tr w:rsidR="00EA56A7" w14:paraId="1D3859A4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24D1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D3068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塑壳断路器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6CE6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施耐德 100A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8862F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060DC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0C312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过载保护，符合医疗场所安全标准</w:t>
            </w:r>
          </w:p>
        </w:tc>
      </w:tr>
      <w:tr w:rsidR="00EA56A7" w14:paraId="485E2AC5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3A2BA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66B3F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微型断路器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D3A2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施耐德 1P C6A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C1A13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0F7B6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BCC6D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精准分断，保护控制回路</w:t>
            </w:r>
          </w:p>
        </w:tc>
      </w:tr>
      <w:tr w:rsidR="00EA56A7" w14:paraId="3441821D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B91BE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31F7B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指示灯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B9C62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施耐德 红、绿、黄、白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B2842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4187D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C22D8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清晰显示设备运行状态</w:t>
            </w:r>
          </w:p>
        </w:tc>
      </w:tr>
      <w:tr w:rsidR="00EA56A7" w14:paraId="2B6DDE38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9725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3F644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按钮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B6685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施耐德 红、绿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8D1A9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015F6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768D7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紧急启停及运行控制</w:t>
            </w:r>
          </w:p>
        </w:tc>
      </w:tr>
      <w:tr w:rsidR="00EA56A7" w14:paraId="44FE8D27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2C337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7E9A6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互感器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B68E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正泰 150/5A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38F61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03794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1239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电流监测，保障系统安全</w:t>
            </w:r>
          </w:p>
        </w:tc>
      </w:tr>
      <w:tr w:rsidR="00EA56A7" w14:paraId="425EAB3E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9E75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CA3BD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多功能表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246E1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安科瑞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5E894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82A2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57FA5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实时监控电压、电流等参数</w:t>
            </w:r>
          </w:p>
        </w:tc>
      </w:tr>
      <w:tr w:rsidR="00EA56A7" w14:paraId="1A3EFB50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C4AA1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7EBE9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熔断器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23949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正泰 2A+ 底座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C981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3536A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3F807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短路保护，响应迅速</w:t>
            </w:r>
          </w:p>
        </w:tc>
      </w:tr>
      <w:tr w:rsidR="00EA56A7" w14:paraId="5264E7CD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BEC93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FAC4C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风扇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1EB3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国产优质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8ECA8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套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B9671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7235F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柜体散热，适配医疗场所环境</w:t>
            </w:r>
          </w:p>
        </w:tc>
      </w:tr>
      <w:tr w:rsidR="00EA56A7" w14:paraId="527D8DEC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D79B8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33DF0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线材 / 辅材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C25EF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含柜内线材、线槽、导轨等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82481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D4B2B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9967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符合电气安全规范</w:t>
            </w:r>
          </w:p>
        </w:tc>
      </w:tr>
      <w:tr w:rsidR="00EA56A7" w14:paraId="3323B536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A6FE6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3AA3D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现场服务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86BE47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旧柜体拆除、新控制柜运输、安装、调试、操作培训及质保服务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E74A6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DC963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3C6F0" w14:textId="77777777" w:rsidR="00EA56A7" w:rsidRDefault="00EA56A7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A56A7" w14:paraId="5A8E33CA" w14:textId="77777777">
        <w:trPr>
          <w:jc w:val="center"/>
        </w:trPr>
        <w:tc>
          <w:tcPr>
            <w:tcW w:w="736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BB227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13</w:t>
            </w:r>
          </w:p>
        </w:tc>
        <w:tc>
          <w:tcPr>
            <w:tcW w:w="15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E84B2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技术资料</w:t>
            </w:r>
          </w:p>
        </w:tc>
        <w:tc>
          <w:tcPr>
            <w:tcW w:w="273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56453" w14:textId="77777777" w:rsidR="00EA56A7" w:rsidRDefault="00000000">
            <w:pPr>
              <w:pStyle w:val="Style13"/>
              <w:snapToGrid w:val="0"/>
              <w:spacing w:line="240" w:lineRule="auto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提供完整电路图（含电子版）、元件合格证、检测报告等相关技术文件</w:t>
            </w:r>
          </w:p>
        </w:tc>
        <w:tc>
          <w:tcPr>
            <w:tcW w:w="71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69ED0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套</w:t>
            </w:r>
          </w:p>
        </w:tc>
        <w:tc>
          <w:tcPr>
            <w:tcW w:w="7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78985" w14:textId="77777777" w:rsidR="00EA56A7" w:rsidRDefault="00000000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8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3AC1B" w14:textId="77777777" w:rsidR="00EA56A7" w:rsidRDefault="00EA56A7">
            <w:pPr>
              <w:pStyle w:val="Style13"/>
              <w:snapToGrid w:val="0"/>
              <w:spacing w:line="240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</w:tbl>
    <w:p w14:paraId="1C65BE20" w14:textId="77777777" w:rsidR="00EA56A7" w:rsidRDefault="00000000">
      <w:pPr>
        <w:pStyle w:val="1"/>
        <w:widowControl/>
      </w:pPr>
      <w:r>
        <w:t>技术</w:t>
      </w:r>
      <w:r>
        <w:rPr>
          <w:rFonts w:hint="eastAsia"/>
        </w:rPr>
        <w:t>要求：</w:t>
      </w:r>
    </w:p>
    <w:p w14:paraId="063BA121" w14:textId="77777777" w:rsidR="00EA56A7" w:rsidRDefault="00000000">
      <w:pPr>
        <w:pStyle w:val="a3"/>
        <w:widowControl/>
        <w:numPr>
          <w:ilvl w:val="0"/>
          <w:numId w:val="1"/>
        </w:numPr>
        <w:ind w:firstLineChars="0"/>
        <w:rPr>
          <w:color w:val="3370FF"/>
        </w:rPr>
      </w:pPr>
      <w:r>
        <w:t>启动方式：采用软启动器</w:t>
      </w:r>
      <w:r>
        <w:t xml:space="preserve"> + </w:t>
      </w:r>
      <w:r>
        <w:t>工频按钮启动模式，替代原有自耦变压器降压启动，实现水泵平稳启动，降低启动冲击。</w:t>
      </w:r>
    </w:p>
    <w:p w14:paraId="38A117C0" w14:textId="77777777" w:rsidR="00EA56A7" w:rsidRDefault="00000000">
      <w:pPr>
        <w:pStyle w:val="a3"/>
        <w:widowControl/>
        <w:numPr>
          <w:ilvl w:val="0"/>
          <w:numId w:val="1"/>
        </w:numPr>
        <w:ind w:firstLineChars="0"/>
        <w:rPr>
          <w:color w:val="3370FF"/>
        </w:rPr>
      </w:pPr>
      <w:r>
        <w:t>安全防护：强电与弱电分区布线，符合医疗场所安全标准；所有元件需通过</w:t>
      </w:r>
      <w:r>
        <w:t xml:space="preserve"> CCC </w:t>
      </w:r>
      <w:r>
        <w:t>认证，整体符合</w:t>
      </w:r>
      <w:r>
        <w:t xml:space="preserve"> GB50242</w:t>
      </w:r>
      <w:r>
        <w:t>《建筑给水排水及采暖工程施工质量验收规范》。</w:t>
      </w:r>
    </w:p>
    <w:p w14:paraId="1718F366" w14:textId="77777777" w:rsidR="00EA56A7" w:rsidRDefault="00000000">
      <w:pPr>
        <w:pStyle w:val="a3"/>
        <w:widowControl/>
        <w:numPr>
          <w:ilvl w:val="0"/>
          <w:numId w:val="1"/>
        </w:numPr>
        <w:ind w:firstLineChars="0"/>
        <w:rPr>
          <w:color w:val="3370FF"/>
        </w:rPr>
      </w:pPr>
      <w:r>
        <w:t>智能监控：配备安科</w:t>
      </w:r>
      <w:proofErr w:type="gramStart"/>
      <w:r>
        <w:t>瑞品牌</w:t>
      </w:r>
      <w:proofErr w:type="gramEnd"/>
      <w:r>
        <w:t>多功能表，实时监控电压、电流等运行参数；支持故障自诊断功能，可通过</w:t>
      </w:r>
      <w:r>
        <w:t xml:space="preserve"> RS485 </w:t>
      </w:r>
      <w:r>
        <w:t>接口接入医院楼宇监控系统，便于远程运维。</w:t>
      </w:r>
    </w:p>
    <w:p w14:paraId="333E50F2" w14:textId="77777777" w:rsidR="00EA56A7" w:rsidRDefault="00000000">
      <w:pPr>
        <w:pStyle w:val="a3"/>
        <w:widowControl/>
        <w:numPr>
          <w:ilvl w:val="0"/>
          <w:numId w:val="1"/>
        </w:numPr>
        <w:ind w:firstLineChars="0"/>
        <w:rPr>
          <w:color w:val="3370FF"/>
        </w:rPr>
      </w:pPr>
      <w:r>
        <w:rPr>
          <w:bCs/>
        </w:rPr>
        <w:t>安装保障</w:t>
      </w:r>
      <w:r>
        <w:t>：施工团队具备医疗场所电气施工资质，安装前进行现场勘测，施工时采用分段断电作业，避免影响医院其他系统</w:t>
      </w:r>
      <w:r>
        <w:rPr>
          <w:rFonts w:hint="eastAsia"/>
        </w:rPr>
        <w:t xml:space="preserve"> </w:t>
      </w:r>
      <w:r>
        <w:t>。</w:t>
      </w:r>
    </w:p>
    <w:p w14:paraId="78B412ED" w14:textId="77777777" w:rsidR="00EA56A7" w:rsidRDefault="00000000">
      <w:pPr>
        <w:pStyle w:val="1"/>
        <w:widowControl/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质量保证要求：</w:t>
      </w:r>
    </w:p>
    <w:p w14:paraId="2F470516" w14:textId="77777777" w:rsidR="00EA56A7" w:rsidRDefault="00000000">
      <w:pPr>
        <w:pStyle w:val="a3"/>
        <w:widowControl/>
        <w:numPr>
          <w:ilvl w:val="0"/>
          <w:numId w:val="2"/>
        </w:numPr>
        <w:ind w:firstLineChars="0"/>
        <w:rPr>
          <w:color w:val="3370FF"/>
        </w:rPr>
      </w:pPr>
      <w:r>
        <w:rPr>
          <w:rFonts w:hint="eastAsia"/>
        </w:rPr>
        <w:t>本项目为交钥匙工程（</w:t>
      </w:r>
      <w:proofErr w:type="gramStart"/>
      <w:r>
        <w:rPr>
          <w:rFonts w:hint="eastAsia"/>
        </w:rPr>
        <w:t>含</w:t>
      </w:r>
      <w:r>
        <w:rPr>
          <w:rFonts w:ascii="宋体" w:hAnsi="宋体" w:cs="宋体" w:hint="eastAsia"/>
        </w:rPr>
        <w:t>旧柜体</w:t>
      </w:r>
      <w:proofErr w:type="gramEnd"/>
      <w:r>
        <w:rPr>
          <w:rFonts w:ascii="宋体" w:hAnsi="宋体" w:cs="宋体" w:hint="eastAsia"/>
        </w:rPr>
        <w:t>拆除、新控制柜运输、安装、调试、操作培训等</w:t>
      </w:r>
      <w:r>
        <w:rPr>
          <w:rFonts w:hint="eastAsia"/>
        </w:rPr>
        <w:t>）中标</w:t>
      </w:r>
      <w:r>
        <w:t>后</w:t>
      </w:r>
      <w:r>
        <w:t xml:space="preserve"> </w:t>
      </w:r>
      <w:r>
        <w:rPr>
          <w:rFonts w:hint="eastAsia"/>
        </w:rPr>
        <w:t>1</w:t>
      </w:r>
      <w:r>
        <w:t xml:space="preserve">0 </w:t>
      </w:r>
      <w:proofErr w:type="gramStart"/>
      <w:r>
        <w:t>个</w:t>
      </w:r>
      <w:proofErr w:type="gramEnd"/>
      <w:r>
        <w:t>工作日内完成设备生产、配送及安装调试。</w:t>
      </w:r>
      <w:r>
        <w:rPr>
          <w:rFonts w:hint="eastAsia"/>
        </w:rPr>
        <w:t xml:space="preserve">                                                    </w:t>
      </w:r>
    </w:p>
    <w:p w14:paraId="529AE18D" w14:textId="77777777" w:rsidR="00EA56A7" w:rsidRDefault="00000000">
      <w:pPr>
        <w:pStyle w:val="a3"/>
        <w:widowControl/>
        <w:numPr>
          <w:ilvl w:val="0"/>
          <w:numId w:val="3"/>
        </w:numPr>
        <w:ind w:firstLineChars="0"/>
      </w:pPr>
      <w:r>
        <w:rPr>
          <w:rFonts w:hint="eastAsia"/>
        </w:rPr>
        <w:t>2.</w:t>
      </w:r>
      <w:r>
        <w:rPr>
          <w:rFonts w:hint="eastAsia"/>
        </w:rPr>
        <w:t>项目</w:t>
      </w:r>
      <w:r>
        <w:t>质保期</w:t>
      </w:r>
      <w:r>
        <w:t xml:space="preserve"> 1 </w:t>
      </w:r>
      <w:r>
        <w:t>年，质保期内免费更换故障元件及维修</w:t>
      </w:r>
      <w:r>
        <w:rPr>
          <w:rFonts w:hint="eastAsia"/>
        </w:rPr>
        <w:t>，</w:t>
      </w:r>
      <w:r>
        <w:t>提供</w:t>
      </w:r>
      <w:r>
        <w:t xml:space="preserve"> 7×24 </w:t>
      </w:r>
      <w:r>
        <w:t>小时售后服务，接到故障通知后</w:t>
      </w:r>
      <w:r>
        <w:t xml:space="preserve"> </w:t>
      </w:r>
      <w:r>
        <w:rPr>
          <w:rFonts w:hint="eastAsia"/>
        </w:rPr>
        <w:t>2</w:t>
      </w:r>
      <w:r>
        <w:t xml:space="preserve"> </w:t>
      </w:r>
      <w:r>
        <w:t>小时内</w:t>
      </w:r>
      <w:r>
        <w:rPr>
          <w:rFonts w:hint="eastAsia"/>
        </w:rPr>
        <w:t>到场处置</w:t>
      </w:r>
      <w:r>
        <w:t>，</w:t>
      </w:r>
      <w:r>
        <w:t xml:space="preserve">24 </w:t>
      </w:r>
      <w:r>
        <w:t>小时内修复</w:t>
      </w:r>
      <w:r>
        <w:rPr>
          <w:rFonts w:hint="eastAsia"/>
        </w:rPr>
        <w:t>完成</w:t>
      </w:r>
      <w:r>
        <w:t>。</w:t>
      </w:r>
    </w:p>
    <w:p w14:paraId="1ACBBFC8" w14:textId="19082699" w:rsidR="00EA56A7" w:rsidRDefault="00000000">
      <w:pPr>
        <w:pStyle w:val="a3"/>
        <w:widowControl/>
        <w:ind w:firstLine="480"/>
        <w:rPr>
          <w:rFonts w:ascii="宋体" w:hAnsi="宋体" w:cs="宋体" w:hint="eastAsia"/>
          <w:color w:val="3370FF"/>
        </w:rPr>
      </w:pPr>
      <w:r>
        <w:rPr>
          <w:rFonts w:hint="eastAsia"/>
        </w:rPr>
        <w:t>3.</w:t>
      </w:r>
      <w:r>
        <w:t>设备安装调试完成并验收合格</w:t>
      </w:r>
      <w:r>
        <w:rPr>
          <w:rFonts w:hint="eastAsia"/>
        </w:rPr>
        <w:t>，质保期到后</w:t>
      </w:r>
      <w:r>
        <w:t>一次性支付全额</w:t>
      </w:r>
      <w:r w:rsidR="00EA628D">
        <w:rPr>
          <w:rFonts w:hint="eastAsia"/>
        </w:rPr>
        <w:t>货</w:t>
      </w:r>
      <w:r>
        <w:t>款。</w:t>
      </w:r>
    </w:p>
    <w:p w14:paraId="4CD898CC" w14:textId="00A61310" w:rsidR="00EA56A7" w:rsidRPr="00EA628D" w:rsidRDefault="00000000" w:rsidP="00EA628D">
      <w:pPr>
        <w:pStyle w:val="a3"/>
        <w:widowControl/>
        <w:ind w:firstLine="480"/>
        <w:rPr>
          <w:rFonts w:ascii="宋体" w:hAnsi="宋体" w:cs="宋体"/>
          <w:color w:val="3370FF"/>
        </w:rPr>
      </w:pPr>
      <w:r>
        <w:rPr>
          <w:rFonts w:hint="eastAsia"/>
        </w:rPr>
        <w:t xml:space="preserve"> </w:t>
      </w:r>
    </w:p>
    <w:sectPr w:rsidR="00EA56A7" w:rsidRPr="00EA628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1D4D" w14:textId="77777777" w:rsidR="00495B62" w:rsidRDefault="00495B62">
      <w:r>
        <w:separator/>
      </w:r>
    </w:p>
  </w:endnote>
  <w:endnote w:type="continuationSeparator" w:id="0">
    <w:p w14:paraId="34826111" w14:textId="77777777" w:rsidR="00495B62" w:rsidRDefault="004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F979" w14:textId="77777777" w:rsidR="00495B62" w:rsidRDefault="00495B62">
      <w:r>
        <w:separator/>
      </w:r>
    </w:p>
  </w:footnote>
  <w:footnote w:type="continuationSeparator" w:id="0">
    <w:p w14:paraId="09AC33DC" w14:textId="77777777" w:rsidR="00495B62" w:rsidRDefault="0049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B9E30E"/>
    <w:multiLevelType w:val="singleLevel"/>
    <w:tmpl w:val="D5B9E30E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color w:val="auto"/>
      </w:rPr>
    </w:lvl>
  </w:abstractNum>
  <w:abstractNum w:abstractNumId="1" w15:restartNumberingAfterBreak="0">
    <w:nsid w:val="E3FFDFEB"/>
    <w:multiLevelType w:val="singleLevel"/>
    <w:tmpl w:val="E3FFDFE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b w:val="0"/>
        <w:bCs w:val="0"/>
        <w:color w:val="auto"/>
      </w:rPr>
    </w:lvl>
  </w:abstractNum>
  <w:abstractNum w:abstractNumId="2" w15:restartNumberingAfterBreak="0">
    <w:nsid w:val="1C63FA3E"/>
    <w:multiLevelType w:val="singleLevel"/>
    <w:tmpl w:val="1C63FA3E"/>
    <w:lvl w:ilvl="0"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num w:numId="1" w16cid:durableId="772742736">
    <w:abstractNumId w:val="0"/>
  </w:num>
  <w:num w:numId="2" w16cid:durableId="522279729">
    <w:abstractNumId w:val="1"/>
  </w:num>
  <w:num w:numId="3" w16cid:durableId="1049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A7"/>
    <w:rsid w:val="00495B62"/>
    <w:rsid w:val="00A32318"/>
    <w:rsid w:val="00EA56A7"/>
    <w:rsid w:val="00EA628D"/>
    <w:rsid w:val="105D03C0"/>
    <w:rsid w:val="29B45556"/>
    <w:rsid w:val="2A355B79"/>
    <w:rsid w:val="49DD67BB"/>
    <w:rsid w:val="4AAA7601"/>
    <w:rsid w:val="568031BF"/>
    <w:rsid w:val="6B5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3B60"/>
  <w15:docId w15:val="{0CE6DFC7-D1B0-4A23-A8FD-1AEE2C5B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2">
    <w:name w:val="heading 2"/>
    <w:next w:val="a"/>
    <w:qFormat/>
    <w:pPr>
      <w:widowControl w:val="0"/>
      <w:adjustRightInd w:val="0"/>
      <w:spacing w:before="280" w:line="300" w:lineRule="auto"/>
      <w:jc w:val="both"/>
      <w:outlineLvl w:val="1"/>
    </w:pPr>
    <w:rPr>
      <w:rFonts w:ascii="Times New Roman" w:eastAsia="黑体" w:hAnsi="Times New Roman" w:cs="Times New Roman"/>
      <w:kern w:val="2"/>
      <w:sz w:val="30"/>
      <w:szCs w:val="32"/>
    </w:rPr>
  </w:style>
  <w:style w:type="paragraph" w:styleId="3">
    <w:name w:val="heading 3"/>
    <w:next w:val="a"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eastAsia="黑体" w:hAnsi="Times New Roman" w:cs="Times New Roman"/>
      <w:kern w:val="2"/>
      <w:sz w:val="30"/>
      <w:szCs w:val="24"/>
    </w:rPr>
  </w:style>
  <w:style w:type="paragraph" w:styleId="4">
    <w:name w:val="heading 4"/>
    <w:next w:val="a"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5">
    <w:name w:val="heading 5"/>
    <w:next w:val="a"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6">
    <w:name w:val="heading 6"/>
    <w:next w:val="a"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eastAsia="黑体" w:hAnsi="Times New Roman" w:cs="Times New Roman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eastAsia="黑体" w:hAnsi="Times New Roman" w:cs="Times New Roman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eastAsia="黑体" w:hAnsi="Times New Roman" w:cs="Times New Roman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eastAsia="黑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8"/>
      <w:sz w:val="32"/>
      <w:szCs w:val="24"/>
    </w:rPr>
  </w:style>
  <w:style w:type="paragraph" w:styleId="a7">
    <w:name w:val="footnote text"/>
    <w:link w:val="a8"/>
    <w:uiPriority w:val="99"/>
    <w:semiHidden/>
    <w:unhideWhenUsed/>
    <w:qFormat/>
  </w:style>
  <w:style w:type="paragraph" w:styleId="a9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styleId="ab">
    <w:name w:val="footnote reference"/>
    <w:uiPriority w:val="99"/>
    <w:semiHidden/>
    <w:unhideWhenUsed/>
    <w:qFormat/>
    <w:rPr>
      <w:vertAlign w:val="superscript"/>
    </w:rPr>
  </w:style>
  <w:style w:type="paragraph" w:styleId="ac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</cp:lastModifiedBy>
  <cp:revision>3</cp:revision>
  <cp:lastPrinted>2025-11-19T09:31:00Z</cp:lastPrinted>
  <dcterms:created xsi:type="dcterms:W3CDTF">2025-11-21T08:47:00Z</dcterms:created>
  <dcterms:modified xsi:type="dcterms:W3CDTF">2025-11-21T08:47:00Z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eyJoZGlkIjoiNGU4OWI5OGUwYjJkNjRmZjVkZWIzZWJiMWQ3OWEyMzUifQ==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BF43674E00294BC0BE9DEAF548A592FB_13</vt:lpwstr>
  </property>
</Properties>
</file>