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295F2">
      <w:pPr>
        <w:adjustRightInd w:val="0"/>
        <w:snapToGrid w:val="0"/>
        <w:spacing w:line="800" w:lineRule="exact"/>
        <w:contextualSpacing/>
        <w:jc w:val="center"/>
        <w:rPr>
          <w:rFonts w:hint="eastAsia"/>
          <w:b/>
          <w:sz w:val="36"/>
          <w:szCs w:val="36"/>
        </w:rPr>
      </w:pPr>
      <w:r>
        <w:rPr>
          <w:rFonts w:hint="eastAsia"/>
          <w:b/>
          <w:sz w:val="36"/>
          <w:szCs w:val="36"/>
        </w:rPr>
        <w:t>扬州大学附属医院科教综合楼四层</w:t>
      </w:r>
    </w:p>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会议室音响系统安装项目询价文件</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eastAsia="宋体"/>
          <w:b/>
          <w:color w:val="FF0000"/>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lang w:val="en-US" w:eastAsia="zh-CN"/>
        </w:rPr>
        <w:t>扬州大学附属医院</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12</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3"/>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ascii="宋体" w:hAnsi="宋体" w:cs="宋体"/>
          <w:color w:val="000000"/>
          <w:sz w:val="24"/>
        </w:rPr>
        <w:t>扬州大学附属医院科教综合楼四层会议室音响系统安装项目</w:t>
      </w:r>
      <w:r>
        <w:rPr>
          <w:rFonts w:hint="eastAsia" w:ascii="宋体" w:hAnsi="宋体" w:cs="宋体"/>
          <w:snapToGrid w:val="0"/>
          <w:kern w:val="0"/>
          <w:sz w:val="24"/>
        </w:rPr>
        <w:t>进行</w:t>
      </w:r>
      <w:r>
        <w:rPr>
          <w:rFonts w:hint="eastAsia" w:ascii="宋体" w:hAnsi="宋体" w:cs="宋体"/>
          <w:snapToGrid w:val="0"/>
          <w:kern w:val="0"/>
          <w:sz w:val="24"/>
          <w:lang w:val="en-US" w:eastAsia="zh-CN"/>
        </w:rPr>
        <w:t>询价</w:t>
      </w:r>
      <w:r>
        <w:rPr>
          <w:rFonts w:hint="eastAsia" w:ascii="宋体" w:hAnsi="宋体" w:cs="宋体"/>
          <w:snapToGrid w:val="0"/>
          <w:kern w:val="0"/>
          <w:sz w:val="24"/>
        </w:rPr>
        <w:t>。现诚邀贵方对该项目进行投标，并将有关项目概况及事宜告知如下：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ascii="宋体" w:hAnsi="宋体" w:cs="宋体"/>
          <w:color w:val="000000"/>
          <w:sz w:val="24"/>
        </w:rPr>
        <w:t>扬州大学附属医院科教综合楼四层会议室音响系统安装项目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color w:val="auto"/>
          <w:kern w:val="0"/>
          <w:sz w:val="24"/>
          <w:highlight w:val="none"/>
        </w:rPr>
        <w:t>3.限价：</w:t>
      </w:r>
      <w:r>
        <w:rPr>
          <w:rFonts w:hint="eastAsia" w:ascii="宋体" w:hAnsi="宋体" w:cs="宋体"/>
          <w:snapToGrid w:val="0"/>
          <w:color w:val="auto"/>
          <w:kern w:val="0"/>
          <w:sz w:val="24"/>
          <w:highlight w:val="none"/>
          <w:lang w:val="en-US" w:eastAsia="zh-CN"/>
        </w:rPr>
        <w:t>1.85</w:t>
      </w:r>
      <w:r>
        <w:rPr>
          <w:rFonts w:hint="eastAsia" w:ascii="宋体" w:hAnsi="宋体" w:cs="宋体"/>
          <w:snapToGrid w:val="0"/>
          <w:color w:val="auto"/>
          <w:kern w:val="0"/>
          <w:sz w:val="24"/>
          <w:highlight w:val="none"/>
        </w:rPr>
        <w:t>万元，投标报价</w:t>
      </w:r>
      <w:r>
        <w:rPr>
          <w:rFonts w:hint="eastAsia" w:ascii="宋体" w:hAnsi="宋体" w:cs="宋体"/>
          <w:snapToGrid w:val="0"/>
          <w:color w:val="auto"/>
          <w:kern w:val="0"/>
          <w:sz w:val="24"/>
          <w:highlight w:val="none"/>
          <w:lang w:val="en-US" w:eastAsia="zh-CN"/>
        </w:rPr>
        <w:t>不符合</w:t>
      </w:r>
      <w:r>
        <w:rPr>
          <w:rFonts w:hint="eastAsia" w:ascii="宋体" w:hAnsi="宋体" w:cs="宋体"/>
          <w:snapToGrid w:val="0"/>
          <w:color w:val="auto"/>
          <w:kern w:val="0"/>
          <w:sz w:val="24"/>
          <w:highlight w:val="none"/>
        </w:rPr>
        <w:t>限价作废标处理</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lang w:val="en-US" w:eastAsia="zh-CN"/>
        </w:rPr>
        <w:t>完成时间：10个日历天。</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hint="eastAsia"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4BE89E4C">
      <w:pPr>
        <w:tabs>
          <w:tab w:val="left" w:pos="0"/>
        </w:tabs>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4.3 具备会议系统相关施工或经营范围。</w:t>
      </w:r>
    </w:p>
    <w:p w14:paraId="68B3ECE1">
      <w:pPr>
        <w:tabs>
          <w:tab w:val="left" w:pos="0"/>
        </w:tabs>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sz w:val="24"/>
          <w:lang w:val="en-US" w:eastAsia="zh-CN"/>
        </w:rPr>
        <w:t>4.4 质保期三年，质保期内所有因质量问题产生的费用由中标单位承担。</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w:t>
      </w:r>
      <w:r>
        <w:rPr>
          <w:rFonts w:hint="eastAsia" w:ascii="宋体" w:hAnsi="宋体" w:cs="微软雅黑"/>
          <w:color w:val="000000"/>
          <w:sz w:val="24"/>
          <w:lang w:val="en-US" w:eastAsia="zh-CN"/>
        </w:rPr>
        <w:t>提供货物种类和数量的</w:t>
      </w:r>
      <w:r>
        <w:rPr>
          <w:rFonts w:hint="eastAsia" w:ascii="宋体" w:hAnsi="宋体" w:cs="微软雅黑"/>
          <w:color w:val="000000"/>
          <w:sz w:val="24"/>
        </w:rPr>
        <w:t>方式，</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符合要求最低价中标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方式确定。</w:t>
      </w:r>
    </w:p>
    <w:p w14:paraId="2C6C44AB">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w:t>
      </w:r>
      <w:r>
        <w:rPr>
          <w:rFonts w:hint="eastAsia" w:hAnsi="宋体" w:cs="仿宋"/>
          <w:snapToGrid w:val="0"/>
          <w:sz w:val="24"/>
          <w:lang w:val="en-US" w:eastAsia="zh-CN"/>
        </w:rPr>
        <w:t>项目完成后一次性付款</w:t>
      </w:r>
      <w:r>
        <w:rPr>
          <w:rFonts w:hint="eastAsia" w:hAnsi="宋体" w:cs="仿宋"/>
          <w:snapToGrid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12</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19</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12</w:t>
      </w:r>
      <w:r>
        <w:rPr>
          <w:rStyle w:val="33"/>
          <w:rFonts w:ascii="宋体" w:hAnsi="宋体"/>
          <w:b/>
          <w:sz w:val="24"/>
          <w:highlight w:val="lightGray"/>
        </w:rPr>
        <w:t>月</w:t>
      </w:r>
      <w:r>
        <w:rPr>
          <w:rStyle w:val="33"/>
          <w:rFonts w:hint="eastAsia" w:ascii="宋体" w:hAnsi="宋体"/>
          <w:b/>
          <w:sz w:val="24"/>
          <w:highlight w:val="lightGray"/>
          <w:lang w:val="en-US" w:eastAsia="zh-CN"/>
        </w:rPr>
        <w:t>19</w:t>
      </w:r>
      <w:r>
        <w:rPr>
          <w:rStyle w:val="33"/>
          <w:rFonts w:ascii="宋体" w:hAnsi="宋体"/>
          <w:b/>
          <w:sz w:val="24"/>
          <w:highlight w:val="lightGray"/>
        </w:rPr>
        <w:t>日9：30（北</w:t>
      </w:r>
      <w:r>
        <w:rPr>
          <w:rStyle w:val="33"/>
          <w:rFonts w:ascii="宋体" w:hAnsi="宋体"/>
          <w:b/>
          <w:color w:val="000000"/>
          <w:sz w:val="24"/>
          <w:highlight w:val="lightGray"/>
        </w:rPr>
        <w:t>京时间）</w:t>
      </w:r>
    </w:p>
    <w:p w14:paraId="78C00FA4">
      <w:pPr>
        <w:spacing w:line="440" w:lineRule="exact"/>
        <w:ind w:firstLine="480" w:firstLineChars="200"/>
        <w:rPr>
          <w:rFonts w:hint="default"/>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确认函》并盖章扫描，并将扫描的加盖公章的确认函和营业执照复印件及授权委托书于2025年</w:t>
      </w:r>
      <w:r>
        <w:rPr>
          <w:rFonts w:hint="eastAsia" w:ascii="宋体" w:hAnsi="宋体" w:cs="宋体"/>
          <w:snapToGrid w:val="0"/>
          <w:spacing w:val="-4"/>
          <w:kern w:val="0"/>
          <w:sz w:val="24"/>
          <w:lang w:val="en-US" w:eastAsia="zh-CN"/>
        </w:rPr>
        <w:t>12</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18</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59B34EE9">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16.如贵方确认参加投标，可凭投标确认函原件、营业执照</w:t>
      </w:r>
      <w:r>
        <w:rPr>
          <w:rFonts w:hint="eastAsia" w:ascii="宋体" w:hAnsi="宋体" w:cs="宋体"/>
          <w:snapToGrid w:val="0"/>
          <w:spacing w:val="-4"/>
          <w:kern w:val="0"/>
          <w:sz w:val="24"/>
          <w:lang w:val="en-US" w:eastAsia="zh-CN"/>
        </w:rPr>
        <w:t>复印件</w:t>
      </w:r>
      <w:r>
        <w:rPr>
          <w:rFonts w:hint="eastAsia" w:ascii="宋体" w:hAnsi="宋体" w:cs="宋体"/>
          <w:snapToGrid w:val="0"/>
          <w:spacing w:val="-4"/>
          <w:kern w:val="0"/>
          <w:sz w:val="24"/>
        </w:rPr>
        <w:t>、法人授权委托书原件、经办人身份证复印件、投标函原件、投标函附录原件（以上资料须加盖企业单位公章并密封递交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12</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19</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A79E613">
      <w:pPr>
        <w:pStyle w:val="2"/>
        <w:rPr>
          <w:rFonts w:hint="default" w:ascii="宋体" w:hAnsi="宋体" w:eastAsia="宋体" w:cs="宋体"/>
          <w:b/>
          <w:bCs/>
          <w:snapToGrid w:val="0"/>
          <w:spacing w:val="-4"/>
          <w:kern w:val="0"/>
          <w:sz w:val="24"/>
          <w:szCs w:val="24"/>
          <w:lang w:val="en-US" w:eastAsia="zh-CN" w:bidi="ar-SA"/>
        </w:rPr>
      </w:pPr>
      <w:r>
        <w:rPr>
          <w:rFonts w:hint="eastAsia" w:ascii="宋体" w:hAnsi="宋体" w:cs="宋体"/>
          <w:snapToGrid w:val="0"/>
          <w:spacing w:val="-4"/>
          <w:kern w:val="0"/>
          <w:sz w:val="24"/>
          <w:lang w:val="en-US" w:eastAsia="zh-CN"/>
        </w:rPr>
        <w:t xml:space="preserve">     </w:t>
      </w:r>
      <w:r>
        <w:rPr>
          <w:rFonts w:hint="eastAsia" w:ascii="宋体" w:hAnsi="宋体" w:eastAsia="宋体" w:cs="宋体"/>
          <w:b/>
          <w:bCs/>
          <w:snapToGrid w:val="0"/>
          <w:spacing w:val="-4"/>
          <w:kern w:val="0"/>
          <w:sz w:val="24"/>
          <w:szCs w:val="24"/>
          <w:lang w:val="en-US" w:eastAsia="zh-CN" w:bidi="ar-SA"/>
        </w:rPr>
        <w:t xml:space="preserve"> </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z w:val="24"/>
          <w:lang w:val="en-US" w:eastAsia="zh-CN"/>
        </w:rPr>
      </w:pPr>
      <w:r>
        <w:rPr>
          <w:rFonts w:hint="eastAsia" w:ascii="宋体" w:hAnsi="宋体" w:cs="宋体"/>
          <w:sz w:val="24"/>
        </w:rPr>
        <w:t>采 购 人：</w:t>
      </w:r>
      <w:r>
        <w:rPr>
          <w:rFonts w:hint="eastAsia" w:ascii="宋体" w:hAnsi="宋体" w:cs="宋体"/>
          <w:sz w:val="24"/>
          <w:lang w:eastAsia="zh-CN"/>
        </w:rPr>
        <w:t>扬州大学附属医院</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0B47182">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5513EF0">
      <w:pPr>
        <w:ind w:firstLine="480" w:firstLineChars="200"/>
        <w:rPr>
          <w:rFonts w:ascii="宋体" w:hAnsi="宋体" w:cs="宋体"/>
          <w:color w:val="000000"/>
          <w:sz w:val="24"/>
        </w:rPr>
      </w:pPr>
      <w:r>
        <w:rPr>
          <w:rFonts w:hint="eastAsia" w:ascii="宋体" w:hAnsi="宋体" w:cs="宋体"/>
          <w:snapToGrid w:val="0"/>
          <w:kern w:val="0"/>
          <w:sz w:val="24"/>
        </w:rPr>
        <w:t>1.1项目名称：</w:t>
      </w:r>
      <w:r>
        <w:rPr>
          <w:rFonts w:ascii="宋体" w:hAnsi="宋体" w:cs="宋体"/>
          <w:color w:val="000000"/>
          <w:sz w:val="24"/>
        </w:rPr>
        <w:t>扬州大学附属医院科教综合楼四层会议室音响系统安装项目</w:t>
      </w:r>
    </w:p>
    <w:p w14:paraId="4E7648FE">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1.2项目地点：科教综合楼四层会议室</w:t>
      </w:r>
    </w:p>
    <w:p w14:paraId="765213F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bCs/>
          <w:snapToGrid w:val="0"/>
          <w:kern w:val="0"/>
          <w:sz w:val="24"/>
          <w:lang w:val="zh-CN"/>
        </w:rPr>
        <w:t>18500元，高于最高限价的，其投标文件无效。</w:t>
      </w:r>
    </w:p>
    <w:p w14:paraId="13736878">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bookmarkStart w:id="1" w:name="OLE_LINK6"/>
      <w:bookmarkStart w:id="2" w:name="OLE_LINK7"/>
      <w:r>
        <w:rPr>
          <w:rFonts w:hint="eastAsia" w:asciiTheme="minorEastAsia" w:hAnsiTheme="minorEastAsia" w:eastAsiaTheme="minorEastAsia"/>
          <w:b/>
          <w:bCs/>
          <w:sz w:val="24"/>
        </w:rPr>
        <w:t>2.货物要求</w:t>
      </w:r>
    </w:p>
    <w:bookmarkEnd w:id="1"/>
    <w:bookmarkEnd w:id="2"/>
    <w:p w14:paraId="52D3B9FE">
      <w:pPr>
        <w:pStyle w:val="2"/>
        <w:spacing w:line="560" w:lineRule="exact"/>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2.1按照清单提供货物并进行安装，报价应包含各类主材、辅材、安装费、调试费，清单如下：</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697"/>
        <w:gridCol w:w="1362"/>
        <w:gridCol w:w="1442"/>
        <w:gridCol w:w="3402"/>
        <w:gridCol w:w="567"/>
        <w:gridCol w:w="1559"/>
      </w:tblGrid>
      <w:tr w14:paraId="76D6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5BC48198">
            <w:pPr>
              <w:pStyle w:val="6"/>
              <w:jc w:val="center"/>
              <w:rPr>
                <w:sz w:val="21"/>
                <w:szCs w:val="21"/>
              </w:rPr>
            </w:pPr>
            <w:r>
              <w:rPr>
                <w:sz w:val="21"/>
                <w:szCs w:val="21"/>
              </w:rPr>
              <w:t>序号</w:t>
            </w:r>
          </w:p>
        </w:tc>
        <w:tc>
          <w:tcPr>
            <w:tcW w:w="697" w:type="dxa"/>
            <w:vAlign w:val="center"/>
          </w:tcPr>
          <w:p w14:paraId="06271336">
            <w:pPr>
              <w:pStyle w:val="6"/>
              <w:jc w:val="center"/>
              <w:rPr>
                <w:sz w:val="21"/>
                <w:szCs w:val="21"/>
              </w:rPr>
            </w:pPr>
            <w:r>
              <w:rPr>
                <w:sz w:val="21"/>
                <w:szCs w:val="21"/>
              </w:rPr>
              <w:t>品牌</w:t>
            </w:r>
          </w:p>
        </w:tc>
        <w:tc>
          <w:tcPr>
            <w:tcW w:w="1362" w:type="dxa"/>
            <w:vAlign w:val="center"/>
          </w:tcPr>
          <w:p w14:paraId="76EF420D">
            <w:pPr>
              <w:pStyle w:val="6"/>
              <w:jc w:val="center"/>
              <w:rPr>
                <w:sz w:val="21"/>
                <w:szCs w:val="21"/>
              </w:rPr>
            </w:pPr>
            <w:r>
              <w:rPr>
                <w:sz w:val="21"/>
                <w:szCs w:val="21"/>
              </w:rPr>
              <w:t>名称</w:t>
            </w:r>
          </w:p>
        </w:tc>
        <w:tc>
          <w:tcPr>
            <w:tcW w:w="1442" w:type="dxa"/>
            <w:vAlign w:val="center"/>
          </w:tcPr>
          <w:p w14:paraId="00DD9503">
            <w:pPr>
              <w:pStyle w:val="6"/>
              <w:jc w:val="center"/>
              <w:rPr>
                <w:sz w:val="21"/>
                <w:szCs w:val="21"/>
              </w:rPr>
            </w:pPr>
            <w:r>
              <w:rPr>
                <w:sz w:val="21"/>
                <w:szCs w:val="21"/>
              </w:rPr>
              <w:t>型号</w:t>
            </w:r>
          </w:p>
        </w:tc>
        <w:tc>
          <w:tcPr>
            <w:tcW w:w="3402" w:type="dxa"/>
            <w:vAlign w:val="center"/>
          </w:tcPr>
          <w:p w14:paraId="3C906FF6">
            <w:pPr>
              <w:pStyle w:val="6"/>
              <w:jc w:val="center"/>
              <w:rPr>
                <w:sz w:val="21"/>
                <w:szCs w:val="21"/>
              </w:rPr>
            </w:pPr>
            <w:r>
              <w:rPr>
                <w:sz w:val="21"/>
                <w:szCs w:val="21"/>
              </w:rPr>
              <w:t>图片</w:t>
            </w:r>
          </w:p>
        </w:tc>
        <w:tc>
          <w:tcPr>
            <w:tcW w:w="567" w:type="dxa"/>
            <w:vAlign w:val="center"/>
          </w:tcPr>
          <w:p w14:paraId="3F59AA0B">
            <w:pPr>
              <w:pStyle w:val="6"/>
              <w:jc w:val="center"/>
              <w:rPr>
                <w:sz w:val="21"/>
                <w:szCs w:val="21"/>
              </w:rPr>
            </w:pPr>
            <w:r>
              <w:rPr>
                <w:sz w:val="21"/>
                <w:szCs w:val="21"/>
              </w:rPr>
              <w:t>数量</w:t>
            </w:r>
          </w:p>
        </w:tc>
        <w:tc>
          <w:tcPr>
            <w:tcW w:w="1559" w:type="dxa"/>
            <w:vAlign w:val="center"/>
          </w:tcPr>
          <w:p w14:paraId="0A987FF6">
            <w:pPr>
              <w:pStyle w:val="6"/>
              <w:jc w:val="center"/>
              <w:rPr>
                <w:sz w:val="21"/>
                <w:szCs w:val="21"/>
              </w:rPr>
            </w:pPr>
            <w:r>
              <w:rPr>
                <w:sz w:val="21"/>
                <w:szCs w:val="21"/>
              </w:rPr>
              <w:t>单位</w:t>
            </w:r>
          </w:p>
        </w:tc>
      </w:tr>
      <w:tr w14:paraId="3C4D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9D449D0">
            <w:pPr>
              <w:pStyle w:val="6"/>
              <w:jc w:val="center"/>
              <w:rPr>
                <w:sz w:val="21"/>
                <w:szCs w:val="21"/>
              </w:rPr>
            </w:pPr>
            <w:r>
              <w:rPr>
                <w:rFonts w:hint="eastAsia"/>
                <w:sz w:val="21"/>
                <w:szCs w:val="21"/>
              </w:rPr>
              <w:t>1</w:t>
            </w:r>
          </w:p>
        </w:tc>
        <w:tc>
          <w:tcPr>
            <w:tcW w:w="697" w:type="dxa"/>
            <w:vAlign w:val="center"/>
          </w:tcPr>
          <w:p w14:paraId="0BD88EB2">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4F8531F4">
            <w:pPr>
              <w:pStyle w:val="6"/>
              <w:jc w:val="center"/>
              <w:rPr>
                <w:sz w:val="21"/>
                <w:szCs w:val="21"/>
              </w:rPr>
            </w:pPr>
            <w:bookmarkStart w:id="3" w:name="OLE_LINK1"/>
            <w:r>
              <w:rPr>
                <w:rFonts w:hint="eastAsia"/>
                <w:sz w:val="21"/>
                <w:szCs w:val="21"/>
              </w:rPr>
              <w:t>4+1单元会议音柱</w:t>
            </w:r>
            <w:bookmarkEnd w:id="3"/>
          </w:p>
        </w:tc>
        <w:tc>
          <w:tcPr>
            <w:tcW w:w="1442" w:type="dxa"/>
            <w:vAlign w:val="center"/>
          </w:tcPr>
          <w:p w14:paraId="232C4E3D">
            <w:pPr>
              <w:pStyle w:val="6"/>
              <w:jc w:val="center"/>
              <w:rPr>
                <w:sz w:val="21"/>
                <w:szCs w:val="21"/>
              </w:rPr>
            </w:pPr>
            <w:r>
              <w:rPr>
                <w:sz w:val="21"/>
                <w:szCs w:val="21"/>
              </w:rPr>
              <w:t>CA403</w:t>
            </w:r>
          </w:p>
        </w:tc>
        <w:tc>
          <w:tcPr>
            <w:tcW w:w="3402" w:type="dxa"/>
            <w:vAlign w:val="center"/>
          </w:tcPr>
          <w:p w14:paraId="53742A0F">
            <w:pPr>
              <w:pStyle w:val="6"/>
              <w:jc w:val="center"/>
              <w:rPr>
                <w:sz w:val="21"/>
                <w:szCs w:val="21"/>
              </w:rPr>
            </w:pPr>
            <w:r>
              <w:rPr>
                <w:sz w:val="21"/>
                <w:szCs w:val="21"/>
              </w:rPr>
              <w:drawing>
                <wp:inline distT="0" distB="0" distL="0" distR="0">
                  <wp:extent cx="311150" cy="1402080"/>
                  <wp:effectExtent l="0" t="0" r="12700" b="7620"/>
                  <wp:docPr id="1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
                          <pic:cNvPicPr>
                            <a:picLocks noChangeAspect="1"/>
                          </pic:cNvPicPr>
                        </pic:nvPicPr>
                        <pic:blipFill>
                          <a:blip r:embed="rId6" cstate="print"/>
                          <a:stretch>
                            <a:fillRect/>
                          </a:stretch>
                        </pic:blipFill>
                        <pic:spPr>
                          <a:xfrm>
                            <a:off x="0" y="0"/>
                            <a:ext cx="311150" cy="1402080"/>
                          </a:xfrm>
                          <a:prstGeom prst="rect">
                            <a:avLst/>
                          </a:prstGeom>
                          <a:noFill/>
                          <a:ln w="9525">
                            <a:noFill/>
                          </a:ln>
                        </pic:spPr>
                      </pic:pic>
                    </a:graphicData>
                  </a:graphic>
                </wp:inline>
              </w:drawing>
            </w:r>
          </w:p>
        </w:tc>
        <w:tc>
          <w:tcPr>
            <w:tcW w:w="567" w:type="dxa"/>
            <w:vAlign w:val="center"/>
          </w:tcPr>
          <w:p w14:paraId="05BBE48B">
            <w:pPr>
              <w:pStyle w:val="6"/>
              <w:jc w:val="center"/>
              <w:rPr>
                <w:sz w:val="21"/>
                <w:szCs w:val="21"/>
              </w:rPr>
            </w:pPr>
            <w:r>
              <w:rPr>
                <w:rFonts w:hint="eastAsia"/>
                <w:sz w:val="21"/>
                <w:szCs w:val="21"/>
              </w:rPr>
              <w:t>4</w:t>
            </w:r>
          </w:p>
        </w:tc>
        <w:tc>
          <w:tcPr>
            <w:tcW w:w="1559" w:type="dxa"/>
            <w:vAlign w:val="center"/>
          </w:tcPr>
          <w:p w14:paraId="2E46B0D5">
            <w:pPr>
              <w:pStyle w:val="6"/>
              <w:jc w:val="center"/>
              <w:rPr>
                <w:sz w:val="21"/>
                <w:szCs w:val="21"/>
              </w:rPr>
            </w:pPr>
            <w:r>
              <w:rPr>
                <w:sz w:val="21"/>
                <w:szCs w:val="21"/>
              </w:rPr>
              <w:t>只</w:t>
            </w:r>
          </w:p>
        </w:tc>
      </w:tr>
      <w:tr w14:paraId="5BE2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4971C2E">
            <w:pPr>
              <w:pStyle w:val="6"/>
              <w:jc w:val="center"/>
              <w:rPr>
                <w:sz w:val="21"/>
                <w:szCs w:val="21"/>
              </w:rPr>
            </w:pPr>
            <w:r>
              <w:rPr>
                <w:rFonts w:hint="eastAsia"/>
                <w:sz w:val="21"/>
                <w:szCs w:val="21"/>
              </w:rPr>
              <w:t>2</w:t>
            </w:r>
          </w:p>
        </w:tc>
        <w:tc>
          <w:tcPr>
            <w:tcW w:w="697" w:type="dxa"/>
            <w:vAlign w:val="center"/>
          </w:tcPr>
          <w:p w14:paraId="4D3F92B7">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40499DA6">
            <w:pPr>
              <w:pStyle w:val="6"/>
              <w:jc w:val="center"/>
              <w:rPr>
                <w:sz w:val="21"/>
                <w:szCs w:val="21"/>
              </w:rPr>
            </w:pPr>
            <w:bookmarkStart w:id="4" w:name="OLE_LINK3"/>
            <w:bookmarkStart w:id="5" w:name="OLE_LINK2"/>
            <w:r>
              <w:rPr>
                <w:rFonts w:hint="eastAsia"/>
                <w:sz w:val="21"/>
                <w:szCs w:val="21"/>
              </w:rPr>
              <w:t>全频扬声器壁装支架（短</w:t>
            </w:r>
            <w:bookmarkEnd w:id="4"/>
            <w:bookmarkEnd w:id="5"/>
          </w:p>
        </w:tc>
        <w:tc>
          <w:tcPr>
            <w:tcW w:w="1442" w:type="dxa"/>
            <w:vAlign w:val="center"/>
          </w:tcPr>
          <w:p w14:paraId="51CCAC42">
            <w:pPr>
              <w:pStyle w:val="6"/>
              <w:jc w:val="center"/>
              <w:rPr>
                <w:sz w:val="21"/>
                <w:szCs w:val="21"/>
              </w:rPr>
            </w:pPr>
            <w:r>
              <w:rPr>
                <w:sz w:val="21"/>
                <w:szCs w:val="21"/>
              </w:rPr>
              <w:t>BG60</w:t>
            </w:r>
          </w:p>
        </w:tc>
        <w:tc>
          <w:tcPr>
            <w:tcW w:w="3402" w:type="dxa"/>
            <w:vAlign w:val="center"/>
          </w:tcPr>
          <w:p w14:paraId="26DD5B05">
            <w:pPr>
              <w:pStyle w:val="6"/>
              <w:jc w:val="center"/>
              <w:rPr>
                <w:sz w:val="21"/>
                <w:szCs w:val="21"/>
              </w:rPr>
            </w:pPr>
            <w:r>
              <w:rPr>
                <w:sz w:val="21"/>
                <w:szCs w:val="21"/>
              </w:rPr>
              <w:drawing>
                <wp:inline distT="0" distB="0" distL="0" distR="0">
                  <wp:extent cx="1524000" cy="1255395"/>
                  <wp:effectExtent l="0" t="0" r="0" b="1905"/>
                  <wp:docPr id="1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2"/>
                          <pic:cNvPicPr>
                            <a:picLocks noChangeAspect="1"/>
                          </pic:cNvPicPr>
                        </pic:nvPicPr>
                        <pic:blipFill>
                          <a:blip r:embed="rId7" cstate="print"/>
                          <a:stretch>
                            <a:fillRect/>
                          </a:stretch>
                        </pic:blipFill>
                        <pic:spPr>
                          <a:xfrm>
                            <a:off x="0" y="0"/>
                            <a:ext cx="1524000" cy="1255395"/>
                          </a:xfrm>
                          <a:prstGeom prst="rect">
                            <a:avLst/>
                          </a:prstGeom>
                          <a:noFill/>
                          <a:ln w="9525">
                            <a:noFill/>
                          </a:ln>
                        </pic:spPr>
                      </pic:pic>
                    </a:graphicData>
                  </a:graphic>
                </wp:inline>
              </w:drawing>
            </w:r>
          </w:p>
        </w:tc>
        <w:tc>
          <w:tcPr>
            <w:tcW w:w="567" w:type="dxa"/>
            <w:vAlign w:val="center"/>
          </w:tcPr>
          <w:p w14:paraId="0E8451B1">
            <w:pPr>
              <w:pStyle w:val="6"/>
              <w:jc w:val="center"/>
              <w:rPr>
                <w:sz w:val="21"/>
                <w:szCs w:val="21"/>
              </w:rPr>
            </w:pPr>
            <w:r>
              <w:rPr>
                <w:rFonts w:hint="eastAsia"/>
                <w:sz w:val="21"/>
                <w:szCs w:val="21"/>
              </w:rPr>
              <w:t>2</w:t>
            </w:r>
          </w:p>
        </w:tc>
        <w:tc>
          <w:tcPr>
            <w:tcW w:w="1559" w:type="dxa"/>
            <w:vAlign w:val="center"/>
          </w:tcPr>
          <w:p w14:paraId="00858ED2">
            <w:pPr>
              <w:pStyle w:val="6"/>
              <w:jc w:val="center"/>
              <w:rPr>
                <w:sz w:val="21"/>
                <w:szCs w:val="21"/>
              </w:rPr>
            </w:pPr>
            <w:r>
              <w:rPr>
                <w:sz w:val="21"/>
                <w:szCs w:val="21"/>
              </w:rPr>
              <w:t>只</w:t>
            </w:r>
          </w:p>
        </w:tc>
      </w:tr>
      <w:tr w14:paraId="3B80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6A26F3A">
            <w:pPr>
              <w:pStyle w:val="6"/>
              <w:jc w:val="center"/>
              <w:rPr>
                <w:sz w:val="21"/>
                <w:szCs w:val="21"/>
              </w:rPr>
            </w:pPr>
            <w:r>
              <w:rPr>
                <w:rFonts w:hint="eastAsia"/>
                <w:sz w:val="21"/>
                <w:szCs w:val="21"/>
              </w:rPr>
              <w:t>3</w:t>
            </w:r>
          </w:p>
        </w:tc>
        <w:tc>
          <w:tcPr>
            <w:tcW w:w="697" w:type="dxa"/>
            <w:vAlign w:val="center"/>
          </w:tcPr>
          <w:p w14:paraId="4E7A0C2E">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18F7CCEE">
            <w:pPr>
              <w:pStyle w:val="6"/>
              <w:jc w:val="center"/>
              <w:rPr>
                <w:sz w:val="21"/>
                <w:szCs w:val="21"/>
              </w:rPr>
            </w:pPr>
            <w:r>
              <w:rPr>
                <w:rFonts w:hint="eastAsia"/>
                <w:sz w:val="21"/>
                <w:szCs w:val="21"/>
              </w:rPr>
              <w:t>两通道功放</w:t>
            </w:r>
          </w:p>
          <w:p w14:paraId="331A61F8">
            <w:pPr>
              <w:pStyle w:val="6"/>
              <w:jc w:val="center"/>
              <w:rPr>
                <w:sz w:val="21"/>
                <w:szCs w:val="21"/>
              </w:rPr>
            </w:pPr>
            <w:r>
              <w:rPr>
                <w:rFonts w:hint="eastAsia"/>
                <w:sz w:val="21"/>
                <w:szCs w:val="21"/>
              </w:rPr>
              <w:t>数字</w:t>
            </w:r>
          </w:p>
          <w:p w14:paraId="3DA933E1">
            <w:pPr>
              <w:pStyle w:val="6"/>
              <w:jc w:val="center"/>
              <w:rPr>
                <w:sz w:val="21"/>
                <w:szCs w:val="21"/>
              </w:rPr>
            </w:pPr>
            <w:r>
              <w:rPr>
                <w:sz w:val="21"/>
                <w:szCs w:val="21"/>
              </w:rPr>
              <w:t>800W*2</w:t>
            </w:r>
          </w:p>
        </w:tc>
        <w:tc>
          <w:tcPr>
            <w:tcW w:w="1442" w:type="dxa"/>
            <w:vAlign w:val="center"/>
          </w:tcPr>
          <w:p w14:paraId="75802F4F">
            <w:pPr>
              <w:pStyle w:val="6"/>
              <w:jc w:val="center"/>
              <w:rPr>
                <w:sz w:val="21"/>
                <w:szCs w:val="21"/>
              </w:rPr>
            </w:pPr>
            <w:r>
              <w:rPr>
                <w:sz w:val="21"/>
                <w:szCs w:val="21"/>
              </w:rPr>
              <w:t>AD800.2</w:t>
            </w:r>
          </w:p>
        </w:tc>
        <w:tc>
          <w:tcPr>
            <w:tcW w:w="3402" w:type="dxa"/>
            <w:vAlign w:val="center"/>
          </w:tcPr>
          <w:p w14:paraId="0A0F6546">
            <w:pPr>
              <w:pStyle w:val="6"/>
              <w:jc w:val="center"/>
              <w:rPr>
                <w:sz w:val="21"/>
                <w:szCs w:val="21"/>
              </w:rPr>
            </w:pPr>
            <w:r>
              <w:rPr>
                <w:sz w:val="21"/>
                <w:szCs w:val="21"/>
              </w:rPr>
              <w:drawing>
                <wp:inline distT="0" distB="0" distL="0" distR="0">
                  <wp:extent cx="1730375" cy="257810"/>
                  <wp:effectExtent l="0" t="0" r="3175" b="8890"/>
                  <wp:docPr id="1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3"/>
                          <pic:cNvPicPr>
                            <a:picLocks noChangeAspect="1"/>
                          </pic:cNvPicPr>
                        </pic:nvPicPr>
                        <pic:blipFill>
                          <a:blip r:embed="rId8" cstate="print"/>
                          <a:stretch>
                            <a:fillRect/>
                          </a:stretch>
                        </pic:blipFill>
                        <pic:spPr>
                          <a:xfrm>
                            <a:off x="0" y="0"/>
                            <a:ext cx="1730375" cy="257810"/>
                          </a:xfrm>
                          <a:prstGeom prst="rect">
                            <a:avLst/>
                          </a:prstGeom>
                          <a:noFill/>
                          <a:ln w="9525">
                            <a:noFill/>
                          </a:ln>
                        </pic:spPr>
                      </pic:pic>
                    </a:graphicData>
                  </a:graphic>
                </wp:inline>
              </w:drawing>
            </w:r>
          </w:p>
        </w:tc>
        <w:tc>
          <w:tcPr>
            <w:tcW w:w="567" w:type="dxa"/>
            <w:vAlign w:val="center"/>
          </w:tcPr>
          <w:p w14:paraId="2A0F0C62">
            <w:pPr>
              <w:pStyle w:val="6"/>
              <w:jc w:val="center"/>
              <w:rPr>
                <w:sz w:val="21"/>
                <w:szCs w:val="21"/>
              </w:rPr>
            </w:pPr>
            <w:r>
              <w:rPr>
                <w:rFonts w:hint="eastAsia"/>
                <w:sz w:val="21"/>
                <w:szCs w:val="21"/>
              </w:rPr>
              <w:t>1</w:t>
            </w:r>
          </w:p>
        </w:tc>
        <w:tc>
          <w:tcPr>
            <w:tcW w:w="1559" w:type="dxa"/>
            <w:vAlign w:val="center"/>
          </w:tcPr>
          <w:p w14:paraId="27453865">
            <w:pPr>
              <w:pStyle w:val="6"/>
              <w:jc w:val="center"/>
              <w:rPr>
                <w:sz w:val="21"/>
                <w:szCs w:val="21"/>
              </w:rPr>
            </w:pPr>
            <w:r>
              <w:rPr>
                <w:sz w:val="21"/>
                <w:szCs w:val="21"/>
              </w:rPr>
              <w:t>台</w:t>
            </w:r>
          </w:p>
        </w:tc>
      </w:tr>
      <w:tr w14:paraId="67F2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48489A91">
            <w:pPr>
              <w:pStyle w:val="6"/>
              <w:jc w:val="center"/>
              <w:rPr>
                <w:sz w:val="21"/>
                <w:szCs w:val="21"/>
              </w:rPr>
            </w:pPr>
            <w:r>
              <w:rPr>
                <w:rFonts w:hint="eastAsia"/>
                <w:sz w:val="21"/>
                <w:szCs w:val="21"/>
              </w:rPr>
              <w:t>4</w:t>
            </w:r>
          </w:p>
        </w:tc>
        <w:tc>
          <w:tcPr>
            <w:tcW w:w="697" w:type="dxa"/>
            <w:vAlign w:val="center"/>
          </w:tcPr>
          <w:p w14:paraId="3DF5F371">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35B1B36B">
            <w:pPr>
              <w:pStyle w:val="6"/>
              <w:jc w:val="center"/>
              <w:rPr>
                <w:sz w:val="21"/>
                <w:szCs w:val="21"/>
              </w:rPr>
            </w:pPr>
            <w:r>
              <w:rPr>
                <w:rFonts w:hint="eastAsia"/>
                <w:sz w:val="21"/>
                <w:szCs w:val="21"/>
              </w:rPr>
              <w:t>数字反馈抑制器</w:t>
            </w:r>
          </w:p>
        </w:tc>
        <w:tc>
          <w:tcPr>
            <w:tcW w:w="1442" w:type="dxa"/>
            <w:vAlign w:val="center"/>
          </w:tcPr>
          <w:p w14:paraId="6BA36CC0">
            <w:pPr>
              <w:pStyle w:val="6"/>
              <w:jc w:val="center"/>
              <w:rPr>
                <w:sz w:val="21"/>
                <w:szCs w:val="21"/>
              </w:rPr>
            </w:pPr>
            <w:r>
              <w:rPr>
                <w:sz w:val="21"/>
                <w:szCs w:val="21"/>
              </w:rPr>
              <w:t>T-FBK6</w:t>
            </w:r>
          </w:p>
        </w:tc>
        <w:tc>
          <w:tcPr>
            <w:tcW w:w="3402" w:type="dxa"/>
            <w:vAlign w:val="center"/>
          </w:tcPr>
          <w:p w14:paraId="6802DF96">
            <w:pPr>
              <w:pStyle w:val="6"/>
              <w:jc w:val="center"/>
              <w:rPr>
                <w:sz w:val="21"/>
                <w:szCs w:val="21"/>
              </w:rPr>
            </w:pPr>
            <w:r>
              <w:rPr>
                <w:sz w:val="21"/>
                <w:szCs w:val="21"/>
              </w:rPr>
              <w:drawing>
                <wp:inline distT="0" distB="0" distL="0" distR="0">
                  <wp:extent cx="1817370" cy="347345"/>
                  <wp:effectExtent l="0" t="0" r="11430" b="14605"/>
                  <wp:docPr id="16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5"/>
                          <pic:cNvPicPr>
                            <a:picLocks noChangeAspect="1"/>
                          </pic:cNvPicPr>
                        </pic:nvPicPr>
                        <pic:blipFill>
                          <a:blip r:embed="rId9" cstate="print"/>
                          <a:stretch>
                            <a:fillRect/>
                          </a:stretch>
                        </pic:blipFill>
                        <pic:spPr>
                          <a:xfrm>
                            <a:off x="0" y="0"/>
                            <a:ext cx="1817370" cy="347345"/>
                          </a:xfrm>
                          <a:prstGeom prst="rect">
                            <a:avLst/>
                          </a:prstGeom>
                          <a:noFill/>
                          <a:ln w="9525">
                            <a:noFill/>
                          </a:ln>
                        </pic:spPr>
                      </pic:pic>
                    </a:graphicData>
                  </a:graphic>
                </wp:inline>
              </w:drawing>
            </w:r>
          </w:p>
        </w:tc>
        <w:tc>
          <w:tcPr>
            <w:tcW w:w="567" w:type="dxa"/>
            <w:vAlign w:val="center"/>
          </w:tcPr>
          <w:p w14:paraId="24DDDE43">
            <w:pPr>
              <w:pStyle w:val="6"/>
              <w:jc w:val="center"/>
              <w:rPr>
                <w:sz w:val="21"/>
                <w:szCs w:val="21"/>
              </w:rPr>
            </w:pPr>
            <w:r>
              <w:rPr>
                <w:rFonts w:hint="eastAsia"/>
                <w:sz w:val="21"/>
                <w:szCs w:val="21"/>
              </w:rPr>
              <w:t>1</w:t>
            </w:r>
          </w:p>
        </w:tc>
        <w:tc>
          <w:tcPr>
            <w:tcW w:w="1559" w:type="dxa"/>
            <w:vAlign w:val="center"/>
          </w:tcPr>
          <w:p w14:paraId="2A316964">
            <w:pPr>
              <w:pStyle w:val="6"/>
              <w:jc w:val="center"/>
              <w:rPr>
                <w:sz w:val="21"/>
                <w:szCs w:val="21"/>
              </w:rPr>
            </w:pPr>
            <w:r>
              <w:rPr>
                <w:sz w:val="21"/>
                <w:szCs w:val="21"/>
              </w:rPr>
              <w:t>台</w:t>
            </w:r>
          </w:p>
        </w:tc>
      </w:tr>
      <w:tr w14:paraId="3632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E9C4CDE">
            <w:pPr>
              <w:pStyle w:val="6"/>
              <w:jc w:val="center"/>
              <w:rPr>
                <w:sz w:val="21"/>
                <w:szCs w:val="21"/>
              </w:rPr>
            </w:pPr>
            <w:r>
              <w:rPr>
                <w:rFonts w:hint="eastAsia"/>
                <w:sz w:val="21"/>
                <w:szCs w:val="21"/>
              </w:rPr>
              <w:t>5</w:t>
            </w:r>
          </w:p>
        </w:tc>
        <w:tc>
          <w:tcPr>
            <w:tcW w:w="697" w:type="dxa"/>
            <w:vAlign w:val="center"/>
          </w:tcPr>
          <w:p w14:paraId="6655DEE8">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4F7F5C31">
            <w:pPr>
              <w:pStyle w:val="6"/>
              <w:jc w:val="center"/>
              <w:rPr>
                <w:sz w:val="21"/>
                <w:szCs w:val="21"/>
              </w:rPr>
            </w:pPr>
            <w:r>
              <w:rPr>
                <w:rFonts w:hint="eastAsia"/>
                <w:sz w:val="21"/>
                <w:szCs w:val="21"/>
              </w:rPr>
              <w:t>KTV专业前级</w:t>
            </w:r>
          </w:p>
        </w:tc>
        <w:tc>
          <w:tcPr>
            <w:tcW w:w="1442" w:type="dxa"/>
            <w:vAlign w:val="center"/>
          </w:tcPr>
          <w:p w14:paraId="2C0107F1">
            <w:pPr>
              <w:pStyle w:val="6"/>
              <w:jc w:val="center"/>
              <w:rPr>
                <w:sz w:val="21"/>
                <w:szCs w:val="21"/>
              </w:rPr>
            </w:pPr>
            <w:r>
              <w:rPr>
                <w:sz w:val="21"/>
                <w:szCs w:val="21"/>
              </w:rPr>
              <w:t>T8</w:t>
            </w:r>
          </w:p>
        </w:tc>
        <w:tc>
          <w:tcPr>
            <w:tcW w:w="3402" w:type="dxa"/>
            <w:vAlign w:val="center"/>
          </w:tcPr>
          <w:p w14:paraId="760BD53A">
            <w:pPr>
              <w:pStyle w:val="6"/>
              <w:jc w:val="center"/>
              <w:rPr>
                <w:sz w:val="21"/>
                <w:szCs w:val="21"/>
              </w:rPr>
            </w:pPr>
            <w:r>
              <w:rPr>
                <w:sz w:val="21"/>
                <w:szCs w:val="21"/>
              </w:rPr>
              <w:drawing>
                <wp:inline distT="0" distB="0" distL="0" distR="0">
                  <wp:extent cx="1856105" cy="429895"/>
                  <wp:effectExtent l="0" t="0" r="10795" b="8255"/>
                  <wp:docPr id="16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6"/>
                          <pic:cNvPicPr>
                            <a:picLocks noChangeAspect="1"/>
                          </pic:cNvPicPr>
                        </pic:nvPicPr>
                        <pic:blipFill>
                          <a:blip r:embed="rId10" cstate="print"/>
                          <a:stretch>
                            <a:fillRect/>
                          </a:stretch>
                        </pic:blipFill>
                        <pic:spPr>
                          <a:xfrm>
                            <a:off x="0" y="0"/>
                            <a:ext cx="1856105" cy="429895"/>
                          </a:xfrm>
                          <a:prstGeom prst="rect">
                            <a:avLst/>
                          </a:prstGeom>
                          <a:noFill/>
                          <a:ln w="9525">
                            <a:noFill/>
                          </a:ln>
                        </pic:spPr>
                      </pic:pic>
                    </a:graphicData>
                  </a:graphic>
                </wp:inline>
              </w:drawing>
            </w:r>
          </w:p>
        </w:tc>
        <w:tc>
          <w:tcPr>
            <w:tcW w:w="567" w:type="dxa"/>
            <w:vAlign w:val="center"/>
          </w:tcPr>
          <w:p w14:paraId="6D98FF9D">
            <w:pPr>
              <w:pStyle w:val="6"/>
              <w:jc w:val="center"/>
              <w:rPr>
                <w:sz w:val="21"/>
                <w:szCs w:val="21"/>
              </w:rPr>
            </w:pPr>
            <w:r>
              <w:rPr>
                <w:rFonts w:hint="eastAsia"/>
                <w:sz w:val="21"/>
                <w:szCs w:val="21"/>
              </w:rPr>
              <w:t>1</w:t>
            </w:r>
          </w:p>
        </w:tc>
        <w:tc>
          <w:tcPr>
            <w:tcW w:w="1559" w:type="dxa"/>
            <w:vAlign w:val="center"/>
          </w:tcPr>
          <w:p w14:paraId="311E428E">
            <w:pPr>
              <w:pStyle w:val="6"/>
              <w:jc w:val="center"/>
              <w:rPr>
                <w:sz w:val="21"/>
                <w:szCs w:val="21"/>
              </w:rPr>
            </w:pPr>
            <w:r>
              <w:rPr>
                <w:sz w:val="21"/>
                <w:szCs w:val="21"/>
              </w:rPr>
              <w:t>台</w:t>
            </w:r>
          </w:p>
        </w:tc>
      </w:tr>
      <w:tr w14:paraId="0758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4E40FB6">
            <w:pPr>
              <w:pStyle w:val="6"/>
              <w:jc w:val="center"/>
              <w:rPr>
                <w:sz w:val="21"/>
                <w:szCs w:val="21"/>
              </w:rPr>
            </w:pPr>
            <w:r>
              <w:rPr>
                <w:rFonts w:hint="eastAsia"/>
                <w:sz w:val="21"/>
                <w:szCs w:val="21"/>
              </w:rPr>
              <w:t>6</w:t>
            </w:r>
          </w:p>
        </w:tc>
        <w:tc>
          <w:tcPr>
            <w:tcW w:w="697" w:type="dxa"/>
            <w:vAlign w:val="center"/>
          </w:tcPr>
          <w:p w14:paraId="44EEAB30">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113BDD46">
            <w:pPr>
              <w:pStyle w:val="6"/>
              <w:jc w:val="center"/>
              <w:rPr>
                <w:sz w:val="21"/>
                <w:szCs w:val="21"/>
              </w:rPr>
            </w:pPr>
            <w:r>
              <w:rPr>
                <w:rFonts w:hint="eastAsia"/>
                <w:sz w:val="21"/>
                <w:szCs w:val="21"/>
              </w:rPr>
              <w:t>14路带效果带4编组带MP3调音台</w:t>
            </w:r>
          </w:p>
        </w:tc>
        <w:tc>
          <w:tcPr>
            <w:tcW w:w="1442" w:type="dxa"/>
            <w:vAlign w:val="center"/>
          </w:tcPr>
          <w:p w14:paraId="7F5BDC31">
            <w:pPr>
              <w:pStyle w:val="6"/>
              <w:jc w:val="center"/>
              <w:rPr>
                <w:sz w:val="21"/>
                <w:szCs w:val="21"/>
              </w:rPr>
            </w:pPr>
            <w:r>
              <w:rPr>
                <w:sz w:val="21"/>
                <w:szCs w:val="21"/>
              </w:rPr>
              <w:t>MXi1422CFX</w:t>
            </w:r>
          </w:p>
        </w:tc>
        <w:tc>
          <w:tcPr>
            <w:tcW w:w="3402" w:type="dxa"/>
            <w:vAlign w:val="center"/>
          </w:tcPr>
          <w:p w14:paraId="0A4C85AE">
            <w:pPr>
              <w:pStyle w:val="6"/>
              <w:jc w:val="center"/>
              <w:rPr>
                <w:sz w:val="21"/>
                <w:szCs w:val="21"/>
              </w:rPr>
            </w:pPr>
            <w:r>
              <w:rPr>
                <w:sz w:val="21"/>
                <w:szCs w:val="21"/>
              </w:rPr>
              <w:drawing>
                <wp:inline distT="0" distB="0" distL="0" distR="0">
                  <wp:extent cx="1318895" cy="1172210"/>
                  <wp:effectExtent l="0" t="0" r="14605" b="8890"/>
                  <wp:docPr id="16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7"/>
                          <pic:cNvPicPr>
                            <a:picLocks noChangeAspect="1"/>
                          </pic:cNvPicPr>
                        </pic:nvPicPr>
                        <pic:blipFill>
                          <a:blip r:embed="rId11" cstate="print"/>
                          <a:stretch>
                            <a:fillRect/>
                          </a:stretch>
                        </pic:blipFill>
                        <pic:spPr>
                          <a:xfrm>
                            <a:off x="0" y="0"/>
                            <a:ext cx="1318895" cy="1172210"/>
                          </a:xfrm>
                          <a:prstGeom prst="rect">
                            <a:avLst/>
                          </a:prstGeom>
                          <a:noFill/>
                          <a:ln w="9525">
                            <a:noFill/>
                          </a:ln>
                        </pic:spPr>
                      </pic:pic>
                    </a:graphicData>
                  </a:graphic>
                </wp:inline>
              </w:drawing>
            </w:r>
          </w:p>
        </w:tc>
        <w:tc>
          <w:tcPr>
            <w:tcW w:w="567" w:type="dxa"/>
            <w:vAlign w:val="center"/>
          </w:tcPr>
          <w:p w14:paraId="0E007003">
            <w:pPr>
              <w:pStyle w:val="6"/>
              <w:jc w:val="center"/>
              <w:rPr>
                <w:sz w:val="21"/>
                <w:szCs w:val="21"/>
              </w:rPr>
            </w:pPr>
            <w:r>
              <w:rPr>
                <w:rFonts w:hint="eastAsia"/>
                <w:sz w:val="21"/>
                <w:szCs w:val="21"/>
              </w:rPr>
              <w:t>1</w:t>
            </w:r>
          </w:p>
        </w:tc>
        <w:tc>
          <w:tcPr>
            <w:tcW w:w="1559" w:type="dxa"/>
            <w:vAlign w:val="center"/>
          </w:tcPr>
          <w:p w14:paraId="58786932">
            <w:pPr>
              <w:pStyle w:val="6"/>
              <w:jc w:val="center"/>
              <w:rPr>
                <w:sz w:val="21"/>
                <w:szCs w:val="21"/>
              </w:rPr>
            </w:pPr>
            <w:r>
              <w:rPr>
                <w:sz w:val="21"/>
                <w:szCs w:val="21"/>
              </w:rPr>
              <w:t>台</w:t>
            </w:r>
          </w:p>
        </w:tc>
      </w:tr>
      <w:tr w14:paraId="63F0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095DB2A">
            <w:pPr>
              <w:pStyle w:val="6"/>
              <w:jc w:val="center"/>
              <w:rPr>
                <w:sz w:val="21"/>
                <w:szCs w:val="21"/>
              </w:rPr>
            </w:pPr>
            <w:r>
              <w:rPr>
                <w:rFonts w:hint="eastAsia"/>
                <w:sz w:val="21"/>
                <w:szCs w:val="21"/>
              </w:rPr>
              <w:t>7</w:t>
            </w:r>
          </w:p>
        </w:tc>
        <w:tc>
          <w:tcPr>
            <w:tcW w:w="697" w:type="dxa"/>
            <w:vAlign w:val="center"/>
          </w:tcPr>
          <w:p w14:paraId="3220C233">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38E50F9B">
            <w:pPr>
              <w:pStyle w:val="6"/>
              <w:jc w:val="center"/>
              <w:rPr>
                <w:sz w:val="21"/>
                <w:szCs w:val="21"/>
              </w:rPr>
            </w:pPr>
            <w:r>
              <w:rPr>
                <w:rFonts w:hint="eastAsia"/>
                <w:sz w:val="21"/>
                <w:szCs w:val="21"/>
              </w:rPr>
              <w:t>一拖四手持/头戴无线话筒</w:t>
            </w:r>
          </w:p>
        </w:tc>
        <w:tc>
          <w:tcPr>
            <w:tcW w:w="1442" w:type="dxa"/>
            <w:vAlign w:val="center"/>
          </w:tcPr>
          <w:p w14:paraId="13D3C118">
            <w:pPr>
              <w:pStyle w:val="6"/>
              <w:jc w:val="center"/>
              <w:rPr>
                <w:sz w:val="21"/>
                <w:szCs w:val="21"/>
              </w:rPr>
            </w:pPr>
            <w:r>
              <w:rPr>
                <w:sz w:val="21"/>
                <w:szCs w:val="21"/>
              </w:rPr>
              <w:t>U4.500</w:t>
            </w:r>
          </w:p>
        </w:tc>
        <w:tc>
          <w:tcPr>
            <w:tcW w:w="3402" w:type="dxa"/>
            <w:vAlign w:val="center"/>
          </w:tcPr>
          <w:p w14:paraId="2311228C">
            <w:pPr>
              <w:pStyle w:val="6"/>
              <w:jc w:val="center"/>
              <w:rPr>
                <w:sz w:val="21"/>
                <w:szCs w:val="21"/>
              </w:rPr>
            </w:pPr>
            <w:r>
              <w:rPr>
                <w:sz w:val="21"/>
                <w:szCs w:val="21"/>
              </w:rPr>
              <w:drawing>
                <wp:inline distT="0" distB="0" distL="0" distR="0">
                  <wp:extent cx="1825625" cy="819150"/>
                  <wp:effectExtent l="0" t="0" r="3175" b="0"/>
                  <wp:docPr id="16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8"/>
                          <pic:cNvPicPr>
                            <a:picLocks noChangeAspect="1"/>
                          </pic:cNvPicPr>
                        </pic:nvPicPr>
                        <pic:blipFill>
                          <a:blip r:embed="rId12" cstate="print"/>
                          <a:stretch>
                            <a:fillRect/>
                          </a:stretch>
                        </pic:blipFill>
                        <pic:spPr>
                          <a:xfrm>
                            <a:off x="0" y="0"/>
                            <a:ext cx="1825625" cy="819150"/>
                          </a:xfrm>
                          <a:prstGeom prst="rect">
                            <a:avLst/>
                          </a:prstGeom>
                          <a:noFill/>
                          <a:ln w="9525">
                            <a:noFill/>
                          </a:ln>
                        </pic:spPr>
                      </pic:pic>
                    </a:graphicData>
                  </a:graphic>
                </wp:inline>
              </w:drawing>
            </w:r>
          </w:p>
        </w:tc>
        <w:tc>
          <w:tcPr>
            <w:tcW w:w="567" w:type="dxa"/>
            <w:vAlign w:val="center"/>
          </w:tcPr>
          <w:p w14:paraId="795C5589">
            <w:pPr>
              <w:pStyle w:val="6"/>
              <w:jc w:val="center"/>
              <w:rPr>
                <w:sz w:val="21"/>
                <w:szCs w:val="21"/>
              </w:rPr>
            </w:pPr>
            <w:r>
              <w:rPr>
                <w:rFonts w:hint="eastAsia"/>
                <w:sz w:val="21"/>
                <w:szCs w:val="21"/>
              </w:rPr>
              <w:t>1</w:t>
            </w:r>
          </w:p>
        </w:tc>
        <w:tc>
          <w:tcPr>
            <w:tcW w:w="1559" w:type="dxa"/>
            <w:vAlign w:val="center"/>
          </w:tcPr>
          <w:p w14:paraId="0DC3E976">
            <w:pPr>
              <w:pStyle w:val="6"/>
              <w:jc w:val="center"/>
              <w:rPr>
                <w:sz w:val="21"/>
                <w:szCs w:val="21"/>
              </w:rPr>
            </w:pPr>
            <w:r>
              <w:rPr>
                <w:sz w:val="21"/>
                <w:szCs w:val="21"/>
              </w:rPr>
              <w:t>套</w:t>
            </w:r>
          </w:p>
        </w:tc>
      </w:tr>
      <w:tr w14:paraId="6ECB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7DBD744">
            <w:pPr>
              <w:pStyle w:val="6"/>
              <w:jc w:val="center"/>
              <w:rPr>
                <w:sz w:val="21"/>
                <w:szCs w:val="21"/>
              </w:rPr>
            </w:pPr>
            <w:r>
              <w:rPr>
                <w:rFonts w:hint="eastAsia"/>
                <w:sz w:val="21"/>
                <w:szCs w:val="21"/>
              </w:rPr>
              <w:t>8</w:t>
            </w:r>
          </w:p>
        </w:tc>
        <w:tc>
          <w:tcPr>
            <w:tcW w:w="697" w:type="dxa"/>
            <w:vAlign w:val="center"/>
          </w:tcPr>
          <w:p w14:paraId="7BB79D7B">
            <w:pPr>
              <w:jc w:val="center"/>
              <w:rPr>
                <w:rFonts w:ascii="微软雅黑" w:hAnsi="微软雅黑" w:eastAsia="微软雅黑" w:cs="宋体"/>
                <w:sz w:val="20"/>
                <w:szCs w:val="20"/>
              </w:rPr>
            </w:pPr>
            <w:r>
              <w:rPr>
                <w:rFonts w:hint="eastAsia" w:ascii="微软雅黑" w:hAnsi="微软雅黑" w:eastAsia="微软雅黑"/>
                <w:sz w:val="20"/>
                <w:szCs w:val="20"/>
              </w:rPr>
              <w:t>DMT</w:t>
            </w:r>
            <w:r>
              <w:rPr>
                <w:rFonts w:hint="eastAsia" w:ascii="微软雅黑" w:hAnsi="微软雅黑" w:eastAsia="微软雅黑"/>
                <w:sz w:val="20"/>
                <w:szCs w:val="20"/>
              </w:rPr>
              <w:br w:type="textWrapping"/>
            </w:r>
            <w:r>
              <w:rPr>
                <w:rFonts w:hint="eastAsia" w:ascii="微软雅黑" w:hAnsi="微软雅黑" w:eastAsia="微软雅黑"/>
                <w:sz w:val="20"/>
                <w:szCs w:val="20"/>
              </w:rPr>
              <w:t>精格电子</w:t>
            </w:r>
          </w:p>
        </w:tc>
        <w:tc>
          <w:tcPr>
            <w:tcW w:w="1362" w:type="dxa"/>
            <w:vAlign w:val="center"/>
          </w:tcPr>
          <w:p w14:paraId="7B810703">
            <w:pPr>
              <w:jc w:val="center"/>
              <w:rPr>
                <w:szCs w:val="21"/>
              </w:rPr>
            </w:pPr>
            <w:r>
              <w:rPr>
                <w:rFonts w:hint="eastAsia"/>
                <w:szCs w:val="21"/>
              </w:rPr>
              <w:t>8路电源时序器（带空气开关</w:t>
            </w:r>
          </w:p>
        </w:tc>
        <w:tc>
          <w:tcPr>
            <w:tcW w:w="1442" w:type="dxa"/>
            <w:vAlign w:val="center"/>
          </w:tcPr>
          <w:p w14:paraId="3AFE2F1A">
            <w:pPr>
              <w:pStyle w:val="6"/>
              <w:jc w:val="center"/>
              <w:rPr>
                <w:sz w:val="21"/>
                <w:szCs w:val="21"/>
              </w:rPr>
            </w:pPr>
            <w:r>
              <w:rPr>
                <w:sz w:val="21"/>
                <w:szCs w:val="21"/>
              </w:rPr>
              <w:t>TPA908</w:t>
            </w:r>
          </w:p>
        </w:tc>
        <w:tc>
          <w:tcPr>
            <w:tcW w:w="3402" w:type="dxa"/>
            <w:vAlign w:val="center"/>
          </w:tcPr>
          <w:p w14:paraId="25620442">
            <w:pPr>
              <w:pStyle w:val="6"/>
              <w:jc w:val="center"/>
              <w:rPr>
                <w:sz w:val="21"/>
                <w:szCs w:val="21"/>
              </w:rPr>
            </w:pPr>
            <w:r>
              <w:rPr>
                <w:sz w:val="21"/>
                <w:szCs w:val="21"/>
              </w:rPr>
              <w:drawing>
                <wp:inline distT="0" distB="0" distL="0" distR="0">
                  <wp:extent cx="1880235" cy="363220"/>
                  <wp:effectExtent l="0" t="0" r="5715" b="17780"/>
                  <wp:docPr id="16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9"/>
                          <pic:cNvPicPr>
                            <a:picLocks noChangeAspect="1"/>
                          </pic:cNvPicPr>
                        </pic:nvPicPr>
                        <pic:blipFill>
                          <a:blip r:embed="rId13" cstate="print"/>
                          <a:stretch>
                            <a:fillRect/>
                          </a:stretch>
                        </pic:blipFill>
                        <pic:spPr>
                          <a:xfrm>
                            <a:off x="0" y="0"/>
                            <a:ext cx="1880235" cy="363220"/>
                          </a:xfrm>
                          <a:prstGeom prst="rect">
                            <a:avLst/>
                          </a:prstGeom>
                          <a:noFill/>
                          <a:ln w="9525">
                            <a:noFill/>
                          </a:ln>
                        </pic:spPr>
                      </pic:pic>
                    </a:graphicData>
                  </a:graphic>
                </wp:inline>
              </w:drawing>
            </w:r>
          </w:p>
        </w:tc>
        <w:tc>
          <w:tcPr>
            <w:tcW w:w="567" w:type="dxa"/>
            <w:vAlign w:val="center"/>
          </w:tcPr>
          <w:p w14:paraId="65225D01">
            <w:pPr>
              <w:pStyle w:val="6"/>
              <w:jc w:val="center"/>
              <w:rPr>
                <w:sz w:val="21"/>
                <w:szCs w:val="21"/>
              </w:rPr>
            </w:pPr>
          </w:p>
        </w:tc>
        <w:tc>
          <w:tcPr>
            <w:tcW w:w="1559" w:type="dxa"/>
            <w:vAlign w:val="center"/>
          </w:tcPr>
          <w:p w14:paraId="2644982E">
            <w:pPr>
              <w:pStyle w:val="6"/>
              <w:jc w:val="center"/>
              <w:rPr>
                <w:sz w:val="21"/>
                <w:szCs w:val="21"/>
              </w:rPr>
            </w:pPr>
          </w:p>
        </w:tc>
      </w:tr>
      <w:tr w14:paraId="3221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97C9C3F">
            <w:pPr>
              <w:pStyle w:val="6"/>
              <w:jc w:val="center"/>
              <w:rPr>
                <w:sz w:val="21"/>
                <w:szCs w:val="21"/>
              </w:rPr>
            </w:pPr>
            <w:r>
              <w:rPr>
                <w:rFonts w:hint="eastAsia"/>
                <w:sz w:val="21"/>
                <w:szCs w:val="21"/>
              </w:rPr>
              <w:t>9</w:t>
            </w:r>
          </w:p>
        </w:tc>
        <w:tc>
          <w:tcPr>
            <w:tcW w:w="2059" w:type="dxa"/>
            <w:gridSpan w:val="2"/>
            <w:vAlign w:val="center"/>
          </w:tcPr>
          <w:p w14:paraId="749F7975">
            <w:pPr>
              <w:pStyle w:val="6"/>
              <w:jc w:val="center"/>
              <w:rPr>
                <w:sz w:val="21"/>
                <w:szCs w:val="21"/>
              </w:rPr>
            </w:pPr>
            <w:r>
              <w:rPr>
                <w:sz w:val="21"/>
                <w:szCs w:val="21"/>
              </w:rPr>
              <w:t>线材</w:t>
            </w:r>
          </w:p>
        </w:tc>
        <w:tc>
          <w:tcPr>
            <w:tcW w:w="1442" w:type="dxa"/>
            <w:vAlign w:val="center"/>
          </w:tcPr>
          <w:p w14:paraId="0585757E">
            <w:pPr>
              <w:pStyle w:val="6"/>
              <w:jc w:val="center"/>
              <w:rPr>
                <w:sz w:val="21"/>
                <w:szCs w:val="21"/>
              </w:rPr>
            </w:pPr>
          </w:p>
        </w:tc>
        <w:tc>
          <w:tcPr>
            <w:tcW w:w="3402" w:type="dxa"/>
            <w:vAlign w:val="center"/>
          </w:tcPr>
          <w:p w14:paraId="5C9B9E8C">
            <w:pPr>
              <w:pStyle w:val="6"/>
              <w:jc w:val="center"/>
              <w:rPr>
                <w:sz w:val="21"/>
                <w:szCs w:val="21"/>
              </w:rPr>
            </w:pPr>
          </w:p>
        </w:tc>
        <w:tc>
          <w:tcPr>
            <w:tcW w:w="567" w:type="dxa"/>
            <w:vAlign w:val="center"/>
          </w:tcPr>
          <w:p w14:paraId="3486115B">
            <w:pPr>
              <w:pStyle w:val="6"/>
              <w:jc w:val="center"/>
              <w:rPr>
                <w:sz w:val="21"/>
                <w:szCs w:val="21"/>
              </w:rPr>
            </w:pPr>
            <w:r>
              <w:rPr>
                <w:rFonts w:hint="eastAsia"/>
                <w:sz w:val="21"/>
                <w:szCs w:val="21"/>
              </w:rPr>
              <w:t>1</w:t>
            </w:r>
          </w:p>
        </w:tc>
        <w:tc>
          <w:tcPr>
            <w:tcW w:w="1559" w:type="dxa"/>
            <w:vAlign w:val="center"/>
          </w:tcPr>
          <w:p w14:paraId="2473FE78">
            <w:pPr>
              <w:pStyle w:val="6"/>
              <w:jc w:val="center"/>
              <w:rPr>
                <w:sz w:val="21"/>
                <w:szCs w:val="21"/>
              </w:rPr>
            </w:pPr>
            <w:r>
              <w:rPr>
                <w:sz w:val="21"/>
                <w:szCs w:val="21"/>
              </w:rPr>
              <w:t>套</w:t>
            </w:r>
          </w:p>
        </w:tc>
      </w:tr>
      <w:tr w14:paraId="4E8E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C57A517">
            <w:pPr>
              <w:pStyle w:val="6"/>
              <w:jc w:val="center"/>
              <w:rPr>
                <w:sz w:val="21"/>
                <w:szCs w:val="21"/>
              </w:rPr>
            </w:pPr>
            <w:r>
              <w:rPr>
                <w:rFonts w:hint="eastAsia"/>
                <w:sz w:val="21"/>
                <w:szCs w:val="21"/>
              </w:rPr>
              <w:t>10</w:t>
            </w:r>
          </w:p>
        </w:tc>
        <w:tc>
          <w:tcPr>
            <w:tcW w:w="2059" w:type="dxa"/>
            <w:gridSpan w:val="2"/>
            <w:vAlign w:val="center"/>
          </w:tcPr>
          <w:p w14:paraId="2B6C5574">
            <w:pPr>
              <w:pStyle w:val="6"/>
              <w:jc w:val="center"/>
              <w:rPr>
                <w:sz w:val="21"/>
                <w:szCs w:val="21"/>
              </w:rPr>
            </w:pPr>
            <w:r>
              <w:rPr>
                <w:sz w:val="21"/>
                <w:szCs w:val="21"/>
              </w:rPr>
              <w:t>机柜</w:t>
            </w:r>
          </w:p>
        </w:tc>
        <w:tc>
          <w:tcPr>
            <w:tcW w:w="1442" w:type="dxa"/>
            <w:vAlign w:val="center"/>
          </w:tcPr>
          <w:p w14:paraId="77A4CA7E">
            <w:pPr>
              <w:pStyle w:val="6"/>
              <w:jc w:val="center"/>
              <w:rPr>
                <w:sz w:val="21"/>
                <w:szCs w:val="21"/>
              </w:rPr>
            </w:pPr>
          </w:p>
        </w:tc>
        <w:tc>
          <w:tcPr>
            <w:tcW w:w="3402" w:type="dxa"/>
            <w:vAlign w:val="center"/>
          </w:tcPr>
          <w:p w14:paraId="28E411A9">
            <w:pPr>
              <w:pStyle w:val="6"/>
              <w:jc w:val="center"/>
              <w:rPr>
                <w:sz w:val="21"/>
                <w:szCs w:val="21"/>
              </w:rPr>
            </w:pPr>
          </w:p>
        </w:tc>
        <w:tc>
          <w:tcPr>
            <w:tcW w:w="567" w:type="dxa"/>
            <w:vAlign w:val="center"/>
          </w:tcPr>
          <w:p w14:paraId="0746047F">
            <w:pPr>
              <w:pStyle w:val="6"/>
              <w:jc w:val="center"/>
              <w:rPr>
                <w:sz w:val="21"/>
                <w:szCs w:val="21"/>
              </w:rPr>
            </w:pPr>
            <w:r>
              <w:rPr>
                <w:rFonts w:hint="eastAsia"/>
                <w:sz w:val="21"/>
                <w:szCs w:val="21"/>
              </w:rPr>
              <w:t>1</w:t>
            </w:r>
          </w:p>
        </w:tc>
        <w:tc>
          <w:tcPr>
            <w:tcW w:w="1559" w:type="dxa"/>
            <w:vAlign w:val="center"/>
          </w:tcPr>
          <w:p w14:paraId="4B40970E">
            <w:pPr>
              <w:pStyle w:val="6"/>
              <w:jc w:val="center"/>
              <w:rPr>
                <w:sz w:val="21"/>
                <w:szCs w:val="21"/>
              </w:rPr>
            </w:pPr>
            <w:r>
              <w:rPr>
                <w:sz w:val="21"/>
                <w:szCs w:val="21"/>
              </w:rPr>
              <w:t>套</w:t>
            </w:r>
          </w:p>
        </w:tc>
      </w:tr>
      <w:tr w14:paraId="374E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3D6AF89">
            <w:pPr>
              <w:pStyle w:val="6"/>
              <w:jc w:val="center"/>
              <w:rPr>
                <w:sz w:val="21"/>
                <w:szCs w:val="21"/>
              </w:rPr>
            </w:pPr>
            <w:r>
              <w:rPr>
                <w:rFonts w:hint="eastAsia"/>
                <w:sz w:val="21"/>
                <w:szCs w:val="21"/>
              </w:rPr>
              <w:t>11</w:t>
            </w:r>
          </w:p>
        </w:tc>
        <w:tc>
          <w:tcPr>
            <w:tcW w:w="2059" w:type="dxa"/>
            <w:gridSpan w:val="2"/>
            <w:vAlign w:val="center"/>
          </w:tcPr>
          <w:p w14:paraId="018498F3">
            <w:pPr>
              <w:pStyle w:val="6"/>
              <w:jc w:val="center"/>
              <w:rPr>
                <w:sz w:val="21"/>
                <w:szCs w:val="21"/>
              </w:rPr>
            </w:pPr>
            <w:r>
              <w:rPr>
                <w:sz w:val="21"/>
                <w:szCs w:val="21"/>
              </w:rPr>
              <w:t>安装调试</w:t>
            </w:r>
          </w:p>
        </w:tc>
        <w:tc>
          <w:tcPr>
            <w:tcW w:w="1442" w:type="dxa"/>
            <w:vAlign w:val="center"/>
          </w:tcPr>
          <w:p w14:paraId="121056DB">
            <w:pPr>
              <w:pStyle w:val="6"/>
              <w:jc w:val="center"/>
              <w:rPr>
                <w:sz w:val="21"/>
                <w:szCs w:val="21"/>
              </w:rPr>
            </w:pPr>
          </w:p>
        </w:tc>
        <w:tc>
          <w:tcPr>
            <w:tcW w:w="3402" w:type="dxa"/>
            <w:vAlign w:val="center"/>
          </w:tcPr>
          <w:p w14:paraId="41437C7D">
            <w:pPr>
              <w:pStyle w:val="6"/>
              <w:jc w:val="center"/>
              <w:rPr>
                <w:sz w:val="21"/>
                <w:szCs w:val="21"/>
              </w:rPr>
            </w:pPr>
          </w:p>
        </w:tc>
        <w:tc>
          <w:tcPr>
            <w:tcW w:w="567" w:type="dxa"/>
            <w:vAlign w:val="center"/>
          </w:tcPr>
          <w:p w14:paraId="1E67472C">
            <w:pPr>
              <w:pStyle w:val="6"/>
              <w:jc w:val="center"/>
              <w:rPr>
                <w:sz w:val="21"/>
                <w:szCs w:val="21"/>
              </w:rPr>
            </w:pPr>
            <w:r>
              <w:rPr>
                <w:rFonts w:hint="eastAsia"/>
                <w:sz w:val="21"/>
                <w:szCs w:val="21"/>
              </w:rPr>
              <w:t>1</w:t>
            </w:r>
          </w:p>
        </w:tc>
        <w:tc>
          <w:tcPr>
            <w:tcW w:w="1559" w:type="dxa"/>
            <w:vAlign w:val="center"/>
          </w:tcPr>
          <w:p w14:paraId="0926CDA5">
            <w:pPr>
              <w:pStyle w:val="6"/>
              <w:jc w:val="center"/>
              <w:rPr>
                <w:sz w:val="21"/>
                <w:szCs w:val="21"/>
              </w:rPr>
            </w:pPr>
            <w:r>
              <w:rPr>
                <w:sz w:val="21"/>
                <w:szCs w:val="21"/>
              </w:rPr>
              <w:t>次</w:t>
            </w:r>
          </w:p>
        </w:tc>
      </w:tr>
    </w:tbl>
    <w:p w14:paraId="1ABCB8A4">
      <w:pPr>
        <w:pStyle w:val="6"/>
        <w:rPr>
          <w:rFonts w:hint="default" w:eastAsia="宋体"/>
          <w:b/>
          <w:bCs/>
          <w:i/>
          <w:iCs/>
          <w:sz w:val="28"/>
          <w:szCs w:val="28"/>
          <w:lang w:val="en-US" w:eastAsia="zh-CN"/>
        </w:rPr>
      </w:pPr>
      <w:r>
        <w:rPr>
          <w:rFonts w:hint="eastAsia"/>
          <w:b/>
          <w:bCs/>
          <w:i/>
          <w:iCs/>
          <w:sz w:val="28"/>
          <w:szCs w:val="28"/>
          <w:lang w:val="en-US" w:eastAsia="zh-CN"/>
        </w:rPr>
        <w:t>注：所供产品参数不得低于所列参考产品参数</w:t>
      </w:r>
    </w:p>
    <w:p w14:paraId="0F1E1574">
      <w:pPr>
        <w:pStyle w:val="2"/>
        <w:spacing w:line="560" w:lineRule="exact"/>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2.2货物技术参数要求如下：</w:t>
      </w:r>
    </w:p>
    <w:p w14:paraId="55538062">
      <w:pPr>
        <w:pStyle w:val="6"/>
        <w:spacing w:line="56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4+1单元会议音柱：1.覆盖角（HxV）: 90°x 60°；2.分频器采用三阶倍频程≥18dB/OCT；3.采用Bass reflex箱体结构，减少声波干涉；4.采用高分子聚合表面处理技术。</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▲CA系列采用多只低音配合一只高音的输出方式，增加人声的通透度；</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▲利用等化器组件实现了更少的相位干涉，提供更均匀的声场。</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 xml:space="preserve">▲采用平面波技术可以在较差声学条件的环境中也能发出清晰的声音。 </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 xml:space="preserve">▲ 使用可调整的安装支架的角度允许扬声器安装在最合适的位置,以达到预期用途及效果。 </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◆频率范围 (-10 dB)： 180Hz – 20 kHz</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◆额定功率：100W 连续粉红噪声（200W 峰值）</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◆灵敏度（1W/1M)：95dB</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◆最大声压级(1M)：115 dB 平均连续</w:t>
      </w:r>
    </w:p>
    <w:p w14:paraId="15264AD5">
      <w:pPr>
        <w:pStyle w:val="6"/>
        <w:spacing w:line="560" w:lineRule="exact"/>
        <w:rPr>
          <w:rFonts w:ascii="宋体" w:hAnsi="宋体" w:cs="宋体"/>
          <w:snapToGrid w:val="0"/>
          <w:kern w:val="0"/>
          <w:sz w:val="24"/>
          <w:szCs w:val="24"/>
        </w:rPr>
      </w:pPr>
      <w:r>
        <w:rPr>
          <w:rFonts w:hint="eastAsia" w:ascii="宋体" w:hAnsi="宋体" w:cs="宋体"/>
          <w:snapToGrid w:val="0"/>
          <w:kern w:val="0"/>
          <w:sz w:val="24"/>
          <w:szCs w:val="24"/>
        </w:rPr>
        <w:t>◆粉红噪声（118 dB 峰值）</w:t>
      </w:r>
    </w:p>
    <w:p w14:paraId="6F0292E5">
      <w:pPr>
        <w:pStyle w:val="6"/>
        <w:spacing w:line="56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◆低音</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4 只铁氧体磁路的低频 3.5 英寸低音扬声器，纯布边纸盆，高温音圈线，优化的锥体几何形状，线性悬挂弹波和 FEA 优化的磁路+铜帽结构，声音更清淅干净。</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◆高频</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1 个 1 英寸高频扬声器，轻巧的 Kapton™ 音圈架，FEA 优化的钕铁錋磁路结构</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◆箱体</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声学模拟铝制箱体,密闭式箱体设计,表面喷白色高级感细砂喷漆。</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◆铁网坚固，白色粉体喷漆，内贴声学滤网</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◆可垂直及水平调整角度安装固定架，</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整体设计外观精细美感，</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◆总尺寸（高 x 宽 x 深）：514.3 x 97 x 100 毫米</w:t>
      </w:r>
      <w:r>
        <w:rPr>
          <w:rFonts w:hint="eastAsia" w:ascii="宋体" w:hAnsi="宋体" w:cs="宋体"/>
          <w:snapToGrid w:val="0"/>
          <w:kern w:val="0"/>
          <w:sz w:val="24"/>
          <w:szCs w:val="24"/>
        </w:rPr>
        <w:br w:type="textWrapping"/>
      </w:r>
      <w:r>
        <w:rPr>
          <w:rFonts w:hint="eastAsia" w:ascii="宋体" w:hAnsi="宋体" w:cs="宋体"/>
          <w:snapToGrid w:val="0"/>
          <w:kern w:val="0"/>
          <w:sz w:val="24"/>
          <w:szCs w:val="24"/>
        </w:rPr>
        <w:t>◆重量：约 3.5kg</w:t>
      </w:r>
    </w:p>
    <w:p w14:paraId="5C869037">
      <w:pPr>
        <w:tabs>
          <w:tab w:val="left" w:pos="5472"/>
        </w:tabs>
        <w:spacing w:line="560" w:lineRule="exact"/>
        <w:ind w:firstLine="480" w:firstLineChars="200"/>
        <w:rPr>
          <w:rFonts w:ascii="宋体" w:hAnsi="宋体" w:cs="宋体"/>
          <w:snapToGrid w:val="0"/>
          <w:kern w:val="0"/>
          <w:sz w:val="24"/>
        </w:rPr>
      </w:pPr>
      <w:r>
        <w:rPr>
          <w:rFonts w:hint="eastAsia" w:ascii="宋体" w:hAnsi="宋体" w:cs="宋体"/>
          <w:snapToGrid w:val="0"/>
          <w:kern w:val="0"/>
          <w:sz w:val="24"/>
        </w:rPr>
        <w:t>全频扬声器壁装支架（短）：3mm多层优质铁材</w:t>
      </w:r>
      <w:r>
        <w:rPr>
          <w:rFonts w:ascii="宋体" w:hAnsi="宋体" w:cs="宋体"/>
          <w:snapToGrid w:val="0"/>
          <w:kern w:val="0"/>
          <w:sz w:val="24"/>
        </w:rPr>
        <w:tab/>
      </w:r>
      <w:r>
        <w:rPr>
          <w:rFonts w:ascii="宋体" w:hAnsi="宋体" w:cs="宋体"/>
          <w:snapToGrid w:val="0"/>
          <w:kern w:val="0"/>
          <w:sz w:val="24"/>
        </w:rPr>
        <w:t>；</w:t>
      </w:r>
      <w:r>
        <w:rPr>
          <w:rFonts w:hint="eastAsia" w:ascii="宋体" w:hAnsi="宋体" w:cs="宋体"/>
          <w:snapToGrid w:val="0"/>
          <w:kern w:val="0"/>
          <w:sz w:val="24"/>
        </w:rPr>
        <w:t>尺寸：320-420mm。</w:t>
      </w:r>
    </w:p>
    <w:p w14:paraId="6D37E304">
      <w:pPr>
        <w:spacing w:line="560" w:lineRule="exact"/>
        <w:ind w:firstLine="480" w:firstLineChars="200"/>
        <w:rPr>
          <w:rFonts w:ascii="宋体" w:hAnsi="宋体" w:cs="宋体"/>
          <w:snapToGrid w:val="0"/>
          <w:kern w:val="0"/>
          <w:sz w:val="24"/>
        </w:rPr>
      </w:pPr>
      <w:r>
        <w:rPr>
          <w:rFonts w:ascii="宋体" w:hAnsi="宋体" w:cs="宋体"/>
          <w:snapToGrid w:val="0"/>
          <w:kern w:val="0"/>
          <w:sz w:val="24"/>
        </w:rPr>
        <w:t>两通道功放数字：</w:t>
      </w:r>
      <w:r>
        <w:rPr>
          <w:rFonts w:hint="eastAsia" w:ascii="宋体" w:hAnsi="宋体" w:cs="宋体"/>
          <w:snapToGrid w:val="0"/>
          <w:kern w:val="0"/>
          <w:sz w:val="24"/>
        </w:rPr>
        <w:t xml:space="preserve"> 1.支持IOT物联网平台接入并配套IOT物联网平台软件；2.支持IOT物联网平台上同步修改数字功放的路由方式、通道数值、音频参数；3.支持IOT物联网平台上对本设备进行输入通道模式选择、输入高通/低通滤波调节、参量均衡调节、场景预设等功能；4.支持IOT物联网平台上通过数据采集分析对数字功放进行运维分析，通过监测设备运行状态作出分析，当发现设备运行故障时，作出记录登记，系统通知用户进行设备检修；5.快捷静音按键≥1个；6.输出矩阵模块≥2*2路；7.失真度：≤0.005%8.自适应温控模块≥1组；9.整机高度≤1U；10.具备Dante扩展接口；11.具备DSP模块,可对信号进行处理。</w:t>
      </w:r>
    </w:p>
    <w:p w14:paraId="0691098A">
      <w:pPr>
        <w:widowControl/>
        <w:spacing w:line="560" w:lineRule="exact"/>
        <w:rPr>
          <w:rFonts w:ascii="宋体" w:hAnsi="宋体" w:cs="宋体"/>
          <w:snapToGrid w:val="0"/>
          <w:kern w:val="0"/>
          <w:sz w:val="24"/>
        </w:rPr>
      </w:pPr>
      <w:r>
        <w:rPr>
          <w:rFonts w:hint="eastAsia" w:ascii="宋体" w:hAnsi="宋体" w:cs="宋体"/>
          <w:snapToGrid w:val="0"/>
          <w:kern w:val="0"/>
          <w:sz w:val="24"/>
        </w:rPr>
        <w:t>▲采用高度集成SMPS+CLASS-D功放模块技术，具备状态灯指示以及模式选择等功能，内含独立数字功放模块，采用CLASS D优化设计提升性能与音质，成为最具性价比的功率放大器.</w:t>
      </w:r>
      <w:r>
        <w:rPr>
          <w:rFonts w:hint="eastAsia" w:ascii="宋体" w:hAnsi="宋体" w:cs="宋体"/>
          <w:snapToGrid w:val="0"/>
          <w:kern w:val="0"/>
          <w:sz w:val="24"/>
        </w:rPr>
        <w:br w:type="textWrapping"/>
      </w:r>
      <w:r>
        <w:rPr>
          <w:rFonts w:hint="eastAsia" w:ascii="宋体" w:hAnsi="宋体" w:cs="宋体"/>
          <w:snapToGrid w:val="0"/>
          <w:kern w:val="0"/>
          <w:sz w:val="24"/>
        </w:rPr>
        <w:t>▲风扇自适应散热控制</w:t>
      </w:r>
      <w:r>
        <w:rPr>
          <w:rFonts w:hint="eastAsia" w:ascii="宋体" w:hAnsi="宋体" w:cs="宋体"/>
          <w:snapToGrid w:val="0"/>
          <w:kern w:val="0"/>
          <w:sz w:val="24"/>
        </w:rPr>
        <w:br w:type="textWrapping"/>
      </w:r>
      <w:r>
        <w:rPr>
          <w:rFonts w:hint="eastAsia" w:ascii="宋体" w:hAnsi="宋体" w:cs="宋体"/>
          <w:snapToGrid w:val="0"/>
          <w:kern w:val="0"/>
          <w:sz w:val="24"/>
        </w:rPr>
        <w:t>▲小型化、高效能的功放设计方案最大程度迎合国家提倡环保节能的方针策；</w:t>
      </w:r>
      <w:r>
        <w:rPr>
          <w:rFonts w:hint="eastAsia" w:ascii="宋体" w:hAnsi="宋体" w:cs="宋体"/>
          <w:snapToGrid w:val="0"/>
          <w:kern w:val="0"/>
          <w:sz w:val="24"/>
        </w:rPr>
        <w:br w:type="textWrapping"/>
      </w:r>
      <w:r>
        <w:rPr>
          <w:rFonts w:hint="eastAsia" w:ascii="宋体" w:hAnsi="宋体" w:cs="宋体"/>
          <w:snapToGrid w:val="0"/>
          <w:kern w:val="0"/>
          <w:sz w:val="24"/>
        </w:rPr>
        <w:t xml:space="preserve">▲配备PFC/AVS和ErP电源系统。 </w:t>
      </w:r>
      <w:r>
        <w:rPr>
          <w:rFonts w:hint="eastAsia" w:ascii="宋体" w:hAnsi="宋体" w:cs="宋体"/>
          <w:snapToGrid w:val="0"/>
          <w:kern w:val="0"/>
          <w:sz w:val="24"/>
        </w:rPr>
        <w:br w:type="textWrapping"/>
      </w:r>
      <w:r>
        <w:rPr>
          <w:rFonts w:hint="eastAsia" w:ascii="宋体" w:hAnsi="宋体" w:cs="宋体"/>
          <w:snapToGrid w:val="0"/>
          <w:kern w:val="0"/>
          <w:sz w:val="24"/>
        </w:rPr>
        <w:t>▲可选配Ultimo Dante卡</w:t>
      </w:r>
      <w:r>
        <w:rPr>
          <w:rFonts w:hint="eastAsia" w:ascii="宋体" w:hAnsi="宋体" w:cs="宋体"/>
          <w:snapToGrid w:val="0"/>
          <w:kern w:val="0"/>
          <w:sz w:val="24"/>
        </w:rPr>
        <w:br w:type="textWrapping"/>
      </w:r>
      <w:r>
        <w:rPr>
          <w:rFonts w:hint="eastAsia" w:ascii="宋体" w:hAnsi="宋体" w:cs="宋体"/>
          <w:snapToGrid w:val="0"/>
          <w:kern w:val="0"/>
          <w:sz w:val="24"/>
        </w:rPr>
        <w:t>参数：</w:t>
      </w:r>
      <w:r>
        <w:rPr>
          <w:rFonts w:hint="eastAsia" w:ascii="宋体" w:hAnsi="宋体" w:cs="宋体"/>
          <w:snapToGrid w:val="0"/>
          <w:kern w:val="0"/>
          <w:sz w:val="24"/>
        </w:rPr>
        <w:br w:type="textWrapping"/>
      </w:r>
      <w:r>
        <w:rPr>
          <w:rFonts w:hint="eastAsia" w:ascii="宋体" w:hAnsi="宋体" w:cs="宋体"/>
          <w:snapToGrid w:val="0"/>
          <w:kern w:val="0"/>
          <w:sz w:val="24"/>
        </w:rPr>
        <w:t>额定功率：2×800W</w:t>
      </w:r>
      <w:r>
        <w:rPr>
          <w:rFonts w:hint="eastAsia" w:ascii="宋体" w:hAnsi="宋体" w:cs="宋体"/>
          <w:snapToGrid w:val="0"/>
          <w:kern w:val="0"/>
          <w:sz w:val="24"/>
        </w:rPr>
        <w:br w:type="textWrapping"/>
      </w:r>
      <w:r>
        <w:rPr>
          <w:rFonts w:hint="eastAsia" w:ascii="宋体" w:hAnsi="宋体" w:cs="宋体"/>
          <w:snapToGrid w:val="0"/>
          <w:kern w:val="0"/>
          <w:sz w:val="24"/>
        </w:rPr>
        <w:t>峰值功率：2×1600W</w:t>
      </w:r>
      <w:r>
        <w:rPr>
          <w:rFonts w:hint="eastAsia" w:ascii="宋体" w:hAnsi="宋体" w:cs="宋体"/>
          <w:snapToGrid w:val="0"/>
          <w:kern w:val="0"/>
          <w:sz w:val="24"/>
        </w:rPr>
        <w:br w:type="textWrapping"/>
      </w:r>
      <w:r>
        <w:rPr>
          <w:rFonts w:hint="eastAsia" w:ascii="宋体" w:hAnsi="宋体" w:cs="宋体"/>
          <w:snapToGrid w:val="0"/>
          <w:kern w:val="0"/>
          <w:sz w:val="24"/>
        </w:rPr>
        <w:t>阻抗：4欧</w:t>
      </w:r>
      <w:r>
        <w:rPr>
          <w:rFonts w:hint="eastAsia" w:ascii="宋体" w:hAnsi="宋体" w:cs="宋体"/>
          <w:snapToGrid w:val="0"/>
          <w:kern w:val="0"/>
          <w:sz w:val="24"/>
        </w:rPr>
        <w:br w:type="textWrapping"/>
      </w:r>
      <w:r>
        <w:rPr>
          <w:rFonts w:hint="eastAsia" w:ascii="宋体" w:hAnsi="宋体" w:cs="宋体"/>
          <w:snapToGrid w:val="0"/>
          <w:kern w:val="0"/>
          <w:sz w:val="24"/>
        </w:rPr>
        <w:t>频率响应@4Ω 1/3输出功率：20 Hz~20 KHz (+0/-1 dB)；</w:t>
      </w:r>
      <w:r>
        <w:rPr>
          <w:rFonts w:hint="eastAsia" w:ascii="宋体" w:hAnsi="宋体" w:cs="宋体"/>
          <w:snapToGrid w:val="0"/>
          <w:kern w:val="0"/>
          <w:sz w:val="24"/>
        </w:rPr>
        <w:br w:type="textWrapping"/>
      </w:r>
      <w:r>
        <w:rPr>
          <w:rFonts w:hint="eastAsia" w:ascii="宋体" w:hAnsi="宋体" w:cs="宋体"/>
          <w:snapToGrid w:val="0"/>
          <w:kern w:val="0"/>
          <w:sz w:val="24"/>
        </w:rPr>
        <w:t>1KHz 1/8输出功率总谐波失真：&lt;0.01%，典型值0.005%；</w:t>
      </w:r>
      <w:r>
        <w:rPr>
          <w:rFonts w:hint="eastAsia" w:ascii="宋体" w:hAnsi="宋体" w:cs="宋体"/>
          <w:snapToGrid w:val="0"/>
          <w:kern w:val="0"/>
          <w:sz w:val="24"/>
        </w:rPr>
        <w:br w:type="textWrapping"/>
      </w:r>
      <w:r>
        <w:rPr>
          <w:rFonts w:hint="eastAsia" w:ascii="宋体" w:hAnsi="宋体" w:cs="宋体"/>
          <w:snapToGrid w:val="0"/>
          <w:kern w:val="0"/>
          <w:sz w:val="24"/>
        </w:rPr>
        <w:t>信噪比(A) ：&gt;100dB；</w:t>
      </w:r>
      <w:r>
        <w:rPr>
          <w:rFonts w:hint="eastAsia" w:ascii="宋体" w:hAnsi="宋体" w:cs="宋体"/>
          <w:snapToGrid w:val="0"/>
          <w:kern w:val="0"/>
          <w:sz w:val="24"/>
        </w:rPr>
        <w:br w:type="textWrapping"/>
      </w:r>
      <w:r>
        <w:rPr>
          <w:rFonts w:hint="eastAsia" w:ascii="宋体" w:hAnsi="宋体" w:cs="宋体"/>
          <w:snapToGrid w:val="0"/>
          <w:kern w:val="0"/>
          <w:sz w:val="24"/>
        </w:rPr>
        <w:t>输入灵敏度(应急输入)：1+/-1dBm；</w:t>
      </w:r>
      <w:r>
        <w:rPr>
          <w:rFonts w:hint="eastAsia" w:ascii="宋体" w:hAnsi="宋体" w:cs="宋体"/>
          <w:snapToGrid w:val="0"/>
          <w:kern w:val="0"/>
          <w:sz w:val="24"/>
        </w:rPr>
        <w:br w:type="textWrapping"/>
      </w:r>
      <w:r>
        <w:rPr>
          <w:rFonts w:hint="eastAsia" w:ascii="宋体" w:hAnsi="宋体" w:cs="宋体"/>
          <w:snapToGrid w:val="0"/>
          <w:kern w:val="0"/>
          <w:sz w:val="24"/>
        </w:rPr>
        <w:t>电压增益：36+/-1dB；</w:t>
      </w:r>
      <w:r>
        <w:rPr>
          <w:rFonts w:hint="eastAsia" w:ascii="宋体" w:hAnsi="宋体" w:cs="宋体"/>
          <w:snapToGrid w:val="0"/>
          <w:kern w:val="0"/>
          <w:sz w:val="24"/>
        </w:rPr>
        <w:br w:type="textWrapping"/>
      </w:r>
      <w:r>
        <w:rPr>
          <w:rFonts w:hint="eastAsia" w:ascii="宋体" w:hAnsi="宋体" w:cs="宋体"/>
          <w:snapToGrid w:val="0"/>
          <w:kern w:val="0"/>
          <w:sz w:val="24"/>
        </w:rPr>
        <w:t>输入接口：XLR + EUROBLOCK并接方式；</w:t>
      </w:r>
      <w:r>
        <w:rPr>
          <w:rFonts w:hint="eastAsia" w:ascii="宋体" w:hAnsi="宋体" w:cs="宋体"/>
          <w:snapToGrid w:val="0"/>
          <w:kern w:val="0"/>
          <w:sz w:val="24"/>
        </w:rPr>
        <w:br w:type="textWrapping"/>
      </w:r>
      <w:r>
        <w:rPr>
          <w:rFonts w:hint="eastAsia" w:ascii="宋体" w:hAnsi="宋体" w:cs="宋体"/>
          <w:snapToGrid w:val="0"/>
          <w:kern w:val="0"/>
          <w:sz w:val="24"/>
        </w:rPr>
        <w:t>输出接口：SPEAKON喇叭座；</w:t>
      </w:r>
      <w:r>
        <w:rPr>
          <w:rFonts w:hint="eastAsia" w:ascii="宋体" w:hAnsi="宋体" w:cs="宋体"/>
          <w:snapToGrid w:val="0"/>
          <w:kern w:val="0"/>
          <w:sz w:val="24"/>
        </w:rPr>
        <w:br w:type="textWrapping"/>
      </w:r>
      <w:r>
        <w:rPr>
          <w:rFonts w:hint="eastAsia" w:ascii="宋体" w:hAnsi="宋体" w:cs="宋体"/>
          <w:snapToGrid w:val="0"/>
          <w:kern w:val="0"/>
          <w:sz w:val="24"/>
        </w:rPr>
        <w:t>工作模式：立体声模式/并接模式/桥接模式/通道组合模式/休眠模式；</w:t>
      </w:r>
      <w:r>
        <w:rPr>
          <w:rFonts w:hint="eastAsia" w:ascii="宋体" w:hAnsi="宋体" w:cs="宋体"/>
          <w:snapToGrid w:val="0"/>
          <w:kern w:val="0"/>
          <w:sz w:val="24"/>
        </w:rPr>
        <w:br w:type="textWrapping"/>
      </w:r>
      <w:r>
        <w:rPr>
          <w:rFonts w:hint="eastAsia" w:ascii="宋体" w:hAnsi="宋体" w:cs="宋体"/>
          <w:snapToGrid w:val="0"/>
          <w:kern w:val="0"/>
          <w:sz w:val="24"/>
        </w:rPr>
        <w:t>阻尼因素1KHz：&gt;200；</w:t>
      </w:r>
      <w:r>
        <w:rPr>
          <w:rFonts w:hint="eastAsia" w:ascii="宋体" w:hAnsi="宋体" w:cs="宋体"/>
          <w:snapToGrid w:val="0"/>
          <w:kern w:val="0"/>
          <w:sz w:val="24"/>
        </w:rPr>
        <w:br w:type="textWrapping"/>
      </w:r>
      <w:r>
        <w:rPr>
          <w:rFonts w:hint="eastAsia" w:ascii="宋体" w:hAnsi="宋体" w:cs="宋体"/>
          <w:snapToGrid w:val="0"/>
          <w:kern w:val="0"/>
          <w:sz w:val="24"/>
        </w:rPr>
        <w:t>功率转换合成：开关电源SMPS+CLASS D数字功放；</w:t>
      </w:r>
      <w:r>
        <w:rPr>
          <w:rFonts w:hint="eastAsia" w:ascii="宋体" w:hAnsi="宋体" w:cs="宋体"/>
          <w:snapToGrid w:val="0"/>
          <w:kern w:val="0"/>
          <w:sz w:val="24"/>
        </w:rPr>
        <w:br w:type="textWrapping"/>
      </w:r>
      <w:r>
        <w:rPr>
          <w:rFonts w:hint="eastAsia" w:ascii="宋体" w:hAnsi="宋体" w:cs="宋体"/>
          <w:snapToGrid w:val="0"/>
          <w:kern w:val="0"/>
          <w:sz w:val="24"/>
        </w:rPr>
        <w:t>冷却：温度自适应，抽风(后板出风口)；</w:t>
      </w:r>
      <w:r>
        <w:rPr>
          <w:rFonts w:hint="eastAsia" w:ascii="宋体" w:hAnsi="宋体" w:cs="宋体"/>
          <w:snapToGrid w:val="0"/>
          <w:kern w:val="0"/>
          <w:sz w:val="24"/>
        </w:rPr>
        <w:br w:type="textWrapping"/>
      </w:r>
      <w:r>
        <w:rPr>
          <w:rFonts w:hint="eastAsia" w:ascii="宋体" w:hAnsi="宋体" w:cs="宋体"/>
          <w:snapToGrid w:val="0"/>
          <w:kern w:val="0"/>
          <w:sz w:val="24"/>
        </w:rPr>
        <w:t>保护功能：短路/过流保护，开路高频抑制, 过热保护, 过压保护，超高频RF抑制，开关机静音；</w:t>
      </w:r>
      <w:r>
        <w:rPr>
          <w:rFonts w:hint="eastAsia" w:ascii="宋体" w:hAnsi="宋体" w:cs="宋体"/>
          <w:snapToGrid w:val="0"/>
          <w:kern w:val="0"/>
          <w:sz w:val="24"/>
        </w:rPr>
        <w:br w:type="textWrapping"/>
      </w:r>
      <w:r>
        <w:rPr>
          <w:rFonts w:hint="eastAsia" w:ascii="宋体" w:hAnsi="宋体" w:cs="宋体"/>
          <w:snapToGrid w:val="0"/>
          <w:kern w:val="0"/>
          <w:sz w:val="24"/>
        </w:rPr>
        <w:t>电源适应：AC 187-253V 50/60 Hz；</w:t>
      </w:r>
      <w:r>
        <w:rPr>
          <w:rFonts w:hint="eastAsia" w:ascii="宋体" w:hAnsi="宋体" w:cs="宋体"/>
          <w:snapToGrid w:val="0"/>
          <w:kern w:val="0"/>
          <w:sz w:val="24"/>
        </w:rPr>
        <w:br w:type="textWrapping"/>
      </w:r>
      <w:r>
        <w:rPr>
          <w:rFonts w:hint="eastAsia" w:ascii="宋体" w:hAnsi="宋体" w:cs="宋体"/>
          <w:snapToGrid w:val="0"/>
          <w:kern w:val="0"/>
          <w:sz w:val="24"/>
        </w:rPr>
        <w:t>尺寸(mm)：483(W) 395(D)44(H)；</w:t>
      </w:r>
      <w:r>
        <w:rPr>
          <w:rFonts w:hint="eastAsia" w:ascii="宋体" w:hAnsi="宋体" w:cs="宋体"/>
          <w:snapToGrid w:val="0"/>
          <w:kern w:val="0"/>
          <w:sz w:val="24"/>
        </w:rPr>
        <w:br w:type="textWrapping"/>
      </w:r>
      <w:r>
        <w:rPr>
          <w:rFonts w:hint="eastAsia" w:ascii="宋体" w:hAnsi="宋体" w:cs="宋体"/>
          <w:snapToGrid w:val="0"/>
          <w:kern w:val="0"/>
          <w:sz w:val="24"/>
        </w:rPr>
        <w:t>重量：5.4KG；</w:t>
      </w:r>
    </w:p>
    <w:p w14:paraId="432E9E77">
      <w:pPr>
        <w:spacing w:line="560" w:lineRule="exact"/>
        <w:ind w:firstLine="480" w:firstLineChars="200"/>
        <w:rPr>
          <w:rFonts w:ascii="宋体" w:hAnsi="宋体" w:cs="宋体"/>
          <w:snapToGrid w:val="0"/>
          <w:sz w:val="24"/>
        </w:rPr>
      </w:pPr>
      <w:r>
        <w:rPr>
          <w:rFonts w:ascii="宋体" w:hAnsi="宋体" w:cs="宋体"/>
          <w:snapToGrid w:val="0"/>
          <w:sz w:val="24"/>
        </w:rPr>
        <w:t>数字反馈抑制器：</w:t>
      </w:r>
      <w:r>
        <w:rPr>
          <w:rFonts w:hint="eastAsia" w:ascii="微软雅黑" w:hAnsi="微软雅黑" w:eastAsia="微软雅黑" w:cs="宋体"/>
          <w:kern w:val="0"/>
          <w:sz w:val="20"/>
          <w:szCs w:val="20"/>
        </w:rPr>
        <w:t xml:space="preserve"> </w:t>
      </w:r>
      <w:r>
        <w:rPr>
          <w:rFonts w:hint="eastAsia" w:ascii="宋体" w:hAnsi="宋体" w:cs="宋体"/>
          <w:snapToGrid w:val="0"/>
          <w:sz w:val="24"/>
        </w:rPr>
        <w:t>1.两个独立通道，共计48个滤波器；2.每通道24个陷波器，自由设置动态及静态；3.采用32位浮点DSP、24位AD/DA、48K采样频率；4.陷波器分辨精度1Hz，工作频率20-20kHz；5.±10Hz移频设置；6.系统每通道提供噪声门、增益、8段PEQ、压缩器；7.系统提供USB及RS-485接口连接上位机及中控设备。</w:t>
      </w:r>
    </w:p>
    <w:p w14:paraId="2B7D086D">
      <w:pPr>
        <w:widowControl/>
        <w:spacing w:line="560" w:lineRule="exact"/>
        <w:rPr>
          <w:rFonts w:ascii="宋体" w:hAnsi="宋体" w:cs="宋体"/>
          <w:snapToGrid w:val="0"/>
          <w:sz w:val="24"/>
        </w:rPr>
      </w:pPr>
      <w:r>
        <w:rPr>
          <w:rFonts w:hint="eastAsia" w:ascii="宋体" w:hAnsi="宋体" w:cs="宋体"/>
          <w:snapToGrid w:val="0"/>
          <w:sz w:val="24"/>
        </w:rPr>
        <w:t>◆双通道自动反馈抑制；</w:t>
      </w:r>
      <w:r>
        <w:rPr>
          <w:rFonts w:hint="eastAsia" w:ascii="宋体" w:hAnsi="宋体" w:cs="宋体"/>
          <w:snapToGrid w:val="0"/>
          <w:sz w:val="24"/>
        </w:rPr>
        <w:br w:type="textWrapping"/>
      </w:r>
      <w:r>
        <w:rPr>
          <w:rFonts w:hint="eastAsia" w:ascii="宋体" w:hAnsi="宋体" w:cs="宋体"/>
          <w:snapToGrid w:val="0"/>
          <w:sz w:val="24"/>
        </w:rPr>
        <w:t>◆两个独立通道，共计48个滤波器；</w:t>
      </w:r>
      <w:r>
        <w:rPr>
          <w:rFonts w:hint="eastAsia" w:ascii="宋体" w:hAnsi="宋体" w:cs="宋体"/>
          <w:snapToGrid w:val="0"/>
          <w:sz w:val="24"/>
        </w:rPr>
        <w:br w:type="textWrapping"/>
      </w:r>
      <w:r>
        <w:rPr>
          <w:rFonts w:hint="eastAsia" w:ascii="宋体" w:hAnsi="宋体" w:cs="宋体"/>
          <w:snapToGrid w:val="0"/>
          <w:sz w:val="24"/>
        </w:rPr>
        <w:t>◆每通道24个陷波器，自由设置动态及静态；</w:t>
      </w:r>
      <w:r>
        <w:rPr>
          <w:rFonts w:hint="eastAsia" w:ascii="宋体" w:hAnsi="宋体" w:cs="宋体"/>
          <w:snapToGrid w:val="0"/>
          <w:sz w:val="24"/>
        </w:rPr>
        <w:br w:type="textWrapping"/>
      </w:r>
      <w:r>
        <w:rPr>
          <w:rFonts w:hint="eastAsia" w:ascii="宋体" w:hAnsi="宋体" w:cs="宋体"/>
          <w:snapToGrid w:val="0"/>
          <w:sz w:val="24"/>
        </w:rPr>
        <w:t>◆采用32位浮点DSP、24位AD/DA、48K采样频率；</w:t>
      </w:r>
      <w:r>
        <w:rPr>
          <w:rFonts w:hint="eastAsia" w:ascii="宋体" w:hAnsi="宋体" w:cs="宋体"/>
          <w:snapToGrid w:val="0"/>
          <w:sz w:val="24"/>
        </w:rPr>
        <w:br w:type="textWrapping"/>
      </w:r>
      <w:r>
        <w:rPr>
          <w:rFonts w:hint="eastAsia" w:ascii="宋体" w:hAnsi="宋体" w:cs="宋体"/>
          <w:snapToGrid w:val="0"/>
          <w:sz w:val="24"/>
        </w:rPr>
        <w:t>◆陷波器分辨精度1Hz，工作频率20-20kHz；</w:t>
      </w:r>
      <w:r>
        <w:rPr>
          <w:rFonts w:hint="eastAsia" w:ascii="宋体" w:hAnsi="宋体" w:cs="宋体"/>
          <w:snapToGrid w:val="0"/>
          <w:sz w:val="24"/>
        </w:rPr>
        <w:br w:type="textWrapping"/>
      </w:r>
      <w:r>
        <w:rPr>
          <w:rFonts w:hint="eastAsia" w:ascii="宋体" w:hAnsi="宋体" w:cs="宋体"/>
          <w:snapToGrid w:val="0"/>
          <w:sz w:val="24"/>
        </w:rPr>
        <w:t>◆±10Hz移频设置；</w:t>
      </w:r>
      <w:r>
        <w:rPr>
          <w:rFonts w:hint="eastAsia" w:ascii="宋体" w:hAnsi="宋体" w:cs="宋体"/>
          <w:snapToGrid w:val="0"/>
          <w:sz w:val="24"/>
        </w:rPr>
        <w:br w:type="textWrapping"/>
      </w:r>
      <w:r>
        <w:rPr>
          <w:rFonts w:hint="eastAsia" w:ascii="宋体" w:hAnsi="宋体" w:cs="宋体"/>
          <w:snapToGrid w:val="0"/>
          <w:sz w:val="24"/>
        </w:rPr>
        <w:t>◆系统每通道提供噪声门、增益、8段PEQ、压缩器；</w:t>
      </w:r>
      <w:r>
        <w:rPr>
          <w:rFonts w:hint="eastAsia" w:ascii="宋体" w:hAnsi="宋体" w:cs="宋体"/>
          <w:snapToGrid w:val="0"/>
          <w:sz w:val="24"/>
        </w:rPr>
        <w:br w:type="textWrapping"/>
      </w:r>
      <w:r>
        <w:rPr>
          <w:rFonts w:hint="eastAsia" w:ascii="宋体" w:hAnsi="宋体" w:cs="宋体"/>
          <w:snapToGrid w:val="0"/>
          <w:sz w:val="24"/>
        </w:rPr>
        <w:t>◆系统提供USB及RS-485接口连接上位机及中控设备。</w:t>
      </w:r>
      <w:r>
        <w:rPr>
          <w:rFonts w:hint="eastAsia" w:ascii="宋体" w:hAnsi="宋体" w:cs="宋体"/>
          <w:snapToGrid w:val="0"/>
          <w:sz w:val="24"/>
        </w:rPr>
        <w:br w:type="textWrapping"/>
      </w:r>
      <w:r>
        <w:rPr>
          <w:rFonts w:hint="eastAsia" w:ascii="宋体" w:hAnsi="宋体" w:cs="宋体"/>
          <w:snapToGrid w:val="0"/>
          <w:sz w:val="24"/>
        </w:rPr>
        <w:t>◆适用场所：会议室、多功能厅、教室、演出</w:t>
      </w:r>
      <w:r>
        <w:rPr>
          <w:rFonts w:hint="eastAsia" w:ascii="宋体" w:hAnsi="宋体" w:cs="宋体"/>
          <w:snapToGrid w:val="0"/>
          <w:sz w:val="24"/>
        </w:rPr>
        <w:br w:type="textWrapping"/>
      </w:r>
      <w:r>
        <w:rPr>
          <w:rFonts w:hint="eastAsia" w:ascii="宋体" w:hAnsi="宋体" w:cs="宋体"/>
          <w:snapToGrid w:val="0"/>
          <w:sz w:val="24"/>
        </w:rPr>
        <w:t>技术规格：</w:t>
      </w:r>
      <w:r>
        <w:rPr>
          <w:rFonts w:hint="eastAsia" w:ascii="宋体" w:hAnsi="宋体" w:cs="宋体"/>
          <w:snapToGrid w:val="0"/>
          <w:sz w:val="24"/>
        </w:rPr>
        <w:br w:type="textWrapping"/>
      </w:r>
      <w:r>
        <w:rPr>
          <w:rFonts w:hint="eastAsia" w:ascii="宋体" w:hAnsi="宋体" w:cs="宋体"/>
          <w:snapToGrid w:val="0"/>
          <w:sz w:val="24"/>
        </w:rPr>
        <w:t>DSP：32位浮点DSP、24位AD/DA、96K采样频率</w:t>
      </w:r>
      <w:r>
        <w:rPr>
          <w:rFonts w:hint="eastAsia" w:ascii="宋体" w:hAnsi="宋体" w:cs="宋体"/>
          <w:snapToGrid w:val="0"/>
          <w:sz w:val="24"/>
        </w:rPr>
        <w:br w:type="textWrapping"/>
      </w:r>
      <w:r>
        <w:rPr>
          <w:rFonts w:hint="eastAsia" w:ascii="宋体" w:hAnsi="宋体" w:cs="宋体"/>
          <w:snapToGrid w:val="0"/>
          <w:sz w:val="24"/>
        </w:rPr>
        <w:t xml:space="preserve">频率响应：  </w:t>
      </w:r>
      <w:r>
        <w:rPr>
          <w:rFonts w:hint="eastAsia" w:ascii="宋体" w:hAnsi="宋体" w:cs="宋体"/>
          <w:snapToGrid w:val="0"/>
          <w:sz w:val="24"/>
        </w:rPr>
        <w:br w:type="textWrapping"/>
      </w:r>
      <w:r>
        <w:rPr>
          <w:rFonts w:hint="eastAsia" w:ascii="宋体" w:hAnsi="宋体" w:cs="宋体"/>
          <w:snapToGrid w:val="0"/>
          <w:sz w:val="24"/>
        </w:rPr>
        <w:t>输入：2×XLR &amp; 1/4“TRS</w:t>
      </w:r>
      <w:r>
        <w:rPr>
          <w:rFonts w:hint="eastAsia" w:ascii="宋体" w:hAnsi="宋体" w:cs="宋体"/>
          <w:snapToGrid w:val="0"/>
          <w:sz w:val="24"/>
        </w:rPr>
        <w:br w:type="textWrapping"/>
      </w:r>
      <w:r>
        <w:rPr>
          <w:rFonts w:hint="eastAsia" w:ascii="宋体" w:hAnsi="宋体" w:cs="宋体"/>
          <w:snapToGrid w:val="0"/>
          <w:sz w:val="24"/>
        </w:rPr>
        <w:t>输入阻抗：40kΩ平衡，20kΩ不平衡</w:t>
      </w:r>
      <w:r>
        <w:rPr>
          <w:rFonts w:hint="eastAsia" w:ascii="宋体" w:hAnsi="宋体" w:cs="宋体"/>
          <w:snapToGrid w:val="0"/>
          <w:sz w:val="24"/>
        </w:rPr>
        <w:br w:type="textWrapping"/>
      </w:r>
      <w:r>
        <w:rPr>
          <w:rFonts w:hint="eastAsia" w:ascii="宋体" w:hAnsi="宋体" w:cs="宋体"/>
          <w:snapToGrid w:val="0"/>
          <w:sz w:val="24"/>
        </w:rPr>
        <w:t>最大线路电平输入：2Vrms</w:t>
      </w:r>
      <w:r>
        <w:rPr>
          <w:rFonts w:hint="eastAsia" w:ascii="宋体" w:hAnsi="宋体" w:cs="宋体"/>
          <w:snapToGrid w:val="0"/>
          <w:sz w:val="24"/>
        </w:rPr>
        <w:br w:type="textWrapping"/>
      </w:r>
      <w:r>
        <w:rPr>
          <w:rFonts w:hint="eastAsia" w:ascii="宋体" w:hAnsi="宋体" w:cs="宋体"/>
          <w:snapToGrid w:val="0"/>
          <w:sz w:val="24"/>
        </w:rPr>
        <w:t>输出：2×XLR &amp; 1/4“TRS</w:t>
      </w:r>
      <w:r>
        <w:rPr>
          <w:rFonts w:hint="eastAsia" w:ascii="宋体" w:hAnsi="宋体" w:cs="宋体"/>
          <w:snapToGrid w:val="0"/>
          <w:sz w:val="24"/>
        </w:rPr>
        <w:br w:type="textWrapping"/>
      </w:r>
      <w:r>
        <w:rPr>
          <w:rFonts w:hint="eastAsia" w:ascii="宋体" w:hAnsi="宋体" w:cs="宋体"/>
          <w:snapToGrid w:val="0"/>
          <w:sz w:val="24"/>
        </w:rPr>
        <w:t>输出阻抗：150Ω</w:t>
      </w:r>
      <w:r>
        <w:rPr>
          <w:rFonts w:hint="eastAsia" w:ascii="宋体" w:hAnsi="宋体" w:cs="宋体"/>
          <w:snapToGrid w:val="0"/>
          <w:sz w:val="24"/>
        </w:rPr>
        <w:br w:type="textWrapping"/>
      </w:r>
      <w:r>
        <w:rPr>
          <w:rFonts w:hint="eastAsia" w:ascii="宋体" w:hAnsi="宋体" w:cs="宋体"/>
          <w:snapToGrid w:val="0"/>
          <w:sz w:val="24"/>
        </w:rPr>
        <w:t>最大输出电平：1.6Vrms</w:t>
      </w:r>
      <w:r>
        <w:rPr>
          <w:rFonts w:hint="eastAsia" w:ascii="宋体" w:hAnsi="宋体" w:cs="宋体"/>
          <w:snapToGrid w:val="0"/>
          <w:sz w:val="24"/>
        </w:rPr>
        <w:br w:type="textWrapping"/>
      </w:r>
      <w:r>
        <w:rPr>
          <w:rFonts w:hint="eastAsia" w:ascii="宋体" w:hAnsi="宋体" w:cs="宋体"/>
          <w:snapToGrid w:val="0"/>
          <w:sz w:val="24"/>
        </w:rPr>
        <w:t>信噪比：108dB(A计权)</w:t>
      </w:r>
      <w:r>
        <w:rPr>
          <w:rFonts w:hint="eastAsia" w:ascii="宋体" w:hAnsi="宋体" w:cs="宋体"/>
          <w:snapToGrid w:val="0"/>
          <w:sz w:val="24"/>
        </w:rPr>
        <w:br w:type="textWrapping"/>
      </w:r>
      <w:r>
        <w:rPr>
          <w:rFonts w:hint="eastAsia" w:ascii="宋体" w:hAnsi="宋体" w:cs="宋体"/>
          <w:snapToGrid w:val="0"/>
          <w:sz w:val="24"/>
        </w:rPr>
        <w:t>总谐波失真：≤0.014%</w:t>
      </w:r>
      <w:r>
        <w:rPr>
          <w:rFonts w:hint="eastAsia" w:ascii="宋体" w:hAnsi="宋体" w:cs="宋体"/>
          <w:snapToGrid w:val="0"/>
          <w:sz w:val="24"/>
        </w:rPr>
        <w:br w:type="textWrapping"/>
      </w:r>
      <w:r>
        <w:rPr>
          <w:rFonts w:hint="eastAsia" w:ascii="宋体" w:hAnsi="宋体" w:cs="宋体"/>
          <w:snapToGrid w:val="0"/>
          <w:sz w:val="24"/>
        </w:rPr>
        <w:t>动态范围：≥110dB</w:t>
      </w:r>
      <w:r>
        <w:rPr>
          <w:rFonts w:hint="eastAsia" w:ascii="宋体" w:hAnsi="宋体" w:cs="宋体"/>
          <w:snapToGrid w:val="0"/>
          <w:sz w:val="24"/>
        </w:rPr>
        <w:br w:type="textWrapping"/>
      </w:r>
      <w:r>
        <w:rPr>
          <w:rFonts w:hint="eastAsia" w:ascii="宋体" w:hAnsi="宋体" w:cs="宋体"/>
          <w:snapToGrid w:val="0"/>
          <w:sz w:val="24"/>
        </w:rPr>
        <w:t>工作电压：~220V 50Hz</w:t>
      </w:r>
      <w:r>
        <w:rPr>
          <w:rFonts w:hint="eastAsia" w:ascii="宋体" w:hAnsi="宋体" w:cs="宋体"/>
          <w:snapToGrid w:val="0"/>
          <w:sz w:val="24"/>
        </w:rPr>
        <w:br w:type="textWrapping"/>
      </w:r>
      <w:r>
        <w:rPr>
          <w:rFonts w:hint="eastAsia" w:ascii="宋体" w:hAnsi="宋体" w:cs="宋体"/>
          <w:snapToGrid w:val="0"/>
          <w:sz w:val="24"/>
        </w:rPr>
        <w:t>尺寸：482×44.5×265mm</w:t>
      </w:r>
      <w:r>
        <w:rPr>
          <w:rFonts w:hint="eastAsia" w:ascii="宋体" w:hAnsi="宋体" w:cs="宋体"/>
          <w:snapToGrid w:val="0"/>
          <w:sz w:val="24"/>
        </w:rPr>
        <w:br w:type="textWrapping"/>
      </w:r>
      <w:r>
        <w:rPr>
          <w:rFonts w:hint="eastAsia" w:ascii="宋体" w:hAnsi="宋体" w:cs="宋体"/>
          <w:snapToGrid w:val="0"/>
          <w:sz w:val="24"/>
        </w:rPr>
        <w:t>重量：2.1 kg</w:t>
      </w:r>
    </w:p>
    <w:p w14:paraId="0A1DF0AC">
      <w:pPr>
        <w:spacing w:line="560" w:lineRule="exact"/>
        <w:ind w:firstLine="480" w:firstLineChars="200"/>
        <w:rPr>
          <w:rFonts w:ascii="宋体" w:hAnsi="宋体" w:cs="宋体"/>
          <w:snapToGrid w:val="0"/>
          <w:sz w:val="24"/>
        </w:rPr>
      </w:pPr>
      <w:r>
        <w:rPr>
          <w:rFonts w:hint="eastAsia" w:ascii="宋体" w:hAnsi="宋体" w:cs="宋体"/>
          <w:snapToGrid w:val="0"/>
          <w:sz w:val="24"/>
        </w:rPr>
        <w:t>KTV专业前级：</w:t>
      </w:r>
      <w:r>
        <w:rPr>
          <w:rFonts w:hint="eastAsia" w:ascii="宋体" w:hAnsi="宋体" w:cs="宋体"/>
          <w:snapToGrid w:val="0"/>
          <w:sz w:val="24"/>
        </w:rPr>
        <w:br w:type="textWrapping"/>
      </w:r>
      <w:r>
        <w:rPr>
          <w:rFonts w:hint="eastAsia" w:ascii="宋体" w:hAnsi="宋体" w:cs="宋体"/>
          <w:snapToGrid w:val="0"/>
          <w:sz w:val="24"/>
        </w:rPr>
        <w:t>★麦克风信号参量均衡器频段≥20段；</w:t>
      </w:r>
      <w:r>
        <w:rPr>
          <w:rFonts w:hint="eastAsia" w:ascii="宋体" w:hAnsi="宋体" w:cs="宋体"/>
          <w:snapToGrid w:val="0"/>
          <w:sz w:val="24"/>
        </w:rPr>
        <w:br w:type="textWrapping"/>
      </w:r>
      <w:r>
        <w:rPr>
          <w:rFonts w:hint="eastAsia" w:ascii="宋体" w:hAnsi="宋体" w:cs="宋体"/>
          <w:snapToGrid w:val="0"/>
          <w:sz w:val="24"/>
        </w:rPr>
        <w:t>★音乐信号参量均衡频段≥10段；</w:t>
      </w:r>
      <w:r>
        <w:rPr>
          <w:rFonts w:hint="eastAsia" w:ascii="宋体" w:hAnsi="宋体" w:cs="宋体"/>
          <w:snapToGrid w:val="0"/>
          <w:sz w:val="24"/>
        </w:rPr>
        <w:br w:type="textWrapping"/>
      </w:r>
      <w:r>
        <w:rPr>
          <w:rFonts w:hint="eastAsia" w:ascii="宋体" w:hAnsi="宋体" w:cs="宋体"/>
          <w:snapToGrid w:val="0"/>
          <w:sz w:val="24"/>
        </w:rPr>
        <w:t>★麦克风反馈抑制深度等级≥5个；</w:t>
      </w:r>
      <w:r>
        <w:rPr>
          <w:rFonts w:hint="eastAsia" w:ascii="宋体" w:hAnsi="宋体" w:cs="宋体"/>
          <w:snapToGrid w:val="0"/>
          <w:sz w:val="24"/>
        </w:rPr>
        <w:br w:type="textWrapping"/>
      </w:r>
      <w:r>
        <w:rPr>
          <w:rFonts w:hint="eastAsia" w:ascii="宋体" w:hAnsi="宋体" w:cs="宋体"/>
          <w:snapToGrid w:val="0"/>
          <w:sz w:val="24"/>
        </w:rPr>
        <w:t>★设备内存储模式数量≥6种；</w:t>
      </w:r>
      <w:r>
        <w:rPr>
          <w:rFonts w:hint="eastAsia" w:ascii="宋体" w:hAnsi="宋体" w:cs="宋体"/>
          <w:snapToGrid w:val="0"/>
          <w:sz w:val="24"/>
        </w:rPr>
        <w:br w:type="textWrapping"/>
      </w:r>
      <w:r>
        <w:rPr>
          <w:rFonts w:hint="eastAsia" w:ascii="宋体" w:hAnsi="宋体" w:cs="宋体"/>
          <w:snapToGrid w:val="0"/>
          <w:sz w:val="24"/>
        </w:rPr>
        <w:t>★配置录音接口≥1个；</w:t>
      </w:r>
    </w:p>
    <w:p w14:paraId="62C3E019">
      <w:pPr>
        <w:widowControl/>
        <w:spacing w:line="560" w:lineRule="exact"/>
        <w:rPr>
          <w:rFonts w:ascii="宋体" w:hAnsi="宋体" w:cs="宋体"/>
          <w:snapToGrid w:val="0"/>
          <w:sz w:val="24"/>
        </w:rPr>
      </w:pPr>
      <w:r>
        <w:rPr>
          <w:rFonts w:hint="eastAsia" w:ascii="宋体" w:hAnsi="宋体" w:cs="宋体"/>
          <w:snapToGrid w:val="0"/>
          <w:sz w:val="24"/>
        </w:rPr>
        <w:t>◆麦克风输入为四路双编组四效果，无线话筒和摇麦独立调节均衡和效果；</w:t>
      </w:r>
      <w:r>
        <w:rPr>
          <w:rFonts w:hint="eastAsia" w:ascii="宋体" w:hAnsi="宋体" w:cs="宋体"/>
          <w:snapToGrid w:val="0"/>
          <w:sz w:val="24"/>
        </w:rPr>
        <w:br w:type="textWrapping"/>
      </w:r>
      <w:r>
        <w:rPr>
          <w:rFonts w:hint="eastAsia" w:ascii="宋体" w:hAnsi="宋体" w:cs="宋体"/>
          <w:snapToGrid w:val="0"/>
          <w:sz w:val="24"/>
        </w:rPr>
        <w:t>◆音乐输入设有模拟输入和数字光纤输入；</w:t>
      </w:r>
      <w:r>
        <w:rPr>
          <w:rFonts w:hint="eastAsia" w:ascii="宋体" w:hAnsi="宋体" w:cs="宋体"/>
          <w:snapToGrid w:val="0"/>
          <w:sz w:val="24"/>
        </w:rPr>
        <w:br w:type="textWrapping"/>
      </w:r>
      <w:r>
        <w:rPr>
          <w:rFonts w:hint="eastAsia" w:ascii="宋体" w:hAnsi="宋体" w:cs="宋体"/>
          <w:snapToGrid w:val="0"/>
          <w:sz w:val="24"/>
        </w:rPr>
        <w:t>◆效果部分每段通道设有5段前置参量均衡和10段后置参量均衡；</w:t>
      </w:r>
      <w:r>
        <w:rPr>
          <w:rFonts w:hint="eastAsia" w:ascii="宋体" w:hAnsi="宋体" w:cs="宋体"/>
          <w:snapToGrid w:val="0"/>
          <w:sz w:val="24"/>
        </w:rPr>
        <w:br w:type="textWrapping"/>
      </w:r>
      <w:r>
        <w:rPr>
          <w:rFonts w:hint="eastAsia" w:ascii="宋体" w:hAnsi="宋体" w:cs="宋体"/>
          <w:snapToGrid w:val="0"/>
          <w:sz w:val="24"/>
        </w:rPr>
        <w:t>◆输出通道均衡：主输出5段，中置5段，超低音3段，后置10段；</w:t>
      </w:r>
      <w:r>
        <w:rPr>
          <w:rFonts w:hint="eastAsia" w:ascii="宋体" w:hAnsi="宋体" w:cs="宋体"/>
          <w:snapToGrid w:val="0"/>
          <w:sz w:val="24"/>
        </w:rPr>
        <w:br w:type="textWrapping"/>
      </w:r>
      <w:r>
        <w:rPr>
          <w:rFonts w:hint="eastAsia" w:ascii="宋体" w:hAnsi="宋体" w:cs="宋体"/>
          <w:snapToGrid w:val="0"/>
          <w:sz w:val="24"/>
        </w:rPr>
        <w:t>易于使用的PC端软件；</w:t>
      </w:r>
      <w:r>
        <w:rPr>
          <w:rFonts w:hint="eastAsia" w:ascii="宋体" w:hAnsi="宋体" w:cs="宋体"/>
          <w:snapToGrid w:val="0"/>
          <w:sz w:val="24"/>
        </w:rPr>
        <w:br w:type="textWrapping"/>
      </w:r>
      <w:r>
        <w:rPr>
          <w:rFonts w:hint="eastAsia" w:ascii="宋体" w:hAnsi="宋体" w:cs="宋体"/>
          <w:snapToGrid w:val="0"/>
          <w:sz w:val="24"/>
        </w:rPr>
        <w:t>◆可使用红外遥控、RS232或USB接口来连接中控、点歌机或PC；</w:t>
      </w:r>
      <w:r>
        <w:rPr>
          <w:rFonts w:hint="eastAsia" w:ascii="宋体" w:hAnsi="宋体" w:cs="宋体"/>
          <w:snapToGrid w:val="0"/>
          <w:sz w:val="24"/>
        </w:rPr>
        <w:br w:type="textWrapping"/>
      </w:r>
      <w:r>
        <w:rPr>
          <w:rFonts w:hint="eastAsia" w:ascii="宋体" w:hAnsi="宋体" w:cs="宋体"/>
          <w:snapToGrid w:val="0"/>
          <w:sz w:val="24"/>
        </w:rPr>
        <w:t>◆超强的防冲击电路设计，更好的保护您的设备；</w:t>
      </w:r>
      <w:r>
        <w:rPr>
          <w:rFonts w:hint="eastAsia" w:ascii="宋体" w:hAnsi="宋体" w:cs="宋体"/>
          <w:snapToGrid w:val="0"/>
          <w:sz w:val="24"/>
        </w:rPr>
        <w:br w:type="textWrapping"/>
      </w:r>
      <w:r>
        <w:rPr>
          <w:rFonts w:hint="eastAsia" w:ascii="宋体" w:hAnsi="宋体" w:cs="宋体"/>
          <w:snapToGrid w:val="0"/>
          <w:sz w:val="24"/>
        </w:rPr>
        <w:t>◆稳定可靠的电路设计，精选的优质元器件；</w:t>
      </w:r>
      <w:r>
        <w:rPr>
          <w:rFonts w:hint="eastAsia" w:ascii="宋体" w:hAnsi="宋体" w:cs="宋体"/>
          <w:snapToGrid w:val="0"/>
          <w:sz w:val="24"/>
        </w:rPr>
        <w:br w:type="textWrapping"/>
      </w:r>
      <w:r>
        <w:rPr>
          <w:rFonts w:hint="eastAsia" w:ascii="宋体" w:hAnsi="宋体" w:cs="宋体"/>
          <w:snapToGrid w:val="0"/>
          <w:sz w:val="24"/>
        </w:rPr>
        <w:t>参数：</w:t>
      </w:r>
      <w:r>
        <w:rPr>
          <w:rFonts w:hint="eastAsia" w:ascii="宋体" w:hAnsi="宋体" w:cs="宋体"/>
          <w:snapToGrid w:val="0"/>
          <w:sz w:val="24"/>
        </w:rPr>
        <w:br w:type="textWrapping"/>
      </w:r>
      <w:r>
        <w:rPr>
          <w:rFonts w:hint="eastAsia" w:ascii="宋体" w:hAnsi="宋体" w:cs="宋体"/>
          <w:snapToGrid w:val="0"/>
          <w:sz w:val="24"/>
        </w:rPr>
        <w:t>◆最大输入电平：4V（RMS）；</w:t>
      </w:r>
      <w:r>
        <w:rPr>
          <w:rFonts w:hint="eastAsia" w:ascii="宋体" w:hAnsi="宋体" w:cs="宋体"/>
          <w:snapToGrid w:val="0"/>
          <w:sz w:val="24"/>
        </w:rPr>
        <w:br w:type="textWrapping"/>
      </w:r>
      <w:r>
        <w:rPr>
          <w:rFonts w:hint="eastAsia" w:ascii="宋体" w:hAnsi="宋体" w:cs="宋体"/>
          <w:snapToGrid w:val="0"/>
          <w:sz w:val="24"/>
        </w:rPr>
        <w:t>◆最大输出电平：4V（RMS）；</w:t>
      </w:r>
      <w:r>
        <w:rPr>
          <w:rFonts w:hint="eastAsia" w:ascii="宋体" w:hAnsi="宋体" w:cs="宋体"/>
          <w:snapToGrid w:val="0"/>
          <w:sz w:val="24"/>
        </w:rPr>
        <w:br w:type="textWrapping"/>
      </w:r>
      <w:r>
        <w:rPr>
          <w:rFonts w:hint="eastAsia" w:ascii="宋体" w:hAnsi="宋体" w:cs="宋体"/>
          <w:snapToGrid w:val="0"/>
          <w:sz w:val="24"/>
        </w:rPr>
        <w:t>◆音乐通道最大增益：12dB；</w:t>
      </w:r>
      <w:r>
        <w:rPr>
          <w:rFonts w:hint="eastAsia" w:ascii="宋体" w:hAnsi="宋体" w:cs="宋体"/>
          <w:snapToGrid w:val="0"/>
          <w:sz w:val="24"/>
        </w:rPr>
        <w:br w:type="textWrapping"/>
      </w:r>
      <w:r>
        <w:rPr>
          <w:rFonts w:hint="eastAsia" w:ascii="宋体" w:hAnsi="宋体" w:cs="宋体"/>
          <w:snapToGrid w:val="0"/>
          <w:sz w:val="24"/>
        </w:rPr>
        <w:t>◆麦克风灵敏度：64mV；</w:t>
      </w:r>
      <w:r>
        <w:rPr>
          <w:rFonts w:hint="eastAsia" w:ascii="宋体" w:hAnsi="宋体" w:cs="宋体"/>
          <w:snapToGrid w:val="0"/>
          <w:sz w:val="24"/>
        </w:rPr>
        <w:br w:type="textWrapping"/>
      </w:r>
      <w:r>
        <w:rPr>
          <w:rFonts w:hint="eastAsia" w:ascii="宋体" w:hAnsi="宋体" w:cs="宋体"/>
          <w:snapToGrid w:val="0"/>
          <w:sz w:val="24"/>
        </w:rPr>
        <w:t>◆信号比：大于80dB；</w:t>
      </w:r>
      <w:r>
        <w:rPr>
          <w:rFonts w:hint="eastAsia" w:ascii="宋体" w:hAnsi="宋体" w:cs="宋体"/>
          <w:snapToGrid w:val="0"/>
          <w:sz w:val="24"/>
        </w:rPr>
        <w:br w:type="textWrapping"/>
      </w:r>
      <w:r>
        <w:rPr>
          <w:rFonts w:hint="eastAsia" w:ascii="宋体" w:hAnsi="宋体" w:cs="宋体"/>
          <w:snapToGrid w:val="0"/>
          <w:sz w:val="24"/>
        </w:rPr>
        <w:t>◆输入电压：220V  50Hz；</w:t>
      </w:r>
      <w:r>
        <w:rPr>
          <w:rFonts w:hint="eastAsia" w:ascii="宋体" w:hAnsi="宋体" w:cs="宋体"/>
          <w:snapToGrid w:val="0"/>
          <w:sz w:val="24"/>
        </w:rPr>
        <w:br w:type="textWrapping"/>
      </w:r>
      <w:r>
        <w:rPr>
          <w:rFonts w:hint="eastAsia" w:ascii="宋体" w:hAnsi="宋体" w:cs="宋体"/>
          <w:snapToGrid w:val="0"/>
          <w:sz w:val="24"/>
        </w:rPr>
        <w:t>◆尺寸（长×宽×高）：483×218×47.5mm；</w:t>
      </w:r>
      <w:r>
        <w:rPr>
          <w:rFonts w:hint="eastAsia" w:ascii="宋体" w:hAnsi="宋体" w:cs="宋体"/>
          <w:snapToGrid w:val="0"/>
          <w:sz w:val="24"/>
        </w:rPr>
        <w:br w:type="textWrapping"/>
      </w:r>
      <w:r>
        <w:rPr>
          <w:rFonts w:hint="eastAsia" w:ascii="宋体" w:hAnsi="宋体" w:cs="宋体"/>
          <w:snapToGrid w:val="0"/>
          <w:sz w:val="24"/>
        </w:rPr>
        <w:t>◆净重：3.5Kg；</w:t>
      </w:r>
    </w:p>
    <w:p w14:paraId="1681DEED">
      <w:pPr>
        <w:spacing w:line="560" w:lineRule="exact"/>
        <w:ind w:firstLine="480" w:firstLineChars="200"/>
        <w:rPr>
          <w:rFonts w:ascii="宋体" w:hAnsi="宋体" w:cs="宋体"/>
          <w:snapToGrid w:val="0"/>
          <w:sz w:val="24"/>
        </w:rPr>
      </w:pPr>
      <w:r>
        <w:rPr>
          <w:rFonts w:hint="eastAsia" w:ascii="宋体" w:hAnsi="宋体" w:cs="宋体"/>
          <w:snapToGrid w:val="0"/>
          <w:sz w:val="24"/>
        </w:rPr>
        <w:t>14路带效果带4编组带MP3调音台： 1.宽电压供电：AC100~240V/50~60Hz；2.额定功率：30W；3.最大输入电平：+21dB/Gain @+10 dB；4.信噪比：-100dB;5.灵敏度：+20dB~-30dB；6.MP3音频播放器模块≥1组；7.非线性增益调节；8.EQ BYPASS按键≥10组；9.I/O录放音双轨声卡≥1张；10.USB数字存储器录音模块≥1组；11.蓝牙音频信号输入模块≥1组；12.内录模块≥1组；13.HI/Z高低阻抗切换模块≥2组；14.输入信号压缩限幅模块≥6组；15.外部设备混音接口≥6个；16.5V500mA输出接口≥1个；17.编组音频输出接口≥4个；18.易于机柜安装，附带机柜安装支架；19.附带100种模式数字效果器；20.推杆带有防尘网；21.单声道具备高功效的3段EQ；22.具备电平控制的4个立体AUX回送；23.附高通滤波器（低切），截止点75Hz-18dB/Oct；24.电平指示：12位LED灯；</w:t>
      </w:r>
    </w:p>
    <w:p w14:paraId="4CD21F34">
      <w:pPr>
        <w:widowControl/>
        <w:spacing w:line="560" w:lineRule="exact"/>
        <w:rPr>
          <w:rFonts w:ascii="宋体" w:hAnsi="宋体" w:cs="宋体"/>
          <w:snapToGrid w:val="0"/>
          <w:sz w:val="24"/>
        </w:rPr>
      </w:pPr>
      <w:r>
        <w:rPr>
          <w:rFonts w:hint="eastAsia" w:ascii="宋体" w:hAnsi="宋体" w:cs="宋体"/>
          <w:snapToGrid w:val="0"/>
          <w:sz w:val="24"/>
        </w:rPr>
        <w:t>▲在优化调音台线路的基础上增加了MP3播放模块，最大程度提高实用性，用户在无播放设备的时候可以直接用U盘当做音源；</w:t>
      </w:r>
      <w:r>
        <w:rPr>
          <w:rFonts w:hint="eastAsia" w:ascii="宋体" w:hAnsi="宋体" w:cs="宋体"/>
          <w:snapToGrid w:val="0"/>
          <w:sz w:val="24"/>
        </w:rPr>
        <w:br w:type="textWrapping"/>
      </w:r>
      <w:r>
        <w:rPr>
          <w:rFonts w:hint="eastAsia" w:ascii="宋体" w:hAnsi="宋体" w:cs="宋体"/>
          <w:snapToGrid w:val="0"/>
          <w:sz w:val="24"/>
        </w:rPr>
        <w:t>▲绝佳的数字声卡设计不但解决了音源问题，同时还满足了PC录音的需求，让用户体验完美的设计方案；</w:t>
      </w:r>
      <w:r>
        <w:rPr>
          <w:rFonts w:hint="eastAsia" w:ascii="宋体" w:hAnsi="宋体" w:cs="宋体"/>
          <w:snapToGrid w:val="0"/>
          <w:sz w:val="24"/>
        </w:rPr>
        <w:br w:type="textWrapping"/>
      </w:r>
      <w:r>
        <w:rPr>
          <w:rFonts w:hint="eastAsia" w:ascii="宋体" w:hAnsi="宋体" w:cs="宋体"/>
          <w:snapToGrid w:val="0"/>
          <w:sz w:val="24"/>
        </w:rPr>
        <w:t>▲为了再度提高实用性，单独设计一组数字录音模块，更加方便用户针对重要会议和重要内容进行数字录音，将内容直接录制在U盘中；</w:t>
      </w:r>
      <w:r>
        <w:rPr>
          <w:rFonts w:hint="eastAsia" w:ascii="宋体" w:hAnsi="宋体" w:cs="宋体"/>
          <w:snapToGrid w:val="0"/>
          <w:sz w:val="24"/>
        </w:rPr>
        <w:br w:type="textWrapping"/>
      </w:r>
      <w:r>
        <w:rPr>
          <w:rFonts w:hint="eastAsia" w:ascii="宋体" w:hAnsi="宋体" w:cs="宋体"/>
          <w:snapToGrid w:val="0"/>
          <w:sz w:val="24"/>
        </w:rPr>
        <w:t>▲该款调音台还额外增加了蓝牙输入模块，随意播放手机中的音乐；</w:t>
      </w:r>
      <w:r>
        <w:rPr>
          <w:rFonts w:hint="eastAsia" w:ascii="宋体" w:hAnsi="宋体" w:cs="宋体"/>
          <w:snapToGrid w:val="0"/>
          <w:sz w:val="24"/>
        </w:rPr>
        <w:br w:type="textWrapping"/>
      </w:r>
      <w:r>
        <w:rPr>
          <w:rFonts w:hint="eastAsia" w:ascii="宋体" w:hAnsi="宋体" w:cs="宋体"/>
          <w:snapToGrid w:val="0"/>
          <w:sz w:val="24"/>
        </w:rPr>
        <w:t>▲设计者为音乐爱好者设计优质的高低阻抗切换模块，在使用各种乐器的时候无需额外配置DI乐器盒，音乐人偏爱的独特功能；</w:t>
      </w:r>
      <w:r>
        <w:rPr>
          <w:rFonts w:hint="eastAsia" w:ascii="宋体" w:hAnsi="宋体" w:cs="宋体"/>
          <w:snapToGrid w:val="0"/>
          <w:sz w:val="24"/>
        </w:rPr>
        <w:br w:type="textWrapping"/>
      </w:r>
      <w:r>
        <w:rPr>
          <w:rFonts w:hint="eastAsia" w:ascii="宋体" w:hAnsi="宋体" w:cs="宋体"/>
          <w:snapToGrid w:val="0"/>
          <w:sz w:val="24"/>
        </w:rPr>
        <w:t>▲系统的损坏主要来源于失真信号进入系统，此款调音台增加了保护系统的压缩限幅模块，通过先进的数字算法，大大提高了对后端设备的保护；</w:t>
      </w:r>
      <w:r>
        <w:rPr>
          <w:rFonts w:hint="eastAsia" w:ascii="宋体" w:hAnsi="宋体" w:cs="宋体"/>
          <w:snapToGrid w:val="0"/>
          <w:sz w:val="24"/>
        </w:rPr>
        <w:br w:type="textWrapping"/>
      </w:r>
      <w:r>
        <w:rPr>
          <w:rFonts w:hint="eastAsia" w:ascii="宋体" w:hAnsi="宋体" w:cs="宋体"/>
          <w:snapToGrid w:val="0"/>
          <w:sz w:val="24"/>
        </w:rPr>
        <w:t>▲增加一组100种模式的专业数字效果器，给演唱者增加甜美的音色和低音的厚重感；</w:t>
      </w:r>
      <w:r>
        <w:rPr>
          <w:rFonts w:hint="eastAsia" w:ascii="宋体" w:hAnsi="宋体" w:cs="宋体"/>
          <w:snapToGrid w:val="0"/>
          <w:sz w:val="24"/>
        </w:rPr>
        <w:br w:type="textWrapping"/>
      </w:r>
      <w:r>
        <w:rPr>
          <w:rFonts w:hint="eastAsia" w:ascii="宋体" w:hAnsi="宋体" w:cs="宋体"/>
          <w:snapToGrid w:val="0"/>
          <w:sz w:val="24"/>
        </w:rPr>
        <w:t>参数：</w:t>
      </w:r>
      <w:r>
        <w:rPr>
          <w:rFonts w:hint="eastAsia" w:ascii="宋体" w:hAnsi="宋体" w:cs="宋体"/>
          <w:snapToGrid w:val="0"/>
          <w:sz w:val="24"/>
        </w:rPr>
        <w:br w:type="textWrapping"/>
      </w:r>
      <w:r>
        <w:rPr>
          <w:rFonts w:hint="eastAsia" w:ascii="宋体" w:hAnsi="宋体" w:cs="宋体"/>
          <w:snapToGrid w:val="0"/>
          <w:sz w:val="24"/>
        </w:rPr>
        <w:t>◆8路平衡式镀金XLR＋6个6.3mm平衡式MIC输入；</w:t>
      </w:r>
      <w:r>
        <w:rPr>
          <w:rFonts w:hint="eastAsia" w:ascii="宋体" w:hAnsi="宋体" w:cs="宋体"/>
          <w:snapToGrid w:val="0"/>
          <w:sz w:val="24"/>
        </w:rPr>
        <w:br w:type="textWrapping"/>
      </w:r>
      <w:r>
        <w:rPr>
          <w:rFonts w:hint="eastAsia" w:ascii="宋体" w:hAnsi="宋体" w:cs="宋体"/>
          <w:snapToGrid w:val="0"/>
          <w:sz w:val="24"/>
        </w:rPr>
        <w:t>◆增益范围：0dB-50dB;；</w:t>
      </w:r>
      <w:r>
        <w:rPr>
          <w:rFonts w:hint="eastAsia" w:ascii="宋体" w:hAnsi="宋体" w:cs="宋体"/>
          <w:snapToGrid w:val="0"/>
          <w:sz w:val="24"/>
        </w:rPr>
        <w:br w:type="textWrapping"/>
      </w:r>
      <w:r>
        <w:rPr>
          <w:rFonts w:hint="eastAsia" w:ascii="宋体" w:hAnsi="宋体" w:cs="宋体"/>
          <w:snapToGrid w:val="0"/>
          <w:sz w:val="24"/>
        </w:rPr>
        <w:t>◆幻象电源：48V；</w:t>
      </w:r>
      <w:r>
        <w:rPr>
          <w:rFonts w:hint="eastAsia" w:ascii="宋体" w:hAnsi="宋体" w:cs="宋体"/>
          <w:snapToGrid w:val="0"/>
          <w:sz w:val="24"/>
        </w:rPr>
        <w:br w:type="textWrapping"/>
      </w:r>
      <w:r>
        <w:rPr>
          <w:rFonts w:hint="eastAsia" w:ascii="宋体" w:hAnsi="宋体" w:cs="宋体"/>
          <w:snapToGrid w:val="0"/>
          <w:sz w:val="24"/>
        </w:rPr>
        <w:t>◆4个莲花口立体声输入通道；</w:t>
      </w:r>
      <w:r>
        <w:rPr>
          <w:rFonts w:hint="eastAsia" w:ascii="宋体" w:hAnsi="宋体" w:cs="宋体"/>
          <w:snapToGrid w:val="0"/>
          <w:sz w:val="24"/>
        </w:rPr>
        <w:br w:type="textWrapping"/>
      </w:r>
      <w:r>
        <w:rPr>
          <w:rFonts w:hint="eastAsia" w:ascii="宋体" w:hAnsi="宋体" w:cs="宋体"/>
          <w:snapToGrid w:val="0"/>
          <w:sz w:val="24"/>
        </w:rPr>
        <w:t>◆频响范围：20Hz~22KHz；</w:t>
      </w:r>
      <w:r>
        <w:rPr>
          <w:rFonts w:hint="eastAsia" w:ascii="宋体" w:hAnsi="宋体" w:cs="宋体"/>
          <w:snapToGrid w:val="0"/>
          <w:sz w:val="24"/>
        </w:rPr>
        <w:br w:type="textWrapping"/>
      </w:r>
      <w:r>
        <w:rPr>
          <w:rFonts w:hint="eastAsia" w:ascii="宋体" w:hAnsi="宋体" w:cs="宋体"/>
          <w:snapToGrid w:val="0"/>
          <w:sz w:val="24"/>
        </w:rPr>
        <w:t>◆总谐波失真：&lt;0.03%@0dB/22Hz~22KHz；</w:t>
      </w:r>
      <w:r>
        <w:rPr>
          <w:rFonts w:hint="eastAsia" w:ascii="宋体" w:hAnsi="宋体" w:cs="宋体"/>
          <w:snapToGrid w:val="0"/>
          <w:sz w:val="24"/>
        </w:rPr>
        <w:br w:type="textWrapping"/>
      </w:r>
      <w:r>
        <w:rPr>
          <w:rFonts w:hint="eastAsia" w:ascii="宋体" w:hAnsi="宋体" w:cs="宋体"/>
          <w:snapToGrid w:val="0"/>
          <w:sz w:val="24"/>
        </w:rPr>
        <w:t>◆信噪比：-100dB;</w:t>
      </w:r>
      <w:r>
        <w:rPr>
          <w:rFonts w:hint="eastAsia" w:ascii="宋体" w:hAnsi="宋体" w:cs="宋体"/>
          <w:snapToGrid w:val="0"/>
          <w:sz w:val="24"/>
        </w:rPr>
        <w:br w:type="textWrapping"/>
      </w:r>
      <w:r>
        <w:rPr>
          <w:rFonts w:hint="eastAsia" w:ascii="宋体" w:hAnsi="宋体" w:cs="宋体"/>
          <w:snapToGrid w:val="0"/>
          <w:sz w:val="24"/>
        </w:rPr>
        <w:t>◆灵敏度：+20dB~-30dB；</w:t>
      </w:r>
      <w:r>
        <w:rPr>
          <w:rFonts w:hint="eastAsia" w:ascii="宋体" w:hAnsi="宋体" w:cs="宋体"/>
          <w:snapToGrid w:val="0"/>
          <w:sz w:val="24"/>
        </w:rPr>
        <w:br w:type="textWrapping"/>
      </w:r>
      <w:r>
        <w:rPr>
          <w:rFonts w:hint="eastAsia" w:ascii="宋体" w:hAnsi="宋体" w:cs="宋体"/>
          <w:snapToGrid w:val="0"/>
          <w:sz w:val="24"/>
        </w:rPr>
        <w:t>◆串扰：-80dB (0dB/20Hz~22 kHz);</w:t>
      </w:r>
      <w:r>
        <w:rPr>
          <w:rFonts w:hint="eastAsia" w:ascii="宋体" w:hAnsi="宋体" w:cs="宋体"/>
          <w:snapToGrid w:val="0"/>
          <w:sz w:val="24"/>
        </w:rPr>
        <w:br w:type="textWrapping"/>
      </w:r>
      <w:r>
        <w:rPr>
          <w:rFonts w:hint="eastAsia" w:ascii="宋体" w:hAnsi="宋体" w:cs="宋体"/>
          <w:snapToGrid w:val="0"/>
          <w:sz w:val="24"/>
        </w:rPr>
        <w:t>◆均衡器（单声道）：</w:t>
      </w:r>
      <w:r>
        <w:rPr>
          <w:rFonts w:hint="eastAsia" w:ascii="宋体" w:hAnsi="宋体" w:cs="宋体"/>
          <w:snapToGrid w:val="0"/>
          <w:sz w:val="24"/>
        </w:rPr>
        <w:br w:type="textWrapping"/>
      </w:r>
      <w:r>
        <w:rPr>
          <w:rFonts w:hint="eastAsia" w:ascii="宋体" w:hAnsi="宋体" w:cs="宋体"/>
          <w:snapToGrid w:val="0"/>
          <w:sz w:val="24"/>
        </w:rPr>
        <w:t>高音：±15dB@12kHz；</w:t>
      </w:r>
      <w:r>
        <w:rPr>
          <w:rFonts w:hint="eastAsia" w:ascii="宋体" w:hAnsi="宋体" w:cs="宋体"/>
          <w:snapToGrid w:val="0"/>
          <w:sz w:val="24"/>
        </w:rPr>
        <w:br w:type="textWrapping"/>
      </w:r>
      <w:r>
        <w:rPr>
          <w:rFonts w:hint="eastAsia" w:ascii="宋体" w:hAnsi="宋体" w:cs="宋体"/>
          <w:snapToGrid w:val="0"/>
          <w:sz w:val="24"/>
        </w:rPr>
        <w:t>中音：±15dB@100Hz~3kHz；</w:t>
      </w:r>
      <w:r>
        <w:rPr>
          <w:rFonts w:hint="eastAsia" w:ascii="宋体" w:hAnsi="宋体" w:cs="宋体"/>
          <w:snapToGrid w:val="0"/>
          <w:sz w:val="24"/>
        </w:rPr>
        <w:br w:type="textWrapping"/>
      </w:r>
      <w:r>
        <w:rPr>
          <w:rFonts w:hint="eastAsia" w:ascii="宋体" w:hAnsi="宋体" w:cs="宋体"/>
          <w:snapToGrid w:val="0"/>
          <w:sz w:val="24"/>
        </w:rPr>
        <w:t>低音：±15dB@80Hz；</w:t>
      </w:r>
      <w:r>
        <w:rPr>
          <w:rFonts w:hint="eastAsia" w:ascii="宋体" w:hAnsi="宋体" w:cs="宋体"/>
          <w:snapToGrid w:val="0"/>
          <w:sz w:val="24"/>
        </w:rPr>
        <w:br w:type="textWrapping"/>
      </w:r>
      <w:r>
        <w:rPr>
          <w:rFonts w:hint="eastAsia" w:ascii="宋体" w:hAnsi="宋体" w:cs="宋体"/>
          <w:snapToGrid w:val="0"/>
          <w:sz w:val="24"/>
        </w:rPr>
        <w:t>◆均衡器（立体声）：</w:t>
      </w:r>
      <w:r>
        <w:rPr>
          <w:rFonts w:hint="eastAsia" w:ascii="宋体" w:hAnsi="宋体" w:cs="宋体"/>
          <w:snapToGrid w:val="0"/>
          <w:sz w:val="24"/>
        </w:rPr>
        <w:br w:type="textWrapping"/>
      </w:r>
      <w:r>
        <w:rPr>
          <w:rFonts w:hint="eastAsia" w:ascii="宋体" w:hAnsi="宋体" w:cs="宋体"/>
          <w:snapToGrid w:val="0"/>
          <w:sz w:val="24"/>
        </w:rPr>
        <w:t>高音：±15dB@12kHz；</w:t>
      </w:r>
      <w:r>
        <w:rPr>
          <w:rFonts w:hint="eastAsia" w:ascii="宋体" w:hAnsi="宋体" w:cs="宋体"/>
          <w:snapToGrid w:val="0"/>
          <w:sz w:val="24"/>
        </w:rPr>
        <w:br w:type="textWrapping"/>
      </w:r>
      <w:r>
        <w:rPr>
          <w:rFonts w:hint="eastAsia" w:ascii="宋体" w:hAnsi="宋体" w:cs="宋体"/>
          <w:snapToGrid w:val="0"/>
          <w:sz w:val="24"/>
        </w:rPr>
        <w:t>中高音：±15dB@3kHz；</w:t>
      </w:r>
      <w:r>
        <w:rPr>
          <w:rFonts w:hint="eastAsia" w:ascii="宋体" w:hAnsi="宋体" w:cs="宋体"/>
          <w:snapToGrid w:val="0"/>
          <w:sz w:val="24"/>
        </w:rPr>
        <w:br w:type="textWrapping"/>
      </w:r>
      <w:r>
        <w:rPr>
          <w:rFonts w:hint="eastAsia" w:ascii="宋体" w:hAnsi="宋体" w:cs="宋体"/>
          <w:snapToGrid w:val="0"/>
          <w:sz w:val="24"/>
        </w:rPr>
        <w:t>中低音：±15dB@500Hz；</w:t>
      </w:r>
      <w:r>
        <w:rPr>
          <w:rFonts w:hint="eastAsia" w:ascii="宋体" w:hAnsi="宋体" w:cs="宋体"/>
          <w:snapToGrid w:val="0"/>
          <w:sz w:val="24"/>
        </w:rPr>
        <w:br w:type="textWrapping"/>
      </w:r>
      <w:r>
        <w:rPr>
          <w:rFonts w:hint="eastAsia" w:ascii="宋体" w:hAnsi="宋体" w:cs="宋体"/>
          <w:snapToGrid w:val="0"/>
          <w:sz w:val="24"/>
        </w:rPr>
        <w:t>低音：±15dB@80Hz；</w:t>
      </w:r>
      <w:r>
        <w:rPr>
          <w:rFonts w:hint="eastAsia" w:ascii="宋体" w:hAnsi="宋体" w:cs="宋体"/>
          <w:snapToGrid w:val="0"/>
          <w:sz w:val="24"/>
        </w:rPr>
        <w:br w:type="textWrapping"/>
      </w:r>
      <w:r>
        <w:rPr>
          <w:rFonts w:hint="eastAsia" w:ascii="宋体" w:hAnsi="宋体" w:cs="宋体"/>
          <w:snapToGrid w:val="0"/>
          <w:sz w:val="24"/>
        </w:rPr>
        <w:t>◆DSP效果器：100种混响效果；</w:t>
      </w:r>
      <w:r>
        <w:rPr>
          <w:rFonts w:hint="eastAsia" w:ascii="宋体" w:hAnsi="宋体" w:cs="宋体"/>
          <w:snapToGrid w:val="0"/>
          <w:sz w:val="24"/>
        </w:rPr>
        <w:br w:type="textWrapping"/>
      </w:r>
      <w:r>
        <w:rPr>
          <w:rFonts w:hint="eastAsia" w:ascii="宋体" w:hAnsi="宋体" w:cs="宋体"/>
          <w:snapToGrid w:val="0"/>
          <w:sz w:val="24"/>
        </w:rPr>
        <w:t>◆D/A转换器：24bit；</w:t>
      </w:r>
      <w:r>
        <w:rPr>
          <w:rFonts w:hint="eastAsia" w:ascii="宋体" w:hAnsi="宋体" w:cs="宋体"/>
          <w:snapToGrid w:val="0"/>
          <w:sz w:val="24"/>
        </w:rPr>
        <w:br w:type="textWrapping"/>
      </w:r>
      <w:r>
        <w:rPr>
          <w:rFonts w:hint="eastAsia" w:ascii="宋体" w:hAnsi="宋体" w:cs="宋体"/>
          <w:snapToGrid w:val="0"/>
          <w:sz w:val="24"/>
        </w:rPr>
        <w:t>◆预设模式：00~99；</w:t>
      </w:r>
      <w:r>
        <w:rPr>
          <w:rFonts w:hint="eastAsia" w:ascii="宋体" w:hAnsi="宋体" w:cs="宋体"/>
          <w:snapToGrid w:val="0"/>
          <w:sz w:val="24"/>
        </w:rPr>
        <w:br w:type="textWrapping"/>
      </w:r>
      <w:r>
        <w:rPr>
          <w:rFonts w:hint="eastAsia" w:ascii="宋体" w:hAnsi="宋体" w:cs="宋体"/>
          <w:snapToGrid w:val="0"/>
          <w:sz w:val="24"/>
        </w:rPr>
        <w:t>◆最大输入电平：+21dB/Gain @+10 dB；</w:t>
      </w:r>
      <w:r>
        <w:rPr>
          <w:rFonts w:hint="eastAsia" w:ascii="宋体" w:hAnsi="宋体" w:cs="宋体"/>
          <w:snapToGrid w:val="0"/>
          <w:sz w:val="24"/>
        </w:rPr>
        <w:br w:type="textWrapping"/>
      </w:r>
      <w:r>
        <w:rPr>
          <w:rFonts w:hint="eastAsia" w:ascii="宋体" w:hAnsi="宋体" w:cs="宋体"/>
          <w:snapToGrid w:val="0"/>
          <w:sz w:val="24"/>
        </w:rPr>
        <w:t>◆输入/出阻抗：</w:t>
      </w:r>
      <w:r>
        <w:rPr>
          <w:rFonts w:hint="eastAsia" w:ascii="宋体" w:hAnsi="宋体" w:cs="宋体"/>
          <w:snapToGrid w:val="0"/>
          <w:sz w:val="24"/>
        </w:rPr>
        <w:br w:type="textWrapping"/>
      </w:r>
      <w:r>
        <w:rPr>
          <w:rFonts w:hint="eastAsia" w:ascii="宋体" w:hAnsi="宋体" w:cs="宋体"/>
          <w:snapToGrid w:val="0"/>
          <w:sz w:val="24"/>
        </w:rPr>
        <w:t>麦克风：1.8KΩ；</w:t>
      </w:r>
      <w:r>
        <w:rPr>
          <w:rFonts w:hint="eastAsia" w:ascii="宋体" w:hAnsi="宋体" w:cs="宋体"/>
          <w:snapToGrid w:val="0"/>
          <w:sz w:val="24"/>
        </w:rPr>
        <w:br w:type="textWrapping"/>
      </w:r>
      <w:r>
        <w:rPr>
          <w:rFonts w:hint="eastAsia" w:ascii="宋体" w:hAnsi="宋体" w:cs="宋体"/>
          <w:snapToGrid w:val="0"/>
          <w:sz w:val="24"/>
        </w:rPr>
        <w:t>其他输入：10KΩ或更大；</w:t>
      </w:r>
      <w:r>
        <w:rPr>
          <w:rFonts w:hint="eastAsia" w:ascii="宋体" w:hAnsi="宋体" w:cs="宋体"/>
          <w:snapToGrid w:val="0"/>
          <w:sz w:val="24"/>
        </w:rPr>
        <w:br w:type="textWrapping"/>
      </w:r>
      <w:r>
        <w:rPr>
          <w:rFonts w:hint="eastAsia" w:ascii="宋体" w:hAnsi="宋体" w:cs="宋体"/>
          <w:snapToGrid w:val="0"/>
          <w:sz w:val="24"/>
        </w:rPr>
        <w:t>磁带输出：1KΩ；</w:t>
      </w:r>
      <w:r>
        <w:rPr>
          <w:rFonts w:hint="eastAsia" w:ascii="宋体" w:hAnsi="宋体" w:cs="宋体"/>
          <w:snapToGrid w:val="0"/>
          <w:sz w:val="24"/>
        </w:rPr>
        <w:br w:type="textWrapping"/>
      </w:r>
      <w:r>
        <w:rPr>
          <w:rFonts w:hint="eastAsia" w:ascii="宋体" w:hAnsi="宋体" w:cs="宋体"/>
          <w:snapToGrid w:val="0"/>
          <w:sz w:val="24"/>
        </w:rPr>
        <w:t>其他输出：120Ω；</w:t>
      </w:r>
      <w:r>
        <w:rPr>
          <w:rFonts w:hint="eastAsia" w:ascii="宋体" w:hAnsi="宋体" w:cs="宋体"/>
          <w:snapToGrid w:val="0"/>
          <w:sz w:val="24"/>
        </w:rPr>
        <w:br w:type="textWrapping"/>
      </w:r>
      <w:r>
        <w:rPr>
          <w:rFonts w:hint="eastAsia" w:ascii="宋体" w:hAnsi="宋体" w:cs="宋体"/>
          <w:snapToGrid w:val="0"/>
          <w:sz w:val="24"/>
        </w:rPr>
        <w:t>◆供电：AC100~240V/50~60Hz；</w:t>
      </w:r>
      <w:r>
        <w:rPr>
          <w:rFonts w:hint="eastAsia" w:ascii="宋体" w:hAnsi="宋体" w:cs="宋体"/>
          <w:snapToGrid w:val="0"/>
          <w:sz w:val="24"/>
        </w:rPr>
        <w:br w:type="textWrapping"/>
      </w:r>
      <w:r>
        <w:rPr>
          <w:rFonts w:hint="eastAsia" w:ascii="宋体" w:hAnsi="宋体" w:cs="宋体"/>
          <w:snapToGrid w:val="0"/>
          <w:sz w:val="24"/>
        </w:rPr>
        <w:t>◆额定功率：30W；</w:t>
      </w:r>
      <w:r>
        <w:rPr>
          <w:rFonts w:hint="eastAsia" w:ascii="宋体" w:hAnsi="宋体" w:cs="宋体"/>
          <w:snapToGrid w:val="0"/>
          <w:sz w:val="24"/>
        </w:rPr>
        <w:br w:type="textWrapping"/>
      </w:r>
      <w:r>
        <w:rPr>
          <w:rFonts w:hint="eastAsia" w:ascii="宋体" w:hAnsi="宋体" w:cs="宋体"/>
          <w:snapToGrid w:val="0"/>
          <w:sz w:val="24"/>
        </w:rPr>
        <w:t>◆实物尺寸(深×宽×高):431×438×86mm</w:t>
      </w:r>
      <w:r>
        <w:rPr>
          <w:rFonts w:hint="eastAsia" w:ascii="宋体" w:hAnsi="宋体" w:cs="宋体"/>
          <w:snapToGrid w:val="0"/>
          <w:sz w:val="24"/>
        </w:rPr>
        <w:br w:type="textWrapping"/>
      </w:r>
      <w:r>
        <w:rPr>
          <w:rFonts w:hint="eastAsia" w:ascii="宋体" w:hAnsi="宋体" w:cs="宋体"/>
          <w:snapToGrid w:val="0"/>
          <w:sz w:val="24"/>
        </w:rPr>
        <w:t>◆净重:5.8Kg</w:t>
      </w:r>
    </w:p>
    <w:p w14:paraId="01C4DFB5">
      <w:pPr>
        <w:spacing w:line="560" w:lineRule="exact"/>
        <w:ind w:firstLine="480" w:firstLineChars="200"/>
        <w:rPr>
          <w:rFonts w:ascii="宋体" w:hAnsi="宋体" w:cs="宋体"/>
          <w:snapToGrid w:val="0"/>
          <w:sz w:val="24"/>
        </w:rPr>
      </w:pPr>
      <w:r>
        <w:rPr>
          <w:rFonts w:hint="eastAsia" w:ascii="宋体" w:hAnsi="宋体" w:cs="宋体"/>
          <w:snapToGrid w:val="0"/>
          <w:sz w:val="24"/>
        </w:rPr>
        <w:t>一拖四手持/头戴无线话筒：1.采用特有专利ATGAT技术（自动时隙分配技术），自动选取最优频率进行通信，无需人工设定工作频率。2.多台接收机同时工作时，各接收机会自动避开其它接收机已经选用的频点进行工作，无需人工干预，智能安装。3.红外线对频，200频道自由选择，可设置多套系统在同一会场使用，可避免与其他无线产品的相互干扰。4.雷达选频自动同步工作，话筒单元在同一地址码时，接收机更换通讯频道，所有话筒单元自动跟随同步，免除需专业人员的调试安装。5.内置多种传感器，无线侦测、无线调控、无线匹配、无线自动管理，无需任何辅助即可帮您工作顺利完成。6.内置均衡器，对系统输出的信号信号进行调整，以满足不同的会场场合。 7.人性化功能∶高清人声还原、超指向性角度60°、声音探测、独有续航供电、拒绝干扰、无线语音分配。8.天线切换接收信号方式，通过拨动开关选择天线端口：使用常规天线或使用天线放大器接收板；自带天线供电，免除增加外置设备，增加无线距离及无线传输的稳定性，适应各种特殊会场环境。9.话筒单元无缝接入，随时更换或增加话筒单元，无需中断会议进程。10.独有的飞梭功能旋钮，根据用户需求选择各种通道功能，摆脱传统按键多，用户不会操作，使用麻烦的问题。11.TFT2.68寸彩色高清显示屏，具有高亮度、高对比度、宽可视角度、分级菜单设计，使操作简明方便。12.PLL锁相环频率合成技术。13.杂讯锁定静噪控制+音码导航锁定静噪控制。14.音频动态扩展及自动电平控制电路。15.接收机线路与外壳都加强了与地线的连接，保证具备可抗静电8000V的能力。16.接收机采用全金属结构设计，庄重大方，标准1U设计，稳重坚固，可安装在19英寸标准机柜。17.话筒单元采用工程塑料材质加上新颖的外型设计，内置天线，美观得体。</w:t>
      </w:r>
      <w:r>
        <w:rPr>
          <w:rFonts w:hint="eastAsia" w:ascii="宋体" w:hAnsi="宋体" w:cs="宋体"/>
          <w:snapToGrid w:val="0"/>
          <w:sz w:val="24"/>
        </w:rPr>
        <w:br w:type="textWrapping"/>
      </w:r>
      <w:r>
        <w:rPr>
          <w:rFonts w:hint="eastAsia" w:ascii="宋体" w:hAnsi="宋体" w:cs="宋体"/>
          <w:snapToGrid w:val="0"/>
          <w:sz w:val="24"/>
        </w:rPr>
        <w:t>▲通信方式：无线UHF通信，640-690MHz</w:t>
      </w:r>
      <w:r>
        <w:rPr>
          <w:rFonts w:hint="eastAsia" w:ascii="宋体" w:hAnsi="宋体" w:cs="宋体"/>
          <w:snapToGrid w:val="0"/>
          <w:sz w:val="24"/>
        </w:rPr>
        <w:br w:type="textWrapping"/>
      </w:r>
      <w:r>
        <w:rPr>
          <w:rFonts w:hint="eastAsia" w:ascii="宋体" w:hAnsi="宋体" w:cs="宋体"/>
          <w:snapToGrid w:val="0"/>
          <w:sz w:val="24"/>
        </w:rPr>
        <w:t>▲最大调制度：±45KHz</w:t>
      </w:r>
      <w:r>
        <w:rPr>
          <w:rFonts w:hint="eastAsia" w:ascii="宋体" w:hAnsi="宋体" w:cs="宋体"/>
          <w:snapToGrid w:val="0"/>
          <w:sz w:val="24"/>
        </w:rPr>
        <w:br w:type="textWrapping"/>
      </w:r>
      <w:r>
        <w:rPr>
          <w:rFonts w:hint="eastAsia" w:ascii="宋体" w:hAnsi="宋体" w:cs="宋体"/>
          <w:snapToGrid w:val="0"/>
          <w:sz w:val="24"/>
        </w:rPr>
        <w:t>▲工作频点：200个</w:t>
      </w:r>
      <w:r>
        <w:rPr>
          <w:rFonts w:hint="eastAsia" w:ascii="宋体" w:hAnsi="宋体" w:cs="宋体"/>
          <w:snapToGrid w:val="0"/>
          <w:sz w:val="24"/>
        </w:rPr>
        <w:br w:type="textWrapping"/>
      </w:r>
      <w:r>
        <w:rPr>
          <w:rFonts w:hint="eastAsia" w:ascii="宋体" w:hAnsi="宋体" w:cs="宋体"/>
          <w:snapToGrid w:val="0"/>
          <w:sz w:val="24"/>
        </w:rPr>
        <w:t>▲频率响应：50Hz-15KHz</w:t>
      </w:r>
      <w:r>
        <w:rPr>
          <w:rFonts w:hint="eastAsia" w:ascii="宋体" w:hAnsi="宋体" w:cs="宋体"/>
          <w:snapToGrid w:val="0"/>
          <w:sz w:val="24"/>
        </w:rPr>
        <w:br w:type="textWrapping"/>
      </w:r>
      <w:r>
        <w:rPr>
          <w:rFonts w:hint="eastAsia" w:ascii="宋体" w:hAnsi="宋体" w:cs="宋体"/>
          <w:snapToGrid w:val="0"/>
          <w:sz w:val="24"/>
        </w:rPr>
        <w:t>▲音频总增益：≦20dB</w:t>
      </w:r>
      <w:r>
        <w:rPr>
          <w:rFonts w:hint="eastAsia" w:ascii="宋体" w:hAnsi="宋体" w:cs="宋体"/>
          <w:snapToGrid w:val="0"/>
          <w:sz w:val="24"/>
        </w:rPr>
        <w:br w:type="textWrapping"/>
      </w:r>
      <w:r>
        <w:rPr>
          <w:rFonts w:hint="eastAsia" w:ascii="宋体" w:hAnsi="宋体" w:cs="宋体"/>
          <w:snapToGrid w:val="0"/>
          <w:sz w:val="24"/>
        </w:rPr>
        <w:t>▲信噪比：&gt;85dB</w:t>
      </w:r>
      <w:r>
        <w:rPr>
          <w:rFonts w:hint="eastAsia" w:ascii="宋体" w:hAnsi="宋体" w:cs="宋体"/>
          <w:snapToGrid w:val="0"/>
          <w:sz w:val="24"/>
        </w:rPr>
        <w:br w:type="textWrapping"/>
      </w:r>
      <w:r>
        <w:rPr>
          <w:rFonts w:hint="eastAsia" w:ascii="宋体" w:hAnsi="宋体" w:cs="宋体"/>
          <w:snapToGrid w:val="0"/>
          <w:sz w:val="24"/>
        </w:rPr>
        <w:t>▲频率稳定度：±0.002%</w:t>
      </w:r>
      <w:r>
        <w:rPr>
          <w:rFonts w:hint="eastAsia" w:ascii="宋体" w:hAnsi="宋体" w:cs="宋体"/>
          <w:snapToGrid w:val="0"/>
          <w:sz w:val="24"/>
        </w:rPr>
        <w:br w:type="textWrapping"/>
      </w:r>
      <w:r>
        <w:rPr>
          <w:rFonts w:hint="eastAsia" w:ascii="宋体" w:hAnsi="宋体" w:cs="宋体"/>
          <w:snapToGrid w:val="0"/>
          <w:sz w:val="24"/>
        </w:rPr>
        <w:t>▲音频总谐波失真：≦0.8%</w:t>
      </w:r>
      <w:r>
        <w:rPr>
          <w:rFonts w:hint="eastAsia" w:ascii="宋体" w:hAnsi="宋体" w:cs="宋体"/>
          <w:snapToGrid w:val="0"/>
          <w:sz w:val="24"/>
        </w:rPr>
        <w:br w:type="textWrapping"/>
      </w:r>
      <w:r>
        <w:rPr>
          <w:rFonts w:hint="eastAsia" w:ascii="宋体" w:hAnsi="宋体" w:cs="宋体"/>
          <w:snapToGrid w:val="0"/>
          <w:sz w:val="24"/>
        </w:rPr>
        <w:t>▲天线程式：四通道：4 x 200mm天线，BNC/50Ω卡式天线座。</w:t>
      </w:r>
      <w:r>
        <w:rPr>
          <w:rFonts w:hint="eastAsia" w:ascii="宋体" w:hAnsi="宋体" w:cs="宋体"/>
          <w:snapToGrid w:val="0"/>
          <w:sz w:val="24"/>
        </w:rPr>
        <w:br w:type="textWrapping"/>
      </w:r>
      <w:r>
        <w:rPr>
          <w:rFonts w:hint="eastAsia" w:ascii="宋体" w:hAnsi="宋体" w:cs="宋体"/>
          <w:snapToGrid w:val="0"/>
          <w:sz w:val="24"/>
        </w:rPr>
        <w:t>▲传输距离：&gt;100m，空阔空间可达150m以上</w:t>
      </w:r>
      <w:r>
        <w:rPr>
          <w:rFonts w:hint="eastAsia" w:ascii="宋体" w:hAnsi="宋体" w:cs="宋体"/>
          <w:snapToGrid w:val="0"/>
          <w:sz w:val="24"/>
        </w:rPr>
        <w:br w:type="textWrapping"/>
      </w:r>
      <w:r>
        <w:rPr>
          <w:rFonts w:hint="eastAsia" w:ascii="宋体" w:hAnsi="宋体" w:cs="宋体"/>
          <w:snapToGrid w:val="0"/>
          <w:sz w:val="24"/>
        </w:rPr>
        <w:t>▲显示：TFT2.68寸彩色高清显示屏</w:t>
      </w:r>
      <w:r>
        <w:rPr>
          <w:rFonts w:hint="eastAsia" w:ascii="宋体" w:hAnsi="宋体" w:cs="宋体"/>
          <w:snapToGrid w:val="0"/>
          <w:sz w:val="24"/>
        </w:rPr>
        <w:br w:type="textWrapping"/>
      </w:r>
      <w:r>
        <w:rPr>
          <w:rFonts w:hint="eastAsia" w:ascii="宋体" w:hAnsi="宋体" w:cs="宋体"/>
          <w:snapToGrid w:val="0"/>
          <w:sz w:val="24"/>
        </w:rPr>
        <w:t>▲供电：DC12V，≧1A</w:t>
      </w:r>
      <w:r>
        <w:rPr>
          <w:rFonts w:hint="eastAsia" w:ascii="宋体" w:hAnsi="宋体" w:cs="宋体"/>
          <w:snapToGrid w:val="0"/>
          <w:sz w:val="24"/>
        </w:rPr>
        <w:br w:type="textWrapping"/>
      </w:r>
      <w:r>
        <w:rPr>
          <w:rFonts w:hint="eastAsia" w:ascii="宋体" w:hAnsi="宋体" w:cs="宋体"/>
          <w:snapToGrid w:val="0"/>
          <w:sz w:val="24"/>
        </w:rPr>
        <w:t>▲工作温度：-10℃ - 40℃</w:t>
      </w:r>
      <w:r>
        <w:rPr>
          <w:rFonts w:hint="eastAsia" w:ascii="宋体" w:hAnsi="宋体" w:cs="宋体"/>
          <w:snapToGrid w:val="0"/>
          <w:sz w:val="24"/>
        </w:rPr>
        <w:br w:type="textWrapping"/>
      </w:r>
      <w:r>
        <w:rPr>
          <w:rFonts w:hint="eastAsia" w:ascii="宋体" w:hAnsi="宋体" w:cs="宋体"/>
          <w:snapToGrid w:val="0"/>
          <w:sz w:val="24"/>
        </w:rPr>
        <w:t>▲尺寸：420mm x 215mm x 50mm（不含天线）</w:t>
      </w:r>
      <w:r>
        <w:rPr>
          <w:rFonts w:hint="eastAsia" w:ascii="宋体" w:hAnsi="宋体" w:cs="宋体"/>
          <w:snapToGrid w:val="0"/>
          <w:sz w:val="24"/>
        </w:rPr>
        <w:br w:type="textWrapping"/>
      </w:r>
      <w:r>
        <w:rPr>
          <w:rFonts w:hint="eastAsia" w:ascii="宋体" w:hAnsi="宋体" w:cs="宋体"/>
          <w:snapToGrid w:val="0"/>
          <w:sz w:val="24"/>
        </w:rPr>
        <w:t>▲四通道：2.1kg（不含天线）</w:t>
      </w:r>
      <w:r>
        <w:rPr>
          <w:rFonts w:hint="eastAsia" w:ascii="宋体" w:hAnsi="宋体" w:cs="宋体"/>
          <w:snapToGrid w:val="0"/>
          <w:sz w:val="24"/>
        </w:rPr>
        <w:br w:type="textWrapping"/>
      </w:r>
      <w:r>
        <w:rPr>
          <w:rFonts w:hint="eastAsia" w:ascii="宋体" w:hAnsi="宋体" w:cs="宋体"/>
          <w:snapToGrid w:val="0"/>
          <w:sz w:val="24"/>
        </w:rPr>
        <w:t>腰包参数：</w:t>
      </w:r>
      <w:r>
        <w:rPr>
          <w:rFonts w:hint="eastAsia" w:ascii="宋体" w:hAnsi="宋体" w:cs="宋体"/>
          <w:snapToGrid w:val="0"/>
          <w:sz w:val="24"/>
        </w:rPr>
        <w:br w:type="textWrapping"/>
      </w:r>
      <w:r>
        <w:rPr>
          <w:rFonts w:hint="eastAsia" w:ascii="宋体" w:hAnsi="宋体" w:cs="宋体"/>
          <w:snapToGrid w:val="0"/>
          <w:sz w:val="24"/>
        </w:rPr>
        <w:t>▲通信方式：无线UHF通信，640-690MHz</w:t>
      </w:r>
      <w:r>
        <w:rPr>
          <w:rFonts w:hint="eastAsia" w:ascii="宋体" w:hAnsi="宋体" w:cs="宋体"/>
          <w:snapToGrid w:val="0"/>
          <w:sz w:val="24"/>
        </w:rPr>
        <w:br w:type="textWrapping"/>
      </w:r>
      <w:r>
        <w:rPr>
          <w:rFonts w:hint="eastAsia" w:ascii="宋体" w:hAnsi="宋体" w:cs="宋体"/>
          <w:snapToGrid w:val="0"/>
          <w:sz w:val="24"/>
        </w:rPr>
        <w:t>▲最大调制度：±45KHz</w:t>
      </w:r>
      <w:r>
        <w:rPr>
          <w:rFonts w:hint="eastAsia" w:ascii="宋体" w:hAnsi="宋体" w:cs="宋体"/>
          <w:snapToGrid w:val="0"/>
          <w:sz w:val="24"/>
        </w:rPr>
        <w:br w:type="textWrapping"/>
      </w:r>
      <w:r>
        <w:rPr>
          <w:rFonts w:hint="eastAsia" w:ascii="宋体" w:hAnsi="宋体" w:cs="宋体"/>
          <w:snapToGrid w:val="0"/>
          <w:sz w:val="24"/>
        </w:rPr>
        <w:t>▲频率响应：50-16kHz</w:t>
      </w:r>
      <w:r>
        <w:rPr>
          <w:rFonts w:hint="eastAsia" w:ascii="宋体" w:hAnsi="宋体" w:cs="宋体"/>
          <w:snapToGrid w:val="0"/>
          <w:sz w:val="24"/>
        </w:rPr>
        <w:br w:type="textWrapping"/>
      </w:r>
      <w:r>
        <w:rPr>
          <w:rFonts w:hint="eastAsia" w:ascii="宋体" w:hAnsi="宋体" w:cs="宋体"/>
          <w:snapToGrid w:val="0"/>
          <w:sz w:val="24"/>
        </w:rPr>
        <w:t>▲谐波辐射：&lt;-65dBm</w:t>
      </w:r>
      <w:r>
        <w:rPr>
          <w:rFonts w:hint="eastAsia" w:ascii="宋体" w:hAnsi="宋体" w:cs="宋体"/>
          <w:snapToGrid w:val="0"/>
          <w:sz w:val="24"/>
        </w:rPr>
        <w:br w:type="textWrapping"/>
      </w:r>
      <w:r>
        <w:rPr>
          <w:rFonts w:hint="eastAsia" w:ascii="宋体" w:hAnsi="宋体" w:cs="宋体"/>
          <w:snapToGrid w:val="0"/>
          <w:sz w:val="24"/>
        </w:rPr>
        <w:t>▲RF功率输出：10mW</w:t>
      </w:r>
      <w:r>
        <w:rPr>
          <w:rFonts w:hint="eastAsia" w:ascii="宋体" w:hAnsi="宋体" w:cs="宋体"/>
          <w:snapToGrid w:val="0"/>
          <w:sz w:val="24"/>
        </w:rPr>
        <w:br w:type="textWrapping"/>
      </w:r>
      <w:r>
        <w:rPr>
          <w:rFonts w:hint="eastAsia" w:ascii="宋体" w:hAnsi="宋体" w:cs="宋体"/>
          <w:snapToGrid w:val="0"/>
          <w:sz w:val="24"/>
        </w:rPr>
        <w:t>▲音频动态范围：≥99dB</w:t>
      </w:r>
      <w:r>
        <w:rPr>
          <w:rFonts w:hint="eastAsia" w:ascii="宋体" w:hAnsi="宋体" w:cs="宋体"/>
          <w:snapToGrid w:val="0"/>
          <w:sz w:val="24"/>
        </w:rPr>
        <w:br w:type="textWrapping"/>
      </w:r>
      <w:r>
        <w:rPr>
          <w:rFonts w:hint="eastAsia" w:ascii="宋体" w:hAnsi="宋体" w:cs="宋体"/>
          <w:snapToGrid w:val="0"/>
          <w:sz w:val="24"/>
        </w:rPr>
        <w:t>▲供电：两节5号碱性或镍氢电池</w:t>
      </w:r>
      <w:r>
        <w:rPr>
          <w:rFonts w:hint="eastAsia" w:ascii="宋体" w:hAnsi="宋体" w:cs="宋体"/>
          <w:snapToGrid w:val="0"/>
          <w:sz w:val="24"/>
        </w:rPr>
        <w:br w:type="textWrapping"/>
      </w:r>
      <w:r>
        <w:rPr>
          <w:rFonts w:hint="eastAsia" w:ascii="宋体" w:hAnsi="宋体" w:cs="宋体"/>
          <w:snapToGrid w:val="0"/>
          <w:sz w:val="24"/>
        </w:rPr>
        <w:t>▲电流消耗：118mA(2.6V)</w:t>
      </w:r>
      <w:r>
        <w:rPr>
          <w:rFonts w:hint="eastAsia" w:ascii="宋体" w:hAnsi="宋体" w:cs="宋体"/>
          <w:snapToGrid w:val="0"/>
          <w:sz w:val="24"/>
        </w:rPr>
        <w:br w:type="textWrapping"/>
      </w:r>
      <w:r>
        <w:rPr>
          <w:rFonts w:hint="eastAsia" w:ascii="宋体" w:hAnsi="宋体" w:cs="宋体"/>
          <w:snapToGrid w:val="0"/>
          <w:sz w:val="24"/>
        </w:rPr>
        <w:t>▲续航时间：约4-6小时</w:t>
      </w:r>
      <w:r>
        <w:rPr>
          <w:rFonts w:hint="eastAsia" w:ascii="宋体" w:hAnsi="宋体" w:cs="宋体"/>
          <w:snapToGrid w:val="0"/>
          <w:sz w:val="24"/>
        </w:rPr>
        <w:br w:type="textWrapping"/>
      </w:r>
      <w:r>
        <w:rPr>
          <w:rFonts w:hint="eastAsia" w:ascii="宋体" w:hAnsi="宋体" w:cs="宋体"/>
          <w:snapToGrid w:val="0"/>
          <w:sz w:val="24"/>
        </w:rPr>
        <w:t>▲参考讲话距离：30cm-60cm</w:t>
      </w:r>
      <w:r>
        <w:rPr>
          <w:rFonts w:hint="eastAsia" w:ascii="宋体" w:hAnsi="宋体" w:cs="宋体"/>
          <w:snapToGrid w:val="0"/>
          <w:sz w:val="24"/>
        </w:rPr>
        <w:br w:type="textWrapping"/>
      </w:r>
      <w:r>
        <w:rPr>
          <w:rFonts w:hint="eastAsia" w:ascii="宋体" w:hAnsi="宋体" w:cs="宋体"/>
          <w:snapToGrid w:val="0"/>
          <w:sz w:val="24"/>
        </w:rPr>
        <w:t>▲工作温度：-10℃ - 40℃</w:t>
      </w:r>
      <w:r>
        <w:rPr>
          <w:rFonts w:hint="eastAsia" w:ascii="宋体" w:hAnsi="宋体" w:cs="宋体"/>
          <w:snapToGrid w:val="0"/>
          <w:sz w:val="24"/>
        </w:rPr>
        <w:br w:type="textWrapping"/>
      </w:r>
      <w:r>
        <w:rPr>
          <w:rFonts w:hint="eastAsia" w:ascii="宋体" w:hAnsi="宋体" w:cs="宋体"/>
          <w:snapToGrid w:val="0"/>
          <w:sz w:val="24"/>
        </w:rPr>
        <w:t>▲尺寸：100mm×88mm×20mm</w:t>
      </w:r>
      <w:r>
        <w:rPr>
          <w:rFonts w:hint="eastAsia" w:ascii="宋体" w:hAnsi="宋体" w:cs="宋体"/>
          <w:snapToGrid w:val="0"/>
          <w:sz w:val="24"/>
        </w:rPr>
        <w:br w:type="textWrapping"/>
      </w:r>
      <w:r>
        <w:rPr>
          <w:rFonts w:hint="eastAsia" w:ascii="宋体" w:hAnsi="宋体" w:cs="宋体"/>
          <w:snapToGrid w:val="0"/>
          <w:sz w:val="24"/>
        </w:rPr>
        <w:t>▲重量：97g（不含电池）</w:t>
      </w:r>
    </w:p>
    <w:p w14:paraId="3A1D49F7">
      <w:pPr>
        <w:spacing w:line="560" w:lineRule="exact"/>
        <w:ind w:firstLine="480" w:firstLineChars="200"/>
        <w:rPr>
          <w:rFonts w:ascii="宋体" w:hAnsi="宋体" w:cs="宋体"/>
          <w:snapToGrid w:val="0"/>
          <w:sz w:val="24"/>
        </w:rPr>
      </w:pPr>
      <w:r>
        <w:rPr>
          <w:rFonts w:hint="eastAsia" w:ascii="宋体" w:hAnsi="宋体" w:cs="宋体"/>
          <w:snapToGrid w:val="0"/>
          <w:sz w:val="24"/>
        </w:rPr>
        <w:t>8路电源时序器（带空气开关）：★空气开关接口≥1路；</w:t>
      </w:r>
      <w:r>
        <w:rPr>
          <w:rFonts w:hint="eastAsia" w:ascii="宋体" w:hAnsi="宋体" w:cs="宋体"/>
          <w:snapToGrid w:val="0"/>
          <w:sz w:val="24"/>
        </w:rPr>
        <w:br w:type="textWrapping"/>
      </w:r>
      <w:r>
        <w:rPr>
          <w:rFonts w:hint="eastAsia" w:ascii="宋体" w:hAnsi="宋体" w:cs="宋体"/>
          <w:snapToGrid w:val="0"/>
          <w:sz w:val="24"/>
        </w:rPr>
        <w:t>★设备级联数量≥3台；</w:t>
      </w:r>
      <w:r>
        <w:rPr>
          <w:rFonts w:hint="eastAsia" w:ascii="宋体" w:hAnsi="宋体" w:cs="宋体"/>
          <w:snapToGrid w:val="0"/>
          <w:sz w:val="24"/>
        </w:rPr>
        <w:br w:type="textWrapping"/>
      </w:r>
      <w:r>
        <w:rPr>
          <w:rFonts w:hint="eastAsia" w:ascii="宋体" w:hAnsi="宋体" w:cs="宋体"/>
          <w:snapToGrid w:val="0"/>
          <w:sz w:val="24"/>
        </w:rPr>
        <w:t>★每路可设置延时关机时间（最长延时10分钟）；</w:t>
      </w:r>
      <w:r>
        <w:rPr>
          <w:rFonts w:hint="eastAsia" w:ascii="宋体" w:hAnsi="宋体" w:cs="宋体"/>
          <w:snapToGrid w:val="0"/>
          <w:sz w:val="24"/>
        </w:rPr>
        <w:br w:type="textWrapping"/>
      </w:r>
      <w:r>
        <w:rPr>
          <w:rFonts w:hint="eastAsia" w:ascii="宋体" w:hAnsi="宋体" w:cs="宋体"/>
          <w:snapToGrid w:val="0"/>
          <w:sz w:val="24"/>
        </w:rPr>
        <w:t>◆后板8个输出通道均采用万能插座，面板1个直通插座，方便广大用户使用；</w:t>
      </w:r>
      <w:r>
        <w:rPr>
          <w:rFonts w:hint="eastAsia" w:ascii="宋体" w:hAnsi="宋体" w:cs="宋体"/>
          <w:snapToGrid w:val="0"/>
          <w:sz w:val="24"/>
        </w:rPr>
        <w:br w:type="textWrapping"/>
      </w:r>
      <w:r>
        <w:rPr>
          <w:rFonts w:hint="eastAsia" w:ascii="宋体" w:hAnsi="宋体" w:cs="宋体"/>
          <w:snapToGrid w:val="0"/>
          <w:sz w:val="24"/>
        </w:rPr>
        <w:t>◆设置RS232接口，可实现远程开关控制；</w:t>
      </w:r>
      <w:r>
        <w:rPr>
          <w:rFonts w:hint="eastAsia" w:ascii="宋体" w:hAnsi="宋体" w:cs="宋体"/>
          <w:snapToGrid w:val="0"/>
          <w:sz w:val="24"/>
        </w:rPr>
        <w:br w:type="textWrapping"/>
      </w:r>
      <w:r>
        <w:rPr>
          <w:rFonts w:hint="eastAsia" w:ascii="宋体" w:hAnsi="宋体" w:cs="宋体"/>
          <w:snapToGrid w:val="0"/>
          <w:sz w:val="24"/>
        </w:rPr>
        <w:t>◆最大提供30A的工作电流，单通道最大输出电流15A；</w:t>
      </w:r>
    </w:p>
    <w:p w14:paraId="28877F16">
      <w:pPr>
        <w:widowControl/>
        <w:spacing w:line="560" w:lineRule="exact"/>
        <w:rPr>
          <w:rFonts w:ascii="宋体" w:hAnsi="宋体" w:cs="宋体"/>
          <w:snapToGrid w:val="0"/>
          <w:sz w:val="24"/>
        </w:rPr>
      </w:pPr>
      <w:r>
        <w:rPr>
          <w:rFonts w:hint="eastAsia" w:ascii="宋体" w:hAnsi="宋体" w:cs="宋体"/>
          <w:snapToGrid w:val="0"/>
          <w:sz w:val="24"/>
        </w:rPr>
        <w:t>▲配置空气开关，满足供电设备较多时插头电流过低的市场需求；</w:t>
      </w:r>
      <w:r>
        <w:rPr>
          <w:rFonts w:hint="eastAsia" w:ascii="宋体" w:hAnsi="宋体" w:cs="宋体"/>
          <w:snapToGrid w:val="0"/>
          <w:sz w:val="24"/>
        </w:rPr>
        <w:br w:type="textWrapping"/>
      </w:r>
      <w:r>
        <w:rPr>
          <w:rFonts w:hint="eastAsia" w:ascii="宋体" w:hAnsi="宋体" w:cs="宋体"/>
          <w:snapToGrid w:val="0"/>
          <w:sz w:val="24"/>
        </w:rPr>
        <w:t>▲设备可以三台级联，24台需供电设备同样可以按顺序开启；</w:t>
      </w:r>
      <w:r>
        <w:rPr>
          <w:rFonts w:hint="eastAsia" w:ascii="宋体" w:hAnsi="宋体" w:cs="宋体"/>
          <w:snapToGrid w:val="0"/>
          <w:sz w:val="24"/>
        </w:rPr>
        <w:br w:type="textWrapping"/>
      </w:r>
      <w:r>
        <w:rPr>
          <w:rFonts w:hint="eastAsia" w:ascii="宋体" w:hAnsi="宋体" w:cs="宋体"/>
          <w:snapToGrid w:val="0"/>
          <w:sz w:val="24"/>
        </w:rPr>
        <w:t>▲增加RS232中控接口，无需到场即可开关机；</w:t>
      </w:r>
      <w:r>
        <w:rPr>
          <w:rFonts w:hint="eastAsia" w:ascii="宋体" w:hAnsi="宋体" w:cs="宋体"/>
          <w:snapToGrid w:val="0"/>
          <w:sz w:val="24"/>
        </w:rPr>
        <w:br w:type="textWrapping"/>
      </w:r>
      <w:r>
        <w:rPr>
          <w:rFonts w:hint="eastAsia" w:ascii="宋体" w:hAnsi="宋体" w:cs="宋体"/>
          <w:snapToGrid w:val="0"/>
          <w:sz w:val="24"/>
        </w:rPr>
        <w:t>参数：</w:t>
      </w:r>
      <w:r>
        <w:rPr>
          <w:rFonts w:hint="eastAsia" w:ascii="宋体" w:hAnsi="宋体" w:cs="宋体"/>
          <w:snapToGrid w:val="0"/>
          <w:sz w:val="24"/>
        </w:rPr>
        <w:br w:type="textWrapping"/>
      </w:r>
      <w:r>
        <w:rPr>
          <w:rFonts w:hint="eastAsia" w:ascii="宋体" w:hAnsi="宋体" w:cs="宋体"/>
          <w:snapToGrid w:val="0"/>
          <w:sz w:val="24"/>
        </w:rPr>
        <w:t>◆附带空气开关；</w:t>
      </w:r>
      <w:r>
        <w:rPr>
          <w:rFonts w:hint="eastAsia" w:ascii="宋体" w:hAnsi="宋体" w:cs="宋体"/>
          <w:snapToGrid w:val="0"/>
          <w:sz w:val="24"/>
        </w:rPr>
        <w:br w:type="textWrapping"/>
      </w:r>
      <w:r>
        <w:rPr>
          <w:rFonts w:hint="eastAsia" w:ascii="宋体" w:hAnsi="宋体" w:cs="宋体"/>
          <w:snapToGrid w:val="0"/>
          <w:sz w:val="24"/>
        </w:rPr>
        <w:t>◆每路可设置延时关机时间（最长延时10分钟）；</w:t>
      </w:r>
      <w:r>
        <w:rPr>
          <w:rFonts w:hint="eastAsia" w:ascii="宋体" w:hAnsi="宋体" w:cs="宋体"/>
          <w:snapToGrid w:val="0"/>
          <w:sz w:val="24"/>
        </w:rPr>
        <w:br w:type="textWrapping"/>
      </w:r>
      <w:r>
        <w:rPr>
          <w:rFonts w:hint="eastAsia" w:ascii="宋体" w:hAnsi="宋体" w:cs="宋体"/>
          <w:snapToGrid w:val="0"/>
          <w:sz w:val="24"/>
        </w:rPr>
        <w:t>◆后板8个输出通道均采用万能插座，面板1个直通插座，方便广大用户使用；</w:t>
      </w:r>
      <w:r>
        <w:rPr>
          <w:rFonts w:hint="eastAsia" w:ascii="宋体" w:hAnsi="宋体" w:cs="宋体"/>
          <w:snapToGrid w:val="0"/>
          <w:sz w:val="24"/>
        </w:rPr>
        <w:br w:type="textWrapping"/>
      </w:r>
      <w:r>
        <w:rPr>
          <w:rFonts w:hint="eastAsia" w:ascii="宋体" w:hAnsi="宋体" w:cs="宋体"/>
          <w:snapToGrid w:val="0"/>
          <w:sz w:val="24"/>
        </w:rPr>
        <w:t>◆设置级联接口，可级联三台同样设备；</w:t>
      </w:r>
      <w:r>
        <w:rPr>
          <w:rFonts w:hint="eastAsia" w:ascii="宋体" w:hAnsi="宋体" w:cs="宋体"/>
          <w:snapToGrid w:val="0"/>
          <w:sz w:val="24"/>
        </w:rPr>
        <w:br w:type="textWrapping"/>
      </w:r>
      <w:r>
        <w:rPr>
          <w:rFonts w:hint="eastAsia" w:ascii="宋体" w:hAnsi="宋体" w:cs="宋体"/>
          <w:snapToGrid w:val="0"/>
          <w:sz w:val="24"/>
        </w:rPr>
        <w:t>◆设置RS232接口，可实现远程开关控制；</w:t>
      </w:r>
      <w:r>
        <w:rPr>
          <w:rFonts w:hint="eastAsia" w:ascii="宋体" w:hAnsi="宋体" w:cs="宋体"/>
          <w:snapToGrid w:val="0"/>
          <w:sz w:val="24"/>
        </w:rPr>
        <w:br w:type="textWrapping"/>
      </w:r>
      <w:r>
        <w:rPr>
          <w:rFonts w:hint="eastAsia" w:ascii="宋体" w:hAnsi="宋体" w:cs="宋体"/>
          <w:snapToGrid w:val="0"/>
          <w:sz w:val="24"/>
        </w:rPr>
        <w:t>◆从1-8或8-1按顺序以1秒为间隔时间打开或关闭相对应通道；</w:t>
      </w:r>
      <w:r>
        <w:rPr>
          <w:rFonts w:hint="eastAsia" w:ascii="宋体" w:hAnsi="宋体" w:cs="宋体"/>
          <w:snapToGrid w:val="0"/>
          <w:sz w:val="24"/>
        </w:rPr>
        <w:br w:type="textWrapping"/>
      </w:r>
      <w:r>
        <w:rPr>
          <w:rFonts w:hint="eastAsia" w:ascii="宋体" w:hAnsi="宋体" w:cs="宋体"/>
          <w:snapToGrid w:val="0"/>
          <w:sz w:val="24"/>
        </w:rPr>
        <w:t>◆每个通道对应一个电源指示灯，当通道输出电压时，相对应的指示灯亮，相反则关闭；</w:t>
      </w:r>
      <w:r>
        <w:rPr>
          <w:rFonts w:hint="eastAsia" w:ascii="宋体" w:hAnsi="宋体" w:cs="宋体"/>
          <w:snapToGrid w:val="0"/>
          <w:sz w:val="24"/>
        </w:rPr>
        <w:br w:type="textWrapping"/>
      </w:r>
      <w:r>
        <w:rPr>
          <w:rFonts w:hint="eastAsia" w:ascii="宋体" w:hAnsi="宋体" w:cs="宋体"/>
          <w:snapToGrid w:val="0"/>
          <w:sz w:val="24"/>
        </w:rPr>
        <w:t>◆最大提供30A的工作电流，单通道最大输出电流15A；</w:t>
      </w:r>
      <w:r>
        <w:rPr>
          <w:rFonts w:hint="eastAsia" w:ascii="宋体" w:hAnsi="宋体" w:cs="宋体"/>
          <w:snapToGrid w:val="0"/>
          <w:sz w:val="24"/>
        </w:rPr>
        <w:br w:type="textWrapping"/>
      </w:r>
      <w:r>
        <w:rPr>
          <w:rFonts w:hint="eastAsia" w:ascii="宋体" w:hAnsi="宋体" w:cs="宋体"/>
          <w:snapToGrid w:val="0"/>
          <w:sz w:val="24"/>
        </w:rPr>
        <w:t>◆实物尺寸(深×宽×高):250×480×44mm；</w:t>
      </w:r>
      <w:r>
        <w:rPr>
          <w:rFonts w:hint="eastAsia" w:ascii="宋体" w:hAnsi="宋体" w:cs="宋体"/>
          <w:snapToGrid w:val="0"/>
          <w:sz w:val="24"/>
        </w:rPr>
        <w:br w:type="textWrapping"/>
      </w:r>
      <w:r>
        <w:rPr>
          <w:rFonts w:hint="eastAsia" w:ascii="宋体" w:hAnsi="宋体" w:cs="宋体"/>
          <w:snapToGrid w:val="0"/>
          <w:sz w:val="24"/>
        </w:rPr>
        <w:t>◆外箱尺寸(深×宽×高):377×556×107mm；</w:t>
      </w:r>
      <w:r>
        <w:rPr>
          <w:rFonts w:hint="eastAsia" w:ascii="宋体" w:hAnsi="宋体" w:cs="宋体"/>
          <w:snapToGrid w:val="0"/>
          <w:sz w:val="24"/>
        </w:rPr>
        <w:br w:type="textWrapping"/>
      </w:r>
      <w:r>
        <w:rPr>
          <w:rFonts w:hint="eastAsia" w:ascii="宋体" w:hAnsi="宋体" w:cs="宋体"/>
          <w:snapToGrid w:val="0"/>
          <w:sz w:val="24"/>
        </w:rPr>
        <w:t>◆净重:3Kg；</w:t>
      </w:r>
      <w:r>
        <w:rPr>
          <w:rFonts w:hint="eastAsia" w:ascii="宋体" w:hAnsi="宋体" w:cs="宋体"/>
          <w:snapToGrid w:val="0"/>
          <w:sz w:val="24"/>
        </w:rPr>
        <w:br w:type="textWrapping"/>
      </w:r>
      <w:r>
        <w:rPr>
          <w:rFonts w:hint="eastAsia" w:ascii="宋体" w:hAnsi="宋体" w:cs="宋体"/>
          <w:snapToGrid w:val="0"/>
          <w:sz w:val="24"/>
        </w:rPr>
        <w:t>◆毛重:3.91Kg；</w:t>
      </w:r>
    </w:p>
    <w:p w14:paraId="40A34F17">
      <w:pPr>
        <w:pStyle w:val="2"/>
        <w:spacing w:line="560" w:lineRule="exact"/>
        <w:ind w:firstLine="480" w:firstLineChars="200"/>
        <w:rPr>
          <w:rFonts w:ascii="宋体" w:hAnsi="宋体" w:eastAsia="宋体" w:cs="宋体"/>
          <w:snapToGrid w:val="0"/>
          <w:kern w:val="2"/>
          <w:sz w:val="24"/>
          <w:szCs w:val="24"/>
        </w:rPr>
      </w:pPr>
      <w:bookmarkStart w:id="6" w:name="OLE_LINK4"/>
      <w:bookmarkStart w:id="7" w:name="OLE_LINK5"/>
      <w:r>
        <w:rPr>
          <w:rFonts w:ascii="宋体" w:hAnsi="宋体" w:eastAsia="宋体" w:cs="宋体"/>
          <w:snapToGrid w:val="0"/>
          <w:kern w:val="2"/>
          <w:sz w:val="24"/>
          <w:szCs w:val="24"/>
        </w:rPr>
        <w:t>线材、机柜须与科教综合楼会议室其它系统兼容配套。</w:t>
      </w:r>
    </w:p>
    <w:p w14:paraId="742C6062">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3.安装要求</w:t>
      </w:r>
    </w:p>
    <w:bookmarkEnd w:id="6"/>
    <w:bookmarkEnd w:id="7"/>
    <w:p w14:paraId="1B500DBD">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3.1线材、机柜须与科教综合楼会议室现有其他系统（如音频扩声、视频显示、中控系统等）完全兼容配套，确保硬件接口、通信协议、信号传输标准一致，无兼容性冲突。</w:t>
      </w:r>
    </w:p>
    <w:p w14:paraId="62E6B009">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3.2线材须与现场预留线路（含接口类型、线缆规格、布线路由）精准匹配，实现无障碍对接；机柜安装及内部布线需适配现场预留空间与接口布局，保障整个会议系统信号传输稳定、操作功能正常启用。</w:t>
      </w:r>
    </w:p>
    <w:p w14:paraId="3CA6C76C">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3.3系统兼容性：所有音响设备（音箱、功放、调音台、麦克风等）及线材、接口，须与会议室现有视频显示、中控、会议主机等系统完全兼容，通信协议（如RS232、TCP/IP）、信号格式（如AES/EBU、HDMI）一致，无兼容性冲突。</w:t>
      </w:r>
    </w:p>
    <w:p w14:paraId="6ACE6DFF">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3.4环境适配性：设备选型及安装需适配会议室空间尺寸（长×宽×高）、装修材质（吸音/反射特性），满足会议发言、音频播放、远程会议等核心场景需求，避免回声、啸叫等问题。</w:t>
      </w:r>
    </w:p>
    <w:p w14:paraId="5DAE0A6A">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3.5安全合规性：安装施工符合《建筑电气工程施工质量验收规范》（GB 50303）、《民用建筑电气设计标准》（GB 51348），设备及布线远离水源、热源、强电磁干扰源，做好接地处理（接地电阻≤4Ω），杜绝安全隐患。</w:t>
      </w:r>
    </w:p>
    <w:p w14:paraId="48DF1457">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3.6音箱安装</w:t>
      </w:r>
    </w:p>
    <w:p w14:paraId="74738231">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（1）布局原则：根据会议室面积及座位分布，采用壁挂、吊装或嵌入式安装，确保声场均匀覆盖整个会议区域，无声音死角，听众区最大声压级≥95dB，声场不均匀度≤±3dB。</w:t>
      </w:r>
    </w:p>
    <w:p w14:paraId="00C5A3D8">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（2）安装规范：朝向听众区中心；吊装音箱应安装牢固，避免与吊顶龙骨、消防管道碰撞。</w:t>
      </w:r>
    </w:p>
    <w:p w14:paraId="09BFCCE2">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 防护要求：音箱安装牢固，抗震等级符合要求。</w:t>
      </w:r>
    </w:p>
    <w:p w14:paraId="216E2E0F">
      <w:pPr>
        <w:pStyle w:val="2"/>
        <w:spacing w:line="560" w:lineRule="exact"/>
        <w:rPr>
          <w:rFonts w:ascii="宋体" w:hAnsi="宋体" w:eastAsia="宋体" w:cs="宋体"/>
          <w:snapToGrid w:val="0"/>
          <w:kern w:val="2"/>
          <w:sz w:val="24"/>
          <w:szCs w:val="24"/>
        </w:rPr>
      </w:pPr>
      <w:r>
        <w:rPr>
          <w:rFonts w:ascii="宋体" w:hAnsi="宋体" w:eastAsia="宋体" w:cs="宋体"/>
          <w:snapToGrid w:val="0"/>
          <w:kern w:val="2"/>
          <w:sz w:val="24"/>
          <w:szCs w:val="24"/>
        </w:rPr>
        <w:t xml:space="preserve"> </w:t>
      </w:r>
      <w:r>
        <w:rPr>
          <w:rFonts w:hint="eastAsia" w:ascii="宋体" w:hAnsi="宋体" w:eastAsia="宋体" w:cs="宋体"/>
          <w:snapToGrid w:val="0"/>
          <w:kern w:val="2"/>
          <w:sz w:val="24"/>
          <w:szCs w:val="24"/>
        </w:rPr>
        <w:t>3.7功放及调音台安装</w:t>
      </w:r>
    </w:p>
    <w:p w14:paraId="7E1ED485">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（1）机柜安装：功放、调音台、音频处理器等设备统一安装在标准机柜内，机柜距墙面≥60cm，预留散热空间，设备排列遵循“重下轻上”原则，固定牢固无晃动。</w:t>
      </w:r>
    </w:p>
    <w:p w14:paraId="58D32CBB">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（2）布线规范：设备间连接线材按信号类型分类布线（强电/弱电分离、模拟信号/数字信号分槽），线缆弯曲半径≥线缆直径的10倍，接口处做好标识，预留≥30cm冗余长度便于维护。</w:t>
      </w:r>
    </w:p>
    <w:p w14:paraId="0DE0E2E1">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（3）参数匹配：功放输出功率与音箱额定功率匹配度为1.2-1.5倍，阻抗一致，避免过载烧毁设备；调音台输入输出接口与麦克风、音箱、其他系统接口精准对接，接地统一，无杂音干扰。</w:t>
      </w:r>
    </w:p>
    <w:p w14:paraId="3538E453">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3.8麦克风安装</w:t>
      </w:r>
    </w:p>
    <w:p w14:paraId="4A82A4D7">
      <w:pPr>
        <w:pStyle w:val="6"/>
        <w:spacing w:line="560" w:lineRule="exact"/>
        <w:rPr>
          <w:rFonts w:ascii="宋体" w:hAnsi="宋体" w:cs="宋体"/>
          <w:snapToGrid w:val="0"/>
          <w:sz w:val="24"/>
          <w:szCs w:val="24"/>
        </w:rPr>
      </w:pPr>
      <w:r>
        <w:rPr>
          <w:rFonts w:hint="eastAsia" w:ascii="宋体" w:hAnsi="宋体" w:cs="宋体"/>
          <w:snapToGrid w:val="0"/>
          <w:sz w:val="24"/>
          <w:szCs w:val="24"/>
        </w:rPr>
        <w:t>☆需配置两个领夹麦克风.</w:t>
      </w:r>
    </w:p>
    <w:p w14:paraId="1F98D480">
      <w:pPr>
        <w:pStyle w:val="2"/>
        <w:spacing w:line="560" w:lineRule="exact"/>
        <w:rPr>
          <w:rFonts w:ascii="宋体" w:hAnsi="宋体" w:eastAsia="宋体" w:cs="宋体"/>
          <w:snapToGrid w:val="0"/>
          <w:kern w:val="2"/>
          <w:sz w:val="24"/>
          <w:szCs w:val="24"/>
        </w:rPr>
      </w:pPr>
      <w:r>
        <w:rPr>
          <w:rFonts w:ascii="宋体" w:hAnsi="宋体" w:eastAsia="宋体" w:cs="宋体"/>
          <w:snapToGrid w:val="0"/>
          <w:kern w:val="2"/>
          <w:sz w:val="24"/>
          <w:szCs w:val="24"/>
        </w:rPr>
        <w:t>（</w:t>
      </w:r>
      <w:r>
        <w:rPr>
          <w:rFonts w:hint="eastAsia" w:ascii="宋体" w:hAnsi="宋体" w:eastAsia="宋体" w:cs="宋体"/>
          <w:snapToGrid w:val="0"/>
          <w:kern w:val="2"/>
          <w:sz w:val="24"/>
          <w:szCs w:val="24"/>
        </w:rPr>
        <w:t>1）类型适配：无线麦克风接收距离≥30m，抗干扰能力强，无断音、串频现象。</w:t>
      </w:r>
    </w:p>
    <w:p w14:paraId="23CBA568">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（2）安装位置：无线麦克风接收器安装在机柜内，天线延伸至机柜外部且无遮挡，确保信号稳定。</w:t>
      </w:r>
    </w:p>
    <w:p w14:paraId="532D4534">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（3）供电保障：有线麦克风通过调音台或专用电源供电，无线麦克风配备备用电池，确保会议期间不间断使用。</w:t>
      </w:r>
    </w:p>
    <w:p w14:paraId="7C1AF753">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3.9布线及连接技术要求</w:t>
      </w:r>
    </w:p>
    <w:p w14:paraId="1E21BF54">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（1）线材标准：音频信号采用无氧铜屏蔽线缆，规格≥RVVP 2×0.75mm²，传输距离≤100m时无信号衰减；电源线采用BV线，规格≥2.5mm²，与信号线平行间距≥30cm，交叉时采用90°交叉。</w:t>
      </w:r>
    </w:p>
    <w:p w14:paraId="728715F7">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（2）连接要求：所有线缆接头压接牢固、焊接规范，做好绝缘处理；与现场预留线路无障碍对接，接口类型（如XLR、RCA、RJ45）匹配，接线顺序一致，确保信号传输稳定。</w:t>
      </w:r>
    </w:p>
    <w:p w14:paraId="353178AC">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（3）标识管理：线缆两端粘贴清晰标识，注明设备名称、接口编号，机柜内布线整理规范，捆扎牢固，便于后期维护排查。</w:t>
      </w:r>
    </w:p>
    <w:p w14:paraId="19061740">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3.10调试及验收要求</w:t>
      </w:r>
    </w:p>
    <w:p w14:paraId="6A010AE0">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（1）系统调试：安装完成后进行全系统调试，包括音质校准（频率响应50Hz-16kHz，失真度≤1%）、音量平衡（各区域音量差≤2dB）、啸叫抑制（开启反馈抑制功能，无明显啸叫），确保语音清晰、音质饱满。</w:t>
      </w:r>
    </w:p>
    <w:p w14:paraId="70B20521">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（2）功能验证：测试麦克风拾音、音频播放、远程会议音频传输等功能，确保操作便捷、响应及时，无延迟、杂音、断音等问题。</w:t>
      </w:r>
    </w:p>
    <w:p w14:paraId="1C1C6DE3">
      <w:pPr>
        <w:pStyle w:val="2"/>
        <w:spacing w:line="560" w:lineRule="exact"/>
        <w:rPr>
          <w:rFonts w:ascii="宋体" w:hAnsi="宋体" w:eastAsia="宋体" w:cs="宋体"/>
          <w:snapToGrid w:val="0"/>
          <w:kern w:val="2"/>
          <w:sz w:val="24"/>
          <w:szCs w:val="24"/>
        </w:rPr>
      </w:pPr>
      <w:r>
        <w:rPr>
          <w:rFonts w:hint="eastAsia" w:ascii="宋体" w:hAnsi="宋体" w:eastAsia="宋体" w:cs="宋体"/>
          <w:snapToGrid w:val="0"/>
          <w:kern w:val="2"/>
          <w:sz w:val="24"/>
          <w:szCs w:val="24"/>
        </w:rPr>
        <w:t>（3）验收资料：提供完整的安装验收资料，包括设备清单、布线图纸、调试记录、检测报告、操作说明等，符合项目验收标准。</w:t>
      </w:r>
    </w:p>
    <w:p w14:paraId="4DD850CF">
      <w:pPr>
        <w:pStyle w:val="2"/>
        <w:spacing w:line="560" w:lineRule="exact"/>
        <w:rPr>
          <w:rFonts w:ascii="宋体" w:hAnsi="宋体" w:eastAsia="宋体" w:cs="宋体"/>
          <w:snapToGrid w:val="0"/>
          <w:kern w:val="2"/>
          <w:sz w:val="24"/>
          <w:szCs w:val="24"/>
        </w:rPr>
      </w:pPr>
      <w:r>
        <w:rPr>
          <w:rFonts w:ascii="宋体" w:hAnsi="宋体" w:eastAsia="宋体" w:cs="宋体"/>
          <w:snapToGrid w:val="0"/>
          <w:kern w:val="2"/>
          <w:sz w:val="24"/>
          <w:szCs w:val="24"/>
        </w:rPr>
        <w:t>（</w:t>
      </w:r>
      <w:r>
        <w:rPr>
          <w:rFonts w:hint="eastAsia" w:ascii="宋体" w:hAnsi="宋体" w:eastAsia="宋体" w:cs="宋体"/>
          <w:snapToGrid w:val="0"/>
          <w:kern w:val="2"/>
          <w:sz w:val="24"/>
          <w:szCs w:val="24"/>
        </w:rPr>
        <w:t>4）须负责对招标单位相关业务人员进行系统操作培训。</w:t>
      </w:r>
    </w:p>
    <w:p w14:paraId="75C77DD3">
      <w:pPr>
        <w:pStyle w:val="2"/>
        <w:rPr>
          <w:rFonts w:hint="eastAsia" w:ascii="宋体" w:hAnsi="宋体"/>
          <w:b/>
          <w:sz w:val="36"/>
          <w:szCs w:val="36"/>
        </w:rPr>
      </w:pPr>
    </w:p>
    <w:p w14:paraId="5CB87841">
      <w:pPr>
        <w:jc w:val="center"/>
        <w:rPr>
          <w:rFonts w:hint="eastAsia" w:ascii="宋体" w:hAnsi="宋体"/>
          <w:b/>
          <w:sz w:val="36"/>
          <w:szCs w:val="36"/>
        </w:rPr>
      </w:pPr>
    </w:p>
    <w:p w14:paraId="457F2E0B">
      <w:pPr>
        <w:jc w:val="center"/>
        <w:rPr>
          <w:rFonts w:hint="eastAsia" w:ascii="宋体" w:hAnsi="宋体"/>
          <w:b/>
          <w:sz w:val="36"/>
          <w:szCs w:val="36"/>
        </w:rPr>
      </w:pPr>
    </w:p>
    <w:p w14:paraId="58F19EAC">
      <w:pPr>
        <w:jc w:val="center"/>
        <w:rPr>
          <w:rFonts w:hint="eastAsia" w:ascii="宋体" w:hAnsi="宋体"/>
          <w:b/>
          <w:sz w:val="36"/>
          <w:szCs w:val="36"/>
        </w:rPr>
      </w:pPr>
    </w:p>
    <w:p w14:paraId="24EC6396">
      <w:pPr>
        <w:jc w:val="center"/>
        <w:rPr>
          <w:rFonts w:hint="eastAsia" w:ascii="宋体" w:hAnsi="宋体"/>
          <w:b/>
          <w:sz w:val="36"/>
          <w:szCs w:val="36"/>
        </w:rPr>
      </w:pPr>
    </w:p>
    <w:p w14:paraId="7817A6ED">
      <w:pPr>
        <w:jc w:val="center"/>
        <w:rPr>
          <w:rFonts w:hint="eastAsia" w:ascii="宋体" w:hAnsi="宋体"/>
          <w:b/>
          <w:sz w:val="36"/>
          <w:szCs w:val="36"/>
        </w:rPr>
      </w:pPr>
    </w:p>
    <w:p w14:paraId="729AF18B">
      <w:pPr>
        <w:jc w:val="center"/>
        <w:rPr>
          <w:rFonts w:hint="eastAsia" w:ascii="宋体" w:hAnsi="宋体"/>
          <w:b/>
          <w:sz w:val="36"/>
          <w:szCs w:val="36"/>
        </w:rPr>
      </w:pPr>
    </w:p>
    <w:p w14:paraId="5F463EED">
      <w:pPr>
        <w:jc w:val="center"/>
        <w:rPr>
          <w:rFonts w:hint="eastAsia" w:ascii="宋体" w:hAnsi="宋体"/>
          <w:b/>
          <w:sz w:val="36"/>
          <w:szCs w:val="36"/>
        </w:rPr>
      </w:pPr>
    </w:p>
    <w:p w14:paraId="32277B75">
      <w:pPr>
        <w:jc w:val="center"/>
        <w:rPr>
          <w:rFonts w:hint="eastAsia" w:ascii="宋体" w:hAnsi="宋体"/>
          <w:b/>
          <w:sz w:val="36"/>
          <w:szCs w:val="36"/>
        </w:rPr>
      </w:pPr>
    </w:p>
    <w:p w14:paraId="30AF20E2">
      <w:pPr>
        <w:jc w:val="center"/>
        <w:rPr>
          <w:rFonts w:hint="eastAsia" w:ascii="宋体" w:hAnsi="宋体"/>
          <w:b/>
          <w:sz w:val="36"/>
          <w:szCs w:val="36"/>
        </w:rPr>
      </w:pPr>
    </w:p>
    <w:p w14:paraId="1A92D46A">
      <w:pPr>
        <w:jc w:val="center"/>
        <w:rPr>
          <w:rFonts w:hint="eastAsia" w:ascii="宋体" w:hAnsi="宋体"/>
          <w:b/>
          <w:sz w:val="36"/>
          <w:szCs w:val="36"/>
        </w:rPr>
      </w:pPr>
    </w:p>
    <w:p w14:paraId="07A601AB">
      <w:pPr>
        <w:jc w:val="center"/>
        <w:rPr>
          <w:rFonts w:hint="eastAsia" w:ascii="宋体" w:hAnsi="宋体"/>
          <w:b/>
          <w:sz w:val="36"/>
          <w:szCs w:val="36"/>
        </w:rPr>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3</w:t>
      </w:r>
      <w:r>
        <w:rPr>
          <w:rFonts w:hint="eastAsia" w:ascii="宋体" w:hAnsi="宋体"/>
          <w:snapToGrid w:val="0"/>
          <w:sz w:val="24"/>
        </w:rPr>
        <w:t>.没有重大违法记录的书面声明</w:t>
      </w:r>
    </w:p>
    <w:p w14:paraId="1D462932">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4</w:t>
      </w:r>
      <w:r>
        <w:rPr>
          <w:rFonts w:hint="eastAsia" w:ascii="宋体" w:hAnsi="宋体"/>
          <w:snapToGrid w:val="0"/>
          <w:sz w:val="24"/>
        </w:rPr>
        <w:t>.“信用中国”网站（www.creditchina.gov.cn）、“中国政府采购网"(www.ccgp.gov.cn)的查询截图，加盖公章；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7</w:t>
      </w:r>
      <w:r>
        <w:rPr>
          <w:rFonts w:hint="eastAsia" w:ascii="宋体" w:hAnsi="宋体"/>
          <w:snapToGrid w:val="0"/>
          <w:sz w:val="24"/>
        </w:rPr>
        <w:t>.投标函原件；</w:t>
      </w:r>
    </w:p>
    <w:p w14:paraId="5ADFA514">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.投标报价表；</w:t>
      </w:r>
    </w:p>
    <w:p w14:paraId="44C7F84B">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9</w:t>
      </w:r>
      <w:r>
        <w:rPr>
          <w:rFonts w:hint="eastAsia" w:ascii="宋体" w:hAnsi="宋体"/>
          <w:snapToGrid w:val="0"/>
          <w:sz w:val="24"/>
        </w:rPr>
        <w:t>.投标人认为需要提供的其他材料。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6"/>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18</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4"/>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3"/>
            </w:pPr>
          </w:p>
          <w:p w14:paraId="4719BDA9"/>
          <w:p w14:paraId="7B716486">
            <w:pPr>
              <w:pStyle w:val="3"/>
            </w:pPr>
          </w:p>
          <w:p w14:paraId="6C2E9F60"/>
          <w:p w14:paraId="3F186755">
            <w:pPr>
              <w:pStyle w:val="3"/>
            </w:pPr>
          </w:p>
          <w:p w14:paraId="447E03CF"/>
          <w:p w14:paraId="061829CD">
            <w:pPr>
              <w:pStyle w:val="3"/>
            </w:pPr>
          </w:p>
          <w:p w14:paraId="6815553F"/>
          <w:p w14:paraId="24429EE9">
            <w:pPr>
              <w:pStyle w:val="3"/>
            </w:pPr>
          </w:p>
          <w:p w14:paraId="60693451"/>
          <w:p w14:paraId="04C67B8A">
            <w:pPr>
              <w:pStyle w:val="3"/>
            </w:pPr>
          </w:p>
          <w:p w14:paraId="5FB35312"/>
          <w:p w14:paraId="74D6C885">
            <w:pPr>
              <w:pStyle w:val="3"/>
            </w:pPr>
          </w:p>
          <w:p w14:paraId="102E2327"/>
          <w:p w14:paraId="58BFF5C1">
            <w:pPr>
              <w:pStyle w:val="3"/>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6"/>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6"/>
      </w:pPr>
    </w:p>
    <w:p w14:paraId="4A0177E8"/>
    <w:p w14:paraId="7D737852">
      <w:pPr>
        <w:pStyle w:val="2"/>
      </w:pPr>
    </w:p>
    <w:p w14:paraId="3E65C566">
      <w:pPr>
        <w:pStyle w:val="6"/>
      </w:pPr>
    </w:p>
    <w:p w14:paraId="24FDAC65"/>
    <w:p w14:paraId="4EABB12F">
      <w:pPr>
        <w:pStyle w:val="2"/>
      </w:pPr>
    </w:p>
    <w:p w14:paraId="40DF1306">
      <w:pPr>
        <w:pStyle w:val="6"/>
      </w:pPr>
    </w:p>
    <w:p w14:paraId="4A63AF4E">
      <w:pPr>
        <w:pStyle w:val="2"/>
      </w:pPr>
    </w:p>
    <w:p w14:paraId="669FB571">
      <w:pPr>
        <w:pStyle w:val="6"/>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3"/>
        <w:rPr>
          <w:rFonts w:ascii="宋体" w:hAnsi="宋体"/>
        </w:rPr>
      </w:pPr>
    </w:p>
    <w:p w14:paraId="404B059A">
      <w:pPr>
        <w:rPr>
          <w:rFonts w:ascii="宋体" w:hAnsi="宋体"/>
        </w:rPr>
      </w:pPr>
    </w:p>
    <w:p w14:paraId="32288D93">
      <w:pPr>
        <w:pStyle w:val="3"/>
      </w:pPr>
      <w:bookmarkStart w:id="8" w:name="_GoBack"/>
      <w:bookmarkEnd w:id="8"/>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r>
              <w:rPr>
                <w:rFonts w:ascii="宋体" w:hAnsi="宋体" w:cs="宋体"/>
                <w:color w:val="000000"/>
                <w:sz w:val="24"/>
              </w:rPr>
              <w:t>扬州大学附属医院科教综合楼四层会议室音响系统安装项目</w:t>
            </w: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6BA6A581">
      <w:pPr>
        <w:adjustRightInd w:val="0"/>
        <w:snapToGrid w:val="0"/>
        <w:spacing w:line="500" w:lineRule="exact"/>
        <w:contextualSpacing/>
        <w:rPr>
          <w:rFonts w:hint="default" w:ascii="宋体" w:hAnsi="宋体" w:eastAsia="宋体" w:cs="宋体"/>
          <w:b/>
          <w:bCs w:val="0"/>
          <w:i/>
          <w:iCs/>
          <w:snapToGrid w:val="0"/>
          <w:kern w:val="0"/>
          <w:sz w:val="24"/>
          <w:lang w:val="en-US" w:eastAsia="zh-CN"/>
        </w:rPr>
      </w:pPr>
      <w:r>
        <w:rPr>
          <w:rFonts w:hint="eastAsia" w:ascii="宋体" w:hAnsi="宋体" w:cs="宋体"/>
          <w:b/>
          <w:bCs w:val="0"/>
          <w:i/>
          <w:iCs/>
          <w:snapToGrid w:val="0"/>
          <w:kern w:val="0"/>
          <w:sz w:val="24"/>
          <w:lang w:val="en-US" w:eastAsia="zh-CN"/>
        </w:rPr>
        <w:t>注：报价为完成系统供货、安装、调试等所有总价。另分项报价表自行拟定。</w:t>
      </w:r>
    </w:p>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43465FA">
      <w:pPr>
        <w:pStyle w:val="2"/>
      </w:pPr>
    </w:p>
    <w:p w14:paraId="692C0D25">
      <w:pPr>
        <w:pStyle w:val="2"/>
      </w:pPr>
    </w:p>
    <w:p w14:paraId="0682E9D8">
      <w:pPr>
        <w:pStyle w:val="2"/>
      </w:pPr>
    </w:p>
    <w:p w14:paraId="791F802A">
      <w:pPr>
        <w:pStyle w:val="2"/>
      </w:pPr>
    </w:p>
    <w:p w14:paraId="725602D2">
      <w:pPr>
        <w:pStyle w:val="2"/>
      </w:pPr>
    </w:p>
    <w:p w14:paraId="71237BA2">
      <w:pPr>
        <w:pStyle w:val="14"/>
        <w:rPr>
          <w:rFonts w:ascii="宋体" w:hAnsi="宋体"/>
          <w:b/>
          <w:bCs/>
          <w:sz w:val="32"/>
          <w:szCs w:val="32"/>
        </w:rPr>
      </w:pPr>
    </w:p>
    <w:p w14:paraId="23B6DE95">
      <w:pPr>
        <w:pStyle w:val="14"/>
        <w:rPr>
          <w:rFonts w:ascii="宋体" w:hAnsi="宋体"/>
          <w:b/>
          <w:bCs/>
          <w:sz w:val="32"/>
          <w:szCs w:val="32"/>
        </w:rPr>
      </w:pPr>
    </w:p>
    <w:p w14:paraId="670F64F5">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w:t>
      </w:r>
      <w:r>
        <w:rPr>
          <w:rFonts w:hint="eastAsia" w:ascii="宋体" w:hAnsi="宋体" w:cs="宋体"/>
          <w:sz w:val="24"/>
          <w:lang w:val="en-US" w:eastAsia="zh-CN"/>
        </w:rPr>
        <w:t>完成相关服务内容</w:t>
      </w:r>
      <w:r>
        <w:rPr>
          <w:rFonts w:hint="eastAsia" w:ascii="宋体" w:hAnsi="宋体" w:cs="宋体"/>
          <w:sz w:val="24"/>
        </w:rPr>
        <w:t>所产生的一切费用，包括但不限于</w:t>
      </w:r>
      <w:r>
        <w:rPr>
          <w:rFonts w:hint="eastAsia" w:ascii="宋体" w:hAnsi="宋体" w:cs="宋体"/>
          <w:sz w:val="24"/>
          <w:lang w:val="en-US" w:eastAsia="zh-CN"/>
        </w:rPr>
        <w:t>人工费、</w:t>
      </w:r>
      <w:r>
        <w:rPr>
          <w:rFonts w:hint="eastAsia" w:ascii="宋体" w:hAnsi="宋体" w:cs="宋体"/>
          <w:sz w:val="24"/>
        </w:rPr>
        <w:t>保险费、杂费、增值税及其它税费、各种规费等直至完全交付甲方的所有费用和利润。</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合同签订后乙方完成所有服务内容</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全额款项</w:t>
      </w:r>
      <w:r>
        <w:rPr>
          <w:rFonts w:hint="eastAsia" w:ascii="宋体" w:hAnsi="宋体" w:cs="宋体"/>
          <w:kern w:val="0"/>
          <w:sz w:val="24"/>
        </w:rPr>
        <w:t>。</w:t>
      </w:r>
      <w:r>
        <w:rPr>
          <w:rFonts w:hint="eastAsia" w:ascii="宋体" w:hAnsi="宋体" w:cs="宋体"/>
          <w:sz w:val="24"/>
        </w:rPr>
        <w:t>（以上均不计息）</w:t>
      </w:r>
    </w:p>
    <w:p w14:paraId="45371F7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388D2E7">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3F2B29A0">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w:t>
      </w:r>
      <w:r>
        <w:rPr>
          <w:rFonts w:hint="eastAsia" w:ascii="宋体" w:hAnsi="宋体" w:cs="宋体"/>
          <w:bCs/>
          <w:sz w:val="24"/>
          <w:lang w:val="en-US" w:eastAsia="zh-CN"/>
        </w:rPr>
        <w:t>付</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按甲方要求按时交付</w:t>
      </w:r>
      <w:r>
        <w:rPr>
          <w:rFonts w:hint="eastAsia" w:ascii="宋体" w:hAnsi="宋体" w:cs="宋体"/>
          <w:kern w:val="0"/>
          <w:sz w:val="24"/>
        </w:rPr>
        <w:t>，按照合同约定将所</w:t>
      </w:r>
      <w:r>
        <w:rPr>
          <w:rFonts w:hint="eastAsia" w:ascii="宋体" w:hAnsi="宋体" w:cs="宋体"/>
          <w:kern w:val="0"/>
          <w:sz w:val="24"/>
          <w:lang w:val="en-US" w:eastAsia="zh-CN"/>
        </w:rPr>
        <w:t>有材料文件送</w:t>
      </w:r>
      <w:r>
        <w:rPr>
          <w:rFonts w:hint="eastAsia" w:ascii="宋体" w:hAnsi="宋体" w:cs="宋体"/>
          <w:kern w:val="0"/>
          <w:sz w:val="24"/>
        </w:rPr>
        <w:t>至</w:t>
      </w:r>
      <w:r>
        <w:rPr>
          <w:rFonts w:hint="eastAsia" w:ascii="宋体" w:hAnsi="宋体" w:cs="宋体"/>
          <w:b/>
          <w:bCs/>
          <w:kern w:val="0"/>
          <w:sz w:val="24"/>
          <w:u w:val="single"/>
        </w:rPr>
        <w:t>甲方指定地点</w:t>
      </w:r>
      <w:r>
        <w:rPr>
          <w:rFonts w:hint="eastAsia" w:ascii="宋体" w:hAnsi="宋体" w:cs="宋体"/>
          <w:kern w:val="0"/>
          <w:sz w:val="24"/>
        </w:rPr>
        <w:t>。</w:t>
      </w:r>
    </w:p>
    <w:p w14:paraId="476DF20D">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w:t>
      </w:r>
      <w:r>
        <w:rPr>
          <w:rFonts w:hint="eastAsia" w:ascii="宋体" w:hAnsi="宋体" w:cs="宋体"/>
          <w:kern w:val="0"/>
          <w:sz w:val="24"/>
          <w:lang w:val="en-US" w:eastAsia="zh-CN"/>
        </w:rPr>
        <w:t>提交结果材料文件时</w:t>
      </w:r>
      <w:r>
        <w:rPr>
          <w:rFonts w:hint="eastAsia" w:ascii="宋体" w:hAnsi="宋体" w:cs="宋体"/>
          <w:kern w:val="0"/>
          <w:sz w:val="24"/>
        </w:rPr>
        <w:t>，乙方必须向甲方提供相关资料和必备的附件。</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A257D7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7FB1FC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50B5469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w:t>
      </w:r>
      <w:r>
        <w:rPr>
          <w:rFonts w:hint="eastAsia" w:ascii="宋体" w:hAnsi="宋体" w:cs="宋体"/>
          <w:sz w:val="24"/>
          <w:lang w:val="en-US" w:eastAsia="zh-CN"/>
        </w:rPr>
        <w:t>成果资料交由甲方</w:t>
      </w:r>
      <w:r>
        <w:rPr>
          <w:rFonts w:hint="eastAsia" w:ascii="宋体" w:hAnsi="宋体" w:cs="宋体"/>
          <w:sz w:val="24"/>
        </w:rPr>
        <w:t>。</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62624203">
      <w:pPr>
        <w:adjustRightInd w:val="0"/>
        <w:snapToGrid w:val="0"/>
        <w:spacing w:line="420" w:lineRule="exact"/>
        <w:ind w:firstLine="480" w:firstLineChars="200"/>
        <w:contextualSpacing/>
        <w:rPr>
          <w:rFonts w:hint="eastAsia" w:ascii="宋体" w:hAnsi="宋体" w:cs="宋体"/>
          <w:sz w:val="24"/>
          <w:lang w:val="en-US" w:eastAsia="zh-CN"/>
        </w:rPr>
      </w:pPr>
      <w:r>
        <w:rPr>
          <w:rFonts w:hint="eastAsia" w:ascii="宋体" w:hAnsi="宋体" w:cs="宋体"/>
          <w:sz w:val="24"/>
          <w:lang w:val="en-US" w:eastAsia="zh-CN"/>
        </w:rPr>
        <w:t>无</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w:t>
      </w:r>
      <w:r>
        <w:rPr>
          <w:rFonts w:hint="eastAsia" w:ascii="宋体" w:hAnsi="宋体" w:cs="宋体"/>
          <w:kern w:val="0"/>
          <w:sz w:val="24"/>
          <w:lang w:val="en-US" w:eastAsia="zh-CN"/>
        </w:rPr>
        <w:t>产品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w:t>
      </w:r>
      <w:r>
        <w:rPr>
          <w:rFonts w:hint="eastAsia" w:ascii="宋体" w:hAnsi="宋体" w:cs="宋体"/>
          <w:sz w:val="24"/>
          <w:lang w:val="en-US" w:eastAsia="zh-CN"/>
        </w:rPr>
        <w:t>产品</w:t>
      </w:r>
      <w:r>
        <w:rPr>
          <w:rFonts w:hint="eastAsia" w:ascii="宋体" w:hAnsi="宋体" w:cs="宋体"/>
          <w:sz w:val="24"/>
        </w:rPr>
        <w:t>全部或部分产品不符合合同规定及询价文件规定的，甲方可选择解除本合同或本合同的一部分，并可追究乙方的其他违约责任。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4、合同生效后，发现乙方投标属虚假承诺，或不能满足询价文件要求，造成合同无法继续履行的，乙方应向甲方支付不少于合同总价百分之二的赔偿金。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2457C0BE">
      <w:pPr>
        <w:adjustRightInd w:val="0"/>
        <w:snapToGrid w:val="0"/>
        <w:spacing w:line="420" w:lineRule="exact"/>
        <w:ind w:firstLine="480" w:firstLineChars="200"/>
        <w:contextualSpacing/>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lang w:eastAsia="zh-CN"/>
        </w:rPr>
        <w:t>扬州大学附属医院</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37C181A6">
      <w:pPr>
        <w:pStyle w:val="15"/>
        <w:shd w:val="clear" w:color="auto" w:fill="FFFFFF"/>
        <w:spacing w:before="0" w:beforeAutospacing="0" w:after="0" w:afterAutospacing="0" w:line="440" w:lineRule="exact"/>
        <w:jc w:val="both"/>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r>
        <w:rPr>
          <w:rFonts w:hint="eastAsia"/>
        </w:rPr>
        <w:t xml:space="preserve">日    期：    年    月    日        </w:t>
      </w:r>
      <w:r>
        <w:rPr>
          <w:rFonts w:hint="eastAsia"/>
          <w:lang w:val="en-US" w:eastAsia="zh-CN"/>
        </w:rPr>
        <w:t xml:space="preserve">   </w:t>
      </w:r>
      <w:r>
        <w:rPr>
          <w:rFonts w:hint="eastAsia"/>
        </w:rPr>
        <w:t xml:space="preserve">  日    期：    年     月    日</w:t>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eastAsia"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lang w:eastAsia="zh-CN"/>
        </w:rPr>
        <w:t>扬州大学附属医院</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lang w:eastAsia="zh-CN"/>
        </w:rPr>
        <w:t>扬州大学附属医院</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1FE299E"/>
    <w:rsid w:val="02872ED6"/>
    <w:rsid w:val="03022BC6"/>
    <w:rsid w:val="034D4BC8"/>
    <w:rsid w:val="0361265C"/>
    <w:rsid w:val="037F210D"/>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D975833"/>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757164"/>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DF7E8F"/>
    <w:rsid w:val="318E7998"/>
    <w:rsid w:val="31FB3AF8"/>
    <w:rsid w:val="32542738"/>
    <w:rsid w:val="32B504B0"/>
    <w:rsid w:val="349B0B50"/>
    <w:rsid w:val="34D332FE"/>
    <w:rsid w:val="35A85D44"/>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3E12A0"/>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02734A"/>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8506F0"/>
    <w:rsid w:val="62E713AB"/>
    <w:rsid w:val="63473929"/>
    <w:rsid w:val="64B11C70"/>
    <w:rsid w:val="65F2258C"/>
    <w:rsid w:val="660758C0"/>
    <w:rsid w:val="6646010A"/>
    <w:rsid w:val="66A07C1E"/>
    <w:rsid w:val="66AF19DA"/>
    <w:rsid w:val="6710513C"/>
    <w:rsid w:val="675A5AE8"/>
    <w:rsid w:val="677A6507"/>
    <w:rsid w:val="68371B3C"/>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8B7C4E"/>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rFonts w:ascii="楷体_GB2312" w:hAnsi="Arial" w:eastAsia="楷体_GB2312"/>
      <w:kern w:val="0"/>
      <w:sz w:val="28"/>
      <w:szCs w:val="28"/>
    </w:rPr>
  </w:style>
  <w:style w:type="paragraph" w:styleId="3">
    <w:name w:val="table of authorities"/>
    <w:basedOn w:val="1"/>
    <w:next w:val="1"/>
    <w:qFormat/>
    <w:uiPriority w:val="0"/>
    <w:pPr>
      <w:ind w:left="420" w:leftChars="200"/>
    </w:pPr>
  </w:style>
  <w:style w:type="paragraph" w:styleId="4">
    <w:name w:val="Normal Indent"/>
    <w:basedOn w:val="1"/>
    <w:link w:val="32"/>
    <w:autoRedefine/>
    <w:unhideWhenUsed/>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3"/>
    <w:basedOn w:val="1"/>
    <w:next w:val="1"/>
    <w:link w:val="38"/>
    <w:autoRedefine/>
    <w:qFormat/>
    <w:uiPriority w:val="0"/>
    <w:pPr>
      <w:spacing w:after="120"/>
    </w:pPr>
    <w:rPr>
      <w:sz w:val="16"/>
      <w:szCs w:val="16"/>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4"/>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6"/>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6451</Words>
  <Characters>6867</Characters>
  <Lines>75</Lines>
  <Paragraphs>21</Paragraphs>
  <TotalTime>8</TotalTime>
  <ScaleCrop>false</ScaleCrop>
  <LinksUpToDate>false</LinksUpToDate>
  <CharactersWithSpaces>7943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2025-12-15T09:42:22Z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