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D44B">
      <w:pPr>
        <w:spacing w:line="360" w:lineRule="auto"/>
        <w:jc w:val="right"/>
        <w:rPr>
          <w:rFonts w:hint="default" w:ascii="宋体" w:hAnsi="宋体" w:eastAsia="宋体" w:cs="Times New Roman"/>
          <w:color w:val="auto"/>
          <w:sz w:val="32"/>
          <w:szCs w:val="21"/>
          <w:highlight w:val="none"/>
          <w:lang w:val="en-US" w:eastAsia="zh-CN"/>
        </w:rPr>
      </w:pPr>
      <w:r>
        <w:rPr>
          <w:rFonts w:hint="eastAsia" w:ascii="宋体" w:hAnsi="宋体" w:eastAsia="宋体" w:cs="Times New Roman"/>
          <w:color w:val="auto"/>
          <w:sz w:val="32"/>
          <w:szCs w:val="21"/>
          <w:highlight w:val="none"/>
          <w:lang w:val="en-US" w:eastAsia="zh-CN"/>
        </w:rPr>
        <w:t>项目</w:t>
      </w:r>
      <w:r>
        <w:rPr>
          <w:rFonts w:hint="eastAsia" w:ascii="宋体" w:hAnsi="宋体" w:eastAsia="宋体" w:cs="Times New Roman"/>
          <w:color w:val="auto"/>
          <w:sz w:val="32"/>
          <w:szCs w:val="21"/>
          <w:highlight w:val="none"/>
        </w:rPr>
        <w:t>编号：JSZC-320000-YZDC-G2025-0041</w:t>
      </w:r>
      <w:r>
        <w:rPr>
          <w:rFonts w:hint="eastAsia" w:ascii="宋体" w:hAnsi="宋体" w:cs="Times New Roman"/>
          <w:color w:val="auto"/>
          <w:sz w:val="32"/>
          <w:szCs w:val="21"/>
          <w:highlight w:val="none"/>
          <w:lang w:val="en-US" w:eastAsia="zh-CN"/>
        </w:rPr>
        <w:t>号</w:t>
      </w:r>
    </w:p>
    <w:p w14:paraId="361996A4">
      <w:pPr>
        <w:spacing w:line="360" w:lineRule="auto"/>
        <w:rPr>
          <w:rFonts w:ascii="宋体" w:hAnsi="宋体"/>
          <w:color w:val="auto"/>
          <w:sz w:val="36"/>
          <w:highlight w:val="none"/>
        </w:rPr>
      </w:pPr>
    </w:p>
    <w:p w14:paraId="41627609">
      <w:pPr>
        <w:spacing w:line="360" w:lineRule="auto"/>
        <w:jc w:val="center"/>
        <w:rPr>
          <w:rFonts w:ascii="宋体" w:hAnsi="宋体"/>
          <w:color w:val="auto"/>
          <w:sz w:val="36"/>
          <w:szCs w:val="36"/>
          <w:highlight w:val="none"/>
        </w:rPr>
      </w:pPr>
      <w:r>
        <w:rPr>
          <w:rFonts w:hint="eastAsia" w:ascii="宋体" w:hAnsi="宋体"/>
          <w:color w:val="auto"/>
          <w:sz w:val="36"/>
          <w:szCs w:val="36"/>
          <w:highlight w:val="none"/>
          <w:lang w:val="en-US" w:eastAsia="zh-CN"/>
        </w:rPr>
        <w:t>扬州大学附属医院固体饮料及复配食品添加剂采购项目</w:t>
      </w:r>
      <w:r>
        <w:rPr>
          <w:rFonts w:hint="eastAsia" w:ascii="宋体" w:hAnsi="宋体"/>
          <w:color w:val="auto"/>
          <w:sz w:val="36"/>
          <w:szCs w:val="36"/>
          <w:highlight w:val="none"/>
        </w:rPr>
        <w:t>公开招标文件</w:t>
      </w:r>
    </w:p>
    <w:p w14:paraId="5A6DF0BF">
      <w:pPr>
        <w:pStyle w:val="4"/>
        <w:spacing w:line="360" w:lineRule="auto"/>
        <w:rPr>
          <w:rFonts w:ascii="宋体" w:hAnsi="宋体"/>
          <w:color w:val="auto"/>
          <w:highlight w:val="none"/>
        </w:rPr>
      </w:pPr>
      <w:r>
        <w:rPr>
          <w:color w:val="auto"/>
          <w:highlight w:val="none"/>
        </w:rPr>
        <w:drawing>
          <wp:inline distT="0" distB="0" distL="114300" distR="114300">
            <wp:extent cx="5480685" cy="4157345"/>
            <wp:effectExtent l="0" t="0" r="5715" b="3175"/>
            <wp:docPr id="2"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6042D44D">
      <w:pPr>
        <w:spacing w:line="360" w:lineRule="auto"/>
        <w:jc w:val="center"/>
        <w:rPr>
          <w:rFonts w:ascii="宋体" w:hAnsi="宋体"/>
          <w:color w:val="auto"/>
          <w:sz w:val="36"/>
          <w:highlight w:val="none"/>
        </w:rPr>
      </w:pPr>
    </w:p>
    <w:p w14:paraId="67C9A9DC">
      <w:pPr>
        <w:spacing w:line="360" w:lineRule="auto"/>
        <w:jc w:val="center"/>
        <w:rPr>
          <w:rFonts w:ascii="宋体" w:hAnsi="宋体"/>
          <w:color w:val="auto"/>
          <w:sz w:val="36"/>
          <w:highlight w:val="none"/>
        </w:rPr>
      </w:pPr>
    </w:p>
    <w:p w14:paraId="49DC37AA">
      <w:pPr>
        <w:spacing w:line="360" w:lineRule="auto"/>
        <w:jc w:val="center"/>
        <w:rPr>
          <w:rFonts w:hint="eastAsia" w:ascii="宋体" w:hAnsi="宋体"/>
          <w:color w:val="auto"/>
          <w:sz w:val="36"/>
          <w:highlight w:val="none"/>
          <w:lang w:eastAsia="zh-CN"/>
        </w:rPr>
      </w:pPr>
      <w:r>
        <w:rPr>
          <w:rFonts w:hint="eastAsia" w:ascii="宋体" w:hAnsi="宋体"/>
          <w:color w:val="auto"/>
          <w:sz w:val="36"/>
          <w:highlight w:val="none"/>
          <w:lang w:eastAsia="zh-CN"/>
        </w:rPr>
        <w:t>江苏省鼎诚建设工程顾问有限公司</w:t>
      </w:r>
    </w:p>
    <w:p w14:paraId="67BE1C90">
      <w:pPr>
        <w:spacing w:line="360" w:lineRule="auto"/>
        <w:jc w:val="center"/>
        <w:rPr>
          <w:rFonts w:ascii="宋体" w:hAnsi="宋体"/>
          <w:color w:val="auto"/>
          <w:sz w:val="36"/>
          <w:highlight w:val="none"/>
        </w:rPr>
      </w:pPr>
      <w:r>
        <w:rPr>
          <w:rFonts w:hint="eastAsia" w:ascii="宋体" w:hAnsi="宋体"/>
          <w:color w:val="auto"/>
          <w:sz w:val="36"/>
          <w:highlight w:val="none"/>
        </w:rPr>
        <w:t>202</w:t>
      </w:r>
      <w:r>
        <w:rPr>
          <w:rFonts w:hint="eastAsia" w:ascii="宋体" w:hAnsi="宋体"/>
          <w:color w:val="auto"/>
          <w:sz w:val="36"/>
          <w:highlight w:val="none"/>
          <w:lang w:val="en-US" w:eastAsia="zh-CN"/>
        </w:rPr>
        <w:t>5</w:t>
      </w:r>
      <w:r>
        <w:rPr>
          <w:rFonts w:hint="eastAsia" w:ascii="宋体" w:hAnsi="宋体"/>
          <w:color w:val="auto"/>
          <w:sz w:val="36"/>
          <w:highlight w:val="none"/>
        </w:rPr>
        <w:t>年</w:t>
      </w:r>
      <w:r>
        <w:rPr>
          <w:rFonts w:hint="eastAsia" w:ascii="宋体" w:hAnsi="宋体"/>
          <w:color w:val="auto"/>
          <w:sz w:val="36"/>
          <w:highlight w:val="none"/>
          <w:lang w:val="en-US" w:eastAsia="zh-CN"/>
        </w:rPr>
        <w:t>12</w:t>
      </w:r>
      <w:r>
        <w:rPr>
          <w:rFonts w:hint="eastAsia" w:ascii="宋体" w:hAnsi="宋体"/>
          <w:color w:val="auto"/>
          <w:sz w:val="36"/>
          <w:highlight w:val="none"/>
        </w:rPr>
        <w:t>月</w:t>
      </w:r>
      <w:r>
        <w:rPr>
          <w:rFonts w:hint="eastAsia" w:ascii="宋体" w:hAnsi="宋体"/>
          <w:color w:val="auto"/>
          <w:sz w:val="36"/>
          <w:highlight w:val="none"/>
          <w:lang w:val="en-US" w:eastAsia="zh-CN"/>
        </w:rPr>
        <w:t>19</w:t>
      </w:r>
      <w:r>
        <w:rPr>
          <w:rFonts w:hint="eastAsia" w:ascii="宋体" w:hAnsi="宋体"/>
          <w:color w:val="auto"/>
          <w:sz w:val="36"/>
          <w:highlight w:val="none"/>
        </w:rPr>
        <w:t>日</w:t>
      </w:r>
    </w:p>
    <w:p w14:paraId="3F660D80">
      <w:pPr>
        <w:spacing w:line="360" w:lineRule="auto"/>
        <w:jc w:val="center"/>
        <w:rPr>
          <w:rFonts w:hint="eastAsia" w:ascii="宋体" w:hAnsi="宋体"/>
          <w:color w:val="auto"/>
          <w:sz w:val="32"/>
          <w:highlight w:val="none"/>
        </w:rPr>
        <w:sectPr>
          <w:headerReference r:id="rId3" w:type="default"/>
          <w:pgSz w:w="11906" w:h="16838"/>
          <w:pgMar w:top="1440" w:right="1800" w:bottom="1440" w:left="1800" w:header="1077" w:footer="992" w:gutter="0"/>
          <w:cols w:space="720" w:num="1"/>
          <w:docGrid w:type="lines" w:linePitch="312" w:charSpace="0"/>
        </w:sectPr>
      </w:pPr>
    </w:p>
    <w:p w14:paraId="51BD9D84">
      <w:pPr>
        <w:spacing w:line="360" w:lineRule="auto"/>
        <w:jc w:val="center"/>
        <w:rPr>
          <w:rFonts w:hint="eastAsia" w:ascii="宋体" w:hAnsi="宋体"/>
          <w:color w:val="auto"/>
          <w:sz w:val="32"/>
          <w:highlight w:val="none"/>
        </w:rPr>
      </w:pPr>
    </w:p>
    <w:p w14:paraId="56BC9FD6">
      <w:pPr>
        <w:spacing w:line="360" w:lineRule="auto"/>
        <w:jc w:val="center"/>
        <w:rPr>
          <w:rFonts w:ascii="宋体" w:hAnsi="宋体"/>
          <w:color w:val="auto"/>
          <w:sz w:val="32"/>
          <w:highlight w:val="none"/>
        </w:rPr>
      </w:pPr>
      <w:r>
        <w:rPr>
          <w:rFonts w:hint="eastAsia" w:ascii="宋体" w:hAnsi="宋体"/>
          <w:color w:val="auto"/>
          <w:sz w:val="32"/>
          <w:highlight w:val="none"/>
        </w:rPr>
        <w:t>目 录</w:t>
      </w:r>
    </w:p>
    <w:p w14:paraId="63B27D7B">
      <w:pPr>
        <w:pStyle w:val="17"/>
        <w:tabs>
          <w:tab w:val="right" w:leader="dot" w:pos="8296"/>
        </w:tabs>
        <w:spacing w:line="360" w:lineRule="auto"/>
        <w:rPr>
          <w:rFonts w:hint="eastAsia" w:ascii="宋体" w:hAnsi="宋体" w:eastAsia="宋体"/>
          <w:color w:val="auto"/>
          <w:highlight w:val="none"/>
          <w:lang w:val="en-US" w:eastAsia="zh-CN"/>
        </w:rPr>
      </w:pPr>
      <w:r>
        <w:rPr>
          <w:rFonts w:hint="eastAsia" w:ascii="宋体" w:hAnsi="宋体"/>
          <w:color w:val="auto"/>
          <w:sz w:val="28"/>
          <w:highlight w:val="none"/>
        </w:rPr>
        <w:fldChar w:fldCharType="begin"/>
      </w:r>
      <w:r>
        <w:rPr>
          <w:rFonts w:hint="eastAsia" w:ascii="宋体" w:hAnsi="宋体"/>
          <w:color w:val="auto"/>
          <w:sz w:val="28"/>
          <w:highlight w:val="none"/>
        </w:rPr>
        <w:instrText xml:space="preserve"> TOC \o "1-3" \f </w:instrText>
      </w:r>
      <w:r>
        <w:rPr>
          <w:rFonts w:hint="eastAsia" w:ascii="宋体" w:hAnsi="宋体"/>
          <w:color w:val="auto"/>
          <w:sz w:val="28"/>
          <w:highlight w:val="none"/>
        </w:rPr>
        <w:fldChar w:fldCharType="separate"/>
      </w:r>
      <w:r>
        <w:rPr>
          <w:rFonts w:hint="eastAsia" w:ascii="宋体" w:hAnsi="宋体"/>
          <w:color w:val="auto"/>
          <w:highlight w:val="none"/>
        </w:rPr>
        <w:t>第一章 招标公告</w:t>
      </w:r>
      <w:r>
        <w:rPr>
          <w:rFonts w:hint="eastAsia" w:ascii="宋体" w:hAnsi="宋体"/>
          <w:color w:val="auto"/>
          <w:highlight w:val="none"/>
        </w:rPr>
        <w:tab/>
      </w:r>
      <w:r>
        <w:rPr>
          <w:rFonts w:hint="eastAsia" w:ascii="宋体" w:hAnsi="宋体"/>
          <w:color w:val="auto"/>
          <w:highlight w:val="none"/>
          <w:lang w:val="en-US" w:eastAsia="zh-CN"/>
        </w:rPr>
        <w:t>1</w:t>
      </w:r>
    </w:p>
    <w:p w14:paraId="0AEED9AC">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第二章 投标人须知</w:t>
      </w:r>
      <w:r>
        <w:rPr>
          <w:rFonts w:hint="eastAsia" w:ascii="宋体" w:hAnsi="宋体"/>
          <w:color w:val="auto"/>
          <w:highlight w:val="none"/>
        </w:rPr>
        <w:tab/>
      </w:r>
      <w:r>
        <w:rPr>
          <w:rFonts w:hint="eastAsia" w:ascii="宋体" w:hAnsi="宋体"/>
          <w:color w:val="auto"/>
          <w:highlight w:val="none"/>
          <w:lang w:val="en-US" w:eastAsia="zh-CN"/>
        </w:rPr>
        <w:t>5</w:t>
      </w:r>
    </w:p>
    <w:p w14:paraId="132AB4AC">
      <w:pPr>
        <w:pStyle w:val="17"/>
        <w:tabs>
          <w:tab w:val="right" w:leader="dot" w:pos="8296"/>
        </w:tabs>
        <w:spacing w:line="360" w:lineRule="auto"/>
        <w:rPr>
          <w:rFonts w:ascii="宋体" w:hAnsi="宋体"/>
          <w:color w:val="auto"/>
          <w:highlight w:val="none"/>
        </w:rPr>
      </w:pPr>
      <w:r>
        <w:rPr>
          <w:rFonts w:hint="eastAsia" w:ascii="宋体" w:hAnsi="宋体"/>
          <w:color w:val="auto"/>
          <w:highlight w:val="none"/>
        </w:rPr>
        <w:t>第三章 合同条款及格式</w:t>
      </w:r>
      <w:r>
        <w:rPr>
          <w:rFonts w:hint="eastAsia" w:ascii="宋体" w:hAnsi="宋体"/>
          <w:color w:val="auto"/>
          <w:highlight w:val="none"/>
        </w:rPr>
        <w:tab/>
      </w:r>
      <w:r>
        <w:rPr>
          <w:rFonts w:hint="eastAsia" w:ascii="宋体" w:hAnsi="宋体"/>
          <w:color w:val="auto"/>
          <w:highlight w:val="none"/>
        </w:rPr>
        <w:t>18</w:t>
      </w:r>
    </w:p>
    <w:p w14:paraId="7EA42F37">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第四章 项目需求</w:t>
      </w:r>
      <w:r>
        <w:rPr>
          <w:rFonts w:hint="eastAsia" w:ascii="宋体" w:hAnsi="宋体"/>
          <w:color w:val="auto"/>
          <w:highlight w:val="none"/>
        </w:rPr>
        <w:tab/>
      </w:r>
      <w:r>
        <w:rPr>
          <w:rFonts w:hint="eastAsia" w:ascii="宋体" w:hAnsi="宋体"/>
          <w:color w:val="auto"/>
          <w:highlight w:val="none"/>
        </w:rPr>
        <w:t>2</w:t>
      </w:r>
      <w:r>
        <w:rPr>
          <w:rFonts w:hint="eastAsia" w:ascii="宋体" w:hAnsi="宋体"/>
          <w:color w:val="auto"/>
          <w:highlight w:val="none"/>
          <w:lang w:val="en-US" w:eastAsia="zh-CN"/>
        </w:rPr>
        <w:t>1</w:t>
      </w:r>
    </w:p>
    <w:p w14:paraId="54D04C9A">
      <w:pPr>
        <w:pStyle w:val="17"/>
        <w:tabs>
          <w:tab w:val="right" w:leader="dot" w:pos="8296"/>
        </w:tabs>
        <w:spacing w:line="360" w:lineRule="auto"/>
        <w:rPr>
          <w:rFonts w:ascii="宋体" w:hAnsi="宋体"/>
          <w:color w:val="auto"/>
          <w:highlight w:val="none"/>
        </w:rPr>
      </w:pPr>
      <w:r>
        <w:rPr>
          <w:rFonts w:hint="eastAsia" w:ascii="宋体" w:hAnsi="宋体"/>
          <w:color w:val="auto"/>
          <w:highlight w:val="none"/>
        </w:rPr>
        <w:t>第五章 评标方法及评标标准</w:t>
      </w:r>
      <w:r>
        <w:rPr>
          <w:rFonts w:hint="eastAsia" w:ascii="宋体" w:hAnsi="宋体"/>
          <w:color w:val="auto"/>
          <w:highlight w:val="none"/>
        </w:rPr>
        <w:tab/>
      </w:r>
      <w:r>
        <w:rPr>
          <w:rFonts w:hint="eastAsia" w:ascii="宋体" w:hAnsi="宋体"/>
          <w:color w:val="auto"/>
          <w:highlight w:val="none"/>
        </w:rPr>
        <w:t>27</w:t>
      </w:r>
    </w:p>
    <w:p w14:paraId="170C12B8">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第六章 投标文件格式</w:t>
      </w:r>
      <w:r>
        <w:rPr>
          <w:rFonts w:hint="eastAsia" w:ascii="宋体" w:hAnsi="宋体"/>
          <w:color w:val="auto"/>
          <w:highlight w:val="none"/>
        </w:rPr>
        <w:tab/>
      </w:r>
      <w:r>
        <w:rPr>
          <w:rFonts w:hint="eastAsia" w:ascii="宋体" w:hAnsi="宋体"/>
          <w:color w:val="auto"/>
          <w:highlight w:val="none"/>
        </w:rPr>
        <w:t>3</w:t>
      </w:r>
      <w:r>
        <w:rPr>
          <w:rFonts w:hint="eastAsia" w:ascii="宋体" w:hAnsi="宋体"/>
          <w:color w:val="auto"/>
          <w:highlight w:val="none"/>
          <w:lang w:val="en-US" w:eastAsia="zh-CN"/>
        </w:rPr>
        <w:t>2</w:t>
      </w:r>
    </w:p>
    <w:p w14:paraId="2166E1A2">
      <w:pPr>
        <w:spacing w:line="360" w:lineRule="auto"/>
        <w:rPr>
          <w:rFonts w:ascii="宋体" w:hAnsi="宋体"/>
          <w:color w:val="auto"/>
          <w:sz w:val="28"/>
          <w:highlight w:val="none"/>
        </w:rPr>
      </w:pPr>
      <w:r>
        <w:rPr>
          <w:rFonts w:hint="eastAsia" w:ascii="宋体" w:hAnsi="宋体"/>
          <w:color w:val="auto"/>
          <w:sz w:val="28"/>
          <w:highlight w:val="none"/>
        </w:rPr>
        <w:fldChar w:fldCharType="end"/>
      </w:r>
    </w:p>
    <w:p w14:paraId="44398143">
      <w:pPr>
        <w:pStyle w:val="2"/>
        <w:spacing w:line="360" w:lineRule="auto"/>
        <w:jc w:val="center"/>
        <w:rPr>
          <w:rFonts w:ascii="宋体" w:hAnsi="宋体"/>
          <w:color w:val="auto"/>
          <w:szCs w:val="36"/>
          <w:highlight w:val="none"/>
        </w:rPr>
        <w:sectPr>
          <w:footerReference r:id="rId4" w:type="default"/>
          <w:pgSz w:w="11906" w:h="16838"/>
          <w:pgMar w:top="1440" w:right="1800" w:bottom="1440" w:left="1800" w:header="1191" w:footer="992" w:gutter="0"/>
          <w:pgNumType w:start="1"/>
          <w:cols w:space="720" w:num="1"/>
          <w:docGrid w:type="lines" w:linePitch="312" w:charSpace="0"/>
        </w:sectPr>
      </w:pPr>
      <w:bookmarkStart w:id="0" w:name="_Toc55204177"/>
    </w:p>
    <w:p w14:paraId="7F1E9DE4">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olor w:val="auto"/>
          <w:szCs w:val="36"/>
          <w:highlight w:val="none"/>
        </w:rPr>
      </w:pPr>
    </w:p>
    <w:p w14:paraId="68D99ADC">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ascii="宋体" w:hAnsi="宋体"/>
          <w:color w:val="auto"/>
          <w:szCs w:val="36"/>
          <w:highlight w:val="none"/>
        </w:rPr>
      </w:pPr>
      <w:r>
        <w:rPr>
          <w:rFonts w:hint="eastAsia" w:ascii="宋体" w:hAnsi="宋体"/>
          <w:color w:val="auto"/>
          <w:szCs w:val="36"/>
          <w:highlight w:val="none"/>
        </w:rPr>
        <w:t>第一章 招标公告</w:t>
      </w:r>
      <w:bookmarkEnd w:id="0"/>
    </w:p>
    <w:p w14:paraId="533DAFCD">
      <w:pPr>
        <w:tabs>
          <w:tab w:val="left" w:pos="266"/>
        </w:tabs>
        <w:spacing w:line="440" w:lineRule="exact"/>
        <w:ind w:firstLine="420" w:firstLineChars="200"/>
        <w:rPr>
          <w:rFonts w:hint="eastAsia" w:ascii="宋体" w:hAnsi="宋体" w:cs="宋体"/>
          <w:color w:val="auto"/>
          <w:szCs w:val="21"/>
          <w:highlight w:val="none"/>
        </w:rPr>
      </w:pPr>
    </w:p>
    <w:p w14:paraId="01D6CB3B">
      <w:pPr>
        <w:tabs>
          <w:tab w:val="left" w:pos="266"/>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u w:val="single"/>
        </w:rPr>
        <w:t>扬州大学附属医院</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江苏省鼎诚建设工程顾问有限公司</w:t>
      </w:r>
      <w:r>
        <w:rPr>
          <w:rFonts w:hint="eastAsia" w:ascii="宋体" w:hAnsi="宋体" w:cs="宋体"/>
          <w:color w:val="auto"/>
          <w:szCs w:val="21"/>
          <w:highlight w:val="none"/>
        </w:rPr>
        <w:t>就其</w:t>
      </w:r>
      <w:r>
        <w:rPr>
          <w:rFonts w:hint="eastAsia" w:ascii="宋体" w:hAnsi="宋体" w:cs="宋体"/>
          <w:color w:val="auto"/>
          <w:szCs w:val="21"/>
          <w:highlight w:val="none"/>
          <w:u w:val="single"/>
          <w:lang w:val="en-US" w:eastAsia="zh-CN"/>
        </w:rPr>
        <w:t xml:space="preserve"> 扬州大学附属医院固体饮料及复配食品添加剂采购项目 </w:t>
      </w:r>
      <w:r>
        <w:rPr>
          <w:rFonts w:hint="eastAsia" w:ascii="宋体" w:hAnsi="宋体" w:cs="宋体"/>
          <w:color w:val="auto"/>
          <w:szCs w:val="21"/>
          <w:highlight w:val="none"/>
        </w:rPr>
        <w:t>(JSZC-320000-YZDC-G2025-0041号)进行公开招标采购，欢迎符合条件的供应商投标。</w:t>
      </w:r>
    </w:p>
    <w:p w14:paraId="11DAB0A8">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1AF6264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扬州大学附属医院固体饮料及复配食品添加剂采购项目</w:t>
      </w:r>
      <w:r>
        <w:rPr>
          <w:rFonts w:hint="eastAsia" w:ascii="宋体" w:hAnsi="宋体" w:cs="宋体"/>
          <w:color w:val="auto"/>
          <w:szCs w:val="21"/>
          <w:highlight w:val="none"/>
        </w:rPr>
        <w:t>招标项目的潜在投标人可在</w:t>
      </w:r>
      <w:r>
        <w:rPr>
          <w:rFonts w:hint="eastAsia" w:ascii="宋体" w:hAnsi="宋体" w:cs="宋体"/>
          <w:color w:val="auto"/>
          <w:szCs w:val="21"/>
          <w:highlight w:val="none"/>
          <w:u w:val="single"/>
          <w:lang w:eastAsia="zh-CN"/>
        </w:rPr>
        <w:t>“扬州大学附属医院网、江苏政府采购网”</w:t>
      </w:r>
      <w:r>
        <w:rPr>
          <w:rFonts w:hint="eastAsia" w:ascii="宋体" w:hAnsi="宋体" w:cs="宋体"/>
          <w:color w:val="auto"/>
          <w:szCs w:val="21"/>
          <w:highlight w:val="none"/>
          <w:u w:val="single"/>
        </w:rPr>
        <w:t>自行免费下载</w:t>
      </w:r>
      <w:r>
        <w:rPr>
          <w:rFonts w:hint="eastAsia" w:ascii="宋体" w:hAnsi="宋体" w:cs="宋体"/>
          <w:color w:val="auto"/>
          <w:szCs w:val="21"/>
          <w:highlight w:val="none"/>
        </w:rPr>
        <w:t>招标文件，并于</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 xml:space="preserve">09:30 </w:t>
      </w:r>
      <w:r>
        <w:rPr>
          <w:rFonts w:hint="eastAsia" w:ascii="宋体" w:hAnsi="宋体" w:cs="宋体"/>
          <w:bCs/>
          <w:color w:val="auto"/>
          <w:szCs w:val="21"/>
          <w:highlight w:val="none"/>
          <w:u w:val="non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4D51071A">
      <w:pPr>
        <w:tabs>
          <w:tab w:val="left" w:pos="266"/>
        </w:tabs>
        <w:spacing w:line="440" w:lineRule="exact"/>
        <w:rPr>
          <w:rFonts w:ascii="宋体" w:hAnsi="宋体" w:cs="宋体"/>
          <w:b/>
          <w:bCs/>
          <w:color w:val="auto"/>
          <w:szCs w:val="21"/>
          <w:highlight w:val="none"/>
        </w:rPr>
      </w:pPr>
      <w:bookmarkStart w:id="1" w:name="_Toc35393790"/>
      <w:bookmarkStart w:id="2" w:name="_Toc38985263"/>
      <w:bookmarkStart w:id="3" w:name="_Toc35393621"/>
      <w:bookmarkStart w:id="4" w:name="_Toc28359002"/>
      <w:bookmarkStart w:id="5" w:name="_Toc28359079"/>
      <w:bookmarkStart w:id="6" w:name="_Hlk24379207"/>
      <w:r>
        <w:rPr>
          <w:rFonts w:hint="eastAsia" w:ascii="宋体" w:hAnsi="宋体" w:cs="宋体"/>
          <w:b/>
          <w:bCs/>
          <w:color w:val="auto"/>
          <w:szCs w:val="21"/>
          <w:highlight w:val="none"/>
        </w:rPr>
        <w:t>一、项目基本情况</w:t>
      </w:r>
      <w:bookmarkEnd w:id="1"/>
      <w:bookmarkEnd w:id="2"/>
      <w:bookmarkEnd w:id="3"/>
      <w:bookmarkEnd w:id="4"/>
      <w:bookmarkEnd w:id="5"/>
    </w:p>
    <w:p w14:paraId="346BB458">
      <w:pPr>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1.项目编号：JSZC-320000-YZDC-G2025-0041</w:t>
      </w:r>
      <w:r>
        <w:rPr>
          <w:rFonts w:hint="eastAsia" w:ascii="宋体" w:hAnsi="宋体" w:cs="宋体"/>
          <w:color w:val="auto"/>
          <w:szCs w:val="21"/>
          <w:highlight w:val="none"/>
          <w:lang w:val="en-US" w:eastAsia="zh-CN"/>
        </w:rPr>
        <w:t>号</w:t>
      </w:r>
    </w:p>
    <w:p w14:paraId="2C0994B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2.项目名称：</w:t>
      </w:r>
      <w:bookmarkEnd w:id="6"/>
      <w:r>
        <w:rPr>
          <w:rFonts w:hint="eastAsia" w:ascii="宋体" w:hAnsi="宋体" w:eastAsia="宋体" w:cs="宋体"/>
          <w:color w:val="auto"/>
          <w:szCs w:val="21"/>
          <w:highlight w:val="none"/>
        </w:rPr>
        <w:t>扬州大学附属医院固体饮料及复配食品添加剂采购项目</w:t>
      </w:r>
    </w:p>
    <w:p w14:paraId="33B073FB">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.采购需求：扬州大学附属医院临床营养科202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年度固体饮料及复配食品添加剂采购，详见招标文件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 xml:space="preserve"> 项目需求”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本项目共计五个采购包，供应商可以兼投并兼中。开评标顺序按照采购包1、采购包2、采购包3、采购包4、采购包5的顺序，每个采购包确定一个中标单位。</w:t>
      </w:r>
    </w:p>
    <w:p w14:paraId="53E2D14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采购包1：肠内营养配制固体饮料包</w:t>
      </w:r>
      <w:r>
        <w:rPr>
          <w:rFonts w:hint="eastAsia" w:ascii="宋体" w:hAnsi="宋体" w:cs="宋体"/>
          <w:color w:val="auto"/>
          <w:szCs w:val="21"/>
          <w:highlight w:val="none"/>
          <w:lang w:val="en-US" w:eastAsia="zh-CN"/>
        </w:rPr>
        <w:t>；</w:t>
      </w:r>
    </w:p>
    <w:p w14:paraId="149F3A81">
      <w:pPr>
        <w:spacing w:line="440" w:lineRule="exac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采购包</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：特殊人群固体饮料包</w:t>
      </w:r>
      <w:r>
        <w:rPr>
          <w:rFonts w:hint="eastAsia" w:ascii="宋体" w:hAnsi="宋体" w:cs="宋体"/>
          <w:color w:val="auto"/>
          <w:szCs w:val="21"/>
          <w:highlight w:val="none"/>
          <w:lang w:val="en-US" w:eastAsia="zh-CN"/>
        </w:rPr>
        <w:t>；</w:t>
      </w:r>
    </w:p>
    <w:p w14:paraId="4CE883E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采购包</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：益生菌</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lang w:val="en-US" w:eastAsia="zh-CN"/>
        </w:rPr>
        <w:t>益生元固体饮料包</w:t>
      </w:r>
      <w:r>
        <w:rPr>
          <w:rFonts w:hint="eastAsia" w:ascii="宋体" w:hAnsi="宋体" w:cs="宋体"/>
          <w:color w:val="auto"/>
          <w:szCs w:val="21"/>
          <w:highlight w:val="none"/>
          <w:lang w:val="en-US" w:eastAsia="zh-CN"/>
        </w:rPr>
        <w:t>；</w:t>
      </w:r>
    </w:p>
    <w:p w14:paraId="2F363DBE">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采购包</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：特殊用途型固体饮料包</w:t>
      </w:r>
      <w:r>
        <w:rPr>
          <w:rFonts w:hint="eastAsia" w:ascii="宋体" w:hAnsi="宋体" w:cs="宋体"/>
          <w:color w:val="auto"/>
          <w:szCs w:val="21"/>
          <w:highlight w:val="none"/>
          <w:lang w:val="en-US" w:eastAsia="zh-CN"/>
        </w:rPr>
        <w:t>；</w:t>
      </w:r>
    </w:p>
    <w:p w14:paraId="2F82556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采购包</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：营养素调整型固体饮料包</w:t>
      </w:r>
      <w:r>
        <w:rPr>
          <w:rFonts w:hint="eastAsia" w:ascii="宋体" w:hAnsi="宋体" w:cs="宋体"/>
          <w:color w:val="auto"/>
          <w:szCs w:val="21"/>
          <w:highlight w:val="none"/>
          <w:lang w:val="en-US" w:eastAsia="zh-CN"/>
        </w:rPr>
        <w:t>；</w:t>
      </w:r>
    </w:p>
    <w:p w14:paraId="02FEBBA6">
      <w:pPr>
        <w:spacing w:line="440" w:lineRule="exact"/>
        <w:rPr>
          <w:rFonts w:hint="eastAsia" w:ascii="宋体" w:hAnsi="宋体" w:eastAsia="宋体" w:cs="宋体"/>
          <w:color w:val="FF0000"/>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500</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其中，采购</w:t>
      </w:r>
      <w:r>
        <w:rPr>
          <w:rFonts w:hint="eastAsia" w:ascii="宋体" w:hAnsi="宋体" w:cs="宋体"/>
          <w:color w:val="auto"/>
          <w:szCs w:val="21"/>
          <w:highlight w:val="none"/>
          <w:lang w:eastAsia="zh-CN"/>
        </w:rPr>
        <w:t>包1预算金额</w:t>
      </w:r>
      <w:r>
        <w:rPr>
          <w:rFonts w:hint="eastAsia" w:ascii="宋体" w:hAnsi="宋体" w:cs="宋体"/>
          <w:color w:val="auto"/>
          <w:szCs w:val="21"/>
          <w:highlight w:val="none"/>
          <w:lang w:val="en-US" w:eastAsia="zh-CN"/>
        </w:rPr>
        <w:t>250万元</w:t>
      </w:r>
      <w:r>
        <w:rPr>
          <w:rFonts w:hint="eastAsia" w:ascii="宋体" w:hAnsi="宋体" w:cs="宋体"/>
          <w:color w:val="auto"/>
          <w:szCs w:val="21"/>
          <w:highlight w:val="none"/>
          <w:lang w:eastAsia="zh-CN"/>
        </w:rPr>
        <w:t>；包2预算金额</w:t>
      </w:r>
      <w:r>
        <w:rPr>
          <w:rFonts w:hint="eastAsia" w:ascii="宋体" w:hAnsi="宋体" w:cs="宋体"/>
          <w:color w:val="auto"/>
          <w:szCs w:val="21"/>
          <w:highlight w:val="none"/>
          <w:lang w:val="en-US" w:eastAsia="zh-CN"/>
        </w:rPr>
        <w:t>90万元；采购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预算金额</w:t>
      </w:r>
      <w:r>
        <w:rPr>
          <w:rFonts w:hint="eastAsia" w:ascii="宋体" w:hAnsi="宋体" w:cs="宋体"/>
          <w:color w:val="auto"/>
          <w:szCs w:val="21"/>
          <w:highlight w:val="none"/>
          <w:lang w:val="en-US" w:eastAsia="zh-CN"/>
        </w:rPr>
        <w:t>60万元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预算金额</w:t>
      </w:r>
      <w:r>
        <w:rPr>
          <w:rFonts w:hint="eastAsia" w:ascii="宋体" w:hAnsi="宋体" w:cs="宋体"/>
          <w:color w:val="auto"/>
          <w:szCs w:val="21"/>
          <w:highlight w:val="none"/>
          <w:lang w:val="en-US" w:eastAsia="zh-CN"/>
        </w:rPr>
        <w:t>55万元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预算金额</w:t>
      </w:r>
      <w:r>
        <w:rPr>
          <w:rFonts w:hint="eastAsia" w:ascii="宋体" w:hAnsi="宋体" w:cs="宋体"/>
          <w:color w:val="auto"/>
          <w:szCs w:val="21"/>
          <w:highlight w:val="none"/>
          <w:lang w:val="en-US" w:eastAsia="zh-CN"/>
        </w:rPr>
        <w:t>45万元</w:t>
      </w:r>
      <w:r>
        <w:rPr>
          <w:rFonts w:hint="eastAsia" w:ascii="宋体" w:hAnsi="宋体" w:cs="宋体"/>
          <w:color w:val="auto"/>
          <w:szCs w:val="21"/>
          <w:highlight w:val="none"/>
          <w:lang w:eastAsia="zh-CN"/>
        </w:rPr>
        <w:t>。</w:t>
      </w:r>
    </w:p>
    <w:p w14:paraId="48322F1A">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.本项目设置最高限价，</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包1最高限价</w:t>
      </w:r>
      <w:r>
        <w:rPr>
          <w:rFonts w:hint="eastAsia" w:ascii="宋体" w:hAnsi="宋体" w:cs="宋体"/>
          <w:color w:val="auto"/>
          <w:szCs w:val="21"/>
          <w:highlight w:val="none"/>
          <w:lang w:val="en-US" w:eastAsia="zh-CN"/>
        </w:rPr>
        <w:t>250万元</w:t>
      </w:r>
      <w:r>
        <w:rPr>
          <w:rFonts w:hint="eastAsia" w:ascii="宋体" w:hAnsi="宋体" w:cs="宋体"/>
          <w:color w:val="auto"/>
          <w:szCs w:val="21"/>
          <w:highlight w:val="none"/>
          <w:lang w:eastAsia="zh-CN"/>
        </w:rPr>
        <w:t>；包2最高限价</w:t>
      </w:r>
      <w:r>
        <w:rPr>
          <w:rFonts w:hint="eastAsia" w:ascii="宋体" w:hAnsi="宋体" w:cs="宋体"/>
          <w:color w:val="auto"/>
          <w:szCs w:val="21"/>
          <w:highlight w:val="none"/>
          <w:lang w:val="en-US" w:eastAsia="zh-CN"/>
        </w:rPr>
        <w:t>90万元；采购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3最高限价60万元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4最高限价55万元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包</w:t>
      </w:r>
      <w:r>
        <w:rPr>
          <w:rFonts w:hint="eastAsia" w:ascii="宋体" w:hAnsi="宋体" w:cs="宋体"/>
          <w:color w:val="auto"/>
          <w:szCs w:val="21"/>
          <w:highlight w:val="none"/>
          <w:lang w:val="en-US" w:eastAsia="zh-CN"/>
        </w:rPr>
        <w:t>5最高限价45万元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其中，各货物名称综合单价最高限价详见“第四章 项目需求 </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 xml:space="preserve"> 一、采购清单 </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 xml:space="preserve"> 技术要求及报价清单</w:t>
      </w:r>
      <w:r>
        <w:rPr>
          <w:rFonts w:hint="default" w:ascii="Arial" w:hAnsi="Arial" w:cs="Arial"/>
          <w:color w:val="auto"/>
          <w:szCs w:val="21"/>
          <w:highlight w:val="none"/>
          <w:lang w:val="en-US" w:eastAsia="zh-CN"/>
        </w:rPr>
        <w:t>→</w:t>
      </w:r>
      <w:r>
        <w:rPr>
          <w:rFonts w:hint="eastAsia" w:ascii="宋体" w:hAnsi="宋体" w:eastAsia="宋体" w:cs="宋体"/>
          <w:color w:val="auto"/>
          <w:szCs w:val="21"/>
          <w:highlight w:val="none"/>
          <w:lang w:val="en-US" w:eastAsia="zh-CN"/>
        </w:rPr>
        <w:t>采购包1、采购包2、采购包3、采购包4、采购包5</w:t>
      </w:r>
      <w:r>
        <w:rPr>
          <w:rFonts w:hint="eastAsia" w:ascii="宋体" w:hAnsi="宋体" w:cs="宋体"/>
          <w:color w:val="auto"/>
          <w:szCs w:val="21"/>
          <w:highlight w:val="none"/>
          <w:lang w:val="en-US" w:eastAsia="zh-CN"/>
        </w:rPr>
        <w:t>”；投标人的投标报价中任何一项超过公布的最高限价（单价、总价），均按照无效响应处理。</w:t>
      </w:r>
    </w:p>
    <w:p w14:paraId="0D3E4738">
      <w:pPr>
        <w:spacing w:line="44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cs="宋体"/>
          <w:color w:val="auto"/>
          <w:szCs w:val="21"/>
          <w:highlight w:val="none"/>
          <w:lang w:val="en-US" w:eastAsia="zh-CN"/>
        </w:rPr>
        <w:t>自</w:t>
      </w:r>
      <w:r>
        <w:rPr>
          <w:rFonts w:hint="eastAsia" w:ascii="宋体" w:hAnsi="宋体" w:eastAsia="宋体" w:cs="宋体"/>
          <w:color w:val="auto"/>
          <w:szCs w:val="21"/>
          <w:highlight w:val="none"/>
        </w:rPr>
        <w:t>合同签订之日</w:t>
      </w:r>
      <w:r>
        <w:rPr>
          <w:rFonts w:hint="eastAsia" w:ascii="宋体" w:hAnsi="宋体" w:cs="宋体"/>
          <w:color w:val="auto"/>
          <w:szCs w:val="21"/>
          <w:highlight w:val="none"/>
          <w:lang w:val="en-US" w:eastAsia="zh-CN"/>
        </w:rPr>
        <w:t>起</w:t>
      </w:r>
      <w:r>
        <w:rPr>
          <w:rFonts w:hint="eastAsia" w:ascii="宋体" w:hAnsi="宋体" w:eastAsia="宋体" w:cs="宋体"/>
          <w:color w:val="auto"/>
          <w:szCs w:val="21"/>
          <w:highlight w:val="none"/>
        </w:rPr>
        <w:t>至2026年12月31日</w:t>
      </w:r>
    </w:p>
    <w:p w14:paraId="0E3C5B4C">
      <w:pPr>
        <w:spacing w:line="440" w:lineRule="exact"/>
        <w:rPr>
          <w:rFonts w:hint="default" w:ascii="宋体" w:hAnsi="宋体" w:eastAsia="宋体" w:cs="宋体"/>
          <w:color w:val="auto"/>
          <w:szCs w:val="21"/>
          <w:highlight w:val="none"/>
          <w:lang w:val="en-US" w:eastAsia="zh-CN"/>
        </w:rPr>
      </w:pPr>
      <w:bookmarkStart w:id="7" w:name="_Toc28359080"/>
      <w:bookmarkStart w:id="8" w:name="_Toc38985264"/>
      <w:bookmarkStart w:id="9" w:name="_Toc35393622"/>
      <w:bookmarkStart w:id="10" w:name="_Toc35393791"/>
      <w:bookmarkStart w:id="11" w:name="_Toc28359003"/>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.本项目</w:t>
      </w:r>
      <w:r>
        <w:rPr>
          <w:rFonts w:hint="eastAsia" w:ascii="宋体" w:hAnsi="宋体" w:cs="宋体"/>
          <w:color w:val="auto"/>
          <w:szCs w:val="21"/>
          <w:highlight w:val="none"/>
          <w:u w:val="single"/>
          <w:lang w:val="en-US" w:eastAsia="zh-CN"/>
        </w:rPr>
        <w:t xml:space="preserve"> </w:t>
      </w:r>
      <w:r>
        <w:rPr>
          <w:rFonts w:hint="eastAsia" w:ascii="宋体" w:hAnsi="宋体" w:cs="宋体"/>
          <w:i/>
          <w:iCs/>
          <w:color w:val="auto"/>
          <w:szCs w:val="21"/>
          <w:highlight w:val="none"/>
          <w:u w:val="single"/>
        </w:rPr>
        <w:t>不接受</w:t>
      </w:r>
      <w:r>
        <w:rPr>
          <w:rFonts w:hint="eastAsia" w:ascii="宋体" w:hAnsi="宋体" w:cs="宋体"/>
          <w:i/>
          <w:iCs/>
          <w:color w:val="auto"/>
          <w:szCs w:val="21"/>
          <w:highlight w:val="none"/>
          <w:u w:val="single"/>
          <w:lang w:val="en-US" w:eastAsia="zh-CN"/>
        </w:rPr>
        <w:t xml:space="preserve"> </w:t>
      </w:r>
      <w:r>
        <w:rPr>
          <w:rFonts w:hint="eastAsia" w:ascii="宋体" w:hAnsi="宋体" w:cs="宋体"/>
          <w:color w:val="auto"/>
          <w:szCs w:val="21"/>
          <w:highlight w:val="none"/>
        </w:rPr>
        <w:t>联合体投标。</w:t>
      </w:r>
    </w:p>
    <w:p w14:paraId="2C36A857">
      <w:pPr>
        <w:keepNext w:val="0"/>
        <w:keepLines w:val="0"/>
        <w:pageBreakBefore w:val="0"/>
        <w:widowControl w:val="0"/>
        <w:tabs>
          <w:tab w:val="left" w:pos="266"/>
        </w:tabs>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bookmarkStart w:id="12" w:name="_Toc21596"/>
      <w:r>
        <w:rPr>
          <w:rFonts w:hint="eastAsia" w:ascii="宋体" w:hAnsi="宋体" w:cs="宋体"/>
          <w:b w:val="0"/>
          <w:bCs w:val="0"/>
          <w:color w:val="auto"/>
          <w:szCs w:val="21"/>
          <w:highlight w:val="none"/>
          <w:lang w:val="en-US" w:eastAsia="zh-CN"/>
        </w:rPr>
        <w:t>本项目</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i/>
          <w:iCs/>
          <w:color w:val="auto"/>
          <w:szCs w:val="21"/>
          <w:highlight w:val="none"/>
          <w:u w:val="single"/>
          <w:lang w:val="en-US" w:eastAsia="zh-CN"/>
        </w:rPr>
        <w:t xml:space="preserve">不接受 </w:t>
      </w:r>
      <w:r>
        <w:rPr>
          <w:rFonts w:hint="eastAsia" w:ascii="宋体" w:hAnsi="宋体" w:cs="宋体"/>
          <w:b w:val="0"/>
          <w:bCs w:val="0"/>
          <w:color w:val="auto"/>
          <w:szCs w:val="21"/>
          <w:highlight w:val="none"/>
          <w:lang w:val="en-US" w:eastAsia="zh-CN"/>
        </w:rPr>
        <w:t>进口产品投标</w:t>
      </w:r>
      <w:bookmarkEnd w:id="12"/>
      <w:r>
        <w:rPr>
          <w:rFonts w:hint="eastAsia" w:ascii="宋体" w:hAnsi="宋体" w:cs="宋体"/>
          <w:b w:val="0"/>
          <w:bCs w:val="0"/>
          <w:color w:val="auto"/>
          <w:szCs w:val="21"/>
          <w:highlight w:val="none"/>
          <w:lang w:val="en-US" w:eastAsia="zh-CN"/>
        </w:rPr>
        <w:t>。</w:t>
      </w:r>
    </w:p>
    <w:p w14:paraId="04E7DF7F">
      <w:pPr>
        <w:keepNext w:val="0"/>
        <w:keepLines w:val="0"/>
        <w:pageBreakBefore w:val="0"/>
        <w:widowControl w:val="0"/>
        <w:tabs>
          <w:tab w:val="left" w:pos="266"/>
        </w:tabs>
        <w:kinsoku/>
        <w:wordWrap/>
        <w:overflowPunct/>
        <w:topLinePunct w:val="0"/>
        <w:autoSpaceDE/>
        <w:autoSpaceDN/>
        <w:bidi w:val="0"/>
        <w:adjustRightInd/>
        <w:snapToGri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7"/>
      <w:bookmarkEnd w:id="8"/>
      <w:bookmarkEnd w:id="9"/>
      <w:bookmarkEnd w:id="10"/>
      <w:bookmarkEnd w:id="11"/>
    </w:p>
    <w:p w14:paraId="19B4AB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13" w:name="_Toc35393623"/>
      <w:bookmarkStart w:id="14" w:name="_Toc38985265"/>
      <w:bookmarkStart w:id="15" w:name="_Toc28359081"/>
      <w:bookmarkStart w:id="16" w:name="_Toc28359004"/>
      <w:bookmarkStart w:id="17" w:name="_Toc35393792"/>
      <w:r>
        <w:rPr>
          <w:rFonts w:hint="eastAsia" w:ascii="宋体" w:hAnsi="宋体" w:cs="宋体"/>
          <w:color w:val="auto"/>
          <w:szCs w:val="21"/>
          <w:highlight w:val="none"/>
        </w:rPr>
        <w:t>1.满足《中华人民共和国政府采购法》第二十二条规定，并提供下列材料：</w:t>
      </w:r>
    </w:p>
    <w:p w14:paraId="30FFA8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1.1法人或者其他组织的营业执照等证明文件，自然人的身份证明</w:t>
      </w:r>
      <w:r>
        <w:rPr>
          <w:rFonts w:hint="eastAsia" w:ascii="宋体" w:hAnsi="宋体" w:cs="宋体"/>
          <w:i/>
          <w:iCs/>
          <w:color w:val="auto"/>
          <w:szCs w:val="21"/>
          <w:highlight w:val="none"/>
          <w:u w:val="single"/>
          <w:lang w:eastAsia="zh-CN"/>
        </w:rPr>
        <w:t>；</w:t>
      </w:r>
    </w:p>
    <w:p w14:paraId="7E84DE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i/>
          <w:iCs/>
          <w:color w:val="auto"/>
          <w:szCs w:val="21"/>
          <w:highlight w:val="none"/>
          <w:u w:val="single"/>
        </w:rPr>
      </w:pPr>
      <w:r>
        <w:rPr>
          <w:rFonts w:hint="eastAsia" w:ascii="宋体" w:hAnsi="宋体" w:cs="宋体"/>
          <w:i/>
          <w:iCs/>
          <w:color w:val="auto"/>
          <w:szCs w:val="21"/>
          <w:highlight w:val="none"/>
          <w:u w:val="single"/>
        </w:rPr>
        <w:t>1.2 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p w14:paraId="579941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i/>
          <w:iCs/>
          <w:color w:val="auto"/>
          <w:szCs w:val="21"/>
          <w:highlight w:val="none"/>
          <w:u w:val="single"/>
          <w:lang w:eastAsia="zh-CN"/>
        </w:rPr>
      </w:pPr>
      <w:r>
        <w:rPr>
          <w:rFonts w:hint="eastAsia" w:ascii="宋体" w:hAnsi="宋体" w:cs="宋体"/>
          <w:i/>
          <w:iCs/>
          <w:color w:val="auto"/>
          <w:szCs w:val="21"/>
          <w:highlight w:val="none"/>
          <w:u w:val="single"/>
        </w:rPr>
        <w:t>1.3 上一年度的财务报告情况（</w:t>
      </w:r>
      <w:r>
        <w:rPr>
          <w:rFonts w:hint="eastAsia" w:ascii="宋体" w:hAnsi="宋体" w:cs="宋体"/>
          <w:b/>
          <w:bCs/>
          <w:i/>
          <w:iCs/>
          <w:color w:val="auto"/>
          <w:szCs w:val="21"/>
          <w:highlight w:val="none"/>
          <w:u w:val="single"/>
        </w:rPr>
        <w:t>成立不满一年</w:t>
      </w:r>
      <w:r>
        <w:rPr>
          <w:rFonts w:hint="eastAsia" w:ascii="宋体" w:hAnsi="宋体" w:cs="宋体"/>
          <w:b/>
          <w:bCs/>
          <w:i/>
          <w:iCs/>
          <w:color w:val="auto"/>
          <w:szCs w:val="21"/>
          <w:highlight w:val="none"/>
          <w:u w:val="single"/>
          <w:lang w:val="en-US" w:eastAsia="zh-CN"/>
        </w:rPr>
        <w:t>无</w:t>
      </w:r>
      <w:r>
        <w:rPr>
          <w:rFonts w:hint="eastAsia" w:ascii="宋体" w:hAnsi="宋体" w:cs="宋体"/>
          <w:b/>
          <w:bCs/>
          <w:i/>
          <w:iCs/>
          <w:color w:val="auto"/>
          <w:szCs w:val="21"/>
          <w:highlight w:val="none"/>
          <w:u w:val="single"/>
        </w:rPr>
        <w:t>需提供）</w:t>
      </w:r>
      <w:r>
        <w:rPr>
          <w:rFonts w:hint="eastAsia" w:ascii="宋体" w:hAnsi="宋体" w:cs="宋体"/>
          <w:b/>
          <w:bCs/>
          <w:i/>
          <w:iCs/>
          <w:color w:val="auto"/>
          <w:szCs w:val="21"/>
          <w:highlight w:val="none"/>
          <w:u w:val="single"/>
          <w:lang w:eastAsia="zh-CN"/>
        </w:rPr>
        <w:t>；</w:t>
      </w:r>
    </w:p>
    <w:p w14:paraId="2A27B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1.4 具备履行合同所必需的设备和专业技术能力的证明材料</w:t>
      </w:r>
      <w:r>
        <w:rPr>
          <w:rFonts w:hint="eastAsia" w:ascii="宋体" w:hAnsi="宋体" w:cs="宋体"/>
          <w:i/>
          <w:iCs/>
          <w:color w:val="auto"/>
          <w:szCs w:val="21"/>
          <w:highlight w:val="none"/>
          <w:u w:val="single"/>
          <w:lang w:eastAsia="zh-CN"/>
        </w:rPr>
        <w:t>；</w:t>
      </w:r>
    </w:p>
    <w:p w14:paraId="6C9705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1.5参加本次政府采购活动前3年内在经营活动中没有重大违法记录的书面声明</w:t>
      </w:r>
      <w:r>
        <w:rPr>
          <w:rFonts w:hint="eastAsia" w:ascii="宋体" w:hAnsi="宋体" w:cs="宋体"/>
          <w:i/>
          <w:iCs/>
          <w:color w:val="auto"/>
          <w:szCs w:val="21"/>
          <w:highlight w:val="none"/>
          <w:u w:val="single"/>
          <w:lang w:eastAsia="zh-CN"/>
        </w:rPr>
        <w:t>；</w:t>
      </w:r>
    </w:p>
    <w:p w14:paraId="060BF3C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bCs/>
          <w:i/>
          <w:iCs/>
          <w:color w:val="auto"/>
          <w:szCs w:val="21"/>
          <w:highlight w:val="none"/>
          <w:u w:val="single"/>
          <w:lang w:eastAsia="zh-CN"/>
        </w:rPr>
      </w:pPr>
      <w:r>
        <w:rPr>
          <w:rFonts w:hint="eastAsia" w:ascii="宋体" w:hAnsi="宋体" w:cs="宋体"/>
          <w:i/>
          <w:iCs/>
          <w:color w:val="auto"/>
          <w:szCs w:val="21"/>
          <w:highlight w:val="none"/>
          <w:u w:val="single"/>
        </w:rPr>
        <w:t>1.6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highlight w:val="none"/>
          <w:u w:val="single"/>
        </w:rPr>
        <w:t>（投标文件中无需提供证明材料）</w:t>
      </w:r>
      <w:r>
        <w:rPr>
          <w:rFonts w:hint="eastAsia" w:ascii="宋体" w:hAnsi="宋体" w:cs="宋体"/>
          <w:b/>
          <w:bCs/>
          <w:i/>
          <w:iCs/>
          <w:color w:val="auto"/>
          <w:szCs w:val="21"/>
          <w:highlight w:val="none"/>
          <w:u w:val="single"/>
          <w:lang w:eastAsia="zh-CN"/>
        </w:rPr>
        <w:t>；</w:t>
      </w:r>
    </w:p>
    <w:p w14:paraId="44FE14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1.7供应商信用承诺函</w:t>
      </w:r>
      <w:r>
        <w:rPr>
          <w:rFonts w:hint="eastAsia" w:ascii="宋体" w:hAnsi="宋体" w:cs="宋体"/>
          <w:i/>
          <w:iCs/>
          <w:color w:val="auto"/>
          <w:szCs w:val="21"/>
          <w:highlight w:val="none"/>
          <w:u w:val="single"/>
          <w:lang w:eastAsia="zh-CN"/>
        </w:rPr>
        <w:t>；</w:t>
      </w:r>
    </w:p>
    <w:p w14:paraId="61475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i/>
          <w:iCs/>
          <w:color w:val="auto"/>
          <w:szCs w:val="21"/>
          <w:highlight w:val="none"/>
          <w:u w:val="singl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r>
        <w:rPr>
          <w:rFonts w:hint="eastAsia" w:ascii="宋体" w:hAnsi="宋体" w:cs="宋体"/>
          <w:i/>
          <w:iCs/>
          <w:color w:val="auto"/>
          <w:szCs w:val="21"/>
          <w:highlight w:val="none"/>
          <w:u w:val="single"/>
          <w:lang w:val="en-US" w:eastAsia="zh-CN"/>
        </w:rPr>
        <w:t xml:space="preserve"> 无 </w:t>
      </w:r>
    </w:p>
    <w:p w14:paraId="49488BF7">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lang w:val="en-US" w:eastAsia="zh-CN"/>
        </w:rPr>
        <w:t xml:space="preserve"> </w:t>
      </w:r>
      <w:r>
        <w:rPr>
          <w:rFonts w:hint="eastAsia" w:ascii="宋体" w:hAnsi="宋体" w:cs="宋体"/>
          <w:i/>
          <w:iCs/>
          <w:color w:val="auto"/>
          <w:szCs w:val="21"/>
          <w:highlight w:val="none"/>
          <w:u w:val="single"/>
        </w:rPr>
        <w:t>无</w:t>
      </w:r>
      <w:r>
        <w:rPr>
          <w:rFonts w:hint="eastAsia" w:ascii="宋体" w:hAnsi="宋体" w:cs="宋体"/>
          <w:i/>
          <w:iCs/>
          <w:color w:val="auto"/>
          <w:szCs w:val="21"/>
          <w:highlight w:val="none"/>
          <w:u w:val="single"/>
          <w:lang w:val="en-US" w:eastAsia="zh-CN"/>
        </w:rPr>
        <w:t xml:space="preserve"> </w:t>
      </w:r>
    </w:p>
    <w:p w14:paraId="2822B02F">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三、获取招标文件</w:t>
      </w:r>
      <w:bookmarkEnd w:id="13"/>
      <w:bookmarkEnd w:id="14"/>
      <w:bookmarkEnd w:id="15"/>
      <w:bookmarkEnd w:id="16"/>
      <w:bookmarkEnd w:id="17"/>
    </w:p>
    <w:p w14:paraId="7939D5AA">
      <w:pPr>
        <w:spacing w:line="440" w:lineRule="exact"/>
        <w:ind w:firstLine="420"/>
        <w:rPr>
          <w:rFonts w:ascii="宋体" w:hAnsi="宋体" w:cs="宋体"/>
          <w:color w:val="auto"/>
          <w:szCs w:val="21"/>
          <w:highlight w:val="none"/>
        </w:rPr>
      </w:pPr>
      <w:bookmarkStart w:id="18" w:name="_Toc28359082"/>
      <w:bookmarkStart w:id="19" w:name="_Toc28359005"/>
      <w:bookmarkStart w:id="20" w:name="_Toc38985266"/>
      <w:bookmarkStart w:id="21" w:name="_Toc35393793"/>
      <w:bookmarkStart w:id="22" w:name="_Toc35393624"/>
      <w:r>
        <w:rPr>
          <w:rFonts w:hint="eastAsia" w:ascii="宋体" w:hAnsi="宋体" w:cs="宋体"/>
          <w:color w:val="auto"/>
          <w:szCs w:val="21"/>
          <w:highlight w:val="none"/>
        </w:rPr>
        <w:t>1.时间：自招标文件公告发布之日起5个工作日。5个工作日后仍可下载招标文件，但不作为供应商权益受到损害的证明材料和依据。</w:t>
      </w:r>
    </w:p>
    <w:p w14:paraId="0D3B69E9">
      <w:pPr>
        <w:spacing w:line="440" w:lineRule="exact"/>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2.获取地点：</w:t>
      </w:r>
      <w:r>
        <w:rPr>
          <w:rFonts w:hint="eastAsia" w:ascii="宋体" w:hAnsi="宋体" w:cs="宋体"/>
          <w:color w:val="auto"/>
          <w:szCs w:val="21"/>
          <w:highlight w:val="none"/>
          <w:lang w:eastAsia="zh-CN"/>
        </w:rPr>
        <w:t>“扬州大学附属医院网、江苏政府采购网”</w:t>
      </w:r>
    </w:p>
    <w:p w14:paraId="65CD66E6">
      <w:pPr>
        <w:spacing w:line="440" w:lineRule="exact"/>
        <w:ind w:firstLine="422"/>
        <w:rPr>
          <w:rFonts w:ascii="宋体" w:hAnsi="宋体" w:cs="宋体"/>
          <w:color w:val="auto"/>
          <w:szCs w:val="21"/>
          <w:highlight w:val="none"/>
        </w:rPr>
      </w:pPr>
      <w:r>
        <w:rPr>
          <w:rFonts w:hint="eastAsia" w:ascii="宋体" w:hAnsi="宋体" w:cs="宋体"/>
          <w:color w:val="auto"/>
          <w:szCs w:val="21"/>
          <w:highlight w:val="none"/>
        </w:rPr>
        <w:t>3.获取方式：自招标公告在“扬州大学附属医院网、江苏政府采购网”发布之日起5个工作日。招标文件在</w:t>
      </w:r>
      <w:r>
        <w:rPr>
          <w:rFonts w:hint="eastAsia" w:ascii="宋体" w:hAnsi="宋体" w:cs="宋体"/>
          <w:color w:val="auto"/>
          <w:szCs w:val="21"/>
          <w:highlight w:val="none"/>
          <w:lang w:eastAsia="zh-CN"/>
        </w:rPr>
        <w:t>“扬州大学附属医院网、</w:t>
      </w:r>
      <w:bookmarkStart w:id="77" w:name="_GoBack"/>
      <w:bookmarkEnd w:id="77"/>
      <w:r>
        <w:rPr>
          <w:rFonts w:hint="eastAsia" w:ascii="宋体" w:hAnsi="宋体" w:cs="宋体"/>
          <w:color w:val="auto"/>
          <w:szCs w:val="21"/>
          <w:highlight w:val="none"/>
          <w:lang w:eastAsia="zh-CN"/>
        </w:rPr>
        <w:t>江苏政府采购网”</w:t>
      </w:r>
      <w:r>
        <w:rPr>
          <w:rFonts w:hint="eastAsia" w:ascii="宋体" w:hAnsi="宋体" w:cs="宋体"/>
          <w:color w:val="auto"/>
          <w:szCs w:val="21"/>
          <w:highlight w:val="none"/>
        </w:rPr>
        <w:t>上下载，供应商如确定参加投标，请如实填写《供应商参加投标确认函》，填写打印后加盖公章，拍照或扫描发送至邮箱（电子邮箱：</w:t>
      </w:r>
      <w:r>
        <w:rPr>
          <w:rFonts w:hint="eastAsia" w:ascii="宋体" w:hAnsi="宋体" w:cs="宋体"/>
          <w:color w:val="auto"/>
          <w:szCs w:val="21"/>
          <w:highlight w:val="none"/>
          <w:lang w:val="en-US" w:eastAsia="zh-CN"/>
        </w:rPr>
        <w:t>jsdczbdl@163.com</w:t>
      </w:r>
      <w:r>
        <w:rPr>
          <w:rFonts w:hint="eastAsia" w:ascii="宋体" w:hAnsi="宋体" w:cs="宋体"/>
          <w:color w:val="auto"/>
          <w:szCs w:val="21"/>
          <w:highlight w:val="none"/>
        </w:rPr>
        <w:t>，邮件标题备注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企业全称+项目简称，联系电话：0514-</w:t>
      </w:r>
      <w:r>
        <w:rPr>
          <w:rFonts w:hint="eastAsia" w:ascii="宋体" w:hAnsi="宋体" w:cs="宋体"/>
          <w:color w:val="auto"/>
          <w:szCs w:val="21"/>
          <w:highlight w:val="none"/>
          <w:lang w:val="en-US" w:eastAsia="zh-CN"/>
        </w:rPr>
        <w:t>80550756</w:t>
      </w:r>
      <w:r>
        <w:rPr>
          <w:rFonts w:hint="eastAsia" w:ascii="宋体" w:hAnsi="宋体" w:cs="宋体"/>
          <w:color w:val="auto"/>
          <w:szCs w:val="21"/>
          <w:highlight w:val="none"/>
        </w:rPr>
        <w:t>）。如供应商未按上述要求去做，将自行承担所产生的风险。</w:t>
      </w:r>
    </w:p>
    <w:p w14:paraId="7A744B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四、提交投标文件</w:t>
      </w:r>
      <w:bookmarkEnd w:id="18"/>
      <w:bookmarkEnd w:id="19"/>
      <w:r>
        <w:rPr>
          <w:rFonts w:hint="eastAsia" w:ascii="宋体" w:hAnsi="宋体" w:cs="宋体"/>
          <w:b/>
          <w:bCs/>
          <w:color w:val="auto"/>
          <w:szCs w:val="21"/>
          <w:highlight w:val="none"/>
        </w:rPr>
        <w:t>截止时间和地点</w:t>
      </w:r>
      <w:bookmarkEnd w:id="20"/>
      <w:bookmarkEnd w:id="21"/>
      <w:bookmarkEnd w:id="22"/>
    </w:p>
    <w:p w14:paraId="1A435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09:30</w:t>
      </w:r>
      <w:r>
        <w:rPr>
          <w:rFonts w:hint="eastAsia" w:ascii="宋体" w:hAnsi="宋体" w:cs="宋体"/>
          <w:bCs/>
          <w:color w:val="auto"/>
          <w:szCs w:val="21"/>
          <w:highlight w:val="none"/>
        </w:rPr>
        <w:t>（北京时间）</w:t>
      </w:r>
    </w:p>
    <w:p w14:paraId="54C95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pacing w:val="-6"/>
          <w:szCs w:val="21"/>
          <w:highlight w:val="none"/>
          <w:u w:val="single"/>
        </w:rPr>
      </w:pPr>
      <w:r>
        <w:rPr>
          <w:rFonts w:hint="eastAsia" w:ascii="宋体" w:hAnsi="宋体" w:cs="宋体"/>
          <w:color w:val="auto"/>
          <w:szCs w:val="21"/>
          <w:highlight w:val="none"/>
        </w:rPr>
        <w:t>2.地点：</w:t>
      </w:r>
      <w:r>
        <w:rPr>
          <w:rFonts w:hint="eastAsia" w:ascii="宋体" w:hAnsi="宋体" w:cs="宋体"/>
          <w:color w:val="auto"/>
          <w:spacing w:val="-6"/>
          <w:szCs w:val="21"/>
          <w:highlight w:val="none"/>
          <w:u w:val="single"/>
          <w:lang w:val="en-US" w:eastAsia="zh-CN"/>
        </w:rPr>
        <w:t>江苏省鼎诚建设工程顾问有限公司开标室</w:t>
      </w:r>
      <w:r>
        <w:rPr>
          <w:rFonts w:hint="eastAsia" w:ascii="宋体" w:hAnsi="宋体" w:cs="宋体"/>
          <w:color w:val="auto"/>
          <w:spacing w:val="-6"/>
          <w:szCs w:val="21"/>
          <w:highlight w:val="none"/>
          <w:u w:val="single"/>
        </w:rPr>
        <w:t>（扬州市文昌西路450号国泰大厦1栋16楼）</w:t>
      </w:r>
    </w:p>
    <w:p w14:paraId="10141120">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color w:val="auto"/>
          <w:spacing w:val="-6"/>
          <w:szCs w:val="21"/>
          <w:highlight w:val="none"/>
          <w:u w:val="single"/>
        </w:rPr>
      </w:pPr>
      <w:r>
        <w:rPr>
          <w:rFonts w:hint="eastAsia" w:ascii="宋体" w:hAnsi="宋体" w:cs="宋体"/>
          <w:b/>
          <w:bCs/>
          <w:i/>
          <w:iCs/>
          <w:color w:val="auto"/>
          <w:szCs w:val="21"/>
          <w:highlight w:val="none"/>
          <w:u w:val="single"/>
        </w:rPr>
        <w:t>注：投标人须由法定代表人或其授权委托人现场参加投标并递交投标文件，否则投标文件不予接收。</w:t>
      </w:r>
      <w:r>
        <w:rPr>
          <w:rFonts w:hint="eastAsia" w:ascii="宋体" w:hAnsi="宋体" w:cs="宋体"/>
          <w:b/>
          <w:bCs/>
          <w:i/>
          <w:iCs/>
          <w:color w:val="auto"/>
          <w:szCs w:val="21"/>
          <w:highlight w:val="none"/>
          <w:u w:val="single"/>
          <w:lang w:val="en-US" w:eastAsia="zh-CN"/>
        </w:rPr>
        <w:t>开标</w:t>
      </w:r>
      <w:r>
        <w:rPr>
          <w:rFonts w:hint="eastAsia" w:ascii="宋体" w:hAnsi="宋体" w:cs="宋体"/>
          <w:b/>
          <w:bCs/>
          <w:i/>
          <w:iCs/>
          <w:color w:val="auto"/>
          <w:szCs w:val="21"/>
          <w:highlight w:val="none"/>
          <w:u w:val="single"/>
        </w:rPr>
        <w:t>现场核查法定代表人或授权委托人身份证原件。</w:t>
      </w:r>
    </w:p>
    <w:p w14:paraId="16943DFA">
      <w:pPr>
        <w:tabs>
          <w:tab w:val="left" w:pos="266"/>
        </w:tabs>
        <w:spacing w:line="440" w:lineRule="exact"/>
        <w:rPr>
          <w:rFonts w:ascii="宋体" w:hAnsi="宋体" w:cs="宋体"/>
          <w:b/>
          <w:bCs/>
          <w:color w:val="auto"/>
          <w:szCs w:val="21"/>
          <w:highlight w:val="none"/>
        </w:rPr>
      </w:pPr>
      <w:bookmarkStart w:id="23" w:name="_Toc28359093"/>
      <w:bookmarkStart w:id="24" w:name="_Toc28359016"/>
      <w:bookmarkStart w:id="25" w:name="_Toc35393633"/>
      <w:bookmarkStart w:id="26" w:name="_Toc35393802"/>
      <w:bookmarkStart w:id="27" w:name="_Toc35393794"/>
      <w:bookmarkStart w:id="28" w:name="_Toc35393625"/>
      <w:bookmarkStart w:id="29" w:name="_Toc38985267"/>
      <w:bookmarkStart w:id="30" w:name="_Toc28359084"/>
      <w:bookmarkStart w:id="31" w:name="_Toc28359007"/>
      <w:r>
        <w:rPr>
          <w:rFonts w:hint="eastAsia" w:ascii="宋体" w:hAnsi="宋体" w:cs="宋体"/>
          <w:b/>
          <w:bCs/>
          <w:color w:val="auto"/>
          <w:szCs w:val="21"/>
          <w:highlight w:val="none"/>
        </w:rPr>
        <w:t>五、开启</w:t>
      </w:r>
      <w:bookmarkEnd w:id="23"/>
      <w:bookmarkEnd w:id="24"/>
      <w:bookmarkEnd w:id="25"/>
      <w:bookmarkEnd w:id="26"/>
    </w:p>
    <w:p w14:paraId="0613EF72">
      <w:pPr>
        <w:spacing w:line="4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09:30</w:t>
      </w:r>
      <w:r>
        <w:rPr>
          <w:rFonts w:hint="eastAsia" w:ascii="宋体" w:hAnsi="宋体" w:cs="宋体"/>
          <w:bCs/>
          <w:color w:val="auto"/>
          <w:szCs w:val="21"/>
          <w:highlight w:val="none"/>
          <w:u w:val="single"/>
        </w:rPr>
        <w:t>（北京时间）</w:t>
      </w:r>
    </w:p>
    <w:p w14:paraId="69B3C47A">
      <w:pPr>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lang w:val="en-US" w:eastAsia="zh-CN"/>
        </w:rPr>
        <w:t>江苏省鼎诚建设工程顾问有限公司开标室</w:t>
      </w:r>
      <w:r>
        <w:rPr>
          <w:rFonts w:hint="eastAsia" w:ascii="宋体" w:hAnsi="宋体" w:cs="宋体"/>
          <w:color w:val="auto"/>
          <w:spacing w:val="-6"/>
          <w:szCs w:val="21"/>
          <w:highlight w:val="none"/>
          <w:u w:val="single"/>
        </w:rPr>
        <w:t>（扬州市文昌西路450号国泰大厦1栋16楼）</w:t>
      </w:r>
    </w:p>
    <w:p w14:paraId="3032C996">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六、公告期限</w:t>
      </w:r>
      <w:bookmarkEnd w:id="27"/>
      <w:bookmarkEnd w:id="28"/>
      <w:bookmarkEnd w:id="29"/>
      <w:bookmarkEnd w:id="30"/>
      <w:bookmarkEnd w:id="31"/>
    </w:p>
    <w:p w14:paraId="66EE7C87">
      <w:pPr>
        <w:spacing w:line="440" w:lineRule="exact"/>
        <w:ind w:firstLine="420"/>
        <w:rPr>
          <w:rFonts w:ascii="宋体" w:hAnsi="宋体" w:cs="宋体"/>
          <w:color w:val="auto"/>
          <w:szCs w:val="21"/>
          <w:highlight w:val="none"/>
        </w:rPr>
      </w:pPr>
      <w:bookmarkStart w:id="32" w:name="_Toc38985268"/>
      <w:bookmarkStart w:id="33" w:name="_Toc35393626"/>
      <w:bookmarkStart w:id="34" w:name="_Toc35393795"/>
      <w:r>
        <w:rPr>
          <w:rFonts w:hint="eastAsia" w:ascii="宋体" w:hAnsi="宋体" w:cs="宋体"/>
          <w:color w:val="auto"/>
          <w:szCs w:val="21"/>
          <w:highlight w:val="none"/>
        </w:rPr>
        <w:t>招标公告及招标文件公告期限为自本公告发布之日起5个工作日。</w:t>
      </w:r>
    </w:p>
    <w:p w14:paraId="3F0896B2">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七、其他补充事宜</w:t>
      </w:r>
      <w:bookmarkEnd w:id="32"/>
      <w:bookmarkEnd w:id="33"/>
      <w:bookmarkEnd w:id="34"/>
    </w:p>
    <w:p w14:paraId="5F1BBE77">
      <w:pPr>
        <w:spacing w:line="440" w:lineRule="exact"/>
        <w:ind w:firstLine="525" w:firstLineChars="250"/>
        <w:rPr>
          <w:rFonts w:ascii="宋体" w:hAnsi="宋体" w:cs="宋体"/>
          <w:color w:val="auto"/>
          <w:szCs w:val="21"/>
          <w:highlight w:val="none"/>
        </w:rPr>
      </w:pPr>
      <w:bookmarkStart w:id="35" w:name="_Toc35393796"/>
      <w:bookmarkStart w:id="36" w:name="_Toc35393627"/>
      <w:bookmarkStart w:id="37" w:name="_Toc28359008"/>
      <w:bookmarkStart w:id="38" w:name="_Toc38985269"/>
      <w:bookmarkStart w:id="39" w:name="_Toc28359085"/>
      <w:r>
        <w:rPr>
          <w:rFonts w:hint="eastAsia" w:ascii="宋体" w:hAnsi="宋体" w:cs="宋体"/>
          <w:color w:val="auto"/>
          <w:szCs w:val="21"/>
          <w:highlight w:val="none"/>
        </w:rPr>
        <w:t>7.1本次响应文件制作份数要求：</w:t>
      </w:r>
    </w:p>
    <w:p w14:paraId="274F2E6E">
      <w:pPr>
        <w:spacing w:line="440" w:lineRule="exact"/>
        <w:ind w:firstLine="527" w:firstLineChars="250"/>
        <w:rPr>
          <w:rFonts w:hint="eastAsia" w:ascii="宋体" w:hAnsi="宋体" w:cs="宋体"/>
          <w:b/>
          <w:bCs/>
          <w:color w:val="auto"/>
          <w:szCs w:val="21"/>
          <w:highlight w:val="none"/>
        </w:rPr>
      </w:pPr>
      <w:r>
        <w:rPr>
          <w:rFonts w:hint="eastAsia" w:ascii="宋体" w:hAnsi="宋体" w:cs="宋体"/>
          <w:b/>
          <w:bCs/>
          <w:color w:val="auto"/>
          <w:szCs w:val="21"/>
          <w:highlight w:val="none"/>
        </w:rPr>
        <w:t>供应商多采购包投标时，需按所投采购包号分别制作投标文件，投标文件正、副本封面均须标明所投采购包号，不同采购包号投标文件须单独密封。</w:t>
      </w:r>
    </w:p>
    <w:p w14:paraId="3715A44D">
      <w:pPr>
        <w:spacing w:line="44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纸质版一式柒份(一份正本，陆份副本) ，每份响应文件须清楚标明“正本”或“副本”；</w:t>
      </w:r>
      <w:r>
        <w:rPr>
          <w:rFonts w:hint="eastAsia" w:ascii="宋体" w:hAnsi="宋体" w:cs="宋体"/>
          <w:color w:val="auto"/>
          <w:szCs w:val="21"/>
          <w:highlight w:val="none"/>
        </w:rPr>
        <w:t>电子版投标文件壹份(一般应为U盘形式、随纸质正本文件一并提交)。当电子版文件和纸质正本文件不一致时，以纸质正本文件为准。电子版文件用于辅助评标和存档，供应商需承担前述不一致造成的不利后果。</w:t>
      </w:r>
    </w:p>
    <w:p w14:paraId="43D70F48">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7.2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7F7CB8BF">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7.3供应商对于投标产品的包装应按照“财办库〔2020〕123号《关于印发&lt;商品包装政府采购需求标准（试行）&gt;、&lt;快递包装政府采购需求标准（试行）&gt;的通知》”执行。</w:t>
      </w:r>
    </w:p>
    <w:p w14:paraId="7D51D9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八、本次招标联系方式</w:t>
      </w:r>
      <w:bookmarkEnd w:id="35"/>
      <w:bookmarkEnd w:id="36"/>
      <w:bookmarkEnd w:id="37"/>
      <w:bookmarkEnd w:id="38"/>
      <w:bookmarkEnd w:id="39"/>
    </w:p>
    <w:p w14:paraId="70F0C3FF">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6408439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扬州大学附属医院</w:t>
      </w:r>
    </w:p>
    <w:p w14:paraId="26167D53">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扬州市邗江中路368号</w:t>
      </w:r>
    </w:p>
    <w:p w14:paraId="139B28AC">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张</w:t>
      </w:r>
      <w:r>
        <w:rPr>
          <w:rFonts w:hint="eastAsia" w:ascii="宋体" w:hAnsi="宋体" w:cs="宋体"/>
          <w:color w:val="auto"/>
          <w:szCs w:val="21"/>
          <w:highlight w:val="none"/>
          <w:u w:val="single"/>
        </w:rPr>
        <w:t>老师</w:t>
      </w:r>
    </w:p>
    <w:p w14:paraId="5CBB6C60">
      <w:pPr>
        <w:spacing w:line="440" w:lineRule="exact"/>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bookmarkStart w:id="40" w:name="_Toc28359086"/>
      <w:bookmarkStart w:id="41" w:name="_Toc28359009"/>
      <w:r>
        <w:rPr>
          <w:rFonts w:hint="eastAsia" w:ascii="宋体" w:hAnsi="宋体" w:cs="宋体"/>
          <w:color w:val="auto"/>
          <w:szCs w:val="21"/>
          <w:highlight w:val="none"/>
          <w:u w:val="single"/>
          <w:lang w:val="en-US" w:eastAsia="zh-CN"/>
        </w:rPr>
        <w:t>0514-82099552</w:t>
      </w:r>
    </w:p>
    <w:p w14:paraId="0492328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2.代理机构信息</w:t>
      </w:r>
      <w:bookmarkEnd w:id="40"/>
      <w:bookmarkEnd w:id="41"/>
    </w:p>
    <w:p w14:paraId="736DB921">
      <w:pPr>
        <w:spacing w:line="440" w:lineRule="exact"/>
        <w:ind w:firstLine="420"/>
        <w:jc w:val="left"/>
        <w:rPr>
          <w:rFonts w:hint="default" w:ascii="宋体" w:hAnsi="宋体" w:eastAsia="宋体" w:cs="宋体"/>
          <w:color w:val="auto"/>
          <w:szCs w:val="21"/>
          <w:highlight w:val="none"/>
          <w:lang w:val="en-US" w:eastAsia="zh-CN"/>
        </w:rPr>
      </w:pPr>
      <w:bookmarkStart w:id="42" w:name="_Toc28359087"/>
      <w:bookmarkStart w:id="43" w:name="_Toc28359010"/>
      <w:r>
        <w:rPr>
          <w:rFonts w:hint="eastAsia" w:ascii="宋体" w:hAnsi="宋体" w:cs="宋体"/>
          <w:color w:val="auto"/>
          <w:szCs w:val="21"/>
          <w:highlight w:val="none"/>
        </w:rPr>
        <w:t>名称：</w:t>
      </w:r>
      <w:r>
        <w:rPr>
          <w:rFonts w:hint="eastAsia" w:ascii="宋体" w:hAnsi="宋体" w:cs="宋体"/>
          <w:color w:val="auto"/>
          <w:szCs w:val="21"/>
          <w:highlight w:val="none"/>
          <w:u w:val="single"/>
          <w:lang w:val="en-US" w:eastAsia="zh-CN"/>
        </w:rPr>
        <w:t>江苏省鼎诚建设工程顾问有限公司</w:t>
      </w:r>
    </w:p>
    <w:p w14:paraId="5EB1FEBC">
      <w:pPr>
        <w:spacing w:line="440" w:lineRule="exact"/>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u w:val="single"/>
          <w:lang w:val="en-US" w:eastAsia="zh-CN"/>
        </w:rPr>
        <w:t xml:space="preserve">扬州市文昌西路450号国泰大厦1栋16楼 </w:t>
      </w:r>
    </w:p>
    <w:p w14:paraId="2D0CDEEC">
      <w:pPr>
        <w:spacing w:line="440" w:lineRule="exact"/>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杨梅、张娜</w:t>
      </w:r>
    </w:p>
    <w:p w14:paraId="3D5C0A2E">
      <w:pPr>
        <w:spacing w:line="440" w:lineRule="exact"/>
        <w:ind w:firstLine="42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0514-</w:t>
      </w:r>
      <w:r>
        <w:rPr>
          <w:rFonts w:hint="eastAsia" w:ascii="宋体" w:hAnsi="宋体" w:cs="宋体"/>
          <w:color w:val="auto"/>
          <w:szCs w:val="21"/>
          <w:highlight w:val="none"/>
          <w:u w:val="single"/>
          <w:lang w:val="en-US" w:eastAsia="zh-CN"/>
        </w:rPr>
        <w:t>80550756</w:t>
      </w:r>
    </w:p>
    <w:bookmarkEnd w:id="42"/>
    <w:bookmarkEnd w:id="43"/>
    <w:p w14:paraId="0239385A">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九、其他</w:t>
      </w:r>
    </w:p>
    <w:p w14:paraId="4AEC8DCE">
      <w:pPr>
        <w:widowControl/>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1.潜在供应商对采购文件项目需求部分的询问、质疑请向采购人提出，由采购人负责答复。</w:t>
      </w:r>
    </w:p>
    <w:p w14:paraId="69CAEAF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本次招标不收取投标保证金。</w:t>
      </w:r>
    </w:p>
    <w:p w14:paraId="2FD9B2A2">
      <w:pPr>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3.有关本次招标的事项若存在变动或修改，敬请及时关注</w:t>
      </w:r>
      <w:r>
        <w:rPr>
          <w:rFonts w:hint="eastAsia" w:ascii="宋体" w:hAnsi="宋体" w:cs="宋体"/>
          <w:color w:val="auto"/>
          <w:szCs w:val="21"/>
          <w:highlight w:val="none"/>
          <w:lang w:eastAsia="zh-CN"/>
        </w:rPr>
        <w:t>“扬州大学附属医院网、江苏政府采购网”</w:t>
      </w:r>
      <w:r>
        <w:rPr>
          <w:rFonts w:hint="eastAsia" w:ascii="宋体" w:hAnsi="宋体" w:cs="宋体"/>
          <w:color w:val="auto"/>
          <w:szCs w:val="21"/>
          <w:highlight w:val="none"/>
        </w:rPr>
        <w:t>发布的信息或更正公告。</w:t>
      </w:r>
    </w:p>
    <w:p w14:paraId="5078CB49">
      <w:pPr>
        <w:spacing w:line="440" w:lineRule="exact"/>
        <w:ind w:firstLine="422" w:firstLineChars="200"/>
        <w:rPr>
          <w:color w:val="auto"/>
          <w:highlight w:val="none"/>
        </w:rPr>
      </w:pPr>
      <w:r>
        <w:rPr>
          <w:rFonts w:hint="eastAsia" w:ascii="宋体" w:hAnsi="宋体" w:cs="宋体"/>
          <w:b/>
          <w:i/>
          <w:iCs/>
          <w:color w:val="auto"/>
          <w:szCs w:val="21"/>
          <w:highlight w:val="none"/>
          <w:u w:val="single"/>
        </w:rPr>
        <w:t>4.本项目招标文件中所有斜体下划线部分为实质性条款，如不满足，则为无效投标。</w:t>
      </w:r>
      <w:bookmarkStart w:id="44" w:name="_Toc55204178"/>
    </w:p>
    <w:p w14:paraId="596FE5E1">
      <w:pPr>
        <w:pStyle w:val="2"/>
        <w:spacing w:line="360" w:lineRule="auto"/>
        <w:jc w:val="center"/>
        <w:rPr>
          <w:rFonts w:ascii="宋体" w:hAnsi="宋体"/>
          <w:color w:val="auto"/>
          <w:szCs w:val="36"/>
          <w:highlight w:val="none"/>
        </w:rPr>
        <w:sectPr>
          <w:footerReference r:id="rId5" w:type="default"/>
          <w:pgSz w:w="11906" w:h="16838"/>
          <w:pgMar w:top="1440" w:right="1800" w:bottom="1440" w:left="1800" w:header="1191" w:footer="992" w:gutter="0"/>
          <w:pgNumType w:fmt="decimal" w:start="1"/>
          <w:cols w:space="1701" w:num="1"/>
          <w:docGrid w:linePitch="360" w:charSpace="0"/>
        </w:sectPr>
      </w:pPr>
    </w:p>
    <w:p w14:paraId="1C8D8B2E">
      <w:pPr>
        <w:pStyle w:val="2"/>
        <w:spacing w:line="360" w:lineRule="auto"/>
        <w:jc w:val="center"/>
        <w:rPr>
          <w:rFonts w:ascii="宋体" w:hAnsi="宋体"/>
          <w:color w:val="auto"/>
          <w:szCs w:val="36"/>
          <w:highlight w:val="none"/>
        </w:rPr>
      </w:pPr>
      <w:r>
        <w:rPr>
          <w:rFonts w:hint="eastAsia" w:ascii="宋体" w:hAnsi="宋体"/>
          <w:color w:val="auto"/>
          <w:szCs w:val="36"/>
          <w:highlight w:val="none"/>
        </w:rPr>
        <w:t>第二章 投标人须知</w:t>
      </w:r>
      <w:bookmarkEnd w:id="44"/>
    </w:p>
    <w:p w14:paraId="59A184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1、招标方式</w:t>
      </w:r>
    </w:p>
    <w:p w14:paraId="4CB52EB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 本次招标采取公开招标方式，本招标文件仅适用于JSZC-320000-YZDC-G2025-0041号项目。</w:t>
      </w:r>
    </w:p>
    <w:p w14:paraId="108069C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2、投标人</w:t>
      </w:r>
    </w:p>
    <w:p w14:paraId="7961288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 本招标文件中“供应商”，即“投标人”，是指参加投标竞争，并符合招标文件规定资格条件的法人、其他组织或者自然人。</w:t>
      </w:r>
    </w:p>
    <w:p w14:paraId="60F525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2.2合格的投标人</w:t>
      </w:r>
    </w:p>
    <w:p w14:paraId="2D6F30A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2.2.1 满足招标公告中供应商的资格条件要求的规定。</w:t>
      </w:r>
    </w:p>
    <w:p w14:paraId="20891E0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2.2.2 满足本文件实质性条款的规定。</w:t>
      </w:r>
    </w:p>
    <w:p w14:paraId="42ABAD6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3、适用法律</w:t>
      </w:r>
    </w:p>
    <w:p w14:paraId="00BAE72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 本次招标及由此产生的合同受中华人民共和国有关的法律法规制约和保护。</w:t>
      </w:r>
    </w:p>
    <w:p w14:paraId="00BE5FC8">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14:paraId="211AEDB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投标人应自行承担所有与参加投标有关的费用，无论投标过程中的做法和结果如何，代理机构在任何情况下均无义务和责任承担这些费用。</w:t>
      </w:r>
    </w:p>
    <w:p w14:paraId="22BA5BFF">
      <w:pPr>
        <w:spacing w:line="440" w:lineRule="exact"/>
        <w:ind w:firstLine="422"/>
        <w:jc w:val="left"/>
        <w:rPr>
          <w:rFonts w:ascii="宋体" w:hAnsi="宋体" w:cs="宋体"/>
          <w:color w:val="auto"/>
          <w:szCs w:val="21"/>
          <w:highlight w:val="none"/>
        </w:rPr>
      </w:pPr>
      <w:r>
        <w:rPr>
          <w:rFonts w:hint="eastAsia" w:ascii="宋体" w:hAnsi="宋体" w:cs="宋体"/>
          <w:b/>
          <w:bCs/>
          <w:i/>
          <w:iCs/>
          <w:color w:val="auto"/>
          <w:szCs w:val="21"/>
          <w:highlight w:val="none"/>
          <w:u w:val="single"/>
        </w:rPr>
        <w:t>4.2本次采购（招标）不收取文件工本费。</w:t>
      </w:r>
    </w:p>
    <w:p w14:paraId="30622378">
      <w:pPr>
        <w:spacing w:line="440" w:lineRule="exact"/>
        <w:ind w:firstLine="422"/>
        <w:jc w:val="left"/>
        <w:rPr>
          <w:rFonts w:ascii="宋体" w:hAnsi="宋体" w:cs="宋体"/>
          <w:color w:val="auto"/>
          <w:szCs w:val="21"/>
          <w:highlight w:val="none"/>
        </w:rPr>
      </w:pPr>
      <w:r>
        <w:rPr>
          <w:rFonts w:hint="eastAsia" w:ascii="宋体" w:hAnsi="宋体" w:cs="宋体"/>
          <w:color w:val="auto"/>
          <w:szCs w:val="21"/>
          <w:highlight w:val="none"/>
        </w:rPr>
        <w:t>4.3本次采购由中标供应商在领取中标通知书前缴纳代理服务费，</w:t>
      </w:r>
      <w:r>
        <w:rPr>
          <w:rFonts w:hint="eastAsia" w:ascii="宋体" w:hAnsi="宋体" w:cs="宋体"/>
          <w:b/>
          <w:bCs/>
          <w:color w:val="auto"/>
          <w:szCs w:val="21"/>
          <w:highlight w:val="none"/>
        </w:rPr>
        <w:t>（具体计算方式详见下表）。</w:t>
      </w:r>
    </w:p>
    <w:tbl>
      <w:tblPr>
        <w:tblStyle w:val="23"/>
        <w:tblW w:w="8111" w:type="dxa"/>
        <w:jc w:val="center"/>
        <w:tblLayout w:type="fixed"/>
        <w:tblCellMar>
          <w:top w:w="0" w:type="dxa"/>
          <w:left w:w="108" w:type="dxa"/>
          <w:bottom w:w="0" w:type="dxa"/>
          <w:right w:w="108" w:type="dxa"/>
        </w:tblCellMar>
      </w:tblPr>
      <w:tblGrid>
        <w:gridCol w:w="1847"/>
        <w:gridCol w:w="2214"/>
        <w:gridCol w:w="1879"/>
        <w:gridCol w:w="2171"/>
      </w:tblGrid>
      <w:tr w14:paraId="6F06C308">
        <w:tblPrEx>
          <w:tblCellMar>
            <w:top w:w="0" w:type="dxa"/>
            <w:left w:w="108" w:type="dxa"/>
            <w:bottom w:w="0" w:type="dxa"/>
            <w:right w:w="108"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6E6C9">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项目</w:t>
            </w:r>
          </w:p>
          <w:p w14:paraId="1C44CAF3">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类型</w:t>
            </w: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AC7F4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100万以下</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CF95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100万以上</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5BC9D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代理服务费最高限价</w:t>
            </w:r>
          </w:p>
        </w:tc>
      </w:tr>
      <w:tr w14:paraId="4544E885">
        <w:tblPrEx>
          <w:tblCellMar>
            <w:top w:w="0" w:type="dxa"/>
            <w:left w:w="108" w:type="dxa"/>
            <w:bottom w:w="0" w:type="dxa"/>
            <w:right w:w="108"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F9E9E">
            <w:pPr>
              <w:widowControl/>
              <w:spacing w:line="440" w:lineRule="exact"/>
              <w:jc w:val="center"/>
              <w:rPr>
                <w:rFonts w:ascii="宋体" w:hAnsi="宋体" w:cs="宋体"/>
                <w:color w:val="auto"/>
                <w:spacing w:val="40"/>
                <w:szCs w:val="21"/>
                <w:highlight w:val="none"/>
              </w:rPr>
            </w:pP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73FC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5B95D88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4C4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1A2FBA3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（折扣率）</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1A24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7028873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r>
      <w:tr w14:paraId="3698DCB9">
        <w:tblPrEx>
          <w:tblCellMar>
            <w:top w:w="0" w:type="dxa"/>
            <w:left w:w="108" w:type="dxa"/>
            <w:bottom w:w="0" w:type="dxa"/>
            <w:right w:w="108"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4C73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w:t>
            </w:r>
          </w:p>
        </w:tc>
        <w:tc>
          <w:tcPr>
            <w:tcW w:w="221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7055FBA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1500元</w:t>
            </w:r>
          </w:p>
        </w:tc>
        <w:tc>
          <w:tcPr>
            <w:tcW w:w="1879"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1DCB2B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CA104B4">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8000元</w:t>
            </w:r>
          </w:p>
        </w:tc>
      </w:tr>
      <w:tr w14:paraId="28F79F88">
        <w:tblPrEx>
          <w:tblCellMar>
            <w:top w:w="0" w:type="dxa"/>
            <w:left w:w="108" w:type="dxa"/>
            <w:bottom w:w="0" w:type="dxa"/>
            <w:right w:w="108"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10FDE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w:t>
            </w:r>
          </w:p>
        </w:tc>
        <w:tc>
          <w:tcPr>
            <w:tcW w:w="2214"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3D1C755F">
            <w:pPr>
              <w:widowControl/>
              <w:spacing w:line="440" w:lineRule="exact"/>
              <w:jc w:val="center"/>
              <w:rPr>
                <w:rFonts w:ascii="宋体" w:hAnsi="宋体" w:cs="宋体"/>
                <w:color w:val="auto"/>
                <w:szCs w:val="21"/>
                <w:highlight w:val="none"/>
              </w:rPr>
            </w:pPr>
          </w:p>
        </w:tc>
        <w:tc>
          <w:tcPr>
            <w:tcW w:w="187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6ADA4">
            <w:pPr>
              <w:widowControl/>
              <w:spacing w:line="440" w:lineRule="exact"/>
              <w:jc w:val="center"/>
              <w:rPr>
                <w:rFonts w:ascii="宋体" w:hAnsi="宋体" w:cs="宋体"/>
                <w:color w:val="auto"/>
                <w:szCs w:val="21"/>
                <w:highlight w:val="none"/>
              </w:rPr>
            </w:pPr>
          </w:p>
        </w:tc>
        <w:tc>
          <w:tcPr>
            <w:tcW w:w="2171"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1A04286B">
            <w:pPr>
              <w:widowControl/>
              <w:spacing w:line="440" w:lineRule="exact"/>
              <w:jc w:val="center"/>
              <w:rPr>
                <w:rFonts w:ascii="宋体" w:hAnsi="宋体" w:cs="宋体"/>
                <w:color w:val="auto"/>
                <w:szCs w:val="21"/>
                <w:highlight w:val="none"/>
              </w:rPr>
            </w:pPr>
          </w:p>
        </w:tc>
      </w:tr>
      <w:tr w14:paraId="063B31A3">
        <w:tblPrEx>
          <w:tblCellMar>
            <w:top w:w="0" w:type="dxa"/>
            <w:left w:w="108" w:type="dxa"/>
            <w:bottom w:w="0" w:type="dxa"/>
            <w:right w:w="108"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7075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2214"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F75E498">
            <w:pPr>
              <w:widowControl/>
              <w:spacing w:line="440" w:lineRule="exact"/>
              <w:jc w:val="center"/>
              <w:rPr>
                <w:rFonts w:ascii="宋体" w:hAnsi="宋体" w:cs="宋体"/>
                <w:color w:val="auto"/>
                <w:szCs w:val="21"/>
                <w:highlight w:val="none"/>
              </w:rPr>
            </w:pP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3DD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BABA605">
            <w:pPr>
              <w:widowControl/>
              <w:spacing w:line="440" w:lineRule="exact"/>
              <w:jc w:val="center"/>
              <w:rPr>
                <w:rFonts w:ascii="宋体" w:hAnsi="宋体" w:cs="宋体"/>
                <w:color w:val="auto"/>
                <w:szCs w:val="21"/>
                <w:highlight w:val="none"/>
              </w:rPr>
            </w:pPr>
          </w:p>
        </w:tc>
      </w:tr>
    </w:tbl>
    <w:p w14:paraId="54C7EC2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基准费率表</w:t>
      </w:r>
    </w:p>
    <w:tbl>
      <w:tblPr>
        <w:tblStyle w:val="23"/>
        <w:tblW w:w="8141" w:type="dxa"/>
        <w:jc w:val="center"/>
        <w:tblLayout w:type="fixed"/>
        <w:tblCellMar>
          <w:top w:w="0" w:type="dxa"/>
          <w:left w:w="0" w:type="dxa"/>
          <w:bottom w:w="0" w:type="dxa"/>
          <w:right w:w="0" w:type="dxa"/>
        </w:tblCellMar>
      </w:tblPr>
      <w:tblGrid>
        <w:gridCol w:w="2864"/>
        <w:gridCol w:w="1759"/>
        <w:gridCol w:w="1759"/>
        <w:gridCol w:w="1759"/>
      </w:tblGrid>
      <w:tr w14:paraId="2078001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84C6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中标（成交）金额（万元）</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1C6E9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DBA48F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6CE10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14:paraId="441AE343">
        <w:tblPrEx>
          <w:tblCellMar>
            <w:top w:w="0" w:type="dxa"/>
            <w:left w:w="0" w:type="dxa"/>
            <w:bottom w:w="0" w:type="dxa"/>
            <w:right w:w="0" w:type="dxa"/>
          </w:tblCellMar>
        </w:tblPrEx>
        <w:trPr>
          <w:trHeight w:val="374"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1FAD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341B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A22C7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8DB33B">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59CE535D">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FBC4B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B38B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60E02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EBA82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69F4C0E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CC9FD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30A04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E1F5F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B703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5B1A0C8A">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13AC6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28205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3AE5C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A711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34701F0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8322C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5000-1亿</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62B0F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6DF36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C952B0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379C2CF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84B75C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AEB3F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35CE4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B054A1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1A49AEA2">
      <w:pPr>
        <w:spacing w:line="360" w:lineRule="auto"/>
        <w:ind w:firstLine="420" w:firstLineChars="200"/>
        <w:rPr>
          <w:rFonts w:ascii="宋体" w:hAnsi="宋体"/>
          <w:color w:val="auto"/>
          <w:highlight w:val="none"/>
        </w:rPr>
      </w:pPr>
      <w:r>
        <w:rPr>
          <w:rFonts w:ascii="宋体" w:hAnsi="宋体"/>
          <w:color w:val="auto"/>
          <w:highlight w:val="none"/>
        </w:rPr>
        <w:t>（1）代理服务费以人民币支付；</w:t>
      </w:r>
    </w:p>
    <w:p w14:paraId="139E509B">
      <w:pPr>
        <w:spacing w:line="360" w:lineRule="auto"/>
        <w:ind w:firstLine="420" w:firstLineChars="200"/>
        <w:rPr>
          <w:rFonts w:ascii="宋体" w:hAnsi="宋体"/>
          <w:color w:val="auto"/>
          <w:highlight w:val="none"/>
        </w:rPr>
      </w:pPr>
      <w:r>
        <w:rPr>
          <w:rFonts w:ascii="宋体" w:hAnsi="宋体"/>
          <w:color w:val="auto"/>
          <w:highlight w:val="none"/>
        </w:rPr>
        <w:t>（2）代理服务费一次性以电汇、转账等非现金形式支付；</w:t>
      </w:r>
    </w:p>
    <w:p w14:paraId="6CEBA063">
      <w:pPr>
        <w:spacing w:line="360" w:lineRule="auto"/>
        <w:ind w:firstLine="420" w:firstLineChars="200"/>
        <w:rPr>
          <w:rFonts w:ascii="宋体" w:hAnsi="宋体" w:cstheme="minorEastAsia"/>
          <w:color w:val="auto"/>
          <w:szCs w:val="21"/>
          <w:highlight w:val="none"/>
        </w:rPr>
      </w:pPr>
      <w:r>
        <w:rPr>
          <w:rFonts w:ascii="宋体" w:hAnsi="宋体"/>
          <w:color w:val="auto"/>
          <w:highlight w:val="none"/>
        </w:rPr>
        <w:t>（3）招标代理服务费不在投标报价中单列，包含在投标总价中，由中标单位支付给代理机构。</w:t>
      </w:r>
    </w:p>
    <w:p w14:paraId="766994B5">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专家评审费按扬财购【2020】40 号文《关于</w:t>
      </w:r>
      <w:r>
        <w:rPr>
          <w:rFonts w:hint="eastAsia" w:ascii="宋体" w:hAnsi="宋体"/>
          <w:color w:val="auto"/>
          <w:highlight w:val="none"/>
        </w:rPr>
        <w:t>进一步</w:t>
      </w:r>
      <w:r>
        <w:rPr>
          <w:rFonts w:ascii="宋体" w:hAnsi="宋体"/>
          <w:color w:val="auto"/>
          <w:highlight w:val="none"/>
        </w:rPr>
        <w:t>规范扬州市政府采购专家评审费标准的通知》执行。</w:t>
      </w:r>
    </w:p>
    <w:p w14:paraId="097722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5、招标文件的约束力</w:t>
      </w:r>
    </w:p>
    <w:p w14:paraId="48F119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 投标人一旦参加本项目采购活动，即被认为接受了本招标文件的规定和约束。</w:t>
      </w:r>
    </w:p>
    <w:p w14:paraId="4012E03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6、招标文件构成</w:t>
      </w:r>
    </w:p>
    <w:p w14:paraId="54E2B32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 招标文件有以下部分组成：</w:t>
      </w:r>
    </w:p>
    <w:p w14:paraId="7F8C423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（1）招标公告</w:t>
      </w:r>
    </w:p>
    <w:p w14:paraId="6D67B53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（2）投标人须知</w:t>
      </w:r>
      <w:r>
        <w:rPr>
          <w:rFonts w:hint="eastAsia" w:ascii="宋体" w:hAnsi="宋体"/>
          <w:bCs/>
          <w:color w:val="auto"/>
          <w:szCs w:val="21"/>
          <w:highlight w:val="none"/>
        </w:rPr>
        <w:tab/>
      </w:r>
    </w:p>
    <w:p w14:paraId="2CB74A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（3）合同条款及格式</w:t>
      </w:r>
    </w:p>
    <w:p w14:paraId="58DBC9D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（4）项目需求</w:t>
      </w:r>
    </w:p>
    <w:p w14:paraId="2CAED0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（5）评标方法与评标标准</w:t>
      </w:r>
    </w:p>
    <w:p w14:paraId="71CC87A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（6）投标文件格式</w:t>
      </w:r>
    </w:p>
    <w:p w14:paraId="65F309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请仔细检查招标文件是否齐全，如有缺漏请立即与代理机构联系解决。</w:t>
      </w:r>
    </w:p>
    <w:p w14:paraId="0214D44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5D93520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 招标文件如果要求供应商提交备选投标方案的，供应商可以提交备选方案；否则，备选方案将被拒绝。</w:t>
      </w:r>
    </w:p>
    <w:p w14:paraId="75D716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BB2502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7、招标文件的澄清</w:t>
      </w:r>
    </w:p>
    <w:p w14:paraId="1DA8642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7.1 任何要求对招标文件进行澄清的投标人，应在投标截止日期的十日前按招标公告中的通讯地址，以书面形式通知代理机构。</w:t>
      </w:r>
    </w:p>
    <w:p w14:paraId="19DA5B4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8、招标文件的修改</w:t>
      </w:r>
    </w:p>
    <w:p w14:paraId="59897C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8.1 在投标截止时间前，代理机构可以对招标文件进行修改。</w:t>
      </w:r>
    </w:p>
    <w:p w14:paraId="4160482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8.2代理机构在招标文件要求提交投标文件截止时间前，有权按照法定要求推迟投标截止时间和开标时间。</w:t>
      </w:r>
    </w:p>
    <w:p w14:paraId="01294F5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8.3招标文件的修改将在</w:t>
      </w:r>
      <w:r>
        <w:rPr>
          <w:rFonts w:hint="eastAsia" w:ascii="宋体" w:hAnsi="宋体" w:cs="宋体"/>
          <w:color w:val="auto"/>
          <w:szCs w:val="21"/>
          <w:highlight w:val="none"/>
          <w:lang w:eastAsia="zh-CN"/>
        </w:rPr>
        <w:t>“扬州大学附属医院网、江苏政府采购网”</w:t>
      </w:r>
      <w:r>
        <w:rPr>
          <w:rFonts w:hint="eastAsia" w:ascii="宋体" w:hAnsi="宋体"/>
          <w:bCs/>
          <w:color w:val="auto"/>
          <w:szCs w:val="21"/>
          <w:highlight w:val="none"/>
        </w:rPr>
        <w:t>公布，补充文件将作为招标文件的组成部分，并对投标人具有约束力。</w:t>
      </w:r>
    </w:p>
    <w:p w14:paraId="722CFCD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9、投标文件的语言、度量衡单位、货币</w:t>
      </w:r>
    </w:p>
    <w:p w14:paraId="6D1708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9.1投标人提交的投标文件以及投标人与代理机构就有关投标的所有来往通知、函件和文件均应使用简体中文。</w:t>
      </w:r>
    </w:p>
    <w:p w14:paraId="05A920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9.2 除技术性能另有规定外，投标文件所使用的度量衡单位，均须采用国家法定计量单位。</w:t>
      </w:r>
    </w:p>
    <w:p w14:paraId="2190DD1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9.3投标人应使用人民币报价。</w:t>
      </w:r>
    </w:p>
    <w:p w14:paraId="28A575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10、投标文件构成</w:t>
      </w:r>
    </w:p>
    <w:p w14:paraId="585935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10.1投标文件由以下部分组成</w:t>
      </w:r>
    </w:p>
    <w:p w14:paraId="522B3D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（1）资格审查响应对照表</w:t>
      </w:r>
    </w:p>
    <w:p w14:paraId="686311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（2）符合性审查响应对照表</w:t>
      </w:r>
    </w:p>
    <w:p w14:paraId="2D136A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（3）非实质性响应对照表</w:t>
      </w:r>
    </w:p>
    <w:p w14:paraId="179725D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（4）开标一览表 </w:t>
      </w:r>
    </w:p>
    <w:p w14:paraId="6123175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（5）分项报价表 </w:t>
      </w:r>
    </w:p>
    <w:p w14:paraId="02A5899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（6）技术参数响应及偏离表 </w:t>
      </w:r>
    </w:p>
    <w:p w14:paraId="4C6CB31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（7）商务条款响应及偏离表 </w:t>
      </w:r>
    </w:p>
    <w:p w14:paraId="24CAC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（8）其他 （投标人认为有必要提供的声明和文件，如有自拟并自行添加）</w:t>
      </w:r>
    </w:p>
    <w:p w14:paraId="345C09C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10.2投标人应当根据招标文件要求编制投标文件，投标文件应对招标文件提出的要求和条件作出响应，并在相应的投标文件中逐条标明满足与否。</w:t>
      </w:r>
    </w:p>
    <w:p w14:paraId="3880CBC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11、证明投标人资格及符合招标文件规定的文件</w:t>
      </w:r>
    </w:p>
    <w:p w14:paraId="28E3B90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11.1投标人应按要求提交资格证明文件及符合招标文件规定的文件。</w:t>
      </w:r>
    </w:p>
    <w:p w14:paraId="138628C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11.2投标人应提交证明其有资格参加投标和中标后有能力独立履行合同的文件。</w:t>
      </w:r>
    </w:p>
    <w:p w14:paraId="7F0AFD4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11.3投标人除必须具有履行合同所需提供的产品或服务的能力外，还必须具备相应的财务、技术方面的能力。</w:t>
      </w:r>
    </w:p>
    <w:p w14:paraId="21241557">
      <w:pPr>
        <w:spacing w:line="360" w:lineRule="auto"/>
        <w:rPr>
          <w:rFonts w:ascii="宋体" w:hAnsi="宋体"/>
          <w:bCs/>
          <w:color w:val="auto"/>
          <w:szCs w:val="21"/>
          <w:highlight w:val="none"/>
        </w:rPr>
      </w:pPr>
      <w:r>
        <w:rPr>
          <w:rFonts w:hint="eastAsia" w:ascii="宋体" w:hAnsi="宋体"/>
          <w:bCs/>
          <w:color w:val="auto"/>
          <w:szCs w:val="21"/>
          <w:highlight w:val="none"/>
        </w:rPr>
        <w:t xml:space="preserve">    11.4投标人应提交根据合同要求提供的证明服务质量合格以及符合招标文件规定的证明文件。</w:t>
      </w:r>
    </w:p>
    <w:p w14:paraId="2B8B966C">
      <w:pPr>
        <w:spacing w:line="360" w:lineRule="auto"/>
        <w:rPr>
          <w:rFonts w:ascii="宋体" w:hAnsi="宋体"/>
          <w:bCs/>
          <w:color w:val="auto"/>
          <w:szCs w:val="21"/>
          <w:highlight w:val="none"/>
        </w:rPr>
      </w:pPr>
      <w:r>
        <w:rPr>
          <w:rFonts w:hint="eastAsia" w:ascii="宋体" w:hAnsi="宋体"/>
          <w:bCs/>
          <w:color w:val="auto"/>
          <w:szCs w:val="21"/>
          <w:highlight w:val="none"/>
        </w:rPr>
        <w:t xml:space="preserve">    11.5证明投标人所提供服务与招标文件的要求相一致的文件可以是手册、图纸、文字资料和数据。</w:t>
      </w:r>
    </w:p>
    <w:p w14:paraId="24CF6E5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12、投标配置与报价表</w:t>
      </w:r>
    </w:p>
    <w:p w14:paraId="717075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 投标人应按照招标文件规定格式填报投标配置与报价表，在表中标明所提供的设备品牌或服务名称、规格、型号、</w:t>
      </w:r>
      <w:r>
        <w:rPr>
          <w:rFonts w:hint="eastAsia" w:ascii="宋体" w:hAnsi="宋体"/>
          <w:bCs/>
          <w:color w:val="auto"/>
          <w:szCs w:val="21"/>
          <w:highlight w:val="none"/>
          <w:lang w:val="en-US" w:eastAsia="zh-CN"/>
        </w:rPr>
        <w:t>生产企业或授权企业</w:t>
      </w:r>
      <w:r>
        <w:rPr>
          <w:rFonts w:hint="eastAsia" w:ascii="宋体" w:hAnsi="宋体"/>
          <w:bCs/>
          <w:color w:val="auto"/>
          <w:szCs w:val="21"/>
          <w:highlight w:val="none"/>
        </w:rPr>
        <w:t>、主要部件型号及其功能的中文说明和供货期。每项货物和服务等只允许有一个报价，任何有选择的报价将不予接受(如有备选配件，备选配件的报价不属于选择的报价)。</w:t>
      </w:r>
    </w:p>
    <w:p w14:paraId="6194AB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12.2 标的物</w:t>
      </w:r>
    </w:p>
    <w:p w14:paraId="6EAB234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采购人需求的服务供应、安装，调试及有关技术服务等。</w:t>
      </w:r>
    </w:p>
    <w:p w14:paraId="453421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12.3有关费用处理</w:t>
      </w:r>
    </w:p>
    <w:p w14:paraId="749F7D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201D9C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12.4其它费用处理</w:t>
      </w:r>
    </w:p>
    <w:p w14:paraId="1BE254F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招标文件未列明，而投标人认为必需的费用也需列入报价。</w:t>
      </w:r>
    </w:p>
    <w:p w14:paraId="3E86BA5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12.5投标货币</w:t>
      </w:r>
    </w:p>
    <w:p w14:paraId="0E646C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投标文件中的服务单价和总价无特殊规定的采用人民币报价，以元为单位标注。招标文件中另有规定的按规定执行。</w:t>
      </w:r>
    </w:p>
    <w:p w14:paraId="04B8BF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12.6 投标配置与报价表上的价格应按下列方式分开填写：</w:t>
      </w:r>
    </w:p>
    <w:p w14:paraId="4951D2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12D387F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2、项目单价按投标配置及报价表中要求填报。</w:t>
      </w:r>
    </w:p>
    <w:p w14:paraId="02DB964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13、技术参数响应及偏离表、商务条款响应及偏离表及投标货物说明</w:t>
      </w:r>
    </w:p>
    <w:p w14:paraId="41885A1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 对招标文件中的技术与商务条款要求逐项作出响应或偏离，并说明原因；</w:t>
      </w:r>
    </w:p>
    <w:p w14:paraId="2249C4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 提供参加本项目类似案例简介；</w:t>
      </w:r>
    </w:p>
    <w:p w14:paraId="4E1943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13.3 培训计划；</w:t>
      </w:r>
    </w:p>
    <w:p w14:paraId="0386B69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13.4 详细阐述所投货物的主要组成部分、功能设计、实现思路及关键技术；</w:t>
      </w:r>
    </w:p>
    <w:p w14:paraId="78BE0E7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13.5 投标人认为需要的其他技术文件或说明。</w:t>
      </w:r>
    </w:p>
    <w:p w14:paraId="5B790F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14、服务承诺及售后服务机构、人员的情况介绍</w:t>
      </w:r>
    </w:p>
    <w:p w14:paraId="61D2C1C7">
      <w:pPr>
        <w:spacing w:line="360" w:lineRule="auto"/>
        <w:rPr>
          <w:rFonts w:ascii="宋体" w:hAnsi="宋体"/>
          <w:bCs/>
          <w:color w:val="auto"/>
          <w:szCs w:val="21"/>
          <w:highlight w:val="none"/>
        </w:rPr>
      </w:pPr>
      <w:r>
        <w:rPr>
          <w:rFonts w:hint="eastAsia" w:ascii="宋体" w:hAnsi="宋体"/>
          <w:bCs/>
          <w:color w:val="auto"/>
          <w:szCs w:val="21"/>
          <w:highlight w:val="none"/>
        </w:rPr>
        <w:t xml:space="preserve">    14.1投标人的服务承诺应按不低于招标文件中商务要求的标准。</w:t>
      </w:r>
    </w:p>
    <w:p w14:paraId="0CCAF2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14.2提供投标人有关售后服务的管理制度、售后服务机构的分布情况、售后服务人员的数量、素质、技术水平及售后服务的反应能力。</w:t>
      </w:r>
    </w:p>
    <w:p w14:paraId="44B18A0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15、投标函和开标一览表</w:t>
      </w:r>
    </w:p>
    <w:p w14:paraId="17CD04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15.1 投标人应按照招标文件中提供的格式完整、正确填写投标函、开标一览表。</w:t>
      </w:r>
    </w:p>
    <w:p w14:paraId="27C160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15.2 开标一览表中的价格应与投标文件中报价表中的价格一致，如不一致，不作为无效投标处理，但评标时按开标一览表中价格为准。</w:t>
      </w:r>
    </w:p>
    <w:p w14:paraId="5EF261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16、投标有效期</w:t>
      </w:r>
    </w:p>
    <w:p w14:paraId="3DE5B6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 投标有效期为开标之日起六十（60）天。投标有效期比规定短的将被视为非响应性投标而予以拒绝。</w:t>
      </w:r>
    </w:p>
    <w:p w14:paraId="15FD8AD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B2CA849">
      <w:pPr>
        <w:spacing w:line="360" w:lineRule="auto"/>
        <w:ind w:firstLine="422" w:firstLineChars="200"/>
        <w:rPr>
          <w:rFonts w:ascii="宋体" w:hAnsi="宋体"/>
          <w:b/>
          <w:color w:val="auto"/>
          <w:szCs w:val="21"/>
          <w:highlight w:val="none"/>
        </w:rPr>
      </w:pPr>
      <w:bookmarkStart w:id="45" w:name="_Toc462564084"/>
      <w:bookmarkStart w:id="46" w:name="_Toc20823297"/>
      <w:bookmarkStart w:id="47" w:name="_Toc16938541"/>
      <w:bookmarkStart w:id="48" w:name="_Toc513029225"/>
      <w:r>
        <w:rPr>
          <w:rFonts w:hint="eastAsia" w:ascii="宋体" w:hAnsi="宋体"/>
          <w:b/>
          <w:color w:val="auto"/>
          <w:szCs w:val="21"/>
          <w:highlight w:val="none"/>
        </w:rPr>
        <w:t>17、</w:t>
      </w:r>
      <w:bookmarkEnd w:id="45"/>
      <w:bookmarkEnd w:id="46"/>
      <w:bookmarkEnd w:id="47"/>
      <w:bookmarkEnd w:id="48"/>
      <w:bookmarkStart w:id="49" w:name="_Toc513029226"/>
      <w:bookmarkStart w:id="50" w:name="_Toc16938542"/>
      <w:bookmarkStart w:id="51" w:name="_Toc20823298"/>
      <w:r>
        <w:rPr>
          <w:rFonts w:hint="eastAsia" w:ascii="宋体" w:hAnsi="宋体"/>
          <w:b/>
          <w:color w:val="auto"/>
          <w:szCs w:val="21"/>
          <w:highlight w:val="none"/>
        </w:rPr>
        <w:t>投标文件份数和签署</w:t>
      </w:r>
    </w:p>
    <w:p w14:paraId="4507158B">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17.1</w:t>
      </w:r>
      <w:r>
        <w:rPr>
          <w:rFonts w:hint="eastAsia" w:ascii="宋体" w:hAnsi="宋体"/>
          <w:bCs/>
          <w:color w:val="auto"/>
          <w:szCs w:val="21"/>
          <w:highlight w:val="none"/>
        </w:rPr>
        <w:t>投标人应严格按照招标公告和招标文件要求的份数准备投标文件，每份投标文件须清楚地标明“正本”或“副本”字样。一旦正本和副本不符，以正本为准。</w:t>
      </w:r>
    </w:p>
    <w:p w14:paraId="6092222C">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17.2投标文件正本中，按照文件中要求提供复印件和原件。文字材料需打印或用不褪色墨水书写。投标文件的正本须经法定代表人或授权代表签署和加盖投标人公章。 本采购文件所表述（指定）的公章是指法定名称章，不包括合同专用章、业务专用章等印章。</w:t>
      </w:r>
    </w:p>
    <w:p w14:paraId="53A9C41A">
      <w:pPr>
        <w:spacing w:line="360" w:lineRule="auto"/>
        <w:ind w:firstLine="420" w:firstLineChars="200"/>
        <w:rPr>
          <w:rFonts w:ascii="宋体" w:hAnsi="宋体"/>
          <w:color w:val="auto"/>
          <w:highlight w:val="none"/>
        </w:rPr>
      </w:pPr>
      <w:r>
        <w:rPr>
          <w:rFonts w:hint="eastAsia" w:ascii="宋体" w:hAnsi="宋体"/>
          <w:color w:val="auto"/>
          <w:szCs w:val="21"/>
          <w:highlight w:val="none"/>
        </w:rPr>
        <w:t>17.3</w:t>
      </w:r>
      <w:r>
        <w:rPr>
          <w:rFonts w:hint="eastAsia" w:ascii="宋体" w:hAnsi="宋体"/>
          <w:bCs/>
          <w:color w:val="auto"/>
          <w:szCs w:val="21"/>
          <w:highlight w:val="none"/>
        </w:rPr>
        <w:t xml:space="preserve"> 除投标人对错处做必要修改外，投标文件不得行间插字、涂改或增删。如有修改错漏处，必须由法定代表人或授权代表签字或盖章。</w:t>
      </w:r>
    </w:p>
    <w:p w14:paraId="362B083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18、投标文件的密封和标记</w:t>
      </w:r>
    </w:p>
    <w:p w14:paraId="26957EE9">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18.1</w:t>
      </w:r>
      <w:r>
        <w:rPr>
          <w:rFonts w:hint="eastAsia" w:ascii="宋体" w:hAnsi="宋体"/>
          <w:bCs/>
          <w:color w:val="auto"/>
          <w:szCs w:val="21"/>
          <w:highlight w:val="none"/>
        </w:rPr>
        <w:t>投标人应将投标文件正本和所有副本密封，不论投标人中标与否，投标文件均不退回。</w:t>
      </w:r>
    </w:p>
    <w:p w14:paraId="1BA7E28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 密封的投标文件应：</w:t>
      </w:r>
    </w:p>
    <w:p w14:paraId="5C6ADFE9">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18.2.1 注明投标人名称，如因标注不清而产生的后果由投标人自负。按招标公告中注明的地址送达；</w:t>
      </w:r>
    </w:p>
    <w:p w14:paraId="637543FD">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18.2.2注明投标项目名称、</w:t>
      </w:r>
      <w:r>
        <w:rPr>
          <w:rFonts w:hint="eastAsia" w:ascii="宋体" w:hAnsi="宋体"/>
          <w:b/>
          <w:bCs/>
          <w:color w:val="auto"/>
          <w:szCs w:val="21"/>
          <w:highlight w:val="none"/>
          <w:lang w:val="en-US" w:eastAsia="zh-CN"/>
        </w:rPr>
        <w:t>项目</w:t>
      </w:r>
      <w:r>
        <w:rPr>
          <w:rFonts w:hint="eastAsia" w:ascii="宋体" w:hAnsi="宋体"/>
          <w:b/>
          <w:bCs/>
          <w:color w:val="auto"/>
          <w:szCs w:val="21"/>
          <w:highlight w:val="none"/>
        </w:rPr>
        <w:t>编号及包号。</w:t>
      </w:r>
    </w:p>
    <w:p w14:paraId="09D9B68A">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18.2.3未按要求密封和加写标记，代理机构对误投或过早启封概不负责。对由此造成提前开封的投标文件，代理机构将予以拒绝，作无效投标处理。</w:t>
      </w:r>
    </w:p>
    <w:p w14:paraId="0FEC34C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19、投标截止日期</w:t>
      </w:r>
      <w:bookmarkEnd w:id="49"/>
      <w:bookmarkEnd w:id="50"/>
      <w:bookmarkEnd w:id="51"/>
    </w:p>
    <w:p w14:paraId="7343B470">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19.1</w:t>
      </w:r>
      <w:r>
        <w:rPr>
          <w:rFonts w:hint="eastAsia" w:ascii="宋体" w:hAnsi="宋体"/>
          <w:bCs/>
          <w:color w:val="auto"/>
          <w:szCs w:val="21"/>
          <w:highlight w:val="none"/>
        </w:rPr>
        <w:t xml:space="preserve"> 代理机构收到投标文件的时间不得迟于招标公告中规定的截止时间。</w:t>
      </w:r>
    </w:p>
    <w:p w14:paraId="1D8A1328">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19.2</w:t>
      </w:r>
      <w:r>
        <w:rPr>
          <w:rFonts w:hint="eastAsia" w:ascii="宋体" w:hAnsi="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3D3CF531">
      <w:pPr>
        <w:spacing w:line="360" w:lineRule="auto"/>
        <w:ind w:firstLine="422" w:firstLineChars="200"/>
        <w:rPr>
          <w:rFonts w:ascii="宋体" w:hAnsi="宋体"/>
          <w:b/>
          <w:color w:val="auto"/>
          <w:szCs w:val="21"/>
          <w:highlight w:val="none"/>
        </w:rPr>
      </w:pPr>
      <w:bookmarkStart w:id="52" w:name="_Toc16938543"/>
      <w:bookmarkStart w:id="53" w:name="_Toc20823299"/>
      <w:bookmarkStart w:id="54" w:name="_Toc513029227"/>
      <w:r>
        <w:rPr>
          <w:rFonts w:hint="eastAsia" w:ascii="宋体" w:hAnsi="宋体"/>
          <w:b/>
          <w:color w:val="auto"/>
          <w:szCs w:val="21"/>
          <w:highlight w:val="none"/>
        </w:rPr>
        <w:t>20、投标文件</w:t>
      </w:r>
      <w:bookmarkEnd w:id="52"/>
      <w:bookmarkEnd w:id="53"/>
      <w:bookmarkEnd w:id="54"/>
      <w:r>
        <w:rPr>
          <w:rFonts w:hint="eastAsia" w:ascii="宋体" w:hAnsi="宋体"/>
          <w:b/>
          <w:color w:val="auto"/>
          <w:szCs w:val="21"/>
          <w:highlight w:val="none"/>
        </w:rPr>
        <w:t>的拒收</w:t>
      </w:r>
    </w:p>
    <w:p w14:paraId="7A9DCD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20.1代理机构拒绝接收在其规定的投标截止时间后递交的任何投标文件。</w:t>
      </w:r>
    </w:p>
    <w:p w14:paraId="638E1892">
      <w:pPr>
        <w:spacing w:line="360" w:lineRule="auto"/>
        <w:ind w:firstLine="422" w:firstLineChars="200"/>
        <w:rPr>
          <w:rFonts w:ascii="宋体" w:hAnsi="宋体"/>
          <w:b/>
          <w:color w:val="auto"/>
          <w:szCs w:val="21"/>
          <w:highlight w:val="none"/>
        </w:rPr>
      </w:pPr>
      <w:bookmarkStart w:id="55" w:name="_Toc513029228"/>
      <w:bookmarkStart w:id="56" w:name="_Toc20823300"/>
      <w:bookmarkStart w:id="57" w:name="_Toc16938544"/>
      <w:r>
        <w:rPr>
          <w:rFonts w:hint="eastAsia" w:ascii="宋体" w:hAnsi="宋体"/>
          <w:b/>
          <w:color w:val="auto"/>
          <w:szCs w:val="21"/>
          <w:highlight w:val="none"/>
        </w:rPr>
        <w:t>21、投标文件的撤回和修改</w:t>
      </w:r>
      <w:bookmarkEnd w:id="55"/>
      <w:bookmarkEnd w:id="56"/>
      <w:bookmarkEnd w:id="57"/>
    </w:p>
    <w:p w14:paraId="141630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w:t>
      </w:r>
      <w:r>
        <w:rPr>
          <w:rFonts w:hint="eastAsia" w:ascii="宋体" w:hAnsi="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olor w:val="auto"/>
          <w:szCs w:val="21"/>
          <w:highlight w:val="none"/>
        </w:rPr>
        <w:t>通知代理机构，否则，代理机构将拒绝。</w:t>
      </w:r>
    </w:p>
    <w:p w14:paraId="1DE76A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w:t>
      </w:r>
      <w:r>
        <w:rPr>
          <w:rFonts w:hint="eastAsia" w:ascii="宋体" w:hAnsi="宋体"/>
          <w:bCs/>
          <w:color w:val="auto"/>
          <w:szCs w:val="21"/>
          <w:highlight w:val="none"/>
        </w:rPr>
        <w:t xml:space="preserve"> 投标人的修改或撤回文件应按规定进行编制、密封、标记和发送，并应在封套上加注“修改”或“撤回”字样。</w:t>
      </w:r>
      <w:r>
        <w:rPr>
          <w:rFonts w:hint="eastAsia" w:ascii="宋体" w:hAnsi="宋体"/>
          <w:color w:val="auto"/>
          <w:szCs w:val="21"/>
          <w:highlight w:val="none"/>
        </w:rPr>
        <w:t>上述补充或修改若涉及投标报价，必须注明“最后唯一报价”字样，否则将视为有选择的报价。修改文件必须在投标截止时间前送达代理机构。</w:t>
      </w:r>
    </w:p>
    <w:p w14:paraId="6436F537">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21.3</w:t>
      </w:r>
      <w:r>
        <w:rPr>
          <w:rFonts w:hint="eastAsia" w:ascii="宋体" w:hAnsi="宋体"/>
          <w:bCs/>
          <w:color w:val="auto"/>
          <w:szCs w:val="21"/>
          <w:highlight w:val="none"/>
        </w:rPr>
        <w:t xml:space="preserve"> 在投标截止时间之后，投标人不得对其投标文件作任何修改。</w:t>
      </w:r>
    </w:p>
    <w:p w14:paraId="4F3DCB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21.4</w:t>
      </w:r>
      <w:r>
        <w:rPr>
          <w:rFonts w:hint="eastAsia" w:ascii="宋体" w:hAnsi="宋体"/>
          <w:bCs/>
          <w:color w:val="auto"/>
          <w:szCs w:val="21"/>
          <w:highlight w:val="none"/>
        </w:rPr>
        <w:t xml:space="preserve"> 在投标截止时间至招标文件中规定的投标有效期满之间的这段时间内，投标人不得撤回其投标。</w:t>
      </w:r>
    </w:p>
    <w:p w14:paraId="665DF86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22、开标</w:t>
      </w:r>
    </w:p>
    <w:p w14:paraId="6AF6BD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w:t>
      </w:r>
      <w:r>
        <w:rPr>
          <w:rFonts w:hint="eastAsia" w:ascii="宋体" w:hAnsi="宋体"/>
          <w:bCs/>
          <w:color w:val="auto"/>
          <w:szCs w:val="21"/>
          <w:highlight w:val="none"/>
        </w:rPr>
        <w:t xml:space="preserve"> 代理机构将在招标公告中规定的时间和地点组织公开开标</w:t>
      </w:r>
      <w:r>
        <w:rPr>
          <w:rFonts w:hint="eastAsia" w:ascii="宋体" w:hAnsi="宋体"/>
          <w:color w:val="auto"/>
          <w:szCs w:val="21"/>
          <w:highlight w:val="none"/>
        </w:rPr>
        <w:t>。投标人应委派携带有效证件的代表准时参加，参加开标的代表需签名以证明其出席。投标人未参加开标的，视同认可开标结果。</w:t>
      </w:r>
    </w:p>
    <w:p w14:paraId="0AA9FD09">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22.2</w:t>
      </w:r>
      <w:r>
        <w:rPr>
          <w:rFonts w:hint="eastAsia" w:ascii="宋体" w:hAnsi="宋体"/>
          <w:color w:val="auto"/>
          <w:szCs w:val="21"/>
          <w:highlight w:val="none"/>
        </w:rPr>
        <w:t>开标仪式由代理机构组织，采购人代表、公证员（如有）、监委、投标人代表等参加。</w:t>
      </w:r>
    </w:p>
    <w:p w14:paraId="0C8B093E">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22.3</w:t>
      </w:r>
      <w:r>
        <w:rPr>
          <w:rFonts w:hint="eastAsia" w:ascii="宋体" w:hAnsi="宋体"/>
          <w:bCs/>
          <w:color w:val="auto"/>
          <w:szCs w:val="21"/>
          <w:highlight w:val="none"/>
        </w:rPr>
        <w:t>按照规定同意撤回的投标文件将不予开封。</w:t>
      </w:r>
    </w:p>
    <w:p w14:paraId="33D69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329AD1E0">
      <w:pPr>
        <w:spacing w:line="360" w:lineRule="auto"/>
        <w:rPr>
          <w:rFonts w:ascii="宋体" w:hAnsi="宋体"/>
          <w:color w:val="auto"/>
          <w:szCs w:val="21"/>
          <w:highlight w:val="none"/>
        </w:rPr>
      </w:pPr>
      <w:r>
        <w:rPr>
          <w:rFonts w:hint="eastAsia" w:ascii="宋体" w:hAnsi="宋体"/>
          <w:color w:val="auto"/>
          <w:szCs w:val="21"/>
          <w:highlight w:val="none"/>
        </w:rPr>
        <w:t xml:space="preserve">    22.5 代理机构将指定专人负责开标记录并存档备查，各投标人需仔细核对开标纪录相关内容并签字确认。</w:t>
      </w:r>
    </w:p>
    <w:p w14:paraId="3D07DB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22.6 投标人在报价时不允许采用选择性报价，否则将被视为无效投标。</w:t>
      </w:r>
    </w:p>
    <w:p w14:paraId="749773A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23、评标委员会</w:t>
      </w:r>
    </w:p>
    <w:p w14:paraId="5EE8AE98">
      <w:pPr>
        <w:spacing w:line="360" w:lineRule="auto"/>
        <w:rPr>
          <w:rFonts w:ascii="宋体" w:hAnsi="宋体"/>
          <w:bCs/>
          <w:color w:val="auto"/>
          <w:szCs w:val="21"/>
          <w:highlight w:val="none"/>
        </w:rPr>
      </w:pPr>
      <w:r>
        <w:rPr>
          <w:rFonts w:hint="eastAsia" w:ascii="宋体" w:hAnsi="宋体"/>
          <w:bCs/>
          <w:color w:val="auto"/>
          <w:szCs w:val="21"/>
          <w:highlight w:val="none"/>
        </w:rPr>
        <w:t xml:space="preserve">    23.1 开标后，代理机构将立即组织评标委员会（以下简称评委会）进行评标。</w:t>
      </w:r>
    </w:p>
    <w:p w14:paraId="21115060">
      <w:pPr>
        <w:spacing w:line="360" w:lineRule="auto"/>
        <w:rPr>
          <w:rFonts w:ascii="宋体" w:hAnsi="宋体"/>
          <w:bCs/>
          <w:color w:val="auto"/>
          <w:szCs w:val="21"/>
          <w:highlight w:val="none"/>
        </w:rPr>
      </w:pPr>
      <w:r>
        <w:rPr>
          <w:rFonts w:hint="eastAsia" w:ascii="宋体" w:hAnsi="宋体"/>
          <w:bCs/>
          <w:color w:val="auto"/>
          <w:szCs w:val="21"/>
          <w:highlight w:val="none"/>
        </w:rPr>
        <w:t xml:space="preserve">    23.2 评委会由采购人代表和有关技术、经济等方面的专家组成，且人员构成符合政府采购有关规定。</w:t>
      </w:r>
    </w:p>
    <w:p w14:paraId="1125BDF4">
      <w:pPr>
        <w:spacing w:line="360" w:lineRule="auto"/>
        <w:rPr>
          <w:rFonts w:ascii="宋体" w:hAnsi="宋体"/>
          <w:bCs/>
          <w:color w:val="auto"/>
          <w:szCs w:val="21"/>
          <w:highlight w:val="none"/>
        </w:rPr>
      </w:pPr>
      <w:r>
        <w:rPr>
          <w:rFonts w:hint="eastAsia" w:ascii="宋体" w:hAnsi="宋体"/>
          <w:bCs/>
          <w:color w:val="auto"/>
          <w:szCs w:val="21"/>
          <w:highlight w:val="none"/>
        </w:rPr>
        <w:t xml:space="preserve">    23.3评委会独立工作，负责评审所有投标文件并确定中标候选人。</w:t>
      </w:r>
    </w:p>
    <w:p w14:paraId="08BB605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24、评标过程的保密与公正</w:t>
      </w:r>
    </w:p>
    <w:p w14:paraId="1A87A5E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24.1公开开标后，直至签订合同之日止，凡是与审查、澄清、评价和比较投标的有关资料以及授标建议等，采购人、评委、代理机构工作人员均不得向投标人或与评标无关的其他人员透露。</w:t>
      </w:r>
    </w:p>
    <w:p w14:paraId="56861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24.2在评标过程中，投标人不得以任何行为影响评标过程，否则其投标文件将被作为无效投标文件。</w:t>
      </w:r>
    </w:p>
    <w:p w14:paraId="1E66B9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24.3 在评标期间，代理机构将设专门工作人员与投标人联系。</w:t>
      </w:r>
    </w:p>
    <w:p w14:paraId="2C804A6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24.4 代理机构和评委会不向未中标的投标人解释未中标原因，也不公布评标过程中的相关细节。</w:t>
      </w:r>
    </w:p>
    <w:p w14:paraId="389D6A8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24.5 </w:t>
      </w:r>
      <w:r>
        <w:rPr>
          <w:rFonts w:hint="eastAsia" w:ascii="宋体" w:hAnsi="宋体"/>
          <w:color w:val="auto"/>
          <w:szCs w:val="21"/>
          <w:highlight w:val="none"/>
        </w:rPr>
        <w:t>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14:paraId="32281B4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25、投标的澄清</w:t>
      </w:r>
    </w:p>
    <w:p w14:paraId="2DA1F3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25.1评标期间，为有助于对投标文件的审查、评价和比较，评委会有权以书面形式要求投标人对其投标文件进行澄清，但并非对每个投标人都作澄清要求。</w:t>
      </w:r>
    </w:p>
    <w:p w14:paraId="3E171F81">
      <w:pPr>
        <w:spacing w:line="360" w:lineRule="auto"/>
        <w:rPr>
          <w:rFonts w:ascii="宋体" w:hAnsi="宋体"/>
          <w:color w:val="auto"/>
          <w:szCs w:val="21"/>
          <w:highlight w:val="none"/>
        </w:rPr>
      </w:pPr>
      <w:r>
        <w:rPr>
          <w:rFonts w:hint="eastAsia" w:ascii="宋体" w:hAnsi="宋体"/>
          <w:color w:val="auto"/>
          <w:szCs w:val="21"/>
          <w:highlight w:val="none"/>
        </w:rPr>
        <w:t xml:space="preserve">    25.2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342FF2EC">
      <w:pPr>
        <w:spacing w:line="360" w:lineRule="auto"/>
        <w:rPr>
          <w:rFonts w:ascii="宋体" w:hAnsi="宋体"/>
          <w:bCs/>
          <w:color w:val="auto"/>
          <w:szCs w:val="21"/>
          <w:highlight w:val="none"/>
        </w:rPr>
      </w:pPr>
      <w:r>
        <w:rPr>
          <w:rFonts w:hint="eastAsia" w:ascii="宋体" w:hAnsi="宋体"/>
          <w:color w:val="auto"/>
          <w:szCs w:val="21"/>
          <w:highlight w:val="none"/>
        </w:rPr>
        <w:t xml:space="preserve">    25.3 接到评委会澄清要求的投标人如未按规定做出澄清，其风险由投标人自行承担。</w:t>
      </w:r>
    </w:p>
    <w:p w14:paraId="6A58A75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26、对投标文件的初审</w:t>
      </w:r>
    </w:p>
    <w:p w14:paraId="0791885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26.1投标文件初审分为资格审查和符合性审查。</w:t>
      </w:r>
    </w:p>
    <w:p w14:paraId="7403CB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26.1.1资格审查：依据法律法规和招标文件的规定，由采购人对投标文件中的资格证明文件进行审查。并将审查结论以书面形式向评委会反馈。</w:t>
      </w:r>
    </w:p>
    <w:p w14:paraId="2D18337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4ED98EE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6F66867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26.1.2符合性检查：依据招标文件的规定，由评委会从投标文件的有效性、完整性和对招标文件的响应程度进行审查，以确定是否对招标文件的实质性要求作出响应。</w:t>
      </w:r>
    </w:p>
    <w:p w14:paraId="172876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26.1.3 未通过资格审查或符合性审查的投标人，代理机构将告知未通过资格审查或符合性审查的原因，评审结束后，代理机构将不再告知未通过资格审查或符合性审查的原因。</w:t>
      </w:r>
    </w:p>
    <w:p w14:paraId="25DD37C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26.2</w:t>
      </w:r>
      <w:r>
        <w:rPr>
          <w:rFonts w:hint="eastAsia" w:ascii="宋体" w:hAnsi="宋体"/>
          <w:color w:val="auto"/>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58FE5D24">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highlight w:val="none"/>
        </w:rPr>
        <w:t>评委决定投标文件的响应性只根据投标文件本身的内容，而不寻求外部的证据。</w:t>
      </w:r>
    </w:p>
    <w:p w14:paraId="2B2FEB2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26.3如果投标文件实质上没有响应招标文件的要求，评委会将予以拒绝，投标人不得通过修改或撤销不合要求的偏离或保留而使其投标成为实质性响应的投标。</w:t>
      </w:r>
    </w:p>
    <w:p w14:paraId="215A1A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26.4评委会将对确定为实质性响应的投标进行进一步审核，看其是否有计算上或累加上的算术错误，修正错误的原则如下：</w:t>
      </w:r>
    </w:p>
    <w:p w14:paraId="2E1DD89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（1）投标文件中开标一览表内容与投标文件中相应内容不一致的，以开标一览表为准。</w:t>
      </w:r>
    </w:p>
    <w:p w14:paraId="2BA184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（2）大写金额与小写金额不一致的，以大写金额为准。</w:t>
      </w:r>
    </w:p>
    <w:p w14:paraId="28C8180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（3）单价金额小数点或者百分比有明显错位的，以开标一览表的总价为准，并修改单价。</w:t>
      </w:r>
    </w:p>
    <w:p w14:paraId="362DE4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（4）总价金额与按单价汇总金额不一致的，以单价金额计算结果为准。</w:t>
      </w:r>
    </w:p>
    <w:p w14:paraId="140CFD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同时出现两种以上错误的，按照前款规定的顺序修正。</w:t>
      </w:r>
    </w:p>
    <w:p w14:paraId="00C835B5">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26.5评委会将按上述修正错误的方法调整投标文件中的投标报价，调整后的价格应对投标人具有约束力。如果投标人不接受修正后的价格，则其投标将被拒绝。</w:t>
      </w:r>
    </w:p>
    <w:p w14:paraId="3746B9C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26.6评委会将允许修正投标文件中不构成重大偏离的、微小的、非正规的、不一致的或不规则的地方，但这些修改不能影响任何投标人相应的名次排列。</w:t>
      </w:r>
    </w:p>
    <w:p w14:paraId="5B60081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0A6177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615E08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若有效投标人不足三家视为废标。</w:t>
      </w:r>
    </w:p>
    <w:p w14:paraId="341923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26.8 投标人在开、评标全过程中应保持通讯畅通，并安排专人与代理机构及评委会联系。</w:t>
      </w:r>
    </w:p>
    <w:p w14:paraId="6F5EAE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27、无效投标、废标及投标人不足三家的处理</w:t>
      </w:r>
    </w:p>
    <w:p w14:paraId="37E572F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.1无效投标条款</w:t>
      </w:r>
    </w:p>
    <w:p w14:paraId="68A27A52">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.1.1未按要求交纳投标保证金的；</w:t>
      </w:r>
    </w:p>
    <w:p w14:paraId="6023BA74">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.1.2未按照招标文件规定要求密封、签署、盖章的；</w:t>
      </w:r>
    </w:p>
    <w:p w14:paraId="20785C9A">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.1.3投标人在报价时采用选择性报价；</w:t>
      </w:r>
    </w:p>
    <w:p w14:paraId="48D9DB0D">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.1.4投标人不具备招标文件中规定资格要求的；</w:t>
      </w:r>
    </w:p>
    <w:p w14:paraId="61869D81">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.1.5投标人的报价超过了采购预算或最高限价的；</w:t>
      </w:r>
    </w:p>
    <w:p w14:paraId="721664A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.1.6未通过符合性检查的；</w:t>
      </w:r>
    </w:p>
    <w:p w14:paraId="7E7B2F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27.1.7不符合招标文件中规定的其他实质性要求和条件的（</w:t>
      </w:r>
      <w:r>
        <w:rPr>
          <w:rFonts w:hint="eastAsia" w:ascii="宋体" w:hAnsi="宋体"/>
          <w:bCs/>
          <w:i/>
          <w:iCs/>
          <w:color w:val="auto"/>
          <w:szCs w:val="21"/>
          <w:highlight w:val="none"/>
          <w:u w:val="single"/>
        </w:rPr>
        <w:t>本招标文件中斜体且有下划线部分为实质性要求和条件</w:t>
      </w:r>
      <w:r>
        <w:rPr>
          <w:rFonts w:hint="eastAsia" w:ascii="宋体" w:hAnsi="宋体"/>
          <w:bCs/>
          <w:color w:val="auto"/>
          <w:szCs w:val="21"/>
          <w:highlight w:val="none"/>
        </w:rPr>
        <w:t>）。</w:t>
      </w:r>
    </w:p>
    <w:p w14:paraId="667D303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3A1E25F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27.1.9  投标文件含有采购人不能接受的附加条件的。</w:t>
      </w:r>
    </w:p>
    <w:p w14:paraId="6DC13EA7">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27.1.10 </w:t>
      </w:r>
      <w:r>
        <w:rPr>
          <w:rFonts w:ascii="宋体" w:hAnsi="宋体"/>
          <w:bCs/>
          <w:color w:val="auto"/>
          <w:szCs w:val="21"/>
          <w:highlight w:val="none"/>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50EFA56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27.1.11 本项目采购产品被财政部、国家发改委、生态环境部等列入“节能产品品目清单”强制采购范围，而投标人所投标产品不在强制采购范围内的。</w:t>
      </w:r>
    </w:p>
    <w:p w14:paraId="460B8A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27.1.12 投标文件未按照招标文件要求加盖公章。</w:t>
      </w:r>
    </w:p>
    <w:p w14:paraId="40E177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27.1.13其他法律、法规及本招标文件规定的属无效投标的情形。</w:t>
      </w:r>
    </w:p>
    <w:p w14:paraId="191B65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27.2废标条款：</w:t>
      </w:r>
    </w:p>
    <w:p w14:paraId="5C0D60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27.2.1符合专业条件的供应商或者对招标文件作实质响应的供应商不足三家的；</w:t>
      </w:r>
    </w:p>
    <w:p w14:paraId="73D208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27.2.2投标人的报价均超过采购预算或最高限价；</w:t>
      </w:r>
    </w:p>
    <w:p w14:paraId="2867CD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27.2.3出现影响采购公正的违法、违规行为的；</w:t>
      </w:r>
    </w:p>
    <w:p w14:paraId="7D717C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27.2.4因重大变故，采购任务取消的；</w:t>
      </w:r>
    </w:p>
    <w:p w14:paraId="25B3DC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27.2.5评标委员会认定招标文件存在歧义、 重大缺陷导致评审工作无法进行。</w:t>
      </w:r>
    </w:p>
    <w:p w14:paraId="6B6112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27.3投标截止时间结束后参加投标的投标人不足三家或者通过资格审查或符合性审查的投标人不足三家的，除采购任务取消情形外，按照以下方式处理： </w:t>
      </w:r>
    </w:p>
    <w:p w14:paraId="151957B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27.3.1招标文件存在不合理条款或者招标程序不符合规定的，由采购人、代理机构改正后依法重新招标；</w:t>
      </w:r>
    </w:p>
    <w:p w14:paraId="541495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27.3.2 招标文件没有不合理条款、招标程序符合规定，需要采用其他采购方式采购的，采购人应当依法报财政部门批准。</w:t>
      </w:r>
    </w:p>
    <w:p w14:paraId="43DFEA7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28、确定中标单位</w:t>
      </w:r>
    </w:p>
    <w:p w14:paraId="0656319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.1评委会根据本招标文件规定评标方法与评标标准向采购人推荐出中标候选人。</w:t>
      </w:r>
    </w:p>
    <w:p w14:paraId="59DBFF7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.2 采购人应根据评委会推荐的中标候选人确定中标人。</w:t>
      </w:r>
    </w:p>
    <w:p w14:paraId="458D43A3">
      <w:pPr>
        <w:spacing w:line="360" w:lineRule="auto"/>
        <w:ind w:firstLine="420" w:firstLineChars="200"/>
        <w:rPr>
          <w:rFonts w:ascii="宋体" w:hAnsi="宋体"/>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.3</w:t>
      </w:r>
      <w:r>
        <w:rPr>
          <w:rFonts w:ascii="宋体" w:hAnsi="宋体"/>
          <w:color w:val="auto"/>
          <w:szCs w:val="21"/>
          <w:highlight w:val="none"/>
        </w:rPr>
        <w:t>代理机构将在</w:t>
      </w:r>
      <w:r>
        <w:rPr>
          <w:rFonts w:hint="eastAsia" w:ascii="宋体" w:hAnsi="宋体" w:cs="宋体"/>
          <w:color w:val="auto"/>
          <w:szCs w:val="21"/>
          <w:highlight w:val="none"/>
          <w:lang w:eastAsia="zh-CN"/>
        </w:rPr>
        <w:t>“扬州大学附属医院网、江苏政府采购网”</w:t>
      </w:r>
      <w:r>
        <w:rPr>
          <w:rFonts w:ascii="宋体" w:hAnsi="宋体"/>
          <w:color w:val="auto"/>
          <w:szCs w:val="21"/>
          <w:highlight w:val="none"/>
        </w:rPr>
        <w:t>发布中标公告，公告期限为1个工作日。</w:t>
      </w:r>
    </w:p>
    <w:p w14:paraId="6F3C102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.4若有充分证据证明，中标人出现下列情况之一的，一经查实，将被取消中标资格：</w:t>
      </w:r>
    </w:p>
    <w:p w14:paraId="637A18D1">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.4.1提供虚假材料谋取中标的；</w:t>
      </w:r>
    </w:p>
    <w:p w14:paraId="3B04F16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.4.2向采购人、代理机构行贿或者提供其他不正当利益的；</w:t>
      </w:r>
    </w:p>
    <w:p w14:paraId="34ACB43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.4.3恶意竞争，投标总报价明显低于其自身合理成本且又无法提供证明的；</w:t>
      </w:r>
    </w:p>
    <w:p w14:paraId="66678A6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.4.4属于本文件规定的无效条件，但在评标过程中又未被评委会发现的；</w:t>
      </w:r>
    </w:p>
    <w:p w14:paraId="7FDE038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.4.5与采购人或者其他投标人串通投标的；</w:t>
      </w:r>
    </w:p>
    <w:p w14:paraId="7A2200B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.4.6采取不正当手段诋毁、排挤其他供应商的；</w:t>
      </w:r>
    </w:p>
    <w:p w14:paraId="4E534F0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.4.7不符合法律、法规的规定的。</w:t>
      </w:r>
      <w:bookmarkStart w:id="58" w:name="_Toc200451960"/>
    </w:p>
    <w:p w14:paraId="7992B4C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 有下列情形之一的，视为投标人串通投标，投标无效：</w:t>
      </w:r>
    </w:p>
    <w:p w14:paraId="0BB6929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.5.1不同投标人的投标文件由同一单位或者个人编制。</w:t>
      </w:r>
    </w:p>
    <w:p w14:paraId="2EB3E0A7">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.5.2不同投标人委托同一单位或者个人办理投标事宜。</w:t>
      </w:r>
    </w:p>
    <w:p w14:paraId="4DEBAD6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.5.3 不同投标人的投标文件载明的项目管理成员或者联系人员为同一人。</w:t>
      </w:r>
    </w:p>
    <w:p w14:paraId="5B758C5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.5.4不同投标人的投标文件异常一致或者投标报价呈规律性差异。</w:t>
      </w:r>
    </w:p>
    <w:p w14:paraId="22D0A25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.5.5不同投标人的投标文件相互混装。</w:t>
      </w:r>
    </w:p>
    <w:p w14:paraId="6E15475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.5.6不同投标人的投标保证金从同一单位或者个人的账户转出。</w:t>
      </w:r>
    </w:p>
    <w:bookmarkEnd w:id="58"/>
    <w:p w14:paraId="205F017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29、质疑处理</w:t>
      </w:r>
    </w:p>
    <w:p w14:paraId="42821A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.1投标人认为采购文件、采购过程和中标或成交结果使自己的权益受到损害的，可以在知道或应知其权益受到损害之日起七个工作日内，以书面形式向采购人或代理机构提出质疑。</w:t>
      </w:r>
    </w:p>
    <w:p w14:paraId="6C4BEB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.1.1对采购文件提出质疑的，应当在获取采购文件之日或者采购文件公告期限届满之日起7个工作日内提出。</w:t>
      </w:r>
    </w:p>
    <w:p w14:paraId="332EE3A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.1.2对采购过程提出质疑的，为各采购程序环节结束之日起7个工作日内提出。</w:t>
      </w:r>
    </w:p>
    <w:p w14:paraId="55FFF21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.1.3对中标结果提出质疑的，为中标结果公告期限届满之日起7个工作日内提出。</w:t>
      </w:r>
    </w:p>
    <w:p w14:paraId="49FAD3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.2供应商应在法定质疑期内一次性提出针对同一采购程序环节的质疑。质疑必须按《政府采购法》《政府采购法实施条例》及《政府采购质疑和投诉办法》等相关规定提交。</w:t>
      </w:r>
    </w:p>
    <w:p w14:paraId="6664DC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.3提出质疑的供应商（以下简称质疑供应商）应当是参与所质疑项目采购活动的供应商。</w:t>
      </w:r>
    </w:p>
    <w:p w14:paraId="1FC233E2">
      <w:pPr>
        <w:spacing w:line="360" w:lineRule="auto"/>
        <w:ind w:firstLine="420" w:firstLineChars="200"/>
        <w:rPr>
          <w:rFonts w:ascii="宋体" w:hAnsi="宋体"/>
          <w:color w:val="auto"/>
          <w:szCs w:val="21"/>
          <w:highlight w:val="none"/>
        </w:rPr>
      </w:pPr>
      <w:r>
        <w:rPr>
          <w:rFonts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45137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.4供应商提出质疑应当提交质疑函和必要的证明材料。质疑函应当包括下列内容：</w:t>
      </w:r>
    </w:p>
    <w:p w14:paraId="5CC903AC">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.4.1供应商的姓名或者名称、地址、邮编、联系人及联系电话；</w:t>
      </w:r>
    </w:p>
    <w:p w14:paraId="3E4FFEAB">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.4.2质疑项目的名称、编号；</w:t>
      </w:r>
    </w:p>
    <w:p w14:paraId="7365F03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.4.3具体、明确的质疑事项和与质疑事项相关的请求；</w:t>
      </w:r>
    </w:p>
    <w:p w14:paraId="5A184A00">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.4.4事实依据；</w:t>
      </w:r>
    </w:p>
    <w:p w14:paraId="0C3489A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.4.5必要的法律依据；</w:t>
      </w:r>
    </w:p>
    <w:p w14:paraId="1C56A2B8">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.4.6提出质疑的日期。</w:t>
      </w:r>
    </w:p>
    <w:p w14:paraId="16ED187B">
      <w:pPr>
        <w:spacing w:line="360" w:lineRule="auto"/>
        <w:ind w:firstLine="420" w:firstLineChars="200"/>
        <w:rPr>
          <w:rFonts w:ascii="宋体" w:hAnsi="宋体"/>
          <w:color w:val="auto"/>
          <w:szCs w:val="21"/>
          <w:highlight w:val="none"/>
        </w:rPr>
      </w:pPr>
      <w:r>
        <w:rPr>
          <w:rFonts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2C0A8E2A">
      <w:pPr>
        <w:spacing w:line="360" w:lineRule="auto"/>
        <w:ind w:firstLine="420" w:firstLineChars="200"/>
        <w:rPr>
          <w:rFonts w:ascii="宋体" w:hAnsi="宋体"/>
          <w:color w:val="auto"/>
          <w:szCs w:val="21"/>
          <w:highlight w:val="none"/>
        </w:rPr>
      </w:pPr>
      <w:r>
        <w:rPr>
          <w:rFonts w:ascii="宋体" w:hAnsi="宋体"/>
          <w:color w:val="auto"/>
          <w:szCs w:val="21"/>
          <w:highlight w:val="none"/>
        </w:rPr>
        <w:t>《质疑函》及《授权委托书》格式见网址：http://zfcg.yangzhou.gov.cn</w:t>
      </w:r>
    </w:p>
    <w:p w14:paraId="4BC8E4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.5代理机构收到质疑申请后，将对质疑的形式和内容进行审查，如质疑内容、格式不符合规定，代理机构将告知质疑人进行补正。</w:t>
      </w:r>
    </w:p>
    <w:p w14:paraId="4F3BD6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.6质疑人应当在法定质疑期限内进行补正并重新提交质疑函。</w:t>
      </w:r>
    </w:p>
    <w:p w14:paraId="255899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.7代理机构应当在收到供应商的书面质疑后七个工作日内作出答复，并以书面形式通知质疑供应商和其他有关供应商，但答复的内容不得涉及商业秘密。</w:t>
      </w:r>
    </w:p>
    <w:p w14:paraId="4D9E7D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 诚实信用</w:t>
      </w:r>
    </w:p>
    <w:p w14:paraId="5CBD7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.8.1 投标人之间不得相互串通投标报价，不得妨碍其他投标人的公平竞争，不得损害采购人和其他投标人的合法权益。</w:t>
      </w:r>
    </w:p>
    <w:p w14:paraId="73E99A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.8.2 投标人不得以向代理机构工作人员、评标委员会成员行贿或者采取其他不正当手段谋取中标。经查实投标人有此行为的，政府采购管理部门将投标人列入不良行为记录名单，按照《政府采购法》有关规定处理。</w:t>
      </w:r>
    </w:p>
    <w:p w14:paraId="5981C4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50AA6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.8.4 投标人不得虚假承诺，否则，按照提供虚假材料谋取中标成交处理。</w:t>
      </w:r>
    </w:p>
    <w:p w14:paraId="4EA583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5 投标人应自觉遵守开标、评标纪律，扰乱开标评标现场秩序的，属于失信行为，根据《江苏省政府采购供应商监督管理暂行办法》，失信行为将被记入投标人诚信档案。</w:t>
      </w:r>
    </w:p>
    <w:p w14:paraId="5D3D6C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30、中标通知书</w:t>
      </w:r>
    </w:p>
    <w:p w14:paraId="6352B3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.l 中标结果确定后，代理机构将向中标供应商发出中标通知书。</w:t>
      </w:r>
    </w:p>
    <w:p w14:paraId="3EAC202A">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.2 中标供应商收到中标通知书后，应签字确认中标通知书已收到。若无回复，则公告后视同中标供应商已经知悉并同意接受。</w:t>
      </w:r>
    </w:p>
    <w:p w14:paraId="7C7A40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14:paraId="0B87D9D8">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.4所有投标文件都将作为档案保存，不论中标与否，代理机构均不退回。</w:t>
      </w:r>
    </w:p>
    <w:p w14:paraId="128A9D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 签订合同</w:t>
      </w:r>
    </w:p>
    <w:p w14:paraId="02FEBED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31.l中标人应在中标通知书发出之日起三十日内，按照招标文件确定的事项与采购人签订政府采购合同。</w:t>
      </w:r>
    </w:p>
    <w:p w14:paraId="652E612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31.2 招标文件、中标人的投标文件及招标过程中有关澄清、承诺文件均应作为合同附件。</w:t>
      </w:r>
    </w:p>
    <w:p w14:paraId="7663E6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31.3 签订合同后，</w:t>
      </w:r>
      <w:r>
        <w:rPr>
          <w:rFonts w:hint="eastAsia" w:ascii="宋体" w:hAnsi="宋体"/>
          <w:bCs/>
          <w:i/>
          <w:iCs/>
          <w:color w:val="auto"/>
          <w:szCs w:val="21"/>
          <w:highlight w:val="none"/>
          <w:u w:val="single"/>
        </w:rPr>
        <w:t>中标人不得将货物或服务及其他服务进行转包</w:t>
      </w:r>
      <w:r>
        <w:rPr>
          <w:rFonts w:hint="eastAsia" w:ascii="宋体" w:hAnsi="宋体"/>
          <w:bCs/>
          <w:color w:val="auto"/>
          <w:szCs w:val="21"/>
          <w:highlight w:val="none"/>
        </w:rPr>
        <w:t>。未经采购人同意，中标人也不得采用分包的形式履行合同，否则采购人有权终止合同，中标人的履约保证金将不予退还。转包或分包造成采购人损失的，中标人应承担赔偿责任。</w:t>
      </w:r>
    </w:p>
    <w:p w14:paraId="128444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31.4采购人不得向中标人提出任何不合理的要求作为签订合同的条件，不得与中标人私下订立背离合同实质性内容的协议。所签订的合同不得对招标文件确定事项和中标人投标文件作实质性修改。</w:t>
      </w:r>
    </w:p>
    <w:p w14:paraId="299107EC">
      <w:pPr>
        <w:pStyle w:val="56"/>
        <w:spacing w:before="0" w:after="0" w:line="360" w:lineRule="auto"/>
        <w:ind w:firstLine="420"/>
        <w:rPr>
          <w:rFonts w:ascii="宋体" w:hAnsi="宋体"/>
          <w:color w:val="auto"/>
          <w:szCs w:val="21"/>
          <w:highlight w:val="none"/>
        </w:rPr>
      </w:pPr>
      <w:r>
        <w:rPr>
          <w:rFonts w:hint="eastAsia" w:ascii="宋体" w:hAnsi="宋体" w:eastAsia="宋体"/>
          <w:b w:val="0"/>
          <w:bCs w:val="0"/>
          <w:color w:val="auto"/>
          <w:sz w:val="21"/>
          <w:szCs w:val="21"/>
          <w:highlight w:val="none"/>
        </w:rPr>
        <w:t>31.5如中标人在规定时间不与医院签订合同、主动放弃成交资格或无正当理由终止合同履行的，将列入医院不良行为记录名单，我院保留在一至三年内禁止其参加医院采购活动的权利。</w:t>
      </w:r>
    </w:p>
    <w:p w14:paraId="50F597B9">
      <w:pPr>
        <w:pStyle w:val="5"/>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2</w:t>
      </w:r>
      <w:r>
        <w:rPr>
          <w:rFonts w:ascii="宋体" w:hAnsi="宋体" w:eastAsia="宋体"/>
          <w:color w:val="auto"/>
          <w:sz w:val="21"/>
          <w:szCs w:val="21"/>
          <w:highlight w:val="none"/>
        </w:rPr>
        <w:t>、货物和服务的追加、减少和添购</w:t>
      </w:r>
    </w:p>
    <w:p w14:paraId="7CDC81ED">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.1政府采购合同履行中，采购人需追加与合同标的相同的货物和服务的，在不改变合同其他条款的前提下，可以与中标供应商协商签订补充合同，但所有补充合同的采购金额不超过原合同金额10%</w:t>
      </w:r>
      <w:r>
        <w:rPr>
          <w:rFonts w:hint="eastAsia" w:ascii="宋体" w:hAnsi="宋体"/>
          <w:color w:val="auto"/>
          <w:szCs w:val="21"/>
          <w:highlight w:val="none"/>
        </w:rPr>
        <w:t>，货物单价不得调增</w:t>
      </w:r>
      <w:r>
        <w:rPr>
          <w:rFonts w:ascii="宋体" w:hAnsi="宋体"/>
          <w:color w:val="auto"/>
          <w:szCs w:val="21"/>
          <w:highlight w:val="none"/>
        </w:rPr>
        <w:t>。</w:t>
      </w:r>
    </w:p>
    <w:p w14:paraId="7174F264">
      <w:pPr>
        <w:spacing w:line="360" w:lineRule="auto"/>
        <w:ind w:firstLine="420" w:firstLineChars="200"/>
        <w:rPr>
          <w:rFonts w:ascii="宋体" w:hAnsi="宋体"/>
          <w:b/>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color w:val="auto"/>
          <w:szCs w:val="21"/>
          <w:highlight w:val="none"/>
        </w:rPr>
        <w:t>，货物单价不得调增</w:t>
      </w:r>
      <w:r>
        <w:rPr>
          <w:rFonts w:ascii="宋体" w:hAnsi="宋体"/>
          <w:color w:val="auto"/>
          <w:szCs w:val="21"/>
          <w:highlight w:val="none"/>
        </w:rPr>
        <w:t>。</w:t>
      </w:r>
    </w:p>
    <w:p w14:paraId="4DC7CF73">
      <w:pPr>
        <w:pStyle w:val="5"/>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3</w:t>
      </w:r>
      <w:r>
        <w:rPr>
          <w:rFonts w:ascii="宋体" w:hAnsi="宋体" w:eastAsia="宋体"/>
          <w:color w:val="auto"/>
          <w:sz w:val="21"/>
          <w:szCs w:val="21"/>
          <w:highlight w:val="none"/>
        </w:rPr>
        <w:t>、履约保证金</w:t>
      </w:r>
    </w:p>
    <w:p w14:paraId="203E3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33.1 中标人在签订合同后须缴纳至采购人账户。履约保证金用以约束投标人在合同履行中的行为，弥补合同执行中由于自身行为可能给采购人带来的各种损失。如果中标人不同意按照规定去做，采购人有权取消本次采购中标决定。 </w:t>
      </w:r>
    </w:p>
    <w:p w14:paraId="036296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 履约保证金的退还：履约保证金在合同履行结束后1个月内退还，不计利息。合同履行结束后，在无质量问题或合同纠纷的前提下，中标人凭采购人签署的“履约保证金退款通知”、履约保证金收据原件，前往采购人处办理保证金退还手续。</w:t>
      </w:r>
    </w:p>
    <w:p w14:paraId="04DFB398">
      <w:pPr>
        <w:spacing w:line="360" w:lineRule="auto"/>
        <w:ind w:firstLine="422" w:firstLineChars="200"/>
        <w:jc w:val="left"/>
        <w:rPr>
          <w:rFonts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4</w:t>
      </w:r>
      <w:r>
        <w:rPr>
          <w:rFonts w:ascii="宋体" w:hAnsi="宋体"/>
          <w:b/>
          <w:bCs/>
          <w:color w:val="auto"/>
          <w:szCs w:val="21"/>
          <w:highlight w:val="none"/>
        </w:rPr>
        <w:t>、样品</w:t>
      </w:r>
    </w:p>
    <w:p w14:paraId="78A3B33D">
      <w:pPr>
        <w:spacing w:line="360" w:lineRule="auto"/>
        <w:ind w:firstLine="420" w:firstLineChars="200"/>
        <w:jc w:val="left"/>
        <w:rPr>
          <w:rFonts w:ascii="宋体" w:hAnsi="宋体"/>
          <w:color w:val="auto"/>
          <w:highlight w:val="none"/>
        </w:rPr>
      </w:pPr>
      <w:r>
        <w:rPr>
          <w:rFonts w:ascii="宋体" w:hAnsi="宋体"/>
          <w:color w:val="auto"/>
          <w:szCs w:val="21"/>
          <w:highlight w:val="none"/>
        </w:rPr>
        <w:t>若项目要求提供样品的，中标人的样品由采购人负责保管、封存，并作为履约验收的参考。未中标人的样品将及时退还。</w:t>
      </w:r>
    </w:p>
    <w:p w14:paraId="7D7B44CA">
      <w:pPr>
        <w:spacing w:line="360" w:lineRule="auto"/>
        <w:ind w:firstLine="422" w:firstLineChars="200"/>
        <w:rPr>
          <w:rFonts w:ascii="宋体" w:hAnsi="宋体"/>
          <w:color w:val="auto"/>
          <w:highlight w:val="none"/>
        </w:rPr>
      </w:pPr>
      <w:r>
        <w:rPr>
          <w:rFonts w:ascii="宋体" w:hAnsi="宋体"/>
          <w:b/>
          <w:bCs/>
          <w:color w:val="auto"/>
          <w:highlight w:val="none"/>
        </w:rPr>
        <w:t>3</w:t>
      </w:r>
      <w:r>
        <w:rPr>
          <w:rFonts w:hint="eastAsia" w:ascii="宋体" w:hAnsi="宋体"/>
          <w:b/>
          <w:bCs/>
          <w:color w:val="auto"/>
          <w:highlight w:val="none"/>
        </w:rPr>
        <w:t>5、其他</w:t>
      </w:r>
    </w:p>
    <w:p w14:paraId="1EBB8081">
      <w:pPr>
        <w:spacing w:line="360" w:lineRule="auto"/>
        <w:ind w:firstLine="420" w:firstLineChars="200"/>
        <w:rPr>
          <w:rFonts w:ascii="宋体" w:hAnsi="宋体"/>
          <w:bCs/>
          <w:color w:val="auto"/>
          <w:szCs w:val="21"/>
          <w:highlight w:val="none"/>
        </w:rPr>
      </w:pPr>
      <w:r>
        <w:rPr>
          <w:rFonts w:ascii="宋体" w:hAnsi="宋体"/>
          <w:color w:val="auto"/>
          <w:highlight w:val="none"/>
        </w:rPr>
        <w:t>3</w:t>
      </w:r>
      <w:r>
        <w:rPr>
          <w:rFonts w:hint="eastAsia" w:ascii="宋体" w:hAnsi="宋体"/>
          <w:color w:val="auto"/>
          <w:highlight w:val="none"/>
        </w:rPr>
        <w:t>5</w:t>
      </w:r>
      <w:r>
        <w:rPr>
          <w:rFonts w:ascii="宋体" w:hAnsi="宋体"/>
          <w:color w:val="auto"/>
          <w:highlight w:val="none"/>
        </w:rPr>
        <w:t xml:space="preserve">.1 </w:t>
      </w:r>
      <w:r>
        <w:rPr>
          <w:rFonts w:hint="eastAsia" w:ascii="宋体" w:hAnsi="宋体"/>
          <w:color w:val="auto"/>
          <w:highlight w:val="none"/>
        </w:rPr>
        <w:t>依据《政府采购促进中小企业发展管理办法》享受扶持政策获得政府采购合同的，小微企业不得将合同分包给大中型企业，中型企业不得将合同分包给大型企业。</w:t>
      </w:r>
    </w:p>
    <w:p w14:paraId="52BBBF40">
      <w:pPr>
        <w:spacing w:line="360" w:lineRule="auto"/>
        <w:ind w:firstLine="420" w:firstLineChars="200"/>
        <w:rPr>
          <w:rFonts w:ascii="宋体" w:hAnsi="宋体"/>
          <w:color w:val="auto"/>
          <w:highlight w:val="none"/>
        </w:rPr>
      </w:pPr>
      <w:r>
        <w:rPr>
          <w:rFonts w:hint="eastAsia" w:ascii="宋体" w:hAnsi="宋体"/>
          <w:bCs/>
          <w:color w:val="auto"/>
          <w:szCs w:val="21"/>
          <w:highlight w:val="none"/>
        </w:rPr>
        <w:br w:type="page"/>
      </w:r>
    </w:p>
    <w:p w14:paraId="50E058E2">
      <w:pPr>
        <w:pStyle w:val="2"/>
        <w:spacing w:line="360" w:lineRule="auto"/>
        <w:jc w:val="center"/>
        <w:rPr>
          <w:rFonts w:ascii="宋体" w:hAnsi="宋体"/>
          <w:color w:val="auto"/>
          <w:szCs w:val="36"/>
          <w:highlight w:val="none"/>
        </w:rPr>
      </w:pPr>
      <w:bookmarkStart w:id="59" w:name="_Toc55204179"/>
      <w:bookmarkStart w:id="60" w:name="_Hlk69392822"/>
      <w:r>
        <w:rPr>
          <w:rFonts w:hint="eastAsia" w:ascii="宋体" w:hAnsi="宋体"/>
          <w:color w:val="auto"/>
          <w:szCs w:val="36"/>
          <w:highlight w:val="none"/>
        </w:rPr>
        <w:t>第三章 合同条款及格式</w:t>
      </w:r>
      <w:bookmarkEnd w:id="59"/>
    </w:p>
    <w:p w14:paraId="73484E55">
      <w:pPr>
        <w:pStyle w:val="12"/>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以下为中标后签定本项目合同的通用条款，中标人不得提出实质性的修改，关于专用条款将由采购人与中标人结合本项目具体情况协商后签订。</w:t>
      </w:r>
    </w:p>
    <w:p w14:paraId="0A011895">
      <w:pPr>
        <w:pStyle w:val="12"/>
        <w:snapToGrid w:val="0"/>
        <w:spacing w:line="440" w:lineRule="exact"/>
        <w:ind w:firstLine="422" w:firstLineChars="200"/>
        <w:jc w:val="center"/>
        <w:rPr>
          <w:rFonts w:hAnsi="宋体" w:cstheme="minorEastAsia"/>
          <w:b/>
          <w:bCs/>
          <w:color w:val="auto"/>
          <w:sz w:val="21"/>
          <w:highlight w:val="none"/>
        </w:rPr>
      </w:pPr>
    </w:p>
    <w:p w14:paraId="58D0834F">
      <w:pPr>
        <w:pStyle w:val="12"/>
        <w:snapToGrid w:val="0"/>
        <w:spacing w:line="440" w:lineRule="exact"/>
        <w:ind w:firstLine="562" w:firstLineChars="200"/>
        <w:jc w:val="center"/>
        <w:rPr>
          <w:rFonts w:hAnsi="宋体" w:cs="宋体"/>
          <w:b/>
          <w:bCs/>
          <w:color w:val="auto"/>
          <w:sz w:val="28"/>
          <w:szCs w:val="28"/>
          <w:highlight w:val="none"/>
        </w:rPr>
      </w:pPr>
      <w:r>
        <w:rPr>
          <w:rFonts w:hint="eastAsia" w:hAnsi="宋体" w:cs="宋体"/>
          <w:b/>
          <w:bCs/>
          <w:color w:val="auto"/>
          <w:sz w:val="28"/>
          <w:szCs w:val="28"/>
          <w:highlight w:val="none"/>
        </w:rPr>
        <w:t>政府采购合同（货物)</w:t>
      </w:r>
    </w:p>
    <w:p w14:paraId="09A39144">
      <w:pPr>
        <w:pStyle w:val="6"/>
        <w:spacing w:line="440" w:lineRule="exact"/>
        <w:rPr>
          <w:rFonts w:ascii="宋体" w:hAnsi="宋体" w:cs="宋体"/>
          <w:color w:val="auto"/>
          <w:szCs w:val="21"/>
          <w:highlight w:val="none"/>
        </w:rPr>
      </w:pPr>
    </w:p>
    <w:p w14:paraId="754971A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项目名称：扬州大学附属医院固体饮料及复配食品添加剂采购项目</w:t>
      </w:r>
    </w:p>
    <w:p w14:paraId="4CD7C73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项目编号：</w:t>
      </w:r>
    </w:p>
    <w:p w14:paraId="108A188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甲方：（买方）扬州大学附属医院</w:t>
      </w:r>
    </w:p>
    <w:p w14:paraId="378949E3">
      <w:pPr>
        <w:pStyle w:val="48"/>
        <w:spacing w:line="360" w:lineRule="auto"/>
        <w:ind w:firstLine="420"/>
        <w:rPr>
          <w:rFonts w:hint="default" w:hAnsi="宋体" w:eastAsia="宋体" w:cs="宋体"/>
          <w:color w:val="auto"/>
          <w:sz w:val="21"/>
          <w:szCs w:val="21"/>
          <w:highlight w:val="none"/>
          <w:u w:val="single"/>
          <w:lang w:val="en-US" w:eastAsia="zh-CN"/>
        </w:rPr>
      </w:pPr>
      <w:r>
        <w:rPr>
          <w:rFonts w:hint="eastAsia" w:hAnsi="宋体" w:eastAsia="宋体" w:cs="宋体"/>
          <w:color w:val="auto"/>
          <w:sz w:val="21"/>
          <w:szCs w:val="21"/>
          <w:highlight w:val="none"/>
        </w:rPr>
        <w:t>乙方：（卖方）</w:t>
      </w:r>
      <w:r>
        <w:rPr>
          <w:rFonts w:hint="eastAsia" w:hAnsi="宋体" w:eastAsia="宋体" w:cs="宋体"/>
          <w:color w:val="auto"/>
          <w:sz w:val="21"/>
          <w:szCs w:val="21"/>
          <w:highlight w:val="none"/>
          <w:u w:val="single"/>
          <w:lang w:val="en-US" w:eastAsia="zh-CN"/>
        </w:rPr>
        <w:t xml:space="preserve">                </w:t>
      </w:r>
    </w:p>
    <w:p w14:paraId="5B36DE2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甲、乙双方根据</w:t>
      </w:r>
      <w:r>
        <w:rPr>
          <w:rFonts w:hint="eastAsia" w:hAnsi="宋体" w:eastAsia="宋体" w:cs="宋体"/>
          <w:color w:val="auto"/>
          <w:sz w:val="21"/>
          <w:szCs w:val="21"/>
          <w:highlight w:val="none"/>
          <w:lang w:eastAsia="zh-CN"/>
        </w:rPr>
        <w:t>江苏省鼎诚建设工程顾问有限公司</w:t>
      </w:r>
      <w:r>
        <w:rPr>
          <w:rFonts w:hint="eastAsia" w:hAnsi="宋体" w:eastAsia="宋体" w:cs="宋体"/>
          <w:color w:val="auto"/>
          <w:sz w:val="21"/>
          <w:szCs w:val="21"/>
          <w:highlight w:val="none"/>
        </w:rPr>
        <w:t>公开招标的结果，签署本合同。</w:t>
      </w:r>
    </w:p>
    <w:p w14:paraId="337F8ECC">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一、货物及伴随服务</w:t>
      </w:r>
    </w:p>
    <w:p w14:paraId="425E3E20">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 货物及服务名称：固体饮料及复配食品添加剂</w:t>
      </w:r>
    </w:p>
    <w:p w14:paraId="236D1B6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 型号规格：</w:t>
      </w:r>
    </w:p>
    <w:p w14:paraId="2A960B5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 数量（单位）</w:t>
      </w:r>
    </w:p>
    <w:p w14:paraId="482B1694">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二、合同金额</w:t>
      </w:r>
    </w:p>
    <w:p w14:paraId="663A91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2.1 本合同金额为（大写）：_____________圆（_______________元）人民币。</w:t>
      </w:r>
    </w:p>
    <w:p w14:paraId="4CA9F9F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三、技术资料</w:t>
      </w:r>
    </w:p>
    <w:p w14:paraId="7D2AFB4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3.1乙方应按招标文件规定的时间向甲方提供使用货物及服务的有关技术资料。</w:t>
      </w:r>
    </w:p>
    <w:p w14:paraId="34E7E22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A8EFC9">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四、知识产权</w:t>
      </w:r>
    </w:p>
    <w:p w14:paraId="21F1189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4.1乙方应保证甲方在使用、接受本合同货物及服务或其任何一部分时不受第三方提出侵犯其专利权、版权、商标权和工业设计权等知识产权的起诉。一旦出现侵权，由乙方负全部责任。</w:t>
      </w:r>
    </w:p>
    <w:p w14:paraId="46B26AA8">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五、产权担保</w:t>
      </w:r>
    </w:p>
    <w:p w14:paraId="5FE4FE38">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5.1 乙方保证所交付的货物及服务的所有权完全属于乙方且无任何抵押、查封等产权瑕疵。</w:t>
      </w:r>
    </w:p>
    <w:p w14:paraId="76FC13ED">
      <w:pPr>
        <w:pStyle w:val="48"/>
        <w:spacing w:line="360" w:lineRule="auto"/>
        <w:ind w:firstLine="422"/>
        <w:rPr>
          <w:rFonts w:hAnsi="宋体" w:eastAsia="宋体" w:cs="宋体"/>
          <w:color w:val="auto"/>
          <w:sz w:val="21"/>
          <w:szCs w:val="21"/>
          <w:highlight w:val="none"/>
        </w:rPr>
      </w:pPr>
      <w:r>
        <w:rPr>
          <w:rFonts w:hint="eastAsia" w:hAnsi="宋体" w:eastAsia="宋体" w:cs="宋体"/>
          <w:b/>
          <w:bCs/>
          <w:color w:val="auto"/>
          <w:sz w:val="21"/>
          <w:szCs w:val="21"/>
          <w:highlight w:val="none"/>
        </w:rPr>
        <w:t>六、履约保证金</w:t>
      </w:r>
    </w:p>
    <w:p w14:paraId="3CD3574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6.1乙方在签订合同前须缴纳合同款</w:t>
      </w:r>
      <w:r>
        <w:rPr>
          <w:rFonts w:hint="eastAsia" w:hAnsi="宋体" w:eastAsia="宋体" w:cs="宋体"/>
          <w:color w:val="auto"/>
          <w:sz w:val="21"/>
          <w:szCs w:val="21"/>
          <w:highlight w:val="none"/>
          <w:lang w:val="en-US" w:eastAsia="zh-CN"/>
        </w:rPr>
        <w:t>10</w:t>
      </w:r>
      <w:r>
        <w:rPr>
          <w:rFonts w:hint="eastAsia" w:hAnsi="宋体" w:eastAsia="宋体" w:cs="宋体"/>
          <w:color w:val="auto"/>
          <w:sz w:val="21"/>
          <w:szCs w:val="21"/>
          <w:highlight w:val="none"/>
        </w:rPr>
        <w:t>%作为履约保证金至甲方指定账户。履约保证金用以约束乙方在合同履行中的行为，弥补合同执行中由于自身行为可能给甲方带来的各种损失。如果乙方不同意按照规定去做，甲方有权取消本次采购中标决定。</w:t>
      </w:r>
    </w:p>
    <w:p w14:paraId="176BEFE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6.2履约保证金的退还：履约保证金在合作期满后7个工作日内退还，不计利息。乙方凭甲方人签署的项目验收单或项目验收报告、履约保证金收据原件，前往甲方处办理保证金退还手续。</w:t>
      </w:r>
    </w:p>
    <w:p w14:paraId="611D3664">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6.3有下列情形之一的，履约保证金不予退还:</w:t>
      </w:r>
    </w:p>
    <w:p w14:paraId="3169A13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（1）签订合同后甲方发现乙方在响应文件中提供虚假材料的；</w:t>
      </w:r>
    </w:p>
    <w:p w14:paraId="1B3D38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（2）乙方与甲方、其他供应商或者采购代理机构恶意串通的；</w:t>
      </w:r>
    </w:p>
    <w:p w14:paraId="7C2011A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（3）将成交项目转让给他人，或者在投标文件中未说明，且未经甲方同意，将成交项目分包给他人的；</w:t>
      </w:r>
    </w:p>
    <w:p w14:paraId="0DC8017F">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（4）除因不可抗力或招标文件认可的情形以外，中标供应商不与采购人签订合同的；</w:t>
      </w:r>
    </w:p>
    <w:p w14:paraId="004F2D6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（5）签订合同后因乙方原因无法履行合同或者拒绝履行合同义务的。</w:t>
      </w:r>
    </w:p>
    <w:p w14:paraId="3191542D">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七、转包或分包</w:t>
      </w:r>
    </w:p>
    <w:p w14:paraId="7DCD06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7.1本合同范围的货物及服务，应由乙方直接供应，不得转让他人供应；</w:t>
      </w:r>
    </w:p>
    <w:p w14:paraId="107EF75D">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7.2 除非得到甲方的书面同意，乙方不得部分分包给他人供应。</w:t>
      </w:r>
    </w:p>
    <w:p w14:paraId="777D3B46">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7.3如有转让和未经甲方同意的分包行为，甲方有权给予终止合同。</w:t>
      </w:r>
    </w:p>
    <w:p w14:paraId="1A2F348D">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八、质保期</w:t>
      </w:r>
    </w:p>
    <w:p w14:paraId="00E51FC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8.1 质保期</w:t>
      </w:r>
      <w:r>
        <w:rPr>
          <w:rFonts w:hint="eastAsia" w:hAnsi="宋体" w:eastAsia="宋体" w:cs="宋体"/>
          <w:color w:val="auto"/>
          <w:sz w:val="21"/>
          <w:szCs w:val="21"/>
          <w:highlight w:val="none"/>
          <w:lang w:val="en-US" w:eastAsia="zh-CN"/>
        </w:rPr>
        <w:t>至少</w:t>
      </w:r>
      <w:r>
        <w:rPr>
          <w:rFonts w:hint="eastAsia" w:hAnsi="宋体" w:eastAsia="宋体" w:cs="宋体"/>
          <w:color w:val="auto"/>
          <w:sz w:val="21"/>
          <w:szCs w:val="21"/>
          <w:highlight w:val="none"/>
        </w:rPr>
        <w:t>1年。（自交货验收合格之日起计）</w:t>
      </w:r>
    </w:p>
    <w:p w14:paraId="7F415A0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九、交付期、交付方式及交付地点</w:t>
      </w:r>
    </w:p>
    <w:p w14:paraId="13FF12BA">
      <w:pPr>
        <w:pStyle w:val="48"/>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 xml:space="preserve">9.1 </w:t>
      </w:r>
      <w:r>
        <w:rPr>
          <w:rFonts w:hint="eastAsia" w:hAnsi="宋体" w:eastAsia="宋体" w:cs="宋体"/>
          <w:color w:val="auto"/>
          <w:sz w:val="21"/>
          <w:szCs w:val="21"/>
          <w:highlight w:val="none"/>
          <w:lang w:eastAsia="zh-CN"/>
        </w:rPr>
        <w:t>合同履行期限：</w:t>
      </w:r>
      <w:r>
        <w:rPr>
          <w:rFonts w:hint="eastAsia" w:hAnsi="宋体" w:eastAsia="宋体" w:cs="宋体"/>
          <w:color w:val="auto"/>
          <w:sz w:val="21"/>
          <w:szCs w:val="21"/>
          <w:highlight w:val="none"/>
          <w:u w:val="single"/>
          <w:lang w:eastAsia="zh-CN"/>
        </w:rPr>
        <w:t>自合同签订之日起至2026年12月31日</w:t>
      </w:r>
    </w:p>
    <w:p w14:paraId="3B5A3B43">
      <w:pPr>
        <w:pStyle w:val="48"/>
        <w:spacing w:line="360" w:lineRule="auto"/>
        <w:ind w:firstLine="42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9.2交货时间：</w:t>
      </w:r>
      <w:r>
        <w:rPr>
          <w:rFonts w:hint="eastAsia" w:hAnsi="宋体" w:eastAsia="宋体" w:cs="宋体"/>
          <w:color w:val="auto"/>
          <w:sz w:val="21"/>
          <w:szCs w:val="21"/>
          <w:highlight w:val="none"/>
          <w:u w:val="single"/>
          <w:lang w:val="en-US" w:eastAsia="zh-CN"/>
        </w:rPr>
        <w:t>医院采购中心发出订货通知5天内。</w:t>
      </w:r>
    </w:p>
    <w:p w14:paraId="56171176">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 xml:space="preserve"> 交付方式：</w:t>
      </w:r>
      <w:r>
        <w:rPr>
          <w:rFonts w:hint="eastAsia" w:hAnsi="宋体" w:eastAsia="宋体" w:cs="宋体"/>
          <w:color w:val="auto"/>
          <w:sz w:val="21"/>
          <w:szCs w:val="21"/>
          <w:highlight w:val="none"/>
          <w:u w:val="single"/>
        </w:rPr>
        <w:t>甲方指定方式</w:t>
      </w:r>
    </w:p>
    <w:p w14:paraId="56C43645">
      <w:pPr>
        <w:pStyle w:val="48"/>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 xml:space="preserve"> 交付地点：</w:t>
      </w:r>
      <w:r>
        <w:rPr>
          <w:rFonts w:hint="eastAsia" w:hAnsi="宋体" w:eastAsia="宋体" w:cs="宋体"/>
          <w:color w:val="auto"/>
          <w:sz w:val="21"/>
          <w:szCs w:val="21"/>
          <w:highlight w:val="none"/>
          <w:u w:val="single"/>
        </w:rPr>
        <w:t>甲方指定地点</w:t>
      </w:r>
    </w:p>
    <w:p w14:paraId="5C6CFD5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十、货款支付</w:t>
      </w:r>
    </w:p>
    <w:p w14:paraId="2E312A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2D4DB8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5B63680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10.3 甲方付款方式：</w:t>
      </w:r>
    </w:p>
    <w:p w14:paraId="405A1F4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生效后，乙方按甲方需求即时配送，并将商品送到甲方指定地点，经甲方指定人员验收，验收合格的可在一个月内结算费用。每次结算金额以甲方签收入库的供应数量*合同单价计算，乙方必须提供甲方的验收单及开具的正规增值税发票等材料交甲方办理付款手续，甲方凭手续齐全的单据支付该批次货款。</w:t>
      </w:r>
    </w:p>
    <w:p w14:paraId="05781F4B">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十一、税费</w:t>
      </w:r>
    </w:p>
    <w:p w14:paraId="45DA690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11.1本合同执行中相关的一切税费均由乙方负担。</w:t>
      </w:r>
    </w:p>
    <w:p w14:paraId="46E536FA">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十二、质量保证及售后服务</w:t>
      </w:r>
    </w:p>
    <w:p w14:paraId="400C254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12.1 乙方应按招标文件规定的货物及服务性能、技术要求、质量标准向甲方提供。</w:t>
      </w:r>
    </w:p>
    <w:p w14:paraId="6CBE420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2D190AD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⑴更换：由乙方承担所发生的全部费用。</w:t>
      </w:r>
    </w:p>
    <w:p w14:paraId="4D380A18">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⑵贬值处理：由甲乙双方合议定价。</w:t>
      </w:r>
    </w:p>
    <w:p w14:paraId="7C3773A4">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2EDF1A10">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12.3 如在使用过程中发生质量问题，乙方在接到甲方通知后在</w:t>
      </w:r>
      <w:r>
        <w:rPr>
          <w:rFonts w:hint="eastAsia" w:hAnsi="宋体" w:eastAsia="宋体" w:cs="宋体"/>
          <w:color w:val="auto"/>
          <w:sz w:val="21"/>
          <w:szCs w:val="21"/>
          <w:highlight w:val="none"/>
          <w:lang w:val="en-US" w:eastAsia="zh-CN"/>
        </w:rPr>
        <w:t>24</w:t>
      </w:r>
      <w:r>
        <w:rPr>
          <w:rFonts w:hint="eastAsia" w:hAnsi="宋体" w:eastAsia="宋体" w:cs="宋体"/>
          <w:color w:val="auto"/>
          <w:sz w:val="21"/>
          <w:szCs w:val="21"/>
          <w:highlight w:val="none"/>
        </w:rPr>
        <w:t>小时内到达甲方现场。</w:t>
      </w:r>
    </w:p>
    <w:p w14:paraId="6FB6CD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12.4 在质保期内，乙方应对货物及服务出现的质量及安全问题负责处理解决并承担一切费用。</w:t>
      </w:r>
    </w:p>
    <w:p w14:paraId="3BB8A46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12.5上述的货物及服务免费保修期为</w:t>
      </w: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年，因人为因素出现的故障不在免费保修范围内。超过保修期的机器设备，终生维修，维修时只收部件成本费。</w:t>
      </w:r>
    </w:p>
    <w:p w14:paraId="3DC0A161">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十三、调试和验收</w:t>
      </w:r>
    </w:p>
    <w:p w14:paraId="30761BD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7CF669DF">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7545C29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17D14C3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13.4 对技术复杂的货物及服务，甲方可请国家认可的专业检测机构参与初步验收及最终验收，并由其出具质量检测报告。</w:t>
      </w:r>
    </w:p>
    <w:p w14:paraId="0532876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13.5 验收时乙方必须在现场，验收完毕后作出验收结果报告；验收费用由甲乙双方协商解决。</w:t>
      </w:r>
    </w:p>
    <w:p w14:paraId="169BF684">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十四、货物及服务包装、发运及运输</w:t>
      </w:r>
    </w:p>
    <w:p w14:paraId="6ADCE79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2E92811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14.2 使用说明书、质量检验证明书、随配附件和工具以及清单一并交付甲方。</w:t>
      </w:r>
    </w:p>
    <w:p w14:paraId="23D244B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14.3 乙方在货物及服务发运手续办理完毕后24小时内或交付到甲方48小时前通知甲方，以准备接受交付。</w:t>
      </w:r>
    </w:p>
    <w:p w14:paraId="3A72FC4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14.4 货物在交付甲方前发生的风险均由乙方负责。</w:t>
      </w:r>
    </w:p>
    <w:p w14:paraId="0D6D2A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14.5 货物及服务在规定的交付期限内由乙方送达甲方指定的地点视为交付，乙方同时需通知甲方货物及服务已送达。</w:t>
      </w:r>
    </w:p>
    <w:p w14:paraId="6A33CD51">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十五、违约责任</w:t>
      </w:r>
    </w:p>
    <w:p w14:paraId="76252F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15.1 甲方无正当理由拒收货物及服务的，甲方向乙方偿付拒收款项总值的百分之五违约金。</w:t>
      </w:r>
    </w:p>
    <w:p w14:paraId="593F5A4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15.2 甲方无故逾期验收和办理款项支付手续的,甲方应按逾期付款总额每日万分之五向乙方支付违约金。</w:t>
      </w:r>
    </w:p>
    <w:p w14:paraId="76AD2F0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089A50D">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60A5A2A">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十六、不可抗力事件处理</w:t>
      </w:r>
    </w:p>
    <w:p w14:paraId="20A34A6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16.1 在合同有效期内，任何一方因不可抗力事件导致不能履行合同，则合同履行期可延长，其延长期与不可抗力影响期相同。</w:t>
      </w:r>
    </w:p>
    <w:p w14:paraId="2909835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16.2 不可抗力事件发生后，应立即通知对方，并寄送有关权威机构出具的证明。</w:t>
      </w:r>
    </w:p>
    <w:p w14:paraId="62ED4EF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16.3 不可抗力事件延续120天以上，双方应通过友好协商，确定是否继续履行合同。</w:t>
      </w:r>
    </w:p>
    <w:p w14:paraId="3D81DB99">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十七、诉讼</w:t>
      </w:r>
    </w:p>
    <w:p w14:paraId="2296D39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17.1 双方在执行合同中所发生的一切争议，应通过协商解决。如协商不成，可向合同签订地法院起诉，合同签订地在此约定为扬州市。</w:t>
      </w:r>
    </w:p>
    <w:p w14:paraId="08E96343">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十八、</w:t>
      </w:r>
      <w:r>
        <w:rPr>
          <w:rFonts w:hint="eastAsia" w:ascii="宋体" w:hAnsi="宋体" w:cs="宋体"/>
          <w:bCs/>
          <w:color w:val="auto"/>
          <w:szCs w:val="21"/>
          <w:highlight w:val="none"/>
        </w:rPr>
        <w:t>为落实好政府采购履约资金扶持政策，乙方可凭政府采购合同办理融资贷款，详见江苏政府采购网“政采贷”专栏</w:t>
      </w:r>
      <w:r>
        <w:rPr>
          <w:rFonts w:hint="eastAsia" w:ascii="宋体" w:hAnsi="宋体" w:cs="宋体"/>
          <w:color w:val="auto"/>
          <w:szCs w:val="21"/>
          <w:highlight w:val="none"/>
        </w:rPr>
        <w:t>。</w:t>
      </w:r>
    </w:p>
    <w:p w14:paraId="6CDE35BF">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十九、合同生效及其它</w:t>
      </w:r>
    </w:p>
    <w:p w14:paraId="09A4CC5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19.1 合同经双方法定代表人或授权委托代表人签字并加盖单位公章或合同专用章后生效。</w:t>
      </w:r>
    </w:p>
    <w:p w14:paraId="57A5AC8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19.2本合同未尽事宜，遵照《</w:t>
      </w:r>
      <w:r>
        <w:rPr>
          <w:rFonts w:hint="eastAsia" w:hAnsi="宋体" w:eastAsia="宋体" w:cs="宋体"/>
          <w:color w:val="auto"/>
          <w:sz w:val="21"/>
          <w:szCs w:val="21"/>
          <w:highlight w:val="none"/>
          <w:lang w:val="en-US" w:eastAsia="zh-CN"/>
        </w:rPr>
        <w:t>中华人民共和国</w:t>
      </w:r>
      <w:r>
        <w:rPr>
          <w:rFonts w:hint="eastAsia" w:hAnsi="宋体" w:eastAsia="宋体" w:cs="宋体"/>
          <w:color w:val="auto"/>
          <w:sz w:val="21"/>
          <w:szCs w:val="21"/>
          <w:highlight w:val="none"/>
        </w:rPr>
        <w:t>民法典》有关条文执行。</w:t>
      </w:r>
    </w:p>
    <w:p w14:paraId="235D0D9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19.3 本合同正本一式四份，具有同等法律效力，甲方、乙方各执贰份。 </w:t>
      </w:r>
    </w:p>
    <w:p w14:paraId="7EDDF95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 </w:t>
      </w:r>
    </w:p>
    <w:tbl>
      <w:tblPr>
        <w:tblStyle w:val="23"/>
        <w:tblW w:w="8379" w:type="dxa"/>
        <w:tblInd w:w="27" w:type="dxa"/>
        <w:tblLayout w:type="fixed"/>
        <w:tblCellMar>
          <w:top w:w="0" w:type="dxa"/>
          <w:left w:w="108" w:type="dxa"/>
          <w:bottom w:w="0" w:type="dxa"/>
          <w:right w:w="108" w:type="dxa"/>
        </w:tblCellMar>
      </w:tblPr>
      <w:tblGrid>
        <w:gridCol w:w="4212"/>
        <w:gridCol w:w="4167"/>
      </w:tblGrid>
      <w:tr w14:paraId="0508C6D5">
        <w:tblPrEx>
          <w:tblCellMar>
            <w:top w:w="0" w:type="dxa"/>
            <w:left w:w="108" w:type="dxa"/>
            <w:bottom w:w="0" w:type="dxa"/>
            <w:right w:w="108" w:type="dxa"/>
          </w:tblCellMar>
        </w:tblPrEx>
        <w:trPr>
          <w:trHeight w:val="160" w:hRule="atLeast"/>
        </w:trPr>
        <w:tc>
          <w:tcPr>
            <w:tcW w:w="4212" w:type="dxa"/>
            <w:tcBorders>
              <w:top w:val="nil"/>
              <w:left w:val="nil"/>
              <w:bottom w:val="nil"/>
              <w:right w:val="nil"/>
            </w:tcBorders>
          </w:tcPr>
          <w:p w14:paraId="2D808F2E">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甲方：扬州大学附属医院</w:t>
            </w:r>
          </w:p>
        </w:tc>
        <w:tc>
          <w:tcPr>
            <w:tcW w:w="4167" w:type="dxa"/>
            <w:tcBorders>
              <w:top w:val="nil"/>
              <w:left w:val="nil"/>
              <w:bottom w:val="nil"/>
              <w:right w:val="nil"/>
            </w:tcBorders>
          </w:tcPr>
          <w:p w14:paraId="32E8DE1B">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乙方： </w:t>
            </w:r>
          </w:p>
        </w:tc>
      </w:tr>
      <w:tr w14:paraId="30AF2072">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208D15A">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地址：</w:t>
            </w:r>
          </w:p>
        </w:tc>
        <w:tc>
          <w:tcPr>
            <w:tcW w:w="4167" w:type="dxa"/>
            <w:tcBorders>
              <w:top w:val="nil"/>
              <w:left w:val="nil"/>
              <w:bottom w:val="nil"/>
              <w:right w:val="nil"/>
            </w:tcBorders>
          </w:tcPr>
          <w:p w14:paraId="5E2D2CCE">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地址： </w:t>
            </w:r>
          </w:p>
        </w:tc>
      </w:tr>
      <w:tr w14:paraId="630CB504">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56579340">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c>
          <w:tcPr>
            <w:tcW w:w="4167" w:type="dxa"/>
            <w:tcBorders>
              <w:top w:val="nil"/>
              <w:left w:val="nil"/>
              <w:bottom w:val="nil"/>
              <w:right w:val="nil"/>
            </w:tcBorders>
          </w:tcPr>
          <w:p w14:paraId="059BB58D">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r>
      <w:tr w14:paraId="74F2E96E">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C542E1F">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c>
          <w:tcPr>
            <w:tcW w:w="4167" w:type="dxa"/>
            <w:tcBorders>
              <w:top w:val="nil"/>
              <w:left w:val="nil"/>
              <w:bottom w:val="nil"/>
              <w:right w:val="nil"/>
            </w:tcBorders>
          </w:tcPr>
          <w:p w14:paraId="16049622">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r>
      <w:tr w14:paraId="698A2403">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4776DE6F">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月    日  </w:t>
            </w:r>
          </w:p>
        </w:tc>
        <w:tc>
          <w:tcPr>
            <w:tcW w:w="4167" w:type="dxa"/>
            <w:tcBorders>
              <w:top w:val="nil"/>
              <w:left w:val="nil"/>
              <w:bottom w:val="nil"/>
              <w:right w:val="nil"/>
            </w:tcBorders>
          </w:tcPr>
          <w:p w14:paraId="64DDCFF1">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月    日</w:t>
            </w:r>
          </w:p>
        </w:tc>
      </w:tr>
    </w:tbl>
    <w:p w14:paraId="7DD32F5D">
      <w:pPr>
        <w:pStyle w:val="12"/>
        <w:snapToGrid w:val="0"/>
        <w:spacing w:before="120" w:after="120" w:line="360" w:lineRule="auto"/>
        <w:ind w:firstLine="210" w:firstLineChars="100"/>
        <w:rPr>
          <w:rFonts w:hAnsi="宋体"/>
          <w:color w:val="auto"/>
          <w:sz w:val="21"/>
          <w:highlight w:val="none"/>
        </w:rPr>
      </w:pPr>
      <w:r>
        <w:rPr>
          <w:rFonts w:hint="eastAsia" w:hAnsi="宋体"/>
          <w:color w:val="auto"/>
          <w:sz w:val="21"/>
          <w:highlight w:val="none"/>
        </w:rPr>
        <w:t xml:space="preserve"> </w:t>
      </w:r>
    </w:p>
    <w:p w14:paraId="56D4B92F">
      <w:pPr>
        <w:spacing w:line="360" w:lineRule="auto"/>
        <w:rPr>
          <w:rFonts w:ascii="宋体" w:hAnsi="宋体"/>
          <w:color w:val="auto"/>
          <w:highlight w:val="none"/>
        </w:rPr>
      </w:pPr>
      <w:r>
        <w:rPr>
          <w:rFonts w:ascii="宋体" w:hAnsi="宋体"/>
          <w:color w:val="auto"/>
          <w:highlight w:val="none"/>
        </w:rPr>
        <w:br w:type="page"/>
      </w:r>
      <w:bookmarkEnd w:id="60"/>
    </w:p>
    <w:p w14:paraId="0513F438">
      <w:pPr>
        <w:spacing w:line="460" w:lineRule="exact"/>
        <w:jc w:val="center"/>
        <w:rPr>
          <w:b/>
          <w:color w:val="auto"/>
          <w:kern w:val="36"/>
          <w:sz w:val="36"/>
          <w:szCs w:val="36"/>
          <w:highlight w:val="none"/>
        </w:rPr>
      </w:pPr>
      <w:r>
        <w:rPr>
          <w:rFonts w:hint="eastAsia"/>
          <w:b/>
          <w:color w:val="auto"/>
          <w:kern w:val="36"/>
          <w:sz w:val="36"/>
          <w:szCs w:val="36"/>
          <w:highlight w:val="none"/>
        </w:rPr>
        <w:t>廉洁合作协议</w:t>
      </w:r>
    </w:p>
    <w:p w14:paraId="210F710B">
      <w:pPr>
        <w:spacing w:line="460" w:lineRule="exact"/>
        <w:rPr>
          <w:color w:val="auto"/>
          <w:highlight w:val="none"/>
        </w:rPr>
      </w:pPr>
      <w:r>
        <w:rPr>
          <w:rFonts w:hint="eastAsia" w:cs="宋体"/>
          <w:color w:val="auto"/>
          <w:kern w:val="0"/>
          <w:highlight w:val="none"/>
        </w:rPr>
        <w:t>合同编号：</w:t>
      </w:r>
    </w:p>
    <w:p w14:paraId="5C2E7FEB">
      <w:pPr>
        <w:spacing w:line="460" w:lineRule="exact"/>
        <w:rPr>
          <w:rFonts w:cs="宋体"/>
          <w:b/>
          <w:color w:val="auto"/>
          <w:kern w:val="0"/>
          <w:highlight w:val="none"/>
        </w:rPr>
      </w:pPr>
      <w:r>
        <w:rPr>
          <w:rFonts w:hint="eastAsia" w:cs="宋体"/>
          <w:color w:val="auto"/>
          <w:kern w:val="0"/>
          <w:highlight w:val="none"/>
        </w:rPr>
        <w:t>甲方名称</w:t>
      </w:r>
      <w:r>
        <w:rPr>
          <w:rFonts w:cs="宋体"/>
          <w:color w:val="auto"/>
          <w:kern w:val="0"/>
          <w:highlight w:val="none"/>
        </w:rPr>
        <w:t>:</w:t>
      </w:r>
      <w:r>
        <w:rPr>
          <w:rFonts w:hint="eastAsia" w:cs="宋体"/>
          <w:color w:val="auto"/>
          <w:kern w:val="0"/>
          <w:highlight w:val="none"/>
        </w:rPr>
        <w:t xml:space="preserve"> </w:t>
      </w:r>
      <w:r>
        <w:rPr>
          <w:rFonts w:hint="eastAsia"/>
          <w:b/>
          <w:color w:val="auto"/>
          <w:highlight w:val="none"/>
        </w:rPr>
        <w:t>扬州大学附属医院</w:t>
      </w:r>
    </w:p>
    <w:p w14:paraId="0275D598">
      <w:pPr>
        <w:spacing w:line="460" w:lineRule="exact"/>
        <w:rPr>
          <w:color w:val="auto"/>
          <w:highlight w:val="none"/>
        </w:rPr>
      </w:pPr>
      <w:r>
        <w:rPr>
          <w:rFonts w:hint="eastAsia"/>
          <w:color w:val="auto"/>
          <w:highlight w:val="none"/>
        </w:rPr>
        <w:t>乙方</w:t>
      </w:r>
      <w:r>
        <w:rPr>
          <w:rFonts w:hint="eastAsia" w:cs="宋体"/>
          <w:color w:val="auto"/>
          <w:kern w:val="0"/>
          <w:highlight w:val="none"/>
        </w:rPr>
        <w:t>名称</w:t>
      </w:r>
      <w:r>
        <w:rPr>
          <w:rFonts w:hint="eastAsia"/>
          <w:color w:val="auto"/>
          <w:highlight w:val="none"/>
        </w:rPr>
        <w:t>：</w:t>
      </w:r>
    </w:p>
    <w:p w14:paraId="117B83C5">
      <w:pPr>
        <w:spacing w:line="340" w:lineRule="exact"/>
        <w:ind w:firstLine="420" w:firstLineChars="200"/>
        <w:rPr>
          <w:color w:val="auto"/>
          <w:kern w:val="0"/>
          <w:highlight w:val="none"/>
        </w:rPr>
      </w:pPr>
      <w:r>
        <w:rPr>
          <w:rFonts w:hint="eastAsia"/>
          <w:color w:val="auto"/>
          <w:kern w:val="0"/>
          <w:highlight w:val="none"/>
        </w:rPr>
        <w:t>在甲乙双方订立、履行合同过程中，为保持廉洁自律的工作作风，防止各种不正当行为的发生，甲乙双方订立协议如下：</w:t>
      </w:r>
    </w:p>
    <w:p w14:paraId="39F1D9FE">
      <w:pPr>
        <w:spacing w:line="340" w:lineRule="exact"/>
        <w:ind w:firstLine="420" w:firstLineChars="200"/>
        <w:rPr>
          <w:color w:val="auto"/>
          <w:kern w:val="0"/>
          <w:highlight w:val="none"/>
        </w:rPr>
      </w:pPr>
      <w:r>
        <w:rPr>
          <w:rFonts w:hint="eastAsia"/>
          <w:color w:val="auto"/>
          <w:kern w:val="0"/>
          <w:highlight w:val="none"/>
        </w:rPr>
        <w:t>一、甲乙双方应当自觉遵守国家、地方法律法规以及本协议的约定，在合同的订立、履行过程中廉洁自律。</w:t>
      </w:r>
    </w:p>
    <w:p w14:paraId="51D9202F">
      <w:pPr>
        <w:spacing w:line="340" w:lineRule="exact"/>
        <w:ind w:firstLine="420" w:firstLineChars="200"/>
        <w:rPr>
          <w:color w:val="auto"/>
          <w:kern w:val="0"/>
          <w:highlight w:val="none"/>
        </w:rPr>
      </w:pPr>
      <w:r>
        <w:rPr>
          <w:rFonts w:hint="eastAsia"/>
          <w:color w:val="auto"/>
          <w:kern w:val="0"/>
          <w:highlight w:val="none"/>
        </w:rPr>
        <w:t>二、甲方工作人员严禁进行商业目的的统方，不得以任何形式向乙方索要和收受个人回扣等好处费。</w:t>
      </w:r>
    </w:p>
    <w:p w14:paraId="683C002A">
      <w:pPr>
        <w:spacing w:line="340" w:lineRule="exact"/>
        <w:ind w:firstLine="420" w:firstLineChars="200"/>
        <w:rPr>
          <w:color w:val="auto"/>
          <w:kern w:val="0"/>
          <w:highlight w:val="none"/>
        </w:rPr>
      </w:pPr>
      <w:r>
        <w:rPr>
          <w:rFonts w:hint="eastAsia"/>
          <w:color w:val="auto"/>
          <w:kern w:val="0"/>
          <w:highlight w:val="none"/>
        </w:rPr>
        <w:t>三、甲方工作人员应当保持与乙方的正常业务交往，不得接受乙方的礼金、有价证券和贵重物品，不得在乙方报销任何应由其个人承担的费用。</w:t>
      </w:r>
    </w:p>
    <w:p w14:paraId="0C58A5C8">
      <w:pPr>
        <w:spacing w:line="340" w:lineRule="exact"/>
        <w:ind w:firstLine="420" w:firstLineChars="200"/>
        <w:rPr>
          <w:color w:val="auto"/>
          <w:kern w:val="0"/>
          <w:highlight w:val="none"/>
        </w:rPr>
      </w:pPr>
      <w:r>
        <w:rPr>
          <w:rFonts w:hint="eastAsia"/>
          <w:color w:val="auto"/>
          <w:kern w:val="0"/>
          <w:highlight w:val="none"/>
        </w:rPr>
        <w:t>四、甲方工作人员不得参加可能对公正开展业务有影响的宴请和娱乐活动。如甲方工作人员确因实际情况须参加宴请、进行娱乐活动的，须事先报上一级批准。</w:t>
      </w:r>
    </w:p>
    <w:p w14:paraId="71F5851B">
      <w:pPr>
        <w:spacing w:line="340" w:lineRule="exact"/>
        <w:ind w:firstLine="420" w:firstLineChars="200"/>
        <w:rPr>
          <w:color w:val="auto"/>
          <w:kern w:val="0"/>
          <w:highlight w:val="none"/>
        </w:rPr>
      </w:pPr>
      <w:r>
        <w:rPr>
          <w:rFonts w:hint="eastAsia"/>
          <w:color w:val="auto"/>
          <w:kern w:val="0"/>
          <w:highlight w:val="none"/>
        </w:rPr>
        <w:t>五、甲方工作人员不得要求或者接受乙方为其住房装修、婚丧嫁娶、家属和子女的工作安排以及出国等提供方便。</w:t>
      </w:r>
    </w:p>
    <w:p w14:paraId="1FB12DCB">
      <w:pPr>
        <w:spacing w:line="340" w:lineRule="exact"/>
        <w:ind w:firstLine="420" w:firstLineChars="200"/>
        <w:rPr>
          <w:color w:val="auto"/>
          <w:kern w:val="0"/>
          <w:highlight w:val="none"/>
        </w:rPr>
      </w:pPr>
      <w:r>
        <w:rPr>
          <w:rFonts w:hint="eastAsia"/>
          <w:color w:val="auto"/>
          <w:kern w:val="0"/>
          <w:highlight w:val="none"/>
        </w:rPr>
        <w:t>六、乙方不得接受甲方工作人员介绍的家属或者亲友从事与合同相关的业务。</w:t>
      </w:r>
    </w:p>
    <w:p w14:paraId="2A0F4A71">
      <w:pPr>
        <w:spacing w:line="340" w:lineRule="exact"/>
        <w:ind w:firstLine="420" w:firstLineChars="200"/>
        <w:rPr>
          <w:color w:val="auto"/>
          <w:kern w:val="0"/>
          <w:highlight w:val="none"/>
        </w:rPr>
      </w:pPr>
      <w:r>
        <w:rPr>
          <w:rFonts w:hint="eastAsia"/>
          <w:color w:val="auto"/>
          <w:kern w:val="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4C9FCD1">
      <w:pPr>
        <w:spacing w:line="340" w:lineRule="exact"/>
        <w:ind w:firstLine="420" w:firstLineChars="200"/>
        <w:rPr>
          <w:color w:val="auto"/>
          <w:kern w:val="0"/>
          <w:highlight w:val="none"/>
        </w:rPr>
      </w:pPr>
      <w:r>
        <w:rPr>
          <w:rFonts w:hint="eastAsia"/>
          <w:color w:val="auto"/>
          <w:kern w:val="0"/>
          <w:highlight w:val="none"/>
        </w:rPr>
        <w:t>八、乙方如发现甲方工作人员有违反上述协议者，应向甲方举报（甲方举报接待部门：纪委办公室；举报电</w:t>
      </w:r>
      <w:r>
        <w:rPr>
          <w:rFonts w:hint="eastAsia" w:ascii="宋体" w:hAnsi="宋体" w:eastAsia="宋体" w:cs="宋体"/>
          <w:color w:val="auto"/>
          <w:kern w:val="0"/>
          <w:highlight w:val="none"/>
        </w:rPr>
        <w:t>话：87907263）。</w:t>
      </w:r>
      <w:r>
        <w:rPr>
          <w:rFonts w:hint="eastAsia"/>
          <w:color w:val="auto"/>
          <w:kern w:val="0"/>
          <w:highlight w:val="none"/>
        </w:rPr>
        <w:t>甲方不得找任何借口对乙方进行报复。甲方对举报属实和严格遵守廉洁协议的乙方，在同等条件下优先考虑与乙方继续合作。</w:t>
      </w:r>
    </w:p>
    <w:p w14:paraId="0C28A087">
      <w:pPr>
        <w:spacing w:line="340" w:lineRule="exact"/>
        <w:ind w:firstLine="420" w:firstLineChars="200"/>
        <w:rPr>
          <w:color w:val="auto"/>
          <w:kern w:val="0"/>
          <w:highlight w:val="none"/>
        </w:rPr>
      </w:pPr>
      <w:r>
        <w:rPr>
          <w:rFonts w:hint="eastAsia"/>
          <w:color w:val="auto"/>
          <w:kern w:val="0"/>
          <w:highlight w:val="none"/>
        </w:rPr>
        <w:t>九、甲方发现乙方有违反本协议或者采用不正当的手段行贿甲方工作人员等不正当竞争行为的，甲方有权解除合同。</w:t>
      </w:r>
    </w:p>
    <w:p w14:paraId="1628F304">
      <w:pPr>
        <w:spacing w:line="340" w:lineRule="exact"/>
        <w:ind w:firstLine="315" w:firstLineChars="150"/>
        <w:rPr>
          <w:color w:val="auto"/>
          <w:kern w:val="0"/>
          <w:highlight w:val="none"/>
        </w:rPr>
      </w:pPr>
      <w:r>
        <w:rPr>
          <w:rFonts w:hint="eastAsia"/>
          <w:color w:val="auto"/>
          <w:kern w:val="0"/>
          <w:highlight w:val="none"/>
        </w:rPr>
        <w:t>十、本廉洁协议作为合同的附件，与合同具有同等法律效力。经协议双方签署后立即生效。</w:t>
      </w:r>
    </w:p>
    <w:p w14:paraId="711F5744">
      <w:pPr>
        <w:spacing w:line="340" w:lineRule="exact"/>
        <w:ind w:firstLine="420" w:firstLineChars="200"/>
        <w:rPr>
          <w:bCs/>
          <w:color w:val="auto"/>
          <w:highlight w:val="none"/>
        </w:rPr>
      </w:pPr>
      <w:r>
        <w:rPr>
          <w:rFonts w:hint="eastAsia"/>
          <w:color w:val="auto"/>
          <w:kern w:val="0"/>
          <w:highlight w:val="none"/>
        </w:rPr>
        <w:t>十一、</w:t>
      </w:r>
      <w:r>
        <w:rPr>
          <w:rFonts w:hint="eastAsia"/>
          <w:bCs/>
          <w:color w:val="auto"/>
          <w:highlight w:val="none"/>
        </w:rPr>
        <w:t>本合同正本一式</w:t>
      </w:r>
      <w:r>
        <w:rPr>
          <w:rFonts w:hint="eastAsia"/>
          <w:b/>
          <w:bCs/>
          <w:color w:val="auto"/>
          <w:highlight w:val="none"/>
          <w:u w:val="single"/>
        </w:rPr>
        <w:t>肆</w:t>
      </w:r>
      <w:r>
        <w:rPr>
          <w:rFonts w:hint="eastAsia"/>
          <w:bCs/>
          <w:color w:val="auto"/>
          <w:highlight w:val="none"/>
        </w:rPr>
        <w:t>份，</w:t>
      </w:r>
      <w:r>
        <w:rPr>
          <w:rFonts w:hint="eastAsia"/>
          <w:color w:val="auto"/>
          <w:highlight w:val="none"/>
          <w:lang w:val="zh-CN"/>
        </w:rPr>
        <w:t>甲方执</w:t>
      </w:r>
      <w:r>
        <w:rPr>
          <w:rFonts w:hint="eastAsia"/>
          <w:b/>
          <w:color w:val="auto"/>
          <w:highlight w:val="none"/>
          <w:u w:val="single"/>
        </w:rPr>
        <w:t>贰</w:t>
      </w:r>
      <w:r>
        <w:rPr>
          <w:rFonts w:hint="eastAsia"/>
          <w:color w:val="auto"/>
          <w:highlight w:val="none"/>
          <w:lang w:val="zh-CN"/>
        </w:rPr>
        <w:t>份，乙方执</w:t>
      </w:r>
      <w:r>
        <w:rPr>
          <w:rFonts w:hint="eastAsia"/>
          <w:b/>
          <w:color w:val="auto"/>
          <w:highlight w:val="none"/>
          <w:u w:val="single"/>
          <w:lang w:val="zh-CN"/>
        </w:rPr>
        <w:t>贰</w:t>
      </w:r>
      <w:r>
        <w:rPr>
          <w:rFonts w:hint="eastAsia"/>
          <w:color w:val="auto"/>
          <w:highlight w:val="none"/>
          <w:lang w:val="zh-CN"/>
        </w:rPr>
        <w:t>份，</w:t>
      </w:r>
      <w:r>
        <w:rPr>
          <w:rFonts w:hint="eastAsia"/>
          <w:color w:val="auto"/>
          <w:kern w:val="0"/>
          <w:highlight w:val="none"/>
        </w:rPr>
        <w:t>从签订之日起生效。</w:t>
      </w:r>
    </w:p>
    <w:p w14:paraId="2FDB494F">
      <w:pPr>
        <w:spacing w:line="340" w:lineRule="exact"/>
        <w:rPr>
          <w:color w:val="auto"/>
          <w:kern w:val="0"/>
          <w:highlight w:val="none"/>
        </w:rPr>
      </w:pPr>
    </w:p>
    <w:p w14:paraId="233C8664">
      <w:pPr>
        <w:spacing w:line="340" w:lineRule="exact"/>
        <w:ind w:left="5460" w:hanging="5460" w:hangingChars="2600"/>
        <w:contextualSpacing/>
        <w:rPr>
          <w:rFonts w:cs="宋体"/>
          <w:b/>
          <w:color w:val="auto"/>
          <w:kern w:val="0"/>
          <w:highlight w:val="none"/>
        </w:rPr>
      </w:pPr>
      <w:r>
        <w:rPr>
          <w:rFonts w:hint="eastAsia" w:cs="宋体"/>
          <w:color w:val="auto"/>
          <w:kern w:val="0"/>
          <w:highlight w:val="none"/>
        </w:rPr>
        <w:t>甲方：（盖章）</w:t>
      </w:r>
      <w:r>
        <w:rPr>
          <w:rFonts w:hint="eastAsia" w:cs="宋体"/>
          <w:b/>
          <w:color w:val="auto"/>
          <w:kern w:val="0"/>
          <w:highlight w:val="none"/>
        </w:rPr>
        <w:t>扬州大学附属医院</w:t>
      </w:r>
      <w:r>
        <w:rPr>
          <w:rFonts w:hint="eastAsia" w:cs="宋体"/>
          <w:color w:val="auto"/>
          <w:kern w:val="0"/>
          <w:highlight w:val="none"/>
        </w:rPr>
        <w:t xml:space="preserve">      </w:t>
      </w:r>
      <w:r>
        <w:rPr>
          <w:rFonts w:hint="eastAsia" w:cs="宋体"/>
          <w:color w:val="auto"/>
          <w:kern w:val="0"/>
          <w:highlight w:val="none"/>
          <w:lang w:val="en-US" w:eastAsia="zh-CN"/>
        </w:rPr>
        <w:t xml:space="preserve">    </w:t>
      </w:r>
      <w:r>
        <w:rPr>
          <w:rFonts w:hint="eastAsia" w:cs="宋体"/>
          <w:color w:val="auto"/>
          <w:kern w:val="0"/>
          <w:highlight w:val="none"/>
        </w:rPr>
        <w:t>乙方：（盖章）</w:t>
      </w:r>
    </w:p>
    <w:p w14:paraId="5F02DD9D">
      <w:pPr>
        <w:spacing w:line="340" w:lineRule="exact"/>
        <w:contextualSpacing/>
        <w:rPr>
          <w:rFonts w:cs="宋体"/>
          <w:color w:val="auto"/>
          <w:kern w:val="0"/>
          <w:highlight w:val="none"/>
        </w:rPr>
      </w:pPr>
      <w:r>
        <w:rPr>
          <w:rFonts w:hint="eastAsia" w:cs="宋体"/>
          <w:color w:val="auto"/>
          <w:kern w:val="0"/>
          <w:highlight w:val="none"/>
        </w:rPr>
        <w:t xml:space="preserve">法定代表人：                       </w:t>
      </w:r>
      <w:r>
        <w:rPr>
          <w:rFonts w:hint="eastAsia" w:cs="宋体"/>
          <w:color w:val="auto"/>
          <w:kern w:val="0"/>
          <w:highlight w:val="none"/>
          <w:lang w:val="en-US" w:eastAsia="zh-CN"/>
        </w:rPr>
        <w:t xml:space="preserve">    </w:t>
      </w:r>
      <w:r>
        <w:rPr>
          <w:rFonts w:hint="eastAsia" w:cs="宋体"/>
          <w:color w:val="auto"/>
          <w:kern w:val="0"/>
          <w:highlight w:val="none"/>
        </w:rPr>
        <w:t xml:space="preserve"> 法定代表人：</w:t>
      </w:r>
    </w:p>
    <w:p w14:paraId="5BF5076D">
      <w:pPr>
        <w:spacing w:line="340" w:lineRule="exact"/>
        <w:contextualSpacing/>
        <w:rPr>
          <w:rFonts w:cs="宋体"/>
          <w:color w:val="auto"/>
          <w:kern w:val="0"/>
          <w:highlight w:val="none"/>
        </w:rPr>
      </w:pPr>
      <w:r>
        <w:rPr>
          <w:rFonts w:hint="eastAsia" w:cs="宋体"/>
          <w:color w:val="auto"/>
          <w:kern w:val="0"/>
          <w:highlight w:val="none"/>
        </w:rPr>
        <w:t xml:space="preserve">（或授权签约人）：                 </w:t>
      </w:r>
      <w:r>
        <w:rPr>
          <w:rFonts w:hint="eastAsia" w:cs="宋体"/>
          <w:color w:val="auto"/>
          <w:kern w:val="0"/>
          <w:highlight w:val="none"/>
          <w:lang w:val="en-US" w:eastAsia="zh-CN"/>
        </w:rPr>
        <w:t xml:space="preserve">    </w:t>
      </w:r>
      <w:r>
        <w:rPr>
          <w:rFonts w:hint="eastAsia" w:cs="宋体"/>
          <w:color w:val="auto"/>
          <w:kern w:val="0"/>
          <w:highlight w:val="none"/>
        </w:rPr>
        <w:t>（或授权签约人）：</w:t>
      </w:r>
    </w:p>
    <w:p w14:paraId="1ABA2829">
      <w:pPr>
        <w:spacing w:line="340" w:lineRule="exact"/>
        <w:contextualSpacing/>
        <w:rPr>
          <w:rFonts w:cs="宋体"/>
          <w:color w:val="auto"/>
          <w:kern w:val="0"/>
          <w:highlight w:val="none"/>
        </w:rPr>
      </w:pPr>
    </w:p>
    <w:p w14:paraId="002B49BA">
      <w:pPr>
        <w:spacing w:line="340" w:lineRule="exact"/>
        <w:contextualSpacing/>
        <w:rPr>
          <w:rFonts w:cs="宋体"/>
          <w:color w:val="auto"/>
          <w:kern w:val="0"/>
          <w:highlight w:val="none"/>
        </w:rPr>
      </w:pPr>
    </w:p>
    <w:p w14:paraId="722979A1">
      <w:pPr>
        <w:spacing w:line="340" w:lineRule="exact"/>
        <w:contextualSpacing/>
        <w:rPr>
          <w:rFonts w:cs="宋体"/>
          <w:color w:val="auto"/>
          <w:kern w:val="0"/>
          <w:highlight w:val="none"/>
        </w:rPr>
        <w:sectPr>
          <w:footerReference r:id="rId6" w:type="default"/>
          <w:pgSz w:w="11906" w:h="16838"/>
          <w:pgMar w:top="1440" w:right="1800" w:bottom="1440" w:left="1800" w:header="1191" w:footer="992" w:gutter="0"/>
          <w:pgNumType w:fmt="decimal"/>
          <w:cols w:space="720" w:num="1"/>
          <w:docGrid w:type="lines" w:linePitch="312" w:charSpace="0"/>
        </w:sectPr>
      </w:pPr>
      <w:r>
        <w:rPr>
          <w:rFonts w:hint="eastAsia" w:cs="宋体"/>
          <w:color w:val="auto"/>
          <w:kern w:val="0"/>
          <w:highlight w:val="none"/>
        </w:rPr>
        <w:t>日  期:</w:t>
      </w:r>
      <w:r>
        <w:rPr>
          <w:rFonts w:hint="eastAsia" w:cs="宋体"/>
          <w:color w:val="auto"/>
          <w:kern w:val="0"/>
          <w:highlight w:val="none"/>
          <w:lang w:val="en-US" w:eastAsia="zh-CN"/>
        </w:rPr>
        <w:t xml:space="preserve">   </w:t>
      </w:r>
      <w:r>
        <w:rPr>
          <w:rFonts w:hint="eastAsia" w:cs="宋体"/>
          <w:color w:val="auto"/>
          <w:kern w:val="0"/>
          <w:highlight w:val="none"/>
        </w:rPr>
        <w:t>年</w:t>
      </w:r>
      <w:r>
        <w:rPr>
          <w:rFonts w:hint="eastAsia" w:cs="宋体"/>
          <w:color w:val="auto"/>
          <w:kern w:val="0"/>
          <w:highlight w:val="none"/>
          <w:lang w:val="en-US" w:eastAsia="zh-CN"/>
        </w:rPr>
        <w:t xml:space="preserve">   </w:t>
      </w:r>
      <w:r>
        <w:rPr>
          <w:rFonts w:hint="eastAsia" w:cs="宋体"/>
          <w:color w:val="auto"/>
          <w:kern w:val="0"/>
          <w:highlight w:val="none"/>
        </w:rPr>
        <w:t xml:space="preserve">月   日          </w:t>
      </w:r>
      <w:r>
        <w:rPr>
          <w:rFonts w:hint="eastAsia" w:cs="宋体"/>
          <w:color w:val="auto"/>
          <w:kern w:val="0"/>
          <w:highlight w:val="none"/>
          <w:lang w:val="en-US" w:eastAsia="zh-CN"/>
        </w:rPr>
        <w:t xml:space="preserve">       </w:t>
      </w:r>
      <w:r>
        <w:rPr>
          <w:rFonts w:hint="eastAsia" w:cs="宋体"/>
          <w:color w:val="auto"/>
          <w:kern w:val="0"/>
          <w:highlight w:val="none"/>
        </w:rPr>
        <w:t xml:space="preserve">  日  期：</w:t>
      </w:r>
      <w:r>
        <w:rPr>
          <w:rFonts w:hint="eastAsia" w:cs="宋体"/>
          <w:color w:val="auto"/>
          <w:kern w:val="0"/>
          <w:highlight w:val="none"/>
          <w:lang w:val="en-US" w:eastAsia="zh-CN"/>
        </w:rPr>
        <w:t xml:space="preserve">   </w:t>
      </w:r>
      <w:r>
        <w:rPr>
          <w:rFonts w:hint="eastAsia" w:cs="宋体"/>
          <w:color w:val="auto"/>
          <w:kern w:val="0"/>
          <w:highlight w:val="none"/>
        </w:rPr>
        <w:t>年</w:t>
      </w:r>
      <w:r>
        <w:rPr>
          <w:rFonts w:hint="eastAsia" w:cs="宋体"/>
          <w:color w:val="auto"/>
          <w:kern w:val="0"/>
          <w:highlight w:val="none"/>
          <w:lang w:val="en-US" w:eastAsia="zh-CN"/>
        </w:rPr>
        <w:t xml:space="preserve">   </w:t>
      </w:r>
      <w:r>
        <w:rPr>
          <w:rFonts w:hint="eastAsia" w:cs="宋体"/>
          <w:color w:val="auto"/>
          <w:kern w:val="0"/>
          <w:highlight w:val="none"/>
        </w:rPr>
        <w:t>月   日</w:t>
      </w:r>
    </w:p>
    <w:p w14:paraId="2E838A87">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ascii="宋体" w:hAnsi="宋体"/>
          <w:color w:val="auto"/>
          <w:highlight w:val="none"/>
        </w:rPr>
      </w:pPr>
      <w:r>
        <w:rPr>
          <w:rFonts w:hint="eastAsia" w:ascii="宋体" w:hAnsi="宋体"/>
          <w:color w:val="auto"/>
          <w:highlight w:val="none"/>
        </w:rPr>
        <w:t>项目需求</w:t>
      </w:r>
    </w:p>
    <w:p w14:paraId="020BE716">
      <w:pPr>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auto"/>
          <w:szCs w:val="21"/>
          <w:highlight w:val="none"/>
        </w:rPr>
      </w:pPr>
      <w:bookmarkStart w:id="61" w:name="_Toc319408306"/>
      <w:bookmarkStart w:id="62" w:name="_Toc55204181"/>
      <w:r>
        <w:rPr>
          <w:rFonts w:hint="eastAsia" w:ascii="宋体" w:hAnsi="宋体" w:cs="宋体"/>
          <w:b/>
          <w:bCs/>
          <w:color w:val="auto"/>
          <w:szCs w:val="21"/>
          <w:highlight w:val="none"/>
        </w:rPr>
        <w:t>注： 本章内容里斜体且有下划线部分为实质性要求和条件，投标文件不满足的，视为无效投标处理。</w:t>
      </w:r>
    </w:p>
    <w:bookmarkEnd w:id="61"/>
    <w:p w14:paraId="774E7B2C">
      <w:pPr>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采购清单：</w:t>
      </w:r>
    </w:p>
    <w:p w14:paraId="630F6BC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技术要求及报价清单</w:t>
      </w:r>
    </w:p>
    <w:p w14:paraId="00CA2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采购包1：肠内营养配制固体饮料包</w:t>
      </w:r>
    </w:p>
    <w:tbl>
      <w:tblPr>
        <w:tblStyle w:val="23"/>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07"/>
        <w:gridCol w:w="3487"/>
        <w:gridCol w:w="1025"/>
        <w:gridCol w:w="1510"/>
        <w:gridCol w:w="1223"/>
      </w:tblGrid>
      <w:tr w14:paraId="263B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7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5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8198">
            <w:pPr>
              <w:keepNext w:val="0"/>
              <w:keepLines w:val="0"/>
              <w:widowControl/>
              <w:suppressLineNumbers w:val="0"/>
              <w:snapToGrid w:val="0"/>
              <w:ind w:left="0" w:leftChars="0" w:right="0" w:rightChars="0" w:firstLine="0" w:firstLineChars="0"/>
              <w:jc w:val="center"/>
              <w:textAlignment w:val="center"/>
              <w:rPr>
                <w:rFonts w:hint="eastAsia"/>
                <w:b w:val="0"/>
                <w:bCs/>
                <w:sz w:val="21"/>
                <w:szCs w:val="21"/>
                <w:highlight w:val="none"/>
              </w:rPr>
            </w:pPr>
            <w:r>
              <w:rPr>
                <w:rFonts w:hint="eastAsia" w:ascii="宋体" w:hAnsi="宋体" w:cs="宋体"/>
                <w:b w:val="0"/>
                <w:bCs/>
                <w:i w:val="0"/>
                <w:iCs w:val="0"/>
                <w:color w:val="000000"/>
                <w:kern w:val="0"/>
                <w:sz w:val="21"/>
                <w:szCs w:val="21"/>
                <w:highlight w:val="none"/>
                <w:u w:val="none"/>
                <w:lang w:val="en-US" w:eastAsia="zh-CN" w:bidi="ar"/>
              </w:rPr>
              <w:t>技术</w:t>
            </w:r>
            <w:r>
              <w:rPr>
                <w:rFonts w:hint="eastAsia" w:ascii="宋体" w:hAnsi="宋体" w:eastAsia="宋体" w:cs="宋体"/>
                <w:b w:val="0"/>
                <w:bCs/>
                <w:i w:val="0"/>
                <w:iCs w:val="0"/>
                <w:color w:val="000000"/>
                <w:kern w:val="0"/>
                <w:sz w:val="21"/>
                <w:szCs w:val="21"/>
                <w:highlight w:val="none"/>
                <w:u w:val="none"/>
                <w:lang w:val="en-US" w:eastAsia="zh-CN" w:bidi="ar"/>
              </w:rPr>
              <w:t>参数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C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1A7FF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6FC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w:t>
            </w:r>
            <w:r>
              <w:rPr>
                <w:rFonts w:hint="eastAsia" w:ascii="宋体" w:hAnsi="宋体" w:cs="宋体"/>
                <w:b w:val="0"/>
                <w:bCs/>
                <w:i w:val="0"/>
                <w:iCs w:val="0"/>
                <w:color w:val="000000"/>
                <w:kern w:val="0"/>
                <w:sz w:val="21"/>
                <w:szCs w:val="21"/>
                <w:highlight w:val="none"/>
                <w:u w:val="none"/>
                <w:lang w:val="en-US" w:eastAsia="zh-CN" w:bidi="ar"/>
              </w:rPr>
              <w:t>最高限价</w:t>
            </w:r>
          </w:p>
          <w:p w14:paraId="6709C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0967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E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A3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default" w:ascii="宋体" w:hAnsi="宋体" w:eastAsia="宋体" w:cs="宋体"/>
                <w:b w:val="0"/>
                <w:bCs/>
                <w:i w:val="0"/>
                <w:iCs w:val="0"/>
                <w:color w:val="000000"/>
                <w:sz w:val="21"/>
                <w:szCs w:val="21"/>
                <w:highlight w:val="none"/>
                <w:u w:val="none"/>
                <w:lang w:val="en-US" w:eastAsia="zh-CN"/>
              </w:rPr>
              <w:t>匀浆膳常规型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B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1.碳水化合物含量59-61g/100g；</w:t>
            </w:r>
          </w:p>
          <w:p w14:paraId="117231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2.蛋白质含量12-20g/100g；</w:t>
            </w:r>
          </w:p>
          <w:p w14:paraId="4A7DA4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3.脂肪含量10g-15g/100g。</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4E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195988</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BD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9D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1D9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E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E3B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匀浆膳纤维型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3D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1.碳水化合物含量55-57g/100g；</w:t>
            </w:r>
          </w:p>
          <w:p w14:paraId="03F59B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2.蛋白质含量12-20g/100g；</w:t>
            </w:r>
          </w:p>
          <w:p w14:paraId="3EE5B2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3.脂肪含量10-15g/100g；</w:t>
            </w:r>
          </w:p>
          <w:p w14:paraId="0D8CDF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4.膳食纤维含量≥</w:t>
            </w:r>
            <w:r>
              <w:rPr>
                <w:rFonts w:hint="eastAsia" w:ascii="宋体" w:hAnsi="宋体" w:cs="宋体"/>
                <w:b w:val="0"/>
                <w:bCs/>
                <w:i w:val="0"/>
                <w:iCs w:val="0"/>
                <w:color w:val="000000"/>
                <w:sz w:val="21"/>
                <w:szCs w:val="21"/>
                <w:highlight w:val="none"/>
                <w:u w:val="none"/>
                <w:lang w:val="en-US" w:eastAsia="zh-CN"/>
              </w:rPr>
              <w:t>7</w:t>
            </w:r>
            <w:r>
              <w:rPr>
                <w:rFonts w:hint="eastAsia" w:ascii="宋体" w:hAnsi="宋体" w:eastAsia="宋体" w:cs="宋体"/>
                <w:b w:val="0"/>
                <w:bCs/>
                <w:i w:val="0"/>
                <w:iCs w:val="0"/>
                <w:color w:val="000000"/>
                <w:sz w:val="21"/>
                <w:szCs w:val="21"/>
                <w:highlight w:val="none"/>
                <w:u w:val="none"/>
              </w:rPr>
              <w:t>g/100g。</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03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195988</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B3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19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6F4B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C7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短肽型肠内营养制剂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C5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1.碳水化合物含量67-68g/100g；</w:t>
            </w:r>
          </w:p>
          <w:p w14:paraId="198B20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2.蛋白质含量15-20g/100g；</w:t>
            </w:r>
          </w:p>
          <w:p w14:paraId="50A5E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3.脂肪含量4-15g/100；</w:t>
            </w:r>
          </w:p>
          <w:p w14:paraId="70EE73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4.蛋白质来源为水解乳清蛋白，蛋白质含量≥16.0g/100g；</w:t>
            </w:r>
          </w:p>
          <w:p w14:paraId="6BEF7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5.添加中链脂肪酸，不含膳食纤维。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06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500000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1F1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0.55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6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18FB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6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A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代餐粉</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E2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1.碳水化合物含量36-40g/100g；</w:t>
            </w:r>
          </w:p>
          <w:p w14:paraId="5B7725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2.蛋白质含量22-30g/100g；</w:t>
            </w:r>
          </w:p>
          <w:p w14:paraId="509EC0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3.脂肪含量6-7g/100；</w:t>
            </w:r>
          </w:p>
          <w:p w14:paraId="0351D8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4.膳食纤维含量≥27.0g/100g。</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1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195523</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16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0.92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E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022A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1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高蛋白型肠内营养制剂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7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1.碳水化合物含量50-60g/100g；</w:t>
            </w:r>
          </w:p>
          <w:p w14:paraId="54B5D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2.蛋白质含量23-24g/100g；</w:t>
            </w:r>
          </w:p>
          <w:p w14:paraId="124A1E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3.脂肪含量11-18g/100g；</w:t>
            </w:r>
          </w:p>
          <w:p w14:paraId="5A6595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4.蛋白质中乳清蛋白含量≥50%。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B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500000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2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0.49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B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DAB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9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2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肾病型肠内营养制剂（透析型）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8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1.碳水化合物含量52-53g/100g；</w:t>
            </w:r>
          </w:p>
          <w:p w14:paraId="2A347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2.蛋白质含量18-20g/100；</w:t>
            </w:r>
          </w:p>
          <w:p w14:paraId="2C6D54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3.脂肪含量15-20g/100g；</w:t>
            </w:r>
          </w:p>
          <w:p w14:paraId="2DF7A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4.蛋白质100%来源于乳清蛋白；</w:t>
            </w:r>
          </w:p>
          <w:p w14:paraId="1A7C5E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5.钠含量≤70mg/100g。</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130000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6A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0.43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D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37E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2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D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肾病型肠内营养</w:t>
            </w:r>
            <w:r>
              <w:rPr>
                <w:rFonts w:hint="eastAsia" w:ascii="宋体" w:hAnsi="宋体" w:cs="宋体"/>
                <w:b w:val="0"/>
                <w:bCs/>
                <w:i w:val="0"/>
                <w:iCs w:val="0"/>
                <w:color w:val="000000"/>
                <w:sz w:val="21"/>
                <w:szCs w:val="21"/>
                <w:highlight w:val="none"/>
                <w:u w:val="none"/>
                <w:lang w:val="en-US" w:eastAsia="zh-CN"/>
              </w:rPr>
              <w:t>制剂</w:t>
            </w:r>
            <w:r>
              <w:rPr>
                <w:rFonts w:hint="eastAsia" w:ascii="宋体" w:hAnsi="宋体" w:eastAsia="宋体" w:cs="宋体"/>
                <w:b w:val="0"/>
                <w:bCs/>
                <w:i w:val="0"/>
                <w:iCs w:val="0"/>
                <w:color w:val="000000"/>
                <w:sz w:val="21"/>
                <w:szCs w:val="21"/>
                <w:highlight w:val="none"/>
                <w:u w:val="none"/>
              </w:rPr>
              <w:t>（非透析型）</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80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1.碳水化合物含量66-67g/100g；</w:t>
            </w:r>
          </w:p>
          <w:p w14:paraId="388CED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2.蛋白质含量4-10g/100g；</w:t>
            </w:r>
          </w:p>
          <w:p w14:paraId="5A33B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3.脂肪含量14-18g/100g；</w:t>
            </w:r>
          </w:p>
          <w:p w14:paraId="351ED0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4.蛋白质100%来源于乳清蛋白；</w:t>
            </w:r>
          </w:p>
          <w:p w14:paraId="49AF5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5.钠含量≤40mg/100g。</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74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130000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88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7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FC6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AC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E94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支链氨基酸型肠内营养制剂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51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1.碳水化合物含量63-67g/100g；</w:t>
            </w:r>
          </w:p>
          <w:p w14:paraId="2D7290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2.蛋白质含量12-13g/100g；</w:t>
            </w:r>
          </w:p>
          <w:p w14:paraId="6FEEB7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3.脂肪含量10-15g/100g；</w:t>
            </w:r>
          </w:p>
          <w:p w14:paraId="597A9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4.支链氨基酸含量≥4.5g/100g；</w:t>
            </w:r>
          </w:p>
          <w:p w14:paraId="5BCA46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5.蛋白质100%来源于乳清蛋白。</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1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160000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4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0.65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6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EBC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6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291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高蛋白高脂型肠内营养制剂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95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1.碳水化合物含量40-42g/100g；</w:t>
            </w:r>
          </w:p>
          <w:p w14:paraId="4052A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2.蛋白质含量22-23g/100g；</w:t>
            </w:r>
          </w:p>
          <w:p w14:paraId="062ABA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3.脂肪含量20-25g/100g；</w:t>
            </w:r>
          </w:p>
          <w:p w14:paraId="2C17E2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4.蛋白质100%来源于乳清蛋白；</w:t>
            </w:r>
          </w:p>
          <w:p w14:paraId="31123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5.添加中链脂肪酸。</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F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150001</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6F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0.75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3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375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A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BDD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低脂型肠内营养制剂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D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1.碳水化合物含量70-72g/100g；</w:t>
            </w:r>
          </w:p>
          <w:p w14:paraId="7AC8C7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2.蛋白质含量12-20g/100g；</w:t>
            </w:r>
          </w:p>
          <w:p w14:paraId="2F00C9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3.脂肪含量≤3g/100g。</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AE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150000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3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0.45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3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0FA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5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90B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低GI型肠内营养制剂</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36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1.碳水化合物含量45-55g/100g；</w:t>
            </w:r>
          </w:p>
          <w:p w14:paraId="215F7D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2.蛋白质含量16-20g/100g；</w:t>
            </w:r>
          </w:p>
          <w:p w14:paraId="20423C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3.脂肪含量15-18g/100g；</w:t>
            </w:r>
          </w:p>
          <w:p w14:paraId="79BCE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4.膳食纤维含量≥</w:t>
            </w:r>
            <w:r>
              <w:rPr>
                <w:rFonts w:hint="eastAsia" w:ascii="宋体" w:hAnsi="宋体" w:cs="宋体"/>
                <w:b w:val="0"/>
                <w:bCs/>
                <w:i w:val="0"/>
                <w:iCs w:val="0"/>
                <w:color w:val="000000"/>
                <w:sz w:val="21"/>
                <w:szCs w:val="21"/>
                <w:highlight w:val="none"/>
                <w:u w:val="none"/>
                <w:lang w:val="en-US" w:eastAsia="zh-CN"/>
              </w:rPr>
              <w:t>6</w:t>
            </w:r>
            <w:r>
              <w:rPr>
                <w:rFonts w:hint="eastAsia" w:ascii="宋体" w:hAnsi="宋体" w:eastAsia="宋体" w:cs="宋体"/>
                <w:b w:val="0"/>
                <w:bCs/>
                <w:i w:val="0"/>
                <w:iCs w:val="0"/>
                <w:color w:val="000000"/>
                <w:sz w:val="21"/>
                <w:szCs w:val="21"/>
                <w:highlight w:val="none"/>
                <w:u w:val="none"/>
              </w:rPr>
              <w:t>g/100g。</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375000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3F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0.45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A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E07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A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8C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default" w:ascii="宋体" w:hAnsi="宋体" w:eastAsia="宋体" w:cs="宋体"/>
                <w:b w:val="0"/>
                <w:bCs/>
                <w:i w:val="0"/>
                <w:iCs w:val="0"/>
                <w:color w:val="000000"/>
                <w:sz w:val="21"/>
                <w:szCs w:val="21"/>
                <w:highlight w:val="none"/>
                <w:u w:val="none"/>
                <w:lang w:val="en-US" w:eastAsia="zh-CN"/>
              </w:rPr>
              <w:t>水溶性维生素组件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51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lang w:eastAsia="zh-CN"/>
              </w:rPr>
            </w:pPr>
            <w:r>
              <w:rPr>
                <w:rFonts w:hint="eastAsia" w:ascii="宋体" w:hAnsi="宋体" w:eastAsia="宋体" w:cs="宋体"/>
                <w:b w:val="0"/>
                <w:bCs/>
                <w:i w:val="0"/>
                <w:iCs w:val="0"/>
                <w:color w:val="000000"/>
                <w:sz w:val="21"/>
                <w:szCs w:val="21"/>
                <w:highlight w:val="none"/>
                <w:u w:val="none"/>
              </w:rPr>
              <w:t>含水溶性维生素：维生素C、维生素B</w:t>
            </w:r>
            <w:r>
              <w:rPr>
                <w:rFonts w:hint="eastAsia" w:ascii="宋体" w:hAnsi="宋体" w:eastAsia="宋体" w:cs="宋体"/>
                <w:b w:val="0"/>
                <w:bCs/>
                <w:i w:val="0"/>
                <w:iCs w:val="0"/>
                <w:color w:val="000000"/>
                <w:sz w:val="21"/>
                <w:szCs w:val="21"/>
                <w:highlight w:val="none"/>
                <w:u w:val="none"/>
                <w:vertAlign w:val="subscript"/>
              </w:rPr>
              <w:t>1</w:t>
            </w:r>
            <w:r>
              <w:rPr>
                <w:rFonts w:hint="eastAsia" w:ascii="宋体" w:hAnsi="宋体" w:eastAsia="宋体" w:cs="宋体"/>
                <w:b w:val="0"/>
                <w:bCs/>
                <w:i w:val="0"/>
                <w:iCs w:val="0"/>
                <w:color w:val="000000"/>
                <w:sz w:val="21"/>
                <w:szCs w:val="21"/>
                <w:highlight w:val="none"/>
                <w:u w:val="none"/>
              </w:rPr>
              <w:t>、维生素B</w:t>
            </w:r>
            <w:r>
              <w:rPr>
                <w:rFonts w:hint="eastAsia" w:ascii="宋体" w:hAnsi="宋体" w:eastAsia="宋体" w:cs="宋体"/>
                <w:b w:val="0"/>
                <w:bCs/>
                <w:i w:val="0"/>
                <w:iCs w:val="0"/>
                <w:color w:val="000000"/>
                <w:sz w:val="21"/>
                <w:szCs w:val="21"/>
                <w:highlight w:val="none"/>
                <w:u w:val="none"/>
                <w:vertAlign w:val="subscript"/>
              </w:rPr>
              <w:t>2</w:t>
            </w:r>
            <w:r>
              <w:rPr>
                <w:rFonts w:hint="eastAsia" w:ascii="宋体" w:hAnsi="宋体" w:eastAsia="宋体" w:cs="宋体"/>
                <w:b w:val="0"/>
                <w:bCs/>
                <w:i w:val="0"/>
                <w:iCs w:val="0"/>
                <w:color w:val="000000"/>
                <w:sz w:val="21"/>
                <w:szCs w:val="21"/>
                <w:highlight w:val="none"/>
                <w:u w:val="none"/>
              </w:rPr>
              <w:t>、维生素B</w:t>
            </w:r>
            <w:r>
              <w:rPr>
                <w:rFonts w:hint="eastAsia" w:ascii="宋体" w:hAnsi="宋体" w:eastAsia="宋体" w:cs="宋体"/>
                <w:b w:val="0"/>
                <w:bCs/>
                <w:i w:val="0"/>
                <w:iCs w:val="0"/>
                <w:color w:val="000000"/>
                <w:sz w:val="21"/>
                <w:szCs w:val="21"/>
                <w:highlight w:val="none"/>
                <w:u w:val="none"/>
                <w:vertAlign w:val="subscript"/>
              </w:rPr>
              <w:t>6</w:t>
            </w:r>
            <w:r>
              <w:rPr>
                <w:rFonts w:hint="eastAsia" w:ascii="宋体" w:hAnsi="宋体" w:eastAsia="宋体" w:cs="宋体"/>
                <w:b w:val="0"/>
                <w:bCs/>
                <w:i w:val="0"/>
                <w:iCs w:val="0"/>
                <w:color w:val="000000"/>
                <w:sz w:val="21"/>
                <w:szCs w:val="21"/>
                <w:highlight w:val="none"/>
                <w:u w:val="none"/>
              </w:rPr>
              <w:t>、维生素B</w:t>
            </w:r>
            <w:r>
              <w:rPr>
                <w:rFonts w:hint="eastAsia" w:ascii="宋体" w:hAnsi="宋体" w:eastAsia="宋体" w:cs="宋体"/>
                <w:b w:val="0"/>
                <w:bCs/>
                <w:i w:val="0"/>
                <w:iCs w:val="0"/>
                <w:color w:val="000000"/>
                <w:sz w:val="21"/>
                <w:szCs w:val="21"/>
                <w:highlight w:val="none"/>
                <w:u w:val="none"/>
                <w:vertAlign w:val="subscript"/>
              </w:rPr>
              <w:t>12</w:t>
            </w:r>
            <w:r>
              <w:rPr>
                <w:rFonts w:hint="eastAsia" w:ascii="宋体" w:hAnsi="宋体" w:eastAsia="宋体" w:cs="宋体"/>
                <w:b w:val="0"/>
                <w:bCs/>
                <w:i w:val="0"/>
                <w:iCs w:val="0"/>
                <w:color w:val="000000"/>
                <w:sz w:val="21"/>
                <w:szCs w:val="21"/>
                <w:highlight w:val="none"/>
                <w:u w:val="none"/>
              </w:rPr>
              <w:t>、泛酸、烟酸、叶酸、生物素、胆碱等</w:t>
            </w:r>
            <w:r>
              <w:rPr>
                <w:rFonts w:hint="eastAsia" w:ascii="宋体" w:hAnsi="宋体" w:cs="宋体"/>
                <w:b w:val="0"/>
                <w:bCs/>
                <w:i w:val="0"/>
                <w:iCs w:val="0"/>
                <w:color w:val="000000"/>
                <w:sz w:val="21"/>
                <w:szCs w:val="21"/>
                <w:highlight w:val="none"/>
                <w:u w:val="none"/>
                <w:lang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A8B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F41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0.6</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CA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688E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C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FFD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脂溶性维生素组件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25A4">
            <w:pPr>
              <w:keepNext w:val="0"/>
              <w:keepLines w:val="0"/>
              <w:widowControl/>
              <w:suppressLineNumbers w:val="0"/>
              <w:snapToGrid w:val="0"/>
              <w:ind w:right="0" w:right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含脂溶性维生素：维生素A、维生素D、维生素E等。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4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3D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8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825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9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5AD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default" w:ascii="宋体" w:hAnsi="宋体" w:eastAsia="宋体" w:cs="宋体"/>
                <w:b w:val="0"/>
                <w:bCs/>
                <w:i w:val="0"/>
                <w:iCs w:val="0"/>
                <w:color w:val="000000"/>
                <w:sz w:val="21"/>
                <w:szCs w:val="21"/>
                <w:highlight w:val="none"/>
                <w:u w:val="none"/>
                <w:lang w:val="en-US" w:eastAsia="zh-CN"/>
              </w:rPr>
              <w:t>微量元素组件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A2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含微量元素：铁、铜、锰、锌、硒、碘等。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4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B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7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5CBB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7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42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膳食纤维组件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5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1.可溶性膳食纤维含量≥90g/100g；</w:t>
            </w:r>
          </w:p>
          <w:p w14:paraId="3A1237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2.含有菊粉、水苏糖、低聚果糖。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0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5B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32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0428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8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6E9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麦芽糊精组件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9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1.碳水化合物含量≥95g/100g；</w:t>
            </w:r>
          </w:p>
          <w:p w14:paraId="1E98D5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2.含麦芽糊精、抗性糊精。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3D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3060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2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0.02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7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0210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9B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0A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中链脂肪酸组件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2C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中链脂肪酸含量≥70g/100g。</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F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25000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7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C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E6C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5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37B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谷氨酰胺组件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F6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1.谷氨酰胺含量≥90g/100g；</w:t>
            </w:r>
          </w:p>
          <w:p w14:paraId="27606B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2.肽类7-8g/100g。</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E3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29000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27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1.58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3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5145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09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3F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益生菌组件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80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1.益生菌种类≥6种；</w:t>
            </w:r>
          </w:p>
          <w:p w14:paraId="14AFF1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2.出厂活菌数≥400亿CFU/袋；</w:t>
            </w:r>
          </w:p>
          <w:p w14:paraId="512CF0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3.含有鼠李糖乳酪杆菌、嗜酸乳杆菌、两歧双歧杆菌、植物乳杆菌、植物乳植杆菌等；</w:t>
            </w:r>
          </w:p>
          <w:p w14:paraId="3CD5DC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4.含膳食纤维。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03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36550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97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4.95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D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F77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4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E82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谷氨酰胺益生菌组件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79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1.蛋白质含量50-60g/100g；</w:t>
            </w:r>
          </w:p>
          <w:p w14:paraId="4F2F26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2.碳水化合物含量40-45g/100g，不含脂肪；</w:t>
            </w:r>
          </w:p>
          <w:p w14:paraId="382E0E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3.益生菌种类≥4种，活性乳酸菌添加量≥100亿CFU/袋；</w:t>
            </w:r>
          </w:p>
          <w:p w14:paraId="4FA4DA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4.谷氨酰胺含量≥47g/100g；</w:t>
            </w:r>
          </w:p>
          <w:p w14:paraId="55850D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5.含水苏糖、胶原蛋白肽。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3C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22400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A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B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051E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7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4BF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乳清蛋白组件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55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1.蛋白质含量≥80g/100g；</w:t>
            </w:r>
          </w:p>
          <w:p w14:paraId="6760C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2.脂肪含量3-7g/100g；</w:t>
            </w:r>
          </w:p>
          <w:p w14:paraId="4B6D2C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3.碳水化合物含量5-9g/100g；</w:t>
            </w:r>
          </w:p>
          <w:p w14:paraId="2DD80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4.蛋白来源为浓缩乳清蛋白和分离乳清蛋白。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E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900000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9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0.55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2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7795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9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9B0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水解蛋白液组件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0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1.蛋白质含量≥37.0g/100ml；</w:t>
            </w:r>
          </w:p>
          <w:p w14:paraId="3E816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2.含水解乳清蛋白、牛胶原蛋白肽、白蛋白肽。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C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64872</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F6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2.21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C4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2A9E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D7C">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i w:val="0"/>
                <w:iCs w:val="0"/>
                <w:color w:val="000000"/>
                <w:sz w:val="21"/>
                <w:szCs w:val="21"/>
                <w:highlight w:val="none"/>
                <w:u w:val="none"/>
                <w:lang w:val="en-US"/>
              </w:rPr>
            </w:pPr>
            <w:r>
              <w:rPr>
                <w:rFonts w:hint="default" w:ascii="宋体" w:hAnsi="宋体" w:eastAsia="宋体" w:cs="宋体"/>
                <w:b w:val="0"/>
                <w:bCs/>
                <w:i w:val="0"/>
                <w:iCs w:val="0"/>
                <w:color w:val="000000"/>
                <w:sz w:val="21"/>
                <w:szCs w:val="21"/>
                <w:highlight w:val="none"/>
                <w:u w:val="none"/>
                <w:lang w:val="en-US"/>
              </w:rPr>
              <w:t>可溶性膳食纤维</w:t>
            </w:r>
            <w:r>
              <w:rPr>
                <w:rFonts w:hint="eastAsia" w:ascii="宋体" w:hAnsi="宋体" w:cs="宋体"/>
                <w:b w:val="0"/>
                <w:bCs/>
                <w:i w:val="0"/>
                <w:iCs w:val="0"/>
                <w:color w:val="000000"/>
                <w:sz w:val="21"/>
                <w:szCs w:val="21"/>
                <w:highlight w:val="none"/>
                <w:u w:val="none"/>
                <w:lang w:val="en-US" w:eastAsia="zh-CN"/>
              </w:rPr>
              <w:t>液</w:t>
            </w:r>
            <w:r>
              <w:rPr>
                <w:rFonts w:hint="default" w:ascii="宋体" w:hAnsi="宋体" w:eastAsia="宋体" w:cs="宋体"/>
                <w:b w:val="0"/>
                <w:bCs/>
                <w:i w:val="0"/>
                <w:iCs w:val="0"/>
                <w:color w:val="000000"/>
                <w:sz w:val="21"/>
                <w:szCs w:val="21"/>
                <w:highlight w:val="none"/>
                <w:u w:val="none"/>
                <w:lang w:val="en-US"/>
              </w:rPr>
              <w:t>组件</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7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w:t>
            </w:r>
            <w:r>
              <w:rPr>
                <w:rFonts w:hint="eastAsia" w:ascii="宋体" w:hAnsi="宋体" w:cs="宋体"/>
                <w:b w:val="0"/>
                <w:bCs/>
                <w:i w:val="0"/>
                <w:iCs w:val="0"/>
                <w:color w:val="000000"/>
                <w:sz w:val="21"/>
                <w:szCs w:val="21"/>
                <w:highlight w:val="none"/>
                <w:u w:val="none"/>
                <w:lang w:val="en-US" w:eastAsia="zh-CN"/>
              </w:rPr>
              <w:t>可溶性</w:t>
            </w:r>
            <w:r>
              <w:rPr>
                <w:rFonts w:hint="eastAsia" w:ascii="宋体" w:hAnsi="宋体" w:eastAsia="宋体" w:cs="宋体"/>
                <w:b w:val="0"/>
                <w:bCs/>
                <w:i w:val="0"/>
                <w:iCs w:val="0"/>
                <w:color w:val="000000"/>
                <w:sz w:val="21"/>
                <w:szCs w:val="21"/>
                <w:highlight w:val="none"/>
                <w:u w:val="none"/>
              </w:rPr>
              <w:t>膳食纤维含量≥50.0g/100ml；</w:t>
            </w:r>
          </w:p>
          <w:p w14:paraId="259FD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2.含聚葡萄糖、低聚果糖、低聚木糖。</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2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90000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96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0.93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5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bl>
    <w:p w14:paraId="5DC36ED2">
      <w:pPr>
        <w:rPr>
          <w:rFonts w:hint="eastAsia" w:ascii="宋体" w:hAnsi="宋体" w:eastAsia="宋体" w:cs="宋体"/>
          <w:b w:val="0"/>
          <w:bCs w:val="0"/>
          <w:color w:val="5B9BD5" w:themeColor="accent1"/>
          <w:kern w:val="2"/>
          <w:sz w:val="21"/>
          <w:szCs w:val="21"/>
          <w:highlight w:val="none"/>
          <w:lang w:val="en-US" w:eastAsia="zh-CN" w:bidi="ar-SA"/>
          <w14:textFill>
            <w14:solidFill>
              <w14:schemeClr w14:val="accent1"/>
            </w14:solidFill>
          </w14:textFill>
        </w:rPr>
      </w:pPr>
    </w:p>
    <w:p w14:paraId="07E11C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采购包</w:t>
      </w:r>
      <w:r>
        <w:rPr>
          <w:rFonts w:hint="eastAsia" w:ascii="宋体" w:hAnsi="宋体" w:cs="宋体"/>
          <w:highlight w:val="none"/>
          <w:lang w:val="en-US" w:eastAsia="zh-CN"/>
        </w:rPr>
        <w:t>2</w:t>
      </w:r>
      <w:r>
        <w:rPr>
          <w:rFonts w:hint="eastAsia" w:ascii="宋体" w:hAnsi="宋体" w:eastAsia="宋体" w:cs="宋体"/>
          <w:highlight w:val="none"/>
          <w:lang w:val="en-US" w:eastAsia="zh-CN"/>
        </w:rPr>
        <w:t>：特殊人群固体饮料包</w:t>
      </w:r>
    </w:p>
    <w:tbl>
      <w:tblPr>
        <w:tblStyle w:val="23"/>
        <w:tblW w:w="9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415"/>
        <w:gridCol w:w="3512"/>
        <w:gridCol w:w="1005"/>
        <w:gridCol w:w="1585"/>
        <w:gridCol w:w="1128"/>
      </w:tblGrid>
      <w:tr w14:paraId="6798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7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9CFB">
            <w:pPr>
              <w:keepNext w:val="0"/>
              <w:keepLines w:val="0"/>
              <w:widowControl/>
              <w:suppressLineNumbers w:val="0"/>
              <w:snapToGrid w:val="0"/>
              <w:ind w:left="0" w:leftChars="0" w:right="0" w:rightChars="0" w:firstLine="0" w:firstLineChars="0"/>
              <w:jc w:val="center"/>
              <w:textAlignment w:val="center"/>
              <w:rPr>
                <w:rFonts w:hint="eastAsia"/>
                <w:b w:val="0"/>
                <w:bCs/>
                <w:sz w:val="21"/>
                <w:szCs w:val="21"/>
                <w:highlight w:val="none"/>
              </w:rPr>
            </w:pPr>
            <w:r>
              <w:rPr>
                <w:rFonts w:hint="eastAsia" w:ascii="宋体" w:hAnsi="宋体" w:eastAsia="宋体" w:cs="宋体"/>
                <w:b w:val="0"/>
                <w:bCs/>
                <w:i w:val="0"/>
                <w:iCs w:val="0"/>
                <w:color w:val="000000"/>
                <w:kern w:val="0"/>
                <w:sz w:val="21"/>
                <w:szCs w:val="21"/>
                <w:highlight w:val="none"/>
                <w:u w:val="none"/>
                <w:lang w:val="en-US" w:eastAsia="zh-CN" w:bidi="ar"/>
              </w:rPr>
              <w:t>产品规格（相关参数）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5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35F27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A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单价最高限价</w:t>
            </w:r>
          </w:p>
          <w:p w14:paraId="7DD94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23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34FA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DC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CC8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骨胶原蛋白复合粉</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27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1.蛋白质含量≥10g/100g；</w:t>
            </w:r>
          </w:p>
          <w:p w14:paraId="192FB2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2.蛋白来源为胶原蛋白肽、软骨肽、牛骨胶原蛋白肽，非变性Ⅱ型胶原蛋白等；</w:t>
            </w:r>
          </w:p>
          <w:p w14:paraId="6F9D00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3.含维生素D、钙和锌；</w:t>
            </w:r>
          </w:p>
          <w:p w14:paraId="6E1E1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4.碳水化合物含量60-80g/100g；</w:t>
            </w:r>
          </w:p>
          <w:p w14:paraId="5D1AB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5.不含脂肪。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F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389918</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F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1.78</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A0E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p>
        </w:tc>
      </w:tr>
      <w:tr w14:paraId="5EE9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6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889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孕妇配方营养粉</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1F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w:t>
            </w:r>
            <w:r>
              <w:rPr>
                <w:rFonts w:hint="eastAsia" w:ascii="宋体" w:hAnsi="宋体" w:cs="宋体"/>
                <w:b w:val="0"/>
                <w:bCs/>
                <w:i w:val="0"/>
                <w:iCs w:val="0"/>
                <w:color w:val="000000"/>
                <w:sz w:val="21"/>
                <w:szCs w:val="21"/>
                <w:highlight w:val="none"/>
                <w:u w:val="none"/>
                <w:lang w:val="en-US" w:eastAsia="zh-CN"/>
              </w:rPr>
              <w:t>45</w:t>
            </w:r>
            <w:r>
              <w:rPr>
                <w:rFonts w:hint="eastAsia" w:ascii="宋体" w:hAnsi="宋体" w:eastAsia="宋体" w:cs="宋体"/>
                <w:b w:val="0"/>
                <w:bCs/>
                <w:i w:val="0"/>
                <w:iCs w:val="0"/>
                <w:color w:val="000000"/>
                <w:sz w:val="21"/>
                <w:szCs w:val="21"/>
                <w:highlight w:val="none"/>
                <w:u w:val="none"/>
              </w:rPr>
              <w:t>-5</w:t>
            </w:r>
            <w:r>
              <w:rPr>
                <w:rFonts w:hint="eastAsia" w:ascii="宋体" w:hAnsi="宋体" w:cs="宋体"/>
                <w:b w:val="0"/>
                <w:bCs/>
                <w:i w:val="0"/>
                <w:iCs w:val="0"/>
                <w:color w:val="000000"/>
                <w:sz w:val="21"/>
                <w:szCs w:val="21"/>
                <w:highlight w:val="none"/>
                <w:u w:val="none"/>
                <w:lang w:val="en-US" w:eastAsia="zh-CN"/>
              </w:rPr>
              <w:t>5</w:t>
            </w:r>
            <w:r>
              <w:rPr>
                <w:rFonts w:hint="eastAsia" w:ascii="宋体" w:hAnsi="宋体" w:eastAsia="宋体" w:cs="宋体"/>
                <w:b w:val="0"/>
                <w:bCs/>
                <w:i w:val="0"/>
                <w:iCs w:val="0"/>
                <w:color w:val="000000"/>
                <w:sz w:val="21"/>
                <w:szCs w:val="21"/>
                <w:highlight w:val="none"/>
                <w:u w:val="none"/>
              </w:rPr>
              <w:t>g/100g；</w:t>
            </w:r>
          </w:p>
          <w:p w14:paraId="1E09E7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w:t>
            </w:r>
            <w:r>
              <w:rPr>
                <w:rFonts w:hint="eastAsia" w:ascii="宋体" w:hAnsi="宋体" w:cs="宋体"/>
                <w:b w:val="0"/>
                <w:bCs/>
                <w:i w:val="0"/>
                <w:iCs w:val="0"/>
                <w:color w:val="000000"/>
                <w:sz w:val="21"/>
                <w:szCs w:val="21"/>
                <w:highlight w:val="none"/>
                <w:u w:val="none"/>
                <w:lang w:val="en-US" w:eastAsia="zh-CN"/>
              </w:rPr>
              <w:t>15</w:t>
            </w:r>
            <w:r>
              <w:rPr>
                <w:rFonts w:hint="eastAsia" w:ascii="宋体" w:hAnsi="宋体" w:eastAsia="宋体" w:cs="宋体"/>
                <w:b w:val="0"/>
                <w:bCs/>
                <w:i w:val="0"/>
                <w:iCs w:val="0"/>
                <w:color w:val="000000"/>
                <w:sz w:val="21"/>
                <w:szCs w:val="21"/>
                <w:highlight w:val="none"/>
                <w:u w:val="none"/>
              </w:rPr>
              <w:t>g/100g；</w:t>
            </w:r>
          </w:p>
          <w:p w14:paraId="0117E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3.脂肪含量10-15g/100g；</w:t>
            </w:r>
          </w:p>
          <w:p w14:paraId="518EE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4.含DHA，DHA来源于藻油；</w:t>
            </w:r>
          </w:p>
          <w:p w14:paraId="21EC27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5.胆碱含量≥500mg/100g。</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09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112500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75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0.89</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AD9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p>
        </w:tc>
      </w:tr>
      <w:tr w14:paraId="7795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0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D1E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产妇配方营养粉</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E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1.碳水化合物含量40-45g/100g；</w:t>
            </w:r>
          </w:p>
          <w:p w14:paraId="2A37C5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2.蛋白质含量≥24g/100g；</w:t>
            </w:r>
          </w:p>
          <w:p w14:paraId="7D0ACD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3.脂肪含量10-15g/100g；</w:t>
            </w:r>
          </w:p>
          <w:p w14:paraId="6FC02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4.含DHA，DHA来源于藻油；</w:t>
            </w:r>
          </w:p>
          <w:p w14:paraId="13DC0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5.胆碱含量≥600mg/100g。</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BF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118900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F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0.89</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6D2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p>
        </w:tc>
      </w:tr>
    </w:tbl>
    <w:p w14:paraId="6175DE89">
      <w:pPr>
        <w:pStyle w:val="22"/>
        <w:ind w:left="0" w:leftChars="0" w:firstLine="0" w:firstLineChars="0"/>
        <w:jc w:val="left"/>
        <w:rPr>
          <w:rFonts w:hint="eastAsia" w:ascii="宋体" w:hAnsi="宋体" w:eastAsia="宋体" w:cs="宋体"/>
          <w:b w:val="0"/>
          <w:bCs w:val="0"/>
          <w:color w:val="5B9BD5" w:themeColor="accent1"/>
          <w:kern w:val="2"/>
          <w:sz w:val="21"/>
          <w:szCs w:val="21"/>
          <w:highlight w:val="none"/>
          <w:lang w:val="en-US" w:eastAsia="zh-CN" w:bidi="ar-SA"/>
          <w14:textFill>
            <w14:solidFill>
              <w14:schemeClr w14:val="accent1"/>
            </w14:solidFill>
          </w14:textFill>
        </w:rPr>
      </w:pPr>
    </w:p>
    <w:p w14:paraId="67AAF2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采购包</w:t>
      </w:r>
      <w:r>
        <w:rPr>
          <w:rFonts w:hint="eastAsia" w:ascii="宋体" w:hAnsi="宋体" w:cs="宋体"/>
          <w:highlight w:val="none"/>
          <w:lang w:val="en-US" w:eastAsia="zh-CN"/>
        </w:rPr>
        <w:t>3</w:t>
      </w:r>
      <w:r>
        <w:rPr>
          <w:rFonts w:hint="eastAsia" w:ascii="宋体" w:hAnsi="宋体" w:eastAsia="宋体" w:cs="宋体"/>
          <w:highlight w:val="none"/>
          <w:lang w:val="en-US" w:eastAsia="zh-CN"/>
        </w:rPr>
        <w:t>：益生菌</w:t>
      </w:r>
      <w:r>
        <w:rPr>
          <w:rFonts w:hint="eastAsia" w:ascii="宋体" w:hAnsi="宋体" w:cs="宋体"/>
          <w:highlight w:val="none"/>
          <w:lang w:val="en-US" w:eastAsia="zh-CN"/>
        </w:rPr>
        <w:t>及</w:t>
      </w:r>
      <w:r>
        <w:rPr>
          <w:rFonts w:hint="eastAsia" w:ascii="宋体" w:hAnsi="宋体" w:eastAsia="宋体" w:cs="宋体"/>
          <w:highlight w:val="none"/>
          <w:lang w:val="en-US" w:eastAsia="zh-CN"/>
        </w:rPr>
        <w:t>益生元固体饮料包</w:t>
      </w:r>
    </w:p>
    <w:tbl>
      <w:tblPr>
        <w:tblStyle w:val="23"/>
        <w:tblW w:w="9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460"/>
        <w:gridCol w:w="3442"/>
        <w:gridCol w:w="1045"/>
        <w:gridCol w:w="1571"/>
        <w:gridCol w:w="1142"/>
      </w:tblGrid>
      <w:tr w14:paraId="63EB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82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5521">
            <w:pPr>
              <w:keepNext w:val="0"/>
              <w:keepLines w:val="0"/>
              <w:widowControl/>
              <w:suppressLineNumbers w:val="0"/>
              <w:snapToGrid w:val="0"/>
              <w:ind w:left="0" w:leftChars="0" w:right="0" w:rightChars="0" w:firstLine="0" w:firstLineChars="0"/>
              <w:jc w:val="center"/>
              <w:textAlignment w:val="center"/>
              <w:rPr>
                <w:rFonts w:hint="eastAsia"/>
                <w:b w:val="0"/>
                <w:bCs/>
                <w:sz w:val="21"/>
                <w:szCs w:val="21"/>
                <w:highlight w:val="none"/>
              </w:rPr>
            </w:pPr>
            <w:r>
              <w:rPr>
                <w:rFonts w:hint="eastAsia" w:ascii="宋体" w:hAnsi="宋体" w:eastAsia="宋体" w:cs="宋体"/>
                <w:b w:val="0"/>
                <w:bCs/>
                <w:i w:val="0"/>
                <w:iCs w:val="0"/>
                <w:color w:val="000000"/>
                <w:kern w:val="0"/>
                <w:sz w:val="21"/>
                <w:szCs w:val="21"/>
                <w:highlight w:val="none"/>
                <w:u w:val="none"/>
                <w:lang w:val="en-US" w:eastAsia="zh-CN" w:bidi="ar"/>
              </w:rPr>
              <w:t>产品规格（相关参数）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4BE92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E3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单价最高限价</w:t>
            </w:r>
          </w:p>
          <w:p w14:paraId="63651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A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64A5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A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1A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益生菌复合固体饮料</w:t>
            </w:r>
          </w:p>
        </w:tc>
        <w:tc>
          <w:tcPr>
            <w:tcW w:w="3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3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1.益生菌种类≥6种；</w:t>
            </w:r>
          </w:p>
          <w:p w14:paraId="20B0CC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2.出厂活菌数≥100亿CFU/g；</w:t>
            </w:r>
          </w:p>
          <w:p w14:paraId="1D377E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3.碳水化合物含量≥70g/100g；</w:t>
            </w:r>
          </w:p>
          <w:p w14:paraId="72F8F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4.蛋白质含量＜2g/100g；</w:t>
            </w:r>
          </w:p>
          <w:p w14:paraId="51FF58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5.脂肪含量＜1g/100g。</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9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46763</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75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2.78</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E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318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B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40D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低聚果糖固体饮料</w:t>
            </w:r>
          </w:p>
        </w:tc>
        <w:tc>
          <w:tcPr>
            <w:tcW w:w="3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C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1.液剂或粉剂；</w:t>
            </w:r>
          </w:p>
          <w:p w14:paraId="2E80FD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2.低聚果糖含量≥80g/100ml或g；</w:t>
            </w:r>
          </w:p>
          <w:p w14:paraId="47FB4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3.低聚果糖总含量（占干物质，质量分数）≥80%；</w:t>
            </w:r>
          </w:p>
          <w:p w14:paraId="7B2353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4.不含蛋白质；</w:t>
            </w:r>
          </w:p>
          <w:p w14:paraId="06305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5.不含脂肪。</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9F15">
            <w:pPr>
              <w:keepNext w:val="0"/>
              <w:keepLines w:val="0"/>
              <w:widowControl/>
              <w:suppressLineNumbers w:val="0"/>
              <w:tabs>
                <w:tab w:val="left" w:pos="361"/>
              </w:tabs>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lang w:eastAsia="zh-CN"/>
              </w:rPr>
            </w:pPr>
            <w:r>
              <w:rPr>
                <w:rFonts w:hint="eastAsia" w:ascii="宋体" w:hAnsi="宋体" w:cs="宋体"/>
                <w:b w:val="0"/>
                <w:bCs/>
                <w:i w:val="0"/>
                <w:iCs w:val="0"/>
                <w:color w:val="000000"/>
                <w:sz w:val="21"/>
                <w:szCs w:val="21"/>
                <w:highlight w:val="none"/>
                <w:u w:val="none"/>
                <w:lang w:eastAsia="zh-CN"/>
              </w:rPr>
              <w:t>177419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64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1.24</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2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59C0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6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D6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复合膳食纤维粉</w:t>
            </w:r>
          </w:p>
        </w:tc>
        <w:tc>
          <w:tcPr>
            <w:tcW w:w="3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F4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1.膳食纤维含量≥50.0g/100g；</w:t>
            </w:r>
          </w:p>
          <w:p w14:paraId="5954F3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2.膳食纤维来源于燕麦纤维、小麦纤维、大豆纤维和玉米纤维；</w:t>
            </w:r>
          </w:p>
          <w:p w14:paraId="7B5B5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3.含活性燕麦胶；</w:t>
            </w:r>
          </w:p>
          <w:p w14:paraId="40C9D5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4.燕麦β-葡聚糖含量≥7.0g/100g；</w:t>
            </w:r>
          </w:p>
          <w:p w14:paraId="216C6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5.碳水化合物含量≥20g/100g。</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7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290698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8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0.86</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F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bl>
    <w:p w14:paraId="6A2D43AF">
      <w:pPr>
        <w:pStyle w:val="22"/>
        <w:ind w:left="0" w:leftChars="0" w:firstLine="0" w:firstLineChars="0"/>
        <w:rPr>
          <w:rFonts w:hint="eastAsia" w:ascii="宋体" w:hAnsi="宋体" w:eastAsia="宋体" w:cs="宋体"/>
          <w:b w:val="0"/>
          <w:bCs w:val="0"/>
          <w:color w:val="5B9BD5" w:themeColor="accent1"/>
          <w:kern w:val="2"/>
          <w:sz w:val="21"/>
          <w:szCs w:val="21"/>
          <w:highlight w:val="none"/>
          <w:lang w:val="en-US" w:eastAsia="zh-CN" w:bidi="ar-SA"/>
          <w14:textFill>
            <w14:solidFill>
              <w14:schemeClr w14:val="accent1"/>
            </w14:solidFill>
          </w14:textFill>
        </w:rPr>
      </w:pPr>
    </w:p>
    <w:p w14:paraId="517AB1C8">
      <w:pPr>
        <w:pStyle w:val="22"/>
        <w:rPr>
          <w:rFonts w:hint="eastAsia" w:ascii="宋体" w:hAnsi="宋体" w:eastAsia="宋体" w:cs="宋体"/>
          <w:b w:val="0"/>
          <w:bCs w:val="0"/>
          <w:color w:val="5B9BD5" w:themeColor="accent1"/>
          <w:kern w:val="2"/>
          <w:sz w:val="21"/>
          <w:szCs w:val="21"/>
          <w:highlight w:val="none"/>
          <w:lang w:val="en-US" w:eastAsia="zh-CN" w:bidi="ar-SA"/>
          <w14:textFill>
            <w14:solidFill>
              <w14:schemeClr w14:val="accent1"/>
            </w14:solidFill>
          </w14:textFill>
        </w:rPr>
      </w:pPr>
    </w:p>
    <w:p w14:paraId="593BF0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采购包</w:t>
      </w:r>
      <w:r>
        <w:rPr>
          <w:rFonts w:hint="eastAsia" w:ascii="宋体" w:hAnsi="宋体" w:cs="宋体"/>
          <w:highlight w:val="none"/>
          <w:lang w:val="en-US" w:eastAsia="zh-CN"/>
        </w:rPr>
        <w:t>4</w:t>
      </w:r>
      <w:r>
        <w:rPr>
          <w:rFonts w:hint="eastAsia" w:ascii="宋体" w:hAnsi="宋体" w:eastAsia="宋体" w:cs="宋体"/>
          <w:highlight w:val="none"/>
          <w:lang w:val="en-US" w:eastAsia="zh-CN"/>
        </w:rPr>
        <w:t>：特殊用途型固体饮料包</w:t>
      </w:r>
    </w:p>
    <w:tbl>
      <w:tblPr>
        <w:tblStyle w:val="23"/>
        <w:tblW w:w="9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480"/>
        <w:gridCol w:w="3432"/>
        <w:gridCol w:w="1060"/>
        <w:gridCol w:w="1496"/>
        <w:gridCol w:w="1219"/>
      </w:tblGrid>
      <w:tr w14:paraId="4E44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5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7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EF2E">
            <w:pPr>
              <w:keepNext w:val="0"/>
              <w:keepLines w:val="0"/>
              <w:widowControl/>
              <w:suppressLineNumbers w:val="0"/>
              <w:snapToGrid w:val="0"/>
              <w:ind w:left="0" w:leftChars="0" w:right="0" w:rightChars="0" w:firstLine="0" w:firstLineChars="0"/>
              <w:jc w:val="center"/>
              <w:textAlignment w:val="center"/>
              <w:rPr>
                <w:rFonts w:hint="default"/>
                <w:b w:val="0"/>
                <w:bCs/>
                <w:sz w:val="21"/>
                <w:szCs w:val="21"/>
                <w:highlight w:val="none"/>
                <w:lang w:val="en-US"/>
              </w:rPr>
            </w:pPr>
            <w:r>
              <w:rPr>
                <w:rFonts w:hint="eastAsia" w:ascii="宋体" w:hAnsi="宋体" w:cs="宋体"/>
                <w:b w:val="0"/>
                <w:bCs/>
                <w:i w:val="0"/>
                <w:iCs w:val="0"/>
                <w:color w:val="000000"/>
                <w:kern w:val="0"/>
                <w:sz w:val="21"/>
                <w:szCs w:val="21"/>
                <w:highlight w:val="none"/>
                <w:u w:val="none"/>
                <w:lang w:val="en-US" w:eastAsia="zh-CN" w:bidi="ar"/>
              </w:rPr>
              <w:t>技术参数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03CE3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82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单价最高限价</w:t>
            </w:r>
          </w:p>
          <w:p w14:paraId="6DE1F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A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76C1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8C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葡萄糖电解质液</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1.碳水化合物含量2-3g/100ml；</w:t>
            </w:r>
          </w:p>
          <w:p w14:paraId="60D1E9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2.钠含量80-120mg/100ml；</w:t>
            </w:r>
          </w:p>
          <w:p w14:paraId="4CEA38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3.钾含量60-80mg/100ml；</w:t>
            </w:r>
          </w:p>
          <w:p w14:paraId="38C9E6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4.含锌离子；</w:t>
            </w:r>
          </w:p>
          <w:p w14:paraId="48AFF6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5.不含蛋白质、脂肪和膳食纤维。</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0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520833</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ACE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0.384</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9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54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C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水解蛋白液</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E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1.蛋白质≥20.0g/100ml；</w:t>
            </w:r>
          </w:p>
          <w:p w14:paraId="52930D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2.100%水解乳清蛋白；</w:t>
            </w:r>
          </w:p>
          <w:p w14:paraId="042E8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3.水解蛋白中分子量189-500的寡肽占比≥50%；</w:t>
            </w:r>
          </w:p>
          <w:p w14:paraId="796D1F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4.碳水化合物含量16-18g/100</w:t>
            </w:r>
            <w:r>
              <w:rPr>
                <w:rFonts w:hint="eastAsia" w:ascii="宋体" w:hAnsi="宋体" w:cs="宋体"/>
                <w:b w:val="0"/>
                <w:bCs/>
                <w:i w:val="0"/>
                <w:iCs w:val="0"/>
                <w:color w:val="000000"/>
                <w:sz w:val="21"/>
                <w:szCs w:val="21"/>
                <w:highlight w:val="none"/>
                <w:u w:val="none"/>
                <w:lang w:val="en-US" w:eastAsia="zh-CN"/>
              </w:rPr>
              <w:t>ml</w:t>
            </w:r>
            <w:r>
              <w:rPr>
                <w:rFonts w:hint="eastAsia" w:ascii="宋体" w:hAnsi="宋体" w:eastAsia="宋体" w:cs="宋体"/>
                <w:b w:val="0"/>
                <w:bCs/>
                <w:i w:val="0"/>
                <w:iCs w:val="0"/>
                <w:color w:val="000000"/>
                <w:sz w:val="21"/>
                <w:szCs w:val="21"/>
                <w:highlight w:val="none"/>
                <w:u w:val="none"/>
              </w:rPr>
              <w:t>；</w:t>
            </w:r>
          </w:p>
          <w:p w14:paraId="33AE3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5.不含脂肪。</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180723</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1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1.66</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82D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bl>
    <w:p w14:paraId="197C2885">
      <w:pPr>
        <w:pStyle w:val="22"/>
        <w:ind w:left="0" w:leftChars="0" w:firstLine="0" w:firstLineChars="0"/>
        <w:rPr>
          <w:rFonts w:hint="eastAsia" w:ascii="宋体" w:hAnsi="宋体" w:eastAsia="宋体" w:cs="宋体"/>
          <w:b w:val="0"/>
          <w:bCs w:val="0"/>
          <w:color w:val="5B9BD5" w:themeColor="accent1"/>
          <w:kern w:val="2"/>
          <w:sz w:val="21"/>
          <w:szCs w:val="21"/>
          <w:highlight w:val="none"/>
          <w:lang w:val="en-US" w:eastAsia="zh-CN" w:bidi="ar-SA"/>
          <w14:textFill>
            <w14:solidFill>
              <w14:schemeClr w14:val="accent1"/>
            </w14:solidFill>
          </w14:textFill>
        </w:rPr>
      </w:pPr>
    </w:p>
    <w:p w14:paraId="196BD6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采购包</w:t>
      </w:r>
      <w:r>
        <w:rPr>
          <w:rFonts w:hint="eastAsia" w:ascii="宋体" w:hAnsi="宋体" w:cs="宋体"/>
          <w:highlight w:val="none"/>
          <w:lang w:val="en-US" w:eastAsia="zh-CN"/>
        </w:rPr>
        <w:t>5</w:t>
      </w:r>
      <w:r>
        <w:rPr>
          <w:rFonts w:hint="eastAsia" w:ascii="宋体" w:hAnsi="宋体" w:eastAsia="宋体" w:cs="宋体"/>
          <w:highlight w:val="none"/>
          <w:lang w:val="en-US" w:eastAsia="zh-CN"/>
        </w:rPr>
        <w:t>：营养素调整型固体饮料包</w:t>
      </w:r>
    </w:p>
    <w:tbl>
      <w:tblPr>
        <w:tblStyle w:val="23"/>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475"/>
        <w:gridCol w:w="3470"/>
        <w:gridCol w:w="1063"/>
        <w:gridCol w:w="1510"/>
        <w:gridCol w:w="1187"/>
      </w:tblGrid>
      <w:tr w14:paraId="5BB7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1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B8E1">
            <w:pPr>
              <w:keepNext w:val="0"/>
              <w:keepLines w:val="0"/>
              <w:widowControl/>
              <w:suppressLineNumbers w:val="0"/>
              <w:snapToGrid w:val="0"/>
              <w:ind w:left="0" w:leftChars="0" w:right="0" w:rightChars="0" w:firstLine="0" w:firstLineChars="0"/>
              <w:jc w:val="center"/>
              <w:textAlignment w:val="center"/>
              <w:rPr>
                <w:rFonts w:hint="eastAsia"/>
                <w:b w:val="0"/>
                <w:bCs/>
                <w:sz w:val="21"/>
                <w:szCs w:val="21"/>
                <w:highlight w:val="none"/>
              </w:rPr>
            </w:pPr>
            <w:r>
              <w:rPr>
                <w:rFonts w:hint="eastAsia" w:ascii="宋体" w:hAnsi="宋体" w:cs="宋体"/>
                <w:b w:val="0"/>
                <w:bCs/>
                <w:i w:val="0"/>
                <w:iCs w:val="0"/>
                <w:color w:val="000000"/>
                <w:kern w:val="0"/>
                <w:sz w:val="21"/>
                <w:szCs w:val="21"/>
                <w:highlight w:val="none"/>
                <w:u w:val="none"/>
                <w:lang w:val="en-US" w:eastAsia="zh-CN" w:bidi="ar"/>
              </w:rPr>
              <w:t>技术</w:t>
            </w:r>
            <w:r>
              <w:rPr>
                <w:rFonts w:hint="eastAsia" w:ascii="宋体" w:hAnsi="宋体" w:eastAsia="宋体" w:cs="宋体"/>
                <w:b w:val="0"/>
                <w:bCs/>
                <w:i w:val="0"/>
                <w:iCs w:val="0"/>
                <w:color w:val="000000"/>
                <w:kern w:val="0"/>
                <w:sz w:val="21"/>
                <w:szCs w:val="21"/>
                <w:highlight w:val="none"/>
                <w:u w:val="none"/>
                <w:lang w:val="en-US" w:eastAsia="zh-CN" w:bidi="ar"/>
              </w:rPr>
              <w:t>参数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4E7AB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1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单价最高限价</w:t>
            </w:r>
          </w:p>
          <w:p w14:paraId="16A61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E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53D6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0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821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缓释碳水化合物型肠内营养粉</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C9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1.GI＜40，可作为单一营养来源，每100g提供能量1600-1800kJ；</w:t>
            </w:r>
          </w:p>
          <w:p w14:paraId="59CAF2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2.蛋白来源于动物蛋白，蛋白质含量≥20g/100g；</w:t>
            </w:r>
          </w:p>
          <w:p w14:paraId="16EFF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3.碳水化合物含量52-58g/100g；</w:t>
            </w:r>
          </w:p>
          <w:p w14:paraId="23FFE2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4.脂肪含量14-18g/100g；</w:t>
            </w:r>
          </w:p>
          <w:p w14:paraId="463C6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5.含膳食纤维、肌醇、左旋肉碱、铬。</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2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400000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13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0.37</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F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5EB5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5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CD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高蛋白增肌型肠内营养粉</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3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1.蛋白质100%来源于浓缩乳清蛋白，乳清蛋白≥40g/100g；</w:t>
            </w:r>
          </w:p>
          <w:p w14:paraId="4AC2D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2.脂肪含量4-6g/100g，碳水化合物含量40-50g/100g；</w:t>
            </w:r>
          </w:p>
          <w:p w14:paraId="6826E5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3.HMB≥5.0g/100g；</w:t>
            </w:r>
          </w:p>
          <w:p w14:paraId="56D31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4.钙含量≥800mg/100g；。</w:t>
            </w:r>
          </w:p>
          <w:p w14:paraId="039DD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5.不含膳食纤维。</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3D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262153</w:t>
            </w:r>
          </w:p>
        </w:tc>
        <w:tc>
          <w:tcPr>
            <w:tcW w:w="1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835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1.152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C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bl>
    <w:p w14:paraId="119E179F">
      <w:pPr>
        <w:spacing w:line="440" w:lineRule="exact"/>
        <w:rPr>
          <w:rFonts w:hint="eastAsia" w:ascii="宋体" w:hAnsi="宋体" w:cs="宋体"/>
          <w:b/>
          <w:bCs/>
          <w:color w:val="auto"/>
          <w:szCs w:val="21"/>
          <w:highlight w:val="none"/>
        </w:rPr>
      </w:pPr>
    </w:p>
    <w:p w14:paraId="537E313B">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二、投标产品要求</w:t>
      </w:r>
    </w:p>
    <w:p w14:paraId="688BD880">
      <w:pPr>
        <w:widowControl/>
        <w:shd w:val="clear" w:color="auto" w:fill="FFFFFF"/>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1、所供产品必须符合国家相关法规及行业标准要求。</w:t>
      </w:r>
    </w:p>
    <w:p w14:paraId="3CD29B34">
      <w:pPr>
        <w:widowControl/>
        <w:shd w:val="clear" w:color="auto" w:fill="FFFFFF"/>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2、投标企业</w:t>
      </w:r>
      <w:r>
        <w:rPr>
          <w:rFonts w:hint="eastAsia" w:ascii="宋体" w:hAnsi="宋体" w:cs="宋体"/>
          <w:color w:val="auto"/>
          <w:szCs w:val="21"/>
          <w:highlight w:val="none"/>
          <w:lang w:val="en-US" w:eastAsia="zh-CN"/>
        </w:rPr>
        <w:t>需承诺</w:t>
      </w:r>
      <w:r>
        <w:rPr>
          <w:rFonts w:hint="eastAsia" w:ascii="宋体" w:hAnsi="宋体" w:cs="宋体"/>
          <w:color w:val="auto"/>
          <w:szCs w:val="21"/>
          <w:highlight w:val="none"/>
        </w:rPr>
        <w:t>所投产品价格不得高于其线上官方旗舰店（包括但不限于天猫、京东、拼多多等电商平台）的公开销售价。若存在促销活动、满减优惠等特殊情形，实际成交价折算后仍须满足上述要求。如院方发现投标企业违反以上情形，视为根本性违约，院方有权立即终止合同。</w:t>
      </w:r>
    </w:p>
    <w:p w14:paraId="3AF422F7">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投标人需提供电子版投标产品的相关信息，包括产品种类，每一种产品各种营养成分含量、规格、价格</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14:paraId="5AB1B404">
      <w:pPr>
        <w:widowControl/>
        <w:shd w:val="clear" w:color="auto" w:fill="FFFFFF"/>
        <w:spacing w:line="440" w:lineRule="exact"/>
        <w:ind w:firstLine="420" w:firstLineChars="20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投标产品需提供完整原厂外包装</w:t>
      </w:r>
      <w:r>
        <w:rPr>
          <w:rFonts w:hint="eastAsia" w:ascii="宋体" w:hAnsi="宋体" w:cs="宋体"/>
          <w:b w:val="0"/>
          <w:bCs w:val="0"/>
          <w:color w:val="auto"/>
          <w:kern w:val="2"/>
          <w:sz w:val="21"/>
          <w:szCs w:val="21"/>
          <w:highlight w:val="none"/>
          <w:lang w:val="en-US" w:eastAsia="zh-CN" w:bidi="ar-SA"/>
        </w:rPr>
        <w:t>备查</w:t>
      </w:r>
      <w:r>
        <w:rPr>
          <w:rFonts w:hint="eastAsia" w:ascii="宋体" w:hAnsi="宋体" w:eastAsia="宋体" w:cs="宋体"/>
          <w:b w:val="0"/>
          <w:bCs w:val="0"/>
          <w:color w:val="auto"/>
          <w:kern w:val="2"/>
          <w:sz w:val="21"/>
          <w:szCs w:val="21"/>
          <w:highlight w:val="none"/>
          <w:lang w:val="en-US" w:eastAsia="zh-CN" w:bidi="ar-SA"/>
        </w:rPr>
        <w:t>，包装标识内容应符合国家相关法规及行业标准要求，包括但不限于以下要素：产品配料表</w:t>
      </w:r>
      <w:r>
        <w:rPr>
          <w:rFonts w:hint="eastAsia" w:ascii="宋体" w:hAnsi="宋体" w:cs="宋体"/>
          <w:b w:val="0"/>
          <w:bCs w:val="0"/>
          <w:color w:val="auto"/>
          <w:kern w:val="2"/>
          <w:sz w:val="21"/>
          <w:szCs w:val="21"/>
          <w:highlight w:val="none"/>
          <w:lang w:val="en-US" w:eastAsia="zh-CN" w:bidi="ar-SA"/>
        </w:rPr>
        <w:t>、营养成分表、生产企业信息、产品信息等</w:t>
      </w:r>
      <w:r>
        <w:rPr>
          <w:rFonts w:hint="eastAsia" w:ascii="宋体" w:hAnsi="宋体" w:eastAsia="宋体" w:cs="宋体"/>
          <w:b w:val="0"/>
          <w:bCs w:val="0"/>
          <w:color w:val="auto"/>
          <w:kern w:val="2"/>
          <w:sz w:val="21"/>
          <w:szCs w:val="21"/>
          <w:highlight w:val="none"/>
          <w:lang w:val="en-US" w:eastAsia="zh-CN" w:bidi="ar-SA"/>
        </w:rPr>
        <w:t>。</w:t>
      </w:r>
    </w:p>
    <w:p w14:paraId="76C2FFCA">
      <w:pPr>
        <w:widowControl/>
        <w:shd w:val="clear" w:color="auto" w:fill="FFFFFF"/>
        <w:spacing w:line="440" w:lineRule="exact"/>
        <w:ind w:firstLine="420" w:firstLineChars="200"/>
        <w:contextualSpacing/>
        <w:jc w:val="left"/>
        <w:rPr>
          <w:rFonts w:hint="eastAsia" w:ascii="宋体" w:hAnsi="宋体" w:eastAsia="宋体" w:cs="宋体"/>
          <w:b/>
          <w:bCs/>
          <w:i/>
          <w:iCs/>
          <w:color w:val="auto"/>
          <w:szCs w:val="21"/>
          <w:highlight w:val="none"/>
          <w:u w:val="single"/>
          <w:lang w:eastAsia="zh-CN"/>
        </w:rPr>
      </w:pPr>
      <w:r>
        <w:rPr>
          <w:rFonts w:hint="eastAsia" w:ascii="宋体" w:hAnsi="宋体" w:cs="宋体"/>
          <w:b w:val="0"/>
          <w:bCs w:val="0"/>
          <w:i/>
          <w:iCs/>
          <w:color w:val="auto"/>
          <w:szCs w:val="21"/>
          <w:highlight w:val="none"/>
          <w:u w:val="single"/>
          <w:lang w:val="en-US" w:eastAsia="zh-CN"/>
        </w:rPr>
        <w:t>5、</w:t>
      </w:r>
      <w:r>
        <w:rPr>
          <w:rFonts w:hint="eastAsia" w:ascii="宋体" w:hAnsi="宋体" w:cs="宋体"/>
          <w:b w:val="0"/>
          <w:bCs w:val="0"/>
          <w:i/>
          <w:iCs/>
          <w:color w:val="auto"/>
          <w:szCs w:val="21"/>
          <w:highlight w:val="none"/>
          <w:u w:val="single"/>
        </w:rPr>
        <w:t>产品若离保质期六个月还未使用完，须无条件退货或换货，提供承诺函原件加盖投标人公章，无承诺的视为无效投标。</w:t>
      </w:r>
      <w:r>
        <w:rPr>
          <w:rFonts w:hint="eastAsia" w:ascii="宋体" w:hAnsi="宋体" w:cs="宋体"/>
          <w:b w:val="0"/>
          <w:bCs w:val="0"/>
          <w:i/>
          <w:iCs/>
          <w:color w:val="auto"/>
          <w:szCs w:val="21"/>
          <w:highlight w:val="none"/>
          <w:u w:val="single"/>
          <w:lang w:eastAsia="zh-CN"/>
        </w:rPr>
        <w:t>（</w:t>
      </w:r>
      <w:r>
        <w:rPr>
          <w:rFonts w:hint="eastAsia" w:ascii="宋体" w:hAnsi="宋体" w:cs="宋体"/>
          <w:b w:val="0"/>
          <w:bCs w:val="0"/>
          <w:i/>
          <w:iCs/>
          <w:color w:val="auto"/>
          <w:szCs w:val="21"/>
          <w:highlight w:val="none"/>
          <w:u w:val="single"/>
          <w:lang w:val="en-US" w:eastAsia="zh-CN"/>
        </w:rPr>
        <w:t>格式自拟</w:t>
      </w:r>
      <w:r>
        <w:rPr>
          <w:rFonts w:hint="eastAsia" w:ascii="宋体" w:hAnsi="宋体" w:cs="宋体"/>
          <w:b w:val="0"/>
          <w:bCs w:val="0"/>
          <w:i/>
          <w:iCs/>
          <w:color w:val="auto"/>
          <w:szCs w:val="21"/>
          <w:highlight w:val="none"/>
          <w:u w:val="single"/>
          <w:lang w:eastAsia="zh-CN"/>
        </w:rPr>
        <w:t>）</w:t>
      </w:r>
    </w:p>
    <w:p w14:paraId="2C6C0E67">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订货周期：订货后五天内将货品送到我院。</w:t>
      </w:r>
    </w:p>
    <w:p w14:paraId="7503FA7E">
      <w:pPr>
        <w:widowControl/>
        <w:shd w:val="clear" w:color="auto" w:fill="FFFFFF"/>
        <w:spacing w:line="440" w:lineRule="exact"/>
        <w:ind w:firstLine="420" w:firstLineChars="200"/>
        <w:contextualSpacing/>
        <w:jc w:val="left"/>
        <w:rPr>
          <w:rFonts w:hint="default" w:eastAsia="宋体"/>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合同履行期限：自合同签订之日起至2026年12月31日</w:t>
      </w:r>
    </w:p>
    <w:p w14:paraId="2657E150">
      <w:pPr>
        <w:widowControl/>
        <w:shd w:val="clear" w:color="auto" w:fill="FFFFFF"/>
        <w:spacing w:line="440" w:lineRule="exact"/>
        <w:ind w:firstLine="422" w:firstLineChars="200"/>
        <w:contextualSpacing/>
        <w:jc w:val="left"/>
        <w:rPr>
          <w:rFonts w:ascii="宋体" w:hAnsi="宋体" w:cs="宋体"/>
          <w:color w:val="auto"/>
          <w:szCs w:val="21"/>
          <w:highlight w:val="none"/>
        </w:rPr>
      </w:pPr>
      <w:r>
        <w:rPr>
          <w:rFonts w:hint="eastAsia" w:ascii="宋体" w:hAnsi="宋体" w:cs="宋体"/>
          <w:b/>
          <w:bCs/>
          <w:color w:val="auto"/>
          <w:szCs w:val="21"/>
          <w:highlight w:val="none"/>
        </w:rPr>
        <w:t>三、其他要求</w:t>
      </w:r>
      <w:r>
        <w:rPr>
          <w:rFonts w:hint="eastAsia" w:ascii="宋体" w:hAnsi="宋体" w:cs="宋体"/>
          <w:color w:val="auto"/>
          <w:szCs w:val="21"/>
          <w:highlight w:val="none"/>
        </w:rPr>
        <w:t>：</w:t>
      </w:r>
    </w:p>
    <w:p w14:paraId="2B6EDEF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1、质量保证：</w:t>
      </w:r>
    </w:p>
    <w:p w14:paraId="77272A7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1.1产品免费质保期≥1年，以生产厂家出具的质保证明原件为准。</w:t>
      </w:r>
    </w:p>
    <w:p w14:paraId="231D8950">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1.2服务响应：产品出现问题后，一般问题维护响应时间不超过12小时，重大问题不超过24小时。</w:t>
      </w:r>
    </w:p>
    <w:p w14:paraId="010E13B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2、交货时间：医院采购中心发出订货通知5天内。</w:t>
      </w:r>
    </w:p>
    <w:p w14:paraId="1818A61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3、验收标准：</w:t>
      </w:r>
    </w:p>
    <w:p w14:paraId="75D0EE7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提供的商品必须符合我国最新颁布的与之相关的技术规范与标准，同时必须满足招标</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中所列全部参数、规格、指标及功能要求等和</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承诺的其它指标；</w:t>
      </w:r>
    </w:p>
    <w:p w14:paraId="5D932F6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4、货物到达</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地址至验收合格期间，由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应负责调剂，同时有关费用由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承担；货物经验收合格后即由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应负责调剂，但有关费用由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承担。</w:t>
      </w:r>
    </w:p>
    <w:p w14:paraId="10A3A0D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5、交货条件：产品交货时，包装完整无破损，还必须提供以下材料</w:t>
      </w:r>
    </w:p>
    <w:p w14:paraId="45DD07DA">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5.1装箱单</w:t>
      </w:r>
    </w:p>
    <w:p w14:paraId="228725C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5.2产品质检合格证明</w:t>
      </w:r>
    </w:p>
    <w:p w14:paraId="1423611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6、运输及到货地点：由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负责办理运输及装卸，直接送至</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所在地，所有费用由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w:t>
      </w:r>
    </w:p>
    <w:p w14:paraId="7D6445F3">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7、售后服务：</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负责所采购产品的免费咨询、培训、使用说明、指导(过程中所需耗品应由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免费提供)，保证培训人员正常使用。</w:t>
      </w:r>
    </w:p>
    <w:p w14:paraId="3FD47F0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承担一次供货期内营养成分计量检定抽检费用（如院方对营养参数存在疑议可进行抽检）。</w:t>
      </w:r>
    </w:p>
    <w:p w14:paraId="308FAA8C">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9、有稳定的售后服务承诺，能完好兑现。</w:t>
      </w:r>
    </w:p>
    <w:p w14:paraId="4AF572F9">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可通过临床营养科联系临床相关科室进行学术交流，不允许私自接触临床科室医生，一旦被我院监察办公室或纪委发现有违规违纪行为并确认，所有产品一律退还，五年内不再采用。</w:t>
      </w:r>
    </w:p>
    <w:p w14:paraId="3A27B6C3">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四、节能产品要求</w:t>
      </w:r>
    </w:p>
    <w:p w14:paraId="280BB8D7">
      <w:pPr>
        <w:spacing w:line="440" w:lineRule="exact"/>
        <w:ind w:firstLine="420" w:firstLineChars="200"/>
        <w:jc w:val="left"/>
        <w:rPr>
          <w:rFonts w:hint="eastAsia" w:ascii="宋体" w:hAnsi="宋体" w:cs="宋体"/>
          <w:iCs/>
          <w:color w:val="auto"/>
          <w:szCs w:val="21"/>
          <w:highlight w:val="none"/>
        </w:rPr>
      </w:pPr>
      <w:r>
        <w:rPr>
          <w:rFonts w:hint="eastAsia" w:ascii="宋体" w:hAnsi="宋体" w:cs="宋体"/>
          <w:iCs/>
          <w:color w:val="auto"/>
          <w:szCs w:val="21"/>
          <w:highlight w:val="none"/>
        </w:rPr>
        <w:t>本次拟采购的产品如属于《节能产品政府采购品目清单》中强制采购范围内产品，各投标人应当提供获得国家确定的认证机构出具的、有效期之内的节能产品认证证书的产品，上述品目清单可通过“中国政府采购网”</w:t>
      </w:r>
    </w:p>
    <w:p w14:paraId="6DDDC928">
      <w:pPr>
        <w:spacing w:line="440" w:lineRule="exact"/>
        <w:ind w:firstLine="420" w:firstLineChars="200"/>
        <w:jc w:val="left"/>
        <w:rPr>
          <w:rFonts w:ascii="宋体" w:hAnsi="宋体" w:cs="宋体"/>
          <w:color w:val="auto"/>
          <w:szCs w:val="21"/>
          <w:highlight w:val="none"/>
        </w:rPr>
        <w:sectPr>
          <w:pgSz w:w="11906" w:h="16838"/>
          <w:pgMar w:top="1440" w:right="1800" w:bottom="1440" w:left="1800" w:header="1191" w:footer="992" w:gutter="0"/>
          <w:pgNumType w:fmt="decimal"/>
          <w:cols w:space="1701" w:num="1"/>
          <w:docGrid w:linePitch="360" w:charSpace="0"/>
        </w:sectPr>
      </w:pPr>
      <w:r>
        <w:rPr>
          <w:rFonts w:hint="eastAsia" w:ascii="宋体" w:hAnsi="宋体" w:cs="宋体"/>
          <w:iCs/>
          <w:color w:val="auto"/>
          <w:szCs w:val="21"/>
          <w:highlight w:val="none"/>
        </w:rPr>
        <w:t>（HTTP：//www.ccgp.gov.cn/zcfg/mof/201904/t20190403_11849836.htm）查询,</w:t>
      </w:r>
      <w:r>
        <w:rPr>
          <w:rFonts w:hint="eastAsia" w:ascii="宋体" w:hAnsi="宋体" w:cs="宋体"/>
          <w:i/>
          <w:iCs/>
          <w:color w:val="auto"/>
          <w:szCs w:val="21"/>
          <w:highlight w:val="none"/>
          <w:u w:val="single"/>
        </w:rPr>
        <w:t>并在投标文件内提供由国家确定的认证机构出具的、处于有效期之内的节能产品认证证书原件，扫描上传，否则视为无效投标。（本项目涉及强制采购范围内产品有：无）</w:t>
      </w:r>
    </w:p>
    <w:p w14:paraId="0CC4F46A">
      <w:pPr>
        <w:pStyle w:val="2"/>
        <w:spacing w:line="360" w:lineRule="auto"/>
        <w:jc w:val="center"/>
        <w:rPr>
          <w:rFonts w:ascii="宋体" w:hAnsi="宋体"/>
          <w:color w:val="auto"/>
          <w:highlight w:val="none"/>
        </w:rPr>
      </w:pPr>
      <w:r>
        <w:rPr>
          <w:rFonts w:hint="eastAsia" w:ascii="宋体" w:hAnsi="宋体"/>
          <w:color w:val="auto"/>
          <w:highlight w:val="none"/>
        </w:rPr>
        <w:t>第五章 评标方法及评标标准</w:t>
      </w:r>
      <w:bookmarkEnd w:id="62"/>
    </w:p>
    <w:p w14:paraId="48A88BA0">
      <w:pPr>
        <w:pStyle w:val="37"/>
        <w:keepNext w:val="0"/>
        <w:keepLines w:val="0"/>
        <w:pageBreakBefore w:val="0"/>
        <w:widowControl w:val="0"/>
        <w:kinsoku/>
        <w:wordWrap/>
        <w:overflowPunct/>
        <w:topLinePunct w:val="0"/>
        <w:autoSpaceDE/>
        <w:autoSpaceDN/>
        <w:bidi w:val="0"/>
        <w:adjustRightInd w:val="0"/>
        <w:snapToGrid/>
        <w:spacing w:before="0" w:after="0"/>
        <w:ind w:firstLine="422" w:firstLineChars="200"/>
        <w:textAlignment w:val="baseline"/>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14:paraId="7A90BEC4">
      <w:pPr>
        <w:pStyle w:val="37"/>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44393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olor w:val="auto"/>
          <w:highlight w:val="none"/>
        </w:rPr>
      </w:pPr>
      <w:bookmarkStart w:id="63" w:name="_Toc449017024"/>
      <w:bookmarkStart w:id="64" w:name="_Toc449016388"/>
      <w:r>
        <w:rPr>
          <w:rFonts w:ascii="宋体" w:hAnsi="宋体"/>
          <w:b/>
          <w:color w:val="auto"/>
          <w:szCs w:val="21"/>
          <w:highlight w:val="none"/>
        </w:rPr>
        <w:t>二、</w:t>
      </w:r>
      <w:r>
        <w:rPr>
          <w:rFonts w:hint="eastAsia" w:ascii="宋体" w:hAnsi="宋体"/>
          <w:b/>
          <w:color w:val="auto"/>
          <w:szCs w:val="21"/>
          <w:highlight w:val="none"/>
        </w:rPr>
        <w:t>政府采购政策功能落实</w:t>
      </w:r>
      <w:bookmarkEnd w:id="63"/>
      <w:bookmarkEnd w:id="64"/>
    </w:p>
    <w:p w14:paraId="775EBA3D">
      <w:pPr>
        <w:spacing w:line="360" w:lineRule="auto"/>
        <w:ind w:firstLine="420" w:firstLineChars="200"/>
        <w:rPr>
          <w:rFonts w:ascii="宋体" w:hAnsi="宋体"/>
          <w:b/>
          <w:color w:val="auto"/>
          <w:szCs w:val="21"/>
          <w:highlight w:val="none"/>
        </w:rPr>
      </w:pPr>
      <w:r>
        <w:rPr>
          <w:rFonts w:ascii="宋体" w:hAnsi="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2F0CA7EF">
      <w:pPr>
        <w:pStyle w:val="37"/>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1、小微型企业价格扣除</w:t>
      </w:r>
    </w:p>
    <w:p w14:paraId="5ACAC335">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（1）本项目对小型和微型企业产品给予</w:t>
      </w:r>
      <w:r>
        <w:rPr>
          <w:rFonts w:hint="eastAsia" w:ascii="宋体" w:hAnsi="宋体"/>
          <w:color w:val="auto"/>
          <w:kern w:val="2"/>
          <w:sz w:val="21"/>
          <w:szCs w:val="21"/>
          <w:highlight w:val="none"/>
        </w:rPr>
        <w:t>20</w:t>
      </w:r>
      <w:r>
        <w:rPr>
          <w:rFonts w:ascii="宋体" w:hAnsi="宋体"/>
          <w:color w:val="auto"/>
          <w:kern w:val="2"/>
          <w:sz w:val="21"/>
          <w:szCs w:val="21"/>
          <w:highlight w:val="none"/>
        </w:rPr>
        <w:t>%的扣除价格，用扣除后的价格参与评审。</w:t>
      </w:r>
    </w:p>
    <w:p w14:paraId="038A0ABF">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（2）供应商需按照采购文件的要求提供相应的《企业声明函》。</w:t>
      </w:r>
    </w:p>
    <w:p w14:paraId="6A760D6E">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2、残疾人福利单位价格扣除</w:t>
      </w:r>
    </w:p>
    <w:p w14:paraId="33390279">
      <w:pPr>
        <w:pStyle w:val="37"/>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（1）本项目对残疾人福利性单位视同小型、微型企业，给予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%的价格扣除，用扣除</w:t>
      </w:r>
    </w:p>
    <w:p w14:paraId="41E5F92E">
      <w:pPr>
        <w:pStyle w:val="37"/>
        <w:ind w:firstLine="0"/>
        <w:rPr>
          <w:rFonts w:ascii="宋体" w:hAnsi="宋体"/>
          <w:color w:val="auto"/>
          <w:kern w:val="2"/>
          <w:sz w:val="21"/>
          <w:szCs w:val="21"/>
          <w:highlight w:val="none"/>
        </w:rPr>
      </w:pPr>
      <w:r>
        <w:rPr>
          <w:rFonts w:ascii="宋体" w:hAnsi="宋体"/>
          <w:color w:val="auto"/>
          <w:kern w:val="2"/>
          <w:sz w:val="21"/>
          <w:szCs w:val="21"/>
          <w:highlight w:val="none"/>
        </w:rPr>
        <w:t>后的价格参与评审。</w:t>
      </w:r>
    </w:p>
    <w:p w14:paraId="63D58747">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（2）残疾人福利单位需按照采购文件的要求提供《残疾人福利性单位声明函》。</w:t>
      </w:r>
    </w:p>
    <w:p w14:paraId="3E9ACB3A">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（3）残疾人福利单位标准请参照《关于促进残疾人就业政府采购政策的通知》（财库</w:t>
      </w:r>
    </w:p>
    <w:p w14:paraId="0CD3EF63">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〔2017〕141号）。</w:t>
      </w:r>
    </w:p>
    <w:p w14:paraId="1F0F8A33">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3、监狱和戒毒企业价格扣除</w:t>
      </w:r>
    </w:p>
    <w:p w14:paraId="0E4C4615">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（1）本项目对监狱和戒毒企业（简称监狱企业）视同小型、微型企业，给予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w:t>
      </w:r>
    </w:p>
    <w:p w14:paraId="1AB1A82B">
      <w:pPr>
        <w:pStyle w:val="37"/>
        <w:ind w:firstLine="0"/>
        <w:rPr>
          <w:rFonts w:ascii="宋体" w:hAnsi="宋体"/>
          <w:color w:val="auto"/>
          <w:kern w:val="2"/>
          <w:sz w:val="21"/>
          <w:szCs w:val="21"/>
          <w:highlight w:val="none"/>
        </w:rPr>
      </w:pPr>
      <w:r>
        <w:rPr>
          <w:rFonts w:ascii="宋体" w:hAnsi="宋体"/>
          <w:color w:val="auto"/>
          <w:kern w:val="2"/>
          <w:sz w:val="21"/>
          <w:szCs w:val="21"/>
          <w:highlight w:val="none"/>
        </w:rPr>
        <w:t>格扣除，用扣除后的价格参与评审。</w:t>
      </w:r>
    </w:p>
    <w:p w14:paraId="76AAB98A">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（2）监狱企业参加政府采购活动时，需提供由省级以上监狱管理局、戒毒管理局(含新</w:t>
      </w:r>
    </w:p>
    <w:p w14:paraId="6BEB261E">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疆生产建设兵团)出具的属于监狱企业的证明文件。供应商如不提供上述证明文件，价格将</w:t>
      </w:r>
    </w:p>
    <w:p w14:paraId="1FC99F58">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不做相应扣除。</w:t>
      </w:r>
    </w:p>
    <w:p w14:paraId="5B6008A0">
      <w:pPr>
        <w:pStyle w:val="37"/>
        <w:ind w:left="420" w:leftChars="200" w:firstLine="210" w:firstLineChars="100"/>
        <w:rPr>
          <w:rFonts w:ascii="宋体" w:hAnsi="宋体"/>
          <w:color w:val="auto"/>
          <w:kern w:val="2"/>
          <w:sz w:val="21"/>
          <w:szCs w:val="21"/>
          <w:highlight w:val="none"/>
        </w:rPr>
      </w:pPr>
      <w:r>
        <w:rPr>
          <w:rFonts w:ascii="宋体" w:hAnsi="宋体"/>
          <w:color w:val="auto"/>
          <w:kern w:val="2"/>
          <w:sz w:val="21"/>
          <w:szCs w:val="21"/>
          <w:highlight w:val="none"/>
        </w:rPr>
        <w:t>（3）监狱企业标准请参照《关于政府采购支持监狱企业发展有关问题的通知》（财库[2014]68号）。</w:t>
      </w:r>
    </w:p>
    <w:p w14:paraId="3E153818">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4、残疾人福利单位、监狱企业属于小型、微型企业的，不重复享受政策。</w:t>
      </w:r>
    </w:p>
    <w:p w14:paraId="57F19253">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5、大中型企业和其他自然人、法人或者其他组织并与小型、微型企业（残疾人福利单</w:t>
      </w:r>
    </w:p>
    <w:p w14:paraId="6E9F8AC5">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位、监狱企业）组成联合体共同参加政府采购活动。联合协议中约定，小型、微型企业（残</w:t>
      </w:r>
    </w:p>
    <w:p w14:paraId="24E98ACD">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疾人福利单位、监狱企业）的协议合同金额占到联合体协议合同总金额30%以上的，给予联</w:t>
      </w:r>
    </w:p>
    <w:p w14:paraId="5A376BB5">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合体</w:t>
      </w:r>
      <w:r>
        <w:rPr>
          <w:rFonts w:hint="eastAsia" w:ascii="宋体" w:hAnsi="宋体"/>
          <w:color w:val="auto"/>
          <w:kern w:val="2"/>
          <w:sz w:val="21"/>
          <w:szCs w:val="21"/>
          <w:highlight w:val="none"/>
        </w:rPr>
        <w:t>6</w:t>
      </w:r>
      <w:r>
        <w:rPr>
          <w:rFonts w:ascii="宋体" w:hAnsi="宋体"/>
          <w:color w:val="auto"/>
          <w:kern w:val="2"/>
          <w:sz w:val="21"/>
          <w:szCs w:val="21"/>
          <w:highlight w:val="none"/>
        </w:rPr>
        <w:t>%的价格扣除，用扣除后的价格参与评审。</w:t>
      </w:r>
    </w:p>
    <w:p w14:paraId="61AB841B">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6、联合体各方均为小型、微型企业（残疾人福利单位、监狱企业）的，联合体享受</w:t>
      </w:r>
      <w:r>
        <w:rPr>
          <w:rFonts w:hint="eastAsia" w:ascii="宋体" w:hAnsi="宋体"/>
          <w:color w:val="auto"/>
          <w:kern w:val="2"/>
          <w:sz w:val="21"/>
          <w:szCs w:val="21"/>
          <w:highlight w:val="none"/>
        </w:rPr>
        <w:t>20</w:t>
      </w:r>
      <w:r>
        <w:rPr>
          <w:rFonts w:ascii="宋体" w:hAnsi="宋体"/>
          <w:color w:val="auto"/>
          <w:kern w:val="2"/>
          <w:sz w:val="21"/>
          <w:szCs w:val="21"/>
          <w:highlight w:val="none"/>
        </w:rPr>
        <w:t>%</w:t>
      </w:r>
    </w:p>
    <w:p w14:paraId="705A87E0">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价格扣除，用扣除后的价格参与评审。</w:t>
      </w:r>
    </w:p>
    <w:p w14:paraId="22859BA4">
      <w:pPr>
        <w:pStyle w:val="37"/>
        <w:numPr>
          <w:ilvl w:val="0"/>
          <w:numId w:val="4"/>
        </w:numPr>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大中型企业向小型、微型企业分包的，分包意向协议约定小型、微型企业合同份额占到合同总金额30%以上的，给予6%的价格扣除，用扣除后的价格参与评审。</w:t>
      </w:r>
    </w:p>
    <w:p w14:paraId="34C3FEC6">
      <w:pPr>
        <w:pStyle w:val="37"/>
        <w:keepNext w:val="0"/>
        <w:keepLines w:val="0"/>
        <w:pageBreakBefore w:val="0"/>
        <w:widowControl w:val="0"/>
        <w:kinsoku/>
        <w:wordWrap/>
        <w:overflowPunct/>
        <w:topLinePunct w:val="0"/>
        <w:autoSpaceDE/>
        <w:autoSpaceDN/>
        <w:bidi w:val="0"/>
        <w:adjustRightInd w:val="0"/>
        <w:snapToGrid/>
        <w:spacing w:before="0" w:after="0"/>
        <w:ind w:firstLine="422" w:firstLineChars="200"/>
        <w:textAlignment w:val="baseline"/>
        <w:outlineLvl w:val="1"/>
        <w:rPr>
          <w:rFonts w:hint="eastAsia" w:ascii="宋体" w:hAnsi="宋体"/>
          <w:b/>
          <w:color w:val="auto"/>
          <w:kern w:val="2"/>
          <w:sz w:val="21"/>
          <w:szCs w:val="21"/>
          <w:highlight w:val="none"/>
        </w:rPr>
      </w:pPr>
      <w:r>
        <w:rPr>
          <w:rFonts w:hint="eastAsia" w:ascii="宋体" w:hAnsi="宋体"/>
          <w:b/>
          <w:color w:val="auto"/>
          <w:kern w:val="2"/>
          <w:sz w:val="21"/>
          <w:szCs w:val="21"/>
          <w:highlight w:val="none"/>
        </w:rPr>
        <w:t>三、评标标准</w:t>
      </w:r>
    </w:p>
    <w:p w14:paraId="60C2DF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注：为便于评分，请供应商按评分表样式，逐条列出证明材料所在页码，格式自定。</w:t>
      </w:r>
    </w:p>
    <w:p w14:paraId="47948C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bCs w:val="0"/>
          <w:color w:val="auto"/>
          <w:kern w:val="2"/>
          <w:sz w:val="22"/>
          <w:szCs w:val="22"/>
          <w:highlight w:val="none"/>
          <w:lang w:val="en-US" w:eastAsia="zh-CN" w:bidi="ar-SA"/>
        </w:rPr>
        <w:t>评分细则（</w:t>
      </w:r>
      <w:r>
        <w:rPr>
          <w:rFonts w:hint="eastAsia" w:ascii="宋体" w:hAnsi="宋体" w:cs="Times New Roman"/>
          <w:b/>
          <w:bCs w:val="0"/>
          <w:color w:val="auto"/>
          <w:kern w:val="2"/>
          <w:sz w:val="22"/>
          <w:szCs w:val="22"/>
          <w:highlight w:val="none"/>
          <w:lang w:val="en-US" w:eastAsia="zh-CN" w:bidi="ar-SA"/>
        </w:rPr>
        <w:t>采购</w:t>
      </w:r>
      <w:r>
        <w:rPr>
          <w:rFonts w:hint="eastAsia" w:ascii="宋体" w:hAnsi="宋体" w:eastAsia="宋体" w:cs="Times New Roman"/>
          <w:b/>
          <w:bCs w:val="0"/>
          <w:color w:val="auto"/>
          <w:kern w:val="2"/>
          <w:sz w:val="22"/>
          <w:szCs w:val="22"/>
          <w:highlight w:val="none"/>
          <w:lang w:val="en-US" w:eastAsia="zh-CN" w:bidi="ar-SA"/>
        </w:rPr>
        <w:t>包</w:t>
      </w:r>
      <w:r>
        <w:rPr>
          <w:rFonts w:hint="eastAsia" w:ascii="宋体" w:hAnsi="宋体" w:cs="Times New Roman"/>
          <w:b/>
          <w:bCs w:val="0"/>
          <w:color w:val="auto"/>
          <w:kern w:val="2"/>
          <w:sz w:val="22"/>
          <w:szCs w:val="22"/>
          <w:highlight w:val="none"/>
          <w:lang w:val="en-US" w:eastAsia="zh-CN" w:bidi="ar-SA"/>
        </w:rPr>
        <w:t>1：肠内营养配制固体饮料包</w:t>
      </w:r>
      <w:r>
        <w:rPr>
          <w:rFonts w:hint="eastAsia" w:ascii="宋体" w:hAnsi="宋体" w:eastAsia="宋体" w:cs="Times New Roman"/>
          <w:b/>
          <w:bCs w:val="0"/>
          <w:color w:val="auto"/>
          <w:kern w:val="2"/>
          <w:sz w:val="22"/>
          <w:szCs w:val="22"/>
          <w:highlight w:val="none"/>
          <w:lang w:val="en-US" w:eastAsia="zh-CN" w:bidi="ar-SA"/>
        </w:rPr>
        <w:t>）：</w:t>
      </w:r>
    </w:p>
    <w:tbl>
      <w:tblPr>
        <w:tblStyle w:val="24"/>
        <w:tblW w:w="9760"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90"/>
        <w:gridCol w:w="695"/>
        <w:gridCol w:w="4905"/>
        <w:gridCol w:w="2390"/>
      </w:tblGrid>
      <w:tr w14:paraId="1D65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auto"/>
            <w:vAlign w:val="center"/>
          </w:tcPr>
          <w:p w14:paraId="361F7C6C">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序号</w:t>
            </w:r>
          </w:p>
        </w:tc>
        <w:tc>
          <w:tcPr>
            <w:tcW w:w="1090" w:type="dxa"/>
            <w:shd w:val="clear" w:color="auto" w:fill="auto"/>
            <w:vAlign w:val="center"/>
          </w:tcPr>
          <w:p w14:paraId="5828F4F3">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评分因素</w:t>
            </w:r>
          </w:p>
        </w:tc>
        <w:tc>
          <w:tcPr>
            <w:tcW w:w="695" w:type="dxa"/>
            <w:shd w:val="clear" w:color="auto" w:fill="auto"/>
            <w:vAlign w:val="center"/>
          </w:tcPr>
          <w:p w14:paraId="714FB24C">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分值</w:t>
            </w:r>
          </w:p>
        </w:tc>
        <w:tc>
          <w:tcPr>
            <w:tcW w:w="4905" w:type="dxa"/>
            <w:shd w:val="clear" w:color="auto" w:fill="auto"/>
            <w:vAlign w:val="center"/>
          </w:tcPr>
          <w:p w14:paraId="5DE1A01F">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评分标准</w:t>
            </w:r>
          </w:p>
        </w:tc>
        <w:tc>
          <w:tcPr>
            <w:tcW w:w="2390" w:type="dxa"/>
            <w:shd w:val="clear" w:color="auto" w:fill="auto"/>
            <w:vAlign w:val="center"/>
          </w:tcPr>
          <w:p w14:paraId="6D738F17">
            <w:pPr>
              <w:pStyle w:val="60"/>
              <w:spacing w:before="0" w:after="0" w:line="360" w:lineRule="exact"/>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rPr>
              <w:t>说明</w:t>
            </w:r>
          </w:p>
        </w:tc>
      </w:tr>
      <w:tr w14:paraId="59AB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39F74FC0">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w:t>
            </w:r>
          </w:p>
        </w:tc>
        <w:tc>
          <w:tcPr>
            <w:tcW w:w="1090" w:type="dxa"/>
            <w:vAlign w:val="center"/>
          </w:tcPr>
          <w:p w14:paraId="6BBE2F31">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价格分</w:t>
            </w:r>
          </w:p>
        </w:tc>
        <w:tc>
          <w:tcPr>
            <w:tcW w:w="695" w:type="dxa"/>
            <w:vAlign w:val="center"/>
          </w:tcPr>
          <w:p w14:paraId="033CA94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vAlign w:val="center"/>
          </w:tcPr>
          <w:p w14:paraId="399C43B7">
            <w:pPr>
              <w:spacing w:line="360" w:lineRule="exact"/>
              <w:jc w:val="left"/>
              <w:rPr>
                <w:rFonts w:ascii="宋体" w:hAnsi="宋体" w:cs="宋体"/>
                <w:szCs w:val="21"/>
                <w:highlight w:val="none"/>
              </w:rPr>
            </w:pPr>
            <w:r>
              <w:rPr>
                <w:rFonts w:hint="eastAsia" w:ascii="宋体" w:hAnsi="宋体" w:cs="宋体"/>
                <w:szCs w:val="21"/>
                <w:highlight w:val="none"/>
              </w:rPr>
              <w:t>满足</w:t>
            </w:r>
            <w:r>
              <w:rPr>
                <w:rFonts w:hint="eastAsia" w:ascii="宋体" w:hAnsi="宋体" w:cs="宋体"/>
                <w:szCs w:val="21"/>
                <w:highlight w:val="none"/>
                <w:lang w:val="en-US" w:eastAsia="zh-CN"/>
              </w:rPr>
              <w:t>招标</w:t>
            </w:r>
            <w:r>
              <w:rPr>
                <w:rFonts w:hint="eastAsia" w:ascii="宋体" w:hAnsi="宋体" w:cs="宋体"/>
                <w:szCs w:val="21"/>
                <w:highlight w:val="none"/>
              </w:rPr>
              <w:t>文件要求且最终报价最低的报价为评标基准价，其价格分为满分。其他供应商的价格分统一按照下列公式计算：</w:t>
            </w:r>
          </w:p>
          <w:p w14:paraId="482438BA">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rPr>
              <w:t>价格分得分＝（评标基准价/最终报价）×分值。</w:t>
            </w:r>
            <w:r>
              <w:rPr>
                <w:rFonts w:hint="eastAsia" w:ascii="宋体" w:hAnsi="宋体" w:cs="宋体"/>
                <w:szCs w:val="21"/>
                <w:highlight w:val="none"/>
                <w:lang w:eastAsia="zh-CN"/>
              </w:rPr>
              <w:t>（</w:t>
            </w:r>
            <w:r>
              <w:rPr>
                <w:rFonts w:hint="eastAsia" w:ascii="宋体" w:hAnsi="宋体" w:cs="宋体"/>
                <w:szCs w:val="21"/>
                <w:highlight w:val="none"/>
                <w:lang w:val="en-US" w:eastAsia="zh-CN"/>
              </w:rPr>
              <w:t>保留2位小数</w:t>
            </w:r>
            <w:r>
              <w:rPr>
                <w:rFonts w:hint="eastAsia" w:ascii="宋体" w:hAnsi="宋体" w:cs="宋体"/>
                <w:szCs w:val="21"/>
                <w:highlight w:val="none"/>
                <w:lang w:eastAsia="zh-CN"/>
              </w:rPr>
              <w:t>）</w:t>
            </w:r>
          </w:p>
          <w:p w14:paraId="26C67F4F">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c>
          <w:tcPr>
            <w:tcW w:w="2390" w:type="dxa"/>
            <w:vAlign w:val="center"/>
          </w:tcPr>
          <w:p w14:paraId="255BA88C">
            <w:pPr>
              <w:numPr>
                <w:ilvl w:val="0"/>
                <w:numId w:val="0"/>
              </w:numPr>
              <w:snapToGrid w:val="0"/>
              <w:spacing w:line="312" w:lineRule="auto"/>
              <w:jc w:val="left"/>
              <w:rPr>
                <w:rFonts w:hint="eastAsia" w:ascii="宋体" w:hAnsi="宋体" w:cs="宋体"/>
                <w:szCs w:val="21"/>
                <w:highlight w:val="none"/>
                <w:vertAlign w:val="baseline"/>
              </w:rPr>
            </w:pPr>
          </w:p>
        </w:tc>
      </w:tr>
      <w:tr w14:paraId="7CFC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0" w:type="dxa"/>
            <w:vAlign w:val="center"/>
          </w:tcPr>
          <w:p w14:paraId="2A454A2E">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w:t>
            </w:r>
          </w:p>
        </w:tc>
        <w:tc>
          <w:tcPr>
            <w:tcW w:w="1090" w:type="dxa"/>
            <w:vAlign w:val="center"/>
          </w:tcPr>
          <w:p w14:paraId="0D41F3D1">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主观分</w:t>
            </w:r>
          </w:p>
        </w:tc>
        <w:tc>
          <w:tcPr>
            <w:tcW w:w="7990" w:type="dxa"/>
            <w:gridSpan w:val="3"/>
            <w:vAlign w:val="center"/>
          </w:tcPr>
          <w:p w14:paraId="2D362633">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30分</w:t>
            </w:r>
          </w:p>
        </w:tc>
      </w:tr>
      <w:tr w14:paraId="6C86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4AFBD05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2.1</w:t>
            </w:r>
          </w:p>
        </w:tc>
        <w:tc>
          <w:tcPr>
            <w:tcW w:w="1090" w:type="dxa"/>
            <w:vAlign w:val="center"/>
          </w:tcPr>
          <w:p w14:paraId="2AE37916">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vertAlign w:val="baseline"/>
              </w:rPr>
              <w:t>整体供货方案</w:t>
            </w:r>
          </w:p>
        </w:tc>
        <w:tc>
          <w:tcPr>
            <w:tcW w:w="695" w:type="dxa"/>
            <w:vAlign w:val="center"/>
          </w:tcPr>
          <w:p w14:paraId="3866236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7D9562D1">
            <w:pPr>
              <w:spacing w:line="360" w:lineRule="exact"/>
              <w:jc w:val="left"/>
              <w:rPr>
                <w:rFonts w:ascii="宋体" w:hAnsi="宋体" w:cs="宋体"/>
                <w:szCs w:val="21"/>
                <w:highlight w:val="none"/>
              </w:rPr>
            </w:pPr>
            <w:r>
              <w:rPr>
                <w:rFonts w:hint="eastAsia" w:ascii="宋体" w:hAnsi="宋体" w:cs="宋体"/>
                <w:bCs/>
                <w:szCs w:val="21"/>
                <w:highlight w:val="none"/>
              </w:rPr>
              <w:t>整体供货方案</w:t>
            </w:r>
            <w:r>
              <w:rPr>
                <w:rFonts w:hint="eastAsia" w:ascii="宋体" w:hAnsi="宋体" w:cs="宋体"/>
                <w:szCs w:val="21"/>
                <w:highlight w:val="none"/>
              </w:rPr>
              <w:t>，包括</w:t>
            </w:r>
            <w:r>
              <w:rPr>
                <w:rFonts w:hint="eastAsia" w:ascii="宋体" w:hAnsi="宋体" w:cs="宋体"/>
                <w:bCs/>
                <w:szCs w:val="21"/>
                <w:highlight w:val="none"/>
              </w:rPr>
              <w:t>供货流程、供货周期、供货量、货源保障措施等</w:t>
            </w:r>
            <w:r>
              <w:rPr>
                <w:rFonts w:hint="eastAsia" w:ascii="宋体" w:hAnsi="宋体" w:cs="宋体"/>
                <w:szCs w:val="21"/>
                <w:highlight w:val="none"/>
              </w:rPr>
              <w:t>。</w:t>
            </w:r>
          </w:p>
          <w:p w14:paraId="7AF7AF68">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供货流程、供货周期、供货量、货源保障措施等，能够确保供货的稳定性和及时性得5分；基本描述了供货的主要环节和流程，但在某些细节或保障措施上有所欠缺或有缺失得3分；简单提及了供货方案的基本框架，缺乏具体内容和细节得1分；未提供或提供的方案与本项目合同履行无关不得分。</w:t>
            </w:r>
          </w:p>
        </w:tc>
        <w:tc>
          <w:tcPr>
            <w:tcW w:w="2390" w:type="dxa"/>
            <w:vAlign w:val="center"/>
          </w:tcPr>
          <w:p w14:paraId="133F4AF6">
            <w:pPr>
              <w:numPr>
                <w:ilvl w:val="0"/>
                <w:numId w:val="0"/>
              </w:numPr>
              <w:snapToGrid w:val="0"/>
              <w:spacing w:line="312" w:lineRule="auto"/>
              <w:jc w:val="left"/>
              <w:rPr>
                <w:rFonts w:hint="eastAsia" w:ascii="宋体" w:hAnsi="宋体" w:cs="宋体"/>
                <w:szCs w:val="21"/>
                <w:highlight w:val="none"/>
                <w:vertAlign w:val="baseline"/>
              </w:rPr>
            </w:pPr>
          </w:p>
        </w:tc>
      </w:tr>
      <w:tr w14:paraId="146B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77EF1F0A">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2.2</w:t>
            </w:r>
          </w:p>
        </w:tc>
        <w:tc>
          <w:tcPr>
            <w:tcW w:w="1090" w:type="dxa"/>
            <w:vAlign w:val="center"/>
          </w:tcPr>
          <w:p w14:paraId="733D5C2B">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运输时限和运输方式</w:t>
            </w:r>
          </w:p>
        </w:tc>
        <w:tc>
          <w:tcPr>
            <w:tcW w:w="695" w:type="dxa"/>
            <w:vAlign w:val="center"/>
          </w:tcPr>
          <w:p w14:paraId="159D2CB3">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7CEDB0BF">
            <w:pPr>
              <w:spacing w:line="360" w:lineRule="exact"/>
              <w:jc w:val="left"/>
              <w:rPr>
                <w:rFonts w:ascii="宋体" w:hAnsi="宋体" w:cs="宋体"/>
                <w:bCs/>
                <w:szCs w:val="21"/>
                <w:highlight w:val="none"/>
              </w:rPr>
            </w:pPr>
            <w:r>
              <w:rPr>
                <w:rFonts w:hint="eastAsia" w:ascii="宋体" w:hAnsi="宋体" w:cs="宋体"/>
                <w:bCs/>
                <w:szCs w:val="21"/>
                <w:highlight w:val="none"/>
              </w:rPr>
              <w:t>运输时限和运输方式，包括运输时限、运输方式、运输责任划分及运输中的安全保障措施。</w:t>
            </w:r>
          </w:p>
          <w:p w14:paraId="0E34D546">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明确规定了供应产品的运输时限、运输方式（如空运、海运、陆运等）、运输责任划分及运输中的安全保障措施得5分；规定了主要的运输时限和运输方式，但在某些保障措施上不够全面或有缺失得3分；仅简单提及了运输时限和方式，缺乏具体的执行细节得1分</w:t>
            </w:r>
            <w:r>
              <w:rPr>
                <w:rFonts w:hint="eastAsia" w:ascii="宋体" w:hAnsi="宋体" w:cs="宋体"/>
                <w:szCs w:val="21"/>
                <w:highlight w:val="none"/>
              </w:rPr>
              <w:t>；未提供不得分。</w:t>
            </w:r>
          </w:p>
        </w:tc>
        <w:tc>
          <w:tcPr>
            <w:tcW w:w="2390" w:type="dxa"/>
            <w:vAlign w:val="center"/>
          </w:tcPr>
          <w:p w14:paraId="651E30C2">
            <w:pPr>
              <w:numPr>
                <w:ilvl w:val="0"/>
                <w:numId w:val="0"/>
              </w:numPr>
              <w:snapToGrid w:val="0"/>
              <w:spacing w:line="312" w:lineRule="auto"/>
              <w:jc w:val="left"/>
              <w:rPr>
                <w:rFonts w:hint="eastAsia" w:ascii="宋体" w:hAnsi="宋体" w:cs="宋体"/>
                <w:szCs w:val="21"/>
                <w:highlight w:val="none"/>
                <w:vertAlign w:val="baseline"/>
              </w:rPr>
            </w:pPr>
          </w:p>
        </w:tc>
      </w:tr>
      <w:tr w14:paraId="769F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52B406B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2.3</w:t>
            </w:r>
          </w:p>
        </w:tc>
        <w:tc>
          <w:tcPr>
            <w:tcW w:w="1090" w:type="dxa"/>
            <w:vAlign w:val="center"/>
          </w:tcPr>
          <w:p w14:paraId="5B655D83">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退换缺陷产品措施</w:t>
            </w:r>
          </w:p>
        </w:tc>
        <w:tc>
          <w:tcPr>
            <w:tcW w:w="695" w:type="dxa"/>
            <w:vAlign w:val="center"/>
          </w:tcPr>
          <w:p w14:paraId="6EB790D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5B729507">
            <w:pPr>
              <w:spacing w:line="360" w:lineRule="exact"/>
              <w:jc w:val="left"/>
              <w:rPr>
                <w:rFonts w:ascii="宋体" w:hAnsi="宋体" w:cs="宋体"/>
                <w:bCs/>
                <w:szCs w:val="21"/>
                <w:highlight w:val="none"/>
              </w:rPr>
            </w:pPr>
            <w:r>
              <w:rPr>
                <w:rFonts w:hint="eastAsia" w:ascii="宋体" w:hAnsi="宋体" w:cs="宋体"/>
                <w:bCs/>
                <w:szCs w:val="21"/>
                <w:highlight w:val="none"/>
              </w:rPr>
              <w:t>退换缺陷产品措施，包括缺陷产品的识别方法、退换流程、退换时限、责任划分及赔偿措施等。</w:t>
            </w:r>
          </w:p>
          <w:p w14:paraId="09D0E90D">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缺陷产品的识别方法、退换流程、退换时限、责任划分及赔偿措施等得5分；基本描述了退换缺陷产品的主要环节和流程，但在某些赔偿措施上有所欠缺或有缺失得3分；仅简单提及了退换措施的基本框架，缺乏具体内容和细节得1分；未提供或提供的方案与本项目合同履行无关不得分。</w:t>
            </w:r>
          </w:p>
        </w:tc>
        <w:tc>
          <w:tcPr>
            <w:tcW w:w="2390" w:type="dxa"/>
            <w:vAlign w:val="center"/>
          </w:tcPr>
          <w:p w14:paraId="00AFE17B">
            <w:pPr>
              <w:numPr>
                <w:ilvl w:val="0"/>
                <w:numId w:val="0"/>
              </w:numPr>
              <w:snapToGrid w:val="0"/>
              <w:spacing w:line="312" w:lineRule="auto"/>
              <w:jc w:val="left"/>
              <w:rPr>
                <w:rFonts w:hint="eastAsia" w:ascii="宋体" w:hAnsi="宋体" w:cs="宋体"/>
                <w:szCs w:val="21"/>
                <w:highlight w:val="none"/>
                <w:vertAlign w:val="baseline"/>
              </w:rPr>
            </w:pPr>
          </w:p>
        </w:tc>
      </w:tr>
      <w:tr w14:paraId="626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0DC03D99">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2.4</w:t>
            </w:r>
          </w:p>
        </w:tc>
        <w:tc>
          <w:tcPr>
            <w:tcW w:w="1090" w:type="dxa"/>
            <w:vAlign w:val="center"/>
          </w:tcPr>
          <w:p w14:paraId="6C90ABB9">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对产品的食用意见及反馈时间方案</w:t>
            </w:r>
          </w:p>
        </w:tc>
        <w:tc>
          <w:tcPr>
            <w:tcW w:w="695" w:type="dxa"/>
            <w:vAlign w:val="center"/>
          </w:tcPr>
          <w:p w14:paraId="6AD8F617">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2B1002ED">
            <w:pPr>
              <w:spacing w:line="360" w:lineRule="exact"/>
              <w:jc w:val="left"/>
              <w:rPr>
                <w:rFonts w:ascii="宋体" w:hAnsi="宋体" w:cs="宋体"/>
                <w:bCs/>
                <w:szCs w:val="21"/>
                <w:highlight w:val="none"/>
              </w:rPr>
            </w:pPr>
            <w:r>
              <w:rPr>
                <w:rFonts w:hint="eastAsia" w:ascii="宋体" w:hAnsi="宋体" w:cs="宋体"/>
                <w:bCs/>
                <w:szCs w:val="21"/>
                <w:highlight w:val="none"/>
              </w:rPr>
              <w:t>对产品的食用意见及反馈时间方案，包括产品食用意见的收集渠道、反馈机制、处理流程及时限要求等。</w:t>
            </w:r>
          </w:p>
          <w:p w14:paraId="5E117F2C">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建立了产品食用意见的收集渠道、反馈机制、处理流程及时限要求，确保消费者意见能够及时得到处理和回复得5分；基本描述了食用意见及反馈的主要环节和流程，但在某些处理时限上不够全面或有缺失得3分；仅简单提及了食用意见及反馈的基本框架，缺乏具体内容和细节得1分；未提共或提供的方案与本项目合同履行无关不得分。</w:t>
            </w:r>
          </w:p>
        </w:tc>
        <w:tc>
          <w:tcPr>
            <w:tcW w:w="2390" w:type="dxa"/>
            <w:vAlign w:val="center"/>
          </w:tcPr>
          <w:p w14:paraId="498508F0">
            <w:pPr>
              <w:numPr>
                <w:ilvl w:val="0"/>
                <w:numId w:val="0"/>
              </w:numPr>
              <w:snapToGrid w:val="0"/>
              <w:spacing w:line="312" w:lineRule="auto"/>
              <w:jc w:val="left"/>
              <w:rPr>
                <w:rFonts w:hint="eastAsia" w:ascii="宋体" w:hAnsi="宋体" w:cs="宋体"/>
                <w:szCs w:val="21"/>
                <w:highlight w:val="none"/>
                <w:vertAlign w:val="baseline"/>
              </w:rPr>
            </w:pPr>
          </w:p>
        </w:tc>
      </w:tr>
      <w:tr w14:paraId="118E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68F961A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2.5</w:t>
            </w:r>
          </w:p>
        </w:tc>
        <w:tc>
          <w:tcPr>
            <w:tcW w:w="1090" w:type="dxa"/>
            <w:vAlign w:val="center"/>
          </w:tcPr>
          <w:p w14:paraId="64B048A8">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售前和售后服务制度</w:t>
            </w:r>
          </w:p>
        </w:tc>
        <w:tc>
          <w:tcPr>
            <w:tcW w:w="695" w:type="dxa"/>
            <w:vAlign w:val="center"/>
          </w:tcPr>
          <w:p w14:paraId="5737073E">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6C326198">
            <w:pPr>
              <w:spacing w:line="360" w:lineRule="exact"/>
              <w:jc w:val="left"/>
              <w:rPr>
                <w:rFonts w:ascii="宋体" w:hAnsi="宋体" w:cs="宋体"/>
                <w:bCs/>
                <w:szCs w:val="21"/>
                <w:highlight w:val="none"/>
              </w:rPr>
            </w:pPr>
            <w:r>
              <w:rPr>
                <w:rFonts w:hint="eastAsia" w:ascii="宋体" w:hAnsi="宋体" w:cs="宋体"/>
                <w:bCs/>
                <w:szCs w:val="21"/>
                <w:highlight w:val="none"/>
              </w:rPr>
              <w:t>售前和售后服务制度，包括售前咨询和售后服务的内容、流程、时限及保障措施。</w:t>
            </w:r>
          </w:p>
          <w:p w14:paraId="33A33B42">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售前咨询和售后服务的内容、流程、时限及保障措施等得5分；基本描述了售前售后服务的主要环节和流程，但在某些细节或保障措施上有所欠缺得3分；仅简单提及了售前售后服务的基本框架，缺乏具体内容和细节得1分；未提共或提供的方案与本项目合同履行无关不得分。</w:t>
            </w:r>
          </w:p>
        </w:tc>
        <w:tc>
          <w:tcPr>
            <w:tcW w:w="2390" w:type="dxa"/>
            <w:vAlign w:val="center"/>
          </w:tcPr>
          <w:p w14:paraId="73F9F0B5">
            <w:pPr>
              <w:numPr>
                <w:ilvl w:val="0"/>
                <w:numId w:val="0"/>
              </w:numPr>
              <w:snapToGrid w:val="0"/>
              <w:spacing w:line="312" w:lineRule="auto"/>
              <w:jc w:val="left"/>
              <w:rPr>
                <w:rFonts w:hint="eastAsia" w:ascii="宋体" w:hAnsi="宋体" w:cs="宋体"/>
                <w:szCs w:val="21"/>
                <w:highlight w:val="none"/>
                <w:vertAlign w:val="baseline"/>
              </w:rPr>
            </w:pPr>
          </w:p>
        </w:tc>
      </w:tr>
      <w:tr w14:paraId="783C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5F4F65F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2.6</w:t>
            </w:r>
          </w:p>
        </w:tc>
        <w:tc>
          <w:tcPr>
            <w:tcW w:w="1090" w:type="dxa"/>
            <w:vAlign w:val="center"/>
          </w:tcPr>
          <w:p w14:paraId="67A942B6">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紧急情况措施</w:t>
            </w:r>
          </w:p>
        </w:tc>
        <w:tc>
          <w:tcPr>
            <w:tcW w:w="695" w:type="dxa"/>
            <w:vAlign w:val="center"/>
          </w:tcPr>
          <w:p w14:paraId="07278BFD">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5DC27561">
            <w:pPr>
              <w:spacing w:line="360" w:lineRule="exact"/>
              <w:jc w:val="left"/>
              <w:rPr>
                <w:rFonts w:ascii="宋体" w:hAnsi="宋体" w:cs="宋体"/>
                <w:bCs/>
                <w:szCs w:val="21"/>
                <w:highlight w:val="none"/>
              </w:rPr>
            </w:pPr>
            <w:r>
              <w:rPr>
                <w:rFonts w:hint="eastAsia" w:ascii="宋体" w:hAnsi="宋体" w:cs="宋体"/>
                <w:bCs/>
                <w:szCs w:val="21"/>
                <w:highlight w:val="none"/>
              </w:rPr>
              <w:t>紧急情况措施，包括应急处理流程、责任划分、资源调配及后续处理措施等。</w:t>
            </w:r>
          </w:p>
          <w:p w14:paraId="74B48F3B">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制定了详细的应急处理流程、责任划分、资源调配及后续处理措施等得5分；基本描述了紧急情况的主要应对措施和流程，但在某些细节或资源调配上有所欠缺得3分；仅简单提及了紧急情况的基本应对措施，缺乏具体内容和细节得1分；未提共或提供的方案与本项目合同履行无关不得分。</w:t>
            </w:r>
          </w:p>
        </w:tc>
        <w:tc>
          <w:tcPr>
            <w:tcW w:w="2390" w:type="dxa"/>
            <w:vAlign w:val="center"/>
          </w:tcPr>
          <w:p w14:paraId="3A4EF241">
            <w:pPr>
              <w:numPr>
                <w:ilvl w:val="0"/>
                <w:numId w:val="0"/>
              </w:numPr>
              <w:snapToGrid w:val="0"/>
              <w:spacing w:line="312" w:lineRule="auto"/>
              <w:jc w:val="left"/>
              <w:rPr>
                <w:rFonts w:hint="eastAsia" w:ascii="宋体" w:hAnsi="宋体" w:cs="宋体"/>
                <w:szCs w:val="21"/>
                <w:highlight w:val="none"/>
                <w:vertAlign w:val="baseline"/>
              </w:rPr>
            </w:pPr>
          </w:p>
        </w:tc>
      </w:tr>
      <w:tr w14:paraId="4D85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0" w:type="dxa"/>
            <w:vAlign w:val="center"/>
          </w:tcPr>
          <w:p w14:paraId="74A4B2CE">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w:t>
            </w:r>
          </w:p>
        </w:tc>
        <w:tc>
          <w:tcPr>
            <w:tcW w:w="1090" w:type="dxa"/>
            <w:vAlign w:val="center"/>
          </w:tcPr>
          <w:p w14:paraId="76286358">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客观分</w:t>
            </w:r>
          </w:p>
        </w:tc>
        <w:tc>
          <w:tcPr>
            <w:tcW w:w="7990" w:type="dxa"/>
            <w:gridSpan w:val="3"/>
            <w:vAlign w:val="center"/>
          </w:tcPr>
          <w:p w14:paraId="756F7007">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40分</w:t>
            </w:r>
          </w:p>
        </w:tc>
      </w:tr>
      <w:tr w14:paraId="3EA4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2CF6626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3.1</w:t>
            </w:r>
          </w:p>
        </w:tc>
        <w:tc>
          <w:tcPr>
            <w:tcW w:w="1090" w:type="dxa"/>
            <w:vAlign w:val="center"/>
          </w:tcPr>
          <w:p w14:paraId="2837EDF3">
            <w:pPr>
              <w:numPr>
                <w:ilvl w:val="0"/>
                <w:numId w:val="0"/>
              </w:numPr>
              <w:snapToGrid w:val="0"/>
              <w:spacing w:line="312" w:lineRule="auto"/>
              <w:jc w:val="center"/>
              <w:rPr>
                <w:rFonts w:hint="default" w:ascii="宋体" w:hAnsi="宋体" w:cs="宋体"/>
                <w:szCs w:val="21"/>
                <w:highlight w:val="none"/>
                <w:lang w:val="en-US" w:eastAsia="zh-CN"/>
              </w:rPr>
            </w:pPr>
            <w:r>
              <w:rPr>
                <w:rFonts w:hint="eastAsia" w:ascii="宋体" w:hAnsi="宋体" w:cs="宋体"/>
                <w:szCs w:val="21"/>
                <w:highlight w:val="none"/>
              </w:rPr>
              <w:t>需求响应</w:t>
            </w:r>
          </w:p>
        </w:tc>
        <w:tc>
          <w:tcPr>
            <w:tcW w:w="695" w:type="dxa"/>
            <w:vAlign w:val="center"/>
          </w:tcPr>
          <w:p w14:paraId="258C6F83">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35分</w:t>
            </w:r>
          </w:p>
        </w:tc>
        <w:tc>
          <w:tcPr>
            <w:tcW w:w="4905" w:type="dxa"/>
            <w:vAlign w:val="center"/>
          </w:tcPr>
          <w:p w14:paraId="2ECCF01D">
            <w:pPr>
              <w:autoSpaceDE w:val="0"/>
              <w:autoSpaceDN w:val="0"/>
              <w:spacing w:line="360" w:lineRule="exact"/>
              <w:jc w:val="left"/>
              <w:rPr>
                <w:rFonts w:ascii="宋体" w:hAnsi="宋体" w:cs="宋体"/>
                <w:kern w:val="0"/>
                <w:szCs w:val="21"/>
                <w:highlight w:val="none"/>
                <w:lang w:val="zh-CN" w:bidi="zh-CN"/>
              </w:rPr>
            </w:pPr>
            <w:r>
              <w:rPr>
                <w:rFonts w:hint="eastAsia" w:ascii="宋体" w:hAnsi="宋体" w:cs="宋体"/>
                <w:kern w:val="0"/>
                <w:szCs w:val="21"/>
                <w:highlight w:val="none"/>
                <w:lang w:val="en-US" w:bidi="zh-CN"/>
              </w:rPr>
              <w:t>投标人</w:t>
            </w:r>
            <w:r>
              <w:rPr>
                <w:rFonts w:hint="eastAsia" w:ascii="宋体" w:hAnsi="宋体" w:cs="宋体"/>
                <w:kern w:val="0"/>
                <w:szCs w:val="21"/>
                <w:highlight w:val="none"/>
                <w:lang w:val="zh-CN" w:bidi="zh-CN"/>
              </w:rPr>
              <w:t>对</w:t>
            </w:r>
            <w:r>
              <w:rPr>
                <w:rFonts w:hint="eastAsia" w:ascii="宋体" w:hAnsi="宋体" w:cs="宋体"/>
                <w:kern w:val="0"/>
                <w:szCs w:val="21"/>
                <w:highlight w:val="none"/>
                <w:lang w:val="en-US" w:bidi="zh-CN"/>
              </w:rPr>
              <w:t>招标</w:t>
            </w:r>
            <w:r>
              <w:rPr>
                <w:rFonts w:hint="eastAsia" w:ascii="宋体" w:hAnsi="宋体" w:cs="宋体"/>
                <w:kern w:val="0"/>
                <w:szCs w:val="21"/>
                <w:highlight w:val="none"/>
                <w:lang w:val="zh-CN" w:bidi="zh-CN"/>
              </w:rPr>
              <w:t>文件</w:t>
            </w:r>
            <w:r>
              <w:rPr>
                <w:rFonts w:hint="eastAsia" w:ascii="宋体" w:hAnsi="宋体" w:cs="宋体"/>
                <w:kern w:val="0"/>
                <w:szCs w:val="21"/>
                <w:highlight w:val="none"/>
                <w:lang w:bidi="zh-CN"/>
              </w:rPr>
              <w:t>中“技术参数”</w:t>
            </w:r>
            <w:r>
              <w:rPr>
                <w:rFonts w:hint="eastAsia" w:ascii="宋体" w:hAnsi="宋体" w:cs="宋体"/>
                <w:kern w:val="0"/>
                <w:szCs w:val="21"/>
                <w:highlight w:val="none"/>
                <w:lang w:val="zh-CN" w:bidi="zh-CN"/>
              </w:rPr>
              <w:t>的响应程度（</w:t>
            </w:r>
            <w:r>
              <w:rPr>
                <w:rFonts w:hint="eastAsia" w:ascii="宋体" w:hAnsi="宋体" w:cs="宋体"/>
                <w:kern w:val="0"/>
                <w:szCs w:val="21"/>
                <w:highlight w:val="none"/>
                <w:lang w:val="en-US" w:bidi="zh-CN"/>
              </w:rPr>
              <w:t>满分35分</w:t>
            </w:r>
            <w:r>
              <w:rPr>
                <w:rFonts w:hint="eastAsia" w:ascii="宋体" w:hAnsi="宋体" w:cs="宋体"/>
                <w:kern w:val="0"/>
                <w:szCs w:val="21"/>
                <w:highlight w:val="none"/>
                <w:lang w:val="zh-CN" w:bidi="zh-CN"/>
              </w:rPr>
              <w:t>）：</w:t>
            </w:r>
          </w:p>
          <w:p w14:paraId="0B384174">
            <w:pPr>
              <w:spacing w:line="360" w:lineRule="exact"/>
              <w:jc w:val="left"/>
              <w:rPr>
                <w:rFonts w:hint="eastAsia" w:ascii="宋体" w:hAnsi="宋体" w:cs="宋体"/>
                <w:szCs w:val="21"/>
                <w:highlight w:val="none"/>
                <w:vertAlign w:val="baseline"/>
              </w:rPr>
            </w:pPr>
            <w:r>
              <w:rPr>
                <w:rFonts w:hint="eastAsia" w:ascii="宋体" w:hAnsi="宋体" w:cs="宋体"/>
                <w:kern w:val="0"/>
                <w:szCs w:val="21"/>
                <w:highlight w:val="none"/>
                <w:lang w:val="zh-CN" w:bidi="zh-CN"/>
              </w:rPr>
              <w:t>全部响应即满足</w:t>
            </w:r>
            <w:r>
              <w:rPr>
                <w:rFonts w:hint="eastAsia" w:ascii="宋体" w:hAnsi="宋体" w:cs="宋体"/>
                <w:kern w:val="0"/>
                <w:szCs w:val="21"/>
                <w:highlight w:val="none"/>
                <w:lang w:val="en-US" w:bidi="zh-CN"/>
              </w:rPr>
              <w:t>所有</w:t>
            </w:r>
            <w:r>
              <w:rPr>
                <w:rFonts w:hint="eastAsia" w:ascii="宋体" w:hAnsi="宋体" w:cs="宋体"/>
                <w:kern w:val="0"/>
                <w:szCs w:val="21"/>
                <w:highlight w:val="none"/>
                <w:lang w:bidi="zh-CN"/>
              </w:rPr>
              <w:t>技术参数</w:t>
            </w:r>
            <w:r>
              <w:rPr>
                <w:rFonts w:hint="eastAsia" w:ascii="宋体" w:hAnsi="宋体" w:cs="宋体"/>
                <w:kern w:val="0"/>
                <w:szCs w:val="21"/>
                <w:highlight w:val="none"/>
                <w:lang w:val="zh-CN" w:bidi="zh-CN"/>
              </w:rPr>
              <w:t>的得</w:t>
            </w:r>
            <w:r>
              <w:rPr>
                <w:rFonts w:hint="eastAsia" w:ascii="宋体" w:hAnsi="宋体" w:cs="宋体"/>
                <w:kern w:val="0"/>
                <w:szCs w:val="21"/>
                <w:highlight w:val="none"/>
                <w:lang w:val="en-US" w:bidi="zh-CN"/>
              </w:rPr>
              <w:t>3</w:t>
            </w:r>
            <w:r>
              <w:rPr>
                <w:rFonts w:hint="eastAsia" w:ascii="宋体" w:hAnsi="宋体" w:cs="宋体"/>
                <w:kern w:val="0"/>
                <w:szCs w:val="21"/>
                <w:highlight w:val="none"/>
                <w:lang w:bidi="zh-CN"/>
              </w:rPr>
              <w:t>5</w:t>
            </w:r>
            <w:r>
              <w:rPr>
                <w:rFonts w:hint="eastAsia" w:ascii="宋体" w:hAnsi="宋体" w:cs="宋体"/>
                <w:kern w:val="0"/>
                <w:szCs w:val="21"/>
                <w:highlight w:val="none"/>
                <w:lang w:val="zh-CN" w:bidi="zh-CN"/>
              </w:rPr>
              <w:t>分，每个产品存在负偏离扣2分，扣完为止。</w:t>
            </w:r>
          </w:p>
        </w:tc>
        <w:tc>
          <w:tcPr>
            <w:tcW w:w="2390" w:type="dxa"/>
            <w:vAlign w:val="center"/>
          </w:tcPr>
          <w:p w14:paraId="3AC3872B">
            <w:pPr>
              <w:numPr>
                <w:ilvl w:val="0"/>
                <w:numId w:val="0"/>
              </w:numPr>
              <w:snapToGrid w:val="0"/>
              <w:spacing w:line="312" w:lineRule="auto"/>
              <w:jc w:val="left"/>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提供包装标识（含配料表、营养成分表、生产企业等）</w:t>
            </w:r>
            <w:r>
              <w:rPr>
                <w:rFonts w:hint="eastAsia" w:ascii="宋体" w:hAnsi="宋体" w:cs="宋体"/>
                <w:szCs w:val="21"/>
                <w:highlight w:val="none"/>
                <w:vertAlign w:val="baseline"/>
                <w:lang w:val="en-US" w:eastAsia="zh-CN"/>
              </w:rPr>
              <w:t>加盖公章</w:t>
            </w:r>
          </w:p>
        </w:tc>
      </w:tr>
      <w:tr w14:paraId="249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1767CFCE">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3.2</w:t>
            </w:r>
          </w:p>
        </w:tc>
        <w:tc>
          <w:tcPr>
            <w:tcW w:w="1090" w:type="dxa"/>
            <w:vAlign w:val="center"/>
          </w:tcPr>
          <w:p w14:paraId="7C2142AE">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业绩</w:t>
            </w:r>
          </w:p>
        </w:tc>
        <w:tc>
          <w:tcPr>
            <w:tcW w:w="695" w:type="dxa"/>
            <w:vAlign w:val="center"/>
          </w:tcPr>
          <w:p w14:paraId="657B3D79">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3分</w:t>
            </w:r>
          </w:p>
        </w:tc>
        <w:tc>
          <w:tcPr>
            <w:tcW w:w="4905" w:type="dxa"/>
            <w:vAlign w:val="center"/>
          </w:tcPr>
          <w:p w14:paraId="552F227B">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投标人自2022年12月1日（含）以来具有类似医院的合作证明，每提供一个得1分，最高得3分。</w:t>
            </w:r>
          </w:p>
        </w:tc>
        <w:tc>
          <w:tcPr>
            <w:tcW w:w="2390" w:type="dxa"/>
            <w:vAlign w:val="center"/>
          </w:tcPr>
          <w:p w14:paraId="4266EEEE">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提供发票复印件或合同复印件加盖公章</w:t>
            </w:r>
          </w:p>
        </w:tc>
      </w:tr>
      <w:tr w14:paraId="1C24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7EC211E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3.3</w:t>
            </w:r>
          </w:p>
        </w:tc>
        <w:tc>
          <w:tcPr>
            <w:tcW w:w="1090" w:type="dxa"/>
            <w:vAlign w:val="center"/>
          </w:tcPr>
          <w:p w14:paraId="6C225B4D">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zh-CN" w:bidi="zh-CN"/>
              </w:rPr>
              <w:t>质保承诺</w:t>
            </w:r>
          </w:p>
        </w:tc>
        <w:tc>
          <w:tcPr>
            <w:tcW w:w="695" w:type="dxa"/>
            <w:vAlign w:val="center"/>
          </w:tcPr>
          <w:p w14:paraId="1C97C4F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1分</w:t>
            </w:r>
          </w:p>
        </w:tc>
        <w:tc>
          <w:tcPr>
            <w:tcW w:w="4905" w:type="dxa"/>
            <w:vAlign w:val="center"/>
          </w:tcPr>
          <w:p w14:paraId="0D65552B">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投标人</w:t>
            </w:r>
            <w:r>
              <w:rPr>
                <w:rFonts w:hint="eastAsia" w:ascii="宋体" w:hAnsi="宋体" w:cs="宋体"/>
                <w:kern w:val="0"/>
                <w:szCs w:val="21"/>
                <w:highlight w:val="none"/>
                <w:lang w:val="zh-CN" w:bidi="zh-CN"/>
              </w:rPr>
              <w:t>承诺送货食品至少距保质期结束时间1/2及以上，且保质期内可以调换的得</w:t>
            </w:r>
            <w:r>
              <w:rPr>
                <w:rFonts w:hint="eastAsia" w:ascii="宋体" w:hAnsi="宋体" w:cs="宋体"/>
                <w:kern w:val="0"/>
                <w:szCs w:val="21"/>
                <w:highlight w:val="none"/>
                <w:lang w:val="en-US" w:bidi="zh-CN"/>
              </w:rPr>
              <w:t>1</w:t>
            </w:r>
            <w:r>
              <w:rPr>
                <w:rFonts w:hint="eastAsia" w:ascii="宋体" w:hAnsi="宋体" w:cs="宋体"/>
                <w:kern w:val="0"/>
                <w:szCs w:val="21"/>
                <w:highlight w:val="none"/>
                <w:lang w:val="zh-CN" w:bidi="zh-CN"/>
              </w:rPr>
              <w:t>分。</w:t>
            </w:r>
          </w:p>
        </w:tc>
        <w:tc>
          <w:tcPr>
            <w:tcW w:w="2390" w:type="dxa"/>
            <w:vAlign w:val="center"/>
          </w:tcPr>
          <w:p w14:paraId="6825369A">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zh-CN" w:bidi="zh-CN"/>
              </w:rPr>
              <w:t>提供承诺书</w:t>
            </w:r>
            <w:r>
              <w:rPr>
                <w:rFonts w:hint="eastAsia" w:ascii="宋体" w:hAnsi="宋体" w:cs="宋体"/>
                <w:szCs w:val="21"/>
                <w:highlight w:val="none"/>
              </w:rPr>
              <w:t>加盖公章</w:t>
            </w:r>
          </w:p>
        </w:tc>
      </w:tr>
      <w:tr w14:paraId="1963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394E96BD">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3.4</w:t>
            </w:r>
          </w:p>
        </w:tc>
        <w:tc>
          <w:tcPr>
            <w:tcW w:w="1090" w:type="dxa"/>
            <w:vAlign w:val="center"/>
          </w:tcPr>
          <w:p w14:paraId="1BA98C2D">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en-US" w:bidi="zh-CN"/>
              </w:rPr>
              <w:t>增值服务</w:t>
            </w:r>
          </w:p>
        </w:tc>
        <w:tc>
          <w:tcPr>
            <w:tcW w:w="695" w:type="dxa"/>
            <w:vAlign w:val="center"/>
          </w:tcPr>
          <w:p w14:paraId="7200386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1分</w:t>
            </w:r>
          </w:p>
        </w:tc>
        <w:tc>
          <w:tcPr>
            <w:tcW w:w="4905" w:type="dxa"/>
            <w:vAlign w:val="center"/>
          </w:tcPr>
          <w:p w14:paraId="59C04046">
            <w:pPr>
              <w:numPr>
                <w:ilvl w:val="0"/>
                <w:numId w:val="0"/>
              </w:numPr>
              <w:snapToGrid w:val="0"/>
              <w:spacing w:line="312" w:lineRule="auto"/>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公司提供招标文件要求范围以外，具体的、实在的增值服务，得1分。</w:t>
            </w:r>
          </w:p>
        </w:tc>
        <w:tc>
          <w:tcPr>
            <w:tcW w:w="2390" w:type="dxa"/>
            <w:vAlign w:val="center"/>
          </w:tcPr>
          <w:p w14:paraId="7E78D38C">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szCs w:val="21"/>
                <w:highlight w:val="none"/>
              </w:rPr>
              <w:t>提供承诺书加盖公章</w:t>
            </w:r>
          </w:p>
        </w:tc>
      </w:tr>
      <w:tr w14:paraId="48EB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70" w:type="dxa"/>
            <w:gridSpan w:val="2"/>
            <w:vAlign w:val="center"/>
          </w:tcPr>
          <w:p w14:paraId="5F44F2D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合计</w:t>
            </w:r>
          </w:p>
        </w:tc>
        <w:tc>
          <w:tcPr>
            <w:tcW w:w="7990" w:type="dxa"/>
            <w:gridSpan w:val="3"/>
            <w:vAlign w:val="center"/>
          </w:tcPr>
          <w:p w14:paraId="684AE9C3">
            <w:pPr>
              <w:numPr>
                <w:ilvl w:val="0"/>
                <w:numId w:val="0"/>
              </w:numPr>
              <w:snapToGrid w:val="0"/>
              <w:spacing w:line="312" w:lineRule="auto"/>
              <w:ind w:firstLine="3360" w:firstLineChars="1600"/>
              <w:jc w:val="both"/>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100分</w:t>
            </w:r>
          </w:p>
        </w:tc>
      </w:tr>
    </w:tbl>
    <w:p w14:paraId="6F2C9523">
      <w:pPr>
        <w:rPr>
          <w:rFonts w:hint="eastAsia" w:ascii="宋体" w:hAnsi="宋体" w:eastAsia="宋体" w:cs="Times New Roman"/>
          <w:b w:val="0"/>
          <w:bCs/>
          <w:color w:val="auto"/>
          <w:kern w:val="2"/>
          <w:sz w:val="21"/>
          <w:szCs w:val="21"/>
          <w:highlight w:val="none"/>
          <w:lang w:val="en-US" w:eastAsia="zh-CN" w:bidi="ar-SA"/>
        </w:rPr>
      </w:pPr>
    </w:p>
    <w:p w14:paraId="7CF33D8F">
      <w:pPr>
        <w:pStyle w:val="22"/>
        <w:rPr>
          <w:rFonts w:hint="eastAsia" w:ascii="宋体" w:hAnsi="宋体" w:eastAsia="宋体" w:cs="Times New Roman"/>
          <w:b w:val="0"/>
          <w:bCs/>
          <w:color w:val="auto"/>
          <w:kern w:val="2"/>
          <w:sz w:val="21"/>
          <w:szCs w:val="21"/>
          <w:highlight w:val="none"/>
          <w:lang w:val="en-US" w:eastAsia="zh-CN" w:bidi="ar-SA"/>
        </w:rPr>
      </w:pPr>
    </w:p>
    <w:p w14:paraId="57B532B9">
      <w:pPr>
        <w:pStyle w:val="22"/>
        <w:rPr>
          <w:rFonts w:hint="eastAsia" w:ascii="宋体" w:hAnsi="宋体" w:eastAsia="宋体" w:cs="Times New Roman"/>
          <w:b w:val="0"/>
          <w:bCs/>
          <w:color w:val="auto"/>
          <w:kern w:val="2"/>
          <w:sz w:val="21"/>
          <w:szCs w:val="21"/>
          <w:highlight w:val="none"/>
          <w:lang w:val="en-US" w:eastAsia="zh-CN" w:bidi="ar-SA"/>
        </w:rPr>
      </w:pPr>
    </w:p>
    <w:p w14:paraId="3CE2FFFB">
      <w:pPr>
        <w:pStyle w:val="22"/>
        <w:rPr>
          <w:rFonts w:hint="eastAsia" w:ascii="宋体" w:hAnsi="宋体" w:eastAsia="宋体" w:cs="Times New Roman"/>
          <w:b w:val="0"/>
          <w:bCs/>
          <w:color w:val="auto"/>
          <w:kern w:val="2"/>
          <w:sz w:val="21"/>
          <w:szCs w:val="21"/>
          <w:highlight w:val="none"/>
          <w:lang w:val="en-US" w:eastAsia="zh-CN" w:bidi="ar-SA"/>
        </w:rPr>
      </w:pPr>
    </w:p>
    <w:p w14:paraId="7427AF2F">
      <w:pPr>
        <w:pStyle w:val="22"/>
        <w:rPr>
          <w:rFonts w:hint="eastAsia" w:ascii="宋体" w:hAnsi="宋体" w:eastAsia="宋体" w:cs="Times New Roman"/>
          <w:b w:val="0"/>
          <w:bCs/>
          <w:color w:val="auto"/>
          <w:kern w:val="2"/>
          <w:sz w:val="21"/>
          <w:szCs w:val="21"/>
          <w:highlight w:val="none"/>
          <w:lang w:val="en-US" w:eastAsia="zh-CN" w:bidi="ar-SA"/>
        </w:rPr>
      </w:pPr>
    </w:p>
    <w:p w14:paraId="4924A9CF">
      <w:pPr>
        <w:pStyle w:val="22"/>
        <w:rPr>
          <w:rFonts w:hint="eastAsia" w:ascii="宋体" w:hAnsi="宋体" w:eastAsia="宋体" w:cs="Times New Roman"/>
          <w:b w:val="0"/>
          <w:bCs/>
          <w:color w:val="auto"/>
          <w:kern w:val="2"/>
          <w:sz w:val="21"/>
          <w:szCs w:val="21"/>
          <w:highlight w:val="none"/>
          <w:lang w:val="en-US" w:eastAsia="zh-CN" w:bidi="ar-SA"/>
        </w:rPr>
      </w:pPr>
    </w:p>
    <w:p w14:paraId="07984A05">
      <w:pPr>
        <w:pStyle w:val="22"/>
        <w:rPr>
          <w:rFonts w:hint="eastAsia" w:ascii="宋体" w:hAnsi="宋体" w:eastAsia="宋体" w:cs="Times New Roman"/>
          <w:b w:val="0"/>
          <w:bCs/>
          <w:color w:val="auto"/>
          <w:kern w:val="2"/>
          <w:sz w:val="21"/>
          <w:szCs w:val="21"/>
          <w:highlight w:val="none"/>
          <w:lang w:val="en-US" w:eastAsia="zh-CN" w:bidi="ar-SA"/>
        </w:rPr>
      </w:pPr>
    </w:p>
    <w:p w14:paraId="00A85F4D">
      <w:pPr>
        <w:pStyle w:val="22"/>
        <w:rPr>
          <w:rFonts w:hint="eastAsia" w:ascii="宋体" w:hAnsi="宋体" w:eastAsia="宋体" w:cs="Times New Roman"/>
          <w:b w:val="0"/>
          <w:bCs/>
          <w:color w:val="auto"/>
          <w:kern w:val="2"/>
          <w:sz w:val="21"/>
          <w:szCs w:val="21"/>
          <w:highlight w:val="none"/>
          <w:lang w:val="en-US" w:eastAsia="zh-CN" w:bidi="ar-SA"/>
        </w:rPr>
      </w:pPr>
    </w:p>
    <w:p w14:paraId="551143A6">
      <w:pPr>
        <w:pStyle w:val="22"/>
        <w:rPr>
          <w:rFonts w:hint="eastAsia" w:ascii="宋体" w:hAnsi="宋体" w:eastAsia="宋体" w:cs="Times New Roman"/>
          <w:b w:val="0"/>
          <w:bCs/>
          <w:color w:val="auto"/>
          <w:kern w:val="2"/>
          <w:sz w:val="21"/>
          <w:szCs w:val="21"/>
          <w:highlight w:val="none"/>
          <w:lang w:val="en-US" w:eastAsia="zh-CN" w:bidi="ar-SA"/>
        </w:rPr>
      </w:pPr>
    </w:p>
    <w:p w14:paraId="2E11BB03">
      <w:pPr>
        <w:pStyle w:val="22"/>
        <w:rPr>
          <w:rFonts w:hint="eastAsia" w:ascii="宋体" w:hAnsi="宋体" w:eastAsia="宋体" w:cs="Times New Roman"/>
          <w:b w:val="0"/>
          <w:bCs/>
          <w:color w:val="auto"/>
          <w:kern w:val="2"/>
          <w:sz w:val="21"/>
          <w:szCs w:val="21"/>
          <w:highlight w:val="none"/>
          <w:lang w:val="en-US" w:eastAsia="zh-CN" w:bidi="ar-SA"/>
        </w:rPr>
      </w:pPr>
    </w:p>
    <w:p w14:paraId="1FA85A30">
      <w:pPr>
        <w:pStyle w:val="22"/>
        <w:rPr>
          <w:rFonts w:hint="eastAsia" w:ascii="宋体" w:hAnsi="宋体" w:eastAsia="宋体" w:cs="Times New Roman"/>
          <w:b w:val="0"/>
          <w:bCs/>
          <w:color w:val="auto"/>
          <w:kern w:val="2"/>
          <w:sz w:val="21"/>
          <w:szCs w:val="21"/>
          <w:highlight w:val="none"/>
          <w:lang w:val="en-US" w:eastAsia="zh-CN" w:bidi="ar-SA"/>
        </w:rPr>
      </w:pPr>
    </w:p>
    <w:p w14:paraId="09D6D683">
      <w:pPr>
        <w:pStyle w:val="22"/>
        <w:rPr>
          <w:rFonts w:hint="eastAsia" w:ascii="宋体" w:hAnsi="宋体" w:eastAsia="宋体" w:cs="Times New Roman"/>
          <w:b w:val="0"/>
          <w:bCs/>
          <w:color w:val="auto"/>
          <w:kern w:val="2"/>
          <w:sz w:val="21"/>
          <w:szCs w:val="21"/>
          <w:highlight w:val="none"/>
          <w:lang w:val="en-US" w:eastAsia="zh-CN" w:bidi="ar-SA"/>
        </w:rPr>
      </w:pPr>
    </w:p>
    <w:p w14:paraId="584AE326">
      <w:pPr>
        <w:pStyle w:val="22"/>
        <w:rPr>
          <w:rFonts w:hint="eastAsia" w:ascii="宋体" w:hAnsi="宋体" w:eastAsia="宋体" w:cs="Times New Roman"/>
          <w:b w:val="0"/>
          <w:bCs/>
          <w:color w:val="auto"/>
          <w:kern w:val="2"/>
          <w:sz w:val="21"/>
          <w:szCs w:val="21"/>
          <w:highlight w:val="none"/>
          <w:lang w:val="en-US" w:eastAsia="zh-CN" w:bidi="ar-SA"/>
        </w:rPr>
      </w:pPr>
    </w:p>
    <w:p w14:paraId="301E4575">
      <w:pPr>
        <w:pStyle w:val="22"/>
        <w:rPr>
          <w:rFonts w:hint="eastAsia" w:ascii="宋体" w:hAnsi="宋体" w:eastAsia="宋体" w:cs="Times New Roman"/>
          <w:b w:val="0"/>
          <w:bCs/>
          <w:color w:val="auto"/>
          <w:kern w:val="2"/>
          <w:sz w:val="21"/>
          <w:szCs w:val="21"/>
          <w:highlight w:val="none"/>
          <w:lang w:val="en-US" w:eastAsia="zh-CN" w:bidi="ar-SA"/>
        </w:rPr>
      </w:pPr>
    </w:p>
    <w:p w14:paraId="4001597E">
      <w:pPr>
        <w:rPr>
          <w:rFonts w:hint="eastAsia"/>
          <w:b/>
          <w:bCs w:val="0"/>
          <w:sz w:val="22"/>
          <w:szCs w:val="24"/>
          <w:highlight w:val="none"/>
        </w:rPr>
      </w:pPr>
      <w:r>
        <w:rPr>
          <w:rFonts w:hint="eastAsia" w:ascii="宋体" w:hAnsi="宋体" w:eastAsia="宋体" w:cs="Times New Roman"/>
          <w:b/>
          <w:bCs w:val="0"/>
          <w:color w:val="auto"/>
          <w:kern w:val="2"/>
          <w:sz w:val="22"/>
          <w:szCs w:val="22"/>
          <w:highlight w:val="none"/>
          <w:lang w:val="en-US" w:eastAsia="zh-CN" w:bidi="ar-SA"/>
        </w:rPr>
        <w:t>评分细则（采购包2：特殊人群固体饮料包</w:t>
      </w:r>
      <w:r>
        <w:rPr>
          <w:rFonts w:hint="eastAsia" w:ascii="宋体" w:hAnsi="宋体" w:cs="Times New Roman"/>
          <w:b/>
          <w:bCs w:val="0"/>
          <w:color w:val="auto"/>
          <w:kern w:val="2"/>
          <w:sz w:val="22"/>
          <w:szCs w:val="22"/>
          <w:highlight w:val="none"/>
          <w:lang w:val="en-US" w:eastAsia="zh-CN" w:bidi="ar-SA"/>
        </w:rPr>
        <w:t>、采购</w:t>
      </w:r>
      <w:r>
        <w:rPr>
          <w:rFonts w:hint="eastAsia" w:ascii="宋体" w:hAnsi="宋体" w:eastAsia="宋体" w:cs="Times New Roman"/>
          <w:b/>
          <w:bCs w:val="0"/>
          <w:color w:val="auto"/>
          <w:kern w:val="2"/>
          <w:sz w:val="22"/>
          <w:szCs w:val="22"/>
          <w:highlight w:val="none"/>
          <w:lang w:val="en-US" w:eastAsia="zh-CN" w:bidi="ar-SA"/>
        </w:rPr>
        <w:t>包</w:t>
      </w:r>
      <w:r>
        <w:rPr>
          <w:rFonts w:hint="eastAsia" w:ascii="宋体" w:hAnsi="宋体" w:cs="Times New Roman"/>
          <w:b/>
          <w:bCs w:val="0"/>
          <w:color w:val="auto"/>
          <w:kern w:val="2"/>
          <w:sz w:val="22"/>
          <w:szCs w:val="22"/>
          <w:highlight w:val="none"/>
          <w:lang w:val="en-US" w:eastAsia="zh-CN" w:bidi="ar-SA"/>
        </w:rPr>
        <w:t>3：益生菌及益生元固体饮料包</w:t>
      </w:r>
      <w:r>
        <w:rPr>
          <w:rFonts w:hint="eastAsia" w:ascii="宋体" w:hAnsi="宋体" w:eastAsia="宋体" w:cs="Times New Roman"/>
          <w:b/>
          <w:bCs w:val="0"/>
          <w:color w:val="auto"/>
          <w:kern w:val="2"/>
          <w:sz w:val="22"/>
          <w:szCs w:val="22"/>
          <w:highlight w:val="none"/>
          <w:lang w:val="en-US" w:eastAsia="zh-CN" w:bidi="ar-SA"/>
        </w:rPr>
        <w:t>）：</w:t>
      </w:r>
    </w:p>
    <w:tbl>
      <w:tblPr>
        <w:tblStyle w:val="24"/>
        <w:tblW w:w="9760"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84"/>
        <w:gridCol w:w="716"/>
        <w:gridCol w:w="4890"/>
        <w:gridCol w:w="2395"/>
      </w:tblGrid>
      <w:tr w14:paraId="58CB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7140FA7">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序号</w:t>
            </w:r>
          </w:p>
        </w:tc>
        <w:tc>
          <w:tcPr>
            <w:tcW w:w="1084" w:type="dxa"/>
            <w:shd w:val="clear" w:color="auto" w:fill="auto"/>
            <w:vAlign w:val="center"/>
          </w:tcPr>
          <w:p w14:paraId="205D0834">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评分因素</w:t>
            </w:r>
          </w:p>
        </w:tc>
        <w:tc>
          <w:tcPr>
            <w:tcW w:w="716" w:type="dxa"/>
            <w:shd w:val="clear" w:color="auto" w:fill="auto"/>
            <w:vAlign w:val="center"/>
          </w:tcPr>
          <w:p w14:paraId="7C76E916">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分值</w:t>
            </w:r>
          </w:p>
        </w:tc>
        <w:tc>
          <w:tcPr>
            <w:tcW w:w="4890" w:type="dxa"/>
            <w:shd w:val="clear" w:color="auto" w:fill="auto"/>
            <w:vAlign w:val="center"/>
          </w:tcPr>
          <w:p w14:paraId="484E4568">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评分标准</w:t>
            </w:r>
          </w:p>
        </w:tc>
        <w:tc>
          <w:tcPr>
            <w:tcW w:w="2395" w:type="dxa"/>
            <w:shd w:val="clear" w:color="auto" w:fill="auto"/>
            <w:vAlign w:val="center"/>
          </w:tcPr>
          <w:p w14:paraId="0E2A790C">
            <w:pPr>
              <w:pStyle w:val="60"/>
              <w:spacing w:before="0" w:after="0" w:line="360" w:lineRule="exact"/>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rPr>
              <w:t>说明</w:t>
            </w:r>
          </w:p>
        </w:tc>
      </w:tr>
      <w:tr w14:paraId="1FC0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E521EA">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w:t>
            </w:r>
          </w:p>
        </w:tc>
        <w:tc>
          <w:tcPr>
            <w:tcW w:w="1084" w:type="dxa"/>
            <w:vAlign w:val="center"/>
          </w:tcPr>
          <w:p w14:paraId="6D7DBE73">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价格分</w:t>
            </w:r>
          </w:p>
        </w:tc>
        <w:tc>
          <w:tcPr>
            <w:tcW w:w="716" w:type="dxa"/>
            <w:vAlign w:val="center"/>
          </w:tcPr>
          <w:p w14:paraId="7D182D49">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890" w:type="dxa"/>
            <w:vAlign w:val="center"/>
          </w:tcPr>
          <w:p w14:paraId="280BB0FB">
            <w:pPr>
              <w:spacing w:line="360" w:lineRule="exact"/>
              <w:jc w:val="left"/>
              <w:rPr>
                <w:rFonts w:ascii="宋体" w:hAnsi="宋体" w:cs="宋体"/>
                <w:szCs w:val="21"/>
                <w:highlight w:val="none"/>
              </w:rPr>
            </w:pPr>
            <w:r>
              <w:rPr>
                <w:rFonts w:hint="eastAsia" w:ascii="宋体" w:hAnsi="宋体" w:cs="宋体"/>
                <w:szCs w:val="21"/>
                <w:highlight w:val="none"/>
              </w:rPr>
              <w:t>满足</w:t>
            </w:r>
            <w:r>
              <w:rPr>
                <w:rFonts w:hint="eastAsia" w:ascii="宋体" w:hAnsi="宋体" w:cs="宋体"/>
                <w:szCs w:val="21"/>
                <w:highlight w:val="none"/>
                <w:lang w:val="en-US" w:eastAsia="zh-CN"/>
              </w:rPr>
              <w:t>招标</w:t>
            </w:r>
            <w:r>
              <w:rPr>
                <w:rFonts w:hint="eastAsia" w:ascii="宋体" w:hAnsi="宋体" w:cs="宋体"/>
                <w:szCs w:val="21"/>
                <w:highlight w:val="none"/>
              </w:rPr>
              <w:t>文件要求且最终报价最低的报价为评标基准价，其价格分为满分。其他供应商的价格分统一按照下列公式计算：</w:t>
            </w:r>
          </w:p>
          <w:p w14:paraId="2D720C38">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rPr>
              <w:t>价格分得分＝（评标基准价/最终报价）×分值。</w:t>
            </w:r>
            <w:r>
              <w:rPr>
                <w:rFonts w:hint="eastAsia" w:ascii="宋体" w:hAnsi="宋体" w:cs="宋体"/>
                <w:szCs w:val="21"/>
                <w:highlight w:val="none"/>
                <w:lang w:eastAsia="zh-CN"/>
              </w:rPr>
              <w:t>（</w:t>
            </w:r>
            <w:r>
              <w:rPr>
                <w:rFonts w:hint="eastAsia" w:ascii="宋体" w:hAnsi="宋体" w:cs="宋体"/>
                <w:szCs w:val="21"/>
                <w:highlight w:val="none"/>
                <w:lang w:val="en-US" w:eastAsia="zh-CN"/>
              </w:rPr>
              <w:t>保留2位小数</w:t>
            </w:r>
            <w:r>
              <w:rPr>
                <w:rFonts w:hint="eastAsia" w:ascii="宋体" w:hAnsi="宋体" w:cs="宋体"/>
                <w:szCs w:val="21"/>
                <w:highlight w:val="none"/>
                <w:lang w:eastAsia="zh-CN"/>
              </w:rPr>
              <w:t>）</w:t>
            </w:r>
          </w:p>
          <w:p w14:paraId="6934B85A">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c>
          <w:tcPr>
            <w:tcW w:w="2395" w:type="dxa"/>
            <w:vAlign w:val="center"/>
          </w:tcPr>
          <w:p w14:paraId="6B9D6E57">
            <w:pPr>
              <w:numPr>
                <w:ilvl w:val="0"/>
                <w:numId w:val="0"/>
              </w:numPr>
              <w:snapToGrid w:val="0"/>
              <w:spacing w:line="312" w:lineRule="auto"/>
              <w:jc w:val="left"/>
              <w:rPr>
                <w:rFonts w:hint="eastAsia" w:ascii="宋体" w:hAnsi="宋体" w:cs="宋体"/>
                <w:szCs w:val="21"/>
                <w:highlight w:val="none"/>
                <w:vertAlign w:val="baseline"/>
              </w:rPr>
            </w:pPr>
          </w:p>
        </w:tc>
      </w:tr>
      <w:tr w14:paraId="161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E5265B">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w:t>
            </w:r>
          </w:p>
        </w:tc>
        <w:tc>
          <w:tcPr>
            <w:tcW w:w="1084" w:type="dxa"/>
            <w:vAlign w:val="center"/>
          </w:tcPr>
          <w:p w14:paraId="4E7D255F">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主观分</w:t>
            </w:r>
          </w:p>
        </w:tc>
        <w:tc>
          <w:tcPr>
            <w:tcW w:w="8001" w:type="dxa"/>
            <w:gridSpan w:val="3"/>
            <w:vAlign w:val="center"/>
          </w:tcPr>
          <w:p w14:paraId="351E4177">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30分</w:t>
            </w:r>
          </w:p>
        </w:tc>
      </w:tr>
      <w:tr w14:paraId="57B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F5B0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2.1</w:t>
            </w:r>
          </w:p>
        </w:tc>
        <w:tc>
          <w:tcPr>
            <w:tcW w:w="1084" w:type="dxa"/>
            <w:vAlign w:val="center"/>
          </w:tcPr>
          <w:p w14:paraId="5D617857">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vertAlign w:val="baseline"/>
              </w:rPr>
              <w:t>整体供货方案</w:t>
            </w:r>
          </w:p>
        </w:tc>
        <w:tc>
          <w:tcPr>
            <w:tcW w:w="716" w:type="dxa"/>
            <w:vAlign w:val="center"/>
          </w:tcPr>
          <w:p w14:paraId="4DC0C9DC">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890" w:type="dxa"/>
            <w:vAlign w:val="center"/>
          </w:tcPr>
          <w:p w14:paraId="50EC1B42">
            <w:pPr>
              <w:spacing w:line="360" w:lineRule="exact"/>
              <w:jc w:val="left"/>
              <w:rPr>
                <w:rFonts w:ascii="宋体" w:hAnsi="宋体" w:cs="宋体"/>
                <w:szCs w:val="21"/>
                <w:highlight w:val="none"/>
              </w:rPr>
            </w:pPr>
            <w:r>
              <w:rPr>
                <w:rFonts w:hint="eastAsia" w:ascii="宋体" w:hAnsi="宋体" w:cs="宋体"/>
                <w:bCs/>
                <w:szCs w:val="21"/>
                <w:highlight w:val="none"/>
              </w:rPr>
              <w:t>整体供货方案</w:t>
            </w:r>
            <w:r>
              <w:rPr>
                <w:rFonts w:hint="eastAsia" w:ascii="宋体" w:hAnsi="宋体" w:cs="宋体"/>
                <w:szCs w:val="21"/>
                <w:highlight w:val="none"/>
              </w:rPr>
              <w:t>，包括</w:t>
            </w:r>
            <w:r>
              <w:rPr>
                <w:rFonts w:hint="eastAsia" w:ascii="宋体" w:hAnsi="宋体" w:cs="宋体"/>
                <w:bCs/>
                <w:szCs w:val="21"/>
                <w:highlight w:val="none"/>
              </w:rPr>
              <w:t>供货流程、供货周期、供货量、货源保障措施等</w:t>
            </w:r>
            <w:r>
              <w:rPr>
                <w:rFonts w:hint="eastAsia" w:ascii="宋体" w:hAnsi="宋体" w:cs="宋体"/>
                <w:szCs w:val="21"/>
                <w:highlight w:val="none"/>
              </w:rPr>
              <w:t>。</w:t>
            </w:r>
          </w:p>
          <w:p w14:paraId="7C6A8239">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供货流程、供货周期、供货量、货源保障措施等，能够确保供货的稳定性和及时性得5分；基本描述了供货的主要环节和流程，但在某些细节或保障措施上有所欠缺或有缺失得3分；简单提及了供货方案的基本框架，缺乏具体内容和细节得1分；未提供或提供的方案与本项目合同履行无关不得分。</w:t>
            </w:r>
          </w:p>
        </w:tc>
        <w:tc>
          <w:tcPr>
            <w:tcW w:w="2395" w:type="dxa"/>
            <w:vAlign w:val="center"/>
          </w:tcPr>
          <w:p w14:paraId="28E3B4DA">
            <w:pPr>
              <w:numPr>
                <w:ilvl w:val="0"/>
                <w:numId w:val="0"/>
              </w:numPr>
              <w:snapToGrid w:val="0"/>
              <w:spacing w:line="312" w:lineRule="auto"/>
              <w:jc w:val="left"/>
              <w:rPr>
                <w:rFonts w:hint="eastAsia" w:ascii="宋体" w:hAnsi="宋体" w:cs="宋体"/>
                <w:szCs w:val="21"/>
                <w:highlight w:val="none"/>
                <w:vertAlign w:val="baseline"/>
              </w:rPr>
            </w:pPr>
          </w:p>
        </w:tc>
      </w:tr>
      <w:tr w14:paraId="2ED5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D923A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2.2</w:t>
            </w:r>
          </w:p>
        </w:tc>
        <w:tc>
          <w:tcPr>
            <w:tcW w:w="1084" w:type="dxa"/>
            <w:vAlign w:val="center"/>
          </w:tcPr>
          <w:p w14:paraId="668240DB">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运输时限和运输方式</w:t>
            </w:r>
          </w:p>
        </w:tc>
        <w:tc>
          <w:tcPr>
            <w:tcW w:w="716" w:type="dxa"/>
            <w:vAlign w:val="center"/>
          </w:tcPr>
          <w:p w14:paraId="331FAA7C">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890" w:type="dxa"/>
            <w:vAlign w:val="center"/>
          </w:tcPr>
          <w:p w14:paraId="5A8EDE1E">
            <w:pPr>
              <w:spacing w:line="360" w:lineRule="exact"/>
              <w:jc w:val="left"/>
              <w:rPr>
                <w:rFonts w:ascii="宋体" w:hAnsi="宋体" w:cs="宋体"/>
                <w:bCs/>
                <w:szCs w:val="21"/>
                <w:highlight w:val="none"/>
              </w:rPr>
            </w:pPr>
            <w:r>
              <w:rPr>
                <w:rFonts w:hint="eastAsia" w:ascii="宋体" w:hAnsi="宋体" w:cs="宋体"/>
                <w:bCs/>
                <w:szCs w:val="21"/>
                <w:highlight w:val="none"/>
              </w:rPr>
              <w:t>运输时限和运输方式，包括运输时限、运输方式、运输责任划分及运输中的安全保障措施。</w:t>
            </w:r>
          </w:p>
          <w:p w14:paraId="65C499CE">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明确规定了供应产品的运输时限、运输方式（如空运、海运、陆运等）、运输责任划分及运输中的安全保障措施得5分；规定了主要的运输时限和运输方式，但在某些保障措施上不够全面或有缺失得3分；仅简单提及了运输时限和方式，缺乏具体的执行细节得1分</w:t>
            </w:r>
            <w:r>
              <w:rPr>
                <w:rFonts w:hint="eastAsia" w:ascii="宋体" w:hAnsi="宋体" w:cs="宋体"/>
                <w:szCs w:val="21"/>
                <w:highlight w:val="none"/>
              </w:rPr>
              <w:t>；未提供不得分。</w:t>
            </w:r>
          </w:p>
        </w:tc>
        <w:tc>
          <w:tcPr>
            <w:tcW w:w="2395" w:type="dxa"/>
            <w:vAlign w:val="center"/>
          </w:tcPr>
          <w:p w14:paraId="07E652D2">
            <w:pPr>
              <w:numPr>
                <w:ilvl w:val="0"/>
                <w:numId w:val="0"/>
              </w:numPr>
              <w:snapToGrid w:val="0"/>
              <w:spacing w:line="312" w:lineRule="auto"/>
              <w:jc w:val="left"/>
              <w:rPr>
                <w:rFonts w:hint="eastAsia" w:ascii="宋体" w:hAnsi="宋体" w:cs="宋体"/>
                <w:szCs w:val="21"/>
                <w:highlight w:val="none"/>
                <w:vertAlign w:val="baseline"/>
              </w:rPr>
            </w:pPr>
          </w:p>
        </w:tc>
      </w:tr>
      <w:tr w14:paraId="068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FDFDCB">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2.3</w:t>
            </w:r>
          </w:p>
        </w:tc>
        <w:tc>
          <w:tcPr>
            <w:tcW w:w="1084" w:type="dxa"/>
            <w:vAlign w:val="center"/>
          </w:tcPr>
          <w:p w14:paraId="0A543652">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退换缺陷产品措施</w:t>
            </w:r>
          </w:p>
        </w:tc>
        <w:tc>
          <w:tcPr>
            <w:tcW w:w="716" w:type="dxa"/>
            <w:vAlign w:val="center"/>
          </w:tcPr>
          <w:p w14:paraId="692AD3B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890" w:type="dxa"/>
            <w:vAlign w:val="center"/>
          </w:tcPr>
          <w:p w14:paraId="443D0E91">
            <w:pPr>
              <w:spacing w:line="360" w:lineRule="exact"/>
              <w:jc w:val="left"/>
              <w:rPr>
                <w:rFonts w:ascii="宋体" w:hAnsi="宋体" w:cs="宋体"/>
                <w:bCs/>
                <w:szCs w:val="21"/>
                <w:highlight w:val="none"/>
              </w:rPr>
            </w:pPr>
            <w:r>
              <w:rPr>
                <w:rFonts w:hint="eastAsia" w:ascii="宋体" w:hAnsi="宋体" w:cs="宋体"/>
                <w:bCs/>
                <w:szCs w:val="21"/>
                <w:highlight w:val="none"/>
              </w:rPr>
              <w:t>退换缺陷产品措施，包括缺陷产品的识别方法、退换流程、退换时限、责任划分及赔偿措施等。</w:t>
            </w:r>
          </w:p>
          <w:p w14:paraId="0E20ECAC">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缺陷产品的识别方法、退换流程、退换时限、责任划分及赔偿措施等得5分；基本描述了退换缺陷产品的主要环节和流程，但在某些赔偿措施上有所欠缺或有缺失得3分；仅简单提及了退换措施的基本框架，缺乏具体内容和细节得1分；未提供或提供的方案与本项目合同履行无关不得分。</w:t>
            </w:r>
          </w:p>
        </w:tc>
        <w:tc>
          <w:tcPr>
            <w:tcW w:w="2395" w:type="dxa"/>
            <w:vAlign w:val="center"/>
          </w:tcPr>
          <w:p w14:paraId="2AF3C10B">
            <w:pPr>
              <w:numPr>
                <w:ilvl w:val="0"/>
                <w:numId w:val="0"/>
              </w:numPr>
              <w:snapToGrid w:val="0"/>
              <w:spacing w:line="312" w:lineRule="auto"/>
              <w:jc w:val="left"/>
              <w:rPr>
                <w:rFonts w:hint="eastAsia" w:ascii="宋体" w:hAnsi="宋体" w:cs="宋体"/>
                <w:szCs w:val="21"/>
                <w:highlight w:val="none"/>
                <w:vertAlign w:val="baseline"/>
              </w:rPr>
            </w:pPr>
          </w:p>
        </w:tc>
      </w:tr>
      <w:tr w14:paraId="7DE8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40F22C">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2.4</w:t>
            </w:r>
          </w:p>
        </w:tc>
        <w:tc>
          <w:tcPr>
            <w:tcW w:w="1084" w:type="dxa"/>
            <w:vAlign w:val="center"/>
          </w:tcPr>
          <w:p w14:paraId="0174C093">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对产品的食用意见及反馈时间方案</w:t>
            </w:r>
          </w:p>
        </w:tc>
        <w:tc>
          <w:tcPr>
            <w:tcW w:w="716" w:type="dxa"/>
            <w:vAlign w:val="center"/>
          </w:tcPr>
          <w:p w14:paraId="7E7C92EA">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890" w:type="dxa"/>
            <w:vAlign w:val="center"/>
          </w:tcPr>
          <w:p w14:paraId="2977D5FF">
            <w:pPr>
              <w:spacing w:line="360" w:lineRule="exact"/>
              <w:jc w:val="left"/>
              <w:rPr>
                <w:rFonts w:ascii="宋体" w:hAnsi="宋体" w:cs="宋体"/>
                <w:bCs/>
                <w:szCs w:val="21"/>
                <w:highlight w:val="none"/>
              </w:rPr>
            </w:pPr>
            <w:r>
              <w:rPr>
                <w:rFonts w:hint="eastAsia" w:ascii="宋体" w:hAnsi="宋体" w:cs="宋体"/>
                <w:bCs/>
                <w:szCs w:val="21"/>
                <w:highlight w:val="none"/>
              </w:rPr>
              <w:t>对产品的食用意见及反馈时间方案，包括产品食用意见的收集渠道、反馈机制、处理流程及时限要求等。</w:t>
            </w:r>
          </w:p>
          <w:p w14:paraId="7B5E25BD">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建立了产品食用意见的收集渠道、反馈机制、处理流程及时限要求，确保消费者意见能够及时得到处理和回复得5分；基本描述了食用意见及反馈的主要环节和流程，但在某些处理时限上不够全面或有缺失得3分；仅简单提及了食用意见及反馈的基本框架，缺乏具体内容和细节得1分；未提共或提供的方案与本项目合同履行无关不得分。</w:t>
            </w:r>
          </w:p>
        </w:tc>
        <w:tc>
          <w:tcPr>
            <w:tcW w:w="2395" w:type="dxa"/>
            <w:vAlign w:val="center"/>
          </w:tcPr>
          <w:p w14:paraId="3FB1EF78">
            <w:pPr>
              <w:numPr>
                <w:ilvl w:val="0"/>
                <w:numId w:val="0"/>
              </w:numPr>
              <w:snapToGrid w:val="0"/>
              <w:spacing w:line="312" w:lineRule="auto"/>
              <w:jc w:val="left"/>
              <w:rPr>
                <w:rFonts w:hint="eastAsia" w:ascii="宋体" w:hAnsi="宋体" w:cs="宋体"/>
                <w:szCs w:val="21"/>
                <w:highlight w:val="none"/>
                <w:vertAlign w:val="baseline"/>
              </w:rPr>
            </w:pPr>
          </w:p>
        </w:tc>
      </w:tr>
      <w:tr w14:paraId="7B44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04E75A">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2.5</w:t>
            </w:r>
          </w:p>
        </w:tc>
        <w:tc>
          <w:tcPr>
            <w:tcW w:w="1084" w:type="dxa"/>
            <w:vAlign w:val="center"/>
          </w:tcPr>
          <w:p w14:paraId="2F2917FD">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售前和售后服务制度</w:t>
            </w:r>
          </w:p>
        </w:tc>
        <w:tc>
          <w:tcPr>
            <w:tcW w:w="716" w:type="dxa"/>
            <w:vAlign w:val="center"/>
          </w:tcPr>
          <w:p w14:paraId="24C28D75">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890" w:type="dxa"/>
            <w:vAlign w:val="center"/>
          </w:tcPr>
          <w:p w14:paraId="28EBDFC0">
            <w:pPr>
              <w:spacing w:line="360" w:lineRule="exact"/>
              <w:jc w:val="left"/>
              <w:rPr>
                <w:rFonts w:ascii="宋体" w:hAnsi="宋体" w:cs="宋体"/>
                <w:bCs/>
                <w:szCs w:val="21"/>
                <w:highlight w:val="none"/>
              </w:rPr>
            </w:pPr>
            <w:r>
              <w:rPr>
                <w:rFonts w:hint="eastAsia" w:ascii="宋体" w:hAnsi="宋体" w:cs="宋体"/>
                <w:bCs/>
                <w:szCs w:val="21"/>
                <w:highlight w:val="none"/>
              </w:rPr>
              <w:t>售前和售后服务制度，包括售前咨询和售后服务的内容、流程、时限及保障措施。</w:t>
            </w:r>
          </w:p>
          <w:p w14:paraId="2E0CB27C">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售前咨询和售后服务的内容、流程、时限及保障措施等得5分；基本描述了售前售后服务的主要环节和流程，但在某些细节或保障措施上有所欠缺得3分；仅简单提及了售前售后服务的基本框架，缺乏具体内容和细节得1分；未提共或提供的方案与本项目合同履行无关不得分。</w:t>
            </w:r>
          </w:p>
        </w:tc>
        <w:tc>
          <w:tcPr>
            <w:tcW w:w="2395" w:type="dxa"/>
            <w:vAlign w:val="center"/>
          </w:tcPr>
          <w:p w14:paraId="505B1687">
            <w:pPr>
              <w:numPr>
                <w:ilvl w:val="0"/>
                <w:numId w:val="0"/>
              </w:numPr>
              <w:snapToGrid w:val="0"/>
              <w:spacing w:line="312" w:lineRule="auto"/>
              <w:jc w:val="left"/>
              <w:rPr>
                <w:rFonts w:hint="eastAsia" w:ascii="宋体" w:hAnsi="宋体" w:cs="宋体"/>
                <w:szCs w:val="21"/>
                <w:highlight w:val="none"/>
                <w:vertAlign w:val="baseline"/>
              </w:rPr>
            </w:pPr>
          </w:p>
        </w:tc>
      </w:tr>
      <w:tr w14:paraId="6124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7C4E455">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2.6</w:t>
            </w:r>
          </w:p>
        </w:tc>
        <w:tc>
          <w:tcPr>
            <w:tcW w:w="1084" w:type="dxa"/>
            <w:vAlign w:val="center"/>
          </w:tcPr>
          <w:p w14:paraId="70357BD9">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紧急情况措施</w:t>
            </w:r>
          </w:p>
        </w:tc>
        <w:tc>
          <w:tcPr>
            <w:tcW w:w="716" w:type="dxa"/>
            <w:vAlign w:val="center"/>
          </w:tcPr>
          <w:p w14:paraId="3E68F052">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890" w:type="dxa"/>
            <w:vAlign w:val="center"/>
          </w:tcPr>
          <w:p w14:paraId="481B56A7">
            <w:pPr>
              <w:spacing w:line="360" w:lineRule="exact"/>
              <w:jc w:val="left"/>
              <w:rPr>
                <w:rFonts w:ascii="宋体" w:hAnsi="宋体" w:cs="宋体"/>
                <w:bCs/>
                <w:szCs w:val="21"/>
                <w:highlight w:val="none"/>
              </w:rPr>
            </w:pPr>
            <w:r>
              <w:rPr>
                <w:rFonts w:hint="eastAsia" w:ascii="宋体" w:hAnsi="宋体" w:cs="宋体"/>
                <w:bCs/>
                <w:szCs w:val="21"/>
                <w:highlight w:val="none"/>
              </w:rPr>
              <w:t>紧急情况措施，包括应急处理流程、责任划分、资源调配及后续处理措施等。</w:t>
            </w:r>
          </w:p>
          <w:p w14:paraId="0559C298">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制定了详细的应急处理流程、责任划分、资源调配及后续处理措施等得5分；基本描述了紧急情况的主要应对措施和流程，但在某些细节或资源调配上有所欠缺得3分；仅简单提及了紧急情况的基本应对措施，缺乏具体内容和细节得1分；未提共或提供的方案与本项目合同履行无关不得分。</w:t>
            </w:r>
          </w:p>
        </w:tc>
        <w:tc>
          <w:tcPr>
            <w:tcW w:w="2395" w:type="dxa"/>
            <w:vAlign w:val="center"/>
          </w:tcPr>
          <w:p w14:paraId="608FAC79">
            <w:pPr>
              <w:numPr>
                <w:ilvl w:val="0"/>
                <w:numId w:val="0"/>
              </w:numPr>
              <w:snapToGrid w:val="0"/>
              <w:spacing w:line="312" w:lineRule="auto"/>
              <w:jc w:val="left"/>
              <w:rPr>
                <w:rFonts w:hint="eastAsia" w:ascii="宋体" w:hAnsi="宋体" w:cs="宋体"/>
                <w:szCs w:val="21"/>
                <w:highlight w:val="none"/>
                <w:vertAlign w:val="baseline"/>
              </w:rPr>
            </w:pPr>
          </w:p>
        </w:tc>
      </w:tr>
      <w:tr w14:paraId="39C8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75" w:type="dxa"/>
            <w:vAlign w:val="center"/>
          </w:tcPr>
          <w:p w14:paraId="0D23C765">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w:t>
            </w:r>
          </w:p>
        </w:tc>
        <w:tc>
          <w:tcPr>
            <w:tcW w:w="1084" w:type="dxa"/>
            <w:vAlign w:val="center"/>
          </w:tcPr>
          <w:p w14:paraId="3CC62EB9">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客观分</w:t>
            </w:r>
          </w:p>
        </w:tc>
        <w:tc>
          <w:tcPr>
            <w:tcW w:w="8001" w:type="dxa"/>
            <w:gridSpan w:val="3"/>
            <w:vAlign w:val="center"/>
          </w:tcPr>
          <w:p w14:paraId="27EE7D62">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40分</w:t>
            </w:r>
          </w:p>
        </w:tc>
      </w:tr>
      <w:tr w14:paraId="5183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04161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3.1</w:t>
            </w:r>
          </w:p>
        </w:tc>
        <w:tc>
          <w:tcPr>
            <w:tcW w:w="1084" w:type="dxa"/>
            <w:vAlign w:val="center"/>
          </w:tcPr>
          <w:p w14:paraId="227F6AFE">
            <w:pPr>
              <w:numPr>
                <w:ilvl w:val="0"/>
                <w:numId w:val="0"/>
              </w:numPr>
              <w:snapToGrid w:val="0"/>
              <w:spacing w:line="312" w:lineRule="auto"/>
              <w:jc w:val="center"/>
              <w:rPr>
                <w:rFonts w:hint="default" w:ascii="宋体" w:hAnsi="宋体" w:cs="宋体"/>
                <w:szCs w:val="21"/>
                <w:highlight w:val="none"/>
                <w:lang w:val="en-US" w:eastAsia="zh-CN"/>
              </w:rPr>
            </w:pPr>
            <w:r>
              <w:rPr>
                <w:rFonts w:hint="eastAsia" w:ascii="宋体" w:hAnsi="宋体" w:cs="宋体"/>
                <w:szCs w:val="21"/>
                <w:highlight w:val="none"/>
              </w:rPr>
              <w:t>需求响应</w:t>
            </w:r>
          </w:p>
        </w:tc>
        <w:tc>
          <w:tcPr>
            <w:tcW w:w="716" w:type="dxa"/>
            <w:vAlign w:val="center"/>
          </w:tcPr>
          <w:p w14:paraId="5F0C0B7E">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890" w:type="dxa"/>
            <w:vAlign w:val="center"/>
          </w:tcPr>
          <w:p w14:paraId="1FF30B8A">
            <w:pPr>
              <w:spacing w:line="360" w:lineRule="exact"/>
              <w:jc w:val="left"/>
              <w:rPr>
                <w:rFonts w:hint="eastAsia" w:ascii="宋体" w:hAnsi="宋体" w:cs="宋体"/>
                <w:kern w:val="0"/>
                <w:szCs w:val="21"/>
                <w:highlight w:val="none"/>
                <w:lang w:val="en-US" w:bidi="zh-CN"/>
              </w:rPr>
            </w:pPr>
            <w:r>
              <w:rPr>
                <w:rFonts w:hint="eastAsia" w:ascii="宋体" w:hAnsi="宋体" w:cs="宋体"/>
                <w:kern w:val="0"/>
                <w:szCs w:val="21"/>
                <w:highlight w:val="none"/>
                <w:lang w:val="en-US" w:bidi="zh-CN"/>
              </w:rPr>
              <w:t>供应商对招标文件中“技术参数”的响应程度：</w:t>
            </w:r>
          </w:p>
          <w:p w14:paraId="56F63307">
            <w:pPr>
              <w:spacing w:line="360" w:lineRule="exact"/>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全部响应即满足所有技术参数的得30分，有一项负偏离扣2分，扣完为止。</w:t>
            </w:r>
          </w:p>
        </w:tc>
        <w:tc>
          <w:tcPr>
            <w:tcW w:w="2395" w:type="dxa"/>
            <w:vAlign w:val="center"/>
          </w:tcPr>
          <w:p w14:paraId="136D49BD">
            <w:pPr>
              <w:numPr>
                <w:ilvl w:val="0"/>
                <w:numId w:val="0"/>
              </w:numPr>
              <w:snapToGrid w:val="0"/>
              <w:spacing w:line="312" w:lineRule="auto"/>
              <w:jc w:val="left"/>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提供包装标识（含配料表、营养成分表、生产企业等）</w:t>
            </w:r>
            <w:r>
              <w:rPr>
                <w:rFonts w:hint="eastAsia" w:ascii="宋体" w:hAnsi="宋体" w:cs="宋体"/>
                <w:szCs w:val="21"/>
                <w:highlight w:val="none"/>
                <w:vertAlign w:val="baseline"/>
                <w:lang w:val="en-US" w:eastAsia="zh-CN"/>
              </w:rPr>
              <w:t>加盖公章</w:t>
            </w:r>
          </w:p>
        </w:tc>
      </w:tr>
      <w:tr w14:paraId="70F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C51FD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3.2</w:t>
            </w:r>
          </w:p>
        </w:tc>
        <w:tc>
          <w:tcPr>
            <w:tcW w:w="1084" w:type="dxa"/>
            <w:vAlign w:val="center"/>
          </w:tcPr>
          <w:p w14:paraId="0C01FD75">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业绩</w:t>
            </w:r>
          </w:p>
        </w:tc>
        <w:tc>
          <w:tcPr>
            <w:tcW w:w="716" w:type="dxa"/>
            <w:vAlign w:val="center"/>
          </w:tcPr>
          <w:p w14:paraId="26E93BD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6分</w:t>
            </w:r>
          </w:p>
        </w:tc>
        <w:tc>
          <w:tcPr>
            <w:tcW w:w="4890" w:type="dxa"/>
            <w:vAlign w:val="center"/>
          </w:tcPr>
          <w:p w14:paraId="484A91D7">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投标人自2022年12月01日（含）以来具有类似医院的合作证明，每提供一个得2分，最高6分。</w:t>
            </w:r>
          </w:p>
        </w:tc>
        <w:tc>
          <w:tcPr>
            <w:tcW w:w="2395" w:type="dxa"/>
            <w:vAlign w:val="center"/>
          </w:tcPr>
          <w:p w14:paraId="7738C542">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提供发票复印件或合同复印件加盖公章</w:t>
            </w:r>
          </w:p>
        </w:tc>
      </w:tr>
      <w:tr w14:paraId="787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71D40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3.3</w:t>
            </w:r>
          </w:p>
        </w:tc>
        <w:tc>
          <w:tcPr>
            <w:tcW w:w="1084" w:type="dxa"/>
            <w:vAlign w:val="center"/>
          </w:tcPr>
          <w:p w14:paraId="15C8FA73">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zh-CN" w:bidi="zh-CN"/>
              </w:rPr>
              <w:t>质保承诺</w:t>
            </w:r>
          </w:p>
        </w:tc>
        <w:tc>
          <w:tcPr>
            <w:tcW w:w="716" w:type="dxa"/>
            <w:vAlign w:val="center"/>
          </w:tcPr>
          <w:p w14:paraId="0FA7A0C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890" w:type="dxa"/>
            <w:vAlign w:val="center"/>
          </w:tcPr>
          <w:p w14:paraId="01E58F86">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投标人</w:t>
            </w:r>
            <w:r>
              <w:rPr>
                <w:rFonts w:hint="eastAsia" w:ascii="宋体" w:hAnsi="宋体" w:cs="宋体"/>
                <w:kern w:val="0"/>
                <w:szCs w:val="21"/>
                <w:highlight w:val="none"/>
                <w:lang w:val="zh-CN" w:bidi="zh-CN"/>
              </w:rPr>
              <w:t>承诺送货食品至少距保质期结束时间1/2及以上，且保质期内可以调换的得</w:t>
            </w:r>
            <w:r>
              <w:rPr>
                <w:rFonts w:hint="eastAsia" w:ascii="宋体" w:hAnsi="宋体" w:cs="宋体"/>
                <w:kern w:val="0"/>
                <w:szCs w:val="21"/>
                <w:highlight w:val="none"/>
                <w:lang w:val="en-US" w:bidi="zh-CN"/>
              </w:rPr>
              <w:t>2</w:t>
            </w:r>
            <w:r>
              <w:rPr>
                <w:rFonts w:hint="eastAsia" w:ascii="宋体" w:hAnsi="宋体" w:cs="宋体"/>
                <w:kern w:val="0"/>
                <w:szCs w:val="21"/>
                <w:highlight w:val="none"/>
                <w:lang w:val="zh-CN" w:bidi="zh-CN"/>
              </w:rPr>
              <w:t>分。</w:t>
            </w:r>
          </w:p>
        </w:tc>
        <w:tc>
          <w:tcPr>
            <w:tcW w:w="2395" w:type="dxa"/>
            <w:vAlign w:val="center"/>
          </w:tcPr>
          <w:p w14:paraId="2DF168DB">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zh-CN" w:bidi="zh-CN"/>
              </w:rPr>
              <w:t>提供承诺书</w:t>
            </w:r>
            <w:r>
              <w:rPr>
                <w:rFonts w:hint="eastAsia" w:ascii="宋体" w:hAnsi="宋体" w:cs="宋体"/>
                <w:szCs w:val="21"/>
                <w:highlight w:val="none"/>
              </w:rPr>
              <w:t>加盖公章</w:t>
            </w:r>
          </w:p>
        </w:tc>
      </w:tr>
      <w:tr w14:paraId="1A5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A6508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3.4</w:t>
            </w:r>
          </w:p>
        </w:tc>
        <w:tc>
          <w:tcPr>
            <w:tcW w:w="1084" w:type="dxa"/>
            <w:vAlign w:val="center"/>
          </w:tcPr>
          <w:p w14:paraId="334ECDBA">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en-US" w:bidi="zh-CN"/>
              </w:rPr>
              <w:t>增值服务</w:t>
            </w:r>
          </w:p>
        </w:tc>
        <w:tc>
          <w:tcPr>
            <w:tcW w:w="716" w:type="dxa"/>
            <w:vAlign w:val="center"/>
          </w:tcPr>
          <w:p w14:paraId="5BED9CC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890" w:type="dxa"/>
            <w:vAlign w:val="center"/>
          </w:tcPr>
          <w:p w14:paraId="4FF3F964">
            <w:pPr>
              <w:numPr>
                <w:ilvl w:val="0"/>
                <w:numId w:val="0"/>
              </w:numPr>
              <w:snapToGrid w:val="0"/>
              <w:spacing w:line="312" w:lineRule="auto"/>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公司提供招标文件要求范围以外，具体的、实在的增值服务，得2分。</w:t>
            </w:r>
          </w:p>
        </w:tc>
        <w:tc>
          <w:tcPr>
            <w:tcW w:w="2395" w:type="dxa"/>
            <w:vAlign w:val="center"/>
          </w:tcPr>
          <w:p w14:paraId="12DA6BB3">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szCs w:val="21"/>
                <w:highlight w:val="none"/>
              </w:rPr>
              <w:t>提供承诺书加盖公章</w:t>
            </w:r>
          </w:p>
        </w:tc>
      </w:tr>
      <w:tr w14:paraId="47F8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59" w:type="dxa"/>
            <w:gridSpan w:val="2"/>
            <w:vAlign w:val="center"/>
          </w:tcPr>
          <w:p w14:paraId="352B25B4">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合计</w:t>
            </w:r>
          </w:p>
        </w:tc>
        <w:tc>
          <w:tcPr>
            <w:tcW w:w="8001" w:type="dxa"/>
            <w:gridSpan w:val="3"/>
            <w:vAlign w:val="center"/>
          </w:tcPr>
          <w:p w14:paraId="06C84B03">
            <w:pPr>
              <w:numPr>
                <w:ilvl w:val="0"/>
                <w:numId w:val="0"/>
              </w:numPr>
              <w:snapToGrid w:val="0"/>
              <w:spacing w:line="312" w:lineRule="auto"/>
              <w:jc w:val="center"/>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100分</w:t>
            </w:r>
          </w:p>
        </w:tc>
      </w:tr>
    </w:tbl>
    <w:p w14:paraId="5DD375E8">
      <w:pPr>
        <w:pStyle w:val="22"/>
        <w:ind w:left="0" w:leftChars="0" w:firstLine="0" w:firstLineChars="0"/>
        <w:rPr>
          <w:rFonts w:hint="eastAsia" w:ascii="宋体" w:hAnsi="宋体" w:eastAsia="宋体" w:cs="Times New Roman"/>
          <w:b w:val="0"/>
          <w:bCs/>
          <w:color w:val="auto"/>
          <w:kern w:val="2"/>
          <w:sz w:val="21"/>
          <w:szCs w:val="21"/>
          <w:highlight w:val="none"/>
          <w:lang w:val="en-US" w:eastAsia="zh-CN" w:bidi="ar-SA"/>
        </w:rPr>
      </w:pPr>
    </w:p>
    <w:p w14:paraId="2F6CC14D">
      <w:pPr>
        <w:rPr>
          <w:rFonts w:hint="eastAsia" w:ascii="宋体" w:hAnsi="宋体" w:eastAsia="宋体" w:cs="Times New Roman"/>
          <w:b/>
          <w:bCs w:val="0"/>
          <w:color w:val="auto"/>
          <w:kern w:val="2"/>
          <w:sz w:val="22"/>
          <w:szCs w:val="22"/>
          <w:highlight w:val="none"/>
          <w:lang w:val="en-US" w:eastAsia="zh-CN" w:bidi="ar-SA"/>
        </w:rPr>
      </w:pPr>
      <w:r>
        <w:rPr>
          <w:rFonts w:hint="eastAsia" w:ascii="宋体" w:hAnsi="宋体" w:eastAsia="宋体" w:cs="Times New Roman"/>
          <w:b/>
          <w:bCs w:val="0"/>
          <w:color w:val="auto"/>
          <w:kern w:val="2"/>
          <w:sz w:val="22"/>
          <w:szCs w:val="22"/>
          <w:highlight w:val="none"/>
          <w:lang w:val="en-US" w:eastAsia="zh-CN" w:bidi="ar-SA"/>
        </w:rPr>
        <w:t>评分细则（采购包4：特殊用途型固体饮料包</w:t>
      </w:r>
      <w:r>
        <w:rPr>
          <w:rFonts w:hint="eastAsia" w:ascii="宋体" w:hAnsi="宋体" w:cs="Times New Roman"/>
          <w:b/>
          <w:bCs w:val="0"/>
          <w:color w:val="auto"/>
          <w:kern w:val="2"/>
          <w:sz w:val="22"/>
          <w:szCs w:val="22"/>
          <w:highlight w:val="none"/>
          <w:lang w:val="en-US" w:eastAsia="zh-CN" w:bidi="ar-SA"/>
        </w:rPr>
        <w:t>、采购</w:t>
      </w:r>
      <w:r>
        <w:rPr>
          <w:rFonts w:hint="eastAsia" w:ascii="宋体" w:hAnsi="宋体" w:eastAsia="宋体" w:cs="Times New Roman"/>
          <w:b/>
          <w:bCs w:val="0"/>
          <w:color w:val="auto"/>
          <w:kern w:val="2"/>
          <w:sz w:val="22"/>
          <w:szCs w:val="22"/>
          <w:highlight w:val="none"/>
          <w:lang w:val="en-US" w:eastAsia="zh-CN" w:bidi="ar-SA"/>
        </w:rPr>
        <w:t>包</w:t>
      </w:r>
      <w:r>
        <w:rPr>
          <w:rFonts w:hint="eastAsia" w:ascii="宋体" w:hAnsi="宋体" w:cs="Times New Roman"/>
          <w:b/>
          <w:bCs w:val="0"/>
          <w:color w:val="auto"/>
          <w:kern w:val="2"/>
          <w:sz w:val="22"/>
          <w:szCs w:val="22"/>
          <w:highlight w:val="none"/>
          <w:lang w:val="en-US" w:eastAsia="zh-CN" w:bidi="ar-SA"/>
        </w:rPr>
        <w:t>5：营养素调整型固体饮料包</w:t>
      </w:r>
      <w:r>
        <w:rPr>
          <w:rFonts w:hint="eastAsia" w:ascii="宋体" w:hAnsi="宋体" w:eastAsia="宋体" w:cs="Times New Roman"/>
          <w:b/>
          <w:bCs w:val="0"/>
          <w:color w:val="auto"/>
          <w:kern w:val="2"/>
          <w:sz w:val="22"/>
          <w:szCs w:val="22"/>
          <w:highlight w:val="none"/>
          <w:lang w:val="en-US" w:eastAsia="zh-CN" w:bidi="ar-SA"/>
        </w:rPr>
        <w:t>）：</w:t>
      </w:r>
    </w:p>
    <w:tbl>
      <w:tblPr>
        <w:tblStyle w:val="24"/>
        <w:tblW w:w="976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9"/>
        <w:gridCol w:w="716"/>
        <w:gridCol w:w="4905"/>
        <w:gridCol w:w="2390"/>
      </w:tblGrid>
      <w:tr w14:paraId="129D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D2F94A8">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序号</w:t>
            </w:r>
          </w:p>
        </w:tc>
        <w:tc>
          <w:tcPr>
            <w:tcW w:w="1079" w:type="dxa"/>
            <w:shd w:val="clear" w:color="auto" w:fill="auto"/>
            <w:vAlign w:val="center"/>
          </w:tcPr>
          <w:p w14:paraId="49D29147">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评分因素</w:t>
            </w:r>
          </w:p>
        </w:tc>
        <w:tc>
          <w:tcPr>
            <w:tcW w:w="716" w:type="dxa"/>
            <w:shd w:val="clear" w:color="auto" w:fill="auto"/>
            <w:vAlign w:val="center"/>
          </w:tcPr>
          <w:p w14:paraId="0BDE6092">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分值</w:t>
            </w:r>
          </w:p>
        </w:tc>
        <w:tc>
          <w:tcPr>
            <w:tcW w:w="4905" w:type="dxa"/>
            <w:shd w:val="clear" w:color="auto" w:fill="auto"/>
            <w:vAlign w:val="center"/>
          </w:tcPr>
          <w:p w14:paraId="477C0430">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评分标准</w:t>
            </w:r>
          </w:p>
        </w:tc>
        <w:tc>
          <w:tcPr>
            <w:tcW w:w="2390" w:type="dxa"/>
            <w:shd w:val="clear" w:color="auto" w:fill="auto"/>
            <w:vAlign w:val="center"/>
          </w:tcPr>
          <w:p w14:paraId="3F182C9C">
            <w:pPr>
              <w:pStyle w:val="60"/>
              <w:spacing w:before="0" w:after="0" w:line="360" w:lineRule="exact"/>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rPr>
              <w:t>说明</w:t>
            </w:r>
          </w:p>
        </w:tc>
      </w:tr>
      <w:tr w14:paraId="261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E3A60">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w:t>
            </w:r>
          </w:p>
        </w:tc>
        <w:tc>
          <w:tcPr>
            <w:tcW w:w="1079" w:type="dxa"/>
            <w:vAlign w:val="center"/>
          </w:tcPr>
          <w:p w14:paraId="62C24FA6">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价格分</w:t>
            </w:r>
          </w:p>
        </w:tc>
        <w:tc>
          <w:tcPr>
            <w:tcW w:w="716" w:type="dxa"/>
            <w:vAlign w:val="center"/>
          </w:tcPr>
          <w:p w14:paraId="72FC39CB">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vAlign w:val="center"/>
          </w:tcPr>
          <w:p w14:paraId="60BF104A">
            <w:pPr>
              <w:spacing w:line="360" w:lineRule="exact"/>
              <w:jc w:val="left"/>
              <w:rPr>
                <w:rFonts w:ascii="宋体" w:hAnsi="宋体" w:cs="宋体"/>
                <w:szCs w:val="21"/>
                <w:highlight w:val="none"/>
              </w:rPr>
            </w:pPr>
            <w:r>
              <w:rPr>
                <w:rFonts w:hint="eastAsia" w:ascii="宋体" w:hAnsi="宋体" w:cs="宋体"/>
                <w:szCs w:val="21"/>
                <w:highlight w:val="none"/>
              </w:rPr>
              <w:t>满足</w:t>
            </w:r>
            <w:r>
              <w:rPr>
                <w:rFonts w:hint="eastAsia" w:ascii="宋体" w:hAnsi="宋体" w:cs="宋体"/>
                <w:szCs w:val="21"/>
                <w:highlight w:val="none"/>
                <w:lang w:val="en-US" w:eastAsia="zh-CN"/>
              </w:rPr>
              <w:t>招标</w:t>
            </w:r>
            <w:r>
              <w:rPr>
                <w:rFonts w:hint="eastAsia" w:ascii="宋体" w:hAnsi="宋体" w:cs="宋体"/>
                <w:szCs w:val="21"/>
                <w:highlight w:val="none"/>
              </w:rPr>
              <w:t>文件要求且最终报价最低的报价为评标基准价，其价格分为满分。其他供应商的价格分统一按照下列公式计算：</w:t>
            </w:r>
          </w:p>
          <w:p w14:paraId="2B8A74D4">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rPr>
              <w:t>价格分得分＝（评标基准价/最终报价）×分值。</w:t>
            </w:r>
            <w:r>
              <w:rPr>
                <w:rFonts w:hint="eastAsia" w:ascii="宋体" w:hAnsi="宋体" w:cs="宋体"/>
                <w:szCs w:val="21"/>
                <w:highlight w:val="none"/>
                <w:lang w:eastAsia="zh-CN"/>
              </w:rPr>
              <w:t>（</w:t>
            </w:r>
            <w:r>
              <w:rPr>
                <w:rFonts w:hint="eastAsia" w:ascii="宋体" w:hAnsi="宋体" w:cs="宋体"/>
                <w:szCs w:val="21"/>
                <w:highlight w:val="none"/>
                <w:lang w:val="en-US" w:eastAsia="zh-CN"/>
              </w:rPr>
              <w:t>保留2位小数</w:t>
            </w:r>
            <w:r>
              <w:rPr>
                <w:rFonts w:hint="eastAsia" w:ascii="宋体" w:hAnsi="宋体" w:cs="宋体"/>
                <w:szCs w:val="21"/>
                <w:highlight w:val="none"/>
                <w:lang w:eastAsia="zh-CN"/>
              </w:rPr>
              <w:t>）</w:t>
            </w:r>
          </w:p>
          <w:p w14:paraId="6BA9960E">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c>
          <w:tcPr>
            <w:tcW w:w="2390" w:type="dxa"/>
            <w:vAlign w:val="center"/>
          </w:tcPr>
          <w:p w14:paraId="52AFE0E7">
            <w:pPr>
              <w:numPr>
                <w:ilvl w:val="0"/>
                <w:numId w:val="0"/>
              </w:numPr>
              <w:snapToGrid w:val="0"/>
              <w:spacing w:line="312" w:lineRule="auto"/>
              <w:jc w:val="left"/>
              <w:rPr>
                <w:rFonts w:hint="eastAsia" w:ascii="宋体" w:hAnsi="宋体" w:cs="宋体"/>
                <w:szCs w:val="21"/>
                <w:highlight w:val="none"/>
                <w:vertAlign w:val="baseline"/>
              </w:rPr>
            </w:pPr>
          </w:p>
        </w:tc>
      </w:tr>
      <w:tr w14:paraId="1FF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AA0E88">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w:t>
            </w:r>
          </w:p>
        </w:tc>
        <w:tc>
          <w:tcPr>
            <w:tcW w:w="1079" w:type="dxa"/>
            <w:vAlign w:val="center"/>
          </w:tcPr>
          <w:p w14:paraId="11C9C358">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主观分</w:t>
            </w:r>
          </w:p>
        </w:tc>
        <w:tc>
          <w:tcPr>
            <w:tcW w:w="8011" w:type="dxa"/>
            <w:gridSpan w:val="3"/>
            <w:vAlign w:val="center"/>
          </w:tcPr>
          <w:p w14:paraId="20868870">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30分</w:t>
            </w:r>
          </w:p>
        </w:tc>
      </w:tr>
      <w:tr w14:paraId="6C1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14C174">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2.1</w:t>
            </w:r>
          </w:p>
        </w:tc>
        <w:tc>
          <w:tcPr>
            <w:tcW w:w="1079" w:type="dxa"/>
            <w:vAlign w:val="center"/>
          </w:tcPr>
          <w:p w14:paraId="1933D79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vertAlign w:val="baseline"/>
              </w:rPr>
              <w:t>整体供货方案</w:t>
            </w:r>
          </w:p>
        </w:tc>
        <w:tc>
          <w:tcPr>
            <w:tcW w:w="716" w:type="dxa"/>
            <w:vAlign w:val="center"/>
          </w:tcPr>
          <w:p w14:paraId="5273906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33C52024">
            <w:pPr>
              <w:spacing w:line="360" w:lineRule="exact"/>
              <w:jc w:val="left"/>
              <w:rPr>
                <w:rFonts w:ascii="宋体" w:hAnsi="宋体" w:cs="宋体"/>
                <w:szCs w:val="21"/>
                <w:highlight w:val="none"/>
              </w:rPr>
            </w:pPr>
            <w:r>
              <w:rPr>
                <w:rFonts w:hint="eastAsia" w:ascii="宋体" w:hAnsi="宋体" w:cs="宋体"/>
                <w:bCs/>
                <w:szCs w:val="21"/>
                <w:highlight w:val="none"/>
              </w:rPr>
              <w:t>整体供货方案</w:t>
            </w:r>
            <w:r>
              <w:rPr>
                <w:rFonts w:hint="eastAsia" w:ascii="宋体" w:hAnsi="宋体" w:cs="宋体"/>
                <w:szCs w:val="21"/>
                <w:highlight w:val="none"/>
              </w:rPr>
              <w:t>，包括</w:t>
            </w:r>
            <w:r>
              <w:rPr>
                <w:rFonts w:hint="eastAsia" w:ascii="宋体" w:hAnsi="宋体" w:cs="宋体"/>
                <w:bCs/>
                <w:szCs w:val="21"/>
                <w:highlight w:val="none"/>
              </w:rPr>
              <w:t>供货流程、供货周期、供货量、货源保障措施等</w:t>
            </w:r>
            <w:r>
              <w:rPr>
                <w:rFonts w:hint="eastAsia" w:ascii="宋体" w:hAnsi="宋体" w:cs="宋体"/>
                <w:szCs w:val="21"/>
                <w:highlight w:val="none"/>
              </w:rPr>
              <w:t>。</w:t>
            </w:r>
          </w:p>
          <w:p w14:paraId="082FB761">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供货流程、供货周期、供货量、货源保障措施等，能够确保供货的稳定性和及时性得5分；基本描述了供货的主要环节和流程，但在某些细节或保障措施上有所欠缺或有缺失得3分；简单提及了供货方案的基本框架，缺乏具体内容和细节得1分；未提供或提供的方案与本项目合同履行无关不得分。</w:t>
            </w:r>
          </w:p>
        </w:tc>
        <w:tc>
          <w:tcPr>
            <w:tcW w:w="2390" w:type="dxa"/>
            <w:vAlign w:val="center"/>
          </w:tcPr>
          <w:p w14:paraId="7DBECBD3">
            <w:pPr>
              <w:numPr>
                <w:ilvl w:val="0"/>
                <w:numId w:val="0"/>
              </w:numPr>
              <w:snapToGrid w:val="0"/>
              <w:spacing w:line="312" w:lineRule="auto"/>
              <w:jc w:val="left"/>
              <w:rPr>
                <w:rFonts w:hint="eastAsia" w:ascii="宋体" w:hAnsi="宋体" w:cs="宋体"/>
                <w:szCs w:val="21"/>
                <w:highlight w:val="none"/>
                <w:vertAlign w:val="baseline"/>
              </w:rPr>
            </w:pPr>
          </w:p>
        </w:tc>
      </w:tr>
      <w:tr w14:paraId="71B4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FFD9A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2.2</w:t>
            </w:r>
          </w:p>
        </w:tc>
        <w:tc>
          <w:tcPr>
            <w:tcW w:w="1079" w:type="dxa"/>
            <w:vAlign w:val="center"/>
          </w:tcPr>
          <w:p w14:paraId="20EB5810">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运输时限和运输方式</w:t>
            </w:r>
          </w:p>
        </w:tc>
        <w:tc>
          <w:tcPr>
            <w:tcW w:w="716" w:type="dxa"/>
            <w:vAlign w:val="center"/>
          </w:tcPr>
          <w:p w14:paraId="3B35BB4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4B1FE270">
            <w:pPr>
              <w:spacing w:line="360" w:lineRule="exact"/>
              <w:jc w:val="left"/>
              <w:rPr>
                <w:rFonts w:ascii="宋体" w:hAnsi="宋体" w:cs="宋体"/>
                <w:bCs/>
                <w:szCs w:val="21"/>
                <w:highlight w:val="none"/>
              </w:rPr>
            </w:pPr>
            <w:r>
              <w:rPr>
                <w:rFonts w:hint="eastAsia" w:ascii="宋体" w:hAnsi="宋体" w:cs="宋体"/>
                <w:bCs/>
                <w:szCs w:val="21"/>
                <w:highlight w:val="none"/>
              </w:rPr>
              <w:t>运输时限和运输方式，包括运输时限、运输方式、运输责任划分及运输中的安全保障措施。</w:t>
            </w:r>
          </w:p>
          <w:p w14:paraId="4464CC82">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明确规定了供应产品的运输时限、运输方式（如空运、海运、陆运等）、运输责任划分及运输中的安全保障措施得5分；规定了主要的运输时限和运输方式，但在某些保障措施上不够全面或有缺失得3分；仅简单提及了运输时限和方式，缺乏具体的执行细节得1分</w:t>
            </w:r>
            <w:r>
              <w:rPr>
                <w:rFonts w:hint="eastAsia" w:ascii="宋体" w:hAnsi="宋体" w:cs="宋体"/>
                <w:szCs w:val="21"/>
                <w:highlight w:val="none"/>
              </w:rPr>
              <w:t>；未提供不得分。</w:t>
            </w:r>
          </w:p>
        </w:tc>
        <w:tc>
          <w:tcPr>
            <w:tcW w:w="2390" w:type="dxa"/>
            <w:vAlign w:val="center"/>
          </w:tcPr>
          <w:p w14:paraId="139267A7">
            <w:pPr>
              <w:numPr>
                <w:ilvl w:val="0"/>
                <w:numId w:val="0"/>
              </w:numPr>
              <w:snapToGrid w:val="0"/>
              <w:spacing w:line="312" w:lineRule="auto"/>
              <w:jc w:val="left"/>
              <w:rPr>
                <w:rFonts w:hint="eastAsia" w:ascii="宋体" w:hAnsi="宋体" w:cs="宋体"/>
                <w:szCs w:val="21"/>
                <w:highlight w:val="none"/>
                <w:vertAlign w:val="baseline"/>
              </w:rPr>
            </w:pPr>
          </w:p>
        </w:tc>
      </w:tr>
      <w:tr w14:paraId="3371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C5E93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2.3</w:t>
            </w:r>
          </w:p>
        </w:tc>
        <w:tc>
          <w:tcPr>
            <w:tcW w:w="1079" w:type="dxa"/>
            <w:vAlign w:val="center"/>
          </w:tcPr>
          <w:p w14:paraId="0BE40E5C">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退换缺陷产品措施</w:t>
            </w:r>
          </w:p>
        </w:tc>
        <w:tc>
          <w:tcPr>
            <w:tcW w:w="716" w:type="dxa"/>
            <w:vAlign w:val="center"/>
          </w:tcPr>
          <w:p w14:paraId="6CC6BFB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5ABC6A91">
            <w:pPr>
              <w:spacing w:line="360" w:lineRule="exact"/>
              <w:jc w:val="left"/>
              <w:rPr>
                <w:rFonts w:ascii="宋体" w:hAnsi="宋体" w:cs="宋体"/>
                <w:bCs/>
                <w:szCs w:val="21"/>
                <w:highlight w:val="none"/>
              </w:rPr>
            </w:pPr>
            <w:r>
              <w:rPr>
                <w:rFonts w:hint="eastAsia" w:ascii="宋体" w:hAnsi="宋体" w:cs="宋体"/>
                <w:bCs/>
                <w:szCs w:val="21"/>
                <w:highlight w:val="none"/>
              </w:rPr>
              <w:t>退换缺陷产品措施，包括缺陷产品的识别方法、退换流程、退换时限、责任划分及赔偿措施等。</w:t>
            </w:r>
          </w:p>
          <w:p w14:paraId="2494C8A7">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缺陷产品的识别方法、退换流程、退换时限、责任划分及赔偿措施等得5分；基本描述了退换缺陷产品的主要环节和流程，但在某些赔偿措施上有所欠缺或有缺失得3分；仅简单提及了退换措施的基本框架，缺乏具体内容和细节得1分；未提供或提供的方案与本项目合同履行无关不得分。</w:t>
            </w:r>
          </w:p>
        </w:tc>
        <w:tc>
          <w:tcPr>
            <w:tcW w:w="2390" w:type="dxa"/>
            <w:vAlign w:val="center"/>
          </w:tcPr>
          <w:p w14:paraId="40DEBD2F">
            <w:pPr>
              <w:numPr>
                <w:ilvl w:val="0"/>
                <w:numId w:val="0"/>
              </w:numPr>
              <w:snapToGrid w:val="0"/>
              <w:spacing w:line="312" w:lineRule="auto"/>
              <w:jc w:val="left"/>
              <w:rPr>
                <w:rFonts w:hint="eastAsia" w:ascii="宋体" w:hAnsi="宋体" w:cs="宋体"/>
                <w:szCs w:val="21"/>
                <w:highlight w:val="none"/>
                <w:vertAlign w:val="baseline"/>
              </w:rPr>
            </w:pPr>
          </w:p>
        </w:tc>
      </w:tr>
      <w:tr w14:paraId="569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98AA74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2.4</w:t>
            </w:r>
          </w:p>
        </w:tc>
        <w:tc>
          <w:tcPr>
            <w:tcW w:w="1079" w:type="dxa"/>
            <w:vAlign w:val="center"/>
          </w:tcPr>
          <w:p w14:paraId="09235BE1">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对产品的食用意见及反馈时间方案</w:t>
            </w:r>
          </w:p>
        </w:tc>
        <w:tc>
          <w:tcPr>
            <w:tcW w:w="716" w:type="dxa"/>
            <w:vAlign w:val="center"/>
          </w:tcPr>
          <w:p w14:paraId="587FEC8C">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03C8C3EF">
            <w:pPr>
              <w:spacing w:line="360" w:lineRule="exact"/>
              <w:jc w:val="left"/>
              <w:rPr>
                <w:rFonts w:ascii="宋体" w:hAnsi="宋体" w:cs="宋体"/>
                <w:bCs/>
                <w:szCs w:val="21"/>
                <w:highlight w:val="none"/>
              </w:rPr>
            </w:pPr>
            <w:r>
              <w:rPr>
                <w:rFonts w:hint="eastAsia" w:ascii="宋体" w:hAnsi="宋体" w:cs="宋体"/>
                <w:bCs/>
                <w:szCs w:val="21"/>
                <w:highlight w:val="none"/>
              </w:rPr>
              <w:t>对产品的食用意见及反馈时间方案，包括产品食用意见的收集渠道、反馈机制、处理流程及时限要求等。</w:t>
            </w:r>
          </w:p>
          <w:p w14:paraId="6BFCC1BD">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建立了产品食用意见的收集渠道、反馈机制、处理流程及时限要求，确保消费者意见能够及时得到处理和回复得5分；基本描述了食用意见及反馈的主要环节和流程，但在某些处理时限上不够全面或有缺失得3分；仅简单提及了食用意见及反馈的基本框架，缺乏具体内容和细节得1分；未提共或提供的方案与本项目合同履行无关不得分。</w:t>
            </w:r>
          </w:p>
        </w:tc>
        <w:tc>
          <w:tcPr>
            <w:tcW w:w="2390" w:type="dxa"/>
            <w:vAlign w:val="center"/>
          </w:tcPr>
          <w:p w14:paraId="10606BE6">
            <w:pPr>
              <w:numPr>
                <w:ilvl w:val="0"/>
                <w:numId w:val="0"/>
              </w:numPr>
              <w:snapToGrid w:val="0"/>
              <w:spacing w:line="312" w:lineRule="auto"/>
              <w:jc w:val="left"/>
              <w:rPr>
                <w:rFonts w:hint="eastAsia" w:ascii="宋体" w:hAnsi="宋体" w:cs="宋体"/>
                <w:szCs w:val="21"/>
                <w:highlight w:val="none"/>
                <w:vertAlign w:val="baseline"/>
              </w:rPr>
            </w:pPr>
          </w:p>
        </w:tc>
      </w:tr>
      <w:tr w14:paraId="482D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172665">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2.5</w:t>
            </w:r>
          </w:p>
        </w:tc>
        <w:tc>
          <w:tcPr>
            <w:tcW w:w="1079" w:type="dxa"/>
            <w:vAlign w:val="center"/>
          </w:tcPr>
          <w:p w14:paraId="1F46869D">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售前和售后服务制度</w:t>
            </w:r>
          </w:p>
        </w:tc>
        <w:tc>
          <w:tcPr>
            <w:tcW w:w="716" w:type="dxa"/>
            <w:vAlign w:val="center"/>
          </w:tcPr>
          <w:p w14:paraId="6A16DFD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5D527E05">
            <w:pPr>
              <w:spacing w:line="360" w:lineRule="exact"/>
              <w:jc w:val="left"/>
              <w:rPr>
                <w:rFonts w:ascii="宋体" w:hAnsi="宋体" w:cs="宋体"/>
                <w:bCs/>
                <w:szCs w:val="21"/>
                <w:highlight w:val="none"/>
              </w:rPr>
            </w:pPr>
            <w:r>
              <w:rPr>
                <w:rFonts w:hint="eastAsia" w:ascii="宋体" w:hAnsi="宋体" w:cs="宋体"/>
                <w:bCs/>
                <w:szCs w:val="21"/>
                <w:highlight w:val="none"/>
              </w:rPr>
              <w:t>售前和售后服务制度，包括售前咨询和售后服务的内容、流程、时限及保障措施。</w:t>
            </w:r>
          </w:p>
          <w:p w14:paraId="70332558">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售前咨询和售后服务的内容、流程、时限及保障措施等得5分；基本描述了售前售后服务的主要环节和流程，但在某些细节或保障措施上有所欠缺得3分；仅简单提及了售前售后服务的基本框架，缺乏具体内容和细节得1分；未提共或提供的方案与本项目合同履行无关不得分。</w:t>
            </w:r>
          </w:p>
        </w:tc>
        <w:tc>
          <w:tcPr>
            <w:tcW w:w="2390" w:type="dxa"/>
            <w:vAlign w:val="center"/>
          </w:tcPr>
          <w:p w14:paraId="4AE252E0">
            <w:pPr>
              <w:numPr>
                <w:ilvl w:val="0"/>
                <w:numId w:val="0"/>
              </w:numPr>
              <w:snapToGrid w:val="0"/>
              <w:spacing w:line="312" w:lineRule="auto"/>
              <w:jc w:val="left"/>
              <w:rPr>
                <w:rFonts w:hint="eastAsia" w:ascii="宋体" w:hAnsi="宋体" w:cs="宋体"/>
                <w:szCs w:val="21"/>
                <w:highlight w:val="none"/>
                <w:vertAlign w:val="baseline"/>
              </w:rPr>
            </w:pPr>
          </w:p>
        </w:tc>
      </w:tr>
      <w:tr w14:paraId="1120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E0FCA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2.6</w:t>
            </w:r>
          </w:p>
        </w:tc>
        <w:tc>
          <w:tcPr>
            <w:tcW w:w="1079" w:type="dxa"/>
            <w:vAlign w:val="center"/>
          </w:tcPr>
          <w:p w14:paraId="6596A12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紧急情况措施</w:t>
            </w:r>
          </w:p>
        </w:tc>
        <w:tc>
          <w:tcPr>
            <w:tcW w:w="716" w:type="dxa"/>
            <w:vAlign w:val="center"/>
          </w:tcPr>
          <w:p w14:paraId="32E9BB45">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3C8F3E25">
            <w:pPr>
              <w:spacing w:line="360" w:lineRule="exact"/>
              <w:jc w:val="left"/>
              <w:rPr>
                <w:rFonts w:ascii="宋体" w:hAnsi="宋体" w:cs="宋体"/>
                <w:bCs/>
                <w:szCs w:val="21"/>
                <w:highlight w:val="none"/>
              </w:rPr>
            </w:pPr>
            <w:r>
              <w:rPr>
                <w:rFonts w:hint="eastAsia" w:ascii="宋体" w:hAnsi="宋体" w:cs="宋体"/>
                <w:bCs/>
                <w:szCs w:val="21"/>
                <w:highlight w:val="none"/>
              </w:rPr>
              <w:t>紧急情况措施，包括应急处理流程、责任划分、资源调配及后续处理措施等。</w:t>
            </w:r>
          </w:p>
          <w:p w14:paraId="6AFEB68E">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制定了详细的应急处理流程、责任划分、资源调配及后续处理措施等得5分；基本描述了紧急情况的主要应对措施和流程，但在某些细节或资源调配上有所欠缺得3分；仅简单提及了紧急情况的基本应对措施，缺乏具体内容和细节得1分；未提共或提供的方案与本项目合同履行无关不得分。</w:t>
            </w:r>
          </w:p>
        </w:tc>
        <w:tc>
          <w:tcPr>
            <w:tcW w:w="2390" w:type="dxa"/>
            <w:vAlign w:val="center"/>
          </w:tcPr>
          <w:p w14:paraId="738B6AA3">
            <w:pPr>
              <w:numPr>
                <w:ilvl w:val="0"/>
                <w:numId w:val="0"/>
              </w:numPr>
              <w:snapToGrid w:val="0"/>
              <w:spacing w:line="312" w:lineRule="auto"/>
              <w:jc w:val="left"/>
              <w:rPr>
                <w:rFonts w:hint="eastAsia" w:ascii="宋体" w:hAnsi="宋体" w:cs="宋体"/>
                <w:szCs w:val="21"/>
                <w:highlight w:val="none"/>
                <w:vertAlign w:val="baseline"/>
              </w:rPr>
            </w:pPr>
          </w:p>
        </w:tc>
      </w:tr>
      <w:tr w14:paraId="35B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75" w:type="dxa"/>
            <w:vAlign w:val="center"/>
          </w:tcPr>
          <w:p w14:paraId="17D9668C">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w:t>
            </w:r>
          </w:p>
        </w:tc>
        <w:tc>
          <w:tcPr>
            <w:tcW w:w="1079" w:type="dxa"/>
            <w:vAlign w:val="center"/>
          </w:tcPr>
          <w:p w14:paraId="52A09234">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客观分</w:t>
            </w:r>
          </w:p>
        </w:tc>
        <w:tc>
          <w:tcPr>
            <w:tcW w:w="8011" w:type="dxa"/>
            <w:gridSpan w:val="3"/>
            <w:vAlign w:val="center"/>
          </w:tcPr>
          <w:p w14:paraId="5B679053">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40分</w:t>
            </w:r>
          </w:p>
        </w:tc>
      </w:tr>
      <w:tr w14:paraId="4F70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6265E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3.1</w:t>
            </w:r>
          </w:p>
        </w:tc>
        <w:tc>
          <w:tcPr>
            <w:tcW w:w="1079" w:type="dxa"/>
            <w:vAlign w:val="center"/>
          </w:tcPr>
          <w:p w14:paraId="1AD5554C">
            <w:pPr>
              <w:numPr>
                <w:ilvl w:val="0"/>
                <w:numId w:val="0"/>
              </w:numPr>
              <w:snapToGrid w:val="0"/>
              <w:spacing w:line="312" w:lineRule="auto"/>
              <w:jc w:val="center"/>
              <w:rPr>
                <w:rFonts w:hint="default" w:ascii="宋体" w:hAnsi="宋体" w:cs="宋体"/>
                <w:szCs w:val="21"/>
                <w:highlight w:val="none"/>
                <w:lang w:val="en-US" w:eastAsia="zh-CN"/>
              </w:rPr>
            </w:pPr>
            <w:r>
              <w:rPr>
                <w:rFonts w:hint="eastAsia" w:ascii="宋体" w:hAnsi="宋体" w:cs="宋体"/>
                <w:szCs w:val="21"/>
                <w:highlight w:val="none"/>
              </w:rPr>
              <w:t>需求响应</w:t>
            </w:r>
          </w:p>
        </w:tc>
        <w:tc>
          <w:tcPr>
            <w:tcW w:w="716" w:type="dxa"/>
            <w:vAlign w:val="center"/>
          </w:tcPr>
          <w:p w14:paraId="7967E3A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vAlign w:val="center"/>
          </w:tcPr>
          <w:p w14:paraId="04E72015">
            <w:pPr>
              <w:spacing w:line="360" w:lineRule="exact"/>
              <w:jc w:val="left"/>
              <w:rPr>
                <w:rFonts w:hint="eastAsia" w:ascii="宋体" w:hAnsi="宋体" w:cs="宋体"/>
                <w:kern w:val="0"/>
                <w:szCs w:val="21"/>
                <w:highlight w:val="none"/>
                <w:lang w:val="en-US" w:bidi="zh-CN"/>
              </w:rPr>
            </w:pPr>
            <w:r>
              <w:rPr>
                <w:rFonts w:hint="eastAsia" w:ascii="宋体" w:hAnsi="宋体" w:cs="宋体"/>
                <w:kern w:val="0"/>
                <w:szCs w:val="21"/>
                <w:highlight w:val="none"/>
                <w:lang w:val="en-US" w:bidi="zh-CN"/>
              </w:rPr>
              <w:t>供应商对招标文件中“技术参数”的响应程度：</w:t>
            </w:r>
          </w:p>
          <w:p w14:paraId="44CA9EC7">
            <w:pPr>
              <w:spacing w:line="360" w:lineRule="exact"/>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全部响应即满足所有技术参数的得30分，有一项负偏离扣3分，扣完为止。</w:t>
            </w:r>
          </w:p>
        </w:tc>
        <w:tc>
          <w:tcPr>
            <w:tcW w:w="2390" w:type="dxa"/>
            <w:vAlign w:val="center"/>
          </w:tcPr>
          <w:p w14:paraId="38F8B0C0">
            <w:pPr>
              <w:numPr>
                <w:ilvl w:val="0"/>
                <w:numId w:val="0"/>
              </w:numPr>
              <w:snapToGrid w:val="0"/>
              <w:spacing w:line="312" w:lineRule="auto"/>
              <w:jc w:val="left"/>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提供包装标识（含配料表、营养成分表、生产企业等）</w:t>
            </w:r>
            <w:r>
              <w:rPr>
                <w:rFonts w:hint="eastAsia" w:ascii="宋体" w:hAnsi="宋体" w:cs="宋体"/>
                <w:szCs w:val="21"/>
                <w:highlight w:val="none"/>
                <w:vertAlign w:val="baseline"/>
                <w:lang w:val="en-US" w:eastAsia="zh-CN"/>
              </w:rPr>
              <w:t>加盖公章</w:t>
            </w:r>
          </w:p>
        </w:tc>
      </w:tr>
      <w:tr w14:paraId="1C99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97B3B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3.2</w:t>
            </w:r>
          </w:p>
        </w:tc>
        <w:tc>
          <w:tcPr>
            <w:tcW w:w="1079" w:type="dxa"/>
            <w:vAlign w:val="center"/>
          </w:tcPr>
          <w:p w14:paraId="06B1245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业绩</w:t>
            </w:r>
          </w:p>
        </w:tc>
        <w:tc>
          <w:tcPr>
            <w:tcW w:w="716" w:type="dxa"/>
            <w:vAlign w:val="center"/>
          </w:tcPr>
          <w:p w14:paraId="4D76A3F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6分</w:t>
            </w:r>
          </w:p>
        </w:tc>
        <w:tc>
          <w:tcPr>
            <w:tcW w:w="4905" w:type="dxa"/>
            <w:vAlign w:val="center"/>
          </w:tcPr>
          <w:p w14:paraId="07DFE8FF">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投标人自2022年12月01日（含）以来具有类似医院的合作证明，每提供一个得2分，最高6分。</w:t>
            </w:r>
          </w:p>
        </w:tc>
        <w:tc>
          <w:tcPr>
            <w:tcW w:w="2390" w:type="dxa"/>
            <w:vAlign w:val="center"/>
          </w:tcPr>
          <w:p w14:paraId="3F7AA840">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提供发票复印件或合同复印件加盖公章</w:t>
            </w:r>
          </w:p>
        </w:tc>
      </w:tr>
      <w:tr w14:paraId="6404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A9CC3A">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3.3</w:t>
            </w:r>
          </w:p>
        </w:tc>
        <w:tc>
          <w:tcPr>
            <w:tcW w:w="1079" w:type="dxa"/>
            <w:vAlign w:val="center"/>
          </w:tcPr>
          <w:p w14:paraId="08400B19">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zh-CN" w:bidi="zh-CN"/>
              </w:rPr>
              <w:t>质保承诺</w:t>
            </w:r>
          </w:p>
        </w:tc>
        <w:tc>
          <w:tcPr>
            <w:tcW w:w="716" w:type="dxa"/>
            <w:vAlign w:val="center"/>
          </w:tcPr>
          <w:p w14:paraId="5E917834">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vAlign w:val="center"/>
          </w:tcPr>
          <w:p w14:paraId="2B7033FA">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投标人</w:t>
            </w:r>
            <w:r>
              <w:rPr>
                <w:rFonts w:hint="eastAsia" w:ascii="宋体" w:hAnsi="宋体" w:cs="宋体"/>
                <w:kern w:val="0"/>
                <w:szCs w:val="21"/>
                <w:highlight w:val="none"/>
                <w:lang w:val="zh-CN" w:bidi="zh-CN"/>
              </w:rPr>
              <w:t>承诺送货食品至少距保质期结束时间1/2及以上，且保质期内可以调换的得</w:t>
            </w:r>
            <w:r>
              <w:rPr>
                <w:rFonts w:hint="eastAsia" w:ascii="宋体" w:hAnsi="宋体" w:cs="宋体"/>
                <w:kern w:val="0"/>
                <w:szCs w:val="21"/>
                <w:highlight w:val="none"/>
                <w:lang w:val="en-US" w:bidi="zh-CN"/>
              </w:rPr>
              <w:t>2</w:t>
            </w:r>
            <w:r>
              <w:rPr>
                <w:rFonts w:hint="eastAsia" w:ascii="宋体" w:hAnsi="宋体" w:cs="宋体"/>
                <w:kern w:val="0"/>
                <w:szCs w:val="21"/>
                <w:highlight w:val="none"/>
                <w:lang w:val="zh-CN" w:bidi="zh-CN"/>
              </w:rPr>
              <w:t>分。</w:t>
            </w:r>
          </w:p>
        </w:tc>
        <w:tc>
          <w:tcPr>
            <w:tcW w:w="2390" w:type="dxa"/>
            <w:vAlign w:val="center"/>
          </w:tcPr>
          <w:p w14:paraId="7E160F94">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zh-CN" w:bidi="zh-CN"/>
              </w:rPr>
              <w:t>提供承诺书</w:t>
            </w:r>
            <w:r>
              <w:rPr>
                <w:rFonts w:hint="eastAsia" w:ascii="宋体" w:hAnsi="宋体" w:cs="宋体"/>
                <w:szCs w:val="21"/>
                <w:highlight w:val="none"/>
              </w:rPr>
              <w:t>加盖公章</w:t>
            </w:r>
          </w:p>
        </w:tc>
      </w:tr>
      <w:tr w14:paraId="377A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8BA3E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3.4</w:t>
            </w:r>
          </w:p>
        </w:tc>
        <w:tc>
          <w:tcPr>
            <w:tcW w:w="1079" w:type="dxa"/>
            <w:vAlign w:val="center"/>
          </w:tcPr>
          <w:p w14:paraId="26C6DA2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en-US" w:bidi="zh-CN"/>
              </w:rPr>
              <w:t>增值服务</w:t>
            </w:r>
          </w:p>
        </w:tc>
        <w:tc>
          <w:tcPr>
            <w:tcW w:w="716" w:type="dxa"/>
            <w:vAlign w:val="center"/>
          </w:tcPr>
          <w:p w14:paraId="1A5E89D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vAlign w:val="center"/>
          </w:tcPr>
          <w:p w14:paraId="34FD6E9C">
            <w:pPr>
              <w:numPr>
                <w:ilvl w:val="0"/>
                <w:numId w:val="0"/>
              </w:numPr>
              <w:snapToGrid w:val="0"/>
              <w:spacing w:line="312" w:lineRule="auto"/>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公司提供招标文件要求范围以外，具体的、实在的增值服务，得2分。</w:t>
            </w:r>
          </w:p>
        </w:tc>
        <w:tc>
          <w:tcPr>
            <w:tcW w:w="2390" w:type="dxa"/>
            <w:vAlign w:val="center"/>
          </w:tcPr>
          <w:p w14:paraId="02AD04AB">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szCs w:val="21"/>
                <w:highlight w:val="none"/>
              </w:rPr>
              <w:t>提供承诺书加盖公章</w:t>
            </w:r>
          </w:p>
        </w:tc>
      </w:tr>
      <w:tr w14:paraId="01FC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54" w:type="dxa"/>
            <w:gridSpan w:val="2"/>
            <w:vAlign w:val="bottom"/>
          </w:tcPr>
          <w:p w14:paraId="24F2DA4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合计</w:t>
            </w:r>
          </w:p>
        </w:tc>
        <w:tc>
          <w:tcPr>
            <w:tcW w:w="8011" w:type="dxa"/>
            <w:gridSpan w:val="3"/>
            <w:vAlign w:val="bottom"/>
          </w:tcPr>
          <w:p w14:paraId="78D660D0">
            <w:pPr>
              <w:numPr>
                <w:ilvl w:val="0"/>
                <w:numId w:val="0"/>
              </w:numPr>
              <w:snapToGrid w:val="0"/>
              <w:spacing w:line="312" w:lineRule="auto"/>
              <w:jc w:val="center"/>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100分</w:t>
            </w:r>
          </w:p>
        </w:tc>
      </w:tr>
    </w:tbl>
    <w:p w14:paraId="53A28A59">
      <w:pPr>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注：</w:t>
      </w:r>
    </w:p>
    <w:p w14:paraId="5ACD0D80">
      <w:pPr>
        <w:tabs>
          <w:tab w:val="left" w:pos="945"/>
          <w:tab w:val="left" w:pos="1155"/>
        </w:tabs>
        <w:spacing w:line="360" w:lineRule="auto"/>
        <w:ind w:firstLine="422"/>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sz w:val="21"/>
          <w:szCs w:val="21"/>
          <w:highlight w:val="none"/>
        </w:rPr>
        <w:t>苏财购〔2025〕62号文《关于推动解决政府采购异常低价问题相关工作的通知》规定：评审过程中出现下列情形之一的，评审委员会应当启动异常低价投标（响应）审查程序：</w:t>
      </w:r>
    </w:p>
    <w:p w14:paraId="04CBD137">
      <w:pPr>
        <w:tabs>
          <w:tab w:val="left" w:pos="945"/>
          <w:tab w:val="left" w:pos="1155"/>
        </w:tabs>
        <w:spacing w:line="360" w:lineRule="auto"/>
        <w:ind w:firstLine="422"/>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投标（响应）报价低于采购项目预算 50% 的，即投标（响</w:t>
      </w:r>
      <w:r>
        <w:rPr>
          <w:rFonts w:hint="eastAsia" w:ascii="宋体" w:hAnsi="宋体" w:eastAsia="宋体" w:cs="宋体"/>
          <w:b w:val="0"/>
          <w:bCs w:val="0"/>
          <w:sz w:val="21"/>
          <w:szCs w:val="21"/>
          <w:highlight w:val="none"/>
          <w:lang w:val="en-US" w:eastAsia="zh-CN"/>
        </w:rPr>
        <w:t>应）报价&lt;采购项目预算×50% ；</w:t>
      </w:r>
    </w:p>
    <w:p w14:paraId="17CDF648">
      <w:pPr>
        <w:tabs>
          <w:tab w:val="left" w:pos="945"/>
          <w:tab w:val="left" w:pos="1155"/>
        </w:tabs>
        <w:spacing w:line="360" w:lineRule="auto"/>
        <w:ind w:firstLine="422"/>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（2）投标（响应）报价低于采购项目最高限价 45% 的，即投标（响应）报价&lt;采购项目最高限价×45% ；</w:t>
      </w:r>
    </w:p>
    <w:p w14:paraId="0966F144">
      <w:pPr>
        <w:tabs>
          <w:tab w:val="left" w:pos="945"/>
          <w:tab w:val="left" w:pos="1155"/>
        </w:tabs>
        <w:spacing w:line="360" w:lineRule="auto"/>
        <w:ind w:firstLine="422"/>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（3）评审委员会认定的供应商报价过低、有可能影响产品质量或者不能诚信履约的其他情形。</w:t>
      </w:r>
    </w:p>
    <w:p w14:paraId="29104D54">
      <w:pPr>
        <w:jc w:val="left"/>
        <w:rPr>
          <w:rFonts w:hint="eastAsia" w:ascii="宋体" w:hAnsi="宋体"/>
          <w:color w:val="auto"/>
          <w:highlight w:val="none"/>
        </w:rPr>
      </w:pPr>
    </w:p>
    <w:p w14:paraId="673FA478">
      <w:pPr>
        <w:jc w:val="left"/>
        <w:rPr>
          <w:rFonts w:hint="eastAsia" w:ascii="宋体" w:hAnsi="宋体"/>
          <w:color w:val="auto"/>
          <w:highlight w:val="none"/>
        </w:rPr>
      </w:pPr>
    </w:p>
    <w:p w14:paraId="2C5A5A1A">
      <w:pPr>
        <w:jc w:val="left"/>
        <w:rPr>
          <w:rFonts w:hint="eastAsia" w:ascii="宋体" w:hAnsi="宋体"/>
          <w:color w:val="auto"/>
          <w:highlight w:val="none"/>
        </w:rPr>
      </w:pPr>
    </w:p>
    <w:p w14:paraId="4793C136">
      <w:pPr>
        <w:jc w:val="left"/>
        <w:rPr>
          <w:rFonts w:hint="eastAsia" w:ascii="宋体" w:hAnsi="宋体"/>
          <w:color w:val="auto"/>
          <w:highlight w:val="none"/>
        </w:rPr>
      </w:pPr>
    </w:p>
    <w:p w14:paraId="4A8884F8">
      <w:pPr>
        <w:jc w:val="left"/>
        <w:rPr>
          <w:rFonts w:hint="eastAsia" w:ascii="宋体" w:hAnsi="宋体"/>
          <w:color w:val="auto"/>
          <w:highlight w:val="none"/>
        </w:rPr>
      </w:pPr>
    </w:p>
    <w:p w14:paraId="3AA89DB7">
      <w:pPr>
        <w:jc w:val="left"/>
        <w:rPr>
          <w:rFonts w:hint="eastAsia" w:ascii="宋体" w:hAnsi="宋体"/>
          <w:color w:val="auto"/>
          <w:highlight w:val="none"/>
        </w:rPr>
      </w:pPr>
    </w:p>
    <w:p w14:paraId="54D606A1">
      <w:pPr>
        <w:jc w:val="left"/>
        <w:rPr>
          <w:rFonts w:hint="eastAsia" w:ascii="宋体" w:hAnsi="宋体"/>
          <w:color w:val="auto"/>
          <w:highlight w:val="none"/>
        </w:rPr>
      </w:pPr>
    </w:p>
    <w:p w14:paraId="136DF7E7">
      <w:pPr>
        <w:jc w:val="left"/>
        <w:rPr>
          <w:rFonts w:hint="eastAsia" w:ascii="宋体" w:hAnsi="宋体"/>
          <w:color w:val="auto"/>
          <w:highlight w:val="none"/>
        </w:rPr>
      </w:pPr>
    </w:p>
    <w:p w14:paraId="7454FB72">
      <w:pPr>
        <w:jc w:val="left"/>
        <w:rPr>
          <w:rFonts w:hint="eastAsia" w:ascii="宋体" w:hAnsi="宋体"/>
          <w:color w:val="auto"/>
          <w:highlight w:val="none"/>
        </w:rPr>
      </w:pPr>
    </w:p>
    <w:p w14:paraId="4152DCD1">
      <w:pPr>
        <w:jc w:val="left"/>
        <w:rPr>
          <w:rFonts w:hint="eastAsia" w:ascii="宋体" w:hAnsi="宋体"/>
          <w:color w:val="auto"/>
          <w:highlight w:val="none"/>
        </w:rPr>
      </w:pPr>
    </w:p>
    <w:p w14:paraId="797A76C6">
      <w:pPr>
        <w:jc w:val="left"/>
        <w:rPr>
          <w:rFonts w:hint="eastAsia" w:ascii="宋体" w:hAnsi="宋体"/>
          <w:color w:val="auto"/>
          <w:highlight w:val="none"/>
        </w:rPr>
      </w:pPr>
    </w:p>
    <w:p w14:paraId="486039AC">
      <w:pPr>
        <w:jc w:val="left"/>
        <w:rPr>
          <w:rFonts w:hint="eastAsia" w:ascii="宋体" w:hAnsi="宋体"/>
          <w:color w:val="auto"/>
          <w:highlight w:val="none"/>
        </w:rPr>
      </w:pPr>
    </w:p>
    <w:p w14:paraId="1EA10883">
      <w:pPr>
        <w:jc w:val="left"/>
        <w:rPr>
          <w:rFonts w:hint="eastAsia" w:ascii="宋体" w:hAnsi="宋体"/>
          <w:color w:val="auto"/>
          <w:highlight w:val="none"/>
        </w:rPr>
      </w:pPr>
    </w:p>
    <w:p w14:paraId="694B88E8">
      <w:pPr>
        <w:jc w:val="left"/>
        <w:rPr>
          <w:rFonts w:hint="eastAsia" w:ascii="宋体" w:hAnsi="宋体"/>
          <w:color w:val="auto"/>
          <w:highlight w:val="none"/>
        </w:rPr>
      </w:pPr>
    </w:p>
    <w:p w14:paraId="1088A13A">
      <w:pPr>
        <w:jc w:val="left"/>
        <w:rPr>
          <w:rFonts w:hint="eastAsia" w:ascii="宋体" w:hAnsi="宋体"/>
          <w:color w:val="auto"/>
          <w:highlight w:val="none"/>
        </w:rPr>
      </w:pPr>
    </w:p>
    <w:p w14:paraId="2204F463">
      <w:pPr>
        <w:jc w:val="left"/>
        <w:rPr>
          <w:rFonts w:hint="eastAsia" w:ascii="宋体" w:hAnsi="宋体"/>
          <w:color w:val="auto"/>
          <w:highlight w:val="none"/>
        </w:rPr>
      </w:pPr>
    </w:p>
    <w:p w14:paraId="53B2F720">
      <w:pPr>
        <w:jc w:val="left"/>
        <w:rPr>
          <w:rFonts w:hint="eastAsia" w:ascii="宋体" w:hAnsi="宋体"/>
          <w:color w:val="auto"/>
          <w:highlight w:val="none"/>
        </w:rPr>
      </w:pPr>
    </w:p>
    <w:p w14:paraId="2B6382B4">
      <w:pPr>
        <w:jc w:val="left"/>
        <w:rPr>
          <w:rFonts w:hint="eastAsia" w:ascii="宋体" w:hAnsi="宋体"/>
          <w:color w:val="auto"/>
          <w:highlight w:val="none"/>
        </w:rPr>
      </w:pPr>
    </w:p>
    <w:p w14:paraId="15351102">
      <w:pPr>
        <w:jc w:val="left"/>
        <w:rPr>
          <w:rFonts w:hint="eastAsia" w:ascii="宋体" w:hAnsi="宋体"/>
          <w:color w:val="auto"/>
          <w:highlight w:val="none"/>
        </w:rPr>
      </w:pPr>
    </w:p>
    <w:p w14:paraId="64DA1278">
      <w:pPr>
        <w:jc w:val="left"/>
        <w:rPr>
          <w:rFonts w:hint="eastAsia" w:ascii="宋体" w:hAnsi="宋体"/>
          <w:color w:val="auto"/>
          <w:highlight w:val="none"/>
        </w:rPr>
      </w:pPr>
    </w:p>
    <w:p w14:paraId="5AFAF1D5">
      <w:pPr>
        <w:jc w:val="left"/>
        <w:rPr>
          <w:rFonts w:hint="eastAsia" w:ascii="宋体" w:hAnsi="宋体"/>
          <w:color w:val="auto"/>
          <w:highlight w:val="none"/>
        </w:rPr>
      </w:pPr>
    </w:p>
    <w:p w14:paraId="4CB22F3C">
      <w:pPr>
        <w:jc w:val="left"/>
        <w:rPr>
          <w:rFonts w:hint="eastAsia" w:ascii="宋体" w:hAnsi="宋体"/>
          <w:color w:val="auto"/>
          <w:highlight w:val="none"/>
        </w:rPr>
      </w:pPr>
    </w:p>
    <w:p w14:paraId="3690A768">
      <w:pPr>
        <w:jc w:val="left"/>
        <w:rPr>
          <w:rFonts w:hint="eastAsia" w:ascii="宋体" w:hAnsi="宋体"/>
          <w:color w:val="auto"/>
          <w:highlight w:val="none"/>
        </w:rPr>
      </w:pPr>
    </w:p>
    <w:p w14:paraId="682993E0">
      <w:pPr>
        <w:jc w:val="left"/>
        <w:rPr>
          <w:rFonts w:hint="eastAsia" w:ascii="宋体" w:hAnsi="宋体"/>
          <w:color w:val="auto"/>
          <w:highlight w:val="none"/>
        </w:rPr>
      </w:pPr>
    </w:p>
    <w:p w14:paraId="64A55278">
      <w:pPr>
        <w:jc w:val="left"/>
        <w:rPr>
          <w:rFonts w:hint="eastAsia" w:ascii="宋体" w:hAnsi="宋体"/>
          <w:color w:val="auto"/>
          <w:highlight w:val="none"/>
        </w:rPr>
      </w:pPr>
    </w:p>
    <w:p w14:paraId="537DBAB5">
      <w:pPr>
        <w:jc w:val="left"/>
        <w:rPr>
          <w:rFonts w:hint="eastAsia" w:ascii="宋体" w:hAnsi="宋体"/>
          <w:color w:val="auto"/>
          <w:highlight w:val="none"/>
        </w:rPr>
      </w:pPr>
    </w:p>
    <w:p w14:paraId="62C96F6B">
      <w:pPr>
        <w:jc w:val="left"/>
        <w:rPr>
          <w:rFonts w:hint="eastAsia" w:ascii="宋体" w:hAnsi="宋体"/>
          <w:color w:val="auto"/>
          <w:highlight w:val="none"/>
        </w:rPr>
      </w:pPr>
    </w:p>
    <w:p w14:paraId="1F90BAC4">
      <w:pPr>
        <w:jc w:val="left"/>
        <w:rPr>
          <w:rFonts w:hint="eastAsia" w:ascii="宋体" w:hAnsi="宋体"/>
          <w:color w:val="auto"/>
          <w:highlight w:val="none"/>
        </w:rPr>
      </w:pPr>
    </w:p>
    <w:p w14:paraId="7BDC329B">
      <w:pPr>
        <w:pStyle w:val="2"/>
        <w:spacing w:line="360" w:lineRule="auto"/>
        <w:jc w:val="center"/>
        <w:rPr>
          <w:rFonts w:ascii="宋体" w:hAnsi="宋体"/>
          <w:color w:val="auto"/>
          <w:highlight w:val="none"/>
        </w:rPr>
      </w:pPr>
      <w:r>
        <w:rPr>
          <w:rFonts w:hint="eastAsia" w:ascii="宋体" w:hAnsi="宋体"/>
          <w:color w:val="auto"/>
          <w:highlight w:val="none"/>
        </w:rPr>
        <w:t>第六章 投标文件格式</w:t>
      </w:r>
    </w:p>
    <w:p w14:paraId="41D5D78A">
      <w:pPr>
        <w:spacing w:line="360" w:lineRule="auto"/>
        <w:rPr>
          <w:rFonts w:ascii="宋体" w:hAnsi="宋体"/>
          <w:bCs/>
          <w:color w:val="auto"/>
          <w:sz w:val="44"/>
          <w:highlight w:val="none"/>
        </w:rPr>
      </w:pPr>
    </w:p>
    <w:p w14:paraId="4570693D">
      <w:pPr>
        <w:spacing w:line="360" w:lineRule="auto"/>
        <w:jc w:val="center"/>
        <w:rPr>
          <w:rFonts w:ascii="宋体" w:hAnsi="宋体"/>
          <w:b/>
          <w:color w:val="auto"/>
          <w:sz w:val="72"/>
          <w:highlight w:val="none"/>
        </w:rPr>
      </w:pPr>
      <w:r>
        <w:rPr>
          <w:rFonts w:hint="eastAsia" w:ascii="宋体" w:hAnsi="宋体"/>
          <w:b/>
          <w:color w:val="auto"/>
          <w:sz w:val="72"/>
          <w:highlight w:val="none"/>
        </w:rPr>
        <w:t>投  标  文  件</w:t>
      </w:r>
    </w:p>
    <w:p w14:paraId="316A7CFD">
      <w:pPr>
        <w:spacing w:line="360" w:lineRule="auto"/>
        <w:jc w:val="center"/>
        <w:rPr>
          <w:rFonts w:hint="eastAsia" w:ascii="宋体" w:hAnsi="宋体"/>
          <w:b/>
          <w:color w:val="auto"/>
          <w:sz w:val="28"/>
          <w:szCs w:val="28"/>
          <w:highlight w:val="none"/>
          <w:lang w:eastAsia="zh-CN"/>
        </w:rPr>
      </w:pPr>
    </w:p>
    <w:p w14:paraId="526306D5">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采购包1：肠内营养配制固体饮料包/采购包2：特殊人群固体饮料包/采购包3：益生菌及益生元固体饮料包/采购包4：特殊用途型固体饮料包/采购包5：营养素调整型固体饮料包</w:t>
      </w:r>
      <w:r>
        <w:rPr>
          <w:rFonts w:hint="eastAsia" w:ascii="宋体" w:hAnsi="宋体"/>
          <w:b/>
          <w:color w:val="auto"/>
          <w:sz w:val="28"/>
          <w:szCs w:val="28"/>
          <w:highlight w:val="none"/>
          <w:lang w:eastAsia="zh-CN"/>
        </w:rPr>
        <w:t>）</w:t>
      </w:r>
    </w:p>
    <w:p w14:paraId="17B98F59">
      <w:pPr>
        <w:spacing w:line="360" w:lineRule="auto"/>
        <w:jc w:val="center"/>
        <w:rPr>
          <w:rFonts w:ascii="宋体" w:hAnsi="宋体"/>
          <w:b/>
          <w:color w:val="auto"/>
          <w:sz w:val="72"/>
          <w:highlight w:val="none"/>
        </w:rPr>
      </w:pPr>
    </w:p>
    <w:p w14:paraId="295808A2">
      <w:pPr>
        <w:spacing w:line="360" w:lineRule="auto"/>
        <w:jc w:val="center"/>
        <w:rPr>
          <w:rFonts w:ascii="宋体" w:hAnsi="宋体"/>
          <w:b/>
          <w:color w:val="auto"/>
          <w:sz w:val="36"/>
          <w:highlight w:val="none"/>
        </w:rPr>
      </w:pPr>
    </w:p>
    <w:p w14:paraId="476D83D5">
      <w:pPr>
        <w:spacing w:line="360" w:lineRule="auto"/>
        <w:jc w:val="both"/>
        <w:rPr>
          <w:rFonts w:ascii="宋体" w:hAnsi="宋体"/>
          <w:b/>
          <w:color w:val="auto"/>
          <w:sz w:val="36"/>
          <w:highlight w:val="none"/>
        </w:rPr>
      </w:pPr>
    </w:p>
    <w:p w14:paraId="04F4B45D">
      <w:pPr>
        <w:spacing w:line="360" w:lineRule="auto"/>
        <w:jc w:val="center"/>
        <w:rPr>
          <w:rFonts w:ascii="宋体" w:hAnsi="宋体"/>
          <w:b/>
          <w:color w:val="auto"/>
          <w:sz w:val="36"/>
          <w:highlight w:val="none"/>
        </w:rPr>
      </w:pPr>
    </w:p>
    <w:p w14:paraId="4E03E005">
      <w:pPr>
        <w:spacing w:line="360" w:lineRule="auto"/>
        <w:rPr>
          <w:rFonts w:ascii="宋体" w:hAnsi="宋体"/>
          <w:b/>
          <w:color w:val="auto"/>
          <w:sz w:val="36"/>
          <w:highlight w:val="none"/>
        </w:rPr>
      </w:pPr>
    </w:p>
    <w:p w14:paraId="72B4A282">
      <w:pPr>
        <w:spacing w:line="360" w:lineRule="auto"/>
        <w:jc w:val="center"/>
        <w:rPr>
          <w:rFonts w:ascii="宋体" w:hAnsi="宋体"/>
          <w:b/>
          <w:color w:val="auto"/>
          <w:sz w:val="36"/>
          <w:highlight w:val="none"/>
        </w:rPr>
      </w:pPr>
    </w:p>
    <w:p w14:paraId="027E4964">
      <w:pPr>
        <w:spacing w:line="360" w:lineRule="auto"/>
        <w:ind w:firstLine="1084" w:firstLineChars="300"/>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项 目 名 称：</w:t>
      </w:r>
      <w:r>
        <w:rPr>
          <w:rFonts w:hint="eastAsia" w:ascii="宋体" w:hAnsi="宋体"/>
          <w:b/>
          <w:color w:val="auto"/>
          <w:sz w:val="36"/>
          <w:highlight w:val="none"/>
          <w:u w:val="single"/>
          <w:lang w:val="en-US" w:eastAsia="zh-CN"/>
        </w:rPr>
        <w:t xml:space="preserve">                  </w:t>
      </w:r>
    </w:p>
    <w:p w14:paraId="728D6DA4">
      <w:pPr>
        <w:spacing w:line="360" w:lineRule="auto"/>
        <w:ind w:firstLine="1084" w:firstLineChars="300"/>
        <w:rPr>
          <w:rFonts w:hint="default" w:ascii="宋体" w:hAnsi="宋体" w:eastAsia="宋体"/>
          <w:b/>
          <w:color w:val="auto"/>
          <w:sz w:val="36"/>
          <w:highlight w:val="none"/>
          <w:u w:val="single"/>
          <w:lang w:val="en-US" w:eastAsia="zh-CN"/>
        </w:rPr>
      </w:pPr>
      <w:r>
        <w:rPr>
          <w:rFonts w:hint="eastAsia" w:ascii="宋体" w:hAnsi="宋体"/>
          <w:b/>
          <w:color w:val="auto"/>
          <w:sz w:val="36"/>
          <w:highlight w:val="none"/>
          <w:lang w:val="en-US" w:eastAsia="zh-CN"/>
        </w:rPr>
        <w:t>项 目</w:t>
      </w:r>
      <w:r>
        <w:rPr>
          <w:rFonts w:hint="eastAsia" w:ascii="宋体" w:hAnsi="宋体"/>
          <w:b/>
          <w:color w:val="auto"/>
          <w:sz w:val="36"/>
          <w:highlight w:val="none"/>
        </w:rPr>
        <w:t xml:space="preserve"> 编 号：</w:t>
      </w:r>
      <w:r>
        <w:rPr>
          <w:rFonts w:hint="eastAsia" w:ascii="宋体" w:hAnsi="宋体"/>
          <w:b/>
          <w:color w:val="auto"/>
          <w:sz w:val="36"/>
          <w:highlight w:val="none"/>
          <w:u w:val="single"/>
          <w:lang w:val="en-US" w:eastAsia="zh-CN"/>
        </w:rPr>
        <w:t xml:space="preserve">                  </w:t>
      </w:r>
    </w:p>
    <w:p w14:paraId="0FB1694F">
      <w:pPr>
        <w:spacing w:line="360" w:lineRule="auto"/>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lang w:val="en-US" w:eastAsia="zh-CN"/>
        </w:rPr>
        <w:t xml:space="preserve">                  </w:t>
      </w:r>
    </w:p>
    <w:p w14:paraId="2C13B2C1">
      <w:pPr>
        <w:spacing w:line="360" w:lineRule="auto"/>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 xml:space="preserve">      日      期 ：</w:t>
      </w:r>
      <w:r>
        <w:rPr>
          <w:rFonts w:hint="eastAsia" w:ascii="宋体" w:hAnsi="宋体"/>
          <w:b/>
          <w:color w:val="auto"/>
          <w:sz w:val="36"/>
          <w:highlight w:val="none"/>
          <w:u w:val="single"/>
          <w:lang w:val="en-US" w:eastAsia="zh-CN"/>
        </w:rPr>
        <w:t xml:space="preserve">                  </w:t>
      </w:r>
    </w:p>
    <w:p w14:paraId="5BE79E56">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 xml:space="preserve">投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 xml:space="preserve"> 标  人：</w:t>
      </w:r>
      <w:r>
        <w:rPr>
          <w:rFonts w:hint="eastAsia" w:ascii="宋体" w:hAnsi="宋体"/>
          <w:b/>
          <w:color w:val="auto"/>
          <w:sz w:val="36"/>
          <w:highlight w:val="none"/>
          <w:u w:val="single"/>
          <w:lang w:val="en-US" w:eastAsia="zh-CN"/>
        </w:rPr>
        <w:t xml:space="preserve">           </w:t>
      </w:r>
      <w:r>
        <w:rPr>
          <w:rFonts w:hint="eastAsia" w:ascii="宋体" w:hAnsi="宋体"/>
          <w:b/>
          <w:color w:val="auto"/>
          <w:sz w:val="36"/>
          <w:highlight w:val="none"/>
        </w:rPr>
        <w:t>（公章）</w:t>
      </w:r>
    </w:p>
    <w:p w14:paraId="0B15F3E4">
      <w:pPr>
        <w:spacing w:line="360" w:lineRule="auto"/>
        <w:jc w:val="center"/>
        <w:rPr>
          <w:rFonts w:ascii="宋体" w:hAnsi="宋体"/>
          <w:b/>
          <w:bCs/>
          <w:color w:val="auto"/>
          <w:sz w:val="32"/>
          <w:szCs w:val="32"/>
          <w:highlight w:val="none"/>
        </w:rPr>
      </w:pPr>
    </w:p>
    <w:p w14:paraId="326A73B9">
      <w:pPr>
        <w:spacing w:line="360" w:lineRule="auto"/>
        <w:jc w:val="center"/>
        <w:rPr>
          <w:rFonts w:ascii="宋体" w:hAnsi="宋体"/>
          <w:b/>
          <w:bCs/>
          <w:color w:val="auto"/>
          <w:sz w:val="32"/>
          <w:szCs w:val="32"/>
          <w:highlight w:val="none"/>
        </w:rPr>
      </w:pPr>
    </w:p>
    <w:p w14:paraId="2E8614B9">
      <w:pPr>
        <w:spacing w:line="360" w:lineRule="auto"/>
        <w:rPr>
          <w:rFonts w:ascii="宋体" w:hAnsi="宋体"/>
          <w:b/>
          <w:bCs/>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p>
    <w:p w14:paraId="658A5FE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7CAB33E1">
      <w:pPr>
        <w:spacing w:line="360" w:lineRule="auto"/>
        <w:jc w:val="center"/>
        <w:rPr>
          <w:rFonts w:ascii="宋体" w:hAnsi="宋体"/>
          <w:b/>
          <w:bCs/>
          <w:color w:val="auto"/>
          <w:sz w:val="32"/>
          <w:szCs w:val="32"/>
          <w:highlight w:val="none"/>
        </w:rPr>
      </w:pPr>
    </w:p>
    <w:p w14:paraId="4025209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一、资格审查响应对照表</w:t>
      </w:r>
    </w:p>
    <w:p w14:paraId="4E92352F">
      <w:pPr>
        <w:spacing w:line="360" w:lineRule="auto"/>
        <w:ind w:left="480"/>
        <w:rPr>
          <w:rFonts w:ascii="宋体" w:hAnsi="宋体"/>
          <w:color w:val="auto"/>
          <w:sz w:val="24"/>
          <w:highlight w:val="none"/>
        </w:rPr>
      </w:pPr>
      <w:r>
        <w:rPr>
          <w:rFonts w:hint="eastAsia" w:ascii="宋体" w:hAnsi="宋体"/>
          <w:color w:val="auto"/>
          <w:sz w:val="24"/>
          <w:highlight w:val="none"/>
        </w:rPr>
        <w:t>二、符合性审查响应对照表</w:t>
      </w:r>
    </w:p>
    <w:p w14:paraId="68DFCCA0">
      <w:pPr>
        <w:spacing w:line="360" w:lineRule="auto"/>
        <w:ind w:left="480"/>
        <w:rPr>
          <w:rFonts w:ascii="宋体" w:hAnsi="宋体"/>
          <w:color w:val="5B9BD5" w:themeColor="accent1"/>
          <w:sz w:val="24"/>
          <w:highlight w:val="none"/>
          <w14:textFill>
            <w14:solidFill>
              <w14:schemeClr w14:val="accent1"/>
            </w14:solidFill>
          </w14:textFill>
        </w:rPr>
      </w:pPr>
      <w:r>
        <w:rPr>
          <w:rFonts w:hint="eastAsia" w:ascii="宋体" w:hAnsi="宋体"/>
          <w:color w:val="auto"/>
          <w:sz w:val="24"/>
          <w:highlight w:val="none"/>
        </w:rPr>
        <w:t>三、非实质性响应对照表</w:t>
      </w:r>
    </w:p>
    <w:p w14:paraId="06DDDED9">
      <w:pPr>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color w:val="auto"/>
          <w:sz w:val="24"/>
          <w:highlight w:val="none"/>
          <w:u w:val="single"/>
        </w:rPr>
        <w:t>开标一览表</w:t>
      </w:r>
    </w:p>
    <w:p w14:paraId="063C513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w:t>
      </w:r>
      <w:r>
        <w:rPr>
          <w:rFonts w:hint="eastAsia" w:ascii="宋体" w:hAnsi="宋体"/>
          <w:color w:val="auto"/>
          <w:sz w:val="24"/>
          <w:highlight w:val="none"/>
          <w:lang w:val="en-US" w:eastAsia="zh-CN"/>
        </w:rPr>
        <w:t>分项报价</w:t>
      </w:r>
      <w:r>
        <w:rPr>
          <w:rFonts w:hint="eastAsia" w:ascii="宋体" w:hAnsi="宋体"/>
          <w:color w:val="auto"/>
          <w:sz w:val="24"/>
          <w:highlight w:val="none"/>
        </w:rPr>
        <w:t>表</w:t>
      </w:r>
    </w:p>
    <w:p w14:paraId="0C590E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14:paraId="7AD05FB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七、商务条款响应及偏离表</w:t>
      </w:r>
    </w:p>
    <w:p w14:paraId="632CF748">
      <w:pPr>
        <w:spacing w:line="360" w:lineRule="auto"/>
        <w:ind w:firstLine="480" w:firstLineChars="200"/>
        <w:rPr>
          <w:rFonts w:ascii="宋体" w:hAnsi="宋体"/>
          <w:color w:val="auto"/>
          <w:sz w:val="36"/>
          <w:szCs w:val="36"/>
          <w:highlight w:val="none"/>
        </w:rPr>
      </w:pPr>
      <w:r>
        <w:rPr>
          <w:rFonts w:hint="eastAsia" w:ascii="宋体" w:hAnsi="宋体"/>
          <w:color w:val="auto"/>
          <w:sz w:val="24"/>
          <w:highlight w:val="none"/>
        </w:rPr>
        <w:t>八、其他 （投标人认为有必要提供的声明和文件，如有自拟并自行添加）</w:t>
      </w:r>
    </w:p>
    <w:p w14:paraId="1E70FA51">
      <w:pPr>
        <w:adjustRightInd w:val="0"/>
        <w:spacing w:line="360" w:lineRule="auto"/>
        <w:contextualSpacing/>
        <w:jc w:val="center"/>
        <w:rPr>
          <w:rFonts w:ascii="宋体" w:hAnsi="宋体"/>
          <w:b/>
          <w:color w:val="auto"/>
          <w:sz w:val="72"/>
          <w:highlight w:val="none"/>
        </w:rPr>
      </w:pPr>
    </w:p>
    <w:p w14:paraId="26553F98">
      <w:pPr>
        <w:adjustRightInd w:val="0"/>
        <w:spacing w:line="360" w:lineRule="auto"/>
        <w:contextualSpacing/>
        <w:jc w:val="center"/>
        <w:rPr>
          <w:rFonts w:ascii="宋体" w:hAnsi="宋体"/>
          <w:b/>
          <w:color w:val="auto"/>
          <w:sz w:val="72"/>
          <w:highlight w:val="none"/>
        </w:rPr>
      </w:pPr>
    </w:p>
    <w:p w14:paraId="1BF06AB6">
      <w:pPr>
        <w:adjustRightInd w:val="0"/>
        <w:spacing w:line="360" w:lineRule="auto"/>
        <w:contextualSpacing/>
        <w:jc w:val="center"/>
        <w:rPr>
          <w:rFonts w:ascii="宋体" w:hAnsi="宋体"/>
          <w:b/>
          <w:color w:val="auto"/>
          <w:sz w:val="72"/>
          <w:highlight w:val="none"/>
        </w:rPr>
      </w:pPr>
    </w:p>
    <w:p w14:paraId="31D0DDCD">
      <w:pPr>
        <w:adjustRightInd w:val="0"/>
        <w:spacing w:line="360" w:lineRule="auto"/>
        <w:contextualSpacing/>
        <w:rPr>
          <w:rFonts w:ascii="宋体" w:hAnsi="宋体"/>
          <w:b/>
          <w:color w:val="auto"/>
          <w:sz w:val="36"/>
          <w:highlight w:val="none"/>
        </w:rPr>
      </w:pPr>
    </w:p>
    <w:p w14:paraId="66C2AC85">
      <w:pPr>
        <w:adjustRightInd w:val="0"/>
        <w:spacing w:line="360" w:lineRule="auto"/>
        <w:contextualSpacing/>
        <w:rPr>
          <w:rFonts w:ascii="宋体" w:hAnsi="宋体"/>
          <w:b/>
          <w:color w:val="auto"/>
          <w:sz w:val="36"/>
          <w:highlight w:val="none"/>
        </w:rPr>
      </w:pPr>
    </w:p>
    <w:p w14:paraId="0010ACBE">
      <w:pPr>
        <w:adjustRightInd w:val="0"/>
        <w:spacing w:line="360" w:lineRule="auto"/>
        <w:contextualSpacing/>
        <w:rPr>
          <w:rFonts w:ascii="宋体" w:hAnsi="宋体"/>
          <w:b/>
          <w:color w:val="auto"/>
          <w:sz w:val="36"/>
          <w:highlight w:val="none"/>
        </w:rPr>
      </w:pPr>
    </w:p>
    <w:p w14:paraId="0B2AD9E1">
      <w:pPr>
        <w:adjustRightInd w:val="0"/>
        <w:spacing w:line="360" w:lineRule="auto"/>
        <w:contextualSpacing/>
        <w:rPr>
          <w:rFonts w:ascii="宋体" w:hAnsi="宋体"/>
          <w:b/>
          <w:color w:val="auto"/>
          <w:sz w:val="36"/>
          <w:highlight w:val="none"/>
        </w:rPr>
      </w:pPr>
    </w:p>
    <w:p w14:paraId="08D13E3F">
      <w:pPr>
        <w:adjustRightInd w:val="0"/>
        <w:spacing w:line="360" w:lineRule="auto"/>
        <w:contextualSpacing/>
        <w:rPr>
          <w:rFonts w:ascii="宋体" w:hAnsi="宋体"/>
          <w:b/>
          <w:color w:val="auto"/>
          <w:sz w:val="36"/>
          <w:highlight w:val="none"/>
        </w:rPr>
      </w:pPr>
    </w:p>
    <w:p w14:paraId="09666D84">
      <w:pPr>
        <w:adjustRightInd w:val="0"/>
        <w:spacing w:line="360" w:lineRule="auto"/>
        <w:contextualSpacing/>
        <w:rPr>
          <w:rFonts w:ascii="宋体" w:hAnsi="宋体"/>
          <w:b/>
          <w:color w:val="auto"/>
          <w:sz w:val="36"/>
          <w:highlight w:val="none"/>
        </w:rPr>
      </w:pPr>
    </w:p>
    <w:p w14:paraId="70499A2D">
      <w:pPr>
        <w:adjustRightInd w:val="0"/>
        <w:spacing w:line="360" w:lineRule="auto"/>
        <w:contextualSpacing/>
        <w:rPr>
          <w:rFonts w:ascii="宋体" w:hAnsi="宋体"/>
          <w:b/>
          <w:color w:val="auto"/>
          <w:sz w:val="36"/>
          <w:highlight w:val="none"/>
        </w:rPr>
      </w:pPr>
    </w:p>
    <w:p w14:paraId="58C3DEC6">
      <w:pPr>
        <w:spacing w:line="360" w:lineRule="auto"/>
        <w:rPr>
          <w:rFonts w:ascii="宋体" w:hAnsi="宋体"/>
          <w:b/>
          <w:color w:val="auto"/>
          <w:sz w:val="32"/>
          <w:szCs w:val="32"/>
          <w:highlight w:val="none"/>
        </w:rPr>
      </w:pPr>
    </w:p>
    <w:p w14:paraId="5565461E">
      <w:pPr>
        <w:pStyle w:val="3"/>
        <w:spacing w:line="360" w:lineRule="auto"/>
        <w:rPr>
          <w:rFonts w:ascii="宋体" w:hAnsi="宋体" w:eastAsia="宋体"/>
          <w:b w:val="0"/>
          <w:color w:val="auto"/>
          <w:sz w:val="32"/>
          <w:szCs w:val="32"/>
          <w:highlight w:val="none"/>
        </w:rPr>
      </w:pPr>
      <w:r>
        <w:rPr>
          <w:rFonts w:hint="eastAsia" w:ascii="宋体" w:hAnsi="宋体" w:eastAsia="宋体"/>
          <w:color w:val="auto"/>
          <w:sz w:val="32"/>
          <w:szCs w:val="32"/>
          <w:highlight w:val="none"/>
        </w:rPr>
        <w:br w:type="page"/>
      </w:r>
      <w:r>
        <w:rPr>
          <w:rFonts w:hint="eastAsia" w:ascii="宋体" w:hAnsi="宋体" w:eastAsia="宋体"/>
          <w:color w:val="auto"/>
          <w:sz w:val="32"/>
          <w:highlight w:val="none"/>
        </w:rPr>
        <w:t>一、资格审查响应对照表</w:t>
      </w:r>
    </w:p>
    <w:tbl>
      <w:tblPr>
        <w:tblStyle w:val="23"/>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7C91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vAlign w:val="center"/>
          </w:tcPr>
          <w:p w14:paraId="0F575D70">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5447" w:type="dxa"/>
            <w:vAlign w:val="center"/>
          </w:tcPr>
          <w:p w14:paraId="0BE7016C">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资格审查响应内容</w:t>
            </w:r>
          </w:p>
        </w:tc>
        <w:tc>
          <w:tcPr>
            <w:tcW w:w="2158" w:type="dxa"/>
            <w:vAlign w:val="center"/>
          </w:tcPr>
          <w:p w14:paraId="23C22019">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是否响应</w:t>
            </w:r>
          </w:p>
          <w:p w14:paraId="14D2393B">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（填是或者否）</w:t>
            </w:r>
          </w:p>
        </w:tc>
      </w:tr>
      <w:tr w14:paraId="242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14:paraId="13EA6F11">
            <w:pPr>
              <w:spacing w:line="360" w:lineRule="auto"/>
              <w:rPr>
                <w:rFonts w:ascii="宋体" w:hAnsi="宋体"/>
                <w:b/>
                <w:color w:val="auto"/>
                <w:szCs w:val="21"/>
                <w:highlight w:val="none"/>
              </w:rPr>
            </w:pPr>
            <w:r>
              <w:rPr>
                <w:rFonts w:hint="eastAsia" w:ascii="宋体" w:hAnsi="宋体"/>
                <w:b/>
                <w:color w:val="auto"/>
                <w:szCs w:val="21"/>
                <w:highlight w:val="none"/>
              </w:rPr>
              <w:t>通用资格条件</w:t>
            </w:r>
          </w:p>
        </w:tc>
      </w:tr>
      <w:tr w14:paraId="3267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14:paraId="221ADEBE">
            <w:pPr>
              <w:spacing w:line="360" w:lineRule="auto"/>
              <w:jc w:val="center"/>
              <w:rPr>
                <w:rFonts w:ascii="宋体" w:hAnsi="宋体"/>
                <w:b/>
                <w:color w:val="auto"/>
                <w:szCs w:val="21"/>
                <w:highlight w:val="none"/>
              </w:rPr>
            </w:pPr>
            <w:r>
              <w:rPr>
                <w:rFonts w:hint="eastAsia" w:ascii="宋体" w:hAnsi="宋体"/>
                <w:color w:val="auto"/>
                <w:szCs w:val="21"/>
                <w:highlight w:val="none"/>
              </w:rPr>
              <w:t>1</w:t>
            </w:r>
          </w:p>
        </w:tc>
        <w:tc>
          <w:tcPr>
            <w:tcW w:w="5447" w:type="dxa"/>
            <w:vAlign w:val="center"/>
          </w:tcPr>
          <w:p w14:paraId="3992B5FF">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法人或者其他组织的营业执照等证明文件，自然人的身份证明</w:t>
            </w:r>
            <w:r>
              <w:rPr>
                <w:rFonts w:hint="eastAsia" w:ascii="宋体" w:hAnsi="宋体"/>
                <w:i/>
                <w:iCs/>
                <w:color w:val="auto"/>
                <w:szCs w:val="21"/>
                <w:highlight w:val="none"/>
                <w:u w:val="single"/>
              </w:rPr>
              <w:t>（身份证为正、反面）</w:t>
            </w:r>
          </w:p>
        </w:tc>
        <w:tc>
          <w:tcPr>
            <w:tcW w:w="2158" w:type="dxa"/>
            <w:vAlign w:val="center"/>
          </w:tcPr>
          <w:p w14:paraId="1F85B65C">
            <w:pPr>
              <w:spacing w:line="360" w:lineRule="auto"/>
              <w:rPr>
                <w:rFonts w:ascii="宋体" w:hAnsi="宋体"/>
                <w:b/>
                <w:color w:val="auto"/>
                <w:szCs w:val="21"/>
                <w:highlight w:val="none"/>
              </w:rPr>
            </w:pPr>
          </w:p>
        </w:tc>
      </w:tr>
      <w:tr w14:paraId="1B0A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E280695">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6E03E5F2">
            <w:pPr>
              <w:spacing w:line="440" w:lineRule="exact"/>
              <w:rPr>
                <w:rFonts w:ascii="宋体" w:hAnsi="宋体"/>
                <w:iCs/>
                <w:color w:val="auto"/>
                <w:szCs w:val="21"/>
                <w:highlight w:val="none"/>
              </w:rPr>
            </w:pP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tc>
        <w:tc>
          <w:tcPr>
            <w:tcW w:w="2158" w:type="dxa"/>
            <w:vAlign w:val="center"/>
          </w:tcPr>
          <w:p w14:paraId="79BC68CC">
            <w:pPr>
              <w:spacing w:line="360" w:lineRule="auto"/>
              <w:rPr>
                <w:rFonts w:ascii="宋体" w:hAnsi="宋体"/>
                <w:color w:val="auto"/>
                <w:szCs w:val="21"/>
                <w:highlight w:val="none"/>
              </w:rPr>
            </w:pPr>
          </w:p>
        </w:tc>
      </w:tr>
      <w:tr w14:paraId="45B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076894F">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43D3B96C">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上一年度的财务</w:t>
            </w:r>
            <w:r>
              <w:rPr>
                <w:rFonts w:hint="eastAsia" w:ascii="宋体" w:hAnsi="宋体" w:cs="宋体"/>
                <w:i/>
                <w:iCs/>
                <w:color w:val="auto"/>
                <w:szCs w:val="21"/>
                <w:highlight w:val="none"/>
                <w:u w:val="single"/>
                <w:lang w:val="en-US" w:eastAsia="zh-CN"/>
              </w:rPr>
              <w:t>报告</w:t>
            </w:r>
            <w:r>
              <w:rPr>
                <w:rFonts w:hint="eastAsia" w:ascii="宋体" w:hAnsi="宋体" w:cs="宋体"/>
                <w:i/>
                <w:iCs/>
                <w:color w:val="auto"/>
                <w:szCs w:val="21"/>
                <w:highlight w:val="none"/>
                <w:u w:val="single"/>
              </w:rPr>
              <w:t>情况</w:t>
            </w:r>
            <w:r>
              <w:rPr>
                <w:rFonts w:hint="eastAsia" w:ascii="宋体" w:hAnsi="宋体" w:cs="宋体"/>
                <w:b/>
                <w:bCs/>
                <w:i/>
                <w:iCs/>
                <w:color w:val="auto"/>
                <w:szCs w:val="21"/>
                <w:highlight w:val="none"/>
                <w:u w:val="single"/>
              </w:rPr>
              <w:t>（成立不满一年不需提供）</w:t>
            </w:r>
          </w:p>
        </w:tc>
        <w:tc>
          <w:tcPr>
            <w:tcW w:w="2158" w:type="dxa"/>
            <w:vAlign w:val="center"/>
          </w:tcPr>
          <w:p w14:paraId="64F63E3E">
            <w:pPr>
              <w:spacing w:line="360" w:lineRule="auto"/>
              <w:rPr>
                <w:rFonts w:ascii="宋体" w:hAnsi="宋体"/>
                <w:color w:val="auto"/>
                <w:szCs w:val="21"/>
                <w:highlight w:val="none"/>
              </w:rPr>
            </w:pPr>
          </w:p>
        </w:tc>
      </w:tr>
      <w:tr w14:paraId="49C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2508A6EB">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5476B8BB">
            <w:pPr>
              <w:spacing w:line="360" w:lineRule="auto"/>
              <w:rPr>
                <w:rFonts w:hint="eastAsia" w:ascii="宋体" w:hAnsi="宋体" w:eastAsia="宋体"/>
                <w:iCs/>
                <w:color w:val="auto"/>
                <w:szCs w:val="21"/>
                <w:highlight w:val="none"/>
                <w:lang w:eastAsia="zh-CN"/>
              </w:rPr>
            </w:pPr>
            <w:r>
              <w:rPr>
                <w:rFonts w:hint="eastAsia" w:ascii="宋体" w:hAnsi="宋体" w:cs="宋体"/>
                <w:i/>
                <w:iCs/>
                <w:color w:val="auto"/>
                <w:szCs w:val="21"/>
                <w:highlight w:val="none"/>
                <w:u w:val="single"/>
              </w:rPr>
              <w:t>具备履行合同所必需的设备和专业技术能力的证明材料</w:t>
            </w:r>
          </w:p>
        </w:tc>
        <w:tc>
          <w:tcPr>
            <w:tcW w:w="2158" w:type="dxa"/>
            <w:vAlign w:val="center"/>
          </w:tcPr>
          <w:p w14:paraId="1C4021CE">
            <w:pPr>
              <w:spacing w:line="360" w:lineRule="auto"/>
              <w:rPr>
                <w:rFonts w:ascii="宋体" w:hAnsi="宋体"/>
                <w:color w:val="auto"/>
                <w:szCs w:val="21"/>
                <w:highlight w:val="none"/>
              </w:rPr>
            </w:pPr>
          </w:p>
        </w:tc>
      </w:tr>
      <w:tr w14:paraId="625A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66BF8C0B">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7A90FEF">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参加本次政府采购活动前3年内在经营活动中没有重大违法记录的书面声明</w:t>
            </w:r>
          </w:p>
        </w:tc>
        <w:tc>
          <w:tcPr>
            <w:tcW w:w="2158" w:type="dxa"/>
            <w:vAlign w:val="center"/>
          </w:tcPr>
          <w:p w14:paraId="5DB6EE39">
            <w:pPr>
              <w:spacing w:line="360" w:lineRule="auto"/>
              <w:rPr>
                <w:rFonts w:ascii="宋体" w:hAnsi="宋体"/>
                <w:color w:val="auto"/>
                <w:szCs w:val="21"/>
                <w:highlight w:val="none"/>
              </w:rPr>
            </w:pPr>
          </w:p>
        </w:tc>
      </w:tr>
      <w:tr w14:paraId="48D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D5420EE">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447" w:type="dxa"/>
            <w:vAlign w:val="center"/>
          </w:tcPr>
          <w:p w14:paraId="4D606E69">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highlight w:val="none"/>
                <w:u w:val="single"/>
              </w:rPr>
              <w:t>（投标文件中无需提供证明材料）</w:t>
            </w:r>
          </w:p>
        </w:tc>
        <w:tc>
          <w:tcPr>
            <w:tcW w:w="2158" w:type="dxa"/>
            <w:vAlign w:val="center"/>
          </w:tcPr>
          <w:p w14:paraId="65ADFEBC">
            <w:pPr>
              <w:spacing w:line="360" w:lineRule="auto"/>
              <w:rPr>
                <w:rFonts w:ascii="宋体" w:hAnsi="宋体"/>
                <w:color w:val="auto"/>
                <w:szCs w:val="21"/>
                <w:highlight w:val="none"/>
              </w:rPr>
            </w:pPr>
          </w:p>
        </w:tc>
      </w:tr>
      <w:tr w14:paraId="5E80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6" w:type="dxa"/>
            <w:vAlign w:val="center"/>
          </w:tcPr>
          <w:p w14:paraId="4737B7A2">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447" w:type="dxa"/>
            <w:vAlign w:val="center"/>
          </w:tcPr>
          <w:p w14:paraId="01ED9B8E">
            <w:pPr>
              <w:spacing w:line="360" w:lineRule="auto"/>
              <w:rPr>
                <w:rFonts w:ascii="宋体" w:hAnsi="宋体" w:cs="宋体"/>
                <w:color w:val="auto"/>
                <w:szCs w:val="21"/>
                <w:highlight w:val="none"/>
              </w:rPr>
            </w:pPr>
            <w:r>
              <w:rPr>
                <w:rFonts w:hint="eastAsia" w:ascii="宋体" w:hAnsi="宋体" w:cs="宋体"/>
                <w:i/>
                <w:iCs/>
                <w:color w:val="auto"/>
                <w:szCs w:val="21"/>
                <w:highlight w:val="none"/>
                <w:u w:val="single"/>
              </w:rPr>
              <w:t>供应商信用承诺函</w:t>
            </w:r>
          </w:p>
        </w:tc>
        <w:tc>
          <w:tcPr>
            <w:tcW w:w="2158" w:type="dxa"/>
            <w:vAlign w:val="center"/>
          </w:tcPr>
          <w:p w14:paraId="48E62DFD">
            <w:pPr>
              <w:spacing w:line="360" w:lineRule="auto"/>
              <w:rPr>
                <w:rFonts w:ascii="宋体" w:hAnsi="宋体"/>
                <w:color w:val="auto"/>
                <w:szCs w:val="21"/>
                <w:highlight w:val="none"/>
              </w:rPr>
            </w:pPr>
          </w:p>
        </w:tc>
      </w:tr>
      <w:tr w14:paraId="7D5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14:paraId="45B7641B">
            <w:pPr>
              <w:spacing w:line="360" w:lineRule="auto"/>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292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6" w:type="dxa"/>
            <w:vAlign w:val="center"/>
          </w:tcPr>
          <w:p w14:paraId="2E549883">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447" w:type="dxa"/>
            <w:vAlign w:val="center"/>
          </w:tcPr>
          <w:p w14:paraId="2162B134">
            <w:pPr>
              <w:spacing w:line="360" w:lineRule="auto"/>
              <w:rPr>
                <w:rFonts w:hint="eastAsia" w:ascii="宋体" w:hAnsi="宋体" w:eastAsia="宋体"/>
                <w:color w:val="auto"/>
                <w:highlight w:val="none"/>
                <w:lang w:eastAsia="zh-CN"/>
              </w:rPr>
            </w:pPr>
            <w:r>
              <w:rPr>
                <w:rFonts w:hint="eastAsia" w:ascii="宋体" w:hAnsi="宋体" w:cs="宋体"/>
                <w:i/>
                <w:iCs/>
                <w:color w:val="auto"/>
                <w:szCs w:val="21"/>
                <w:highlight w:val="none"/>
                <w:u w:val="none"/>
                <w:lang w:val="en-US" w:eastAsia="zh-CN"/>
              </w:rPr>
              <w:t>/</w:t>
            </w:r>
          </w:p>
        </w:tc>
        <w:tc>
          <w:tcPr>
            <w:tcW w:w="2158" w:type="dxa"/>
            <w:vAlign w:val="center"/>
          </w:tcPr>
          <w:p w14:paraId="6D820AC9">
            <w:pPr>
              <w:spacing w:line="360" w:lineRule="auto"/>
              <w:rPr>
                <w:rFonts w:ascii="宋体" w:hAnsi="宋体"/>
                <w:color w:val="auto"/>
                <w:szCs w:val="21"/>
                <w:highlight w:val="none"/>
              </w:rPr>
            </w:pPr>
          </w:p>
        </w:tc>
      </w:tr>
      <w:tr w14:paraId="256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383C026">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206A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14:paraId="4D48E3F5">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447" w:type="dxa"/>
            <w:vAlign w:val="center"/>
          </w:tcPr>
          <w:p w14:paraId="3811415E">
            <w:pPr>
              <w:spacing w:line="360" w:lineRule="auto"/>
              <w:rPr>
                <w:rFonts w:hint="eastAsia" w:ascii="宋体" w:hAnsi="宋体" w:eastAsia="宋体"/>
                <w:iCs/>
                <w:color w:val="auto"/>
                <w:szCs w:val="21"/>
                <w:highlight w:val="none"/>
                <w:lang w:val="en-US" w:eastAsia="zh-CN"/>
              </w:rPr>
            </w:pPr>
            <w:r>
              <w:rPr>
                <w:rFonts w:hint="eastAsia" w:ascii="宋体" w:hAnsi="宋体"/>
                <w:iCs/>
                <w:color w:val="auto"/>
                <w:szCs w:val="21"/>
                <w:highlight w:val="none"/>
                <w:lang w:val="en-US" w:eastAsia="zh-CN"/>
              </w:rPr>
              <w:t>/</w:t>
            </w:r>
          </w:p>
        </w:tc>
        <w:tc>
          <w:tcPr>
            <w:tcW w:w="2158" w:type="dxa"/>
            <w:vAlign w:val="center"/>
          </w:tcPr>
          <w:p w14:paraId="01BF8F19">
            <w:pPr>
              <w:spacing w:line="360" w:lineRule="auto"/>
              <w:rPr>
                <w:rFonts w:ascii="宋体" w:hAnsi="宋体"/>
                <w:color w:val="auto"/>
                <w:szCs w:val="21"/>
                <w:highlight w:val="none"/>
              </w:rPr>
            </w:pPr>
          </w:p>
        </w:tc>
      </w:tr>
      <w:tr w14:paraId="5E2D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C513341">
            <w:pPr>
              <w:spacing w:line="360" w:lineRule="auto"/>
              <w:rPr>
                <w:rFonts w:ascii="宋体" w:hAnsi="宋体"/>
                <w:color w:val="auto"/>
                <w:szCs w:val="21"/>
                <w:highlight w:val="none"/>
              </w:rPr>
            </w:pPr>
            <w:r>
              <w:rPr>
                <w:rFonts w:hint="eastAsia" w:ascii="宋体" w:hAnsi="宋体"/>
                <w:b/>
                <w:color w:val="auto"/>
                <w:szCs w:val="21"/>
                <w:highlight w:val="none"/>
              </w:rPr>
              <w:t>其他资格条件</w:t>
            </w:r>
          </w:p>
        </w:tc>
      </w:tr>
      <w:tr w14:paraId="058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233C3D1">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5447" w:type="dxa"/>
            <w:vAlign w:val="center"/>
          </w:tcPr>
          <w:p w14:paraId="3B164754">
            <w:pPr>
              <w:snapToGrid w:val="0"/>
              <w:spacing w:line="360" w:lineRule="auto"/>
              <w:jc w:val="left"/>
              <w:rPr>
                <w:rFonts w:ascii="宋体" w:hAnsi="宋体"/>
                <w:iCs/>
                <w:color w:val="auto"/>
                <w:szCs w:val="21"/>
                <w:highlight w:val="none"/>
              </w:rPr>
            </w:pPr>
            <w:r>
              <w:rPr>
                <w:rFonts w:hint="eastAsia" w:ascii="宋体" w:hAnsi="宋体"/>
                <w:i/>
                <w:iCs w:val="0"/>
                <w:color w:val="auto"/>
                <w:szCs w:val="21"/>
                <w:highlight w:val="none"/>
                <w:u w:val="single"/>
              </w:rPr>
              <w:t>投标函</w:t>
            </w:r>
          </w:p>
        </w:tc>
        <w:tc>
          <w:tcPr>
            <w:tcW w:w="2158" w:type="dxa"/>
            <w:vAlign w:val="center"/>
          </w:tcPr>
          <w:p w14:paraId="3E0C3DA0">
            <w:pPr>
              <w:spacing w:line="360" w:lineRule="auto"/>
              <w:rPr>
                <w:rFonts w:ascii="宋体" w:hAnsi="宋体"/>
                <w:color w:val="auto"/>
                <w:szCs w:val="21"/>
                <w:highlight w:val="none"/>
              </w:rPr>
            </w:pPr>
          </w:p>
        </w:tc>
      </w:tr>
      <w:tr w14:paraId="44C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3ECE04A6">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5447" w:type="dxa"/>
            <w:vAlign w:val="center"/>
          </w:tcPr>
          <w:p w14:paraId="14A3DEEF">
            <w:pPr>
              <w:snapToGrid w:val="0"/>
              <w:spacing w:line="360" w:lineRule="auto"/>
              <w:jc w:val="left"/>
              <w:rPr>
                <w:rFonts w:ascii="宋体" w:hAnsi="宋体"/>
                <w:iCs/>
                <w:color w:val="auto"/>
                <w:szCs w:val="21"/>
                <w:highlight w:val="none"/>
              </w:rPr>
            </w:pPr>
            <w:r>
              <w:rPr>
                <w:rFonts w:hint="eastAsia" w:ascii="宋体" w:hAnsi="宋体"/>
                <w:i/>
                <w:iCs w:val="0"/>
                <w:color w:val="auto"/>
                <w:szCs w:val="21"/>
                <w:highlight w:val="none"/>
                <w:u w:val="single"/>
              </w:rPr>
              <w:t>法人授权书</w:t>
            </w:r>
          </w:p>
        </w:tc>
        <w:tc>
          <w:tcPr>
            <w:tcW w:w="2158" w:type="dxa"/>
            <w:vAlign w:val="center"/>
          </w:tcPr>
          <w:p w14:paraId="45653462">
            <w:pPr>
              <w:spacing w:line="360" w:lineRule="auto"/>
              <w:rPr>
                <w:rFonts w:ascii="宋体" w:hAnsi="宋体"/>
                <w:color w:val="auto"/>
                <w:szCs w:val="21"/>
                <w:highlight w:val="none"/>
              </w:rPr>
            </w:pPr>
          </w:p>
        </w:tc>
      </w:tr>
    </w:tbl>
    <w:p w14:paraId="4472D348">
      <w:pPr>
        <w:spacing w:beforeLines="50" w:afterLines="50" w:line="360" w:lineRule="auto"/>
        <w:ind w:firstLine="1476" w:firstLineChars="700"/>
        <w:rPr>
          <w:rFonts w:ascii="宋体" w:hAnsi="宋体"/>
          <w:b/>
          <w:bCs/>
          <w:color w:val="auto"/>
          <w:highlight w:val="none"/>
        </w:rPr>
      </w:pPr>
    </w:p>
    <w:p w14:paraId="4C9702F3">
      <w:pPr>
        <w:spacing w:beforeLines="50" w:afterLines="50" w:line="360" w:lineRule="auto"/>
        <w:ind w:firstLine="1476" w:firstLineChars="700"/>
        <w:rPr>
          <w:rFonts w:ascii="宋体" w:hAnsi="宋体"/>
          <w:b/>
          <w:bCs/>
          <w:color w:val="auto"/>
          <w:highlight w:val="none"/>
        </w:rPr>
      </w:pPr>
    </w:p>
    <w:p w14:paraId="4A2F7EE8">
      <w:pPr>
        <w:rPr>
          <w:rFonts w:ascii="宋体" w:hAnsi="宋体"/>
          <w:b/>
          <w:bCs/>
          <w:color w:val="auto"/>
          <w:highlight w:val="none"/>
        </w:rPr>
      </w:pPr>
      <w:r>
        <w:rPr>
          <w:rFonts w:ascii="宋体" w:hAnsi="宋体"/>
          <w:b/>
          <w:bCs/>
          <w:color w:val="auto"/>
          <w:highlight w:val="none"/>
        </w:rPr>
        <w:br w:type="page"/>
      </w:r>
    </w:p>
    <w:p w14:paraId="3BBC9994">
      <w:pPr>
        <w:spacing w:beforeLines="50" w:afterLines="50" w:line="360" w:lineRule="auto"/>
        <w:ind w:firstLine="1476" w:firstLineChars="700"/>
        <w:rPr>
          <w:rFonts w:ascii="宋体" w:hAnsi="宋体"/>
          <w:b/>
          <w:bCs/>
          <w:color w:val="auto"/>
          <w:highlight w:val="none"/>
        </w:rPr>
      </w:pPr>
    </w:p>
    <w:p w14:paraId="4217AF40">
      <w:pPr>
        <w:spacing w:beforeLines="50" w:afterLines="50" w:line="360" w:lineRule="auto"/>
        <w:ind w:firstLine="1476" w:firstLineChars="700"/>
        <w:rPr>
          <w:rFonts w:ascii="宋体" w:hAnsi="宋体"/>
          <w:b/>
          <w:bCs/>
          <w:color w:val="auto"/>
          <w:highlight w:val="none"/>
        </w:rPr>
      </w:pPr>
      <w:r>
        <w:rPr>
          <w:rFonts w:hint="eastAsia" w:ascii="宋体" w:hAnsi="宋体"/>
          <w:b/>
          <w:bCs/>
          <w:color w:val="auto"/>
          <w:highlight w:val="none"/>
        </w:rPr>
        <w:t>具备履行合同所必需的设备和专业技术能力的书面声明</w:t>
      </w:r>
    </w:p>
    <w:p w14:paraId="099EBA85">
      <w:pPr>
        <w:spacing w:line="360" w:lineRule="auto"/>
        <w:ind w:firstLine="492"/>
        <w:rPr>
          <w:rFonts w:ascii="宋体" w:hAnsi="宋体"/>
          <w:bCs/>
          <w:color w:val="auto"/>
          <w:szCs w:val="21"/>
          <w:highlight w:val="none"/>
        </w:rPr>
      </w:pPr>
      <w:r>
        <w:rPr>
          <w:rFonts w:hint="eastAsia" w:ascii="宋体" w:hAnsi="宋体"/>
          <w:bCs/>
          <w:color w:val="auto"/>
          <w:szCs w:val="21"/>
          <w:highlight w:val="none"/>
        </w:rPr>
        <w:t>我单位郑重声明：我单位具备履行本项采购合同所必需的设备和专业技术能力，为履行本项采购合同我公司具备如下主要设备和主要专业技术能力：</w:t>
      </w:r>
    </w:p>
    <w:p w14:paraId="4922C7AC">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主要设备有：</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w:t>
      </w:r>
    </w:p>
    <w:p w14:paraId="58FA75D7">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主要专业技术能力有：</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w:t>
      </w:r>
    </w:p>
    <w:p w14:paraId="7F5222CB">
      <w:pPr>
        <w:pStyle w:val="8"/>
        <w:rPr>
          <w:rFonts w:ascii="宋体" w:hAnsi="宋体" w:eastAsia="宋体"/>
          <w:bCs/>
          <w:color w:val="auto"/>
          <w:szCs w:val="21"/>
          <w:highlight w:val="none"/>
        </w:rPr>
      </w:pPr>
    </w:p>
    <w:p w14:paraId="367DF13E">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供应商名称（公章）：</w:t>
      </w:r>
    </w:p>
    <w:p w14:paraId="5F1678D8">
      <w:pPr>
        <w:spacing w:line="360" w:lineRule="auto"/>
        <w:ind w:firstLine="420" w:firstLineChars="200"/>
        <w:rPr>
          <w:rFonts w:hint="default" w:ascii="宋体" w:hAnsi="宋体" w:eastAsia="宋体"/>
          <w:bCs/>
          <w:color w:val="auto"/>
          <w:szCs w:val="21"/>
          <w:highlight w:val="none"/>
          <w:u w:val="single"/>
          <w:lang w:val="en-US" w:eastAsia="zh-CN"/>
        </w:rPr>
      </w:pPr>
      <w:r>
        <w:rPr>
          <w:rFonts w:ascii="宋体" w:hAnsi="宋体"/>
          <w:bCs/>
          <w:color w:val="auto"/>
          <w:szCs w:val="21"/>
          <w:highlight w:val="none"/>
        </w:rPr>
        <w:t>法定代表人或授权代表签字：</w:t>
      </w:r>
      <w:r>
        <w:rPr>
          <w:rFonts w:hint="eastAsia" w:ascii="宋体" w:hAnsi="宋体"/>
          <w:bCs/>
          <w:color w:val="auto"/>
          <w:szCs w:val="21"/>
          <w:highlight w:val="none"/>
          <w:u w:val="single"/>
          <w:lang w:val="en-US" w:eastAsia="zh-CN"/>
        </w:rPr>
        <w:t xml:space="preserve">          </w:t>
      </w:r>
    </w:p>
    <w:p w14:paraId="475B980B">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日</w:t>
      </w:r>
      <w:r>
        <w:rPr>
          <w:rFonts w:hint="eastAsia" w:ascii="宋体" w:hAnsi="宋体"/>
          <w:bCs/>
          <w:color w:val="auto"/>
          <w:szCs w:val="21"/>
          <w:highlight w:val="none"/>
          <w:lang w:val="en-US" w:eastAsia="zh-CN"/>
        </w:rPr>
        <w:t xml:space="preserve">  </w:t>
      </w:r>
      <w:r>
        <w:rPr>
          <w:rFonts w:ascii="宋体" w:hAnsi="宋体"/>
          <w:bCs/>
          <w:color w:val="auto"/>
          <w:szCs w:val="21"/>
          <w:highlight w:val="none"/>
        </w:rPr>
        <w:t>期：</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年</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月</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日</w:t>
      </w:r>
    </w:p>
    <w:p w14:paraId="609FFDBF">
      <w:pPr>
        <w:pStyle w:val="8"/>
        <w:rPr>
          <w:rFonts w:ascii="宋体" w:hAnsi="宋体" w:eastAsia="宋体"/>
          <w:bCs/>
          <w:color w:val="auto"/>
          <w:szCs w:val="21"/>
          <w:highlight w:val="none"/>
        </w:rPr>
      </w:pPr>
    </w:p>
    <w:p w14:paraId="18F84B62">
      <w:pPr>
        <w:adjustRightInd w:val="0"/>
        <w:spacing w:line="360" w:lineRule="auto"/>
        <w:contextualSpacing/>
        <w:rPr>
          <w:rFonts w:ascii="宋体" w:hAnsi="宋体"/>
          <w:b/>
          <w:color w:val="auto"/>
          <w:sz w:val="36"/>
          <w:highlight w:val="none"/>
        </w:rPr>
      </w:pPr>
    </w:p>
    <w:p w14:paraId="5A3044E6">
      <w:pPr>
        <w:adjustRightInd w:val="0"/>
        <w:spacing w:line="360" w:lineRule="auto"/>
        <w:contextualSpacing/>
        <w:rPr>
          <w:rFonts w:ascii="宋体" w:hAnsi="宋体"/>
          <w:b/>
          <w:color w:val="auto"/>
          <w:sz w:val="36"/>
          <w:highlight w:val="none"/>
        </w:rPr>
      </w:pPr>
    </w:p>
    <w:p w14:paraId="32C23ACF">
      <w:pPr>
        <w:pStyle w:val="36"/>
        <w:rPr>
          <w:color w:val="auto"/>
          <w:highlight w:val="none"/>
        </w:rPr>
      </w:pPr>
    </w:p>
    <w:p w14:paraId="1888B853">
      <w:pPr>
        <w:spacing w:line="360" w:lineRule="auto"/>
        <w:jc w:val="center"/>
        <w:rPr>
          <w:rFonts w:ascii="宋体" w:hAnsi="宋体"/>
          <w:b/>
          <w:bCs/>
          <w:color w:val="auto"/>
          <w:highlight w:val="none"/>
        </w:rPr>
      </w:pPr>
      <w:r>
        <w:rPr>
          <w:rFonts w:hint="eastAsia" w:ascii="宋体" w:hAnsi="宋体"/>
          <w:b/>
          <w:bCs/>
          <w:color w:val="auto"/>
          <w:highlight w:val="none"/>
        </w:rPr>
        <w:t>参加本次政府采购活动前 3 年内在经营活动中没有重大违法记录的书面声明</w:t>
      </w:r>
    </w:p>
    <w:p w14:paraId="3E292FD3">
      <w:pPr>
        <w:spacing w:line="360" w:lineRule="auto"/>
        <w:rPr>
          <w:rFonts w:ascii="宋体" w:hAnsi="宋体"/>
          <w:color w:val="auto"/>
          <w:highlight w:val="none"/>
        </w:rPr>
      </w:pPr>
    </w:p>
    <w:p w14:paraId="08B9543A">
      <w:pPr>
        <w:spacing w:afterLines="100" w:line="360" w:lineRule="auto"/>
        <w:jc w:val="center"/>
        <w:rPr>
          <w:rFonts w:ascii="宋体" w:hAnsi="宋体"/>
          <w:b/>
          <w:bCs/>
          <w:color w:val="auto"/>
          <w:highlight w:val="none"/>
        </w:rPr>
      </w:pPr>
      <w:r>
        <w:rPr>
          <w:rFonts w:hint="eastAsia" w:ascii="宋体" w:hAnsi="宋体"/>
          <w:b/>
          <w:bCs/>
          <w:color w:val="auto"/>
          <w:highlight w:val="none"/>
        </w:rPr>
        <w:t>声  明</w:t>
      </w:r>
    </w:p>
    <w:p w14:paraId="2070AC22">
      <w:pPr>
        <w:spacing w:line="360" w:lineRule="auto"/>
        <w:rPr>
          <w:rFonts w:ascii="宋体" w:hAnsi="宋体"/>
          <w:bCs/>
          <w:color w:val="auto"/>
          <w:highlight w:val="none"/>
        </w:rPr>
      </w:pPr>
      <w:r>
        <w:rPr>
          <w:rFonts w:hint="eastAsia" w:ascii="宋体" w:hAnsi="宋体"/>
          <w:bCs/>
          <w:color w:val="auto"/>
          <w:highlight w:val="none"/>
        </w:rPr>
        <w:t>我公司郑重声明：参加本次政府采购活动前 3 年内，我公司在经营活动中没有因违法经营受到刑事处罚或者责令停产停业、吊销许可证或者执照、较大数额罚款等行政处罚。</w:t>
      </w:r>
    </w:p>
    <w:p w14:paraId="740D379F">
      <w:pPr>
        <w:spacing w:line="360" w:lineRule="auto"/>
        <w:rPr>
          <w:rFonts w:hint="eastAsia" w:ascii="宋体" w:hAnsi="宋体"/>
          <w:bCs/>
          <w:color w:val="auto"/>
          <w:highlight w:val="none"/>
        </w:rPr>
      </w:pPr>
      <w:r>
        <w:rPr>
          <w:rFonts w:hint="eastAsia" w:ascii="宋体" w:hAnsi="宋体"/>
          <w:bCs/>
          <w:color w:val="auto"/>
          <w:highlight w:val="none"/>
        </w:rPr>
        <w:t xml:space="preserve">                               </w:t>
      </w:r>
    </w:p>
    <w:p w14:paraId="17361021">
      <w:pPr>
        <w:spacing w:line="360" w:lineRule="auto"/>
        <w:rPr>
          <w:rFonts w:hint="eastAsia" w:ascii="宋体" w:hAnsi="宋体"/>
          <w:bCs/>
          <w:color w:val="auto"/>
          <w:highlight w:val="none"/>
        </w:rPr>
      </w:pPr>
    </w:p>
    <w:p w14:paraId="38BE5EA1">
      <w:pPr>
        <w:spacing w:line="360" w:lineRule="auto"/>
        <w:jc w:val="left"/>
        <w:rPr>
          <w:rFonts w:ascii="宋体" w:hAnsi="宋体"/>
          <w:bCs/>
          <w:color w:val="auto"/>
          <w:highlight w:val="none"/>
        </w:rPr>
      </w:pPr>
      <w:r>
        <w:rPr>
          <w:rFonts w:hint="eastAsia" w:ascii="宋体" w:hAnsi="宋体"/>
          <w:bCs/>
          <w:color w:val="auto"/>
          <w:highlight w:val="none"/>
        </w:rPr>
        <w:t>供应商名称（公章）：</w:t>
      </w:r>
    </w:p>
    <w:p w14:paraId="52EEF67F">
      <w:pPr>
        <w:spacing w:line="360" w:lineRule="auto"/>
        <w:jc w:val="left"/>
        <w:rPr>
          <w:rFonts w:hint="default" w:ascii="宋体" w:hAnsi="宋体" w:eastAsia="宋体"/>
          <w:bCs/>
          <w:color w:val="auto"/>
          <w:highlight w:val="none"/>
          <w:u w:val="single"/>
          <w:lang w:val="en-US" w:eastAsia="zh-CN"/>
        </w:rPr>
      </w:pPr>
      <w:r>
        <w:rPr>
          <w:rFonts w:hint="eastAsia" w:ascii="宋体" w:hAnsi="宋体"/>
          <w:bCs/>
          <w:color w:val="auto"/>
          <w:highlight w:val="none"/>
        </w:rPr>
        <w:t>法定代表人签字：</w:t>
      </w:r>
    </w:p>
    <w:p w14:paraId="0751DDB3">
      <w:pPr>
        <w:spacing w:line="360" w:lineRule="auto"/>
        <w:jc w:val="left"/>
        <w:rPr>
          <w:rFonts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年</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月</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日</w:t>
      </w:r>
    </w:p>
    <w:p w14:paraId="5B44BDFD">
      <w:pPr>
        <w:spacing w:line="360" w:lineRule="auto"/>
        <w:jc w:val="center"/>
        <w:rPr>
          <w:rFonts w:ascii="宋体" w:hAnsi="宋体"/>
          <w:b/>
          <w:bCs/>
          <w:color w:val="auto"/>
          <w:highlight w:val="none"/>
        </w:rPr>
      </w:pPr>
    </w:p>
    <w:p w14:paraId="4A18B175">
      <w:pPr>
        <w:spacing w:line="360" w:lineRule="auto"/>
        <w:jc w:val="center"/>
        <w:rPr>
          <w:rFonts w:ascii="宋体" w:hAnsi="宋体"/>
          <w:b/>
          <w:bCs/>
          <w:color w:val="auto"/>
          <w:highlight w:val="none"/>
        </w:rPr>
      </w:pPr>
    </w:p>
    <w:p w14:paraId="610B2923">
      <w:pPr>
        <w:spacing w:line="360" w:lineRule="auto"/>
        <w:jc w:val="center"/>
        <w:rPr>
          <w:rFonts w:ascii="宋体" w:hAnsi="宋体"/>
          <w:b/>
          <w:bCs/>
          <w:color w:val="auto"/>
          <w:highlight w:val="none"/>
        </w:rPr>
      </w:pPr>
    </w:p>
    <w:p w14:paraId="5DB7D0F2">
      <w:pPr>
        <w:spacing w:line="360" w:lineRule="auto"/>
        <w:jc w:val="both"/>
        <w:rPr>
          <w:rFonts w:ascii="宋体" w:hAnsi="宋体"/>
          <w:b/>
          <w:bCs/>
          <w:color w:val="auto"/>
          <w:highlight w:val="none"/>
        </w:rPr>
      </w:pPr>
    </w:p>
    <w:p w14:paraId="2FB011E4">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14:paraId="61D71526">
      <w:pPr>
        <w:spacing w:line="360" w:lineRule="auto"/>
        <w:rPr>
          <w:rFonts w:ascii="宋体" w:hAnsi="宋体"/>
          <w:color w:val="auto"/>
          <w:szCs w:val="32"/>
          <w:highlight w:val="none"/>
        </w:rPr>
      </w:pPr>
    </w:p>
    <w:p w14:paraId="16E604A1">
      <w:pPr>
        <w:spacing w:line="360" w:lineRule="auto"/>
        <w:rPr>
          <w:rFonts w:ascii="宋体" w:hAnsi="宋体"/>
          <w:color w:val="auto"/>
          <w:szCs w:val="21"/>
          <w:highlight w:val="none"/>
        </w:rPr>
      </w:pPr>
      <w:r>
        <w:rPr>
          <w:rFonts w:hint="eastAsia" w:ascii="宋体" w:hAnsi="宋体"/>
          <w:color w:val="auto"/>
          <w:szCs w:val="21"/>
          <w:highlight w:val="none"/>
        </w:rPr>
        <w:t>承诺主体名称：</w:t>
      </w:r>
    </w:p>
    <w:p w14:paraId="3287D5A1">
      <w:pPr>
        <w:spacing w:line="360" w:lineRule="auto"/>
        <w:rPr>
          <w:rFonts w:ascii="宋体" w:hAnsi="宋体"/>
          <w:color w:val="auto"/>
          <w:szCs w:val="21"/>
          <w:highlight w:val="none"/>
        </w:rPr>
      </w:pPr>
      <w:r>
        <w:rPr>
          <w:rFonts w:hint="eastAsia" w:ascii="宋体" w:hAnsi="宋体"/>
          <w:color w:val="auto"/>
          <w:szCs w:val="21"/>
          <w:highlight w:val="none"/>
        </w:rPr>
        <w:t>统一社会信用代码：</w:t>
      </w:r>
    </w:p>
    <w:p w14:paraId="4C2DC70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为维护公平竞争、规范有序的市场秩序，营造诚实守信的信用环境，共同推进社会信用体系建设完善，树立企业诚信守法形象，本企业对________项目政府采购活动郑重承诺如下</w:t>
      </w:r>
      <w:r>
        <w:rPr>
          <w:rFonts w:hint="eastAsia" w:ascii="宋体" w:hAnsi="宋体"/>
          <w:color w:val="auto"/>
          <w:szCs w:val="21"/>
          <w:highlight w:val="none"/>
          <w:lang w:eastAsia="zh-CN"/>
        </w:rPr>
        <w:t>：</w:t>
      </w:r>
    </w:p>
    <w:p w14:paraId="253DD3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2989A7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454258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4CBB02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36F3BC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5226F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6C78CA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429E03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3301EE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4D6BEF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十、本承诺书自签订之日起生效。</w:t>
      </w:r>
    </w:p>
    <w:p w14:paraId="3349CD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7D583D0C">
      <w:pPr>
        <w:spacing w:line="360" w:lineRule="auto"/>
        <w:rPr>
          <w:rFonts w:ascii="宋体" w:hAnsi="宋体"/>
          <w:color w:val="auto"/>
          <w:szCs w:val="21"/>
          <w:highlight w:val="none"/>
        </w:rPr>
      </w:pPr>
    </w:p>
    <w:p w14:paraId="7BEA9C15">
      <w:pPr>
        <w:spacing w:line="360" w:lineRule="auto"/>
        <w:jc w:val="right"/>
        <w:rPr>
          <w:rFonts w:ascii="宋体" w:hAnsi="宋体"/>
          <w:color w:val="auto"/>
          <w:szCs w:val="21"/>
          <w:highlight w:val="none"/>
        </w:rPr>
      </w:pPr>
      <w:r>
        <w:rPr>
          <w:rFonts w:hint="eastAsia" w:ascii="宋体" w:hAnsi="宋体"/>
          <w:color w:val="auto"/>
          <w:szCs w:val="21"/>
          <w:highlight w:val="none"/>
        </w:rPr>
        <w:t>承诺单位（签章）：</w:t>
      </w:r>
    </w:p>
    <w:p w14:paraId="7B868974">
      <w:pPr>
        <w:spacing w:line="360" w:lineRule="auto"/>
        <w:jc w:val="right"/>
        <w:rPr>
          <w:rFonts w:ascii="宋体" w:hAnsi="宋体"/>
          <w:color w:val="auto"/>
          <w:szCs w:val="21"/>
          <w:highlight w:val="none"/>
        </w:rPr>
      </w:pPr>
      <w:r>
        <w:rPr>
          <w:rFonts w:hint="eastAsia" w:ascii="宋体" w:hAnsi="宋体"/>
          <w:color w:val="auto"/>
          <w:szCs w:val="21"/>
          <w:highlight w:val="none"/>
        </w:rPr>
        <w:t>法定代表人（负责人）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签字</w:t>
      </w:r>
      <w:r>
        <w:rPr>
          <w:rFonts w:hint="eastAsia" w:ascii="宋体" w:hAnsi="宋体"/>
          <w:color w:val="auto"/>
          <w:szCs w:val="21"/>
          <w:highlight w:val="none"/>
          <w:lang w:eastAsia="zh-CN"/>
        </w:rPr>
        <w:t>）</w:t>
      </w:r>
      <w:r>
        <w:rPr>
          <w:rFonts w:hint="eastAsia" w:ascii="宋体" w:hAnsi="宋体"/>
          <w:color w:val="auto"/>
          <w:szCs w:val="21"/>
          <w:highlight w:val="none"/>
        </w:rPr>
        <w:t>：</w:t>
      </w:r>
    </w:p>
    <w:p w14:paraId="3BA15A19">
      <w:pPr>
        <w:spacing w:line="360" w:lineRule="auto"/>
        <w:jc w:val="right"/>
        <w:rPr>
          <w:rFonts w:ascii="宋体" w:hAnsi="宋体"/>
          <w:color w:val="auto"/>
          <w:szCs w:val="21"/>
          <w:highlight w:val="none"/>
        </w:rPr>
      </w:pPr>
      <w:r>
        <w:rPr>
          <w:rFonts w:hint="eastAsia" w:ascii="宋体" w:hAnsi="宋体"/>
          <w:color w:val="auto"/>
          <w:szCs w:val="21"/>
          <w:highlight w:val="none"/>
        </w:rPr>
        <w:t>年  月  日</w:t>
      </w:r>
    </w:p>
    <w:p w14:paraId="5920BD8F">
      <w:pPr>
        <w:spacing w:line="360" w:lineRule="auto"/>
        <w:rPr>
          <w:rFonts w:hint="eastAsia" w:ascii="宋体" w:hAnsi="宋体"/>
          <w:b/>
          <w:bCs/>
          <w:color w:val="auto"/>
          <w:highlight w:val="none"/>
        </w:rPr>
      </w:pPr>
      <w:r>
        <w:rPr>
          <w:rFonts w:hint="eastAsia" w:ascii="宋体" w:hAnsi="宋体"/>
          <w:b/>
          <w:bCs/>
          <w:color w:val="auto"/>
          <w:highlight w:val="none"/>
        </w:rPr>
        <w:br w:type="page"/>
      </w:r>
    </w:p>
    <w:p w14:paraId="6061433A">
      <w:pPr>
        <w:pStyle w:val="22"/>
        <w:ind w:left="0" w:leftChars="0" w:firstLine="0" w:firstLineChars="0"/>
        <w:rPr>
          <w:rFonts w:hint="eastAsia"/>
          <w:highlight w:val="none"/>
        </w:rPr>
      </w:pPr>
    </w:p>
    <w:p w14:paraId="7439BF5C">
      <w:pPr>
        <w:spacing w:line="360" w:lineRule="auto"/>
        <w:jc w:val="center"/>
        <w:rPr>
          <w:rFonts w:ascii="宋体" w:hAnsi="宋体"/>
          <w:b/>
          <w:bCs/>
          <w:color w:val="auto"/>
          <w:highlight w:val="none"/>
        </w:rPr>
      </w:pPr>
      <w:r>
        <w:rPr>
          <w:rFonts w:hint="eastAsia" w:ascii="宋体" w:hAnsi="宋体"/>
          <w:b/>
          <w:bCs/>
          <w:color w:val="auto"/>
          <w:highlight w:val="none"/>
        </w:rPr>
        <w:t>投标函格式</w:t>
      </w:r>
    </w:p>
    <w:p w14:paraId="6F8910BB">
      <w:pPr>
        <w:pStyle w:val="37"/>
        <w:spacing w:before="0"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致：</w:t>
      </w:r>
      <w:r>
        <w:rPr>
          <w:rFonts w:hint="eastAsia" w:ascii="宋体" w:hAnsi="宋体"/>
          <w:color w:val="auto"/>
          <w:kern w:val="2"/>
          <w:sz w:val="21"/>
          <w:szCs w:val="21"/>
          <w:highlight w:val="none"/>
          <w:lang w:eastAsia="zh-CN"/>
        </w:rPr>
        <w:t>江苏省鼎诚建设工程顾问有限公司</w:t>
      </w:r>
    </w:p>
    <w:p w14:paraId="068805CA">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根据贵方的（</w:t>
      </w:r>
      <w:r>
        <w:rPr>
          <w:rFonts w:hint="eastAsia" w:ascii="宋体" w:hAnsi="宋体"/>
          <w:color w:val="auto"/>
          <w:kern w:val="2"/>
          <w:sz w:val="21"/>
          <w:szCs w:val="21"/>
          <w:highlight w:val="none"/>
          <w:lang w:val="en-US" w:eastAsia="zh-CN"/>
        </w:rPr>
        <w:t xml:space="preserve">      </w:t>
      </w:r>
      <w:r>
        <w:rPr>
          <w:rFonts w:hint="eastAsia" w:ascii="宋体" w:hAnsi="宋体"/>
          <w:color w:val="auto"/>
          <w:kern w:val="2"/>
          <w:sz w:val="21"/>
          <w:szCs w:val="21"/>
          <w:highlight w:val="none"/>
        </w:rPr>
        <w:t>）号招标文件，正式授权下述签字人___________(姓名)代表我方______________（投标人的名称），全权处理本次项目投标的有关事宜。</w:t>
      </w:r>
    </w:p>
    <w:p w14:paraId="0B8F0EA5">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据此函，__________签字人（姓名）兹宣布同意如下：</w:t>
      </w:r>
    </w:p>
    <w:p w14:paraId="189EBB3E">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1.按招标文件规定的各项要求，向买方提供所需货物与服务。</w:t>
      </w:r>
    </w:p>
    <w:p w14:paraId="56CDA4BD">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2.我们完全理解贵方不一定将合同授予最低报价的投标人。</w:t>
      </w:r>
    </w:p>
    <w:p w14:paraId="30769CD0">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3.我们已详细审核全部招标文件及其有效补充文件，我们知道必须放弃提出含糊不清或误解问题的权利。</w:t>
      </w:r>
    </w:p>
    <w:p w14:paraId="249DF03D">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4.我们同意从规定的开标日期起遵循本投标文件，并在规定的投标有效期期满之前均具有约束力。</w:t>
      </w:r>
    </w:p>
    <w:p w14:paraId="684C1417">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5.同意向贵方提供贵方可能另外要求的与投标有关的任何证据或资料，并保证我方已提供和将要提供的文件是真实的、准确的。</w:t>
      </w:r>
    </w:p>
    <w:p w14:paraId="0D86DEE7">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6.一旦我方中标,我方将根据招标文件的规定，严格履行合同的责任和义务,并保证在招标文件规定的时间完成项目，交付买方验收、使用。</w:t>
      </w:r>
    </w:p>
    <w:p w14:paraId="5C312528">
      <w:pPr>
        <w:pStyle w:val="37"/>
        <w:spacing w:before="0" w:after="0"/>
        <w:ind w:left="425" w:firstLine="105" w:firstLineChars="50"/>
        <w:rPr>
          <w:rFonts w:ascii="宋体" w:hAnsi="宋体"/>
          <w:color w:val="auto"/>
          <w:kern w:val="2"/>
          <w:sz w:val="21"/>
          <w:szCs w:val="21"/>
          <w:highlight w:val="none"/>
        </w:rPr>
      </w:pPr>
      <w:r>
        <w:rPr>
          <w:rFonts w:hint="eastAsia" w:ascii="宋体" w:hAnsi="宋体"/>
          <w:color w:val="auto"/>
          <w:kern w:val="2"/>
          <w:sz w:val="21"/>
          <w:szCs w:val="21"/>
          <w:highlight w:val="none"/>
        </w:rPr>
        <w:t>7.与本投标有关的正式通讯地址为：</w:t>
      </w:r>
    </w:p>
    <w:p w14:paraId="68CE1349">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地 址：</w:t>
      </w:r>
    </w:p>
    <w:p w14:paraId="077B364C">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邮 编：</w:t>
      </w:r>
    </w:p>
    <w:p w14:paraId="554365AB">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电 话： </w:t>
      </w:r>
    </w:p>
    <w:p w14:paraId="453E3CA3">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传 真： </w:t>
      </w:r>
    </w:p>
    <w:p w14:paraId="7370D5C6">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投标人开户行：</w:t>
      </w:r>
    </w:p>
    <w:p w14:paraId="097F215D">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账 户： </w:t>
      </w:r>
    </w:p>
    <w:p w14:paraId="6D7CC194">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行 号：</w:t>
      </w:r>
    </w:p>
    <w:p w14:paraId="65D38C69">
      <w:pPr>
        <w:pStyle w:val="37"/>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法定代表人或授权代表（签字）：</w:t>
      </w:r>
    </w:p>
    <w:p w14:paraId="04D8F8D7">
      <w:pPr>
        <w:pStyle w:val="37"/>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投标人名称（公章）：</w:t>
      </w:r>
    </w:p>
    <w:p w14:paraId="7B78041A">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日 期：______年____月____日</w:t>
      </w:r>
    </w:p>
    <w:p w14:paraId="05C525ED">
      <w:pPr>
        <w:adjustRightInd w:val="0"/>
        <w:spacing w:line="360" w:lineRule="auto"/>
        <w:contextualSpacing/>
        <w:rPr>
          <w:rFonts w:ascii="宋体" w:hAnsi="宋体"/>
          <w:b/>
          <w:bCs/>
          <w:color w:val="auto"/>
          <w:sz w:val="32"/>
          <w:szCs w:val="32"/>
          <w:highlight w:val="none"/>
        </w:rPr>
      </w:pPr>
    </w:p>
    <w:p w14:paraId="295F0F93">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523831">
      <w:pPr>
        <w:pStyle w:val="38"/>
        <w:spacing w:afterLines="100"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14:paraId="07E99016">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（项目编号）号</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（项目名称）项目采购活动的合法代理人，以本公司名义全权处理一切与该项目采购有关的事务。</w:t>
      </w:r>
    </w:p>
    <w:p w14:paraId="3FDAF64F">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14:paraId="5F559F50">
      <w:pPr>
        <w:pStyle w:val="38"/>
        <w:spacing w:line="360" w:lineRule="auto"/>
        <w:ind w:firstLine="0" w:firstLineChars="0"/>
        <w:rPr>
          <w:rFonts w:ascii="宋体" w:hAnsi="宋体"/>
          <w:color w:val="auto"/>
          <w:sz w:val="21"/>
          <w:szCs w:val="21"/>
          <w:highlight w:val="none"/>
        </w:rPr>
      </w:pPr>
    </w:p>
    <w:p w14:paraId="42D50D87">
      <w:pPr>
        <w:pStyle w:val="38"/>
        <w:spacing w:line="360" w:lineRule="auto"/>
        <w:ind w:firstLine="420"/>
        <w:rPr>
          <w:rFonts w:ascii="宋体" w:hAnsi="宋体"/>
          <w:color w:val="auto"/>
          <w:sz w:val="21"/>
          <w:szCs w:val="21"/>
          <w:highlight w:val="none"/>
        </w:rPr>
      </w:pPr>
      <w:r>
        <w:rPr>
          <w:rFonts w:ascii="宋体" w:hAnsi="宋体"/>
          <w:color w:val="auto"/>
          <w:sz w:val="21"/>
          <w:szCs w:val="21"/>
          <w:highlight w:val="none"/>
        </w:rPr>
        <w:t>被授权人签字：_______________________</w:t>
      </w:r>
    </w:p>
    <w:p w14:paraId="492D55C4">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lang w:val="en-US" w:eastAsia="zh-CN"/>
        </w:rPr>
        <w:t xml:space="preserve">                   </w:t>
      </w:r>
    </w:p>
    <w:p w14:paraId="5E940C41">
      <w:pPr>
        <w:pStyle w:val="38"/>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单位名称：</w:t>
      </w:r>
      <w:r>
        <w:rPr>
          <w:rFonts w:ascii="宋体" w:hAnsi="宋体"/>
          <w:color w:val="auto"/>
          <w:sz w:val="21"/>
          <w:szCs w:val="21"/>
          <w:highlight w:val="none"/>
        </w:rPr>
        <w:t>___________________________</w:t>
      </w:r>
    </w:p>
    <w:p w14:paraId="41E85BF3">
      <w:pPr>
        <w:pStyle w:val="38"/>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w:t>
      </w:r>
    </w:p>
    <w:p w14:paraId="38D8683A">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单位地址：</w:t>
      </w:r>
      <w:r>
        <w:rPr>
          <w:rFonts w:hint="eastAsia" w:ascii="宋体" w:hAnsi="宋体"/>
          <w:color w:val="auto"/>
          <w:sz w:val="21"/>
          <w:szCs w:val="21"/>
          <w:highlight w:val="none"/>
          <w:u w:val="single"/>
          <w:lang w:val="en-US" w:eastAsia="zh-CN"/>
        </w:rPr>
        <w:t xml:space="preserve">                           </w:t>
      </w:r>
    </w:p>
    <w:p w14:paraId="49D9DF13">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日期：</w:t>
      </w:r>
      <w:r>
        <w:rPr>
          <w:rFonts w:hint="eastAsia" w:ascii="宋体" w:hAnsi="宋体"/>
          <w:color w:val="auto"/>
          <w:sz w:val="21"/>
          <w:szCs w:val="21"/>
          <w:highlight w:val="none"/>
          <w:u w:val="single"/>
          <w:lang w:val="en-US" w:eastAsia="zh-CN"/>
        </w:rPr>
        <w:t xml:space="preserve">                               </w:t>
      </w:r>
    </w:p>
    <w:p w14:paraId="0CBD7831">
      <w:pPr>
        <w:spacing w:line="360" w:lineRule="auto"/>
        <w:rPr>
          <w:rFonts w:ascii="宋体" w:hAnsi="宋体"/>
          <w:bCs/>
          <w:color w:val="auto"/>
          <w:highlight w:val="none"/>
        </w:rPr>
      </w:pPr>
    </w:p>
    <w:p w14:paraId="1EBF2685">
      <w:pPr>
        <w:spacing w:before="156" w:after="156" w:line="360" w:lineRule="auto"/>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法定代表人身份证正反面：</w:t>
      </w:r>
    </w:p>
    <w:p w14:paraId="59000801">
      <w:pPr>
        <w:pStyle w:val="22"/>
        <w:rPr>
          <w:rFonts w:hint="eastAsia" w:ascii="宋体" w:hAnsi="宋体"/>
          <w:color w:val="auto"/>
          <w:kern w:val="0"/>
          <w:sz w:val="21"/>
          <w:szCs w:val="21"/>
          <w:highlight w:val="none"/>
        </w:rPr>
      </w:pPr>
    </w:p>
    <w:p w14:paraId="1FA633C8">
      <w:pPr>
        <w:pStyle w:val="22"/>
        <w:rPr>
          <w:rFonts w:hint="eastAsia" w:ascii="宋体" w:hAnsi="宋体"/>
          <w:color w:val="auto"/>
          <w:kern w:val="0"/>
          <w:sz w:val="21"/>
          <w:szCs w:val="21"/>
          <w:highlight w:val="none"/>
        </w:rPr>
      </w:pPr>
    </w:p>
    <w:p w14:paraId="2D343F1D">
      <w:pPr>
        <w:pStyle w:val="22"/>
        <w:ind w:left="0" w:leftChars="0" w:firstLine="0" w:firstLineChars="0"/>
        <w:rPr>
          <w:rFonts w:hint="eastAsia" w:ascii="宋体" w:hAnsi="宋体"/>
          <w:color w:val="auto"/>
          <w:kern w:val="0"/>
          <w:sz w:val="21"/>
          <w:szCs w:val="21"/>
          <w:highlight w:val="none"/>
        </w:rPr>
      </w:pPr>
      <w:r>
        <w:rPr>
          <w:rFonts w:hint="eastAsia" w:ascii="宋体" w:hAnsi="宋体"/>
          <w:color w:val="auto"/>
          <w:kern w:val="0"/>
          <w:sz w:val="21"/>
          <w:szCs w:val="21"/>
          <w:highlight w:val="none"/>
        </w:rPr>
        <w:t>被授权人身份证正反面：</w:t>
      </w:r>
    </w:p>
    <w:p w14:paraId="0AFA34DD">
      <w:pPr>
        <w:spacing w:line="360" w:lineRule="auto"/>
        <w:rPr>
          <w:rFonts w:ascii="宋体" w:hAnsi="宋体"/>
          <w:bCs/>
          <w:color w:val="auto"/>
          <w:sz w:val="24"/>
          <w:highlight w:val="none"/>
        </w:rPr>
      </w:pPr>
    </w:p>
    <w:p w14:paraId="3DC83A60">
      <w:pPr>
        <w:spacing w:line="360" w:lineRule="auto"/>
        <w:ind w:firstLine="420" w:firstLineChars="200"/>
        <w:rPr>
          <w:rFonts w:ascii="宋体" w:hAnsi="宋体"/>
          <w:bCs/>
          <w:color w:val="auto"/>
          <w:highlight w:val="none"/>
        </w:rPr>
        <w:sectPr>
          <w:pgSz w:w="11906" w:h="16838"/>
          <w:pgMar w:top="1440" w:right="1800" w:bottom="1440" w:left="1800" w:header="1191" w:footer="992" w:gutter="0"/>
          <w:pgNumType w:fmt="decimal"/>
          <w:cols w:space="720" w:num="1"/>
          <w:docGrid w:type="lines" w:linePitch="312" w:charSpace="0"/>
        </w:sectPr>
      </w:pPr>
    </w:p>
    <w:p w14:paraId="7C8C5804">
      <w:pPr>
        <w:pStyle w:val="3"/>
        <w:spacing w:line="360" w:lineRule="auto"/>
        <w:rPr>
          <w:rFonts w:ascii="宋体" w:hAnsi="宋体"/>
          <w:b/>
          <w:color w:val="auto"/>
          <w:sz w:val="32"/>
          <w:szCs w:val="32"/>
          <w:highlight w:val="none"/>
        </w:rPr>
      </w:pPr>
      <w:r>
        <w:rPr>
          <w:rFonts w:hint="eastAsia" w:ascii="宋体" w:hAnsi="宋体" w:eastAsia="宋体"/>
          <w:color w:val="auto"/>
          <w:sz w:val="32"/>
          <w:highlight w:val="none"/>
        </w:rPr>
        <w:t>二、符合性审查响应对照表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64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8969A5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5F72ABA3">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符合性审查响应内容</w:t>
            </w:r>
          </w:p>
        </w:tc>
        <w:tc>
          <w:tcPr>
            <w:tcW w:w="1680" w:type="dxa"/>
            <w:vAlign w:val="center"/>
          </w:tcPr>
          <w:p w14:paraId="4FF7BA6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484FC19">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6DBE5C97">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响应情况</w:t>
            </w:r>
          </w:p>
        </w:tc>
      </w:tr>
      <w:tr w14:paraId="4BC9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192B6A9">
            <w:pPr>
              <w:spacing w:line="360" w:lineRule="auto"/>
              <w:jc w:val="center"/>
              <w:rPr>
                <w:rFonts w:ascii="宋体" w:hAnsi="宋体"/>
                <w:b w:val="0"/>
                <w:bCs/>
                <w:color w:val="auto"/>
                <w:szCs w:val="21"/>
                <w:highlight w:val="none"/>
              </w:rPr>
            </w:pPr>
            <w:r>
              <w:rPr>
                <w:rFonts w:hint="eastAsia" w:ascii="宋体" w:hAnsi="宋体"/>
                <w:b w:val="0"/>
                <w:bCs/>
                <w:color w:val="auto"/>
                <w:szCs w:val="21"/>
                <w:highlight w:val="none"/>
              </w:rPr>
              <w:t>1</w:t>
            </w:r>
          </w:p>
        </w:tc>
        <w:tc>
          <w:tcPr>
            <w:tcW w:w="5447" w:type="dxa"/>
            <w:vAlign w:val="center"/>
          </w:tcPr>
          <w:p w14:paraId="0E249304">
            <w:pPr>
              <w:spacing w:line="360" w:lineRule="auto"/>
              <w:rPr>
                <w:rFonts w:ascii="宋体" w:hAnsi="宋体"/>
                <w:b w:val="0"/>
                <w:bCs/>
                <w:iCs/>
                <w:color w:val="auto"/>
                <w:szCs w:val="21"/>
                <w:highlight w:val="none"/>
              </w:rPr>
            </w:pPr>
            <w:r>
              <w:rPr>
                <w:rFonts w:hint="eastAsia" w:ascii="宋体" w:hAnsi="宋体"/>
                <w:b w:val="0"/>
                <w:bCs/>
                <w:iCs/>
                <w:color w:val="auto"/>
                <w:szCs w:val="21"/>
                <w:highlight w:val="none"/>
              </w:rPr>
              <w:t>采购需求中必须满足的实质性要求（即加斜体下划线内容，每条详细列出）</w:t>
            </w:r>
          </w:p>
        </w:tc>
        <w:tc>
          <w:tcPr>
            <w:tcW w:w="1680" w:type="dxa"/>
            <w:vAlign w:val="center"/>
          </w:tcPr>
          <w:p w14:paraId="6AA0E6BD">
            <w:pPr>
              <w:spacing w:line="360" w:lineRule="auto"/>
              <w:rPr>
                <w:rFonts w:ascii="宋体" w:hAnsi="宋体"/>
                <w:b w:val="0"/>
                <w:bCs/>
                <w:color w:val="auto"/>
                <w:szCs w:val="21"/>
                <w:highlight w:val="none"/>
              </w:rPr>
            </w:pPr>
          </w:p>
        </w:tc>
        <w:tc>
          <w:tcPr>
            <w:tcW w:w="1308" w:type="dxa"/>
            <w:vAlign w:val="center"/>
          </w:tcPr>
          <w:p w14:paraId="2AA674CE">
            <w:pPr>
              <w:spacing w:line="360" w:lineRule="auto"/>
              <w:rPr>
                <w:rFonts w:ascii="宋体" w:hAnsi="宋体"/>
                <w:b w:val="0"/>
                <w:bCs/>
                <w:color w:val="auto"/>
                <w:szCs w:val="21"/>
                <w:highlight w:val="none"/>
              </w:rPr>
            </w:pPr>
          </w:p>
        </w:tc>
      </w:tr>
      <w:tr w14:paraId="2D8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98CD6DA">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26117C4E">
            <w:pPr>
              <w:spacing w:line="360" w:lineRule="auto"/>
              <w:rPr>
                <w:rFonts w:ascii="宋体" w:hAnsi="宋体"/>
                <w:iCs/>
                <w:color w:val="auto"/>
                <w:szCs w:val="21"/>
                <w:highlight w:val="none"/>
              </w:rPr>
            </w:pPr>
          </w:p>
        </w:tc>
        <w:tc>
          <w:tcPr>
            <w:tcW w:w="1680" w:type="dxa"/>
            <w:vAlign w:val="center"/>
          </w:tcPr>
          <w:p w14:paraId="1780C834">
            <w:pPr>
              <w:spacing w:line="360" w:lineRule="auto"/>
              <w:rPr>
                <w:rFonts w:ascii="宋体" w:hAnsi="宋体"/>
                <w:color w:val="auto"/>
                <w:szCs w:val="21"/>
                <w:highlight w:val="none"/>
              </w:rPr>
            </w:pPr>
          </w:p>
        </w:tc>
        <w:tc>
          <w:tcPr>
            <w:tcW w:w="1308" w:type="dxa"/>
            <w:vAlign w:val="center"/>
          </w:tcPr>
          <w:p w14:paraId="60242469">
            <w:pPr>
              <w:spacing w:line="360" w:lineRule="auto"/>
              <w:rPr>
                <w:rFonts w:ascii="宋体" w:hAnsi="宋体"/>
                <w:color w:val="auto"/>
                <w:szCs w:val="21"/>
                <w:highlight w:val="none"/>
              </w:rPr>
            </w:pPr>
          </w:p>
        </w:tc>
      </w:tr>
      <w:tr w14:paraId="4E2F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863B8E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30CB5643">
            <w:pPr>
              <w:spacing w:line="360" w:lineRule="auto"/>
              <w:rPr>
                <w:rFonts w:ascii="宋体" w:hAnsi="宋体"/>
                <w:iCs/>
                <w:color w:val="auto"/>
                <w:szCs w:val="21"/>
                <w:highlight w:val="none"/>
              </w:rPr>
            </w:pPr>
          </w:p>
        </w:tc>
        <w:tc>
          <w:tcPr>
            <w:tcW w:w="1680" w:type="dxa"/>
            <w:vAlign w:val="center"/>
          </w:tcPr>
          <w:p w14:paraId="1D64079D">
            <w:pPr>
              <w:spacing w:line="360" w:lineRule="auto"/>
              <w:rPr>
                <w:rFonts w:ascii="宋体" w:hAnsi="宋体"/>
                <w:color w:val="auto"/>
                <w:szCs w:val="21"/>
                <w:highlight w:val="none"/>
              </w:rPr>
            </w:pPr>
          </w:p>
        </w:tc>
        <w:tc>
          <w:tcPr>
            <w:tcW w:w="1308" w:type="dxa"/>
            <w:vAlign w:val="center"/>
          </w:tcPr>
          <w:p w14:paraId="2C7785BC">
            <w:pPr>
              <w:spacing w:line="360" w:lineRule="auto"/>
              <w:rPr>
                <w:rFonts w:ascii="宋体" w:hAnsi="宋体"/>
                <w:color w:val="auto"/>
                <w:szCs w:val="21"/>
                <w:highlight w:val="none"/>
              </w:rPr>
            </w:pPr>
          </w:p>
        </w:tc>
      </w:tr>
      <w:tr w14:paraId="390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5E79A70D">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17317729">
            <w:pPr>
              <w:spacing w:line="360" w:lineRule="auto"/>
              <w:rPr>
                <w:rFonts w:ascii="宋体" w:hAnsi="宋体"/>
                <w:iCs/>
                <w:color w:val="auto"/>
                <w:szCs w:val="21"/>
                <w:highlight w:val="none"/>
              </w:rPr>
            </w:pPr>
          </w:p>
        </w:tc>
        <w:tc>
          <w:tcPr>
            <w:tcW w:w="1680" w:type="dxa"/>
            <w:vAlign w:val="center"/>
          </w:tcPr>
          <w:p w14:paraId="331E024A">
            <w:pPr>
              <w:spacing w:line="360" w:lineRule="auto"/>
              <w:rPr>
                <w:rFonts w:ascii="宋体" w:hAnsi="宋体"/>
                <w:color w:val="auto"/>
                <w:szCs w:val="21"/>
                <w:highlight w:val="none"/>
              </w:rPr>
            </w:pPr>
          </w:p>
        </w:tc>
        <w:tc>
          <w:tcPr>
            <w:tcW w:w="1308" w:type="dxa"/>
            <w:vAlign w:val="center"/>
          </w:tcPr>
          <w:p w14:paraId="013E8C07">
            <w:pPr>
              <w:spacing w:line="360" w:lineRule="auto"/>
              <w:rPr>
                <w:rFonts w:ascii="宋体" w:hAnsi="宋体"/>
                <w:color w:val="auto"/>
                <w:szCs w:val="21"/>
                <w:highlight w:val="none"/>
              </w:rPr>
            </w:pPr>
          </w:p>
        </w:tc>
      </w:tr>
      <w:tr w14:paraId="502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B9D465E">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D8B295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753E15AB">
            <w:pPr>
              <w:spacing w:line="360" w:lineRule="auto"/>
              <w:rPr>
                <w:rFonts w:ascii="宋体" w:hAnsi="宋体"/>
                <w:color w:val="auto"/>
                <w:szCs w:val="21"/>
                <w:highlight w:val="none"/>
              </w:rPr>
            </w:pPr>
          </w:p>
        </w:tc>
        <w:tc>
          <w:tcPr>
            <w:tcW w:w="1308" w:type="dxa"/>
            <w:vAlign w:val="center"/>
          </w:tcPr>
          <w:p w14:paraId="2A595E37">
            <w:pPr>
              <w:spacing w:line="360" w:lineRule="auto"/>
              <w:rPr>
                <w:rFonts w:ascii="宋体" w:hAnsi="宋体"/>
                <w:color w:val="auto"/>
                <w:szCs w:val="21"/>
                <w:highlight w:val="none"/>
              </w:rPr>
            </w:pPr>
          </w:p>
        </w:tc>
      </w:tr>
    </w:tbl>
    <w:p w14:paraId="60836F23">
      <w:pPr>
        <w:adjustRightInd w:val="0"/>
        <w:spacing w:line="360" w:lineRule="auto"/>
        <w:contextualSpacing/>
        <w:jc w:val="center"/>
        <w:rPr>
          <w:rFonts w:ascii="宋体" w:hAnsi="宋体"/>
          <w:b/>
          <w:bCs/>
          <w:color w:val="auto"/>
          <w:sz w:val="32"/>
          <w:szCs w:val="32"/>
          <w:highlight w:val="none"/>
        </w:rPr>
      </w:pPr>
    </w:p>
    <w:p w14:paraId="48C63F19">
      <w:pPr>
        <w:adjustRightInd w:val="0"/>
        <w:spacing w:line="360" w:lineRule="auto"/>
        <w:contextualSpacing/>
        <w:jc w:val="center"/>
        <w:rPr>
          <w:rFonts w:ascii="宋体" w:hAnsi="宋体"/>
          <w:b/>
          <w:bCs/>
          <w:color w:val="auto"/>
          <w:sz w:val="32"/>
          <w:szCs w:val="32"/>
          <w:highlight w:val="none"/>
        </w:rPr>
      </w:pPr>
    </w:p>
    <w:p w14:paraId="741A6614">
      <w:pPr>
        <w:adjustRightInd w:val="0"/>
        <w:spacing w:line="360" w:lineRule="auto"/>
        <w:contextualSpacing/>
        <w:jc w:val="center"/>
        <w:rPr>
          <w:rFonts w:ascii="宋体" w:hAnsi="宋体"/>
          <w:b/>
          <w:bCs/>
          <w:color w:val="auto"/>
          <w:sz w:val="32"/>
          <w:szCs w:val="32"/>
          <w:highlight w:val="none"/>
        </w:rPr>
      </w:pPr>
    </w:p>
    <w:p w14:paraId="604AC568">
      <w:pPr>
        <w:adjustRightInd w:val="0"/>
        <w:spacing w:line="360" w:lineRule="auto"/>
        <w:contextualSpacing/>
        <w:jc w:val="center"/>
        <w:rPr>
          <w:rFonts w:ascii="宋体" w:hAnsi="宋体"/>
          <w:b/>
          <w:bCs/>
          <w:color w:val="auto"/>
          <w:sz w:val="32"/>
          <w:szCs w:val="32"/>
          <w:highlight w:val="none"/>
        </w:rPr>
      </w:pPr>
    </w:p>
    <w:p w14:paraId="07047C3C">
      <w:pPr>
        <w:adjustRightInd w:val="0"/>
        <w:spacing w:line="360" w:lineRule="auto"/>
        <w:contextualSpacing/>
        <w:jc w:val="center"/>
        <w:rPr>
          <w:rFonts w:ascii="宋体" w:hAnsi="宋体"/>
          <w:b/>
          <w:bCs/>
          <w:color w:val="auto"/>
          <w:sz w:val="32"/>
          <w:szCs w:val="32"/>
          <w:highlight w:val="none"/>
        </w:rPr>
      </w:pPr>
    </w:p>
    <w:p w14:paraId="4739522B">
      <w:pPr>
        <w:adjustRightInd w:val="0"/>
        <w:spacing w:line="360" w:lineRule="auto"/>
        <w:contextualSpacing/>
        <w:jc w:val="center"/>
        <w:rPr>
          <w:rFonts w:ascii="宋体" w:hAnsi="宋体"/>
          <w:b/>
          <w:bCs/>
          <w:color w:val="auto"/>
          <w:sz w:val="32"/>
          <w:szCs w:val="32"/>
          <w:highlight w:val="none"/>
        </w:rPr>
      </w:pPr>
    </w:p>
    <w:p w14:paraId="1BCD9A1B">
      <w:pPr>
        <w:adjustRightInd w:val="0"/>
        <w:spacing w:line="360" w:lineRule="auto"/>
        <w:contextualSpacing/>
        <w:jc w:val="center"/>
        <w:rPr>
          <w:rFonts w:ascii="宋体" w:hAnsi="宋体"/>
          <w:b/>
          <w:bCs/>
          <w:color w:val="auto"/>
          <w:sz w:val="32"/>
          <w:szCs w:val="32"/>
          <w:highlight w:val="none"/>
        </w:rPr>
      </w:pPr>
    </w:p>
    <w:p w14:paraId="190D8F95">
      <w:pPr>
        <w:adjustRightInd w:val="0"/>
        <w:spacing w:line="360" w:lineRule="auto"/>
        <w:contextualSpacing/>
        <w:jc w:val="center"/>
        <w:rPr>
          <w:rFonts w:ascii="宋体" w:hAnsi="宋体"/>
          <w:b/>
          <w:bCs/>
          <w:color w:val="auto"/>
          <w:sz w:val="32"/>
          <w:szCs w:val="32"/>
          <w:highlight w:val="none"/>
        </w:rPr>
      </w:pPr>
    </w:p>
    <w:p w14:paraId="58F6C44F">
      <w:pPr>
        <w:adjustRightInd w:val="0"/>
        <w:spacing w:line="360" w:lineRule="auto"/>
        <w:contextualSpacing/>
        <w:jc w:val="center"/>
        <w:rPr>
          <w:rFonts w:ascii="宋体" w:hAnsi="宋体"/>
          <w:b/>
          <w:bCs/>
          <w:color w:val="auto"/>
          <w:sz w:val="32"/>
          <w:szCs w:val="32"/>
          <w:highlight w:val="none"/>
        </w:rPr>
      </w:pPr>
    </w:p>
    <w:p w14:paraId="3650510C">
      <w:pPr>
        <w:adjustRightInd w:val="0"/>
        <w:spacing w:line="360" w:lineRule="auto"/>
        <w:contextualSpacing/>
        <w:jc w:val="center"/>
        <w:rPr>
          <w:rFonts w:ascii="宋体" w:hAnsi="宋体"/>
          <w:b/>
          <w:bCs/>
          <w:color w:val="auto"/>
          <w:sz w:val="32"/>
          <w:szCs w:val="32"/>
          <w:highlight w:val="none"/>
        </w:rPr>
      </w:pPr>
    </w:p>
    <w:p w14:paraId="45520587">
      <w:pPr>
        <w:adjustRightInd w:val="0"/>
        <w:spacing w:line="360" w:lineRule="auto"/>
        <w:contextualSpacing/>
        <w:jc w:val="center"/>
        <w:rPr>
          <w:rFonts w:ascii="宋体" w:hAnsi="宋体"/>
          <w:b/>
          <w:bCs/>
          <w:color w:val="auto"/>
          <w:sz w:val="32"/>
          <w:szCs w:val="32"/>
          <w:highlight w:val="none"/>
        </w:rPr>
      </w:pPr>
    </w:p>
    <w:p w14:paraId="298D23E2">
      <w:pPr>
        <w:adjustRightInd w:val="0"/>
        <w:spacing w:line="360" w:lineRule="auto"/>
        <w:contextualSpacing/>
        <w:rPr>
          <w:rFonts w:ascii="宋体" w:hAnsi="宋体"/>
          <w:b/>
          <w:bCs/>
          <w:color w:val="auto"/>
          <w:sz w:val="32"/>
          <w:szCs w:val="32"/>
          <w:highlight w:val="none"/>
        </w:rPr>
      </w:pPr>
    </w:p>
    <w:p w14:paraId="7D2EB990">
      <w:pPr>
        <w:pStyle w:val="3"/>
        <w:spacing w:line="360" w:lineRule="auto"/>
        <w:rPr>
          <w:rFonts w:ascii="宋体" w:hAnsi="宋体"/>
          <w:b/>
          <w:color w:val="auto"/>
          <w:sz w:val="32"/>
          <w:szCs w:val="32"/>
          <w:highlight w:val="none"/>
        </w:rPr>
      </w:pPr>
      <w:r>
        <w:rPr>
          <w:rFonts w:hint="eastAsia" w:ascii="宋体" w:hAnsi="宋体" w:eastAsia="宋体"/>
          <w:color w:val="auto"/>
          <w:sz w:val="32"/>
          <w:highlight w:val="none"/>
        </w:rPr>
        <w:t>三、非实质性响应对照表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26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D97F172">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3406EC3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非实质性响应内容</w:t>
            </w:r>
          </w:p>
        </w:tc>
        <w:tc>
          <w:tcPr>
            <w:tcW w:w="1680" w:type="dxa"/>
            <w:vAlign w:val="center"/>
          </w:tcPr>
          <w:p w14:paraId="6BD2E93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354CE081">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28D8F46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7AD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6A9E817E">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5447" w:type="dxa"/>
            <w:vAlign w:val="center"/>
          </w:tcPr>
          <w:p w14:paraId="33E98A98">
            <w:pPr>
              <w:spacing w:line="360" w:lineRule="auto"/>
              <w:rPr>
                <w:rFonts w:hint="eastAsia" w:ascii="宋体" w:hAnsi="宋体"/>
                <w:color w:val="auto"/>
                <w:szCs w:val="21"/>
                <w:highlight w:val="none"/>
              </w:rPr>
            </w:pPr>
            <w:r>
              <w:rPr>
                <w:rFonts w:hint="eastAsia" w:ascii="宋体" w:hAnsi="宋体"/>
                <w:color w:val="auto"/>
                <w:szCs w:val="21"/>
                <w:highlight w:val="none"/>
              </w:rPr>
              <w:t>《中小企业声明函》</w:t>
            </w:r>
          </w:p>
        </w:tc>
        <w:tc>
          <w:tcPr>
            <w:tcW w:w="1680" w:type="dxa"/>
            <w:vAlign w:val="center"/>
          </w:tcPr>
          <w:p w14:paraId="79BAE192">
            <w:pPr>
              <w:spacing w:line="360" w:lineRule="auto"/>
              <w:rPr>
                <w:rFonts w:ascii="宋体" w:hAnsi="宋体"/>
                <w:color w:val="auto"/>
                <w:szCs w:val="21"/>
                <w:highlight w:val="none"/>
              </w:rPr>
            </w:pPr>
          </w:p>
        </w:tc>
        <w:tc>
          <w:tcPr>
            <w:tcW w:w="1308" w:type="dxa"/>
            <w:vAlign w:val="center"/>
          </w:tcPr>
          <w:p w14:paraId="08EF17D3">
            <w:pPr>
              <w:spacing w:line="360" w:lineRule="auto"/>
              <w:rPr>
                <w:rFonts w:ascii="宋体" w:hAnsi="宋体"/>
                <w:color w:val="auto"/>
                <w:szCs w:val="21"/>
                <w:highlight w:val="none"/>
              </w:rPr>
            </w:pPr>
          </w:p>
        </w:tc>
      </w:tr>
      <w:tr w14:paraId="3B9B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152FF07">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5447" w:type="dxa"/>
            <w:vAlign w:val="center"/>
          </w:tcPr>
          <w:p w14:paraId="72ADC107">
            <w:pPr>
              <w:spacing w:line="360" w:lineRule="auto"/>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80" w:type="dxa"/>
            <w:vAlign w:val="center"/>
          </w:tcPr>
          <w:p w14:paraId="4E7E58D5">
            <w:pPr>
              <w:spacing w:line="360" w:lineRule="auto"/>
              <w:rPr>
                <w:rFonts w:ascii="宋体" w:hAnsi="宋体"/>
                <w:color w:val="auto"/>
                <w:szCs w:val="21"/>
                <w:highlight w:val="none"/>
              </w:rPr>
            </w:pPr>
          </w:p>
        </w:tc>
        <w:tc>
          <w:tcPr>
            <w:tcW w:w="1308" w:type="dxa"/>
            <w:vAlign w:val="center"/>
          </w:tcPr>
          <w:p w14:paraId="23D8899A">
            <w:pPr>
              <w:spacing w:line="360" w:lineRule="auto"/>
              <w:rPr>
                <w:rFonts w:ascii="宋体" w:hAnsi="宋体"/>
                <w:color w:val="auto"/>
                <w:szCs w:val="21"/>
                <w:highlight w:val="none"/>
              </w:rPr>
            </w:pPr>
          </w:p>
        </w:tc>
      </w:tr>
      <w:tr w14:paraId="2C42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162FDF1A">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5447" w:type="dxa"/>
            <w:vAlign w:val="center"/>
          </w:tcPr>
          <w:p w14:paraId="3C1B92F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3E63B2E1">
            <w:pPr>
              <w:spacing w:line="360" w:lineRule="auto"/>
              <w:rPr>
                <w:rFonts w:ascii="宋体" w:hAnsi="宋体"/>
                <w:color w:val="auto"/>
                <w:szCs w:val="21"/>
                <w:highlight w:val="none"/>
              </w:rPr>
            </w:pPr>
          </w:p>
        </w:tc>
        <w:tc>
          <w:tcPr>
            <w:tcW w:w="1308" w:type="dxa"/>
            <w:vAlign w:val="center"/>
          </w:tcPr>
          <w:p w14:paraId="6BCE436B">
            <w:pPr>
              <w:spacing w:line="360" w:lineRule="auto"/>
              <w:rPr>
                <w:rFonts w:ascii="宋体" w:hAnsi="宋体"/>
                <w:color w:val="auto"/>
                <w:szCs w:val="21"/>
                <w:highlight w:val="none"/>
              </w:rPr>
            </w:pPr>
          </w:p>
        </w:tc>
      </w:tr>
    </w:tbl>
    <w:p w14:paraId="139CA650">
      <w:pPr>
        <w:adjustRightInd w:val="0"/>
        <w:spacing w:line="360" w:lineRule="auto"/>
        <w:contextualSpacing/>
        <w:jc w:val="center"/>
        <w:rPr>
          <w:rFonts w:ascii="宋体" w:hAnsi="宋体"/>
          <w:b/>
          <w:bCs/>
          <w:color w:val="auto"/>
          <w:sz w:val="32"/>
          <w:szCs w:val="32"/>
          <w:highlight w:val="none"/>
        </w:rPr>
      </w:pPr>
    </w:p>
    <w:p w14:paraId="22B5885F">
      <w:pPr>
        <w:adjustRightInd w:val="0"/>
        <w:spacing w:line="360" w:lineRule="auto"/>
        <w:contextualSpacing/>
        <w:jc w:val="center"/>
        <w:rPr>
          <w:rFonts w:ascii="宋体" w:hAnsi="宋体"/>
          <w:b/>
          <w:bCs/>
          <w:color w:val="auto"/>
          <w:sz w:val="32"/>
          <w:szCs w:val="32"/>
          <w:highlight w:val="none"/>
        </w:rPr>
      </w:pPr>
    </w:p>
    <w:p w14:paraId="29970811">
      <w:pPr>
        <w:spacing w:line="360" w:lineRule="auto"/>
        <w:rPr>
          <w:rFonts w:ascii="宋体" w:hAnsi="宋体"/>
          <w:color w:val="auto"/>
          <w:highlight w:val="none"/>
        </w:rPr>
      </w:pPr>
    </w:p>
    <w:p w14:paraId="082C552E">
      <w:pPr>
        <w:widowControl/>
        <w:spacing w:line="360" w:lineRule="auto"/>
        <w:jc w:val="left"/>
        <w:rPr>
          <w:rFonts w:ascii="宋体" w:hAnsi="宋体" w:cs="Arial"/>
          <w:b/>
          <w:bCs/>
          <w:color w:val="auto"/>
          <w:highlight w:val="none"/>
        </w:rPr>
      </w:pPr>
    </w:p>
    <w:p w14:paraId="5841256F">
      <w:pPr>
        <w:widowControl/>
        <w:spacing w:line="360" w:lineRule="auto"/>
        <w:jc w:val="left"/>
        <w:rPr>
          <w:rFonts w:ascii="宋体" w:hAnsi="宋体" w:cs="Arial"/>
          <w:b/>
          <w:bCs/>
          <w:color w:val="auto"/>
          <w:highlight w:val="none"/>
        </w:rPr>
      </w:pPr>
    </w:p>
    <w:p w14:paraId="0E7F1BEB">
      <w:pPr>
        <w:widowControl/>
        <w:spacing w:line="360" w:lineRule="auto"/>
        <w:jc w:val="left"/>
        <w:rPr>
          <w:rFonts w:ascii="宋体" w:hAnsi="宋体" w:cs="Arial"/>
          <w:b/>
          <w:bCs/>
          <w:color w:val="auto"/>
          <w:highlight w:val="none"/>
        </w:rPr>
      </w:pPr>
    </w:p>
    <w:p w14:paraId="4012309B">
      <w:pPr>
        <w:widowControl/>
        <w:spacing w:line="360" w:lineRule="auto"/>
        <w:jc w:val="left"/>
        <w:rPr>
          <w:rFonts w:ascii="宋体" w:hAnsi="宋体" w:cs="Arial"/>
          <w:b/>
          <w:bCs/>
          <w:color w:val="auto"/>
          <w:highlight w:val="none"/>
        </w:rPr>
      </w:pPr>
    </w:p>
    <w:p w14:paraId="7C21F380">
      <w:pPr>
        <w:widowControl/>
        <w:spacing w:line="360" w:lineRule="auto"/>
        <w:jc w:val="left"/>
        <w:rPr>
          <w:rFonts w:ascii="宋体" w:hAnsi="宋体" w:cs="Arial"/>
          <w:b/>
          <w:bCs/>
          <w:color w:val="auto"/>
          <w:highlight w:val="none"/>
        </w:rPr>
      </w:pPr>
    </w:p>
    <w:p w14:paraId="0B8EE52E">
      <w:pPr>
        <w:widowControl/>
        <w:spacing w:line="360" w:lineRule="auto"/>
        <w:jc w:val="left"/>
        <w:rPr>
          <w:rFonts w:ascii="宋体" w:hAnsi="宋体" w:cs="Arial"/>
          <w:b/>
          <w:bCs/>
          <w:color w:val="auto"/>
          <w:highlight w:val="none"/>
        </w:rPr>
      </w:pPr>
    </w:p>
    <w:p w14:paraId="6AB9B1FD">
      <w:pPr>
        <w:widowControl/>
        <w:spacing w:line="360" w:lineRule="auto"/>
        <w:jc w:val="left"/>
        <w:rPr>
          <w:rFonts w:ascii="宋体" w:hAnsi="宋体" w:cs="Arial"/>
          <w:b/>
          <w:bCs/>
          <w:color w:val="auto"/>
          <w:highlight w:val="none"/>
        </w:rPr>
      </w:pPr>
    </w:p>
    <w:p w14:paraId="4CE9DB87">
      <w:pPr>
        <w:widowControl/>
        <w:spacing w:line="360" w:lineRule="auto"/>
        <w:jc w:val="left"/>
        <w:rPr>
          <w:rFonts w:ascii="宋体" w:hAnsi="宋体" w:cs="Arial"/>
          <w:b/>
          <w:bCs/>
          <w:color w:val="auto"/>
          <w:highlight w:val="none"/>
        </w:rPr>
      </w:pPr>
    </w:p>
    <w:p w14:paraId="1962A6B1">
      <w:pPr>
        <w:widowControl/>
        <w:spacing w:line="360" w:lineRule="auto"/>
        <w:jc w:val="left"/>
        <w:rPr>
          <w:rFonts w:ascii="宋体" w:hAnsi="宋体" w:cs="Arial"/>
          <w:b/>
          <w:bCs/>
          <w:color w:val="auto"/>
          <w:highlight w:val="none"/>
        </w:rPr>
      </w:pPr>
    </w:p>
    <w:p w14:paraId="3741CCAD">
      <w:pPr>
        <w:widowControl/>
        <w:spacing w:line="360" w:lineRule="auto"/>
        <w:jc w:val="left"/>
        <w:rPr>
          <w:rFonts w:ascii="宋体" w:hAnsi="宋体" w:cs="Arial"/>
          <w:b/>
          <w:bCs/>
          <w:color w:val="auto"/>
          <w:highlight w:val="none"/>
        </w:rPr>
      </w:pPr>
    </w:p>
    <w:p w14:paraId="7290CFC9">
      <w:pPr>
        <w:widowControl/>
        <w:spacing w:line="360" w:lineRule="auto"/>
        <w:jc w:val="left"/>
        <w:rPr>
          <w:rFonts w:ascii="宋体" w:hAnsi="宋体" w:cs="Arial"/>
          <w:b/>
          <w:bCs/>
          <w:color w:val="auto"/>
          <w:highlight w:val="none"/>
        </w:rPr>
      </w:pPr>
    </w:p>
    <w:p w14:paraId="065D5550">
      <w:pPr>
        <w:widowControl/>
        <w:spacing w:line="360" w:lineRule="auto"/>
        <w:jc w:val="left"/>
        <w:rPr>
          <w:rFonts w:ascii="宋体" w:hAnsi="宋体" w:cs="Arial"/>
          <w:b/>
          <w:bCs/>
          <w:color w:val="auto"/>
          <w:highlight w:val="none"/>
        </w:rPr>
      </w:pPr>
    </w:p>
    <w:p w14:paraId="694625D1">
      <w:pPr>
        <w:widowControl/>
        <w:spacing w:line="360" w:lineRule="auto"/>
        <w:jc w:val="left"/>
        <w:rPr>
          <w:rFonts w:ascii="宋体" w:hAnsi="宋体" w:cs="Arial"/>
          <w:b/>
          <w:bCs/>
          <w:color w:val="auto"/>
          <w:highlight w:val="none"/>
        </w:rPr>
      </w:pPr>
    </w:p>
    <w:p w14:paraId="23E506DA">
      <w:pPr>
        <w:widowControl/>
        <w:spacing w:line="360" w:lineRule="auto"/>
        <w:jc w:val="left"/>
        <w:rPr>
          <w:rFonts w:ascii="宋体" w:hAnsi="宋体" w:cs="Arial"/>
          <w:b/>
          <w:bCs/>
          <w:color w:val="auto"/>
          <w:highlight w:val="none"/>
        </w:rPr>
      </w:pPr>
    </w:p>
    <w:p w14:paraId="4D405CA8">
      <w:pPr>
        <w:widowControl/>
        <w:spacing w:line="360" w:lineRule="auto"/>
        <w:jc w:val="left"/>
        <w:rPr>
          <w:rFonts w:ascii="宋体" w:hAnsi="宋体" w:cs="Arial"/>
          <w:b/>
          <w:bCs/>
          <w:color w:val="auto"/>
          <w:highlight w:val="none"/>
        </w:rPr>
      </w:pPr>
    </w:p>
    <w:p w14:paraId="6B5DCAC3">
      <w:pPr>
        <w:widowControl/>
        <w:spacing w:line="360" w:lineRule="auto"/>
        <w:jc w:val="left"/>
        <w:rPr>
          <w:rFonts w:ascii="宋体" w:hAnsi="宋体" w:cs="Arial"/>
          <w:b/>
          <w:bCs/>
          <w:color w:val="auto"/>
          <w:highlight w:val="none"/>
        </w:rPr>
      </w:pPr>
    </w:p>
    <w:p w14:paraId="642F080B">
      <w:pPr>
        <w:pStyle w:val="22"/>
        <w:rPr>
          <w:highlight w:val="none"/>
        </w:rPr>
      </w:pPr>
    </w:p>
    <w:p w14:paraId="74605B15">
      <w:pPr>
        <w:pStyle w:val="20"/>
        <w:widowControl/>
        <w:spacing w:line="360" w:lineRule="auto"/>
        <w:ind w:firstLine="810"/>
        <w:rPr>
          <w:rStyle w:val="26"/>
          <w:rFonts w:ascii="宋体" w:hAnsi="宋体" w:cs="仿宋"/>
          <w:color w:val="auto"/>
          <w:sz w:val="21"/>
          <w:szCs w:val="21"/>
          <w:highlight w:val="none"/>
        </w:rPr>
      </w:pPr>
    </w:p>
    <w:p w14:paraId="0A538CAF">
      <w:pPr>
        <w:pStyle w:val="4"/>
        <w:spacing w:line="360" w:lineRule="auto"/>
        <w:rPr>
          <w:rStyle w:val="26"/>
          <w:rFonts w:ascii="宋体" w:hAnsi="宋体" w:cs="仿宋"/>
          <w:b w:val="0"/>
          <w:color w:val="auto"/>
          <w:sz w:val="21"/>
          <w:szCs w:val="21"/>
          <w:highlight w:val="none"/>
        </w:rPr>
      </w:pPr>
      <w:r>
        <w:rPr>
          <w:rStyle w:val="26"/>
          <w:rFonts w:ascii="宋体" w:hAnsi="宋体" w:cs="仿宋"/>
          <w:b w:val="0"/>
          <w:color w:val="auto"/>
          <w:sz w:val="21"/>
          <w:szCs w:val="21"/>
          <w:highlight w:val="none"/>
        </w:rPr>
        <w:br w:type="page"/>
      </w:r>
    </w:p>
    <w:p w14:paraId="222ABCCF">
      <w:pPr>
        <w:spacing w:beforeLines="100" w:afterLines="100" w:line="360" w:lineRule="auto"/>
        <w:jc w:val="center"/>
        <w:rPr>
          <w:rFonts w:ascii="宋体" w:hAnsi="宋体"/>
          <w:b/>
          <w:bCs/>
          <w:color w:val="auto"/>
          <w:highlight w:val="none"/>
        </w:rPr>
      </w:pPr>
      <w:r>
        <w:rPr>
          <w:rFonts w:hint="eastAsia" w:ascii="宋体" w:hAnsi="宋体"/>
          <w:b/>
          <w:bCs/>
          <w:color w:val="auto"/>
          <w:highlight w:val="none"/>
        </w:rPr>
        <w:t>中小企业声明函（货物）</w:t>
      </w:r>
    </w:p>
    <w:p w14:paraId="24ABB9D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742B40D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szCs w:val="21"/>
          <w:highlight w:val="none"/>
          <w:vertAlign w:val="superscript"/>
        </w:rPr>
        <w:t>1</w:t>
      </w:r>
      <w:r>
        <w:rPr>
          <w:rFonts w:hint="eastAsia" w:ascii="宋体" w:hAnsi="宋体" w:cs="宋体"/>
          <w:color w:val="auto"/>
          <w:spacing w:val="-1"/>
          <w:szCs w:val="21"/>
          <w:highlight w:val="none"/>
          <w:vertAlign w:val="superscript"/>
        </w:rPr>
        <w:fldChar w:fldCharType="end"/>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p>
    <w:p w14:paraId="4135DA13">
      <w:pPr>
        <w:spacing w:line="4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w:t>
      </w:r>
      <w:r>
        <w:rPr>
          <w:rFonts w:hint="eastAsia" w:ascii="宋体" w:hAnsi="宋体" w:cs="宋体"/>
          <w:color w:val="auto"/>
          <w:szCs w:val="21"/>
          <w:highlight w:val="none"/>
          <w:u w:val="single"/>
        </w:rPr>
        <w:t>（中型企业、小型企业、微型企业）；</w:t>
      </w:r>
    </w:p>
    <w:p w14:paraId="041FA02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p>
    <w:p w14:paraId="551A6E6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075737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2128A5D">
      <w:pPr>
        <w:spacing w:line="40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在政府采购活动中，供应商提供的货物符合下列情形的，享受本办法规定的中小企业扶持政策：货物由中小企业制造，即货物由中小企业生产且使用该中小企业商号或者注册商标</w:t>
      </w:r>
      <w:r>
        <w:rPr>
          <w:rFonts w:hint="eastAsia" w:ascii="宋体" w:hAnsi="宋体" w:cs="宋体"/>
          <w:b/>
          <w:bCs/>
          <w:color w:val="auto"/>
          <w:szCs w:val="21"/>
          <w:highlight w:val="none"/>
          <w:lang w:eastAsia="zh-CN"/>
        </w:rPr>
        <w:t>。</w:t>
      </w:r>
    </w:p>
    <w:p w14:paraId="7B81EC5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 1、从业人员（不仅指在职职工）、营业收入、资产总额填报上一年度数据，无上一年度数据的新成立企业可不填报。</w:t>
      </w:r>
    </w:p>
    <w:p w14:paraId="36065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投标时须提供《中小企业声明函》，《中小企业声明函》不符合要求或未提供的，作如下处理：①如本项目专门面向中小企业采购，则投标文件无效；②如本项目不专门面向中小企业采购，则价格将不做相应扣除。</w:t>
      </w:r>
    </w:p>
    <w:p w14:paraId="6457FB3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3、企业声明函请完整填写，中标后将公示。</w:t>
      </w:r>
    </w:p>
    <w:p w14:paraId="4AD967C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A17D02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5、声明函应涵盖本项目(分包)所有货物。</w:t>
      </w:r>
    </w:p>
    <w:p w14:paraId="3B5AC5A6">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6、中小企业不得属于大企业的分支机构，不得存在控股股东为大企业的情形，不得存在与大企业的负责人为同一人的情形。</w:t>
      </w:r>
    </w:p>
    <w:p w14:paraId="1CF8C61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shd w:val="clear" w:color="auto" w:fill="FFFFFF"/>
        </w:rPr>
        <w:t>《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57CA27F7">
      <w:pPr>
        <w:spacing w:line="40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企业名称（盖章）：</w:t>
      </w:r>
    </w:p>
    <w:p w14:paraId="6670B7E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19A41DE7">
      <w:pPr>
        <w:pStyle w:val="36"/>
        <w:rPr>
          <w:color w:val="auto"/>
          <w:highlight w:val="none"/>
        </w:rPr>
      </w:pPr>
    </w:p>
    <w:p w14:paraId="6C63740B">
      <w:pPr>
        <w:spacing w:line="360" w:lineRule="auto"/>
        <w:jc w:val="center"/>
        <w:rPr>
          <w:rStyle w:val="26"/>
          <w:rFonts w:hint="eastAsia" w:ascii="宋体" w:hAnsi="宋体" w:cs="仿宋"/>
          <w:b w:val="0"/>
          <w:bCs/>
          <w:color w:val="auto"/>
          <w:szCs w:val="21"/>
          <w:highlight w:val="none"/>
        </w:rPr>
      </w:pPr>
    </w:p>
    <w:p w14:paraId="7345EF44">
      <w:pPr>
        <w:spacing w:line="360" w:lineRule="auto"/>
        <w:jc w:val="center"/>
        <w:rPr>
          <w:rStyle w:val="26"/>
          <w:rFonts w:hint="eastAsia" w:ascii="宋体" w:hAnsi="宋体" w:cs="仿宋"/>
          <w:b w:val="0"/>
          <w:bCs/>
          <w:color w:val="auto"/>
          <w:szCs w:val="21"/>
          <w:highlight w:val="none"/>
        </w:rPr>
      </w:pPr>
    </w:p>
    <w:p w14:paraId="0811936E">
      <w:pPr>
        <w:spacing w:line="360" w:lineRule="auto"/>
        <w:jc w:val="center"/>
        <w:rPr>
          <w:rStyle w:val="26"/>
          <w:rFonts w:hint="eastAsia" w:ascii="宋体" w:hAnsi="宋体" w:cs="仿宋"/>
          <w:b w:val="0"/>
          <w:bCs/>
          <w:color w:val="auto"/>
          <w:szCs w:val="21"/>
          <w:highlight w:val="none"/>
        </w:rPr>
      </w:pPr>
    </w:p>
    <w:p w14:paraId="1B87A680">
      <w:pPr>
        <w:spacing w:line="360" w:lineRule="auto"/>
        <w:jc w:val="center"/>
        <w:rPr>
          <w:rStyle w:val="26"/>
          <w:rFonts w:hint="eastAsia" w:ascii="宋体" w:hAnsi="宋体" w:cs="仿宋"/>
          <w:b w:val="0"/>
          <w:bCs/>
          <w:color w:val="auto"/>
          <w:szCs w:val="21"/>
          <w:highlight w:val="none"/>
        </w:rPr>
      </w:pPr>
    </w:p>
    <w:p w14:paraId="44120D1D">
      <w:pPr>
        <w:spacing w:line="360" w:lineRule="auto"/>
        <w:jc w:val="center"/>
        <w:rPr>
          <w:rStyle w:val="26"/>
          <w:rFonts w:hint="eastAsia" w:ascii="宋体" w:hAnsi="宋体" w:cs="仿宋"/>
          <w:b w:val="0"/>
          <w:bCs/>
          <w:color w:val="auto"/>
          <w:szCs w:val="21"/>
          <w:highlight w:val="none"/>
        </w:rPr>
      </w:pPr>
    </w:p>
    <w:p w14:paraId="03AE202C">
      <w:pPr>
        <w:spacing w:line="360" w:lineRule="auto"/>
        <w:jc w:val="center"/>
        <w:rPr>
          <w:rStyle w:val="26"/>
          <w:rFonts w:hint="eastAsia" w:ascii="宋体" w:hAnsi="宋体" w:cs="仿宋"/>
          <w:b w:val="0"/>
          <w:bCs/>
          <w:color w:val="auto"/>
          <w:szCs w:val="21"/>
          <w:highlight w:val="none"/>
        </w:rPr>
      </w:pPr>
    </w:p>
    <w:p w14:paraId="278B8D7C">
      <w:pPr>
        <w:spacing w:line="360" w:lineRule="auto"/>
        <w:jc w:val="center"/>
        <w:rPr>
          <w:rStyle w:val="26"/>
          <w:rFonts w:hint="eastAsia" w:ascii="宋体" w:hAnsi="宋体" w:cs="仿宋"/>
          <w:b w:val="0"/>
          <w:bCs/>
          <w:color w:val="auto"/>
          <w:szCs w:val="21"/>
          <w:highlight w:val="none"/>
        </w:rPr>
      </w:pPr>
    </w:p>
    <w:p w14:paraId="191CE012">
      <w:pPr>
        <w:spacing w:line="360" w:lineRule="auto"/>
        <w:jc w:val="center"/>
        <w:rPr>
          <w:rStyle w:val="26"/>
          <w:rFonts w:hint="eastAsia" w:ascii="宋体" w:hAnsi="宋体" w:cs="仿宋"/>
          <w:b w:val="0"/>
          <w:bCs/>
          <w:color w:val="auto"/>
          <w:szCs w:val="21"/>
          <w:highlight w:val="none"/>
        </w:rPr>
      </w:pPr>
    </w:p>
    <w:p w14:paraId="41AA97A0">
      <w:pPr>
        <w:spacing w:line="360" w:lineRule="auto"/>
        <w:jc w:val="center"/>
        <w:rPr>
          <w:rStyle w:val="26"/>
          <w:rFonts w:hint="eastAsia" w:ascii="宋体" w:hAnsi="宋体" w:cs="仿宋"/>
          <w:b w:val="0"/>
          <w:bCs/>
          <w:color w:val="auto"/>
          <w:szCs w:val="21"/>
          <w:highlight w:val="none"/>
        </w:rPr>
      </w:pPr>
    </w:p>
    <w:p w14:paraId="02A3298F">
      <w:pPr>
        <w:spacing w:line="360" w:lineRule="auto"/>
        <w:jc w:val="center"/>
        <w:rPr>
          <w:rStyle w:val="26"/>
          <w:rFonts w:hint="eastAsia" w:ascii="宋体" w:hAnsi="宋体" w:cs="仿宋"/>
          <w:b w:val="0"/>
          <w:bCs/>
          <w:color w:val="auto"/>
          <w:szCs w:val="21"/>
          <w:highlight w:val="none"/>
        </w:rPr>
      </w:pPr>
    </w:p>
    <w:p w14:paraId="6EE3BD78">
      <w:pPr>
        <w:spacing w:line="360" w:lineRule="auto"/>
        <w:jc w:val="center"/>
        <w:rPr>
          <w:rStyle w:val="26"/>
          <w:rFonts w:hint="eastAsia" w:ascii="宋体" w:hAnsi="宋体" w:cs="仿宋"/>
          <w:b w:val="0"/>
          <w:bCs/>
          <w:color w:val="auto"/>
          <w:szCs w:val="21"/>
          <w:highlight w:val="none"/>
        </w:rPr>
      </w:pPr>
    </w:p>
    <w:p w14:paraId="55ACB4AD">
      <w:pPr>
        <w:spacing w:line="360" w:lineRule="auto"/>
        <w:jc w:val="center"/>
        <w:rPr>
          <w:rStyle w:val="26"/>
          <w:rFonts w:hint="eastAsia" w:ascii="宋体" w:hAnsi="宋体" w:cs="仿宋"/>
          <w:b w:val="0"/>
          <w:bCs/>
          <w:color w:val="auto"/>
          <w:szCs w:val="21"/>
          <w:highlight w:val="none"/>
        </w:rPr>
      </w:pPr>
    </w:p>
    <w:p w14:paraId="6F6EF591">
      <w:pPr>
        <w:spacing w:line="360" w:lineRule="auto"/>
        <w:jc w:val="center"/>
        <w:rPr>
          <w:rStyle w:val="26"/>
          <w:rFonts w:hint="eastAsia" w:ascii="宋体" w:hAnsi="宋体" w:cs="仿宋"/>
          <w:b w:val="0"/>
          <w:bCs/>
          <w:color w:val="auto"/>
          <w:szCs w:val="21"/>
          <w:highlight w:val="none"/>
        </w:rPr>
      </w:pPr>
    </w:p>
    <w:p w14:paraId="734B9573">
      <w:pPr>
        <w:spacing w:line="360" w:lineRule="auto"/>
        <w:jc w:val="center"/>
        <w:rPr>
          <w:rStyle w:val="26"/>
          <w:rFonts w:hint="eastAsia" w:ascii="宋体" w:hAnsi="宋体" w:cs="仿宋"/>
          <w:b w:val="0"/>
          <w:bCs/>
          <w:color w:val="auto"/>
          <w:szCs w:val="21"/>
          <w:highlight w:val="none"/>
        </w:rPr>
      </w:pPr>
    </w:p>
    <w:p w14:paraId="407E6179">
      <w:pPr>
        <w:spacing w:line="360" w:lineRule="auto"/>
        <w:jc w:val="center"/>
        <w:rPr>
          <w:rStyle w:val="26"/>
          <w:rFonts w:hint="eastAsia" w:ascii="宋体" w:hAnsi="宋体" w:cs="仿宋"/>
          <w:b w:val="0"/>
          <w:bCs/>
          <w:color w:val="auto"/>
          <w:szCs w:val="21"/>
          <w:highlight w:val="none"/>
        </w:rPr>
      </w:pPr>
    </w:p>
    <w:p w14:paraId="298EEAEA">
      <w:pPr>
        <w:spacing w:line="360" w:lineRule="auto"/>
        <w:jc w:val="center"/>
        <w:rPr>
          <w:rStyle w:val="26"/>
          <w:rFonts w:hint="eastAsia" w:ascii="宋体" w:hAnsi="宋体" w:cs="仿宋"/>
          <w:b w:val="0"/>
          <w:bCs/>
          <w:color w:val="auto"/>
          <w:szCs w:val="21"/>
          <w:highlight w:val="none"/>
        </w:rPr>
      </w:pPr>
    </w:p>
    <w:p w14:paraId="7A1E4FA3">
      <w:pPr>
        <w:spacing w:line="360" w:lineRule="auto"/>
        <w:jc w:val="center"/>
        <w:rPr>
          <w:rStyle w:val="26"/>
          <w:rFonts w:hint="eastAsia" w:ascii="宋体" w:hAnsi="宋体" w:cs="仿宋"/>
          <w:b w:val="0"/>
          <w:bCs/>
          <w:color w:val="auto"/>
          <w:szCs w:val="21"/>
          <w:highlight w:val="none"/>
        </w:rPr>
      </w:pPr>
    </w:p>
    <w:p w14:paraId="4C6CA005">
      <w:pPr>
        <w:spacing w:line="360" w:lineRule="auto"/>
        <w:jc w:val="center"/>
        <w:rPr>
          <w:rStyle w:val="26"/>
          <w:rFonts w:hint="eastAsia" w:ascii="宋体" w:hAnsi="宋体" w:cs="仿宋"/>
          <w:b w:val="0"/>
          <w:bCs/>
          <w:color w:val="auto"/>
          <w:szCs w:val="21"/>
          <w:highlight w:val="none"/>
        </w:rPr>
      </w:pPr>
    </w:p>
    <w:p w14:paraId="756A09BA">
      <w:pPr>
        <w:spacing w:line="360" w:lineRule="auto"/>
        <w:jc w:val="center"/>
        <w:rPr>
          <w:rStyle w:val="26"/>
          <w:rFonts w:hint="eastAsia" w:ascii="宋体" w:hAnsi="宋体" w:cs="仿宋"/>
          <w:b w:val="0"/>
          <w:bCs/>
          <w:color w:val="auto"/>
          <w:szCs w:val="21"/>
          <w:highlight w:val="none"/>
        </w:rPr>
      </w:pPr>
    </w:p>
    <w:p w14:paraId="44C730FA">
      <w:pPr>
        <w:spacing w:line="360" w:lineRule="auto"/>
        <w:jc w:val="center"/>
        <w:rPr>
          <w:rStyle w:val="26"/>
          <w:rFonts w:hint="eastAsia" w:ascii="宋体" w:hAnsi="宋体" w:cs="仿宋"/>
          <w:b w:val="0"/>
          <w:bCs/>
          <w:color w:val="auto"/>
          <w:szCs w:val="21"/>
          <w:highlight w:val="none"/>
        </w:rPr>
      </w:pPr>
    </w:p>
    <w:p w14:paraId="732EE4A3">
      <w:pPr>
        <w:spacing w:line="360" w:lineRule="auto"/>
        <w:jc w:val="center"/>
        <w:rPr>
          <w:rStyle w:val="26"/>
          <w:rFonts w:hint="eastAsia" w:ascii="宋体" w:hAnsi="宋体" w:cs="仿宋"/>
          <w:b w:val="0"/>
          <w:bCs/>
          <w:color w:val="auto"/>
          <w:szCs w:val="21"/>
          <w:highlight w:val="none"/>
        </w:rPr>
      </w:pPr>
    </w:p>
    <w:p w14:paraId="11D4B70E">
      <w:pPr>
        <w:spacing w:line="360" w:lineRule="auto"/>
        <w:jc w:val="center"/>
        <w:rPr>
          <w:rStyle w:val="26"/>
          <w:rFonts w:hint="eastAsia" w:ascii="宋体" w:hAnsi="宋体" w:cs="仿宋"/>
          <w:b w:val="0"/>
          <w:bCs/>
          <w:color w:val="auto"/>
          <w:szCs w:val="21"/>
          <w:highlight w:val="none"/>
        </w:rPr>
      </w:pPr>
    </w:p>
    <w:p w14:paraId="24FD2A99">
      <w:pPr>
        <w:spacing w:line="360" w:lineRule="auto"/>
        <w:jc w:val="center"/>
        <w:rPr>
          <w:rStyle w:val="26"/>
          <w:rFonts w:hint="eastAsia" w:ascii="宋体" w:hAnsi="宋体" w:cs="仿宋"/>
          <w:b w:val="0"/>
          <w:bCs/>
          <w:color w:val="auto"/>
          <w:szCs w:val="21"/>
          <w:highlight w:val="none"/>
        </w:rPr>
      </w:pPr>
    </w:p>
    <w:p w14:paraId="3E4E71E8">
      <w:pPr>
        <w:spacing w:line="360" w:lineRule="auto"/>
        <w:jc w:val="center"/>
        <w:rPr>
          <w:rStyle w:val="26"/>
          <w:rFonts w:hint="eastAsia" w:ascii="宋体" w:hAnsi="宋体" w:cs="仿宋"/>
          <w:b w:val="0"/>
          <w:bCs/>
          <w:color w:val="auto"/>
          <w:szCs w:val="21"/>
          <w:highlight w:val="none"/>
        </w:rPr>
      </w:pPr>
    </w:p>
    <w:p w14:paraId="7F094E62">
      <w:pPr>
        <w:spacing w:line="360" w:lineRule="auto"/>
        <w:jc w:val="center"/>
        <w:rPr>
          <w:rStyle w:val="26"/>
          <w:rFonts w:hint="eastAsia" w:ascii="宋体" w:hAnsi="宋体" w:cs="仿宋"/>
          <w:b w:val="0"/>
          <w:bCs/>
          <w:color w:val="auto"/>
          <w:szCs w:val="21"/>
          <w:highlight w:val="none"/>
        </w:rPr>
      </w:pPr>
    </w:p>
    <w:p w14:paraId="5B80AE5F">
      <w:pPr>
        <w:spacing w:line="360" w:lineRule="auto"/>
        <w:jc w:val="center"/>
        <w:rPr>
          <w:rStyle w:val="26"/>
          <w:rFonts w:hint="eastAsia" w:ascii="宋体" w:hAnsi="宋体" w:cs="仿宋"/>
          <w:b w:val="0"/>
          <w:bCs/>
          <w:color w:val="auto"/>
          <w:szCs w:val="21"/>
          <w:highlight w:val="none"/>
        </w:rPr>
      </w:pPr>
    </w:p>
    <w:p w14:paraId="14C28823">
      <w:pPr>
        <w:spacing w:line="360" w:lineRule="auto"/>
        <w:jc w:val="center"/>
        <w:rPr>
          <w:rStyle w:val="26"/>
          <w:rFonts w:ascii="宋体" w:hAnsi="宋体" w:cs="仿宋"/>
          <w:b w:val="0"/>
          <w:bCs/>
          <w:color w:val="auto"/>
          <w:szCs w:val="21"/>
          <w:highlight w:val="none"/>
        </w:rPr>
      </w:pPr>
      <w:r>
        <w:rPr>
          <w:rStyle w:val="26"/>
          <w:rFonts w:hint="eastAsia" w:ascii="宋体" w:hAnsi="宋体" w:cs="仿宋"/>
          <w:b w:val="0"/>
          <w:bCs/>
          <w:color w:val="auto"/>
          <w:szCs w:val="21"/>
          <w:highlight w:val="none"/>
        </w:rPr>
        <w:t>中小微企业划型标准</w:t>
      </w:r>
    </w:p>
    <w:p w14:paraId="5E785E98">
      <w:pPr>
        <w:pStyle w:val="20"/>
        <w:widowControl/>
        <w:spacing w:line="360" w:lineRule="auto"/>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中小微企业划型标准如下：</w:t>
      </w:r>
    </w:p>
    <w:tbl>
      <w:tblPr>
        <w:tblStyle w:val="23"/>
        <w:tblW w:w="10146"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2"/>
        <w:gridCol w:w="1739"/>
        <w:gridCol w:w="1181"/>
        <w:gridCol w:w="1973"/>
        <w:gridCol w:w="1740"/>
        <w:gridCol w:w="1431"/>
      </w:tblGrid>
      <w:tr w14:paraId="452CC0C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jc w:val="center"/>
        </w:trPr>
        <w:tc>
          <w:tcPr>
            <w:tcW w:w="20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7715E8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4F00CA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2375F1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计量单位</w:t>
            </w:r>
          </w:p>
        </w:tc>
        <w:tc>
          <w:tcPr>
            <w:tcW w:w="194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3AD9BA2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中型</w:t>
            </w:r>
          </w:p>
        </w:tc>
        <w:tc>
          <w:tcPr>
            <w:tcW w:w="1710"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7758899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小型</w:t>
            </w:r>
          </w:p>
        </w:tc>
        <w:tc>
          <w:tcPr>
            <w:tcW w:w="1386"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659D0C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微型</w:t>
            </w:r>
          </w:p>
        </w:tc>
      </w:tr>
      <w:tr w14:paraId="7810FD9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FCD1BC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64098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22B9D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43A5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B0467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6AAA9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w:t>
            </w:r>
          </w:p>
        </w:tc>
      </w:tr>
      <w:tr w14:paraId="1831AE1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AFB682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8B66F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47A96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BBD21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92B9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7AFDA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7DC8814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019C087">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E09693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FF916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07D66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7B285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A3328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Y＜300</w:t>
            </w:r>
          </w:p>
        </w:tc>
      </w:tr>
      <w:tr w14:paraId="19F1D98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E8C47F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20338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49FEA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2B2CE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6000≤Y＜80000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61238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300≤Y＜6000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5115E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Y＜300</w:t>
            </w:r>
          </w:p>
        </w:tc>
      </w:tr>
      <w:tr w14:paraId="7713884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537ED971">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E07E0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9B438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72E90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5000≤Z＜80000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347D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300≤Z＜5000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D85DC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Z＜300</w:t>
            </w:r>
          </w:p>
        </w:tc>
      </w:tr>
      <w:tr w14:paraId="46BD368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FA2E81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6E1F5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996C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90D8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6FE2B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5≤X＜20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2C8DE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X＜5</w:t>
            </w:r>
          </w:p>
        </w:tc>
      </w:tr>
      <w:tr w14:paraId="17C87A7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3BD1815B">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640B9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6CF5B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4BDDF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3A934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8D5CB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Y＜1000</w:t>
            </w:r>
          </w:p>
        </w:tc>
      </w:tr>
      <w:tr w14:paraId="479694C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236A94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F5B6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1F3401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E42E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B0ED5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10≤X＜50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E888AF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223B98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121AE70">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2E6B8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C3482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996E1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16E34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037CB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7D03F85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3C3CBE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9A0B7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CEAB7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E1E94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D47FF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4026E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6003CB5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F3BC6E0">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93448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2CFCF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B8F8B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76A7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200≤Y＜3000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C7782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Y＜200</w:t>
            </w:r>
          </w:p>
        </w:tc>
      </w:tr>
      <w:tr w14:paraId="2E0F972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5F758A2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D8FE84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28B1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23D8C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F3F215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010DA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4770CC8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797F6E7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76327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F75C8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02B82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C6857B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7B403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045996F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87E240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ABE2C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F3C8CD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5CE6F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1DC02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8287B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76F03DF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7B757FB9">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49EC0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DC275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CC66D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69474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91ABA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50D169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C842C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7C44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7D746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0BF9C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F2F1DD">
            <w:pPr>
              <w:pStyle w:val="20"/>
              <w:widowControl/>
              <w:spacing w:line="360" w:lineRule="auto"/>
              <w:ind w:firstLine="420"/>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B6FC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5B8F291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20945456">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983CA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33F97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B156F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015D8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24FEF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168B21F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29FFD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EE9E2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ACD70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85257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C36FA8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6899D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34A8577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0AEAA834">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6B7C9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AC09F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D8475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F8876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448A5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23EDB64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CACF8F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78A0F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71A51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61EAF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100≤X＜2000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84273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27FB0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06A88C6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3B39B4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A64A3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8B87E6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805CA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1000≤Y＜100000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F301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78783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5893A7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C5FB3C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EDE80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A20D1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7578B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1A753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294F4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4F3C124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3F3B4E6">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2B0C2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14D04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E19EA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843ED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4822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w:t>
            </w:r>
          </w:p>
        </w:tc>
      </w:tr>
      <w:tr w14:paraId="3D41985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E5CAAB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C4141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7184E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03EDF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1000≤Y＜200000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8D518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3CAE7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X＜100</w:t>
            </w:r>
          </w:p>
        </w:tc>
      </w:tr>
      <w:tr w14:paraId="48EA6AD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A8AAC0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308C6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25EF5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DE0BE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5000≤Z＜10000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421D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07659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Y＜2000</w:t>
            </w:r>
          </w:p>
        </w:tc>
      </w:tr>
      <w:tr w14:paraId="7005173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C71F1A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0ABD5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0BA9C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E0484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526EC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32F7B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X＜100</w:t>
            </w:r>
          </w:p>
        </w:tc>
      </w:tr>
      <w:tr w14:paraId="096FBD9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471054A4">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5884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D9D065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D1AC6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1000≤Y＜5000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9F462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AD851F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Y＜500</w:t>
            </w:r>
          </w:p>
        </w:tc>
      </w:tr>
      <w:tr w14:paraId="0E66B89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FA8FB6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1FE70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07278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10874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D6E0A9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D51524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5F16FCE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464FC913">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F4842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62017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50675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8000≤Z＜120000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3CD3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100≤Z＜8000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09EE2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7564BFA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90380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962E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4BF59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3A8A2E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6EE75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73100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bl>
    <w:p w14:paraId="1E48C060">
      <w:pPr>
        <w:spacing w:line="360" w:lineRule="auto"/>
        <w:jc w:val="left"/>
        <w:rPr>
          <w:rFonts w:hint="eastAsia" w:ascii="宋体" w:hAnsi="宋体"/>
          <w:b/>
          <w:bCs/>
          <w:color w:val="auto"/>
          <w:highlight w:val="none"/>
        </w:rPr>
      </w:pPr>
      <w:r>
        <w:rPr>
          <w:rStyle w:val="26"/>
          <w:rFonts w:hint="eastAsia" w:ascii="宋体" w:hAnsi="宋体" w:cs="仿宋"/>
          <w:b w:val="0"/>
          <w:bCs/>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B16356">
      <w:pPr>
        <w:spacing w:line="360" w:lineRule="auto"/>
        <w:jc w:val="center"/>
        <w:rPr>
          <w:rFonts w:hint="eastAsia" w:ascii="宋体" w:hAnsi="宋体"/>
          <w:b/>
          <w:bCs/>
          <w:color w:val="auto"/>
          <w:highlight w:val="none"/>
        </w:rPr>
      </w:pPr>
    </w:p>
    <w:p w14:paraId="2E74F040">
      <w:pPr>
        <w:spacing w:line="360" w:lineRule="auto"/>
        <w:jc w:val="center"/>
        <w:rPr>
          <w:rFonts w:hint="eastAsia" w:ascii="宋体" w:hAnsi="宋体"/>
          <w:b/>
          <w:bCs/>
          <w:color w:val="auto"/>
          <w:highlight w:val="none"/>
        </w:rPr>
      </w:pPr>
    </w:p>
    <w:p w14:paraId="5B7CDA46">
      <w:pPr>
        <w:spacing w:line="360" w:lineRule="auto"/>
        <w:ind w:firstLine="2726" w:firstLineChars="1293"/>
        <w:rPr>
          <w:rFonts w:hint="eastAsia" w:ascii="宋体" w:hAnsi="宋体"/>
          <w:b/>
          <w:bCs/>
          <w:color w:val="auto"/>
          <w:highlight w:val="none"/>
        </w:rPr>
      </w:pPr>
    </w:p>
    <w:p w14:paraId="17A68048">
      <w:pPr>
        <w:spacing w:line="360" w:lineRule="auto"/>
        <w:ind w:firstLine="2726" w:firstLineChars="1293"/>
        <w:rPr>
          <w:rFonts w:hint="eastAsia" w:ascii="宋体" w:hAnsi="宋体"/>
          <w:b/>
          <w:bCs/>
          <w:color w:val="auto"/>
          <w:highlight w:val="none"/>
        </w:rPr>
      </w:pPr>
    </w:p>
    <w:p w14:paraId="1AEE4BF0">
      <w:pPr>
        <w:spacing w:line="360" w:lineRule="auto"/>
        <w:ind w:firstLine="2726" w:firstLineChars="1293"/>
        <w:rPr>
          <w:rFonts w:hint="eastAsia" w:ascii="宋体" w:hAnsi="宋体"/>
          <w:b/>
          <w:bCs/>
          <w:color w:val="auto"/>
          <w:highlight w:val="none"/>
        </w:rPr>
      </w:pPr>
    </w:p>
    <w:p w14:paraId="6E57D70B">
      <w:pPr>
        <w:spacing w:line="360" w:lineRule="auto"/>
        <w:ind w:firstLine="2726" w:firstLineChars="1293"/>
        <w:rPr>
          <w:rFonts w:hint="eastAsia" w:ascii="宋体" w:hAnsi="宋体"/>
          <w:b/>
          <w:bCs/>
          <w:color w:val="auto"/>
          <w:highlight w:val="none"/>
        </w:rPr>
      </w:pPr>
    </w:p>
    <w:p w14:paraId="4BA75C9D">
      <w:pPr>
        <w:spacing w:line="360" w:lineRule="auto"/>
        <w:ind w:firstLine="2726" w:firstLineChars="1293"/>
        <w:rPr>
          <w:rFonts w:hint="eastAsia" w:ascii="宋体" w:hAnsi="宋体"/>
          <w:b/>
          <w:bCs/>
          <w:color w:val="auto"/>
          <w:highlight w:val="none"/>
        </w:rPr>
      </w:pPr>
    </w:p>
    <w:p w14:paraId="70A33843">
      <w:pPr>
        <w:spacing w:line="360" w:lineRule="auto"/>
        <w:ind w:firstLine="2726" w:firstLineChars="1293"/>
        <w:rPr>
          <w:rFonts w:hint="eastAsia" w:ascii="宋体" w:hAnsi="宋体"/>
          <w:b/>
          <w:bCs/>
          <w:color w:val="auto"/>
          <w:highlight w:val="none"/>
        </w:rPr>
      </w:pPr>
    </w:p>
    <w:p w14:paraId="357F3220">
      <w:pPr>
        <w:spacing w:line="360" w:lineRule="auto"/>
        <w:ind w:firstLine="2726" w:firstLineChars="1293"/>
        <w:rPr>
          <w:rFonts w:hint="eastAsia" w:ascii="宋体" w:hAnsi="宋体"/>
          <w:b/>
          <w:bCs/>
          <w:color w:val="auto"/>
          <w:highlight w:val="none"/>
        </w:rPr>
      </w:pPr>
    </w:p>
    <w:p w14:paraId="5F8A12A2">
      <w:pPr>
        <w:spacing w:line="360" w:lineRule="auto"/>
        <w:ind w:firstLine="2726" w:firstLineChars="1293"/>
        <w:rPr>
          <w:rFonts w:hint="eastAsia" w:ascii="宋体" w:hAnsi="宋体"/>
          <w:b/>
          <w:bCs/>
          <w:color w:val="auto"/>
          <w:highlight w:val="none"/>
        </w:rPr>
      </w:pPr>
    </w:p>
    <w:p w14:paraId="4DEC0FEA">
      <w:pPr>
        <w:spacing w:line="360" w:lineRule="auto"/>
        <w:ind w:firstLine="2726" w:firstLineChars="1293"/>
        <w:rPr>
          <w:rFonts w:hint="eastAsia" w:ascii="宋体" w:hAnsi="宋体"/>
          <w:b/>
          <w:bCs/>
          <w:color w:val="auto"/>
          <w:highlight w:val="none"/>
        </w:rPr>
      </w:pPr>
    </w:p>
    <w:p w14:paraId="2AAF4A4B">
      <w:pPr>
        <w:spacing w:line="360" w:lineRule="auto"/>
        <w:ind w:firstLine="2726" w:firstLineChars="1293"/>
        <w:rPr>
          <w:rFonts w:hint="eastAsia" w:ascii="宋体" w:hAnsi="宋体"/>
          <w:b/>
          <w:bCs/>
          <w:color w:val="auto"/>
          <w:highlight w:val="none"/>
        </w:rPr>
      </w:pPr>
    </w:p>
    <w:p w14:paraId="468B8D0B">
      <w:pPr>
        <w:spacing w:line="360" w:lineRule="auto"/>
        <w:ind w:firstLine="2726" w:firstLineChars="1293"/>
        <w:rPr>
          <w:rFonts w:hint="eastAsia" w:ascii="宋体" w:hAnsi="宋体"/>
          <w:b/>
          <w:bCs/>
          <w:color w:val="auto"/>
          <w:highlight w:val="none"/>
        </w:rPr>
      </w:pPr>
    </w:p>
    <w:p w14:paraId="710E7CBF">
      <w:pPr>
        <w:spacing w:line="360" w:lineRule="auto"/>
        <w:ind w:firstLine="2726" w:firstLineChars="1293"/>
        <w:rPr>
          <w:rFonts w:hint="eastAsia" w:ascii="宋体" w:hAnsi="宋体"/>
          <w:b/>
          <w:bCs/>
          <w:color w:val="auto"/>
          <w:highlight w:val="none"/>
        </w:rPr>
      </w:pPr>
    </w:p>
    <w:p w14:paraId="2B4E448F">
      <w:pPr>
        <w:spacing w:line="360" w:lineRule="auto"/>
        <w:ind w:firstLine="2726" w:firstLineChars="1293"/>
        <w:rPr>
          <w:rFonts w:hint="eastAsia" w:ascii="宋体" w:hAnsi="宋体"/>
          <w:b/>
          <w:bCs/>
          <w:color w:val="auto"/>
          <w:highlight w:val="none"/>
        </w:rPr>
      </w:pPr>
    </w:p>
    <w:p w14:paraId="4ED5D1A6">
      <w:pPr>
        <w:spacing w:line="360" w:lineRule="auto"/>
        <w:ind w:firstLine="2726" w:firstLineChars="1293"/>
        <w:rPr>
          <w:rFonts w:hint="eastAsia" w:ascii="宋体" w:hAnsi="宋体"/>
          <w:b/>
          <w:bCs/>
          <w:color w:val="auto"/>
          <w:highlight w:val="none"/>
        </w:rPr>
      </w:pPr>
    </w:p>
    <w:p w14:paraId="596F0026">
      <w:pPr>
        <w:spacing w:line="360" w:lineRule="auto"/>
        <w:ind w:firstLine="2726" w:firstLineChars="1293"/>
        <w:rPr>
          <w:rFonts w:hint="eastAsia" w:ascii="宋体" w:hAnsi="宋体"/>
          <w:b/>
          <w:bCs/>
          <w:color w:val="auto"/>
          <w:highlight w:val="none"/>
        </w:rPr>
      </w:pPr>
    </w:p>
    <w:p w14:paraId="11AC60A1">
      <w:pPr>
        <w:spacing w:line="360" w:lineRule="auto"/>
        <w:ind w:firstLine="2726" w:firstLineChars="1293"/>
        <w:rPr>
          <w:rFonts w:hint="eastAsia" w:ascii="宋体" w:hAnsi="宋体"/>
          <w:b/>
          <w:bCs/>
          <w:color w:val="auto"/>
          <w:highlight w:val="none"/>
        </w:rPr>
      </w:pPr>
    </w:p>
    <w:p w14:paraId="01A01C06">
      <w:pPr>
        <w:spacing w:line="360" w:lineRule="auto"/>
        <w:ind w:firstLine="2726" w:firstLineChars="1293"/>
        <w:rPr>
          <w:rFonts w:hint="eastAsia" w:ascii="宋体" w:hAnsi="宋体"/>
          <w:b/>
          <w:bCs/>
          <w:color w:val="auto"/>
          <w:highlight w:val="none"/>
        </w:rPr>
      </w:pPr>
    </w:p>
    <w:p w14:paraId="2665BA9E">
      <w:pPr>
        <w:spacing w:line="360" w:lineRule="auto"/>
        <w:ind w:firstLine="2726" w:firstLineChars="1293"/>
        <w:rPr>
          <w:rFonts w:hint="eastAsia" w:ascii="宋体" w:hAnsi="宋体"/>
          <w:b/>
          <w:bCs/>
          <w:color w:val="auto"/>
          <w:highlight w:val="none"/>
        </w:rPr>
      </w:pPr>
    </w:p>
    <w:p w14:paraId="6B2745C9">
      <w:pPr>
        <w:spacing w:line="360" w:lineRule="auto"/>
        <w:ind w:firstLine="2726" w:firstLineChars="1293"/>
        <w:rPr>
          <w:rFonts w:ascii="宋体" w:hAnsi="宋体"/>
          <w:color w:val="auto"/>
          <w:spacing w:val="6"/>
          <w:sz w:val="30"/>
          <w:szCs w:val="30"/>
          <w:highlight w:val="none"/>
        </w:rPr>
      </w:pPr>
      <w:r>
        <w:rPr>
          <w:rFonts w:hint="eastAsia" w:ascii="宋体" w:hAnsi="宋体"/>
          <w:b/>
          <w:bCs/>
          <w:color w:val="auto"/>
          <w:highlight w:val="none"/>
        </w:rPr>
        <w:t>残疾人福利性单位声明函</w:t>
      </w:r>
    </w:p>
    <w:p w14:paraId="2AD6B5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18D096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本单位在本次政府采购活动中提供的残疾人福利单位产品报价合计为人民币（大写）圆整（￥：     ）。</w:t>
      </w:r>
    </w:p>
    <w:p w14:paraId="375ED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C81099A">
      <w:pPr>
        <w:spacing w:line="360" w:lineRule="auto"/>
        <w:ind w:firstLine="420" w:firstLineChars="200"/>
        <w:rPr>
          <w:rFonts w:ascii="宋体" w:hAnsi="宋体"/>
          <w:color w:val="auto"/>
          <w:szCs w:val="21"/>
          <w:highlight w:val="none"/>
        </w:rPr>
      </w:pPr>
    </w:p>
    <w:p w14:paraId="6AC2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0AD4633F">
      <w:pPr>
        <w:spacing w:line="360" w:lineRule="auto"/>
        <w:ind w:firstLine="444" w:firstLineChars="200"/>
        <w:rPr>
          <w:rFonts w:ascii="宋体" w:hAnsi="宋体"/>
          <w:color w:val="auto"/>
          <w:spacing w:val="6"/>
          <w:szCs w:val="21"/>
          <w:highlight w:val="none"/>
        </w:rPr>
      </w:pPr>
    </w:p>
    <w:p w14:paraId="217FFFE5">
      <w:pPr>
        <w:tabs>
          <w:tab w:val="left" w:pos="4860"/>
        </w:tabs>
        <w:spacing w:line="360" w:lineRule="auto"/>
        <w:ind w:right="1560" w:firstLine="420" w:firstLineChars="200"/>
        <w:jc w:val="right"/>
        <w:rPr>
          <w:rFonts w:ascii="宋体" w:hAnsi="宋体"/>
          <w:color w:val="auto"/>
          <w:szCs w:val="21"/>
          <w:highlight w:val="none"/>
        </w:rPr>
      </w:pPr>
      <w:r>
        <w:rPr>
          <w:rFonts w:hint="eastAsia" w:ascii="宋体" w:hAnsi="宋体"/>
          <w:color w:val="auto"/>
          <w:szCs w:val="21"/>
          <w:highlight w:val="none"/>
        </w:rPr>
        <w:t xml:space="preserve">               供应商全称（盖章）：</w:t>
      </w:r>
    </w:p>
    <w:p w14:paraId="7502E695">
      <w:pPr>
        <w:tabs>
          <w:tab w:val="left" w:pos="4860"/>
        </w:tabs>
        <w:spacing w:line="360" w:lineRule="auto"/>
        <w:ind w:right="1560" w:firstLine="420" w:firstLineChars="200"/>
        <w:jc w:val="right"/>
        <w:rPr>
          <w:rFonts w:ascii="宋体" w:hAnsi="宋体"/>
          <w:color w:val="auto"/>
          <w:szCs w:val="21"/>
          <w:highlight w:val="none"/>
        </w:rPr>
      </w:pPr>
      <w:r>
        <w:rPr>
          <w:rFonts w:hint="eastAsia" w:ascii="宋体" w:hAnsi="宋体"/>
          <w:color w:val="auto"/>
          <w:szCs w:val="21"/>
          <w:highlight w:val="none"/>
        </w:rPr>
        <w:t xml:space="preserve">                              日  期：</w:t>
      </w:r>
    </w:p>
    <w:p w14:paraId="7723621A">
      <w:pPr>
        <w:widowControl/>
        <w:spacing w:line="360" w:lineRule="auto"/>
        <w:jc w:val="left"/>
        <w:rPr>
          <w:rFonts w:ascii="宋体" w:hAnsi="宋体" w:cs="Arial"/>
          <w:b/>
          <w:bCs/>
          <w:color w:val="auto"/>
          <w:highlight w:val="none"/>
        </w:rPr>
      </w:pPr>
    </w:p>
    <w:p w14:paraId="41530A32">
      <w:pPr>
        <w:widowControl/>
        <w:spacing w:line="360" w:lineRule="auto"/>
        <w:jc w:val="left"/>
        <w:rPr>
          <w:rFonts w:ascii="宋体" w:hAnsi="宋体" w:cs="Arial"/>
          <w:b/>
          <w:bCs/>
          <w:color w:val="auto"/>
          <w:highlight w:val="none"/>
        </w:rPr>
      </w:pPr>
    </w:p>
    <w:p w14:paraId="0195CB11">
      <w:pPr>
        <w:widowControl/>
        <w:spacing w:line="360" w:lineRule="auto"/>
        <w:jc w:val="left"/>
        <w:rPr>
          <w:rFonts w:ascii="宋体" w:hAnsi="宋体" w:cs="Arial"/>
          <w:b/>
          <w:bCs/>
          <w:color w:val="auto"/>
          <w:highlight w:val="none"/>
        </w:rPr>
      </w:pPr>
    </w:p>
    <w:p w14:paraId="71EADCB0">
      <w:pPr>
        <w:widowControl/>
        <w:spacing w:line="360" w:lineRule="auto"/>
        <w:jc w:val="left"/>
        <w:rPr>
          <w:rFonts w:ascii="宋体" w:hAnsi="宋体" w:cs="Arial"/>
          <w:b/>
          <w:bCs/>
          <w:color w:val="auto"/>
          <w:highlight w:val="none"/>
        </w:rPr>
      </w:pPr>
    </w:p>
    <w:p w14:paraId="7051C774">
      <w:pPr>
        <w:widowControl/>
        <w:spacing w:line="360" w:lineRule="auto"/>
        <w:jc w:val="left"/>
        <w:rPr>
          <w:rFonts w:ascii="宋体" w:hAnsi="宋体" w:cs="Arial"/>
          <w:b/>
          <w:bCs/>
          <w:color w:val="auto"/>
          <w:highlight w:val="none"/>
        </w:rPr>
      </w:pPr>
    </w:p>
    <w:p w14:paraId="399F207C">
      <w:pPr>
        <w:widowControl/>
        <w:spacing w:line="360" w:lineRule="auto"/>
        <w:jc w:val="left"/>
        <w:rPr>
          <w:rFonts w:ascii="宋体" w:hAnsi="宋体" w:cs="Arial"/>
          <w:b/>
          <w:bCs/>
          <w:color w:val="auto"/>
          <w:highlight w:val="none"/>
        </w:rPr>
      </w:pPr>
    </w:p>
    <w:p w14:paraId="23F7D882">
      <w:pPr>
        <w:widowControl/>
        <w:spacing w:line="360" w:lineRule="auto"/>
        <w:jc w:val="left"/>
        <w:rPr>
          <w:rFonts w:ascii="宋体" w:hAnsi="宋体" w:cs="Arial"/>
          <w:b/>
          <w:bCs/>
          <w:color w:val="auto"/>
          <w:highlight w:val="none"/>
        </w:rPr>
      </w:pPr>
    </w:p>
    <w:p w14:paraId="4FD7AB2A">
      <w:pPr>
        <w:spacing w:line="360" w:lineRule="auto"/>
        <w:jc w:val="center"/>
        <w:rPr>
          <w:rFonts w:ascii="宋体" w:hAnsi="宋体" w:cs="Arial"/>
          <w:b/>
          <w:bCs/>
          <w:color w:val="auto"/>
          <w:highlight w:val="none"/>
        </w:rPr>
      </w:pPr>
    </w:p>
    <w:p w14:paraId="71C087AD">
      <w:pPr>
        <w:widowControl/>
        <w:spacing w:line="360" w:lineRule="auto"/>
        <w:jc w:val="left"/>
        <w:rPr>
          <w:rFonts w:ascii="宋体" w:hAnsi="宋体" w:cs="Arial"/>
          <w:b/>
          <w:bCs/>
          <w:color w:val="auto"/>
          <w:highlight w:val="none"/>
        </w:rPr>
      </w:pPr>
    </w:p>
    <w:p w14:paraId="3DBF35D1">
      <w:pPr>
        <w:widowControl/>
        <w:spacing w:line="360" w:lineRule="auto"/>
        <w:jc w:val="left"/>
        <w:rPr>
          <w:rFonts w:ascii="宋体" w:hAnsi="宋体" w:cs="Arial"/>
          <w:b/>
          <w:bCs/>
          <w:color w:val="auto"/>
          <w:highlight w:val="none"/>
        </w:rPr>
      </w:pPr>
    </w:p>
    <w:p w14:paraId="67DDCFA6">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66542F">
      <w:pPr>
        <w:pStyle w:val="3"/>
        <w:spacing w:line="360" w:lineRule="auto"/>
        <w:rPr>
          <w:rFonts w:ascii="宋体" w:hAnsi="宋体" w:eastAsia="宋体"/>
          <w:color w:val="auto"/>
          <w:sz w:val="32"/>
          <w:highlight w:val="none"/>
        </w:rPr>
      </w:pPr>
      <w:r>
        <w:rPr>
          <w:rFonts w:hint="eastAsia" w:ascii="宋体" w:hAnsi="宋体" w:eastAsia="宋体"/>
          <w:color w:val="auto"/>
          <w:sz w:val="32"/>
          <w:highlight w:val="none"/>
        </w:rPr>
        <w:t>四、开标一览表</w:t>
      </w:r>
    </w:p>
    <w:p w14:paraId="2771FC95">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8220AC9">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67B52956">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3901FF8D">
      <w:pPr>
        <w:spacing w:line="360" w:lineRule="auto"/>
        <w:ind w:firstLine="480"/>
        <w:rPr>
          <w:rFonts w:ascii="宋体" w:hAnsi="宋体"/>
          <w:color w:val="auto"/>
          <w:szCs w:val="21"/>
          <w:highlight w:val="none"/>
        </w:rPr>
      </w:pPr>
    </w:p>
    <w:tbl>
      <w:tblPr>
        <w:tblStyle w:val="23"/>
        <w:tblW w:w="8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997"/>
      </w:tblGrid>
      <w:tr w14:paraId="1B44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14:paraId="05DFFAB9">
            <w:pPr>
              <w:pStyle w:val="8"/>
              <w:adjustRightInd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项目名称</w:t>
            </w:r>
          </w:p>
        </w:tc>
        <w:tc>
          <w:tcPr>
            <w:tcW w:w="5997" w:type="dxa"/>
            <w:vAlign w:val="center"/>
          </w:tcPr>
          <w:p w14:paraId="5133CB7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投标总报价（元）</w:t>
            </w:r>
          </w:p>
        </w:tc>
      </w:tr>
      <w:tr w14:paraId="33E1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2481" w:type="dxa"/>
            <w:vAlign w:val="center"/>
          </w:tcPr>
          <w:p w14:paraId="34410A8C">
            <w:pPr>
              <w:pStyle w:val="8"/>
              <w:adjustRightInd w:val="0"/>
              <w:snapToGrid w:val="0"/>
              <w:spacing w:line="360" w:lineRule="auto"/>
              <w:rPr>
                <w:rFonts w:ascii="宋体" w:hAnsi="宋体" w:eastAsia="宋体" w:cs="宋体"/>
                <w:color w:val="auto"/>
                <w:sz w:val="21"/>
                <w:szCs w:val="21"/>
                <w:highlight w:val="none"/>
              </w:rPr>
            </w:pPr>
          </w:p>
        </w:tc>
        <w:tc>
          <w:tcPr>
            <w:tcW w:w="5997" w:type="dxa"/>
            <w:vAlign w:val="center"/>
          </w:tcPr>
          <w:p w14:paraId="4ED0225D">
            <w:pPr>
              <w:pStyle w:val="37"/>
              <w:spacing w:before="0" w:after="0"/>
              <w:ind w:firstLine="0"/>
              <w:rPr>
                <w:rFonts w:ascii="宋体" w:hAnsi="宋体" w:cs="宋体"/>
                <w:color w:val="auto"/>
                <w:sz w:val="21"/>
                <w:szCs w:val="21"/>
                <w:highlight w:val="none"/>
              </w:rPr>
            </w:pPr>
          </w:p>
          <w:p w14:paraId="51DC16CE">
            <w:pPr>
              <w:pStyle w:val="37"/>
              <w:spacing w:before="0" w:after="0"/>
              <w:ind w:firstLine="0"/>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rPr>
              <w:t>大写：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元</w:t>
            </w:r>
          </w:p>
          <w:p w14:paraId="0F3A85CC">
            <w:pPr>
              <w:pStyle w:val="37"/>
              <w:spacing w:before="0" w:after="0"/>
              <w:ind w:firstLine="0"/>
              <w:rPr>
                <w:rFonts w:ascii="宋体" w:hAnsi="宋体" w:cs="宋体"/>
                <w:color w:val="auto"/>
                <w:sz w:val="21"/>
                <w:szCs w:val="21"/>
                <w:highlight w:val="none"/>
              </w:rPr>
            </w:pPr>
          </w:p>
          <w:p w14:paraId="6CF9A5F0">
            <w:pPr>
              <w:pStyle w:val="37"/>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小写：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rPr>
              <w:t>（人民币）</w:t>
            </w:r>
          </w:p>
          <w:p w14:paraId="7F4F3C82">
            <w:pPr>
              <w:pStyle w:val="37"/>
              <w:spacing w:before="0" w:after="0"/>
              <w:ind w:firstLine="0"/>
              <w:rPr>
                <w:rFonts w:ascii="宋体" w:hAnsi="宋体" w:cs="宋体"/>
                <w:color w:val="auto"/>
                <w:sz w:val="21"/>
                <w:szCs w:val="21"/>
                <w:highlight w:val="none"/>
              </w:rPr>
            </w:pPr>
          </w:p>
        </w:tc>
      </w:tr>
    </w:tbl>
    <w:p w14:paraId="08830ABF">
      <w:pPr>
        <w:spacing w:line="360" w:lineRule="auto"/>
        <w:rPr>
          <w:rFonts w:ascii="宋体" w:hAnsi="宋体"/>
          <w:color w:val="auto"/>
          <w:szCs w:val="21"/>
          <w:highlight w:val="none"/>
        </w:rPr>
      </w:pPr>
    </w:p>
    <w:p w14:paraId="30DE8FD6">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                                              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期：  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3930000A">
      <w:pPr>
        <w:pStyle w:val="9"/>
        <w:rPr>
          <w:rFonts w:ascii="宋体" w:hAnsi="宋体"/>
          <w:color w:val="auto"/>
          <w:szCs w:val="21"/>
          <w:highlight w:val="none"/>
        </w:rPr>
      </w:pPr>
    </w:p>
    <w:p w14:paraId="28CE862E">
      <w:pPr>
        <w:pBdr>
          <w:top w:val="none" w:color="000000" w:sz="0" w:space="0"/>
          <w:left w:val="none" w:color="000000" w:sz="0" w:space="0"/>
          <w:bottom w:val="none" w:color="000000" w:sz="0" w:space="0"/>
          <w:right w:val="none" w:color="000000" w:sz="0" w:space="0"/>
        </w:pBdr>
        <w:ind w:firstLine="640"/>
        <w:rPr>
          <w:rFonts w:ascii="宋体" w:hAnsi="宋体"/>
          <w:color w:val="auto"/>
          <w:highlight w:val="none"/>
        </w:rPr>
      </w:pPr>
      <w:r>
        <w:rPr>
          <w:rFonts w:ascii="宋体" w:hAnsi="宋体" w:cs="宋体"/>
          <w:color w:val="auto"/>
          <w:sz w:val="32"/>
          <w:highlight w:val="none"/>
        </w:rPr>
        <w:t> </w:t>
      </w:r>
    </w:p>
    <w:p w14:paraId="5DFADB54">
      <w:pPr>
        <w:spacing w:line="360" w:lineRule="auto"/>
        <w:ind w:firstLine="480"/>
        <w:rPr>
          <w:rFonts w:ascii="宋体" w:hAnsi="宋体"/>
          <w:color w:val="auto"/>
          <w:szCs w:val="21"/>
          <w:highlight w:val="none"/>
        </w:rPr>
      </w:pPr>
      <w:r>
        <w:rPr>
          <w:rFonts w:ascii="宋体" w:hAnsi="宋体"/>
          <w:color w:val="auto"/>
          <w:szCs w:val="21"/>
          <w:highlight w:val="none"/>
        </w:rPr>
        <w:t>填写说明：</w:t>
      </w:r>
    </w:p>
    <w:p w14:paraId="39353785">
      <w:pPr>
        <w:spacing w:line="360" w:lineRule="auto"/>
        <w:ind w:firstLine="420" w:firstLineChars="200"/>
        <w:rPr>
          <w:rFonts w:ascii="宋体" w:hAnsi="宋体"/>
          <w:bCs/>
          <w:color w:val="auto"/>
          <w:szCs w:val="21"/>
          <w:highlight w:val="none"/>
        </w:rPr>
      </w:pPr>
      <w:r>
        <w:rPr>
          <w:rFonts w:hint="eastAsia" w:ascii="宋体" w:hAnsi="宋体"/>
          <w:i/>
          <w:color w:val="auto"/>
          <w:szCs w:val="21"/>
          <w:highlight w:val="none"/>
        </w:rPr>
        <w:t>1、</w:t>
      </w:r>
      <w:r>
        <w:rPr>
          <w:rFonts w:hint="eastAsia" w:ascii="宋体" w:hAnsi="宋体"/>
          <w:bCs/>
          <w:i/>
          <w:iCs/>
          <w:color w:val="auto"/>
          <w:szCs w:val="21"/>
          <w:highlight w:val="none"/>
          <w:u w:val="single"/>
        </w:rPr>
        <w:t>开标一览表必须加盖投标人公章（复印件无效）</w:t>
      </w:r>
      <w:r>
        <w:rPr>
          <w:rFonts w:hint="eastAsia" w:ascii="宋体" w:hAnsi="宋体"/>
          <w:i/>
          <w:color w:val="auto"/>
          <w:szCs w:val="21"/>
          <w:highlight w:val="none"/>
        </w:rPr>
        <w:t>。</w:t>
      </w:r>
    </w:p>
    <w:p w14:paraId="313B0807">
      <w:pPr>
        <w:ind w:firstLine="420"/>
        <w:rPr>
          <w:rFonts w:ascii="宋体" w:hAnsi="宋体"/>
          <w:color w:val="auto"/>
          <w:szCs w:val="21"/>
          <w:highlight w:val="none"/>
        </w:rPr>
      </w:pPr>
      <w:r>
        <w:rPr>
          <w:rFonts w:hint="eastAsia" w:ascii="宋体" w:hAnsi="宋体"/>
          <w:color w:val="auto"/>
          <w:szCs w:val="21"/>
          <w:highlight w:val="none"/>
        </w:rPr>
        <w:t>2、如有分包，投标人投任何一个包的标的，都需单独填写开标一览表。</w:t>
      </w:r>
    </w:p>
    <w:p w14:paraId="2E42E1DE">
      <w:pPr>
        <w:pBdr>
          <w:top w:val="none" w:color="000000" w:sz="0" w:space="0"/>
          <w:left w:val="none" w:color="000000" w:sz="0" w:space="0"/>
          <w:bottom w:val="none" w:color="000000" w:sz="0" w:space="0"/>
          <w:right w:val="none" w:color="000000" w:sz="0" w:space="0"/>
        </w:pBdr>
        <w:spacing w:line="440" w:lineRule="exact"/>
        <w:ind w:firstLine="420" w:firstLineChars="200"/>
        <w:jc w:val="left"/>
        <w:rPr>
          <w:rFonts w:ascii="宋体" w:hAnsi="宋体"/>
          <w:color w:val="auto"/>
          <w:highlight w:val="none"/>
        </w:rPr>
      </w:pPr>
    </w:p>
    <w:p w14:paraId="7CC5B89A">
      <w:pPr>
        <w:rPr>
          <w:rFonts w:ascii="宋体" w:hAnsi="宋体"/>
          <w:color w:val="auto"/>
          <w:highlight w:val="none"/>
        </w:rPr>
      </w:pPr>
    </w:p>
    <w:p w14:paraId="4D717B0B">
      <w:pPr>
        <w:pStyle w:val="6"/>
        <w:spacing w:line="360" w:lineRule="auto"/>
        <w:ind w:firstLine="640"/>
        <w:rPr>
          <w:rFonts w:ascii="宋体" w:hAnsi="宋体"/>
          <w:color w:val="auto"/>
          <w:sz w:val="32"/>
          <w:szCs w:val="32"/>
          <w:highlight w:val="none"/>
        </w:rPr>
      </w:pPr>
    </w:p>
    <w:p w14:paraId="2AF691F5">
      <w:pPr>
        <w:pStyle w:val="6"/>
        <w:spacing w:line="360" w:lineRule="auto"/>
        <w:ind w:firstLine="640"/>
        <w:rPr>
          <w:rFonts w:ascii="宋体" w:hAnsi="宋体"/>
          <w:color w:val="auto"/>
          <w:sz w:val="32"/>
          <w:szCs w:val="32"/>
          <w:highlight w:val="none"/>
        </w:rPr>
      </w:pPr>
    </w:p>
    <w:p w14:paraId="4B61EB21">
      <w:pPr>
        <w:spacing w:line="360" w:lineRule="auto"/>
        <w:rPr>
          <w:rFonts w:ascii="宋体" w:hAnsi="宋体"/>
          <w:color w:val="auto"/>
          <w:sz w:val="32"/>
          <w:szCs w:val="32"/>
          <w:highlight w:val="none"/>
        </w:rPr>
      </w:pPr>
      <w:r>
        <w:rPr>
          <w:rFonts w:hint="eastAsia" w:ascii="宋体" w:hAnsi="宋体"/>
          <w:color w:val="auto"/>
          <w:sz w:val="32"/>
          <w:szCs w:val="32"/>
          <w:highlight w:val="none"/>
        </w:rPr>
        <w:br w:type="page"/>
      </w:r>
    </w:p>
    <w:p w14:paraId="58AF02F3">
      <w:pPr>
        <w:pStyle w:val="3"/>
        <w:numPr>
          <w:ilvl w:val="0"/>
          <w:numId w:val="5"/>
        </w:numPr>
        <w:pBdr>
          <w:top w:val="none" w:color="000000" w:sz="0" w:space="0"/>
          <w:left w:val="none" w:color="000000" w:sz="0" w:space="0"/>
          <w:bottom w:val="none" w:color="000000" w:sz="0" w:space="0"/>
          <w:right w:val="none" w:color="000000" w:sz="0" w:space="0"/>
        </w:pBdr>
        <w:spacing w:line="761" w:lineRule="atLeast"/>
        <w:rPr>
          <w:rFonts w:hint="eastAsia" w:ascii="宋体" w:hAnsi="宋体" w:eastAsia="宋体"/>
          <w:color w:val="auto"/>
          <w:sz w:val="32"/>
          <w:highlight w:val="none"/>
        </w:rPr>
      </w:pPr>
      <w:r>
        <w:rPr>
          <w:rFonts w:hint="eastAsia" w:ascii="宋体" w:hAnsi="宋体" w:eastAsia="宋体"/>
          <w:color w:val="auto"/>
          <w:sz w:val="32"/>
          <w:highlight w:val="none"/>
          <w:lang w:val="en-US" w:eastAsia="zh-CN"/>
        </w:rPr>
        <w:t>分项报价</w:t>
      </w:r>
      <w:r>
        <w:rPr>
          <w:rFonts w:hint="eastAsia" w:ascii="宋体" w:hAnsi="宋体" w:eastAsia="宋体"/>
          <w:color w:val="auto"/>
          <w:sz w:val="32"/>
          <w:highlight w:val="none"/>
        </w:rPr>
        <w:t>表</w:t>
      </w:r>
    </w:p>
    <w:p w14:paraId="5AF000AD">
      <w:pPr>
        <w:numPr>
          <w:ilvl w:val="0"/>
          <w:numId w:val="0"/>
        </w:numPr>
        <w:rPr>
          <w:rFonts w:hint="default"/>
          <w:highlight w:val="none"/>
          <w:lang w:val="en-US" w:eastAsia="zh-CN"/>
        </w:rPr>
      </w:pPr>
      <w:r>
        <w:rPr>
          <w:rFonts w:hint="eastAsia"/>
          <w:highlight w:val="none"/>
          <w:lang w:val="en-US" w:eastAsia="zh-CN"/>
        </w:rPr>
        <w:t xml:space="preserve">                                 </w:t>
      </w:r>
      <w:r>
        <w:rPr>
          <w:rFonts w:hint="eastAsia"/>
          <w:b/>
          <w:sz w:val="28"/>
          <w:szCs w:val="28"/>
          <w:highlight w:val="none"/>
          <w:lang w:val="en-US" w:eastAsia="zh-CN"/>
        </w:rPr>
        <w:t>分项</w:t>
      </w:r>
      <w:r>
        <w:rPr>
          <w:rFonts w:hint="eastAsia"/>
          <w:b/>
          <w:sz w:val="28"/>
          <w:szCs w:val="28"/>
          <w:highlight w:val="none"/>
        </w:rPr>
        <w:t>报价表</w:t>
      </w:r>
    </w:p>
    <w:p w14:paraId="42CB44A1">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2E4DBFB">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tbl>
      <w:tblPr>
        <w:tblStyle w:val="23"/>
        <w:tblpPr w:leftFromText="180" w:rightFromText="180" w:vertAnchor="text" w:horzAnchor="page" w:tblpX="1117" w:tblpY="853"/>
        <w:tblOverlap w:val="never"/>
        <w:tblW w:w="10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540"/>
        <w:gridCol w:w="1430"/>
        <w:gridCol w:w="1840"/>
        <w:gridCol w:w="1450"/>
        <w:gridCol w:w="1560"/>
        <w:gridCol w:w="1180"/>
      </w:tblGrid>
      <w:tr w14:paraId="70FA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250" w:type="dxa"/>
            <w:vAlign w:val="center"/>
          </w:tcPr>
          <w:p w14:paraId="0F7F69F9">
            <w:pPr>
              <w:spacing w:line="360" w:lineRule="auto"/>
              <w:jc w:val="center"/>
              <w:rPr>
                <w:rFonts w:hint="eastAsia"/>
                <w:b/>
                <w:color w:val="000000"/>
                <w:highlight w:val="none"/>
                <w:lang w:eastAsia="zh-CN"/>
              </w:rPr>
            </w:pPr>
            <w:r>
              <w:rPr>
                <w:rFonts w:hint="eastAsia"/>
                <w:b/>
                <w:color w:val="000000"/>
                <w:highlight w:val="none"/>
                <w:lang w:eastAsia="zh-CN"/>
              </w:rPr>
              <w:t>序号</w:t>
            </w:r>
          </w:p>
        </w:tc>
        <w:tc>
          <w:tcPr>
            <w:tcW w:w="1540" w:type="dxa"/>
            <w:vAlign w:val="center"/>
          </w:tcPr>
          <w:p w14:paraId="79C030D3">
            <w:pPr>
              <w:spacing w:line="360" w:lineRule="auto"/>
              <w:jc w:val="center"/>
              <w:rPr>
                <w:rFonts w:hint="eastAsia"/>
                <w:b/>
                <w:color w:val="000000"/>
                <w:highlight w:val="none"/>
                <w:lang w:eastAsia="zh-CN"/>
              </w:rPr>
            </w:pPr>
            <w:r>
              <w:rPr>
                <w:rFonts w:hint="eastAsia"/>
                <w:b/>
                <w:color w:val="000000"/>
                <w:highlight w:val="none"/>
                <w:lang w:val="en-US" w:eastAsia="zh-CN"/>
              </w:rPr>
              <w:t>产品</w:t>
            </w:r>
          </w:p>
        </w:tc>
        <w:tc>
          <w:tcPr>
            <w:tcW w:w="1430" w:type="dxa"/>
            <w:vAlign w:val="center"/>
          </w:tcPr>
          <w:p w14:paraId="07734A64">
            <w:pPr>
              <w:spacing w:line="360" w:lineRule="auto"/>
              <w:jc w:val="center"/>
              <w:rPr>
                <w:rFonts w:hint="eastAsia" w:eastAsia="宋体"/>
                <w:b/>
                <w:color w:val="000000"/>
                <w:highlight w:val="none"/>
                <w:lang w:eastAsia="zh-CN"/>
              </w:rPr>
            </w:pPr>
            <w:r>
              <w:rPr>
                <w:rFonts w:hint="eastAsia"/>
                <w:b/>
                <w:color w:val="000000"/>
                <w:highlight w:val="none"/>
                <w:lang w:eastAsia="zh-CN"/>
              </w:rPr>
              <w:t>产品规格</w:t>
            </w:r>
          </w:p>
        </w:tc>
        <w:tc>
          <w:tcPr>
            <w:tcW w:w="1840" w:type="dxa"/>
            <w:vAlign w:val="center"/>
          </w:tcPr>
          <w:p w14:paraId="0B2F235F">
            <w:pPr>
              <w:spacing w:line="360" w:lineRule="auto"/>
              <w:jc w:val="center"/>
              <w:rPr>
                <w:rFonts w:hint="eastAsia"/>
                <w:b/>
                <w:color w:val="000000"/>
                <w:highlight w:val="none"/>
                <w:lang w:eastAsia="zh-CN"/>
              </w:rPr>
            </w:pPr>
            <w:r>
              <w:rPr>
                <w:rFonts w:hint="eastAsia"/>
                <w:b/>
                <w:color w:val="000000"/>
                <w:highlight w:val="none"/>
                <w:lang w:eastAsia="zh-CN"/>
              </w:rPr>
              <w:t>生产企业</w:t>
            </w:r>
          </w:p>
          <w:p w14:paraId="46C56708">
            <w:pPr>
              <w:spacing w:line="360" w:lineRule="auto"/>
              <w:jc w:val="center"/>
              <w:rPr>
                <w:rFonts w:hint="eastAsia"/>
                <w:b/>
                <w:color w:val="000000"/>
                <w:highlight w:val="none"/>
                <w:lang w:eastAsia="zh-CN"/>
              </w:rPr>
            </w:pPr>
            <w:r>
              <w:rPr>
                <w:rFonts w:hint="eastAsia"/>
                <w:b/>
                <w:color w:val="000000"/>
                <w:highlight w:val="none"/>
                <w:lang w:eastAsia="zh-CN"/>
              </w:rPr>
              <w:t>或授权企业</w:t>
            </w:r>
          </w:p>
        </w:tc>
        <w:tc>
          <w:tcPr>
            <w:tcW w:w="1450" w:type="dxa"/>
            <w:vAlign w:val="center"/>
          </w:tcPr>
          <w:p w14:paraId="52CA4D3F">
            <w:pPr>
              <w:spacing w:line="360" w:lineRule="auto"/>
              <w:jc w:val="center"/>
              <w:rPr>
                <w:rFonts w:hint="eastAsia"/>
                <w:b/>
                <w:color w:val="000000"/>
                <w:highlight w:val="none"/>
              </w:rPr>
            </w:pPr>
            <w:r>
              <w:rPr>
                <w:rFonts w:hint="eastAsia"/>
                <w:b/>
                <w:color w:val="000000"/>
                <w:highlight w:val="none"/>
              </w:rPr>
              <w:t>单价</w:t>
            </w:r>
          </w:p>
          <w:p w14:paraId="4F5567C0">
            <w:pPr>
              <w:spacing w:line="360" w:lineRule="auto"/>
              <w:jc w:val="center"/>
              <w:rPr>
                <w:rFonts w:hint="eastAsia"/>
                <w:b/>
                <w:color w:val="000000"/>
                <w:highlight w:val="none"/>
              </w:rPr>
            </w:pPr>
            <w:r>
              <w:rPr>
                <w:rFonts w:hint="eastAsia"/>
                <w:b/>
                <w:color w:val="000000"/>
                <w:highlight w:val="none"/>
                <w:lang w:val="en-US" w:eastAsia="zh-CN"/>
              </w:rPr>
              <w:t>（元/g或ml）</w:t>
            </w:r>
          </w:p>
        </w:tc>
        <w:tc>
          <w:tcPr>
            <w:tcW w:w="1560" w:type="dxa"/>
            <w:vAlign w:val="center"/>
          </w:tcPr>
          <w:p w14:paraId="3C652BDD">
            <w:pPr>
              <w:spacing w:line="360" w:lineRule="auto"/>
              <w:jc w:val="center"/>
              <w:rPr>
                <w:rFonts w:hint="eastAsia"/>
                <w:b/>
                <w:color w:val="000000"/>
                <w:highlight w:val="none"/>
              </w:rPr>
            </w:pPr>
            <w:r>
              <w:rPr>
                <w:rFonts w:hint="eastAsia"/>
                <w:b/>
                <w:color w:val="000000"/>
                <w:highlight w:val="none"/>
              </w:rPr>
              <w:t>数量</w:t>
            </w:r>
          </w:p>
          <w:p w14:paraId="08335844">
            <w:pPr>
              <w:spacing w:line="360" w:lineRule="auto"/>
              <w:jc w:val="center"/>
              <w:rPr>
                <w:rFonts w:hint="eastAsia"/>
                <w:b/>
                <w:color w:val="000000"/>
                <w:highlight w:val="none"/>
              </w:rPr>
            </w:pPr>
            <w:r>
              <w:rPr>
                <w:rFonts w:hint="eastAsia"/>
                <w:b/>
                <w:color w:val="000000"/>
                <w:highlight w:val="none"/>
                <w:lang w:val="en-US" w:eastAsia="zh-CN"/>
              </w:rPr>
              <w:t>(g或ml)</w:t>
            </w:r>
          </w:p>
        </w:tc>
        <w:tc>
          <w:tcPr>
            <w:tcW w:w="1180" w:type="dxa"/>
            <w:vAlign w:val="center"/>
          </w:tcPr>
          <w:p w14:paraId="17CF69E0">
            <w:pPr>
              <w:spacing w:line="360" w:lineRule="auto"/>
              <w:jc w:val="center"/>
              <w:rPr>
                <w:rFonts w:hint="eastAsia"/>
                <w:b/>
                <w:color w:val="000000"/>
                <w:highlight w:val="none"/>
                <w:lang w:val="en-US" w:eastAsia="zh-CN"/>
              </w:rPr>
            </w:pPr>
            <w:r>
              <w:rPr>
                <w:rFonts w:hint="eastAsia"/>
                <w:b/>
                <w:color w:val="000000"/>
                <w:highlight w:val="none"/>
                <w:lang w:val="en-US" w:eastAsia="zh-CN"/>
              </w:rPr>
              <w:t>小计（元）</w:t>
            </w:r>
          </w:p>
        </w:tc>
      </w:tr>
      <w:tr w14:paraId="6D83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46CC4273">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540" w:type="dxa"/>
            <w:vAlign w:val="center"/>
          </w:tcPr>
          <w:p w14:paraId="14DE7BA2">
            <w:pPr>
              <w:spacing w:line="360" w:lineRule="auto"/>
              <w:rPr>
                <w:rFonts w:ascii="宋体" w:hAnsi="宋体"/>
                <w:color w:val="auto"/>
                <w:szCs w:val="21"/>
                <w:highlight w:val="none"/>
              </w:rPr>
            </w:pPr>
          </w:p>
        </w:tc>
        <w:tc>
          <w:tcPr>
            <w:tcW w:w="1430" w:type="dxa"/>
            <w:vAlign w:val="center"/>
          </w:tcPr>
          <w:p w14:paraId="43377BD4">
            <w:pPr>
              <w:spacing w:line="360" w:lineRule="auto"/>
              <w:rPr>
                <w:rFonts w:ascii="宋体" w:hAnsi="宋体"/>
                <w:color w:val="auto"/>
                <w:szCs w:val="21"/>
                <w:highlight w:val="none"/>
              </w:rPr>
            </w:pPr>
          </w:p>
        </w:tc>
        <w:tc>
          <w:tcPr>
            <w:tcW w:w="1840" w:type="dxa"/>
            <w:vAlign w:val="center"/>
          </w:tcPr>
          <w:p w14:paraId="6F549CEF">
            <w:pPr>
              <w:spacing w:line="360" w:lineRule="auto"/>
              <w:rPr>
                <w:rFonts w:ascii="宋体" w:hAnsi="宋体"/>
                <w:color w:val="auto"/>
                <w:szCs w:val="21"/>
                <w:highlight w:val="none"/>
              </w:rPr>
            </w:pPr>
          </w:p>
        </w:tc>
        <w:tc>
          <w:tcPr>
            <w:tcW w:w="1450" w:type="dxa"/>
            <w:vAlign w:val="center"/>
          </w:tcPr>
          <w:p w14:paraId="580B8EC1">
            <w:pPr>
              <w:spacing w:line="360" w:lineRule="auto"/>
              <w:rPr>
                <w:rFonts w:ascii="宋体" w:hAnsi="宋体"/>
                <w:color w:val="auto"/>
                <w:szCs w:val="21"/>
                <w:highlight w:val="none"/>
              </w:rPr>
            </w:pPr>
          </w:p>
        </w:tc>
        <w:tc>
          <w:tcPr>
            <w:tcW w:w="1560" w:type="dxa"/>
            <w:vAlign w:val="center"/>
          </w:tcPr>
          <w:p w14:paraId="2DA110E5">
            <w:pPr>
              <w:spacing w:line="360" w:lineRule="auto"/>
              <w:rPr>
                <w:rFonts w:ascii="宋体" w:hAnsi="宋体"/>
                <w:color w:val="auto"/>
                <w:szCs w:val="21"/>
                <w:highlight w:val="none"/>
              </w:rPr>
            </w:pPr>
          </w:p>
        </w:tc>
        <w:tc>
          <w:tcPr>
            <w:tcW w:w="1180" w:type="dxa"/>
            <w:vAlign w:val="center"/>
          </w:tcPr>
          <w:p w14:paraId="4B2C5BB1">
            <w:pPr>
              <w:spacing w:line="360" w:lineRule="auto"/>
              <w:rPr>
                <w:rFonts w:ascii="宋体" w:hAnsi="宋体"/>
                <w:color w:val="auto"/>
                <w:szCs w:val="21"/>
                <w:highlight w:val="none"/>
              </w:rPr>
            </w:pPr>
          </w:p>
        </w:tc>
      </w:tr>
      <w:tr w14:paraId="43D1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32C49C9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540" w:type="dxa"/>
            <w:vAlign w:val="center"/>
          </w:tcPr>
          <w:p w14:paraId="491AA13E">
            <w:pPr>
              <w:spacing w:line="360" w:lineRule="auto"/>
              <w:rPr>
                <w:rFonts w:ascii="宋体" w:hAnsi="宋体"/>
                <w:color w:val="auto"/>
                <w:szCs w:val="21"/>
                <w:highlight w:val="none"/>
              </w:rPr>
            </w:pPr>
          </w:p>
        </w:tc>
        <w:tc>
          <w:tcPr>
            <w:tcW w:w="1430" w:type="dxa"/>
            <w:vAlign w:val="center"/>
          </w:tcPr>
          <w:p w14:paraId="6C9D0172">
            <w:pPr>
              <w:spacing w:line="360" w:lineRule="auto"/>
              <w:rPr>
                <w:rFonts w:ascii="宋体" w:hAnsi="宋体"/>
                <w:color w:val="auto"/>
                <w:szCs w:val="21"/>
                <w:highlight w:val="none"/>
              </w:rPr>
            </w:pPr>
          </w:p>
        </w:tc>
        <w:tc>
          <w:tcPr>
            <w:tcW w:w="1840" w:type="dxa"/>
            <w:vAlign w:val="center"/>
          </w:tcPr>
          <w:p w14:paraId="1E058E1E">
            <w:pPr>
              <w:spacing w:line="360" w:lineRule="auto"/>
              <w:rPr>
                <w:rFonts w:ascii="宋体" w:hAnsi="宋体"/>
                <w:color w:val="auto"/>
                <w:szCs w:val="21"/>
                <w:highlight w:val="none"/>
              </w:rPr>
            </w:pPr>
          </w:p>
        </w:tc>
        <w:tc>
          <w:tcPr>
            <w:tcW w:w="1450" w:type="dxa"/>
            <w:vAlign w:val="center"/>
          </w:tcPr>
          <w:p w14:paraId="2469826E">
            <w:pPr>
              <w:spacing w:line="360" w:lineRule="auto"/>
              <w:rPr>
                <w:rFonts w:ascii="宋体" w:hAnsi="宋体"/>
                <w:color w:val="auto"/>
                <w:szCs w:val="21"/>
                <w:highlight w:val="none"/>
              </w:rPr>
            </w:pPr>
          </w:p>
        </w:tc>
        <w:tc>
          <w:tcPr>
            <w:tcW w:w="1560" w:type="dxa"/>
            <w:vAlign w:val="center"/>
          </w:tcPr>
          <w:p w14:paraId="61E055F2">
            <w:pPr>
              <w:spacing w:line="360" w:lineRule="auto"/>
              <w:rPr>
                <w:rFonts w:ascii="宋体" w:hAnsi="宋体"/>
                <w:color w:val="auto"/>
                <w:szCs w:val="21"/>
                <w:highlight w:val="none"/>
              </w:rPr>
            </w:pPr>
          </w:p>
        </w:tc>
        <w:tc>
          <w:tcPr>
            <w:tcW w:w="1180" w:type="dxa"/>
            <w:vAlign w:val="center"/>
          </w:tcPr>
          <w:p w14:paraId="6587D09B">
            <w:pPr>
              <w:spacing w:line="360" w:lineRule="auto"/>
              <w:rPr>
                <w:rFonts w:ascii="宋体" w:hAnsi="宋体"/>
                <w:color w:val="auto"/>
                <w:szCs w:val="21"/>
                <w:highlight w:val="none"/>
              </w:rPr>
            </w:pPr>
          </w:p>
        </w:tc>
      </w:tr>
      <w:tr w14:paraId="27C1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07285652">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1540" w:type="dxa"/>
            <w:vAlign w:val="center"/>
          </w:tcPr>
          <w:p w14:paraId="298B69E4">
            <w:pPr>
              <w:spacing w:line="360" w:lineRule="auto"/>
              <w:rPr>
                <w:rFonts w:ascii="宋体" w:hAnsi="宋体"/>
                <w:color w:val="auto"/>
                <w:szCs w:val="21"/>
                <w:highlight w:val="none"/>
              </w:rPr>
            </w:pPr>
          </w:p>
        </w:tc>
        <w:tc>
          <w:tcPr>
            <w:tcW w:w="1430" w:type="dxa"/>
            <w:vAlign w:val="center"/>
          </w:tcPr>
          <w:p w14:paraId="05B13293">
            <w:pPr>
              <w:spacing w:line="360" w:lineRule="auto"/>
              <w:rPr>
                <w:rFonts w:ascii="宋体" w:hAnsi="宋体"/>
                <w:color w:val="auto"/>
                <w:szCs w:val="21"/>
                <w:highlight w:val="none"/>
              </w:rPr>
            </w:pPr>
          </w:p>
        </w:tc>
        <w:tc>
          <w:tcPr>
            <w:tcW w:w="1840" w:type="dxa"/>
            <w:vAlign w:val="center"/>
          </w:tcPr>
          <w:p w14:paraId="0F01CC0B">
            <w:pPr>
              <w:spacing w:line="360" w:lineRule="auto"/>
              <w:rPr>
                <w:rFonts w:ascii="宋体" w:hAnsi="宋体"/>
                <w:color w:val="auto"/>
                <w:szCs w:val="21"/>
                <w:highlight w:val="none"/>
              </w:rPr>
            </w:pPr>
          </w:p>
        </w:tc>
        <w:tc>
          <w:tcPr>
            <w:tcW w:w="1450" w:type="dxa"/>
            <w:vAlign w:val="center"/>
          </w:tcPr>
          <w:p w14:paraId="55EC6653">
            <w:pPr>
              <w:spacing w:line="360" w:lineRule="auto"/>
              <w:rPr>
                <w:rFonts w:ascii="宋体" w:hAnsi="宋体"/>
                <w:color w:val="auto"/>
                <w:szCs w:val="21"/>
                <w:highlight w:val="none"/>
              </w:rPr>
            </w:pPr>
          </w:p>
        </w:tc>
        <w:tc>
          <w:tcPr>
            <w:tcW w:w="1560" w:type="dxa"/>
            <w:vAlign w:val="center"/>
          </w:tcPr>
          <w:p w14:paraId="49F8F068">
            <w:pPr>
              <w:spacing w:line="360" w:lineRule="auto"/>
              <w:rPr>
                <w:rFonts w:ascii="宋体" w:hAnsi="宋体"/>
                <w:color w:val="auto"/>
                <w:szCs w:val="21"/>
                <w:highlight w:val="none"/>
              </w:rPr>
            </w:pPr>
          </w:p>
        </w:tc>
        <w:tc>
          <w:tcPr>
            <w:tcW w:w="1180" w:type="dxa"/>
            <w:vAlign w:val="center"/>
          </w:tcPr>
          <w:p w14:paraId="166233FD">
            <w:pPr>
              <w:spacing w:line="360" w:lineRule="auto"/>
              <w:rPr>
                <w:rFonts w:ascii="宋体" w:hAnsi="宋体"/>
                <w:color w:val="auto"/>
                <w:szCs w:val="21"/>
                <w:highlight w:val="none"/>
              </w:rPr>
            </w:pPr>
          </w:p>
        </w:tc>
      </w:tr>
      <w:tr w14:paraId="792A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54369C37">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540" w:type="dxa"/>
            <w:vAlign w:val="center"/>
          </w:tcPr>
          <w:p w14:paraId="709C29F6">
            <w:pPr>
              <w:spacing w:line="360" w:lineRule="auto"/>
              <w:rPr>
                <w:rFonts w:ascii="宋体" w:hAnsi="宋体"/>
                <w:color w:val="auto"/>
                <w:szCs w:val="21"/>
                <w:highlight w:val="none"/>
              </w:rPr>
            </w:pPr>
          </w:p>
        </w:tc>
        <w:tc>
          <w:tcPr>
            <w:tcW w:w="1430" w:type="dxa"/>
            <w:vAlign w:val="center"/>
          </w:tcPr>
          <w:p w14:paraId="297E5CFD">
            <w:pPr>
              <w:spacing w:line="360" w:lineRule="auto"/>
              <w:rPr>
                <w:rFonts w:ascii="宋体" w:hAnsi="宋体"/>
                <w:color w:val="auto"/>
                <w:szCs w:val="21"/>
                <w:highlight w:val="none"/>
              </w:rPr>
            </w:pPr>
          </w:p>
        </w:tc>
        <w:tc>
          <w:tcPr>
            <w:tcW w:w="1840" w:type="dxa"/>
            <w:vAlign w:val="center"/>
          </w:tcPr>
          <w:p w14:paraId="3A9E27DE">
            <w:pPr>
              <w:spacing w:line="360" w:lineRule="auto"/>
              <w:rPr>
                <w:rFonts w:ascii="宋体" w:hAnsi="宋体"/>
                <w:color w:val="auto"/>
                <w:szCs w:val="21"/>
                <w:highlight w:val="none"/>
              </w:rPr>
            </w:pPr>
          </w:p>
        </w:tc>
        <w:tc>
          <w:tcPr>
            <w:tcW w:w="1450" w:type="dxa"/>
            <w:vAlign w:val="center"/>
          </w:tcPr>
          <w:p w14:paraId="75DA5DC4">
            <w:pPr>
              <w:spacing w:line="360" w:lineRule="auto"/>
              <w:rPr>
                <w:rFonts w:ascii="宋体" w:hAnsi="宋体"/>
                <w:color w:val="auto"/>
                <w:szCs w:val="21"/>
                <w:highlight w:val="none"/>
              </w:rPr>
            </w:pPr>
          </w:p>
        </w:tc>
        <w:tc>
          <w:tcPr>
            <w:tcW w:w="1560" w:type="dxa"/>
            <w:vAlign w:val="center"/>
          </w:tcPr>
          <w:p w14:paraId="61AE8F9A">
            <w:pPr>
              <w:spacing w:line="360" w:lineRule="auto"/>
              <w:rPr>
                <w:rFonts w:ascii="宋体" w:hAnsi="宋体"/>
                <w:color w:val="auto"/>
                <w:szCs w:val="21"/>
                <w:highlight w:val="none"/>
              </w:rPr>
            </w:pPr>
          </w:p>
        </w:tc>
        <w:tc>
          <w:tcPr>
            <w:tcW w:w="1180" w:type="dxa"/>
            <w:vAlign w:val="center"/>
          </w:tcPr>
          <w:p w14:paraId="0530FDE7">
            <w:pPr>
              <w:spacing w:line="360" w:lineRule="auto"/>
              <w:rPr>
                <w:rFonts w:ascii="宋体" w:hAnsi="宋体"/>
                <w:color w:val="auto"/>
                <w:szCs w:val="21"/>
                <w:highlight w:val="none"/>
              </w:rPr>
            </w:pPr>
          </w:p>
        </w:tc>
      </w:tr>
      <w:tr w14:paraId="3A4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37317516">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540" w:type="dxa"/>
            <w:vAlign w:val="center"/>
          </w:tcPr>
          <w:p w14:paraId="604A773C">
            <w:pPr>
              <w:spacing w:line="360" w:lineRule="auto"/>
              <w:rPr>
                <w:rFonts w:ascii="宋体" w:hAnsi="宋体"/>
                <w:color w:val="auto"/>
                <w:szCs w:val="21"/>
                <w:highlight w:val="none"/>
              </w:rPr>
            </w:pPr>
          </w:p>
        </w:tc>
        <w:tc>
          <w:tcPr>
            <w:tcW w:w="1430" w:type="dxa"/>
            <w:vAlign w:val="center"/>
          </w:tcPr>
          <w:p w14:paraId="5E405C2C">
            <w:pPr>
              <w:spacing w:line="360" w:lineRule="auto"/>
              <w:rPr>
                <w:rFonts w:ascii="宋体" w:hAnsi="宋体"/>
                <w:color w:val="auto"/>
                <w:szCs w:val="21"/>
                <w:highlight w:val="none"/>
              </w:rPr>
            </w:pPr>
          </w:p>
        </w:tc>
        <w:tc>
          <w:tcPr>
            <w:tcW w:w="1840" w:type="dxa"/>
            <w:vAlign w:val="center"/>
          </w:tcPr>
          <w:p w14:paraId="6D8ED874">
            <w:pPr>
              <w:spacing w:line="360" w:lineRule="auto"/>
              <w:rPr>
                <w:rFonts w:ascii="宋体" w:hAnsi="宋体"/>
                <w:color w:val="auto"/>
                <w:szCs w:val="21"/>
                <w:highlight w:val="none"/>
              </w:rPr>
            </w:pPr>
          </w:p>
        </w:tc>
        <w:tc>
          <w:tcPr>
            <w:tcW w:w="1450" w:type="dxa"/>
            <w:vAlign w:val="center"/>
          </w:tcPr>
          <w:p w14:paraId="0DF9F907">
            <w:pPr>
              <w:spacing w:line="360" w:lineRule="auto"/>
              <w:rPr>
                <w:rFonts w:ascii="宋体" w:hAnsi="宋体"/>
                <w:color w:val="auto"/>
                <w:szCs w:val="21"/>
                <w:highlight w:val="none"/>
              </w:rPr>
            </w:pPr>
          </w:p>
        </w:tc>
        <w:tc>
          <w:tcPr>
            <w:tcW w:w="1560" w:type="dxa"/>
            <w:vAlign w:val="center"/>
          </w:tcPr>
          <w:p w14:paraId="19830765">
            <w:pPr>
              <w:spacing w:line="360" w:lineRule="auto"/>
              <w:rPr>
                <w:rFonts w:ascii="宋体" w:hAnsi="宋体"/>
                <w:color w:val="auto"/>
                <w:szCs w:val="21"/>
                <w:highlight w:val="none"/>
              </w:rPr>
            </w:pPr>
          </w:p>
        </w:tc>
        <w:tc>
          <w:tcPr>
            <w:tcW w:w="1180" w:type="dxa"/>
            <w:vAlign w:val="center"/>
          </w:tcPr>
          <w:p w14:paraId="144DB423">
            <w:pPr>
              <w:spacing w:line="360" w:lineRule="auto"/>
              <w:rPr>
                <w:rFonts w:ascii="宋体" w:hAnsi="宋体"/>
                <w:color w:val="auto"/>
                <w:szCs w:val="21"/>
                <w:highlight w:val="none"/>
              </w:rPr>
            </w:pPr>
          </w:p>
        </w:tc>
      </w:tr>
      <w:tr w14:paraId="026C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0" w:type="dxa"/>
            <w:vAlign w:val="center"/>
          </w:tcPr>
          <w:p w14:paraId="34FF63D6">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540" w:type="dxa"/>
            <w:vAlign w:val="center"/>
          </w:tcPr>
          <w:p w14:paraId="57D18809">
            <w:pPr>
              <w:spacing w:line="360" w:lineRule="auto"/>
              <w:rPr>
                <w:rFonts w:ascii="宋体" w:hAnsi="宋体"/>
                <w:color w:val="auto"/>
                <w:szCs w:val="21"/>
                <w:highlight w:val="none"/>
              </w:rPr>
            </w:pPr>
          </w:p>
        </w:tc>
        <w:tc>
          <w:tcPr>
            <w:tcW w:w="1430" w:type="dxa"/>
            <w:vAlign w:val="center"/>
          </w:tcPr>
          <w:p w14:paraId="654B4BFF">
            <w:pPr>
              <w:spacing w:line="360" w:lineRule="auto"/>
              <w:rPr>
                <w:rFonts w:ascii="宋体" w:hAnsi="宋体"/>
                <w:color w:val="auto"/>
                <w:szCs w:val="21"/>
                <w:highlight w:val="none"/>
              </w:rPr>
            </w:pPr>
          </w:p>
        </w:tc>
        <w:tc>
          <w:tcPr>
            <w:tcW w:w="1840" w:type="dxa"/>
            <w:vAlign w:val="center"/>
          </w:tcPr>
          <w:p w14:paraId="1396949B">
            <w:pPr>
              <w:spacing w:line="360" w:lineRule="auto"/>
              <w:rPr>
                <w:rFonts w:ascii="宋体" w:hAnsi="宋体"/>
                <w:color w:val="auto"/>
                <w:szCs w:val="21"/>
                <w:highlight w:val="none"/>
              </w:rPr>
            </w:pPr>
          </w:p>
        </w:tc>
        <w:tc>
          <w:tcPr>
            <w:tcW w:w="1450" w:type="dxa"/>
            <w:vAlign w:val="center"/>
          </w:tcPr>
          <w:p w14:paraId="77F044C4">
            <w:pPr>
              <w:spacing w:line="360" w:lineRule="auto"/>
              <w:rPr>
                <w:rFonts w:ascii="宋体" w:hAnsi="宋体"/>
                <w:color w:val="auto"/>
                <w:szCs w:val="21"/>
                <w:highlight w:val="none"/>
              </w:rPr>
            </w:pPr>
          </w:p>
        </w:tc>
        <w:tc>
          <w:tcPr>
            <w:tcW w:w="1560" w:type="dxa"/>
            <w:vAlign w:val="center"/>
          </w:tcPr>
          <w:p w14:paraId="6E61D23C">
            <w:pPr>
              <w:spacing w:line="360" w:lineRule="auto"/>
              <w:rPr>
                <w:rFonts w:ascii="宋体" w:hAnsi="宋体"/>
                <w:color w:val="auto"/>
                <w:szCs w:val="21"/>
                <w:highlight w:val="none"/>
              </w:rPr>
            </w:pPr>
          </w:p>
        </w:tc>
        <w:tc>
          <w:tcPr>
            <w:tcW w:w="1180" w:type="dxa"/>
            <w:vAlign w:val="center"/>
          </w:tcPr>
          <w:p w14:paraId="5AD54E13">
            <w:pPr>
              <w:spacing w:line="360" w:lineRule="auto"/>
              <w:rPr>
                <w:rFonts w:ascii="宋体" w:hAnsi="宋体"/>
                <w:color w:val="auto"/>
                <w:szCs w:val="21"/>
                <w:highlight w:val="none"/>
              </w:rPr>
            </w:pPr>
          </w:p>
        </w:tc>
      </w:tr>
      <w:tr w14:paraId="6C1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250" w:type="dxa"/>
            <w:vAlign w:val="center"/>
          </w:tcPr>
          <w:p w14:paraId="011E98DC">
            <w:pPr>
              <w:spacing w:line="360" w:lineRule="auto"/>
              <w:jc w:val="center"/>
              <w:rPr>
                <w:rFonts w:ascii="宋体" w:hAnsi="宋体"/>
                <w:color w:val="auto"/>
                <w:szCs w:val="21"/>
                <w:highlight w:val="none"/>
              </w:rPr>
            </w:pPr>
            <w:r>
              <w:rPr>
                <w:rFonts w:hint="eastAsia" w:ascii="宋体" w:hAnsi="宋体"/>
                <w:color w:val="auto"/>
                <w:szCs w:val="21"/>
                <w:highlight w:val="none"/>
              </w:rPr>
              <w:t>合计</w:t>
            </w:r>
          </w:p>
        </w:tc>
        <w:tc>
          <w:tcPr>
            <w:tcW w:w="9000" w:type="dxa"/>
            <w:gridSpan w:val="6"/>
            <w:vAlign w:val="center"/>
          </w:tcPr>
          <w:p w14:paraId="655F5E44">
            <w:pPr>
              <w:spacing w:line="360" w:lineRule="auto"/>
              <w:jc w:val="center"/>
              <w:rPr>
                <w:rFonts w:hint="eastAsia" w:ascii="宋体" w:hAnsi="宋体"/>
                <w:color w:val="auto"/>
                <w:szCs w:val="21"/>
                <w:highlight w:val="none"/>
              </w:rPr>
            </w:pPr>
            <w:r>
              <w:rPr>
                <w:rFonts w:hint="eastAsia"/>
                <w:b/>
                <w:color w:val="000000"/>
                <w:highlight w:val="none"/>
              </w:rPr>
              <w:t>人民币（大写）：</w:t>
            </w:r>
            <w:r>
              <w:rPr>
                <w:rFonts w:hint="eastAsia"/>
                <w:b/>
                <w:color w:val="000000"/>
                <w:highlight w:val="none"/>
                <w:u w:val="single"/>
              </w:rPr>
              <w:t xml:space="preserve">               </w:t>
            </w:r>
            <w:r>
              <w:rPr>
                <w:rFonts w:hint="eastAsia"/>
                <w:b/>
                <w:color w:val="000000"/>
                <w:highlight w:val="none"/>
              </w:rPr>
              <w:t>元；￥：</w:t>
            </w:r>
            <w:r>
              <w:rPr>
                <w:rFonts w:hint="eastAsia"/>
                <w:b/>
                <w:color w:val="000000"/>
                <w:highlight w:val="none"/>
                <w:u w:val="single"/>
              </w:rPr>
              <w:t xml:space="preserve">       </w:t>
            </w:r>
            <w:r>
              <w:rPr>
                <w:rFonts w:hint="eastAsia"/>
                <w:b/>
                <w:color w:val="000000"/>
                <w:highlight w:val="none"/>
              </w:rPr>
              <w:t>元</w:t>
            </w:r>
          </w:p>
        </w:tc>
      </w:tr>
    </w:tbl>
    <w:p w14:paraId="1BD7B397">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1FA7BFDD">
      <w:pPr>
        <w:pStyle w:val="49"/>
        <w:spacing w:line="360" w:lineRule="auto"/>
        <w:ind w:firstLine="420"/>
        <w:rPr>
          <w:rFonts w:ascii="宋体" w:hAnsi="宋体" w:cs="Times New Roman"/>
          <w:b/>
          <w:bCs/>
          <w:color w:val="auto"/>
          <w:sz w:val="21"/>
          <w:szCs w:val="22"/>
          <w:highlight w:val="none"/>
        </w:rPr>
      </w:pPr>
    </w:p>
    <w:p w14:paraId="4BC8A17E">
      <w:pPr>
        <w:adjustRightInd w:val="0"/>
        <w:spacing w:line="440" w:lineRule="exact"/>
        <w:contextualSpacing/>
        <w:rPr>
          <w:highlight w:val="none"/>
        </w:rPr>
      </w:pPr>
      <w:r>
        <w:rPr>
          <w:rFonts w:hint="eastAsia"/>
          <w:highlight w:val="none"/>
        </w:rPr>
        <w:t>法定代表人或授权代表签字：</w:t>
      </w:r>
      <w:r>
        <w:rPr>
          <w:rFonts w:hint="eastAsia"/>
          <w:highlight w:val="none"/>
          <w:u w:val="single"/>
        </w:rPr>
        <w:t xml:space="preserve">         </w:t>
      </w:r>
    </w:p>
    <w:p w14:paraId="774650F3">
      <w:pPr>
        <w:adjustRightInd w:val="0"/>
        <w:spacing w:line="440" w:lineRule="exact"/>
        <w:contextualSpacing/>
        <w:rPr>
          <w:rFonts w:hint="default" w:eastAsia="宋体"/>
          <w:highlight w:val="none"/>
          <w:lang w:val="en-US" w:eastAsia="zh-CN"/>
        </w:rPr>
      </w:pPr>
      <w:r>
        <w:rPr>
          <w:rFonts w:hint="eastAsia"/>
          <w:highlight w:val="none"/>
          <w:lang w:val="en-US" w:eastAsia="zh-CN"/>
        </w:rPr>
        <w:t>日 期：    年   月   日</w:t>
      </w:r>
    </w:p>
    <w:p w14:paraId="038A15B7">
      <w:pPr>
        <w:adjustRightInd w:val="0"/>
        <w:spacing w:line="440" w:lineRule="exact"/>
        <w:contextualSpacing/>
        <w:rPr>
          <w:highlight w:val="none"/>
        </w:rPr>
      </w:pPr>
      <w:r>
        <w:rPr>
          <w:rFonts w:hint="eastAsia"/>
          <w:highlight w:val="none"/>
        </w:rPr>
        <w:t>注：1.如果按单价计算的结果与总价不一致，以单价为准修正总价。</w:t>
      </w:r>
    </w:p>
    <w:p w14:paraId="7364BA1D">
      <w:pPr>
        <w:adjustRightInd w:val="0"/>
        <w:spacing w:line="440" w:lineRule="exact"/>
        <w:ind w:firstLine="420" w:firstLineChars="200"/>
        <w:contextualSpacing/>
        <w:rPr>
          <w:highlight w:val="none"/>
        </w:rPr>
      </w:pPr>
      <w:r>
        <w:rPr>
          <w:rFonts w:hint="eastAsia"/>
          <w:highlight w:val="none"/>
        </w:rPr>
        <w:t>2.如果不提供详细报价将视为没有实质性响应招标文件。</w:t>
      </w:r>
    </w:p>
    <w:p w14:paraId="52CF6E4F">
      <w:pPr>
        <w:adjustRightInd w:val="0"/>
        <w:spacing w:line="440" w:lineRule="exact"/>
        <w:contextualSpacing/>
        <w:rPr>
          <w:rFonts w:hint="eastAsia"/>
          <w:b/>
          <w:bCs/>
          <w:highlight w:val="none"/>
        </w:rPr>
      </w:pPr>
    </w:p>
    <w:p w14:paraId="670A071F">
      <w:pPr>
        <w:widowControl/>
        <w:spacing w:line="360" w:lineRule="auto"/>
        <w:jc w:val="left"/>
        <w:rPr>
          <w:rFonts w:ascii="宋体" w:hAnsi="宋体" w:cs="Arial"/>
          <w:b/>
          <w:bCs/>
          <w:color w:val="auto"/>
          <w:highlight w:val="none"/>
        </w:rPr>
      </w:pPr>
    </w:p>
    <w:p w14:paraId="7C5997A7">
      <w:pPr>
        <w:widowControl/>
        <w:spacing w:line="360" w:lineRule="auto"/>
        <w:jc w:val="left"/>
        <w:rPr>
          <w:rFonts w:ascii="宋体" w:hAnsi="宋体" w:cs="Arial"/>
          <w:b/>
          <w:bCs/>
          <w:color w:val="auto"/>
          <w:highlight w:val="none"/>
        </w:rPr>
      </w:pPr>
    </w:p>
    <w:p w14:paraId="3B0F119A">
      <w:pPr>
        <w:widowControl/>
        <w:spacing w:line="360" w:lineRule="auto"/>
        <w:jc w:val="left"/>
        <w:rPr>
          <w:rFonts w:ascii="宋体" w:hAnsi="宋体" w:cs="Arial"/>
          <w:b/>
          <w:bCs/>
          <w:color w:val="auto"/>
          <w:highlight w:val="none"/>
        </w:rPr>
      </w:pPr>
    </w:p>
    <w:p w14:paraId="16B8CBF0">
      <w:pPr>
        <w:pStyle w:val="3"/>
        <w:numPr>
          <w:ilvl w:val="0"/>
          <w:numId w:val="6"/>
        </w:numPr>
        <w:spacing w:line="360" w:lineRule="auto"/>
        <w:rPr>
          <w:rFonts w:ascii="宋体" w:hAnsi="宋体" w:eastAsia="宋体"/>
          <w:color w:val="auto"/>
          <w:sz w:val="32"/>
          <w:highlight w:val="none"/>
        </w:rPr>
      </w:pPr>
      <w:r>
        <w:rPr>
          <w:rFonts w:hint="eastAsia" w:ascii="宋体" w:hAnsi="宋体" w:eastAsia="宋体"/>
          <w:color w:val="auto"/>
          <w:sz w:val="32"/>
          <w:highlight w:val="none"/>
        </w:rPr>
        <w:t>技术参数响应及偏离表</w:t>
      </w:r>
    </w:p>
    <w:p w14:paraId="65A87B89">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285960D2">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7EF1FE2B">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项目编号： </w:t>
      </w:r>
    </w:p>
    <w:p w14:paraId="352EA28B">
      <w:pPr>
        <w:rPr>
          <w:rFonts w:ascii="宋体" w:hAnsi="宋体"/>
          <w:color w:val="auto"/>
          <w:highlight w:val="none"/>
        </w:rPr>
      </w:pPr>
    </w:p>
    <w:tbl>
      <w:tblPr>
        <w:tblStyle w:val="23"/>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199"/>
        <w:gridCol w:w="2310"/>
        <w:gridCol w:w="1995"/>
        <w:gridCol w:w="1416"/>
      </w:tblGrid>
      <w:tr w14:paraId="223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212F09EB">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199" w:type="dxa"/>
            <w:vAlign w:val="center"/>
          </w:tcPr>
          <w:p w14:paraId="3B53D782">
            <w:pPr>
              <w:spacing w:line="360" w:lineRule="auto"/>
              <w:jc w:val="center"/>
              <w:rPr>
                <w:rFonts w:ascii="宋体" w:hAnsi="宋体"/>
                <w:color w:val="auto"/>
                <w:szCs w:val="21"/>
                <w:highlight w:val="none"/>
              </w:rPr>
            </w:pPr>
            <w:r>
              <w:rPr>
                <w:rFonts w:hint="eastAsia" w:ascii="宋体" w:hAnsi="宋体"/>
                <w:color w:val="auto"/>
                <w:szCs w:val="21"/>
                <w:highlight w:val="none"/>
              </w:rPr>
              <w:t>招标要求</w:t>
            </w:r>
          </w:p>
        </w:tc>
        <w:tc>
          <w:tcPr>
            <w:tcW w:w="2310" w:type="dxa"/>
            <w:vAlign w:val="center"/>
          </w:tcPr>
          <w:p w14:paraId="08460325">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995" w:type="dxa"/>
            <w:vAlign w:val="center"/>
          </w:tcPr>
          <w:p w14:paraId="3669C473">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416" w:type="dxa"/>
            <w:vAlign w:val="center"/>
          </w:tcPr>
          <w:p w14:paraId="2E6B7A63">
            <w:pPr>
              <w:spacing w:line="360" w:lineRule="auto"/>
              <w:jc w:val="center"/>
              <w:rPr>
                <w:rFonts w:ascii="宋体" w:hAnsi="宋体"/>
                <w:color w:val="auto"/>
                <w:szCs w:val="21"/>
                <w:highlight w:val="none"/>
              </w:rPr>
            </w:pPr>
            <w:r>
              <w:rPr>
                <w:rFonts w:hint="eastAsia" w:ascii="宋体" w:hAnsi="宋体"/>
                <w:color w:val="auto"/>
                <w:szCs w:val="21"/>
                <w:highlight w:val="none"/>
              </w:rPr>
              <w:t>原因或说明</w:t>
            </w:r>
          </w:p>
        </w:tc>
      </w:tr>
      <w:tr w14:paraId="35AC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E45132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199" w:type="dxa"/>
          </w:tcPr>
          <w:p w14:paraId="2162A9AE">
            <w:pPr>
              <w:spacing w:line="360" w:lineRule="auto"/>
              <w:jc w:val="center"/>
              <w:rPr>
                <w:rFonts w:ascii="宋体" w:hAnsi="宋体"/>
                <w:color w:val="auto"/>
                <w:szCs w:val="21"/>
                <w:highlight w:val="none"/>
              </w:rPr>
            </w:pPr>
          </w:p>
        </w:tc>
        <w:tc>
          <w:tcPr>
            <w:tcW w:w="2310" w:type="dxa"/>
          </w:tcPr>
          <w:p w14:paraId="4F9A8D5B">
            <w:pPr>
              <w:spacing w:line="360" w:lineRule="auto"/>
              <w:jc w:val="center"/>
              <w:rPr>
                <w:rFonts w:ascii="宋体" w:hAnsi="宋体"/>
                <w:color w:val="auto"/>
                <w:szCs w:val="21"/>
                <w:highlight w:val="none"/>
              </w:rPr>
            </w:pPr>
          </w:p>
        </w:tc>
        <w:tc>
          <w:tcPr>
            <w:tcW w:w="1995" w:type="dxa"/>
          </w:tcPr>
          <w:p w14:paraId="680ACE69">
            <w:pPr>
              <w:spacing w:line="360" w:lineRule="auto"/>
              <w:jc w:val="center"/>
              <w:rPr>
                <w:rFonts w:ascii="宋体" w:hAnsi="宋体"/>
                <w:color w:val="auto"/>
                <w:szCs w:val="21"/>
                <w:highlight w:val="none"/>
              </w:rPr>
            </w:pPr>
          </w:p>
        </w:tc>
        <w:tc>
          <w:tcPr>
            <w:tcW w:w="1416" w:type="dxa"/>
          </w:tcPr>
          <w:p w14:paraId="3D1B2A52">
            <w:pPr>
              <w:spacing w:line="360" w:lineRule="auto"/>
              <w:jc w:val="center"/>
              <w:rPr>
                <w:rFonts w:ascii="宋体" w:hAnsi="宋体"/>
                <w:color w:val="auto"/>
                <w:szCs w:val="21"/>
                <w:highlight w:val="none"/>
              </w:rPr>
            </w:pPr>
          </w:p>
        </w:tc>
      </w:tr>
      <w:tr w14:paraId="4D1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A47AE70">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199" w:type="dxa"/>
          </w:tcPr>
          <w:p w14:paraId="335B22E4">
            <w:pPr>
              <w:spacing w:line="360" w:lineRule="auto"/>
              <w:jc w:val="center"/>
              <w:rPr>
                <w:rFonts w:ascii="宋体" w:hAnsi="宋体"/>
                <w:color w:val="auto"/>
                <w:szCs w:val="21"/>
                <w:highlight w:val="none"/>
              </w:rPr>
            </w:pPr>
          </w:p>
        </w:tc>
        <w:tc>
          <w:tcPr>
            <w:tcW w:w="2310" w:type="dxa"/>
          </w:tcPr>
          <w:p w14:paraId="5A5C9828">
            <w:pPr>
              <w:spacing w:line="360" w:lineRule="auto"/>
              <w:jc w:val="center"/>
              <w:rPr>
                <w:rFonts w:ascii="宋体" w:hAnsi="宋体"/>
                <w:color w:val="auto"/>
                <w:szCs w:val="21"/>
                <w:highlight w:val="none"/>
              </w:rPr>
            </w:pPr>
          </w:p>
        </w:tc>
        <w:tc>
          <w:tcPr>
            <w:tcW w:w="1995" w:type="dxa"/>
          </w:tcPr>
          <w:p w14:paraId="65BBC17C">
            <w:pPr>
              <w:spacing w:line="360" w:lineRule="auto"/>
              <w:jc w:val="center"/>
              <w:rPr>
                <w:rFonts w:ascii="宋体" w:hAnsi="宋体"/>
                <w:color w:val="auto"/>
                <w:szCs w:val="21"/>
                <w:highlight w:val="none"/>
              </w:rPr>
            </w:pPr>
          </w:p>
        </w:tc>
        <w:tc>
          <w:tcPr>
            <w:tcW w:w="1416" w:type="dxa"/>
          </w:tcPr>
          <w:p w14:paraId="506B2E0E">
            <w:pPr>
              <w:spacing w:line="360" w:lineRule="auto"/>
              <w:jc w:val="center"/>
              <w:rPr>
                <w:rFonts w:ascii="宋体" w:hAnsi="宋体"/>
                <w:color w:val="auto"/>
                <w:szCs w:val="21"/>
                <w:highlight w:val="none"/>
              </w:rPr>
            </w:pPr>
          </w:p>
        </w:tc>
      </w:tr>
      <w:tr w14:paraId="565A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6140802">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2199" w:type="dxa"/>
          </w:tcPr>
          <w:p w14:paraId="21D4089A">
            <w:pPr>
              <w:spacing w:line="360" w:lineRule="auto"/>
              <w:jc w:val="center"/>
              <w:rPr>
                <w:rFonts w:ascii="宋体" w:hAnsi="宋体"/>
                <w:color w:val="auto"/>
                <w:szCs w:val="21"/>
                <w:highlight w:val="none"/>
              </w:rPr>
            </w:pPr>
          </w:p>
        </w:tc>
        <w:tc>
          <w:tcPr>
            <w:tcW w:w="2310" w:type="dxa"/>
          </w:tcPr>
          <w:p w14:paraId="5171D061">
            <w:pPr>
              <w:spacing w:line="360" w:lineRule="auto"/>
              <w:jc w:val="center"/>
              <w:rPr>
                <w:rFonts w:ascii="宋体" w:hAnsi="宋体"/>
                <w:color w:val="auto"/>
                <w:szCs w:val="21"/>
                <w:highlight w:val="none"/>
              </w:rPr>
            </w:pPr>
          </w:p>
        </w:tc>
        <w:tc>
          <w:tcPr>
            <w:tcW w:w="1995" w:type="dxa"/>
          </w:tcPr>
          <w:p w14:paraId="2FF7233F">
            <w:pPr>
              <w:spacing w:line="360" w:lineRule="auto"/>
              <w:jc w:val="center"/>
              <w:rPr>
                <w:rFonts w:ascii="宋体" w:hAnsi="宋体"/>
                <w:color w:val="auto"/>
                <w:szCs w:val="21"/>
                <w:highlight w:val="none"/>
              </w:rPr>
            </w:pPr>
          </w:p>
        </w:tc>
        <w:tc>
          <w:tcPr>
            <w:tcW w:w="1416" w:type="dxa"/>
          </w:tcPr>
          <w:p w14:paraId="5F3B6CC9">
            <w:pPr>
              <w:spacing w:line="360" w:lineRule="auto"/>
              <w:jc w:val="center"/>
              <w:rPr>
                <w:rFonts w:ascii="宋体" w:hAnsi="宋体"/>
                <w:color w:val="auto"/>
                <w:szCs w:val="21"/>
                <w:highlight w:val="none"/>
              </w:rPr>
            </w:pPr>
          </w:p>
        </w:tc>
      </w:tr>
      <w:tr w14:paraId="258F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9F14B89">
            <w:pPr>
              <w:spacing w:line="360" w:lineRule="auto"/>
              <w:jc w:val="center"/>
              <w:rPr>
                <w:rFonts w:ascii="宋体" w:hAnsi="宋体"/>
                <w:color w:val="auto"/>
                <w:szCs w:val="21"/>
                <w:highlight w:val="none"/>
              </w:rPr>
            </w:pPr>
          </w:p>
        </w:tc>
        <w:tc>
          <w:tcPr>
            <w:tcW w:w="2199" w:type="dxa"/>
          </w:tcPr>
          <w:p w14:paraId="3E23288E">
            <w:pPr>
              <w:spacing w:line="360" w:lineRule="auto"/>
              <w:jc w:val="center"/>
              <w:rPr>
                <w:rFonts w:ascii="宋体" w:hAnsi="宋体"/>
                <w:color w:val="auto"/>
                <w:szCs w:val="21"/>
                <w:highlight w:val="none"/>
              </w:rPr>
            </w:pPr>
          </w:p>
        </w:tc>
        <w:tc>
          <w:tcPr>
            <w:tcW w:w="2310" w:type="dxa"/>
          </w:tcPr>
          <w:p w14:paraId="12A76816">
            <w:pPr>
              <w:spacing w:line="360" w:lineRule="auto"/>
              <w:jc w:val="center"/>
              <w:rPr>
                <w:rFonts w:ascii="宋体" w:hAnsi="宋体"/>
                <w:color w:val="auto"/>
                <w:szCs w:val="21"/>
                <w:highlight w:val="none"/>
              </w:rPr>
            </w:pPr>
          </w:p>
        </w:tc>
        <w:tc>
          <w:tcPr>
            <w:tcW w:w="1995" w:type="dxa"/>
          </w:tcPr>
          <w:p w14:paraId="1BB7E864">
            <w:pPr>
              <w:spacing w:line="360" w:lineRule="auto"/>
              <w:jc w:val="center"/>
              <w:rPr>
                <w:rFonts w:ascii="宋体" w:hAnsi="宋体"/>
                <w:color w:val="auto"/>
                <w:szCs w:val="21"/>
                <w:highlight w:val="none"/>
              </w:rPr>
            </w:pPr>
          </w:p>
        </w:tc>
        <w:tc>
          <w:tcPr>
            <w:tcW w:w="1416" w:type="dxa"/>
          </w:tcPr>
          <w:p w14:paraId="1FDD96EF">
            <w:pPr>
              <w:spacing w:line="360" w:lineRule="auto"/>
              <w:jc w:val="center"/>
              <w:rPr>
                <w:rFonts w:ascii="宋体" w:hAnsi="宋体"/>
                <w:color w:val="auto"/>
                <w:szCs w:val="21"/>
                <w:highlight w:val="none"/>
              </w:rPr>
            </w:pPr>
          </w:p>
        </w:tc>
      </w:tr>
      <w:tr w14:paraId="544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DF9798A">
            <w:pPr>
              <w:spacing w:line="360" w:lineRule="auto"/>
              <w:jc w:val="center"/>
              <w:rPr>
                <w:rFonts w:ascii="宋体" w:hAnsi="宋体"/>
                <w:color w:val="auto"/>
                <w:szCs w:val="21"/>
                <w:highlight w:val="none"/>
              </w:rPr>
            </w:pPr>
          </w:p>
        </w:tc>
        <w:tc>
          <w:tcPr>
            <w:tcW w:w="2199" w:type="dxa"/>
          </w:tcPr>
          <w:p w14:paraId="0C8A0B80">
            <w:pPr>
              <w:spacing w:line="360" w:lineRule="auto"/>
              <w:jc w:val="center"/>
              <w:rPr>
                <w:rFonts w:ascii="宋体" w:hAnsi="宋体"/>
                <w:color w:val="auto"/>
                <w:szCs w:val="21"/>
                <w:highlight w:val="none"/>
              </w:rPr>
            </w:pPr>
          </w:p>
        </w:tc>
        <w:tc>
          <w:tcPr>
            <w:tcW w:w="2310" w:type="dxa"/>
          </w:tcPr>
          <w:p w14:paraId="21FD818A">
            <w:pPr>
              <w:spacing w:line="360" w:lineRule="auto"/>
              <w:jc w:val="center"/>
              <w:rPr>
                <w:rFonts w:ascii="宋体" w:hAnsi="宋体"/>
                <w:color w:val="auto"/>
                <w:szCs w:val="21"/>
                <w:highlight w:val="none"/>
              </w:rPr>
            </w:pPr>
          </w:p>
        </w:tc>
        <w:tc>
          <w:tcPr>
            <w:tcW w:w="1995" w:type="dxa"/>
          </w:tcPr>
          <w:p w14:paraId="0FC294ED">
            <w:pPr>
              <w:spacing w:line="360" w:lineRule="auto"/>
              <w:jc w:val="center"/>
              <w:rPr>
                <w:rFonts w:ascii="宋体" w:hAnsi="宋体"/>
                <w:color w:val="auto"/>
                <w:szCs w:val="21"/>
                <w:highlight w:val="none"/>
              </w:rPr>
            </w:pPr>
          </w:p>
        </w:tc>
        <w:tc>
          <w:tcPr>
            <w:tcW w:w="1416" w:type="dxa"/>
          </w:tcPr>
          <w:p w14:paraId="40D01E0D">
            <w:pPr>
              <w:spacing w:line="360" w:lineRule="auto"/>
              <w:jc w:val="center"/>
              <w:rPr>
                <w:rFonts w:ascii="宋体" w:hAnsi="宋体"/>
                <w:color w:val="auto"/>
                <w:szCs w:val="21"/>
                <w:highlight w:val="none"/>
              </w:rPr>
            </w:pPr>
          </w:p>
        </w:tc>
      </w:tr>
      <w:tr w14:paraId="250A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1CC1E81">
            <w:pPr>
              <w:spacing w:line="360" w:lineRule="auto"/>
              <w:jc w:val="center"/>
              <w:rPr>
                <w:rFonts w:ascii="宋体" w:hAnsi="宋体"/>
                <w:color w:val="auto"/>
                <w:szCs w:val="21"/>
                <w:highlight w:val="none"/>
              </w:rPr>
            </w:pPr>
          </w:p>
        </w:tc>
        <w:tc>
          <w:tcPr>
            <w:tcW w:w="2199" w:type="dxa"/>
          </w:tcPr>
          <w:p w14:paraId="341102A9">
            <w:pPr>
              <w:spacing w:line="360" w:lineRule="auto"/>
              <w:jc w:val="center"/>
              <w:rPr>
                <w:rFonts w:ascii="宋体" w:hAnsi="宋体"/>
                <w:color w:val="auto"/>
                <w:szCs w:val="21"/>
                <w:highlight w:val="none"/>
              </w:rPr>
            </w:pPr>
          </w:p>
        </w:tc>
        <w:tc>
          <w:tcPr>
            <w:tcW w:w="2310" w:type="dxa"/>
          </w:tcPr>
          <w:p w14:paraId="45B00565">
            <w:pPr>
              <w:spacing w:line="360" w:lineRule="auto"/>
              <w:jc w:val="center"/>
              <w:rPr>
                <w:rFonts w:ascii="宋体" w:hAnsi="宋体"/>
                <w:color w:val="auto"/>
                <w:szCs w:val="21"/>
                <w:highlight w:val="none"/>
              </w:rPr>
            </w:pPr>
          </w:p>
        </w:tc>
        <w:tc>
          <w:tcPr>
            <w:tcW w:w="1995" w:type="dxa"/>
          </w:tcPr>
          <w:p w14:paraId="5CA721F7">
            <w:pPr>
              <w:spacing w:line="360" w:lineRule="auto"/>
              <w:jc w:val="center"/>
              <w:rPr>
                <w:rFonts w:ascii="宋体" w:hAnsi="宋体"/>
                <w:color w:val="auto"/>
                <w:szCs w:val="21"/>
                <w:highlight w:val="none"/>
              </w:rPr>
            </w:pPr>
          </w:p>
        </w:tc>
        <w:tc>
          <w:tcPr>
            <w:tcW w:w="1416" w:type="dxa"/>
          </w:tcPr>
          <w:p w14:paraId="35C6D2E1">
            <w:pPr>
              <w:spacing w:line="360" w:lineRule="auto"/>
              <w:jc w:val="center"/>
              <w:rPr>
                <w:rFonts w:ascii="宋体" w:hAnsi="宋体"/>
                <w:color w:val="auto"/>
                <w:szCs w:val="21"/>
                <w:highlight w:val="none"/>
              </w:rPr>
            </w:pPr>
          </w:p>
        </w:tc>
      </w:tr>
      <w:tr w14:paraId="606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86D5801">
            <w:pPr>
              <w:spacing w:line="360" w:lineRule="auto"/>
              <w:jc w:val="center"/>
              <w:rPr>
                <w:rFonts w:ascii="宋体" w:hAnsi="宋体"/>
                <w:color w:val="auto"/>
                <w:szCs w:val="21"/>
                <w:highlight w:val="none"/>
              </w:rPr>
            </w:pPr>
          </w:p>
        </w:tc>
        <w:tc>
          <w:tcPr>
            <w:tcW w:w="2199" w:type="dxa"/>
          </w:tcPr>
          <w:p w14:paraId="32ED3A02">
            <w:pPr>
              <w:spacing w:line="360" w:lineRule="auto"/>
              <w:jc w:val="center"/>
              <w:rPr>
                <w:rFonts w:ascii="宋体" w:hAnsi="宋体"/>
                <w:color w:val="auto"/>
                <w:szCs w:val="21"/>
                <w:highlight w:val="none"/>
              </w:rPr>
            </w:pPr>
          </w:p>
        </w:tc>
        <w:tc>
          <w:tcPr>
            <w:tcW w:w="2310" w:type="dxa"/>
          </w:tcPr>
          <w:p w14:paraId="5B42A9E7">
            <w:pPr>
              <w:spacing w:line="360" w:lineRule="auto"/>
              <w:jc w:val="center"/>
              <w:rPr>
                <w:rFonts w:ascii="宋体" w:hAnsi="宋体"/>
                <w:color w:val="auto"/>
                <w:szCs w:val="21"/>
                <w:highlight w:val="none"/>
              </w:rPr>
            </w:pPr>
          </w:p>
        </w:tc>
        <w:tc>
          <w:tcPr>
            <w:tcW w:w="1995" w:type="dxa"/>
          </w:tcPr>
          <w:p w14:paraId="685CFCA5">
            <w:pPr>
              <w:spacing w:line="360" w:lineRule="auto"/>
              <w:jc w:val="center"/>
              <w:rPr>
                <w:rFonts w:ascii="宋体" w:hAnsi="宋体"/>
                <w:color w:val="auto"/>
                <w:szCs w:val="21"/>
                <w:highlight w:val="none"/>
              </w:rPr>
            </w:pPr>
          </w:p>
        </w:tc>
        <w:tc>
          <w:tcPr>
            <w:tcW w:w="1416" w:type="dxa"/>
          </w:tcPr>
          <w:p w14:paraId="63A23292">
            <w:pPr>
              <w:spacing w:line="360" w:lineRule="auto"/>
              <w:jc w:val="center"/>
              <w:rPr>
                <w:rFonts w:ascii="宋体" w:hAnsi="宋体"/>
                <w:color w:val="auto"/>
                <w:szCs w:val="21"/>
                <w:highlight w:val="none"/>
              </w:rPr>
            </w:pPr>
          </w:p>
        </w:tc>
      </w:tr>
      <w:tr w14:paraId="3E9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9C28ECF">
            <w:pPr>
              <w:spacing w:line="360" w:lineRule="auto"/>
              <w:jc w:val="center"/>
              <w:rPr>
                <w:rFonts w:ascii="宋体" w:hAnsi="宋体"/>
                <w:color w:val="auto"/>
                <w:szCs w:val="21"/>
                <w:highlight w:val="none"/>
              </w:rPr>
            </w:pPr>
          </w:p>
        </w:tc>
        <w:tc>
          <w:tcPr>
            <w:tcW w:w="2199" w:type="dxa"/>
          </w:tcPr>
          <w:p w14:paraId="6D472864">
            <w:pPr>
              <w:spacing w:line="360" w:lineRule="auto"/>
              <w:jc w:val="center"/>
              <w:rPr>
                <w:rFonts w:ascii="宋体" w:hAnsi="宋体"/>
                <w:color w:val="auto"/>
                <w:szCs w:val="21"/>
                <w:highlight w:val="none"/>
              </w:rPr>
            </w:pPr>
          </w:p>
        </w:tc>
        <w:tc>
          <w:tcPr>
            <w:tcW w:w="2310" w:type="dxa"/>
          </w:tcPr>
          <w:p w14:paraId="53C42B8B">
            <w:pPr>
              <w:spacing w:line="360" w:lineRule="auto"/>
              <w:jc w:val="center"/>
              <w:rPr>
                <w:rFonts w:ascii="宋体" w:hAnsi="宋体"/>
                <w:color w:val="auto"/>
                <w:szCs w:val="21"/>
                <w:highlight w:val="none"/>
              </w:rPr>
            </w:pPr>
          </w:p>
        </w:tc>
        <w:tc>
          <w:tcPr>
            <w:tcW w:w="1995" w:type="dxa"/>
          </w:tcPr>
          <w:p w14:paraId="1FAADAAB">
            <w:pPr>
              <w:spacing w:line="360" w:lineRule="auto"/>
              <w:jc w:val="center"/>
              <w:rPr>
                <w:rFonts w:ascii="宋体" w:hAnsi="宋体"/>
                <w:color w:val="auto"/>
                <w:szCs w:val="21"/>
                <w:highlight w:val="none"/>
              </w:rPr>
            </w:pPr>
          </w:p>
        </w:tc>
        <w:tc>
          <w:tcPr>
            <w:tcW w:w="1416" w:type="dxa"/>
          </w:tcPr>
          <w:p w14:paraId="038C4396">
            <w:pPr>
              <w:spacing w:line="360" w:lineRule="auto"/>
              <w:jc w:val="center"/>
              <w:rPr>
                <w:rFonts w:ascii="宋体" w:hAnsi="宋体"/>
                <w:color w:val="auto"/>
                <w:szCs w:val="21"/>
                <w:highlight w:val="none"/>
              </w:rPr>
            </w:pPr>
          </w:p>
        </w:tc>
      </w:tr>
    </w:tbl>
    <w:p w14:paraId="3D2CD684">
      <w:pPr>
        <w:spacing w:line="360" w:lineRule="auto"/>
        <w:rPr>
          <w:rFonts w:ascii="宋体" w:hAnsi="宋体"/>
          <w:color w:val="auto"/>
          <w:sz w:val="24"/>
          <w:szCs w:val="24"/>
          <w:highlight w:val="none"/>
        </w:rPr>
      </w:pPr>
    </w:p>
    <w:p w14:paraId="746940D2">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2E2096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0A2BE2BE">
      <w:pPr>
        <w:spacing w:line="360" w:lineRule="auto"/>
        <w:jc w:val="center"/>
        <w:rPr>
          <w:rFonts w:ascii="宋体" w:hAnsi="宋体"/>
          <w:b/>
          <w:color w:val="auto"/>
          <w:sz w:val="36"/>
          <w:highlight w:val="none"/>
        </w:rPr>
      </w:pPr>
    </w:p>
    <w:p w14:paraId="22042FED">
      <w:pPr>
        <w:spacing w:line="360" w:lineRule="auto"/>
        <w:jc w:val="center"/>
        <w:rPr>
          <w:rFonts w:ascii="宋体" w:hAnsi="宋体"/>
          <w:b/>
          <w:color w:val="auto"/>
          <w:sz w:val="36"/>
          <w:highlight w:val="none"/>
        </w:rPr>
      </w:pPr>
    </w:p>
    <w:p w14:paraId="7609C7E0">
      <w:pPr>
        <w:spacing w:line="360" w:lineRule="auto"/>
        <w:rPr>
          <w:rFonts w:ascii="宋体" w:hAnsi="宋体"/>
          <w:color w:val="auto"/>
          <w:sz w:val="32"/>
          <w:highlight w:val="none"/>
        </w:rPr>
      </w:pPr>
    </w:p>
    <w:p w14:paraId="20FA5398">
      <w:pPr>
        <w:spacing w:line="360" w:lineRule="auto"/>
        <w:rPr>
          <w:rFonts w:ascii="宋体" w:hAnsi="宋体"/>
          <w:color w:val="auto"/>
          <w:sz w:val="32"/>
          <w:highlight w:val="none"/>
        </w:rPr>
      </w:pPr>
      <w:r>
        <w:rPr>
          <w:rFonts w:hint="eastAsia" w:ascii="宋体" w:hAnsi="宋体"/>
          <w:color w:val="auto"/>
          <w:sz w:val="32"/>
          <w:highlight w:val="none"/>
        </w:rPr>
        <w:br w:type="page"/>
      </w:r>
    </w:p>
    <w:p w14:paraId="0DD961FB">
      <w:pPr>
        <w:pStyle w:val="3"/>
        <w:numPr>
          <w:ilvl w:val="0"/>
          <w:numId w:val="6"/>
        </w:numPr>
        <w:spacing w:line="360" w:lineRule="auto"/>
        <w:rPr>
          <w:rFonts w:ascii="宋体" w:hAnsi="宋体" w:eastAsia="宋体"/>
          <w:color w:val="auto"/>
          <w:sz w:val="32"/>
          <w:highlight w:val="none"/>
        </w:rPr>
      </w:pPr>
      <w:bookmarkStart w:id="65" w:name="_Hlt26955054"/>
      <w:bookmarkEnd w:id="65"/>
      <w:r>
        <w:rPr>
          <w:rFonts w:hint="eastAsia" w:ascii="宋体" w:hAnsi="宋体" w:eastAsia="宋体"/>
          <w:color w:val="auto"/>
          <w:sz w:val="32"/>
          <w:highlight w:val="none"/>
        </w:rPr>
        <w:t>商务条款响应及偏离表</w:t>
      </w:r>
    </w:p>
    <w:p w14:paraId="7B205F7B">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747DA4D0">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0DCB9319">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4347DCBD">
      <w:pPr>
        <w:rPr>
          <w:rFonts w:ascii="宋体" w:hAnsi="宋体"/>
          <w:color w:val="auto"/>
          <w:highlight w:val="none"/>
        </w:rPr>
      </w:pPr>
    </w:p>
    <w:tbl>
      <w:tblPr>
        <w:tblStyle w:val="23"/>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7"/>
        <w:gridCol w:w="2559"/>
        <w:gridCol w:w="1259"/>
        <w:gridCol w:w="3018"/>
      </w:tblGrid>
      <w:tr w14:paraId="2F821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07" w:type="dxa"/>
            <w:tcBorders>
              <w:top w:val="single" w:color="auto" w:sz="4" w:space="0"/>
              <w:left w:val="single" w:color="auto" w:sz="4" w:space="0"/>
              <w:bottom w:val="single" w:color="auto" w:sz="4" w:space="0"/>
              <w:right w:val="single" w:color="auto" w:sz="4" w:space="0"/>
            </w:tcBorders>
          </w:tcPr>
          <w:p w14:paraId="695B1872">
            <w:pPr>
              <w:adjustRightInd w:val="0"/>
              <w:snapToGrid w:val="0"/>
              <w:spacing w:beforeLines="50" w:after="200" w:line="440" w:lineRule="exact"/>
              <w:jc w:val="center"/>
              <w:rPr>
                <w:rFonts w:ascii="宋体" w:hAnsi="宋体"/>
                <w:color w:val="auto"/>
                <w:szCs w:val="21"/>
                <w:highlight w:val="none"/>
              </w:rPr>
            </w:pPr>
            <w:bookmarkStart w:id="66" w:name="_Hlt26671343"/>
            <w:bookmarkEnd w:id="66"/>
            <w:bookmarkStart w:id="67" w:name="_Hlt26671372"/>
            <w:bookmarkEnd w:id="67"/>
            <w:bookmarkStart w:id="68" w:name="_Hlt26609391"/>
            <w:bookmarkEnd w:id="68"/>
            <w:bookmarkStart w:id="69" w:name="_Hlt26955056"/>
            <w:bookmarkEnd w:id="69"/>
            <w:bookmarkStart w:id="70" w:name="_Hlt24879081"/>
            <w:bookmarkEnd w:id="70"/>
            <w:bookmarkStart w:id="71" w:name="_Hlt26580838"/>
            <w:bookmarkEnd w:id="71"/>
            <w:bookmarkStart w:id="72" w:name="_Hlt26955064"/>
            <w:bookmarkEnd w:id="72"/>
            <w:bookmarkStart w:id="73" w:name="_Hlt26782999"/>
            <w:bookmarkEnd w:id="73"/>
            <w:r>
              <w:rPr>
                <w:rFonts w:hint="eastAsia" w:ascii="宋体" w:hAnsi="宋体"/>
                <w:color w:val="auto"/>
                <w:szCs w:val="21"/>
                <w:highlight w:val="none"/>
              </w:rPr>
              <w:t>项目</w:t>
            </w:r>
          </w:p>
        </w:tc>
        <w:tc>
          <w:tcPr>
            <w:tcW w:w="2559" w:type="dxa"/>
            <w:tcBorders>
              <w:top w:val="single" w:color="auto" w:sz="4" w:space="0"/>
              <w:left w:val="single" w:color="auto" w:sz="4" w:space="0"/>
              <w:bottom w:val="single" w:color="auto" w:sz="4" w:space="0"/>
              <w:right w:val="single" w:color="auto" w:sz="4" w:space="0"/>
            </w:tcBorders>
          </w:tcPr>
          <w:p w14:paraId="70986174">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14:paraId="46F01133">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3018" w:type="dxa"/>
            <w:tcBorders>
              <w:top w:val="single" w:color="auto" w:sz="4" w:space="0"/>
              <w:left w:val="single" w:color="auto" w:sz="4" w:space="0"/>
              <w:bottom w:val="single" w:color="auto" w:sz="4" w:space="0"/>
              <w:right w:val="single" w:color="auto" w:sz="4" w:space="0"/>
            </w:tcBorders>
          </w:tcPr>
          <w:p w14:paraId="235BAE7B">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供应商的承诺或说明</w:t>
            </w:r>
          </w:p>
        </w:tc>
      </w:tr>
      <w:tr w14:paraId="05E83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507" w:type="dxa"/>
            <w:tcBorders>
              <w:top w:val="single" w:color="auto" w:sz="4" w:space="0"/>
              <w:left w:val="single" w:color="auto" w:sz="4" w:space="0"/>
              <w:bottom w:val="single" w:color="auto" w:sz="4" w:space="0"/>
              <w:right w:val="single" w:color="auto" w:sz="4" w:space="0"/>
            </w:tcBorders>
            <w:vAlign w:val="top"/>
          </w:tcPr>
          <w:p w14:paraId="5DBE3E0A">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交货时间</w:t>
            </w:r>
          </w:p>
        </w:tc>
        <w:tc>
          <w:tcPr>
            <w:tcW w:w="2559" w:type="dxa"/>
            <w:tcBorders>
              <w:top w:val="single" w:color="auto" w:sz="4" w:space="0"/>
              <w:left w:val="single" w:color="auto" w:sz="4" w:space="0"/>
              <w:bottom w:val="single" w:color="auto" w:sz="4" w:space="0"/>
              <w:right w:val="single" w:color="auto" w:sz="4" w:space="0"/>
            </w:tcBorders>
            <w:vAlign w:val="top"/>
          </w:tcPr>
          <w:p w14:paraId="0FEA9C44">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top"/>
          </w:tcPr>
          <w:p w14:paraId="32D8B099">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top"/>
          </w:tcPr>
          <w:p w14:paraId="09200813">
            <w:pPr>
              <w:adjustRightInd w:val="0"/>
              <w:snapToGrid w:val="0"/>
              <w:spacing w:beforeLines="50" w:after="200" w:line="440" w:lineRule="exact"/>
              <w:ind w:left="43"/>
              <w:jc w:val="center"/>
              <w:rPr>
                <w:rFonts w:ascii="宋体" w:hAnsi="宋体"/>
                <w:color w:val="auto"/>
                <w:szCs w:val="21"/>
                <w:highlight w:val="none"/>
              </w:rPr>
            </w:pPr>
          </w:p>
        </w:tc>
      </w:tr>
      <w:tr w14:paraId="08D59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4F2A7F66">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交货方式</w:t>
            </w:r>
          </w:p>
        </w:tc>
        <w:tc>
          <w:tcPr>
            <w:tcW w:w="2559" w:type="dxa"/>
            <w:tcBorders>
              <w:top w:val="single" w:color="auto" w:sz="4" w:space="0"/>
              <w:left w:val="single" w:color="auto" w:sz="4" w:space="0"/>
              <w:bottom w:val="single" w:color="auto" w:sz="4" w:space="0"/>
              <w:right w:val="single" w:color="auto" w:sz="4" w:space="0"/>
            </w:tcBorders>
            <w:vAlign w:val="center"/>
          </w:tcPr>
          <w:p w14:paraId="66369259">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B720167">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FDA4F0D">
            <w:pPr>
              <w:adjustRightInd w:val="0"/>
              <w:snapToGrid w:val="0"/>
              <w:spacing w:beforeLines="50" w:after="200" w:line="440" w:lineRule="exact"/>
              <w:ind w:left="43"/>
              <w:jc w:val="center"/>
              <w:rPr>
                <w:rFonts w:ascii="宋体" w:hAnsi="宋体"/>
                <w:color w:val="auto"/>
                <w:szCs w:val="21"/>
                <w:highlight w:val="none"/>
              </w:rPr>
            </w:pPr>
          </w:p>
        </w:tc>
      </w:tr>
      <w:tr w14:paraId="0D21C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4FBA64B8">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交货地点</w:t>
            </w:r>
          </w:p>
        </w:tc>
        <w:tc>
          <w:tcPr>
            <w:tcW w:w="2559" w:type="dxa"/>
            <w:tcBorders>
              <w:top w:val="single" w:color="auto" w:sz="4" w:space="0"/>
              <w:left w:val="single" w:color="auto" w:sz="4" w:space="0"/>
              <w:bottom w:val="single" w:color="auto" w:sz="4" w:space="0"/>
              <w:right w:val="single" w:color="auto" w:sz="4" w:space="0"/>
            </w:tcBorders>
            <w:vAlign w:val="center"/>
          </w:tcPr>
          <w:p w14:paraId="43B67CD8">
            <w:pPr>
              <w:adjustRightInd w:val="0"/>
              <w:snapToGrid w:val="0"/>
              <w:spacing w:beforeLines="50" w:after="200" w:line="440" w:lineRule="exact"/>
              <w:jc w:val="both"/>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84E346C">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48ACB3B">
            <w:pPr>
              <w:adjustRightInd w:val="0"/>
              <w:snapToGrid w:val="0"/>
              <w:spacing w:beforeLines="50" w:after="200" w:line="440" w:lineRule="exact"/>
              <w:ind w:left="43"/>
              <w:jc w:val="center"/>
              <w:rPr>
                <w:rFonts w:ascii="宋体" w:hAnsi="宋体"/>
                <w:color w:val="auto"/>
                <w:szCs w:val="21"/>
                <w:highlight w:val="none"/>
              </w:rPr>
            </w:pPr>
          </w:p>
        </w:tc>
      </w:tr>
      <w:tr w14:paraId="166A6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507" w:type="dxa"/>
            <w:tcBorders>
              <w:top w:val="single" w:color="auto" w:sz="4" w:space="0"/>
              <w:left w:val="single" w:color="auto" w:sz="4" w:space="0"/>
              <w:bottom w:val="single" w:color="auto" w:sz="4" w:space="0"/>
              <w:right w:val="single" w:color="auto" w:sz="4" w:space="0"/>
            </w:tcBorders>
          </w:tcPr>
          <w:p w14:paraId="6C13BE8D">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付款方式</w:t>
            </w:r>
          </w:p>
        </w:tc>
        <w:tc>
          <w:tcPr>
            <w:tcW w:w="2559" w:type="dxa"/>
            <w:tcBorders>
              <w:top w:val="single" w:color="auto" w:sz="4" w:space="0"/>
              <w:left w:val="single" w:color="auto" w:sz="4" w:space="0"/>
              <w:bottom w:val="single" w:color="auto" w:sz="4" w:space="0"/>
              <w:right w:val="single" w:color="auto" w:sz="4" w:space="0"/>
            </w:tcBorders>
          </w:tcPr>
          <w:p w14:paraId="195BDD51">
            <w:pPr>
              <w:adjustRightInd w:val="0"/>
              <w:snapToGrid w:val="0"/>
              <w:spacing w:beforeLines="50" w:after="200" w:line="440" w:lineRule="exact"/>
              <w:jc w:val="center"/>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14:paraId="5F6802A7">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14:paraId="175C79E6">
            <w:pPr>
              <w:adjustRightInd w:val="0"/>
              <w:snapToGrid w:val="0"/>
              <w:spacing w:beforeLines="50" w:after="200" w:line="440" w:lineRule="exact"/>
              <w:jc w:val="center"/>
              <w:rPr>
                <w:rFonts w:ascii="宋体" w:hAnsi="宋体"/>
                <w:color w:val="auto"/>
                <w:sz w:val="24"/>
                <w:szCs w:val="20"/>
                <w:highlight w:val="none"/>
              </w:rPr>
            </w:pPr>
          </w:p>
        </w:tc>
      </w:tr>
      <w:tr w14:paraId="78251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89E3202">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投标货币</w:t>
            </w:r>
          </w:p>
        </w:tc>
        <w:tc>
          <w:tcPr>
            <w:tcW w:w="2559" w:type="dxa"/>
            <w:tcBorders>
              <w:top w:val="single" w:color="auto" w:sz="4" w:space="0"/>
              <w:left w:val="single" w:color="auto" w:sz="4" w:space="0"/>
              <w:bottom w:val="single" w:color="auto" w:sz="4" w:space="0"/>
              <w:right w:val="single" w:color="auto" w:sz="4" w:space="0"/>
            </w:tcBorders>
            <w:vAlign w:val="center"/>
          </w:tcPr>
          <w:p w14:paraId="0CE8E41C">
            <w:pPr>
              <w:adjustRightInd w:val="0"/>
              <w:snapToGrid w:val="0"/>
              <w:spacing w:beforeLines="50" w:after="200" w:line="440" w:lineRule="exact"/>
              <w:jc w:val="both"/>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5BF7220">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3F807C9">
            <w:pPr>
              <w:adjustRightInd w:val="0"/>
              <w:snapToGrid w:val="0"/>
              <w:spacing w:beforeLines="50" w:after="200" w:line="440" w:lineRule="exact"/>
              <w:jc w:val="center"/>
              <w:rPr>
                <w:rFonts w:ascii="宋体" w:hAnsi="宋体"/>
                <w:color w:val="auto"/>
                <w:sz w:val="24"/>
                <w:szCs w:val="20"/>
                <w:highlight w:val="none"/>
              </w:rPr>
            </w:pPr>
          </w:p>
        </w:tc>
      </w:tr>
      <w:tr w14:paraId="49ADF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07" w:type="dxa"/>
            <w:tcBorders>
              <w:top w:val="single" w:color="auto" w:sz="4" w:space="0"/>
              <w:left w:val="single" w:color="auto" w:sz="4" w:space="0"/>
              <w:bottom w:val="single" w:color="auto" w:sz="4" w:space="0"/>
              <w:right w:val="single" w:color="auto" w:sz="4" w:space="0"/>
            </w:tcBorders>
          </w:tcPr>
          <w:p w14:paraId="265FF85F">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其他</w:t>
            </w:r>
          </w:p>
        </w:tc>
        <w:tc>
          <w:tcPr>
            <w:tcW w:w="2559" w:type="dxa"/>
            <w:tcBorders>
              <w:top w:val="single" w:color="auto" w:sz="4" w:space="0"/>
              <w:left w:val="single" w:color="auto" w:sz="4" w:space="0"/>
              <w:bottom w:val="single" w:color="auto" w:sz="4" w:space="0"/>
              <w:right w:val="single" w:color="auto" w:sz="4" w:space="0"/>
            </w:tcBorders>
          </w:tcPr>
          <w:p w14:paraId="0BF97E73">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4E5B798A">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53F0A6F8">
            <w:pPr>
              <w:adjustRightInd w:val="0"/>
              <w:snapToGrid w:val="0"/>
              <w:spacing w:beforeLines="50" w:after="200" w:line="440" w:lineRule="exact"/>
              <w:jc w:val="center"/>
              <w:rPr>
                <w:rFonts w:ascii="宋体" w:hAnsi="宋体"/>
                <w:color w:val="auto"/>
                <w:szCs w:val="21"/>
                <w:highlight w:val="none"/>
              </w:rPr>
            </w:pPr>
          </w:p>
        </w:tc>
      </w:tr>
    </w:tbl>
    <w:p w14:paraId="0E4EBEFD">
      <w:pPr>
        <w:spacing w:line="360" w:lineRule="auto"/>
        <w:rPr>
          <w:rFonts w:ascii="宋体" w:hAnsi="宋体"/>
          <w:color w:val="auto"/>
          <w:sz w:val="24"/>
          <w:highlight w:val="none"/>
        </w:rPr>
      </w:pPr>
    </w:p>
    <w:p w14:paraId="1A3ACF56">
      <w:pPr>
        <w:spacing w:line="360" w:lineRule="auto"/>
        <w:rPr>
          <w:rFonts w:ascii="宋体" w:hAnsi="宋体"/>
          <w:color w:val="auto"/>
          <w:sz w:val="30"/>
          <w:highlight w:val="none"/>
        </w:rPr>
      </w:pPr>
    </w:p>
    <w:p w14:paraId="1FECF012">
      <w:pPr>
        <w:pStyle w:val="22"/>
        <w:rPr>
          <w:rFonts w:ascii="宋体" w:hAnsi="宋体"/>
          <w:color w:val="auto"/>
          <w:sz w:val="30"/>
          <w:highlight w:val="none"/>
        </w:rPr>
      </w:pPr>
    </w:p>
    <w:p w14:paraId="7F3DAEAC">
      <w:pPr>
        <w:pStyle w:val="22"/>
        <w:rPr>
          <w:rFonts w:ascii="宋体" w:hAnsi="宋体"/>
          <w:color w:val="auto"/>
          <w:sz w:val="30"/>
          <w:highlight w:val="none"/>
        </w:rPr>
      </w:pPr>
    </w:p>
    <w:p w14:paraId="7126F5EF">
      <w:pPr>
        <w:pStyle w:val="22"/>
        <w:rPr>
          <w:rFonts w:ascii="宋体" w:hAnsi="宋体"/>
          <w:color w:val="auto"/>
          <w:sz w:val="30"/>
          <w:highlight w:val="none"/>
        </w:rPr>
      </w:pPr>
    </w:p>
    <w:p w14:paraId="19254BBE">
      <w:pPr>
        <w:pStyle w:val="22"/>
        <w:rPr>
          <w:rFonts w:ascii="宋体" w:hAnsi="宋体"/>
          <w:color w:val="auto"/>
          <w:sz w:val="30"/>
          <w:highlight w:val="none"/>
        </w:rPr>
      </w:pPr>
    </w:p>
    <w:p w14:paraId="474BCDA0">
      <w:pPr>
        <w:pStyle w:val="22"/>
        <w:rPr>
          <w:rFonts w:ascii="宋体" w:hAnsi="宋体"/>
          <w:color w:val="auto"/>
          <w:sz w:val="30"/>
          <w:highlight w:val="none"/>
        </w:rPr>
      </w:pPr>
    </w:p>
    <w:p w14:paraId="13D02BBE">
      <w:pPr>
        <w:pStyle w:val="22"/>
        <w:rPr>
          <w:rFonts w:ascii="宋体" w:hAnsi="宋体"/>
          <w:color w:val="auto"/>
          <w:sz w:val="30"/>
          <w:highlight w:val="none"/>
        </w:rPr>
      </w:pPr>
    </w:p>
    <w:p w14:paraId="21CA5B10">
      <w:pPr>
        <w:spacing w:line="360" w:lineRule="auto"/>
        <w:ind w:firstLine="211" w:firstLineChars="100"/>
        <w:jc w:val="center"/>
        <w:rPr>
          <w:rFonts w:hint="eastAsia" w:ascii="宋体" w:hAnsi="宋体"/>
          <w:b/>
          <w:color w:val="auto"/>
          <w:highlight w:val="none"/>
        </w:rPr>
      </w:pPr>
      <w:bookmarkStart w:id="74" w:name="_Hlt26671374"/>
      <w:bookmarkEnd w:id="74"/>
      <w:bookmarkStart w:id="75" w:name="_Hlt26955066"/>
      <w:bookmarkEnd w:id="75"/>
      <w:bookmarkStart w:id="76" w:name="_Hlt26609389"/>
      <w:bookmarkEnd w:id="76"/>
    </w:p>
    <w:p w14:paraId="1C4044AE">
      <w:pPr>
        <w:pStyle w:val="3"/>
        <w:numPr>
          <w:ilvl w:val="0"/>
          <w:numId w:val="6"/>
        </w:numPr>
        <w:spacing w:line="360" w:lineRule="auto"/>
        <w:rPr>
          <w:rFonts w:hint="eastAsia" w:ascii="宋体" w:hAnsi="宋体" w:eastAsia="宋体"/>
          <w:color w:val="auto"/>
          <w:sz w:val="32"/>
          <w:highlight w:val="none"/>
        </w:rPr>
      </w:pPr>
      <w:r>
        <w:rPr>
          <w:rFonts w:hint="eastAsia" w:ascii="宋体" w:hAnsi="宋体" w:eastAsia="宋体"/>
          <w:color w:val="auto"/>
          <w:sz w:val="32"/>
          <w:highlight w:val="none"/>
        </w:rPr>
        <w:t xml:space="preserve">其他 </w:t>
      </w:r>
    </w:p>
    <w:p w14:paraId="7BAE7EF7">
      <w:pPr>
        <w:pStyle w:val="3"/>
        <w:numPr>
          <w:ilvl w:val="0"/>
          <w:numId w:val="0"/>
        </w:numPr>
        <w:spacing w:line="360" w:lineRule="auto"/>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（投标人认为有必要提供的声明和文件，如有自拟并自行添加）</w:t>
      </w:r>
    </w:p>
    <w:p w14:paraId="481EFE49">
      <w:pPr>
        <w:spacing w:line="360" w:lineRule="auto"/>
        <w:ind w:firstLine="211" w:firstLineChars="100"/>
        <w:jc w:val="center"/>
        <w:rPr>
          <w:rFonts w:hint="eastAsia" w:ascii="宋体" w:hAnsi="宋体"/>
          <w:b/>
          <w:color w:val="auto"/>
          <w:highlight w:val="none"/>
        </w:rPr>
      </w:pPr>
    </w:p>
    <w:p w14:paraId="5E317DEF">
      <w:pPr>
        <w:spacing w:line="360" w:lineRule="auto"/>
        <w:ind w:firstLine="211" w:firstLineChars="100"/>
        <w:jc w:val="center"/>
        <w:rPr>
          <w:rFonts w:hint="eastAsia" w:ascii="宋体" w:hAnsi="宋体"/>
          <w:b/>
          <w:i/>
          <w:iCs/>
          <w:color w:val="auto"/>
          <w:highlight w:val="none"/>
          <w:u w:val="single"/>
        </w:rPr>
      </w:pPr>
      <w:r>
        <w:rPr>
          <w:rFonts w:hint="eastAsia" w:ascii="宋体" w:hAnsi="宋体"/>
          <w:b/>
          <w:i/>
          <w:iCs/>
          <w:color w:val="auto"/>
          <w:highlight w:val="none"/>
          <w:u w:val="single"/>
          <w:lang w:eastAsia="zh-CN"/>
        </w:rPr>
        <w:t>（</w:t>
      </w:r>
      <w:r>
        <w:rPr>
          <w:rFonts w:hint="eastAsia" w:ascii="宋体" w:hAnsi="宋体"/>
          <w:b/>
          <w:i/>
          <w:iCs/>
          <w:color w:val="auto"/>
          <w:highlight w:val="none"/>
          <w:u w:val="single"/>
          <w:lang w:val="en-US" w:eastAsia="zh-CN"/>
        </w:rPr>
        <w:t>一</w:t>
      </w:r>
      <w:r>
        <w:rPr>
          <w:rFonts w:hint="eastAsia" w:ascii="宋体" w:hAnsi="宋体"/>
          <w:b/>
          <w:i/>
          <w:iCs/>
          <w:color w:val="auto"/>
          <w:highlight w:val="none"/>
          <w:u w:val="single"/>
          <w:lang w:eastAsia="zh-CN"/>
        </w:rPr>
        <w:t>）</w:t>
      </w:r>
      <w:r>
        <w:rPr>
          <w:rFonts w:hint="eastAsia" w:ascii="宋体" w:hAnsi="宋体"/>
          <w:b/>
          <w:i/>
          <w:iCs/>
          <w:color w:val="auto"/>
          <w:highlight w:val="none"/>
          <w:u w:val="single"/>
        </w:rPr>
        <w:t>产品若离保质期六个月还未使用完，须无条件退货或换货，提供承诺函原件加盖投标人公章，无承诺的视为无效投标。</w:t>
      </w:r>
      <w:r>
        <w:rPr>
          <w:rFonts w:hint="eastAsia" w:ascii="宋体" w:hAnsi="宋体"/>
          <w:b/>
          <w:i/>
          <w:iCs/>
          <w:color w:val="auto"/>
          <w:highlight w:val="none"/>
          <w:u w:val="single"/>
          <w:lang w:eastAsia="zh-CN"/>
        </w:rPr>
        <w:t>（</w:t>
      </w:r>
      <w:r>
        <w:rPr>
          <w:rFonts w:hint="eastAsia" w:ascii="宋体" w:hAnsi="宋体"/>
          <w:b/>
          <w:i/>
          <w:iCs/>
          <w:color w:val="auto"/>
          <w:highlight w:val="none"/>
          <w:u w:val="single"/>
          <w:lang w:val="en-US" w:eastAsia="zh-CN"/>
        </w:rPr>
        <w:t>格式自拟</w:t>
      </w:r>
      <w:r>
        <w:rPr>
          <w:rFonts w:hint="eastAsia" w:ascii="宋体" w:hAnsi="宋体"/>
          <w:b/>
          <w:i/>
          <w:iCs/>
          <w:color w:val="auto"/>
          <w:highlight w:val="none"/>
          <w:u w:val="single"/>
          <w:lang w:eastAsia="zh-CN"/>
        </w:rPr>
        <w:t>）</w:t>
      </w:r>
    </w:p>
    <w:p w14:paraId="5DBC6351">
      <w:pPr>
        <w:spacing w:line="360" w:lineRule="auto"/>
        <w:ind w:firstLine="211" w:firstLineChars="100"/>
        <w:jc w:val="center"/>
        <w:rPr>
          <w:rFonts w:hint="eastAsia" w:ascii="宋体" w:hAnsi="宋体"/>
          <w:b/>
          <w:color w:val="auto"/>
          <w:highlight w:val="none"/>
        </w:rPr>
      </w:pPr>
    </w:p>
    <w:p w14:paraId="6874E1ED">
      <w:pPr>
        <w:spacing w:line="360" w:lineRule="auto"/>
        <w:ind w:firstLine="211" w:firstLineChars="100"/>
        <w:jc w:val="center"/>
        <w:rPr>
          <w:rFonts w:hint="eastAsia" w:ascii="宋体" w:hAnsi="宋体"/>
          <w:b/>
          <w:color w:val="auto"/>
          <w:highlight w:val="none"/>
        </w:rPr>
      </w:pPr>
    </w:p>
    <w:p w14:paraId="37DAAD02">
      <w:pPr>
        <w:spacing w:line="360" w:lineRule="auto"/>
        <w:ind w:firstLine="4620" w:firstLineChars="2200"/>
        <w:jc w:val="right"/>
        <w:rPr>
          <w:rFonts w:ascii="宋体" w:hAnsi="宋体"/>
          <w:color w:val="auto"/>
          <w:highlight w:val="none"/>
        </w:rPr>
      </w:pPr>
    </w:p>
    <w:p w14:paraId="77FBE654">
      <w:pPr>
        <w:spacing w:line="360" w:lineRule="auto"/>
        <w:rPr>
          <w:rFonts w:ascii="宋体" w:hAnsi="宋体"/>
          <w:color w:val="auto"/>
          <w:highlight w:val="none"/>
        </w:rPr>
      </w:pPr>
    </w:p>
    <w:p w14:paraId="5911FDD2">
      <w:pPr>
        <w:widowControl/>
        <w:spacing w:before="100" w:beforeAutospacing="1" w:after="143" w:line="360" w:lineRule="auto"/>
        <w:jc w:val="left"/>
        <w:rPr>
          <w:rFonts w:ascii="宋体" w:hAnsi="宋体" w:cs="宋体"/>
          <w:color w:val="auto"/>
          <w:kern w:val="0"/>
          <w:sz w:val="24"/>
          <w:szCs w:val="24"/>
          <w:highlight w:val="none"/>
        </w:rPr>
      </w:pPr>
    </w:p>
    <w:p w14:paraId="57D0731D">
      <w:pPr>
        <w:spacing w:line="360" w:lineRule="auto"/>
        <w:rPr>
          <w:rFonts w:ascii="宋体" w:hAnsi="宋体"/>
          <w:color w:val="auto"/>
          <w:highlight w:val="none"/>
        </w:rPr>
      </w:pPr>
    </w:p>
    <w:p w14:paraId="1238B4E4">
      <w:pPr>
        <w:spacing w:line="360" w:lineRule="auto"/>
        <w:rPr>
          <w:rFonts w:ascii="宋体" w:hAnsi="宋体"/>
          <w:color w:val="auto"/>
          <w:highlight w:val="none"/>
        </w:rPr>
      </w:pPr>
    </w:p>
    <w:p w14:paraId="3489B6E6">
      <w:pPr>
        <w:spacing w:line="360" w:lineRule="auto"/>
        <w:rPr>
          <w:rFonts w:ascii="宋体" w:hAnsi="宋体"/>
          <w:color w:val="auto"/>
          <w:highlight w:val="none"/>
        </w:rPr>
      </w:pPr>
    </w:p>
    <w:p w14:paraId="4EC74F59">
      <w:pPr>
        <w:spacing w:line="360" w:lineRule="auto"/>
        <w:rPr>
          <w:rFonts w:ascii="宋体" w:hAnsi="宋体"/>
          <w:color w:val="auto"/>
          <w:highlight w:val="none"/>
        </w:rPr>
      </w:pPr>
    </w:p>
    <w:p w14:paraId="22CC1978">
      <w:pPr>
        <w:pStyle w:val="4"/>
        <w:rPr>
          <w:rFonts w:ascii="宋体" w:hAnsi="宋体"/>
          <w:color w:val="auto"/>
          <w:highlight w:val="none"/>
        </w:rPr>
      </w:pPr>
    </w:p>
    <w:p w14:paraId="0CD6DF44">
      <w:pPr>
        <w:rPr>
          <w:rFonts w:ascii="宋体" w:hAnsi="宋体"/>
          <w:color w:val="auto"/>
          <w:highlight w:val="none"/>
        </w:rPr>
      </w:pPr>
    </w:p>
    <w:p w14:paraId="6ED39AF4">
      <w:pPr>
        <w:pStyle w:val="4"/>
        <w:rPr>
          <w:rFonts w:ascii="宋体" w:hAnsi="宋体"/>
          <w:color w:val="auto"/>
          <w:highlight w:val="none"/>
        </w:rPr>
      </w:pPr>
    </w:p>
    <w:p w14:paraId="4CF8B566">
      <w:pPr>
        <w:rPr>
          <w:rFonts w:ascii="宋体" w:hAnsi="宋体"/>
          <w:color w:val="auto"/>
          <w:highlight w:val="none"/>
        </w:rPr>
      </w:pPr>
    </w:p>
    <w:p w14:paraId="5D02BF4E">
      <w:pPr>
        <w:pStyle w:val="4"/>
        <w:rPr>
          <w:rFonts w:ascii="宋体" w:hAnsi="宋体"/>
          <w:color w:val="auto"/>
          <w:highlight w:val="none"/>
        </w:rPr>
      </w:pPr>
    </w:p>
    <w:p w14:paraId="24E2812F">
      <w:pPr>
        <w:rPr>
          <w:color w:val="auto"/>
          <w:highlight w:val="none"/>
        </w:rPr>
      </w:pPr>
    </w:p>
    <w:p w14:paraId="503AD959">
      <w:pPr>
        <w:rPr>
          <w:rFonts w:ascii="宋体" w:hAnsi="宋体"/>
          <w:color w:val="auto"/>
          <w:highlight w:val="none"/>
        </w:rPr>
      </w:pPr>
    </w:p>
    <w:p w14:paraId="5474105E">
      <w:pPr>
        <w:jc w:val="center"/>
        <w:rPr>
          <w:rFonts w:hint="eastAsia" w:ascii="宋体" w:hAnsi="宋体" w:eastAsia="宋体" w:cs="宋体"/>
          <w:b/>
          <w:bCs w:val="0"/>
          <w:color w:val="auto"/>
          <w:sz w:val="30"/>
          <w:szCs w:val="30"/>
          <w:highlight w:val="none"/>
          <w:lang w:val="en-US" w:eastAsia="zh-CN"/>
        </w:rPr>
      </w:pPr>
    </w:p>
    <w:p w14:paraId="188478F3">
      <w:pPr>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sz w:val="30"/>
          <w:szCs w:val="30"/>
          <w:highlight w:val="none"/>
          <w:lang w:val="en-US" w:eastAsia="zh-CN"/>
        </w:rPr>
        <w:t>投标人（</w:t>
      </w:r>
      <w:r>
        <w:rPr>
          <w:rFonts w:hint="eastAsia" w:ascii="宋体" w:hAnsi="宋体" w:eastAsia="宋体" w:cs="宋体"/>
          <w:b/>
          <w:bCs w:val="0"/>
          <w:color w:val="auto"/>
          <w:sz w:val="30"/>
          <w:szCs w:val="30"/>
          <w:highlight w:val="none"/>
        </w:rPr>
        <w:t>供应商</w:t>
      </w:r>
      <w:r>
        <w:rPr>
          <w:rFonts w:hint="eastAsia" w:ascii="宋体" w:hAnsi="宋体" w:eastAsia="宋体" w:cs="宋体"/>
          <w:b/>
          <w:bCs w:val="0"/>
          <w:color w:val="auto"/>
          <w:sz w:val="30"/>
          <w:szCs w:val="30"/>
          <w:highlight w:val="none"/>
          <w:lang w:val="en-US" w:eastAsia="zh-CN"/>
        </w:rPr>
        <w:t>）</w:t>
      </w:r>
      <w:r>
        <w:rPr>
          <w:rFonts w:hint="eastAsia" w:ascii="宋体" w:hAnsi="宋体" w:eastAsia="宋体" w:cs="宋体"/>
          <w:b/>
          <w:bCs w:val="0"/>
          <w:color w:val="auto"/>
          <w:sz w:val="30"/>
          <w:szCs w:val="30"/>
          <w:highlight w:val="none"/>
        </w:rPr>
        <w:t>参加</w:t>
      </w:r>
      <w:r>
        <w:rPr>
          <w:rFonts w:hint="eastAsia" w:ascii="宋体" w:hAnsi="宋体" w:eastAsia="宋体" w:cs="宋体"/>
          <w:b/>
          <w:bCs w:val="0"/>
          <w:color w:val="auto"/>
          <w:sz w:val="30"/>
          <w:szCs w:val="30"/>
          <w:highlight w:val="none"/>
          <w:lang w:val="en-US" w:eastAsia="zh-CN"/>
        </w:rPr>
        <w:t>投标</w:t>
      </w:r>
      <w:r>
        <w:rPr>
          <w:rFonts w:hint="eastAsia" w:ascii="宋体" w:hAnsi="宋体" w:eastAsia="宋体" w:cs="宋体"/>
          <w:b/>
          <w:bCs w:val="0"/>
          <w:color w:val="auto"/>
          <w:sz w:val="30"/>
          <w:szCs w:val="30"/>
          <w:highlight w:val="none"/>
        </w:rPr>
        <w:t>确认函</w:t>
      </w:r>
    </w:p>
    <w:p w14:paraId="744D1D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江苏省鼎诚建设工程顾问有限公司</w:t>
      </w:r>
      <w:r>
        <w:rPr>
          <w:rFonts w:hint="eastAsia" w:ascii="宋体" w:hAnsi="宋体" w:eastAsia="宋体" w:cs="宋体"/>
          <w:color w:val="auto"/>
          <w:sz w:val="21"/>
          <w:szCs w:val="21"/>
          <w:highlight w:val="none"/>
        </w:rPr>
        <w:t>：</w:t>
      </w:r>
    </w:p>
    <w:p w14:paraId="715D80A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本单位将参加贵公司</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编号为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w:t>
      </w:r>
    </w:p>
    <w:p w14:paraId="7C55ADC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本单位已在网站成功下载</w:t>
      </w:r>
      <w:r>
        <w:rPr>
          <w:rFonts w:hint="eastAsia" w:ascii="宋体" w:hAnsi="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，特发</w:t>
      </w:r>
      <w:r>
        <w:rPr>
          <w:rFonts w:hint="eastAsia" w:ascii="宋体" w:hAnsi="宋体" w:cs="宋体"/>
          <w:color w:val="auto"/>
          <w:sz w:val="21"/>
          <w:szCs w:val="21"/>
          <w:highlight w:val="none"/>
          <w:lang w:val="en-US" w:eastAsia="zh-CN"/>
        </w:rPr>
        <w:t>此</w:t>
      </w:r>
      <w:r>
        <w:rPr>
          <w:rFonts w:hint="eastAsia" w:ascii="宋体" w:hAnsi="宋体" w:eastAsia="宋体" w:cs="宋体"/>
          <w:color w:val="auto"/>
          <w:sz w:val="21"/>
          <w:szCs w:val="21"/>
          <w:highlight w:val="none"/>
        </w:rPr>
        <w:t>函确认。</w:t>
      </w:r>
    </w:p>
    <w:p w14:paraId="2962DA95">
      <w:pPr>
        <w:keepNext w:val="0"/>
        <w:keepLines w:val="0"/>
        <w:pageBreakBefore w:val="0"/>
        <w:widowControl w:val="0"/>
        <w:kinsoku/>
        <w:wordWrap/>
        <w:overflowPunct/>
        <w:topLinePunct w:val="0"/>
        <w:autoSpaceDE/>
        <w:autoSpaceDN/>
        <w:bidi w:val="0"/>
        <w:spacing w:line="360" w:lineRule="auto"/>
        <w:ind w:left="3900" w:hanging="2730" w:hangingChars="1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（单位公章）</w:t>
      </w:r>
    </w:p>
    <w:p w14:paraId="55DD495A">
      <w:pPr>
        <w:keepNext w:val="0"/>
        <w:keepLines w:val="0"/>
        <w:pageBreakBefore w:val="0"/>
        <w:widowControl w:val="0"/>
        <w:pBdr>
          <w:bottom w:val="single" w:color="auto" w:sz="6" w:space="1"/>
        </w:pBdr>
        <w:kinsoku/>
        <w:wordWrap/>
        <w:overflowPunct/>
        <w:topLinePunct w:val="0"/>
        <w:autoSpaceDE/>
        <w:autoSpaceDN/>
        <w:bidi w:val="0"/>
        <w:spacing w:line="360" w:lineRule="auto"/>
        <w:ind w:left="4950" w:hanging="3465" w:hangingChars="1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82D1F4B">
      <w:pPr>
        <w:keepNext w:val="0"/>
        <w:keepLines w:val="0"/>
        <w:pageBreakBefore w:val="0"/>
        <w:widowControl w:val="0"/>
        <w:pBdr>
          <w:bottom w:val="single" w:color="auto" w:sz="6" w:space="1"/>
        </w:pBdr>
        <w:kinsoku/>
        <w:wordWrap/>
        <w:overflowPunct/>
        <w:topLinePunct w:val="0"/>
        <w:autoSpaceDE/>
        <w:autoSpaceDN/>
        <w:bidi w:val="0"/>
        <w:spacing w:line="360" w:lineRule="auto"/>
        <w:ind w:left="4950" w:hanging="3465" w:hangingChars="16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9EB5611">
      <w:pPr>
        <w:keepNext w:val="0"/>
        <w:keepLines w:val="0"/>
        <w:pageBreakBefore w:val="0"/>
        <w:widowControl w:val="0"/>
        <w:kinsoku/>
        <w:wordWrap/>
        <w:overflowPunct/>
        <w:topLinePunct w:val="0"/>
        <w:autoSpaceDE/>
        <w:autoSpaceDN/>
        <w:bidi w:val="0"/>
        <w:spacing w:line="360" w:lineRule="auto"/>
        <w:ind w:left="5280" w:hanging="3465" w:hangingChars="1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14:paraId="676083D4">
      <w:pPr>
        <w:keepNext w:val="0"/>
        <w:keepLines w:val="0"/>
        <w:pageBreakBefore w:val="0"/>
        <w:widowControl w:val="0"/>
        <w:kinsoku/>
        <w:wordWrap/>
        <w:overflowPunct/>
        <w:topLinePunct w:val="0"/>
        <w:autoSpaceDE/>
        <w:autoSpaceDN/>
        <w:bidi w:val="0"/>
        <w:spacing w:line="360" w:lineRule="auto"/>
        <w:ind w:left="5963" w:hanging="3479" w:hangingChars="16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投标人（</w:t>
      </w:r>
      <w:r>
        <w:rPr>
          <w:rFonts w:hint="eastAsia" w:ascii="宋体" w:hAnsi="宋体" w:eastAsia="宋体" w:cs="宋体"/>
          <w:b/>
          <w:color w:val="auto"/>
          <w:sz w:val="21"/>
          <w:szCs w:val="21"/>
          <w:highlight w:val="none"/>
        </w:rPr>
        <w:t>供应商</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联系表</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14:paraId="4AA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noWrap w:val="0"/>
            <w:vAlign w:val="center"/>
          </w:tcPr>
          <w:p w14:paraId="1CD905A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5904" w:type="dxa"/>
            <w:gridSpan w:val="3"/>
            <w:noWrap w:val="0"/>
            <w:vAlign w:val="center"/>
          </w:tcPr>
          <w:p w14:paraId="266FCE5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5DD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03B746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5904" w:type="dxa"/>
            <w:gridSpan w:val="3"/>
            <w:noWrap w:val="0"/>
            <w:vAlign w:val="center"/>
          </w:tcPr>
          <w:p w14:paraId="3BCB35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102C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428DFC6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101" w:type="dxa"/>
            <w:noWrap w:val="0"/>
            <w:vAlign w:val="center"/>
          </w:tcPr>
          <w:p w14:paraId="4364DC9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719C85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tc>
        <w:tc>
          <w:tcPr>
            <w:tcW w:w="1991" w:type="dxa"/>
            <w:noWrap w:val="0"/>
            <w:vAlign w:val="center"/>
          </w:tcPr>
          <w:p w14:paraId="0E4EAE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73B2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150CE04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101" w:type="dxa"/>
            <w:noWrap w:val="0"/>
            <w:vAlign w:val="center"/>
          </w:tcPr>
          <w:p w14:paraId="0DCF28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5C8EB6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1991" w:type="dxa"/>
            <w:noWrap w:val="0"/>
            <w:vAlign w:val="center"/>
          </w:tcPr>
          <w:p w14:paraId="57AC652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6371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2151726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电话</w:t>
            </w:r>
          </w:p>
        </w:tc>
        <w:tc>
          <w:tcPr>
            <w:tcW w:w="2101" w:type="dxa"/>
            <w:noWrap w:val="0"/>
            <w:vAlign w:val="center"/>
          </w:tcPr>
          <w:p w14:paraId="2214CF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1399FA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联系人手机</w:t>
            </w:r>
          </w:p>
        </w:tc>
        <w:tc>
          <w:tcPr>
            <w:tcW w:w="1991" w:type="dxa"/>
            <w:noWrap w:val="0"/>
            <w:vAlign w:val="center"/>
          </w:tcPr>
          <w:p w14:paraId="71CFFEB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38F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5C153B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所投项目名称</w:t>
            </w:r>
          </w:p>
        </w:tc>
        <w:tc>
          <w:tcPr>
            <w:tcW w:w="5904" w:type="dxa"/>
            <w:gridSpan w:val="3"/>
            <w:noWrap w:val="0"/>
            <w:vAlign w:val="center"/>
          </w:tcPr>
          <w:p w14:paraId="2C79FEB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4EF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noWrap w:val="0"/>
            <w:vAlign w:val="center"/>
          </w:tcPr>
          <w:p w14:paraId="3CDC03B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所投</w:t>
            </w:r>
            <w:r>
              <w:rPr>
                <w:rFonts w:hint="eastAsia" w:ascii="宋体" w:hAnsi="宋体" w:cs="宋体"/>
                <w:color w:val="auto"/>
                <w:sz w:val="21"/>
                <w:szCs w:val="21"/>
                <w:highlight w:val="none"/>
                <w:lang w:val="en-US" w:eastAsia="zh-CN"/>
              </w:rPr>
              <w:t>采购包</w:t>
            </w:r>
          </w:p>
        </w:tc>
        <w:tc>
          <w:tcPr>
            <w:tcW w:w="5904" w:type="dxa"/>
            <w:gridSpan w:val="3"/>
            <w:noWrap w:val="0"/>
            <w:vAlign w:val="center"/>
          </w:tcPr>
          <w:p w14:paraId="141802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bl>
    <w:p w14:paraId="7DB5F30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7A1C2F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1、请准备参与本项目投标的供应商如实填写（以上信息均为必填内容）</w:t>
      </w:r>
      <w:r>
        <w:rPr>
          <w:rFonts w:hint="eastAsia" w:ascii="宋体" w:hAnsi="宋体" w:eastAsia="宋体" w:cs="宋体"/>
          <w:b/>
          <w:bCs/>
          <w:color w:val="auto"/>
          <w:sz w:val="21"/>
          <w:szCs w:val="21"/>
          <w:highlight w:val="none"/>
          <w:lang w:val="en-US" w:eastAsia="zh-CN"/>
        </w:rPr>
        <w:t>并加盖</w:t>
      </w:r>
      <w:r>
        <w:rPr>
          <w:rFonts w:hint="eastAsia" w:ascii="宋体" w:hAnsi="宋体" w:eastAsia="宋体" w:cs="宋体"/>
          <w:b/>
          <w:bCs/>
          <w:color w:val="auto"/>
          <w:sz w:val="21"/>
          <w:szCs w:val="21"/>
          <w:highlight w:val="none"/>
        </w:rPr>
        <w:t>投标供应商</w:t>
      </w:r>
      <w:r>
        <w:rPr>
          <w:rFonts w:hint="eastAsia" w:ascii="宋体" w:hAnsi="宋体" w:eastAsia="宋体" w:cs="宋体"/>
          <w:b/>
          <w:bCs/>
          <w:color w:val="auto"/>
          <w:sz w:val="21"/>
          <w:szCs w:val="21"/>
          <w:highlight w:val="none"/>
          <w:lang w:val="en-US" w:eastAsia="zh-CN"/>
        </w:rPr>
        <w:t>公章</w:t>
      </w:r>
      <w:r>
        <w:rPr>
          <w:rFonts w:hint="eastAsia" w:ascii="宋体" w:hAnsi="宋体" w:eastAsia="宋体" w:cs="宋体"/>
          <w:b/>
          <w:bCs/>
          <w:color w:val="auto"/>
          <w:sz w:val="21"/>
          <w:szCs w:val="21"/>
          <w:highlight w:val="none"/>
        </w:rPr>
        <w:t>后邮件至</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代理机构（邮箱：</w:t>
      </w:r>
      <w:r>
        <w:rPr>
          <w:rFonts w:hint="eastAsia" w:ascii="宋体" w:hAnsi="宋体" w:eastAsia="宋体" w:cs="宋体"/>
          <w:b/>
          <w:bCs/>
          <w:color w:val="auto"/>
          <w:sz w:val="21"/>
          <w:szCs w:val="21"/>
          <w:highlight w:val="none"/>
          <w:lang w:val="en-US" w:eastAsia="zh-CN"/>
        </w:rPr>
        <w:t>jsdczbdl@163.com</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经办人联系电话</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0514-80550756</w:t>
      </w:r>
      <w:r>
        <w:rPr>
          <w:rFonts w:hint="eastAsia" w:ascii="宋体" w:hAnsi="宋体" w:eastAsia="宋体" w:cs="宋体"/>
          <w:b/>
          <w:bCs/>
          <w:color w:val="auto"/>
          <w:sz w:val="21"/>
          <w:szCs w:val="21"/>
          <w:highlight w:val="none"/>
        </w:rPr>
        <w:t>）。</w:t>
      </w:r>
    </w:p>
    <w:p w14:paraId="290AB098">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因</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填写有误，造成以上信息资料的不实将由投标人承担责任</w:t>
      </w:r>
      <w:r>
        <w:rPr>
          <w:rFonts w:hint="eastAsia" w:ascii="宋体" w:hAnsi="宋体" w:eastAsia="宋体" w:cs="宋体"/>
          <w:b/>
          <w:bCs/>
          <w:color w:val="auto"/>
          <w:sz w:val="21"/>
          <w:szCs w:val="21"/>
          <w:highlight w:val="none"/>
          <w:lang w:eastAsia="zh-CN"/>
        </w:rPr>
        <w:t>。</w:t>
      </w:r>
    </w:p>
    <w:p w14:paraId="588889CF">
      <w:pPr>
        <w:keepNext w:val="0"/>
        <w:keepLines w:val="0"/>
        <w:pageBreakBefore w:val="0"/>
        <w:widowControl w:val="0"/>
        <w:numPr>
          <w:ilvl w:val="0"/>
          <w:numId w:val="7"/>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此表手写无效。</w:t>
      </w:r>
    </w:p>
    <w:p w14:paraId="49A9379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 xml:space="preserve">    </w:t>
      </w:r>
    </w:p>
    <w:p w14:paraId="2198ED54">
      <w:pPr>
        <w:pStyle w:val="4"/>
        <w:rPr>
          <w:color w:val="auto"/>
          <w:highlight w:val="none"/>
        </w:rPr>
      </w:pPr>
    </w:p>
    <w:sectPr>
      <w:headerReference r:id="rId7" w:type="default"/>
      <w:pgSz w:w="11906" w:h="16838"/>
      <w:pgMar w:top="1440" w:right="1800" w:bottom="1440" w:left="1800" w:header="68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A556">
    <w:pPr>
      <w:pStyle w:val="1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1338">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2503805</wp:posOffset>
              </wp:positionH>
              <wp:positionV relativeFrom="paragraph">
                <wp:posOffset>0</wp:posOffset>
              </wp:positionV>
              <wp:extent cx="292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2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19D6C">
                          <w:pPr>
                            <w:pStyle w:val="15"/>
                            <w:jc w:val="center"/>
                            <w:rPr>
                              <w:rFonts w:hint="default" w:eastAsia="宋体"/>
                              <w:lang w:val="en-US" w:eastAsia="zh-CN"/>
                            </w:rPr>
                          </w:pPr>
                          <w:r>
                            <w:fldChar w:fldCharType="begin"/>
                          </w:r>
                          <w:r>
                            <w:instrText xml:space="preserve">PAGE   \* MERGEFORMAT</w:instrText>
                          </w:r>
                          <w:r>
                            <w:fldChar w:fldCharType="separate"/>
                          </w:r>
                          <w:r>
                            <w:rPr>
                              <w:lang w:val="zh-CN"/>
                            </w:rPr>
                            <w:t>6</w:t>
                          </w:r>
                          <w:r>
                            <w:rPr>
                              <w:lang w:val="zh-CN"/>
                            </w:rPr>
                            <w:fldChar w:fldCharType="end"/>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15pt;margin-top:0pt;height:144pt;width:23pt;mso-position-horizontal-relative:margin;z-index:251660288;mso-width-relative:page;mso-height-relative:page;" filled="f" stroked="f" coordsize="21600,21600" o:gfxdata="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cqFmPWAAAACAEAAA8AAAAAAAAAAQAgAAAAIgAAAGRycy9kb3ducmV2&#10;LnhtbFBLAQIUABQAAAAIAIdO4kAwddRXNwIAAGIEAAAOAAAAAAAAAAEAIAAAACUBAABkcnMvZTJv&#10;RG9jLnhtbFBLBQYAAAAABgAGAFkBAADOBQAAAAA=&#10;">
              <v:fill on="f" focussize="0,0"/>
              <v:stroke on="f" weight="0.5pt"/>
              <v:imagedata o:title=""/>
              <o:lock v:ext="edit" aspectratio="f"/>
              <v:textbox inset="0mm,0mm,0mm,0mm" style="mso-fit-shape-to-text:t;">
                <w:txbxContent>
                  <w:p w14:paraId="03519D6C">
                    <w:pPr>
                      <w:pStyle w:val="15"/>
                      <w:jc w:val="center"/>
                      <w:rPr>
                        <w:rFonts w:hint="default" w:eastAsia="宋体"/>
                        <w:lang w:val="en-US" w:eastAsia="zh-CN"/>
                      </w:rPr>
                    </w:pPr>
                    <w:r>
                      <w:fldChar w:fldCharType="begin"/>
                    </w:r>
                    <w:r>
                      <w:instrText xml:space="preserve">PAGE   \* MERGEFORMAT</w:instrText>
                    </w:r>
                    <w:r>
                      <w:fldChar w:fldCharType="separate"/>
                    </w:r>
                    <w:r>
                      <w:rPr>
                        <w:lang w:val="zh-CN"/>
                      </w:rPr>
                      <w:t>6</w:t>
                    </w:r>
                    <w:r>
                      <w:rPr>
                        <w:lang w:val="zh-CN"/>
                      </w:rPr>
                      <w:fldChar w:fldCharType="end"/>
                    </w: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D70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35C2E">
                          <w:pPr>
                            <w:pStyle w:val="1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0B335C2E">
                    <w:pPr>
                      <w:pStyle w:val="1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1EAD">
    <w:pPr>
      <w:pBdr>
        <w:bottom w:val="single" w:color="auto" w:sz="4" w:space="0"/>
      </w:pBdr>
      <w:spacing w:line="360" w:lineRule="auto"/>
      <w:jc w:val="both"/>
    </w:pPr>
    <w:r>
      <w:rPr>
        <w:rFonts w:hint="eastAsia" w:ascii="宋体" w:hAnsi="宋体" w:eastAsia="宋体" w:cs="宋体"/>
        <w:color w:val="auto"/>
        <w:sz w:val="18"/>
        <w:szCs w:val="18"/>
        <w:highlight w:val="none"/>
      </w:rPr>
      <w:t>JSZC-320000-YZDC-G2025-0041</w:t>
    </w:r>
    <w:r>
      <w:rPr>
        <w:rFonts w:hint="eastAsia" w:ascii="宋体" w:hAnsi="宋体" w:eastAsia="宋体" w:cs="宋体"/>
        <w:color w:val="auto"/>
        <w:sz w:val="18"/>
        <w:szCs w:val="18"/>
        <w:highlight w:val="none"/>
        <w:lang w:val="en-US" w:eastAsia="zh-CN"/>
      </w:rPr>
      <w:t>号                                江苏省鼎诚建设工程顾问有限公司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BB7B">
    <w:pPr>
      <w:pBdr>
        <w:bottom w:val="single" w:color="auto" w:sz="4" w:space="0"/>
      </w:pBdr>
      <w:spacing w:line="360" w:lineRule="auto"/>
      <w:jc w:val="both"/>
    </w:pPr>
    <w:r>
      <w:rPr>
        <w:rFonts w:hint="eastAsia"/>
      </w:rPr>
      <w:t xml:space="preserve">                              </w:t>
    </w:r>
    <w:r>
      <w:rPr>
        <w:rFonts w:hint="eastAsia"/>
        <w:lang w:val="en-US" w:eastAsia="zh-CN"/>
      </w:rPr>
      <w:t xml:space="preserve">                           </w:t>
    </w:r>
    <w:r>
      <w:rPr>
        <w:rFonts w:hint="eastAsia" w:ascii="宋体" w:hAnsi="宋体" w:eastAsia="宋体" w:cs="宋体"/>
        <w:color w:val="auto"/>
        <w:sz w:val="18"/>
        <w:szCs w:val="18"/>
        <w:highlight w:val="none"/>
      </w:rPr>
      <w:t>JSZC-320000-YZDC-G2025-0041</w:t>
    </w:r>
    <w:r>
      <w:rPr>
        <w:rFonts w:hint="eastAsia" w:ascii="宋体" w:hAnsi="宋体" w:eastAsia="宋体" w:cs="宋体"/>
        <w:color w:val="auto"/>
        <w:sz w:val="18"/>
        <w:szCs w:val="18"/>
        <w:highlight w:val="none"/>
        <w:lang w:val="en-US" w:eastAsia="zh-CN"/>
      </w:rPr>
      <w:t>号                                江苏省鼎诚建设工程顾问有限公司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C687"/>
    <w:multiLevelType w:val="singleLevel"/>
    <w:tmpl w:val="1054C687"/>
    <w:lvl w:ilvl="0" w:tentative="0">
      <w:start w:val="3"/>
      <w:numFmt w:val="decimal"/>
      <w:suff w:val="nothing"/>
      <w:lvlText w:val="%1、"/>
      <w:lvlJc w:val="left"/>
    </w:lvl>
  </w:abstractNum>
  <w:abstractNum w:abstractNumId="1">
    <w:nsid w:val="1182B3F0"/>
    <w:multiLevelType w:val="singleLevel"/>
    <w:tmpl w:val="1182B3F0"/>
    <w:lvl w:ilvl="0" w:tentative="0">
      <w:start w:val="1"/>
      <w:numFmt w:val="chineseCounting"/>
      <w:suff w:val="nothing"/>
      <w:lvlText w:val="%1、"/>
      <w:lvlJc w:val="left"/>
      <w:rPr>
        <w:rFonts w:hint="eastAsia"/>
      </w:rPr>
    </w:lvl>
  </w:abstractNum>
  <w:abstractNum w:abstractNumId="2">
    <w:nsid w:val="49828453"/>
    <w:multiLevelType w:val="singleLevel"/>
    <w:tmpl w:val="49828453"/>
    <w:lvl w:ilvl="0" w:tentative="0">
      <w:start w:val="4"/>
      <w:numFmt w:val="chineseCounting"/>
      <w:suff w:val="space"/>
      <w:lvlText w:val="第%1章"/>
      <w:lvlJc w:val="left"/>
      <w:rPr>
        <w:rFonts w:hint="eastAsia"/>
      </w:rPr>
    </w:lvl>
  </w:abstractNum>
  <w:abstractNum w:abstractNumId="3">
    <w:nsid w:val="4FC654F6"/>
    <w:multiLevelType w:val="singleLevel"/>
    <w:tmpl w:val="4FC654F6"/>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4">
    <w:nsid w:val="63350384"/>
    <w:multiLevelType w:val="singleLevel"/>
    <w:tmpl w:val="63350384"/>
    <w:lvl w:ilvl="0" w:tentative="0">
      <w:start w:val="6"/>
      <w:numFmt w:val="chineseCounting"/>
      <w:suff w:val="nothing"/>
      <w:lvlText w:val="%1、"/>
      <w:lvlJc w:val="left"/>
      <w:rPr>
        <w:rFonts w:hint="eastAsia"/>
      </w:rPr>
    </w:lvl>
  </w:abstractNum>
  <w:abstractNum w:abstractNumId="5">
    <w:nsid w:val="6CA8AB94"/>
    <w:multiLevelType w:val="singleLevel"/>
    <w:tmpl w:val="6CA8AB94"/>
    <w:lvl w:ilvl="0" w:tentative="0">
      <w:start w:val="7"/>
      <w:numFmt w:val="decimal"/>
      <w:suff w:val="nothing"/>
      <w:lvlText w:val="%1、"/>
      <w:lvlJc w:val="left"/>
    </w:lvl>
  </w:abstractNum>
  <w:abstractNum w:abstractNumId="6">
    <w:nsid w:val="7EA8AB73"/>
    <w:multiLevelType w:val="singleLevel"/>
    <w:tmpl w:val="7EA8AB73"/>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 w:name="KSO_WPS_MARK_KEY" w:val="feeeec4a-9a9e-4b28-a92f-f06e0d046e2e"/>
    <w:docVar w:name="KY_MEDREF_DOCUID" w:val="{642B72D4-EACF-4F4C-8CDE-5388EFB498E7}"/>
    <w:docVar w:name="KY_MEDREF_VERSION" w:val="3"/>
  </w:docVars>
  <w:rsids>
    <w:rsidRoot w:val="00C93106"/>
    <w:rsid w:val="000141C0"/>
    <w:rsid w:val="00017EBD"/>
    <w:rsid w:val="00023249"/>
    <w:rsid w:val="00036A1C"/>
    <w:rsid w:val="00040493"/>
    <w:rsid w:val="00044A97"/>
    <w:rsid w:val="000B432E"/>
    <w:rsid w:val="000C255C"/>
    <w:rsid w:val="000C6965"/>
    <w:rsid w:val="000D0740"/>
    <w:rsid w:val="000D600B"/>
    <w:rsid w:val="000F0458"/>
    <w:rsid w:val="000F2523"/>
    <w:rsid w:val="000F4773"/>
    <w:rsid w:val="000F7920"/>
    <w:rsid w:val="00103897"/>
    <w:rsid w:val="00105F0E"/>
    <w:rsid w:val="00134455"/>
    <w:rsid w:val="0014109E"/>
    <w:rsid w:val="001550B6"/>
    <w:rsid w:val="001668C1"/>
    <w:rsid w:val="00171AA0"/>
    <w:rsid w:val="00171F29"/>
    <w:rsid w:val="0017424C"/>
    <w:rsid w:val="00177419"/>
    <w:rsid w:val="00181A57"/>
    <w:rsid w:val="001901E9"/>
    <w:rsid w:val="001B187C"/>
    <w:rsid w:val="001C62AE"/>
    <w:rsid w:val="001E39AC"/>
    <w:rsid w:val="001F44AE"/>
    <w:rsid w:val="002003C9"/>
    <w:rsid w:val="00206261"/>
    <w:rsid w:val="00215D28"/>
    <w:rsid w:val="00221C9F"/>
    <w:rsid w:val="0022721B"/>
    <w:rsid w:val="0025635F"/>
    <w:rsid w:val="00260D36"/>
    <w:rsid w:val="00270201"/>
    <w:rsid w:val="002713A2"/>
    <w:rsid w:val="00282523"/>
    <w:rsid w:val="00295C7F"/>
    <w:rsid w:val="002B54C1"/>
    <w:rsid w:val="002C3293"/>
    <w:rsid w:val="002D2019"/>
    <w:rsid w:val="002D6B8B"/>
    <w:rsid w:val="002F4BD2"/>
    <w:rsid w:val="00310302"/>
    <w:rsid w:val="00327500"/>
    <w:rsid w:val="00330DD0"/>
    <w:rsid w:val="00333745"/>
    <w:rsid w:val="003353A5"/>
    <w:rsid w:val="003458D4"/>
    <w:rsid w:val="0034727E"/>
    <w:rsid w:val="003623A3"/>
    <w:rsid w:val="00364CB6"/>
    <w:rsid w:val="003657F9"/>
    <w:rsid w:val="00365A87"/>
    <w:rsid w:val="00370764"/>
    <w:rsid w:val="003729A8"/>
    <w:rsid w:val="00372ABA"/>
    <w:rsid w:val="003851F5"/>
    <w:rsid w:val="003931A5"/>
    <w:rsid w:val="003A3059"/>
    <w:rsid w:val="003B0A23"/>
    <w:rsid w:val="003B1AD9"/>
    <w:rsid w:val="003E0D29"/>
    <w:rsid w:val="003E6AFA"/>
    <w:rsid w:val="003F6A32"/>
    <w:rsid w:val="004013F4"/>
    <w:rsid w:val="0041116D"/>
    <w:rsid w:val="004130E3"/>
    <w:rsid w:val="00430A1F"/>
    <w:rsid w:val="00431C3F"/>
    <w:rsid w:val="00432DC3"/>
    <w:rsid w:val="00463278"/>
    <w:rsid w:val="00466911"/>
    <w:rsid w:val="00470E31"/>
    <w:rsid w:val="00484FD5"/>
    <w:rsid w:val="00487019"/>
    <w:rsid w:val="004903C0"/>
    <w:rsid w:val="00495C02"/>
    <w:rsid w:val="004A2423"/>
    <w:rsid w:val="004A6C15"/>
    <w:rsid w:val="004B41A4"/>
    <w:rsid w:val="004D2947"/>
    <w:rsid w:val="004D7802"/>
    <w:rsid w:val="004E27DC"/>
    <w:rsid w:val="00506FEA"/>
    <w:rsid w:val="0051109F"/>
    <w:rsid w:val="00517651"/>
    <w:rsid w:val="00517705"/>
    <w:rsid w:val="005500C5"/>
    <w:rsid w:val="0055171F"/>
    <w:rsid w:val="00554889"/>
    <w:rsid w:val="00556ACB"/>
    <w:rsid w:val="00557100"/>
    <w:rsid w:val="00565D8C"/>
    <w:rsid w:val="00576136"/>
    <w:rsid w:val="00594714"/>
    <w:rsid w:val="005A180C"/>
    <w:rsid w:val="005C07B3"/>
    <w:rsid w:val="005C21AE"/>
    <w:rsid w:val="005D065E"/>
    <w:rsid w:val="005E34C0"/>
    <w:rsid w:val="005E72A4"/>
    <w:rsid w:val="005F7BC3"/>
    <w:rsid w:val="00611C6B"/>
    <w:rsid w:val="00616ECA"/>
    <w:rsid w:val="00621845"/>
    <w:rsid w:val="00625FB2"/>
    <w:rsid w:val="00633417"/>
    <w:rsid w:val="00634292"/>
    <w:rsid w:val="00643940"/>
    <w:rsid w:val="006458B8"/>
    <w:rsid w:val="006464E4"/>
    <w:rsid w:val="006514B9"/>
    <w:rsid w:val="0065285C"/>
    <w:rsid w:val="006537BD"/>
    <w:rsid w:val="00661A81"/>
    <w:rsid w:val="006644D3"/>
    <w:rsid w:val="00674E4B"/>
    <w:rsid w:val="00676153"/>
    <w:rsid w:val="00680C22"/>
    <w:rsid w:val="00681A34"/>
    <w:rsid w:val="00694E60"/>
    <w:rsid w:val="006C06E9"/>
    <w:rsid w:val="006C0E1D"/>
    <w:rsid w:val="006D0012"/>
    <w:rsid w:val="006D79D9"/>
    <w:rsid w:val="006E05BE"/>
    <w:rsid w:val="006F42E1"/>
    <w:rsid w:val="007131BD"/>
    <w:rsid w:val="00714A3E"/>
    <w:rsid w:val="0071678E"/>
    <w:rsid w:val="0072003C"/>
    <w:rsid w:val="00732078"/>
    <w:rsid w:val="00733E26"/>
    <w:rsid w:val="00735AD1"/>
    <w:rsid w:val="00736FCE"/>
    <w:rsid w:val="007565D2"/>
    <w:rsid w:val="00766EBD"/>
    <w:rsid w:val="00773D99"/>
    <w:rsid w:val="0078287F"/>
    <w:rsid w:val="007864D9"/>
    <w:rsid w:val="00792F93"/>
    <w:rsid w:val="007A1658"/>
    <w:rsid w:val="007B691E"/>
    <w:rsid w:val="007C2396"/>
    <w:rsid w:val="007D6A53"/>
    <w:rsid w:val="007E01F1"/>
    <w:rsid w:val="0080678D"/>
    <w:rsid w:val="0082144B"/>
    <w:rsid w:val="00825D7F"/>
    <w:rsid w:val="00830E9C"/>
    <w:rsid w:val="00836623"/>
    <w:rsid w:val="00845326"/>
    <w:rsid w:val="00847B9F"/>
    <w:rsid w:val="00857D11"/>
    <w:rsid w:val="00862606"/>
    <w:rsid w:val="00863A4C"/>
    <w:rsid w:val="00881ECB"/>
    <w:rsid w:val="00896562"/>
    <w:rsid w:val="008A7687"/>
    <w:rsid w:val="008E0C60"/>
    <w:rsid w:val="008E7FFB"/>
    <w:rsid w:val="008F4A88"/>
    <w:rsid w:val="00901359"/>
    <w:rsid w:val="009178B5"/>
    <w:rsid w:val="0092242B"/>
    <w:rsid w:val="009264F3"/>
    <w:rsid w:val="009413B1"/>
    <w:rsid w:val="009444C8"/>
    <w:rsid w:val="00952B43"/>
    <w:rsid w:val="00972FB2"/>
    <w:rsid w:val="009765B6"/>
    <w:rsid w:val="009B41E9"/>
    <w:rsid w:val="009B4680"/>
    <w:rsid w:val="009C0FF2"/>
    <w:rsid w:val="009E4C8E"/>
    <w:rsid w:val="009E7C30"/>
    <w:rsid w:val="009F1FF2"/>
    <w:rsid w:val="009F7604"/>
    <w:rsid w:val="00A067E4"/>
    <w:rsid w:val="00A11DC3"/>
    <w:rsid w:val="00A14640"/>
    <w:rsid w:val="00A22071"/>
    <w:rsid w:val="00A2633E"/>
    <w:rsid w:val="00A3009E"/>
    <w:rsid w:val="00A45F46"/>
    <w:rsid w:val="00A503E0"/>
    <w:rsid w:val="00A67FF0"/>
    <w:rsid w:val="00A76E67"/>
    <w:rsid w:val="00A83065"/>
    <w:rsid w:val="00A96E63"/>
    <w:rsid w:val="00AA3EFB"/>
    <w:rsid w:val="00AC0A97"/>
    <w:rsid w:val="00AE5CCB"/>
    <w:rsid w:val="00B05C2D"/>
    <w:rsid w:val="00B10B57"/>
    <w:rsid w:val="00B111C4"/>
    <w:rsid w:val="00B158FE"/>
    <w:rsid w:val="00B24C3D"/>
    <w:rsid w:val="00B3425B"/>
    <w:rsid w:val="00B41318"/>
    <w:rsid w:val="00B4265F"/>
    <w:rsid w:val="00B44405"/>
    <w:rsid w:val="00B53A5C"/>
    <w:rsid w:val="00B600BF"/>
    <w:rsid w:val="00B66725"/>
    <w:rsid w:val="00B736BA"/>
    <w:rsid w:val="00B81E2C"/>
    <w:rsid w:val="00B83018"/>
    <w:rsid w:val="00B92E93"/>
    <w:rsid w:val="00BA35EB"/>
    <w:rsid w:val="00BA548A"/>
    <w:rsid w:val="00BA7CB6"/>
    <w:rsid w:val="00BB3BD8"/>
    <w:rsid w:val="00BC5575"/>
    <w:rsid w:val="00BD50CE"/>
    <w:rsid w:val="00BD5627"/>
    <w:rsid w:val="00C05CA9"/>
    <w:rsid w:val="00C06472"/>
    <w:rsid w:val="00C16F76"/>
    <w:rsid w:val="00C23CE6"/>
    <w:rsid w:val="00C42318"/>
    <w:rsid w:val="00C63012"/>
    <w:rsid w:val="00C638BB"/>
    <w:rsid w:val="00C6664C"/>
    <w:rsid w:val="00C674AE"/>
    <w:rsid w:val="00C7372B"/>
    <w:rsid w:val="00C84CF8"/>
    <w:rsid w:val="00C8662B"/>
    <w:rsid w:val="00C93106"/>
    <w:rsid w:val="00CB54EA"/>
    <w:rsid w:val="00CB7471"/>
    <w:rsid w:val="00CC5502"/>
    <w:rsid w:val="00CD2D7D"/>
    <w:rsid w:val="00CD7F10"/>
    <w:rsid w:val="00CE44C9"/>
    <w:rsid w:val="00CF6A00"/>
    <w:rsid w:val="00D003EF"/>
    <w:rsid w:val="00D05A45"/>
    <w:rsid w:val="00D10123"/>
    <w:rsid w:val="00D17491"/>
    <w:rsid w:val="00D1753C"/>
    <w:rsid w:val="00D27C3E"/>
    <w:rsid w:val="00D30EE1"/>
    <w:rsid w:val="00D4660A"/>
    <w:rsid w:val="00D51B8F"/>
    <w:rsid w:val="00D5236B"/>
    <w:rsid w:val="00D543EC"/>
    <w:rsid w:val="00D63D25"/>
    <w:rsid w:val="00D75260"/>
    <w:rsid w:val="00D9163B"/>
    <w:rsid w:val="00D91C91"/>
    <w:rsid w:val="00D91CCD"/>
    <w:rsid w:val="00D96ABE"/>
    <w:rsid w:val="00DA7E51"/>
    <w:rsid w:val="00DD0043"/>
    <w:rsid w:val="00DD214A"/>
    <w:rsid w:val="00DD3066"/>
    <w:rsid w:val="00DD7EA5"/>
    <w:rsid w:val="00DE3D6C"/>
    <w:rsid w:val="00DE5C76"/>
    <w:rsid w:val="00DF6B53"/>
    <w:rsid w:val="00DF70DF"/>
    <w:rsid w:val="00E25930"/>
    <w:rsid w:val="00E30F0D"/>
    <w:rsid w:val="00E37F18"/>
    <w:rsid w:val="00E4072F"/>
    <w:rsid w:val="00E40A8B"/>
    <w:rsid w:val="00E552CA"/>
    <w:rsid w:val="00E61D55"/>
    <w:rsid w:val="00E72A13"/>
    <w:rsid w:val="00E73899"/>
    <w:rsid w:val="00E81374"/>
    <w:rsid w:val="00E97708"/>
    <w:rsid w:val="00EE4EAF"/>
    <w:rsid w:val="00EE76A2"/>
    <w:rsid w:val="00F01551"/>
    <w:rsid w:val="00F3484B"/>
    <w:rsid w:val="00F55500"/>
    <w:rsid w:val="00F81C05"/>
    <w:rsid w:val="00F84724"/>
    <w:rsid w:val="00F850CF"/>
    <w:rsid w:val="00F91FDA"/>
    <w:rsid w:val="00FA002A"/>
    <w:rsid w:val="00FA769E"/>
    <w:rsid w:val="00FB0DCD"/>
    <w:rsid w:val="00FB27D9"/>
    <w:rsid w:val="00FB459D"/>
    <w:rsid w:val="00FC2933"/>
    <w:rsid w:val="00FC353E"/>
    <w:rsid w:val="00FC3E1B"/>
    <w:rsid w:val="00FD41DD"/>
    <w:rsid w:val="00FE0387"/>
    <w:rsid w:val="010D6029"/>
    <w:rsid w:val="011078C7"/>
    <w:rsid w:val="01303AC5"/>
    <w:rsid w:val="01323CE1"/>
    <w:rsid w:val="01356CE1"/>
    <w:rsid w:val="013E2686"/>
    <w:rsid w:val="01433EB3"/>
    <w:rsid w:val="017818F1"/>
    <w:rsid w:val="017A141F"/>
    <w:rsid w:val="0187402D"/>
    <w:rsid w:val="019236BE"/>
    <w:rsid w:val="019E4ED3"/>
    <w:rsid w:val="01A56261"/>
    <w:rsid w:val="01A916C8"/>
    <w:rsid w:val="01C74A3B"/>
    <w:rsid w:val="01FB40D3"/>
    <w:rsid w:val="021D673F"/>
    <w:rsid w:val="021F7DC1"/>
    <w:rsid w:val="02331ABF"/>
    <w:rsid w:val="02485D4E"/>
    <w:rsid w:val="024B505A"/>
    <w:rsid w:val="02510197"/>
    <w:rsid w:val="02511F45"/>
    <w:rsid w:val="02571C51"/>
    <w:rsid w:val="026779BA"/>
    <w:rsid w:val="0270061D"/>
    <w:rsid w:val="028247F4"/>
    <w:rsid w:val="028642E4"/>
    <w:rsid w:val="02BA21E0"/>
    <w:rsid w:val="02DF39F5"/>
    <w:rsid w:val="02E92EE3"/>
    <w:rsid w:val="02ED4364"/>
    <w:rsid w:val="03004097"/>
    <w:rsid w:val="030A0A72"/>
    <w:rsid w:val="03125417"/>
    <w:rsid w:val="03182030"/>
    <w:rsid w:val="032B6C3A"/>
    <w:rsid w:val="032D650E"/>
    <w:rsid w:val="033A0B59"/>
    <w:rsid w:val="033F00DD"/>
    <w:rsid w:val="034F0B7A"/>
    <w:rsid w:val="035C5045"/>
    <w:rsid w:val="036D7252"/>
    <w:rsid w:val="03773C2D"/>
    <w:rsid w:val="038908D8"/>
    <w:rsid w:val="038C7B50"/>
    <w:rsid w:val="03960557"/>
    <w:rsid w:val="03A569EC"/>
    <w:rsid w:val="03C2481F"/>
    <w:rsid w:val="03EE2141"/>
    <w:rsid w:val="040A07B5"/>
    <w:rsid w:val="041F7ED2"/>
    <w:rsid w:val="04286688"/>
    <w:rsid w:val="042F62B6"/>
    <w:rsid w:val="04405DEB"/>
    <w:rsid w:val="044F4E1E"/>
    <w:rsid w:val="045521C0"/>
    <w:rsid w:val="04581CB1"/>
    <w:rsid w:val="047D1717"/>
    <w:rsid w:val="048950ED"/>
    <w:rsid w:val="048B7990"/>
    <w:rsid w:val="04926F71"/>
    <w:rsid w:val="04973DB6"/>
    <w:rsid w:val="04B14F1D"/>
    <w:rsid w:val="04E2157A"/>
    <w:rsid w:val="04E84DE3"/>
    <w:rsid w:val="04EB38AE"/>
    <w:rsid w:val="050140F6"/>
    <w:rsid w:val="050E411D"/>
    <w:rsid w:val="05123C0E"/>
    <w:rsid w:val="054F6C10"/>
    <w:rsid w:val="057743B8"/>
    <w:rsid w:val="05856AD5"/>
    <w:rsid w:val="05BE2330"/>
    <w:rsid w:val="05C100F0"/>
    <w:rsid w:val="05C3315A"/>
    <w:rsid w:val="05E25CD6"/>
    <w:rsid w:val="05F45A09"/>
    <w:rsid w:val="06033F82"/>
    <w:rsid w:val="06043E9E"/>
    <w:rsid w:val="06112117"/>
    <w:rsid w:val="06175254"/>
    <w:rsid w:val="062056CC"/>
    <w:rsid w:val="06316315"/>
    <w:rsid w:val="063E7DD9"/>
    <w:rsid w:val="0643687B"/>
    <w:rsid w:val="06B036DE"/>
    <w:rsid w:val="06C76C7A"/>
    <w:rsid w:val="06CC603E"/>
    <w:rsid w:val="06D307E7"/>
    <w:rsid w:val="06D53145"/>
    <w:rsid w:val="06E56248"/>
    <w:rsid w:val="06EB7657"/>
    <w:rsid w:val="06F10923"/>
    <w:rsid w:val="06F9676B"/>
    <w:rsid w:val="070E664D"/>
    <w:rsid w:val="071E0806"/>
    <w:rsid w:val="072B0FB7"/>
    <w:rsid w:val="07342561"/>
    <w:rsid w:val="073E6F3C"/>
    <w:rsid w:val="07506C6F"/>
    <w:rsid w:val="07660241"/>
    <w:rsid w:val="07702E6D"/>
    <w:rsid w:val="077961C6"/>
    <w:rsid w:val="078660CC"/>
    <w:rsid w:val="07911761"/>
    <w:rsid w:val="07921036"/>
    <w:rsid w:val="07A70F85"/>
    <w:rsid w:val="07B471FE"/>
    <w:rsid w:val="07BB058C"/>
    <w:rsid w:val="07C37CA6"/>
    <w:rsid w:val="07C733D5"/>
    <w:rsid w:val="07D17DB0"/>
    <w:rsid w:val="07DB0C2F"/>
    <w:rsid w:val="07E13D6B"/>
    <w:rsid w:val="07EF46DA"/>
    <w:rsid w:val="07F910B5"/>
    <w:rsid w:val="08030185"/>
    <w:rsid w:val="080753E2"/>
    <w:rsid w:val="082425D6"/>
    <w:rsid w:val="08256D3C"/>
    <w:rsid w:val="08333BCE"/>
    <w:rsid w:val="0834033F"/>
    <w:rsid w:val="084220E4"/>
    <w:rsid w:val="084C7436"/>
    <w:rsid w:val="085E69C2"/>
    <w:rsid w:val="08713341"/>
    <w:rsid w:val="08752E31"/>
    <w:rsid w:val="08753C76"/>
    <w:rsid w:val="087B7D1C"/>
    <w:rsid w:val="089808CE"/>
    <w:rsid w:val="089F7EAE"/>
    <w:rsid w:val="08B80F70"/>
    <w:rsid w:val="08CA2A7A"/>
    <w:rsid w:val="08D12971"/>
    <w:rsid w:val="08E7027B"/>
    <w:rsid w:val="09153CCC"/>
    <w:rsid w:val="091C14FF"/>
    <w:rsid w:val="091F2D9D"/>
    <w:rsid w:val="09297778"/>
    <w:rsid w:val="09402270"/>
    <w:rsid w:val="094840A2"/>
    <w:rsid w:val="09491BC8"/>
    <w:rsid w:val="09523172"/>
    <w:rsid w:val="096B7D90"/>
    <w:rsid w:val="09A11A04"/>
    <w:rsid w:val="09CA0F5B"/>
    <w:rsid w:val="09DB613A"/>
    <w:rsid w:val="09F14AFC"/>
    <w:rsid w:val="09FC30DE"/>
    <w:rsid w:val="0A1026E6"/>
    <w:rsid w:val="0A1A0D8B"/>
    <w:rsid w:val="0A267687"/>
    <w:rsid w:val="0A4A3E4A"/>
    <w:rsid w:val="0A670558"/>
    <w:rsid w:val="0A73214A"/>
    <w:rsid w:val="0A8F3549"/>
    <w:rsid w:val="0AA21128"/>
    <w:rsid w:val="0AAE6186"/>
    <w:rsid w:val="0AB06050"/>
    <w:rsid w:val="0AD6392F"/>
    <w:rsid w:val="0AE41BA8"/>
    <w:rsid w:val="0AE75B3C"/>
    <w:rsid w:val="0AEA1189"/>
    <w:rsid w:val="0B05743F"/>
    <w:rsid w:val="0B0E30C9"/>
    <w:rsid w:val="0B1835C3"/>
    <w:rsid w:val="0B1F52D6"/>
    <w:rsid w:val="0B3348DE"/>
    <w:rsid w:val="0B390ABA"/>
    <w:rsid w:val="0B732F2C"/>
    <w:rsid w:val="0B7373D0"/>
    <w:rsid w:val="0B85559E"/>
    <w:rsid w:val="0B8C5B00"/>
    <w:rsid w:val="0B9A2BAF"/>
    <w:rsid w:val="0B9E444D"/>
    <w:rsid w:val="0BA05F0B"/>
    <w:rsid w:val="0BA63302"/>
    <w:rsid w:val="0BB023D2"/>
    <w:rsid w:val="0BDC5030"/>
    <w:rsid w:val="0BE8391A"/>
    <w:rsid w:val="0BF91683"/>
    <w:rsid w:val="0BF978D5"/>
    <w:rsid w:val="0C0369A6"/>
    <w:rsid w:val="0C0F7730"/>
    <w:rsid w:val="0C104C1F"/>
    <w:rsid w:val="0C1069CD"/>
    <w:rsid w:val="0C300E1D"/>
    <w:rsid w:val="0C6236CC"/>
    <w:rsid w:val="0C63662A"/>
    <w:rsid w:val="0C9D1011"/>
    <w:rsid w:val="0CAF4438"/>
    <w:rsid w:val="0CB3217A"/>
    <w:rsid w:val="0CCA74C4"/>
    <w:rsid w:val="0CCD16AE"/>
    <w:rsid w:val="0CDD473D"/>
    <w:rsid w:val="0CE045F1"/>
    <w:rsid w:val="0CE916F8"/>
    <w:rsid w:val="0CF34325"/>
    <w:rsid w:val="0D004C93"/>
    <w:rsid w:val="0D124654"/>
    <w:rsid w:val="0D1A0B8B"/>
    <w:rsid w:val="0D335069"/>
    <w:rsid w:val="0D4903E8"/>
    <w:rsid w:val="0D517404"/>
    <w:rsid w:val="0D5F19BA"/>
    <w:rsid w:val="0D690A8B"/>
    <w:rsid w:val="0D6B035F"/>
    <w:rsid w:val="0D6F1FF8"/>
    <w:rsid w:val="0D7A67F4"/>
    <w:rsid w:val="0DBC0BBA"/>
    <w:rsid w:val="0DC161D1"/>
    <w:rsid w:val="0DCC06D7"/>
    <w:rsid w:val="0DD127E0"/>
    <w:rsid w:val="0DDD50A9"/>
    <w:rsid w:val="0DF47A7F"/>
    <w:rsid w:val="0E176739"/>
    <w:rsid w:val="0E303356"/>
    <w:rsid w:val="0E35096D"/>
    <w:rsid w:val="0E580B1C"/>
    <w:rsid w:val="0E5D63B2"/>
    <w:rsid w:val="0E665796"/>
    <w:rsid w:val="0E6F3E7F"/>
    <w:rsid w:val="0E75288F"/>
    <w:rsid w:val="0EB16044"/>
    <w:rsid w:val="0EB2020F"/>
    <w:rsid w:val="0EBC4BEA"/>
    <w:rsid w:val="0ED32660"/>
    <w:rsid w:val="0EE54141"/>
    <w:rsid w:val="0F075DB7"/>
    <w:rsid w:val="0F0B4203"/>
    <w:rsid w:val="0F244845"/>
    <w:rsid w:val="0F3B0205"/>
    <w:rsid w:val="0F474DFC"/>
    <w:rsid w:val="0F4E7F38"/>
    <w:rsid w:val="0F5019E1"/>
    <w:rsid w:val="0F51522C"/>
    <w:rsid w:val="0F56503F"/>
    <w:rsid w:val="0F670FFA"/>
    <w:rsid w:val="0F7200CA"/>
    <w:rsid w:val="0F7A0D2D"/>
    <w:rsid w:val="0F83033A"/>
    <w:rsid w:val="0F8751F8"/>
    <w:rsid w:val="0F8B4CE8"/>
    <w:rsid w:val="0FA27BD5"/>
    <w:rsid w:val="0FB73D2F"/>
    <w:rsid w:val="0FBA737B"/>
    <w:rsid w:val="0FEB39D9"/>
    <w:rsid w:val="0FFB7896"/>
    <w:rsid w:val="10042CED"/>
    <w:rsid w:val="101A2510"/>
    <w:rsid w:val="101F3682"/>
    <w:rsid w:val="10262C63"/>
    <w:rsid w:val="102B2027"/>
    <w:rsid w:val="102F7D69"/>
    <w:rsid w:val="104B4477"/>
    <w:rsid w:val="107E65FB"/>
    <w:rsid w:val="109E4EEF"/>
    <w:rsid w:val="10A047C3"/>
    <w:rsid w:val="10A36062"/>
    <w:rsid w:val="10B4026F"/>
    <w:rsid w:val="10DF3E4A"/>
    <w:rsid w:val="10FE14EA"/>
    <w:rsid w:val="11001706"/>
    <w:rsid w:val="11056D1C"/>
    <w:rsid w:val="111A6107"/>
    <w:rsid w:val="111F62D1"/>
    <w:rsid w:val="11460E6A"/>
    <w:rsid w:val="115B693C"/>
    <w:rsid w:val="115E39F7"/>
    <w:rsid w:val="118440E5"/>
    <w:rsid w:val="119123B1"/>
    <w:rsid w:val="119A38D3"/>
    <w:rsid w:val="119A3908"/>
    <w:rsid w:val="11B322D4"/>
    <w:rsid w:val="11CC0A91"/>
    <w:rsid w:val="11D878B9"/>
    <w:rsid w:val="11FF19BD"/>
    <w:rsid w:val="12086AC4"/>
    <w:rsid w:val="12093F4C"/>
    <w:rsid w:val="123E24E6"/>
    <w:rsid w:val="12655CC4"/>
    <w:rsid w:val="126F08F1"/>
    <w:rsid w:val="128F7F5F"/>
    <w:rsid w:val="129409F9"/>
    <w:rsid w:val="12A06CFD"/>
    <w:rsid w:val="12BC5E48"/>
    <w:rsid w:val="12BE5E09"/>
    <w:rsid w:val="12C16C73"/>
    <w:rsid w:val="12C50511"/>
    <w:rsid w:val="12DA1AE3"/>
    <w:rsid w:val="12F72695"/>
    <w:rsid w:val="13035FEB"/>
    <w:rsid w:val="13051255"/>
    <w:rsid w:val="13386F35"/>
    <w:rsid w:val="135D2E40"/>
    <w:rsid w:val="1367007B"/>
    <w:rsid w:val="13675A6C"/>
    <w:rsid w:val="1397053E"/>
    <w:rsid w:val="139B3968"/>
    <w:rsid w:val="13A12C42"/>
    <w:rsid w:val="13A4281C"/>
    <w:rsid w:val="13CC3B21"/>
    <w:rsid w:val="13D6758B"/>
    <w:rsid w:val="13DD7ADC"/>
    <w:rsid w:val="14067033"/>
    <w:rsid w:val="14172FEE"/>
    <w:rsid w:val="14237BE5"/>
    <w:rsid w:val="14533E64"/>
    <w:rsid w:val="145C6C53"/>
    <w:rsid w:val="145D29CB"/>
    <w:rsid w:val="14615B66"/>
    <w:rsid w:val="14636234"/>
    <w:rsid w:val="148C3331"/>
    <w:rsid w:val="1490433B"/>
    <w:rsid w:val="14C022D9"/>
    <w:rsid w:val="14CB202B"/>
    <w:rsid w:val="14CB2FEF"/>
    <w:rsid w:val="14CF38C9"/>
    <w:rsid w:val="14E8498B"/>
    <w:rsid w:val="14F75772"/>
    <w:rsid w:val="150B2427"/>
    <w:rsid w:val="152D239E"/>
    <w:rsid w:val="153100E0"/>
    <w:rsid w:val="15406E6B"/>
    <w:rsid w:val="155454D6"/>
    <w:rsid w:val="157A0198"/>
    <w:rsid w:val="15897F1C"/>
    <w:rsid w:val="15A5462A"/>
    <w:rsid w:val="15A563D8"/>
    <w:rsid w:val="15AF7257"/>
    <w:rsid w:val="15B8435D"/>
    <w:rsid w:val="15CA22E2"/>
    <w:rsid w:val="15CC7E09"/>
    <w:rsid w:val="15D373E9"/>
    <w:rsid w:val="15D54F0F"/>
    <w:rsid w:val="15E17EC8"/>
    <w:rsid w:val="15F01D49"/>
    <w:rsid w:val="15F07F9B"/>
    <w:rsid w:val="15F202B2"/>
    <w:rsid w:val="160B0931"/>
    <w:rsid w:val="161377E5"/>
    <w:rsid w:val="1622233E"/>
    <w:rsid w:val="162639BD"/>
    <w:rsid w:val="163A7468"/>
    <w:rsid w:val="164200CB"/>
    <w:rsid w:val="16467BBB"/>
    <w:rsid w:val="164E081E"/>
    <w:rsid w:val="16571DC8"/>
    <w:rsid w:val="165B7DDA"/>
    <w:rsid w:val="16810BF3"/>
    <w:rsid w:val="16B032DA"/>
    <w:rsid w:val="170532D4"/>
    <w:rsid w:val="1706734A"/>
    <w:rsid w:val="170A0BE8"/>
    <w:rsid w:val="17123F41"/>
    <w:rsid w:val="17125CEF"/>
    <w:rsid w:val="17150358"/>
    <w:rsid w:val="17255A22"/>
    <w:rsid w:val="17365E81"/>
    <w:rsid w:val="173C4B1A"/>
    <w:rsid w:val="173E0892"/>
    <w:rsid w:val="175C6F6A"/>
    <w:rsid w:val="17732C32"/>
    <w:rsid w:val="1776002C"/>
    <w:rsid w:val="17782236"/>
    <w:rsid w:val="177C13BA"/>
    <w:rsid w:val="17887D5F"/>
    <w:rsid w:val="179761F4"/>
    <w:rsid w:val="179C380B"/>
    <w:rsid w:val="17A0154D"/>
    <w:rsid w:val="17AC7EF2"/>
    <w:rsid w:val="17D86F39"/>
    <w:rsid w:val="17E31439"/>
    <w:rsid w:val="17EC02EE"/>
    <w:rsid w:val="17FB28C2"/>
    <w:rsid w:val="180F0D0E"/>
    <w:rsid w:val="1824217E"/>
    <w:rsid w:val="183879D7"/>
    <w:rsid w:val="183F48C2"/>
    <w:rsid w:val="18542BF6"/>
    <w:rsid w:val="18610CDC"/>
    <w:rsid w:val="18664544"/>
    <w:rsid w:val="18826EA4"/>
    <w:rsid w:val="188350F6"/>
    <w:rsid w:val="18A24E51"/>
    <w:rsid w:val="18B43502"/>
    <w:rsid w:val="18B76B4E"/>
    <w:rsid w:val="18BA4890"/>
    <w:rsid w:val="18CE20EA"/>
    <w:rsid w:val="18CE5C46"/>
    <w:rsid w:val="18F5267A"/>
    <w:rsid w:val="18F733EE"/>
    <w:rsid w:val="18F90A65"/>
    <w:rsid w:val="19322678"/>
    <w:rsid w:val="195C14A3"/>
    <w:rsid w:val="19812E20"/>
    <w:rsid w:val="198F3627"/>
    <w:rsid w:val="19BB08C0"/>
    <w:rsid w:val="19BE3F0C"/>
    <w:rsid w:val="19C92FDD"/>
    <w:rsid w:val="19DE5CD3"/>
    <w:rsid w:val="19E657F1"/>
    <w:rsid w:val="1A0758B3"/>
    <w:rsid w:val="1A295829"/>
    <w:rsid w:val="1A2C356C"/>
    <w:rsid w:val="1A3348FA"/>
    <w:rsid w:val="1A4A39F2"/>
    <w:rsid w:val="1A5605E9"/>
    <w:rsid w:val="1A815666"/>
    <w:rsid w:val="1A853C38"/>
    <w:rsid w:val="1A8C400A"/>
    <w:rsid w:val="1A8F6248"/>
    <w:rsid w:val="1A9001EF"/>
    <w:rsid w:val="1AAB4BCA"/>
    <w:rsid w:val="1AB53561"/>
    <w:rsid w:val="1AC63078"/>
    <w:rsid w:val="1AD10DB0"/>
    <w:rsid w:val="1AD27C6F"/>
    <w:rsid w:val="1AF52365"/>
    <w:rsid w:val="1B074EF2"/>
    <w:rsid w:val="1B1D4C62"/>
    <w:rsid w:val="1B3C158C"/>
    <w:rsid w:val="1B3F20DA"/>
    <w:rsid w:val="1B590390"/>
    <w:rsid w:val="1B5D666D"/>
    <w:rsid w:val="1B61535B"/>
    <w:rsid w:val="1B6603B7"/>
    <w:rsid w:val="1B746F78"/>
    <w:rsid w:val="1B751D5E"/>
    <w:rsid w:val="1B762CF0"/>
    <w:rsid w:val="1B770817"/>
    <w:rsid w:val="1B852F33"/>
    <w:rsid w:val="1BA57132"/>
    <w:rsid w:val="1BB03C7D"/>
    <w:rsid w:val="1BB42AAF"/>
    <w:rsid w:val="1BD45C69"/>
    <w:rsid w:val="1BEC2FB3"/>
    <w:rsid w:val="1C000797"/>
    <w:rsid w:val="1C0F6CA1"/>
    <w:rsid w:val="1C1147C7"/>
    <w:rsid w:val="1C2821C3"/>
    <w:rsid w:val="1C2A7637"/>
    <w:rsid w:val="1C2C39DD"/>
    <w:rsid w:val="1C3E30E2"/>
    <w:rsid w:val="1C4A5179"/>
    <w:rsid w:val="1C5A616E"/>
    <w:rsid w:val="1C741D96"/>
    <w:rsid w:val="1C7B7E93"/>
    <w:rsid w:val="1C907B94"/>
    <w:rsid w:val="1CA613B3"/>
    <w:rsid w:val="1CB03FE0"/>
    <w:rsid w:val="1CBC0BD7"/>
    <w:rsid w:val="1CCE1CD8"/>
    <w:rsid w:val="1CDD28FB"/>
    <w:rsid w:val="1CE343B6"/>
    <w:rsid w:val="1CE912A0"/>
    <w:rsid w:val="1D097B94"/>
    <w:rsid w:val="1D1722B1"/>
    <w:rsid w:val="1D175E0D"/>
    <w:rsid w:val="1D6A6C90"/>
    <w:rsid w:val="1D725739"/>
    <w:rsid w:val="1D7F082B"/>
    <w:rsid w:val="1D8A2A83"/>
    <w:rsid w:val="1D951428"/>
    <w:rsid w:val="1DAA144D"/>
    <w:rsid w:val="1DAA6C81"/>
    <w:rsid w:val="1DAD0520"/>
    <w:rsid w:val="1DAF4298"/>
    <w:rsid w:val="1DC345E1"/>
    <w:rsid w:val="1DCD0BC2"/>
    <w:rsid w:val="1DD97C14"/>
    <w:rsid w:val="1DDF4451"/>
    <w:rsid w:val="1DE877AA"/>
    <w:rsid w:val="1DF61EC7"/>
    <w:rsid w:val="1E0068A1"/>
    <w:rsid w:val="1E0C793C"/>
    <w:rsid w:val="1E1162DD"/>
    <w:rsid w:val="1E124D81"/>
    <w:rsid w:val="1E3E73CA"/>
    <w:rsid w:val="1E537319"/>
    <w:rsid w:val="1E5C6DC9"/>
    <w:rsid w:val="1E6D6DEF"/>
    <w:rsid w:val="1E875215"/>
    <w:rsid w:val="1E8F7C25"/>
    <w:rsid w:val="1E937715"/>
    <w:rsid w:val="1E9B0CC0"/>
    <w:rsid w:val="1EAC4C7B"/>
    <w:rsid w:val="1EC75611"/>
    <w:rsid w:val="1EC975DB"/>
    <w:rsid w:val="1ECB3353"/>
    <w:rsid w:val="1ECC0E79"/>
    <w:rsid w:val="1ECE074D"/>
    <w:rsid w:val="1ED815CC"/>
    <w:rsid w:val="1EF04B68"/>
    <w:rsid w:val="1EF1268E"/>
    <w:rsid w:val="1EFD7285"/>
    <w:rsid w:val="1F007B9C"/>
    <w:rsid w:val="1F136AA8"/>
    <w:rsid w:val="1F2111C5"/>
    <w:rsid w:val="1F413615"/>
    <w:rsid w:val="1F4D0DE8"/>
    <w:rsid w:val="1F51312D"/>
    <w:rsid w:val="1F5844BB"/>
    <w:rsid w:val="1F59095F"/>
    <w:rsid w:val="1F6D7F66"/>
    <w:rsid w:val="1F826229"/>
    <w:rsid w:val="1F843502"/>
    <w:rsid w:val="1F8452B0"/>
    <w:rsid w:val="1F86727A"/>
    <w:rsid w:val="1F8B2AE2"/>
    <w:rsid w:val="1FA3607E"/>
    <w:rsid w:val="1FB67E40"/>
    <w:rsid w:val="1FB77434"/>
    <w:rsid w:val="20120B0E"/>
    <w:rsid w:val="20370574"/>
    <w:rsid w:val="204607B7"/>
    <w:rsid w:val="20915ED7"/>
    <w:rsid w:val="209B4FA7"/>
    <w:rsid w:val="20A756FA"/>
    <w:rsid w:val="20AB72FF"/>
    <w:rsid w:val="20D83B05"/>
    <w:rsid w:val="20DA787E"/>
    <w:rsid w:val="20E57FD0"/>
    <w:rsid w:val="21090163"/>
    <w:rsid w:val="21093CBF"/>
    <w:rsid w:val="2130749E"/>
    <w:rsid w:val="21537630"/>
    <w:rsid w:val="217750CC"/>
    <w:rsid w:val="217C26E3"/>
    <w:rsid w:val="217F6677"/>
    <w:rsid w:val="218A371D"/>
    <w:rsid w:val="219F0AC7"/>
    <w:rsid w:val="21AB744A"/>
    <w:rsid w:val="21C3782D"/>
    <w:rsid w:val="21CA68A0"/>
    <w:rsid w:val="21F4496F"/>
    <w:rsid w:val="2210107D"/>
    <w:rsid w:val="22160D89"/>
    <w:rsid w:val="222334A6"/>
    <w:rsid w:val="222600B3"/>
    <w:rsid w:val="22266AF2"/>
    <w:rsid w:val="2228286B"/>
    <w:rsid w:val="22317971"/>
    <w:rsid w:val="2234120F"/>
    <w:rsid w:val="224F429B"/>
    <w:rsid w:val="22513B6F"/>
    <w:rsid w:val="22590C76"/>
    <w:rsid w:val="225B49EE"/>
    <w:rsid w:val="226D64CF"/>
    <w:rsid w:val="22761828"/>
    <w:rsid w:val="228D0920"/>
    <w:rsid w:val="22A85759"/>
    <w:rsid w:val="22AC5B6E"/>
    <w:rsid w:val="22B660C8"/>
    <w:rsid w:val="22B67E76"/>
    <w:rsid w:val="22B73EC7"/>
    <w:rsid w:val="22BB10B6"/>
    <w:rsid w:val="22CA3922"/>
    <w:rsid w:val="22CF2CE6"/>
    <w:rsid w:val="22DF561F"/>
    <w:rsid w:val="22F558AF"/>
    <w:rsid w:val="23005595"/>
    <w:rsid w:val="2302130E"/>
    <w:rsid w:val="23082BF1"/>
    <w:rsid w:val="232079E6"/>
    <w:rsid w:val="23691345"/>
    <w:rsid w:val="237C10C0"/>
    <w:rsid w:val="237D6BE6"/>
    <w:rsid w:val="23887A65"/>
    <w:rsid w:val="23983A20"/>
    <w:rsid w:val="23A37038"/>
    <w:rsid w:val="23C14D25"/>
    <w:rsid w:val="23CE4167"/>
    <w:rsid w:val="23D20CE0"/>
    <w:rsid w:val="23DD3B82"/>
    <w:rsid w:val="23DE15D6"/>
    <w:rsid w:val="241A2687"/>
    <w:rsid w:val="241F1A4B"/>
    <w:rsid w:val="24507E57"/>
    <w:rsid w:val="245E07C6"/>
    <w:rsid w:val="248B0E8F"/>
    <w:rsid w:val="249E3DAA"/>
    <w:rsid w:val="24DB5972"/>
    <w:rsid w:val="24FB6014"/>
    <w:rsid w:val="252A68FA"/>
    <w:rsid w:val="252B6457"/>
    <w:rsid w:val="252F03FD"/>
    <w:rsid w:val="25421E95"/>
    <w:rsid w:val="255319AC"/>
    <w:rsid w:val="25564704"/>
    <w:rsid w:val="25592D3B"/>
    <w:rsid w:val="2568016B"/>
    <w:rsid w:val="257007B0"/>
    <w:rsid w:val="259E127D"/>
    <w:rsid w:val="259F2E44"/>
    <w:rsid w:val="25A62424"/>
    <w:rsid w:val="25B2424A"/>
    <w:rsid w:val="25C32FD6"/>
    <w:rsid w:val="25D074A1"/>
    <w:rsid w:val="25EE7927"/>
    <w:rsid w:val="25EF3DCB"/>
    <w:rsid w:val="262D48F3"/>
    <w:rsid w:val="263A0DBE"/>
    <w:rsid w:val="266B0F78"/>
    <w:rsid w:val="267A5115"/>
    <w:rsid w:val="268C786C"/>
    <w:rsid w:val="269E759F"/>
    <w:rsid w:val="26C23F57"/>
    <w:rsid w:val="26CF1507"/>
    <w:rsid w:val="26E55067"/>
    <w:rsid w:val="26E66850"/>
    <w:rsid w:val="26E8081A"/>
    <w:rsid w:val="26F50BF6"/>
    <w:rsid w:val="26FE003E"/>
    <w:rsid w:val="27026465"/>
    <w:rsid w:val="27090EBD"/>
    <w:rsid w:val="27196C26"/>
    <w:rsid w:val="27392E24"/>
    <w:rsid w:val="2758774E"/>
    <w:rsid w:val="27814EF7"/>
    <w:rsid w:val="278542BB"/>
    <w:rsid w:val="27970666"/>
    <w:rsid w:val="279F537D"/>
    <w:rsid w:val="27B34984"/>
    <w:rsid w:val="27C44DE4"/>
    <w:rsid w:val="27CA1ED3"/>
    <w:rsid w:val="27CB7F20"/>
    <w:rsid w:val="27D03788"/>
    <w:rsid w:val="27DD1DCA"/>
    <w:rsid w:val="27DF1C1D"/>
    <w:rsid w:val="27EB6814"/>
    <w:rsid w:val="27F8602B"/>
    <w:rsid w:val="28212236"/>
    <w:rsid w:val="28247630"/>
    <w:rsid w:val="28373807"/>
    <w:rsid w:val="283C2BCC"/>
    <w:rsid w:val="28650375"/>
    <w:rsid w:val="28726E69"/>
    <w:rsid w:val="28B275D5"/>
    <w:rsid w:val="28B46C06"/>
    <w:rsid w:val="28BE7A85"/>
    <w:rsid w:val="28D92B11"/>
    <w:rsid w:val="28E26223"/>
    <w:rsid w:val="29112E49"/>
    <w:rsid w:val="291476A5"/>
    <w:rsid w:val="29370800"/>
    <w:rsid w:val="294058B8"/>
    <w:rsid w:val="295B52D4"/>
    <w:rsid w:val="295B7260"/>
    <w:rsid w:val="2964062C"/>
    <w:rsid w:val="297216B5"/>
    <w:rsid w:val="297B7724"/>
    <w:rsid w:val="297F5466"/>
    <w:rsid w:val="29817476"/>
    <w:rsid w:val="29986528"/>
    <w:rsid w:val="29A0718A"/>
    <w:rsid w:val="29B33362"/>
    <w:rsid w:val="29C63095"/>
    <w:rsid w:val="29C70BBB"/>
    <w:rsid w:val="29D37560"/>
    <w:rsid w:val="29E17900"/>
    <w:rsid w:val="29F23E8A"/>
    <w:rsid w:val="29F86FC6"/>
    <w:rsid w:val="2A007C29"/>
    <w:rsid w:val="2A0A4FFE"/>
    <w:rsid w:val="2A1A0CEB"/>
    <w:rsid w:val="2A377AEF"/>
    <w:rsid w:val="2A497822"/>
    <w:rsid w:val="2A81520E"/>
    <w:rsid w:val="2A922F77"/>
    <w:rsid w:val="2A9F7442"/>
    <w:rsid w:val="2AA36F32"/>
    <w:rsid w:val="2AAE303A"/>
    <w:rsid w:val="2AAE58D7"/>
    <w:rsid w:val="2AAF5B59"/>
    <w:rsid w:val="2AB63109"/>
    <w:rsid w:val="2AC05D36"/>
    <w:rsid w:val="2ACA0963"/>
    <w:rsid w:val="2AF35225"/>
    <w:rsid w:val="2AF4778E"/>
    <w:rsid w:val="2AFB6D6E"/>
    <w:rsid w:val="2B08148B"/>
    <w:rsid w:val="2B0B2D29"/>
    <w:rsid w:val="2B195446"/>
    <w:rsid w:val="2B30453E"/>
    <w:rsid w:val="2B3B28EE"/>
    <w:rsid w:val="2B6366C1"/>
    <w:rsid w:val="2B715282"/>
    <w:rsid w:val="2B762899"/>
    <w:rsid w:val="2B94121A"/>
    <w:rsid w:val="2B9D1BD3"/>
    <w:rsid w:val="2BA54F2C"/>
    <w:rsid w:val="2BBB02AC"/>
    <w:rsid w:val="2BC41856"/>
    <w:rsid w:val="2BDB26FC"/>
    <w:rsid w:val="2BE27F2E"/>
    <w:rsid w:val="2BEA30CA"/>
    <w:rsid w:val="2C094110"/>
    <w:rsid w:val="2C1874AC"/>
    <w:rsid w:val="2C22032B"/>
    <w:rsid w:val="2C4B513F"/>
    <w:rsid w:val="2C534988"/>
    <w:rsid w:val="2C584F53"/>
    <w:rsid w:val="2C5A3F68"/>
    <w:rsid w:val="2C7C7A3B"/>
    <w:rsid w:val="2C815051"/>
    <w:rsid w:val="2C860B32"/>
    <w:rsid w:val="2C8E59C0"/>
    <w:rsid w:val="2C9A25B7"/>
    <w:rsid w:val="2C9A6113"/>
    <w:rsid w:val="2C9F7BCD"/>
    <w:rsid w:val="2CAB47C4"/>
    <w:rsid w:val="2CDC672B"/>
    <w:rsid w:val="2D016192"/>
    <w:rsid w:val="2D0D2D89"/>
    <w:rsid w:val="2D1F2FAB"/>
    <w:rsid w:val="2D265BF9"/>
    <w:rsid w:val="2D3C71CA"/>
    <w:rsid w:val="2D517119"/>
    <w:rsid w:val="2D574004"/>
    <w:rsid w:val="2D6A1F89"/>
    <w:rsid w:val="2D720E3E"/>
    <w:rsid w:val="2D727090"/>
    <w:rsid w:val="2D873C7E"/>
    <w:rsid w:val="2D8C63A3"/>
    <w:rsid w:val="2D9F1EB3"/>
    <w:rsid w:val="2DB31B82"/>
    <w:rsid w:val="2DBB7F4B"/>
    <w:rsid w:val="2DC25921"/>
    <w:rsid w:val="2DD41AF8"/>
    <w:rsid w:val="2DFF755A"/>
    <w:rsid w:val="2E0979F4"/>
    <w:rsid w:val="2E0F48DF"/>
    <w:rsid w:val="2E166456"/>
    <w:rsid w:val="2E3658EB"/>
    <w:rsid w:val="2E424AD5"/>
    <w:rsid w:val="2E496043"/>
    <w:rsid w:val="2E4C78E1"/>
    <w:rsid w:val="2E6469D8"/>
    <w:rsid w:val="2E6B1C33"/>
    <w:rsid w:val="2E782484"/>
    <w:rsid w:val="2E7A04EE"/>
    <w:rsid w:val="2E7A61FC"/>
    <w:rsid w:val="2E982B26"/>
    <w:rsid w:val="2EA54912"/>
    <w:rsid w:val="2EAC6F54"/>
    <w:rsid w:val="2EB01C1E"/>
    <w:rsid w:val="2EB931C8"/>
    <w:rsid w:val="2EE63891"/>
    <w:rsid w:val="2F48454C"/>
    <w:rsid w:val="2F4D56BE"/>
    <w:rsid w:val="2F511653"/>
    <w:rsid w:val="2F587352"/>
    <w:rsid w:val="2F715851"/>
    <w:rsid w:val="2F8F217B"/>
    <w:rsid w:val="2F996B56"/>
    <w:rsid w:val="2FA8323D"/>
    <w:rsid w:val="2FE53B49"/>
    <w:rsid w:val="30007611"/>
    <w:rsid w:val="301A4581"/>
    <w:rsid w:val="30420F9B"/>
    <w:rsid w:val="305F666A"/>
    <w:rsid w:val="30656A38"/>
    <w:rsid w:val="307B7CC0"/>
    <w:rsid w:val="307C26FF"/>
    <w:rsid w:val="307D5C1A"/>
    <w:rsid w:val="308B2942"/>
    <w:rsid w:val="30AD2D2F"/>
    <w:rsid w:val="30B24E3A"/>
    <w:rsid w:val="30BF083E"/>
    <w:rsid w:val="30C23E8A"/>
    <w:rsid w:val="30C47C02"/>
    <w:rsid w:val="30CB71E3"/>
    <w:rsid w:val="30CE6C33"/>
    <w:rsid w:val="30D5792D"/>
    <w:rsid w:val="30EB1AD1"/>
    <w:rsid w:val="30F524B2"/>
    <w:rsid w:val="31302057"/>
    <w:rsid w:val="313034EA"/>
    <w:rsid w:val="31350B00"/>
    <w:rsid w:val="314804F6"/>
    <w:rsid w:val="319055AA"/>
    <w:rsid w:val="319A0997"/>
    <w:rsid w:val="31A0241D"/>
    <w:rsid w:val="31A11CF2"/>
    <w:rsid w:val="31C83722"/>
    <w:rsid w:val="31CB6D6E"/>
    <w:rsid w:val="3205790A"/>
    <w:rsid w:val="321150C9"/>
    <w:rsid w:val="32221055"/>
    <w:rsid w:val="32233474"/>
    <w:rsid w:val="32290665"/>
    <w:rsid w:val="323D7C6C"/>
    <w:rsid w:val="324F5BF1"/>
    <w:rsid w:val="325B00F2"/>
    <w:rsid w:val="32794A1C"/>
    <w:rsid w:val="328A6C2A"/>
    <w:rsid w:val="3291620A"/>
    <w:rsid w:val="32A221C5"/>
    <w:rsid w:val="32A73338"/>
    <w:rsid w:val="32AF043E"/>
    <w:rsid w:val="32B77AC3"/>
    <w:rsid w:val="32BF68D3"/>
    <w:rsid w:val="32C51A10"/>
    <w:rsid w:val="32C97752"/>
    <w:rsid w:val="32CC2D9E"/>
    <w:rsid w:val="32D305D1"/>
    <w:rsid w:val="32FA3DAF"/>
    <w:rsid w:val="33024A12"/>
    <w:rsid w:val="330B46AE"/>
    <w:rsid w:val="33152997"/>
    <w:rsid w:val="331F3816"/>
    <w:rsid w:val="33274478"/>
    <w:rsid w:val="33483B2E"/>
    <w:rsid w:val="33537941"/>
    <w:rsid w:val="33541711"/>
    <w:rsid w:val="33572FB0"/>
    <w:rsid w:val="33613E2E"/>
    <w:rsid w:val="33743B62"/>
    <w:rsid w:val="337771AE"/>
    <w:rsid w:val="337A0A4C"/>
    <w:rsid w:val="338A5133"/>
    <w:rsid w:val="33A65CE5"/>
    <w:rsid w:val="33AB50A9"/>
    <w:rsid w:val="33BC72B7"/>
    <w:rsid w:val="33DB773D"/>
    <w:rsid w:val="33F144DC"/>
    <w:rsid w:val="33F407FF"/>
    <w:rsid w:val="34060532"/>
    <w:rsid w:val="34076784"/>
    <w:rsid w:val="341113B0"/>
    <w:rsid w:val="344A2B14"/>
    <w:rsid w:val="344D4B92"/>
    <w:rsid w:val="34677222"/>
    <w:rsid w:val="3474193F"/>
    <w:rsid w:val="347E456C"/>
    <w:rsid w:val="347F0FFB"/>
    <w:rsid w:val="3480127E"/>
    <w:rsid w:val="348576A9"/>
    <w:rsid w:val="349618B6"/>
    <w:rsid w:val="349B2A17"/>
    <w:rsid w:val="34B85CD0"/>
    <w:rsid w:val="34C603ED"/>
    <w:rsid w:val="34E00D83"/>
    <w:rsid w:val="34F32864"/>
    <w:rsid w:val="35034785"/>
    <w:rsid w:val="35060391"/>
    <w:rsid w:val="351078BA"/>
    <w:rsid w:val="351A6043"/>
    <w:rsid w:val="352B46F4"/>
    <w:rsid w:val="35586B6B"/>
    <w:rsid w:val="356C2617"/>
    <w:rsid w:val="35814314"/>
    <w:rsid w:val="35986248"/>
    <w:rsid w:val="35A87D5F"/>
    <w:rsid w:val="35B6342C"/>
    <w:rsid w:val="35B91D00"/>
    <w:rsid w:val="35BA7826"/>
    <w:rsid w:val="35BE2E72"/>
    <w:rsid w:val="35BF4E3C"/>
    <w:rsid w:val="35DE52C2"/>
    <w:rsid w:val="35FA133A"/>
    <w:rsid w:val="360D5BA8"/>
    <w:rsid w:val="361C207C"/>
    <w:rsid w:val="36252EF1"/>
    <w:rsid w:val="362F5B1E"/>
    <w:rsid w:val="36323860"/>
    <w:rsid w:val="363D2887"/>
    <w:rsid w:val="364610BA"/>
    <w:rsid w:val="365612FD"/>
    <w:rsid w:val="3676199F"/>
    <w:rsid w:val="36767BF1"/>
    <w:rsid w:val="367E05E7"/>
    <w:rsid w:val="368F0D33"/>
    <w:rsid w:val="36A54835"/>
    <w:rsid w:val="36AA33F6"/>
    <w:rsid w:val="36AA486A"/>
    <w:rsid w:val="36C27330"/>
    <w:rsid w:val="36C555C0"/>
    <w:rsid w:val="36D87F64"/>
    <w:rsid w:val="36EC7C3E"/>
    <w:rsid w:val="36FB00F6"/>
    <w:rsid w:val="36FD5C1C"/>
    <w:rsid w:val="370276D6"/>
    <w:rsid w:val="37070849"/>
    <w:rsid w:val="372413FB"/>
    <w:rsid w:val="373D289B"/>
    <w:rsid w:val="37405B09"/>
    <w:rsid w:val="376712E7"/>
    <w:rsid w:val="376B702A"/>
    <w:rsid w:val="37757EA8"/>
    <w:rsid w:val="37B207B5"/>
    <w:rsid w:val="37C4673A"/>
    <w:rsid w:val="37C537C3"/>
    <w:rsid w:val="37DA5F5D"/>
    <w:rsid w:val="37DD0DD4"/>
    <w:rsid w:val="37FF425B"/>
    <w:rsid w:val="380D6386"/>
    <w:rsid w:val="381F1BC2"/>
    <w:rsid w:val="382471D8"/>
    <w:rsid w:val="382C5E49"/>
    <w:rsid w:val="3842422E"/>
    <w:rsid w:val="38507FCD"/>
    <w:rsid w:val="385C4BC4"/>
    <w:rsid w:val="385E26EA"/>
    <w:rsid w:val="386D6DD1"/>
    <w:rsid w:val="38883C0B"/>
    <w:rsid w:val="388F6676"/>
    <w:rsid w:val="38912AC0"/>
    <w:rsid w:val="389D1465"/>
    <w:rsid w:val="38DB2257"/>
    <w:rsid w:val="38EF77E6"/>
    <w:rsid w:val="39070FD4"/>
    <w:rsid w:val="391D7A4D"/>
    <w:rsid w:val="39283D99"/>
    <w:rsid w:val="392F4087"/>
    <w:rsid w:val="393D2C48"/>
    <w:rsid w:val="395C1320"/>
    <w:rsid w:val="396F26D5"/>
    <w:rsid w:val="399034BF"/>
    <w:rsid w:val="399142F6"/>
    <w:rsid w:val="39A71E6F"/>
    <w:rsid w:val="39AE31FE"/>
    <w:rsid w:val="39C40C73"/>
    <w:rsid w:val="39D453EA"/>
    <w:rsid w:val="39DD3AE3"/>
    <w:rsid w:val="39FC665F"/>
    <w:rsid w:val="3A277620"/>
    <w:rsid w:val="3A491E4F"/>
    <w:rsid w:val="3A5771C4"/>
    <w:rsid w:val="3A5B3385"/>
    <w:rsid w:val="3A5D1914"/>
    <w:rsid w:val="3A810912"/>
    <w:rsid w:val="3A850402"/>
    <w:rsid w:val="3A8C79E3"/>
    <w:rsid w:val="3A976388"/>
    <w:rsid w:val="3A9C74FA"/>
    <w:rsid w:val="3ABD1C63"/>
    <w:rsid w:val="3ABE0D08"/>
    <w:rsid w:val="3AD44EE6"/>
    <w:rsid w:val="3AD9074E"/>
    <w:rsid w:val="3ADC3D9A"/>
    <w:rsid w:val="3AE330DB"/>
    <w:rsid w:val="3AF630AE"/>
    <w:rsid w:val="3AFD443D"/>
    <w:rsid w:val="3B0A6B5A"/>
    <w:rsid w:val="3B194FEF"/>
    <w:rsid w:val="3B1A3647"/>
    <w:rsid w:val="3B223EA3"/>
    <w:rsid w:val="3B2306F7"/>
    <w:rsid w:val="3B4E4C98"/>
    <w:rsid w:val="3B530501"/>
    <w:rsid w:val="3B556027"/>
    <w:rsid w:val="3B5D256E"/>
    <w:rsid w:val="3B5F0C53"/>
    <w:rsid w:val="3B621599"/>
    <w:rsid w:val="3B677B08"/>
    <w:rsid w:val="3B6C511E"/>
    <w:rsid w:val="3B710987"/>
    <w:rsid w:val="3B742225"/>
    <w:rsid w:val="3B781D15"/>
    <w:rsid w:val="3BAE3989"/>
    <w:rsid w:val="3BC66F24"/>
    <w:rsid w:val="3BC9431F"/>
    <w:rsid w:val="3BCB345B"/>
    <w:rsid w:val="3BD11425"/>
    <w:rsid w:val="3BD63A62"/>
    <w:rsid w:val="3BDF1D94"/>
    <w:rsid w:val="3BED2703"/>
    <w:rsid w:val="3BFF41E4"/>
    <w:rsid w:val="3C1F03E3"/>
    <w:rsid w:val="3C3D6ABB"/>
    <w:rsid w:val="3C4936B2"/>
    <w:rsid w:val="3C5F2ED5"/>
    <w:rsid w:val="3C6E4EC6"/>
    <w:rsid w:val="3C797AF3"/>
    <w:rsid w:val="3C89441F"/>
    <w:rsid w:val="3CA1529C"/>
    <w:rsid w:val="3CAA718F"/>
    <w:rsid w:val="3CBA3F22"/>
    <w:rsid w:val="3CBD0327"/>
    <w:rsid w:val="3CC316B6"/>
    <w:rsid w:val="3CC66044"/>
    <w:rsid w:val="3D0A4BEF"/>
    <w:rsid w:val="3D197528"/>
    <w:rsid w:val="3D211F38"/>
    <w:rsid w:val="3D3E2AEA"/>
    <w:rsid w:val="3D475E43"/>
    <w:rsid w:val="3D4C3459"/>
    <w:rsid w:val="3D660D93"/>
    <w:rsid w:val="3DA46DF1"/>
    <w:rsid w:val="3DB42DAD"/>
    <w:rsid w:val="3DBF1E7D"/>
    <w:rsid w:val="3DC72AE0"/>
    <w:rsid w:val="3DCF706E"/>
    <w:rsid w:val="3DD35929"/>
    <w:rsid w:val="3DDF6BD2"/>
    <w:rsid w:val="3DEE62BF"/>
    <w:rsid w:val="3E247F32"/>
    <w:rsid w:val="3E263CAA"/>
    <w:rsid w:val="3E3143FD"/>
    <w:rsid w:val="3E3D0FF4"/>
    <w:rsid w:val="3E43485C"/>
    <w:rsid w:val="3E506F79"/>
    <w:rsid w:val="3E5720B6"/>
    <w:rsid w:val="3E5F71BC"/>
    <w:rsid w:val="3E71157C"/>
    <w:rsid w:val="3E737005"/>
    <w:rsid w:val="3E7F160D"/>
    <w:rsid w:val="3E894239"/>
    <w:rsid w:val="3E8C1BDA"/>
    <w:rsid w:val="3E94330A"/>
    <w:rsid w:val="3E95498C"/>
    <w:rsid w:val="3EBC460F"/>
    <w:rsid w:val="3ECA7A79"/>
    <w:rsid w:val="3ED25BE0"/>
    <w:rsid w:val="3EF9316D"/>
    <w:rsid w:val="3EFB0C93"/>
    <w:rsid w:val="3EFE75C0"/>
    <w:rsid w:val="3F090676"/>
    <w:rsid w:val="3F0D09C6"/>
    <w:rsid w:val="3F0D6C18"/>
    <w:rsid w:val="3F1C50AD"/>
    <w:rsid w:val="3F2D2FD7"/>
    <w:rsid w:val="3F32042D"/>
    <w:rsid w:val="3F454604"/>
    <w:rsid w:val="3F4D5267"/>
    <w:rsid w:val="3F70371B"/>
    <w:rsid w:val="3F7E3672"/>
    <w:rsid w:val="3F8B337A"/>
    <w:rsid w:val="3F9335C1"/>
    <w:rsid w:val="3FA4757D"/>
    <w:rsid w:val="3FB6105E"/>
    <w:rsid w:val="3FC574F3"/>
    <w:rsid w:val="3FC96FE3"/>
    <w:rsid w:val="3FCF152A"/>
    <w:rsid w:val="3FD7327F"/>
    <w:rsid w:val="3FE058A8"/>
    <w:rsid w:val="3FFB4CC3"/>
    <w:rsid w:val="3FFF5A07"/>
    <w:rsid w:val="40303020"/>
    <w:rsid w:val="403523E4"/>
    <w:rsid w:val="40442B0E"/>
    <w:rsid w:val="405F16F6"/>
    <w:rsid w:val="40664832"/>
    <w:rsid w:val="406E7B8B"/>
    <w:rsid w:val="408711A0"/>
    <w:rsid w:val="408E7E98"/>
    <w:rsid w:val="409163A5"/>
    <w:rsid w:val="409C77AC"/>
    <w:rsid w:val="409E3FCC"/>
    <w:rsid w:val="409F5F96"/>
    <w:rsid w:val="40AB66E9"/>
    <w:rsid w:val="40AF61D9"/>
    <w:rsid w:val="40B05AAD"/>
    <w:rsid w:val="40C51AA7"/>
    <w:rsid w:val="40DC4AF4"/>
    <w:rsid w:val="40EA7211"/>
    <w:rsid w:val="40ED4F53"/>
    <w:rsid w:val="40F63E08"/>
    <w:rsid w:val="410F43CA"/>
    <w:rsid w:val="411B1E44"/>
    <w:rsid w:val="41326E0A"/>
    <w:rsid w:val="41343BBA"/>
    <w:rsid w:val="41344930"/>
    <w:rsid w:val="413C37E5"/>
    <w:rsid w:val="414A7CB0"/>
    <w:rsid w:val="415428DD"/>
    <w:rsid w:val="415E7BFF"/>
    <w:rsid w:val="41801923"/>
    <w:rsid w:val="418A5AB5"/>
    <w:rsid w:val="41A03D74"/>
    <w:rsid w:val="41A35612"/>
    <w:rsid w:val="41B11ADD"/>
    <w:rsid w:val="41C15304"/>
    <w:rsid w:val="41C23CEA"/>
    <w:rsid w:val="41CB724B"/>
    <w:rsid w:val="41E06866"/>
    <w:rsid w:val="41E81277"/>
    <w:rsid w:val="41EA1493"/>
    <w:rsid w:val="41EB7C13"/>
    <w:rsid w:val="41EC520B"/>
    <w:rsid w:val="41F445A1"/>
    <w:rsid w:val="41F63994"/>
    <w:rsid w:val="42055AB4"/>
    <w:rsid w:val="422E312E"/>
    <w:rsid w:val="423D5A66"/>
    <w:rsid w:val="424400FD"/>
    <w:rsid w:val="424566C9"/>
    <w:rsid w:val="425863FC"/>
    <w:rsid w:val="426B4382"/>
    <w:rsid w:val="42734FE4"/>
    <w:rsid w:val="427A45C5"/>
    <w:rsid w:val="427F7E2D"/>
    <w:rsid w:val="42840370"/>
    <w:rsid w:val="429531AD"/>
    <w:rsid w:val="42975177"/>
    <w:rsid w:val="42A20F87"/>
    <w:rsid w:val="42A258CA"/>
    <w:rsid w:val="42A81C22"/>
    <w:rsid w:val="42B07FE6"/>
    <w:rsid w:val="42B555FD"/>
    <w:rsid w:val="42C43F3A"/>
    <w:rsid w:val="42CB4E20"/>
    <w:rsid w:val="42CE66BF"/>
    <w:rsid w:val="42DB5A94"/>
    <w:rsid w:val="42E40ACD"/>
    <w:rsid w:val="42E80618"/>
    <w:rsid w:val="42EE7BA6"/>
    <w:rsid w:val="430270B9"/>
    <w:rsid w:val="430D5439"/>
    <w:rsid w:val="431467C7"/>
    <w:rsid w:val="431B5DA8"/>
    <w:rsid w:val="431F6F1A"/>
    <w:rsid w:val="432664FB"/>
    <w:rsid w:val="432804C5"/>
    <w:rsid w:val="433C187A"/>
    <w:rsid w:val="434846C3"/>
    <w:rsid w:val="434D7F2B"/>
    <w:rsid w:val="435272F0"/>
    <w:rsid w:val="436A63E7"/>
    <w:rsid w:val="4374370A"/>
    <w:rsid w:val="439416B6"/>
    <w:rsid w:val="43A0005B"/>
    <w:rsid w:val="43A50824"/>
    <w:rsid w:val="43B35FE0"/>
    <w:rsid w:val="43B546DB"/>
    <w:rsid w:val="43C27FD1"/>
    <w:rsid w:val="43D441A9"/>
    <w:rsid w:val="43D63A7D"/>
    <w:rsid w:val="43E53CC0"/>
    <w:rsid w:val="43E73EDC"/>
    <w:rsid w:val="44095C00"/>
    <w:rsid w:val="44290050"/>
    <w:rsid w:val="442C18EF"/>
    <w:rsid w:val="44421112"/>
    <w:rsid w:val="444255B6"/>
    <w:rsid w:val="4475773A"/>
    <w:rsid w:val="44823C05"/>
    <w:rsid w:val="44867251"/>
    <w:rsid w:val="44A70212"/>
    <w:rsid w:val="44C71617"/>
    <w:rsid w:val="44C9538F"/>
    <w:rsid w:val="44DC1567"/>
    <w:rsid w:val="44DF4BB3"/>
    <w:rsid w:val="44EB17AA"/>
    <w:rsid w:val="44EB4850"/>
    <w:rsid w:val="44F36C8D"/>
    <w:rsid w:val="45117E50"/>
    <w:rsid w:val="45154A79"/>
    <w:rsid w:val="451C1963"/>
    <w:rsid w:val="4521341D"/>
    <w:rsid w:val="452D1DC2"/>
    <w:rsid w:val="453C2005"/>
    <w:rsid w:val="453C3DB3"/>
    <w:rsid w:val="453E5D7D"/>
    <w:rsid w:val="454C31E3"/>
    <w:rsid w:val="45521829"/>
    <w:rsid w:val="456D13FD"/>
    <w:rsid w:val="45723C79"/>
    <w:rsid w:val="45765517"/>
    <w:rsid w:val="457C0654"/>
    <w:rsid w:val="458614D2"/>
    <w:rsid w:val="458A4B1F"/>
    <w:rsid w:val="45AB2CE7"/>
    <w:rsid w:val="45AF4585"/>
    <w:rsid w:val="45B46040"/>
    <w:rsid w:val="45B778DE"/>
    <w:rsid w:val="45C06792"/>
    <w:rsid w:val="45C142B9"/>
    <w:rsid w:val="45C30031"/>
    <w:rsid w:val="45C83899"/>
    <w:rsid w:val="45DB4973"/>
    <w:rsid w:val="45E5269D"/>
    <w:rsid w:val="45F8417E"/>
    <w:rsid w:val="46417BF2"/>
    <w:rsid w:val="464E0242"/>
    <w:rsid w:val="464E1FF0"/>
    <w:rsid w:val="46565349"/>
    <w:rsid w:val="465F5FAB"/>
    <w:rsid w:val="4670640B"/>
    <w:rsid w:val="468974CC"/>
    <w:rsid w:val="46E42955"/>
    <w:rsid w:val="46F25071"/>
    <w:rsid w:val="46F72688"/>
    <w:rsid w:val="470152B5"/>
    <w:rsid w:val="470628CB"/>
    <w:rsid w:val="47084895"/>
    <w:rsid w:val="473822C8"/>
    <w:rsid w:val="47436161"/>
    <w:rsid w:val="474F4272"/>
    <w:rsid w:val="475278BE"/>
    <w:rsid w:val="47767A51"/>
    <w:rsid w:val="47811F51"/>
    <w:rsid w:val="4783216D"/>
    <w:rsid w:val="4799373F"/>
    <w:rsid w:val="47A04ACD"/>
    <w:rsid w:val="47A80316"/>
    <w:rsid w:val="47AF4D11"/>
    <w:rsid w:val="47B40579"/>
    <w:rsid w:val="47B95B8F"/>
    <w:rsid w:val="47C87B80"/>
    <w:rsid w:val="47D46525"/>
    <w:rsid w:val="47E36768"/>
    <w:rsid w:val="47F72D9E"/>
    <w:rsid w:val="47F866BF"/>
    <w:rsid w:val="48084421"/>
    <w:rsid w:val="4832149E"/>
    <w:rsid w:val="48343468"/>
    <w:rsid w:val="48345216"/>
    <w:rsid w:val="48396CD0"/>
    <w:rsid w:val="483E00D2"/>
    <w:rsid w:val="483E6094"/>
    <w:rsid w:val="48592ECE"/>
    <w:rsid w:val="485B27A2"/>
    <w:rsid w:val="485F6737"/>
    <w:rsid w:val="48791073"/>
    <w:rsid w:val="488A3088"/>
    <w:rsid w:val="488C32A4"/>
    <w:rsid w:val="4893018E"/>
    <w:rsid w:val="48A91760"/>
    <w:rsid w:val="48A979B2"/>
    <w:rsid w:val="48AA54D8"/>
    <w:rsid w:val="48C12F4D"/>
    <w:rsid w:val="48CC544E"/>
    <w:rsid w:val="48D507A7"/>
    <w:rsid w:val="48E829AC"/>
    <w:rsid w:val="48F36E7F"/>
    <w:rsid w:val="48F549A5"/>
    <w:rsid w:val="49044BE8"/>
    <w:rsid w:val="490805DD"/>
    <w:rsid w:val="490B241B"/>
    <w:rsid w:val="491F1A22"/>
    <w:rsid w:val="49247038"/>
    <w:rsid w:val="493354CD"/>
    <w:rsid w:val="493C46E1"/>
    <w:rsid w:val="493F2388"/>
    <w:rsid w:val="494B0A69"/>
    <w:rsid w:val="494B2817"/>
    <w:rsid w:val="4950607F"/>
    <w:rsid w:val="496F29A9"/>
    <w:rsid w:val="49724248"/>
    <w:rsid w:val="497C50C6"/>
    <w:rsid w:val="49816239"/>
    <w:rsid w:val="498413E9"/>
    <w:rsid w:val="49885819"/>
    <w:rsid w:val="498F4BB5"/>
    <w:rsid w:val="499812F1"/>
    <w:rsid w:val="49AD34D2"/>
    <w:rsid w:val="49CA22D8"/>
    <w:rsid w:val="49E30CA1"/>
    <w:rsid w:val="49FA5FEB"/>
    <w:rsid w:val="4A0D1E7A"/>
    <w:rsid w:val="4A152119"/>
    <w:rsid w:val="4A221E03"/>
    <w:rsid w:val="4A355552"/>
    <w:rsid w:val="4A3D4856"/>
    <w:rsid w:val="4A521F3D"/>
    <w:rsid w:val="4A630034"/>
    <w:rsid w:val="4A683BDC"/>
    <w:rsid w:val="4A722025"/>
    <w:rsid w:val="4A7D4C52"/>
    <w:rsid w:val="4A7E09CA"/>
    <w:rsid w:val="4A804742"/>
    <w:rsid w:val="4A8F4985"/>
    <w:rsid w:val="4A914461"/>
    <w:rsid w:val="4A9D3546"/>
    <w:rsid w:val="4AB83EDC"/>
    <w:rsid w:val="4ABA40F8"/>
    <w:rsid w:val="4AC26B09"/>
    <w:rsid w:val="4AC62BC0"/>
    <w:rsid w:val="4AD056CA"/>
    <w:rsid w:val="4AD351BA"/>
    <w:rsid w:val="4AD93E52"/>
    <w:rsid w:val="4AE03433"/>
    <w:rsid w:val="4AE747C1"/>
    <w:rsid w:val="4AF97B35"/>
    <w:rsid w:val="4AFA2747"/>
    <w:rsid w:val="4AFF47E8"/>
    <w:rsid w:val="4B040CD4"/>
    <w:rsid w:val="4B080C50"/>
    <w:rsid w:val="4B155EAB"/>
    <w:rsid w:val="4B235196"/>
    <w:rsid w:val="4B2652EA"/>
    <w:rsid w:val="4B2C2B5A"/>
    <w:rsid w:val="4B3814C1"/>
    <w:rsid w:val="4B447E66"/>
    <w:rsid w:val="4B487F99"/>
    <w:rsid w:val="4B4E65EF"/>
    <w:rsid w:val="4B771FE9"/>
    <w:rsid w:val="4B86222C"/>
    <w:rsid w:val="4B971D44"/>
    <w:rsid w:val="4BA17066"/>
    <w:rsid w:val="4BBE0E50"/>
    <w:rsid w:val="4BE60F1D"/>
    <w:rsid w:val="4C155ACF"/>
    <w:rsid w:val="4C172E84"/>
    <w:rsid w:val="4C1C493F"/>
    <w:rsid w:val="4C235CCD"/>
    <w:rsid w:val="4C2B6930"/>
    <w:rsid w:val="4C2C4B82"/>
    <w:rsid w:val="4C4D3945"/>
    <w:rsid w:val="4C5E6D05"/>
    <w:rsid w:val="4C685CCF"/>
    <w:rsid w:val="4C6A38FC"/>
    <w:rsid w:val="4C8229F4"/>
    <w:rsid w:val="4C854292"/>
    <w:rsid w:val="4C96649F"/>
    <w:rsid w:val="4C9B5863"/>
    <w:rsid w:val="4CA11D05"/>
    <w:rsid w:val="4CA23096"/>
    <w:rsid w:val="4CB95BF0"/>
    <w:rsid w:val="4CC2732C"/>
    <w:rsid w:val="4D04165B"/>
    <w:rsid w:val="4D043409"/>
    <w:rsid w:val="4D100502"/>
    <w:rsid w:val="4D1F0243"/>
    <w:rsid w:val="4D2515D1"/>
    <w:rsid w:val="4D2A6BE7"/>
    <w:rsid w:val="4D3B2BA3"/>
    <w:rsid w:val="4D3F6FBF"/>
    <w:rsid w:val="4D434BEE"/>
    <w:rsid w:val="4D44414D"/>
    <w:rsid w:val="4D4717D1"/>
    <w:rsid w:val="4D647741"/>
    <w:rsid w:val="4D863C5D"/>
    <w:rsid w:val="4DA07A9C"/>
    <w:rsid w:val="4DA1334D"/>
    <w:rsid w:val="4DA846DC"/>
    <w:rsid w:val="4DB56DF9"/>
    <w:rsid w:val="4DBC3CE3"/>
    <w:rsid w:val="4DBD1C16"/>
    <w:rsid w:val="4DC96CA8"/>
    <w:rsid w:val="4DDE1EAC"/>
    <w:rsid w:val="4DE025B2"/>
    <w:rsid w:val="4E067654"/>
    <w:rsid w:val="4E1E499E"/>
    <w:rsid w:val="4E1F4272"/>
    <w:rsid w:val="4E28581D"/>
    <w:rsid w:val="4E2A34C8"/>
    <w:rsid w:val="4E35604F"/>
    <w:rsid w:val="4E361CE8"/>
    <w:rsid w:val="4E37780E"/>
    <w:rsid w:val="4E524648"/>
    <w:rsid w:val="4E5E123E"/>
    <w:rsid w:val="4E687F78"/>
    <w:rsid w:val="4E7520E4"/>
    <w:rsid w:val="4E781B41"/>
    <w:rsid w:val="4E86609F"/>
    <w:rsid w:val="4E8E58C6"/>
    <w:rsid w:val="4E9904C8"/>
    <w:rsid w:val="4EC96D1C"/>
    <w:rsid w:val="4EDD03B5"/>
    <w:rsid w:val="4EF3372D"/>
    <w:rsid w:val="4F043B94"/>
    <w:rsid w:val="4F0C5AE3"/>
    <w:rsid w:val="4F0E056F"/>
    <w:rsid w:val="4F0E4A13"/>
    <w:rsid w:val="4F0F42E7"/>
    <w:rsid w:val="4F1638C7"/>
    <w:rsid w:val="4F1D4C56"/>
    <w:rsid w:val="4F271630"/>
    <w:rsid w:val="4F2E29BF"/>
    <w:rsid w:val="4F3E697A"/>
    <w:rsid w:val="4F473A81"/>
    <w:rsid w:val="4F5543EF"/>
    <w:rsid w:val="4F5C39D0"/>
    <w:rsid w:val="4F716D4F"/>
    <w:rsid w:val="4F764BCA"/>
    <w:rsid w:val="4F7C7BCE"/>
    <w:rsid w:val="4F943823"/>
    <w:rsid w:val="4FA9473B"/>
    <w:rsid w:val="4FAA3D56"/>
    <w:rsid w:val="4FAB48D9"/>
    <w:rsid w:val="4FB1539E"/>
    <w:rsid w:val="4FBB33BF"/>
    <w:rsid w:val="4FC06081"/>
    <w:rsid w:val="4FC6709B"/>
    <w:rsid w:val="4FC96B8B"/>
    <w:rsid w:val="4FF97471"/>
    <w:rsid w:val="50067498"/>
    <w:rsid w:val="500B2D00"/>
    <w:rsid w:val="50120532"/>
    <w:rsid w:val="501C315F"/>
    <w:rsid w:val="5023629C"/>
    <w:rsid w:val="502D0EC8"/>
    <w:rsid w:val="50357D7D"/>
    <w:rsid w:val="503F29AA"/>
    <w:rsid w:val="505E5526"/>
    <w:rsid w:val="507C4C04"/>
    <w:rsid w:val="50A3118B"/>
    <w:rsid w:val="50B43398"/>
    <w:rsid w:val="50BB64D4"/>
    <w:rsid w:val="50BD049E"/>
    <w:rsid w:val="50C64E79"/>
    <w:rsid w:val="50CA16F6"/>
    <w:rsid w:val="50D94BAC"/>
    <w:rsid w:val="50FD1219"/>
    <w:rsid w:val="5133250E"/>
    <w:rsid w:val="51501312"/>
    <w:rsid w:val="51510BE7"/>
    <w:rsid w:val="51890380"/>
    <w:rsid w:val="51960CEF"/>
    <w:rsid w:val="51A46F68"/>
    <w:rsid w:val="51A71FA4"/>
    <w:rsid w:val="51A72EFC"/>
    <w:rsid w:val="51B7313F"/>
    <w:rsid w:val="51BD4A0F"/>
    <w:rsid w:val="51EB103B"/>
    <w:rsid w:val="51ED4DB3"/>
    <w:rsid w:val="51FB0B52"/>
    <w:rsid w:val="51FC6DA4"/>
    <w:rsid w:val="51FD2B1C"/>
    <w:rsid w:val="520D3AF7"/>
    <w:rsid w:val="521A49E4"/>
    <w:rsid w:val="52320A18"/>
    <w:rsid w:val="523E560F"/>
    <w:rsid w:val="526040CF"/>
    <w:rsid w:val="52614E59"/>
    <w:rsid w:val="528F5E6A"/>
    <w:rsid w:val="529A036B"/>
    <w:rsid w:val="52AF61C6"/>
    <w:rsid w:val="52B15DE1"/>
    <w:rsid w:val="52B61649"/>
    <w:rsid w:val="52C8312A"/>
    <w:rsid w:val="52C97C12"/>
    <w:rsid w:val="52DE46FC"/>
    <w:rsid w:val="52FE4D9E"/>
    <w:rsid w:val="5305612D"/>
    <w:rsid w:val="530C1269"/>
    <w:rsid w:val="53396F9A"/>
    <w:rsid w:val="533F623F"/>
    <w:rsid w:val="53400F13"/>
    <w:rsid w:val="534327B1"/>
    <w:rsid w:val="53476745"/>
    <w:rsid w:val="534C78B7"/>
    <w:rsid w:val="5373753A"/>
    <w:rsid w:val="53837051"/>
    <w:rsid w:val="538B4884"/>
    <w:rsid w:val="538F59F6"/>
    <w:rsid w:val="53937294"/>
    <w:rsid w:val="53A476F3"/>
    <w:rsid w:val="53AB6CD4"/>
    <w:rsid w:val="53B7122A"/>
    <w:rsid w:val="53C1303D"/>
    <w:rsid w:val="53C733E2"/>
    <w:rsid w:val="53E55DC4"/>
    <w:rsid w:val="53EE6BC1"/>
    <w:rsid w:val="53FB308C"/>
    <w:rsid w:val="5402441A"/>
    <w:rsid w:val="54046A98"/>
    <w:rsid w:val="540B7773"/>
    <w:rsid w:val="541F4FCC"/>
    <w:rsid w:val="54212AF2"/>
    <w:rsid w:val="54341CB0"/>
    <w:rsid w:val="546649A9"/>
    <w:rsid w:val="546F7495"/>
    <w:rsid w:val="54732FDB"/>
    <w:rsid w:val="549332C4"/>
    <w:rsid w:val="549C32EC"/>
    <w:rsid w:val="54A6749B"/>
    <w:rsid w:val="54B971CF"/>
    <w:rsid w:val="54C33BA9"/>
    <w:rsid w:val="54C85664"/>
    <w:rsid w:val="54CF254E"/>
    <w:rsid w:val="54E149CA"/>
    <w:rsid w:val="54E17A77"/>
    <w:rsid w:val="54EB3100"/>
    <w:rsid w:val="54F00716"/>
    <w:rsid w:val="550F5D1A"/>
    <w:rsid w:val="55126FE0"/>
    <w:rsid w:val="551B5793"/>
    <w:rsid w:val="552705DC"/>
    <w:rsid w:val="5540169E"/>
    <w:rsid w:val="555E1B24"/>
    <w:rsid w:val="55782BE6"/>
    <w:rsid w:val="558F7F2F"/>
    <w:rsid w:val="55AC109B"/>
    <w:rsid w:val="55B300C2"/>
    <w:rsid w:val="55D10548"/>
    <w:rsid w:val="55D1679A"/>
    <w:rsid w:val="55D4269A"/>
    <w:rsid w:val="55EB160A"/>
    <w:rsid w:val="55EB2039"/>
    <w:rsid w:val="5610202B"/>
    <w:rsid w:val="56102E1E"/>
    <w:rsid w:val="56114DE8"/>
    <w:rsid w:val="561346BC"/>
    <w:rsid w:val="561F7505"/>
    <w:rsid w:val="56206DD9"/>
    <w:rsid w:val="563034C0"/>
    <w:rsid w:val="56407A11"/>
    <w:rsid w:val="564156CE"/>
    <w:rsid w:val="5642624B"/>
    <w:rsid w:val="56440D1A"/>
    <w:rsid w:val="565371AF"/>
    <w:rsid w:val="565B5CE4"/>
    <w:rsid w:val="566413BC"/>
    <w:rsid w:val="566673AD"/>
    <w:rsid w:val="56942848"/>
    <w:rsid w:val="56C341AB"/>
    <w:rsid w:val="56C37E91"/>
    <w:rsid w:val="56C877E4"/>
    <w:rsid w:val="56D17FB6"/>
    <w:rsid w:val="56FC7846"/>
    <w:rsid w:val="570010E5"/>
    <w:rsid w:val="57064221"/>
    <w:rsid w:val="571B5F1F"/>
    <w:rsid w:val="572D17AE"/>
    <w:rsid w:val="5735569F"/>
    <w:rsid w:val="575D6537"/>
    <w:rsid w:val="576475EC"/>
    <w:rsid w:val="57664CC0"/>
    <w:rsid w:val="5769487C"/>
    <w:rsid w:val="576F626A"/>
    <w:rsid w:val="5785783C"/>
    <w:rsid w:val="57877110"/>
    <w:rsid w:val="57961A49"/>
    <w:rsid w:val="57A557E8"/>
    <w:rsid w:val="57A877DE"/>
    <w:rsid w:val="57B27F05"/>
    <w:rsid w:val="57CC492F"/>
    <w:rsid w:val="57CF2865"/>
    <w:rsid w:val="57D04F5B"/>
    <w:rsid w:val="5805272B"/>
    <w:rsid w:val="583152CE"/>
    <w:rsid w:val="5850732A"/>
    <w:rsid w:val="585C67EF"/>
    <w:rsid w:val="58816255"/>
    <w:rsid w:val="588A355D"/>
    <w:rsid w:val="58951D01"/>
    <w:rsid w:val="589D6F3A"/>
    <w:rsid w:val="58A65CBC"/>
    <w:rsid w:val="58A67A6A"/>
    <w:rsid w:val="58E81E30"/>
    <w:rsid w:val="58E862D4"/>
    <w:rsid w:val="58EF7F35"/>
    <w:rsid w:val="58FC58DC"/>
    <w:rsid w:val="58FE1654"/>
    <w:rsid w:val="592F3F03"/>
    <w:rsid w:val="59484FC5"/>
    <w:rsid w:val="59575208"/>
    <w:rsid w:val="59577EF5"/>
    <w:rsid w:val="597B0EF6"/>
    <w:rsid w:val="597E09E7"/>
    <w:rsid w:val="5998434B"/>
    <w:rsid w:val="599B776A"/>
    <w:rsid w:val="59A87812"/>
    <w:rsid w:val="59AA17DC"/>
    <w:rsid w:val="59C8345A"/>
    <w:rsid w:val="59E545C2"/>
    <w:rsid w:val="59EA7E2A"/>
    <w:rsid w:val="59F4734F"/>
    <w:rsid w:val="5A0709DC"/>
    <w:rsid w:val="5A24333C"/>
    <w:rsid w:val="5A382944"/>
    <w:rsid w:val="5A3B264B"/>
    <w:rsid w:val="5A4A08C9"/>
    <w:rsid w:val="5A533916"/>
    <w:rsid w:val="5A552913"/>
    <w:rsid w:val="5A6951F3"/>
    <w:rsid w:val="5A6C083F"/>
    <w:rsid w:val="5A706581"/>
    <w:rsid w:val="5A821E11"/>
    <w:rsid w:val="5A871B1D"/>
    <w:rsid w:val="5A9B2ED2"/>
    <w:rsid w:val="5A9F0C15"/>
    <w:rsid w:val="5AAC0420"/>
    <w:rsid w:val="5AC324E7"/>
    <w:rsid w:val="5ACA6500"/>
    <w:rsid w:val="5ACB306E"/>
    <w:rsid w:val="5AF251E8"/>
    <w:rsid w:val="5AF52F61"/>
    <w:rsid w:val="5AFA409D"/>
    <w:rsid w:val="5AFD593B"/>
    <w:rsid w:val="5B046864"/>
    <w:rsid w:val="5B1C2265"/>
    <w:rsid w:val="5B2A2BD4"/>
    <w:rsid w:val="5B303F63"/>
    <w:rsid w:val="5B510A5B"/>
    <w:rsid w:val="5B597015"/>
    <w:rsid w:val="5B6070C0"/>
    <w:rsid w:val="5B6A1223"/>
    <w:rsid w:val="5B9E2C7A"/>
    <w:rsid w:val="5B9E6C3F"/>
    <w:rsid w:val="5BAC35E9"/>
    <w:rsid w:val="5BAF6C35"/>
    <w:rsid w:val="5BBC3189"/>
    <w:rsid w:val="5BEA5EBF"/>
    <w:rsid w:val="5C0056E3"/>
    <w:rsid w:val="5C2D3FFE"/>
    <w:rsid w:val="5C425CFC"/>
    <w:rsid w:val="5C606182"/>
    <w:rsid w:val="5C62639E"/>
    <w:rsid w:val="5C657C3C"/>
    <w:rsid w:val="5C6F4617"/>
    <w:rsid w:val="5C705306"/>
    <w:rsid w:val="5C7B7847"/>
    <w:rsid w:val="5C7D4F86"/>
    <w:rsid w:val="5C8E3077"/>
    <w:rsid w:val="5C8F27B1"/>
    <w:rsid w:val="5C904CB9"/>
    <w:rsid w:val="5C9824FE"/>
    <w:rsid w:val="5C9D13BF"/>
    <w:rsid w:val="5CA2052E"/>
    <w:rsid w:val="5CAC586B"/>
    <w:rsid w:val="5CB874FC"/>
    <w:rsid w:val="5CC22998"/>
    <w:rsid w:val="5CED3B8F"/>
    <w:rsid w:val="5D2D075A"/>
    <w:rsid w:val="5D5F28DD"/>
    <w:rsid w:val="5D647EF4"/>
    <w:rsid w:val="5D6F2B20"/>
    <w:rsid w:val="5D722610"/>
    <w:rsid w:val="5D79399F"/>
    <w:rsid w:val="5D953CD1"/>
    <w:rsid w:val="5D9C143B"/>
    <w:rsid w:val="5DA36C6E"/>
    <w:rsid w:val="5DAB78D0"/>
    <w:rsid w:val="5DB20C5F"/>
    <w:rsid w:val="5DD62B9F"/>
    <w:rsid w:val="5DE0757A"/>
    <w:rsid w:val="5DE86843"/>
    <w:rsid w:val="5DED1C97"/>
    <w:rsid w:val="5E0A2849"/>
    <w:rsid w:val="5E1849EE"/>
    <w:rsid w:val="5E1959FE"/>
    <w:rsid w:val="5E1B4A56"/>
    <w:rsid w:val="5E23105F"/>
    <w:rsid w:val="5E385608"/>
    <w:rsid w:val="5E394EDC"/>
    <w:rsid w:val="5E3C3E7E"/>
    <w:rsid w:val="5E525F9E"/>
    <w:rsid w:val="5E710B1A"/>
    <w:rsid w:val="5E877F0C"/>
    <w:rsid w:val="5EA70098"/>
    <w:rsid w:val="5EA72F3D"/>
    <w:rsid w:val="5EAA5DDA"/>
    <w:rsid w:val="5EAC56AE"/>
    <w:rsid w:val="5EB6477F"/>
    <w:rsid w:val="5ED051B8"/>
    <w:rsid w:val="5ED13367"/>
    <w:rsid w:val="5EF157B7"/>
    <w:rsid w:val="5EFA4F69"/>
    <w:rsid w:val="5EFD415C"/>
    <w:rsid w:val="5F090D52"/>
    <w:rsid w:val="5F1F2324"/>
    <w:rsid w:val="5F243C26"/>
    <w:rsid w:val="5F2931A3"/>
    <w:rsid w:val="5F2E6A0B"/>
    <w:rsid w:val="5F335DCF"/>
    <w:rsid w:val="5F3A0F0C"/>
    <w:rsid w:val="5F506981"/>
    <w:rsid w:val="5F750196"/>
    <w:rsid w:val="5F7A1C50"/>
    <w:rsid w:val="5F814D8D"/>
    <w:rsid w:val="5F9525E6"/>
    <w:rsid w:val="5F9E593F"/>
    <w:rsid w:val="5FDD3055"/>
    <w:rsid w:val="5FEF619A"/>
    <w:rsid w:val="604858AA"/>
    <w:rsid w:val="6059595B"/>
    <w:rsid w:val="605A0420"/>
    <w:rsid w:val="607F676F"/>
    <w:rsid w:val="60896798"/>
    <w:rsid w:val="60D24DC0"/>
    <w:rsid w:val="60EC6236"/>
    <w:rsid w:val="60EC6712"/>
    <w:rsid w:val="60EF5D26"/>
    <w:rsid w:val="60FF41BB"/>
    <w:rsid w:val="610772C3"/>
    <w:rsid w:val="612D3BB5"/>
    <w:rsid w:val="6147287B"/>
    <w:rsid w:val="61587D6F"/>
    <w:rsid w:val="61626B32"/>
    <w:rsid w:val="616C7377"/>
    <w:rsid w:val="6170330B"/>
    <w:rsid w:val="61803709"/>
    <w:rsid w:val="61863301"/>
    <w:rsid w:val="61994610"/>
    <w:rsid w:val="61997A41"/>
    <w:rsid w:val="61A10551"/>
    <w:rsid w:val="61AD053C"/>
    <w:rsid w:val="61AE798F"/>
    <w:rsid w:val="61BD7BD2"/>
    <w:rsid w:val="61DA69D6"/>
    <w:rsid w:val="61FE0917"/>
    <w:rsid w:val="61FE26C5"/>
    <w:rsid w:val="62037CDB"/>
    <w:rsid w:val="62083543"/>
    <w:rsid w:val="62312A9A"/>
    <w:rsid w:val="623C4F9B"/>
    <w:rsid w:val="623F6839"/>
    <w:rsid w:val="6243457B"/>
    <w:rsid w:val="62456545"/>
    <w:rsid w:val="624F4CCE"/>
    <w:rsid w:val="6254261C"/>
    <w:rsid w:val="62650996"/>
    <w:rsid w:val="626F35C2"/>
    <w:rsid w:val="62724E61"/>
    <w:rsid w:val="627B6532"/>
    <w:rsid w:val="628C1A7E"/>
    <w:rsid w:val="62913539"/>
    <w:rsid w:val="62B1265D"/>
    <w:rsid w:val="62D376AD"/>
    <w:rsid w:val="62D96C8E"/>
    <w:rsid w:val="62E418BB"/>
    <w:rsid w:val="62E73159"/>
    <w:rsid w:val="62F835B8"/>
    <w:rsid w:val="632048BD"/>
    <w:rsid w:val="632E3727"/>
    <w:rsid w:val="633304A0"/>
    <w:rsid w:val="633F4D43"/>
    <w:rsid w:val="63424833"/>
    <w:rsid w:val="634467FD"/>
    <w:rsid w:val="634A6574"/>
    <w:rsid w:val="635527B8"/>
    <w:rsid w:val="636D5D54"/>
    <w:rsid w:val="637845AE"/>
    <w:rsid w:val="63B75221"/>
    <w:rsid w:val="63BE2A7E"/>
    <w:rsid w:val="63F55D49"/>
    <w:rsid w:val="63FF23D3"/>
    <w:rsid w:val="640D4E41"/>
    <w:rsid w:val="6416019A"/>
    <w:rsid w:val="641D4DE6"/>
    <w:rsid w:val="6421269A"/>
    <w:rsid w:val="64265F03"/>
    <w:rsid w:val="643A375C"/>
    <w:rsid w:val="644D16E1"/>
    <w:rsid w:val="644F5E22"/>
    <w:rsid w:val="6467297D"/>
    <w:rsid w:val="646B52B8"/>
    <w:rsid w:val="647E7AED"/>
    <w:rsid w:val="64816261"/>
    <w:rsid w:val="648D7D30"/>
    <w:rsid w:val="64A37553"/>
    <w:rsid w:val="64A55079"/>
    <w:rsid w:val="64A855C6"/>
    <w:rsid w:val="64AF414A"/>
    <w:rsid w:val="64C80D68"/>
    <w:rsid w:val="64D37E39"/>
    <w:rsid w:val="65051FBC"/>
    <w:rsid w:val="65130235"/>
    <w:rsid w:val="653F727C"/>
    <w:rsid w:val="65626205"/>
    <w:rsid w:val="65670581"/>
    <w:rsid w:val="656C5B97"/>
    <w:rsid w:val="656F3CFB"/>
    <w:rsid w:val="65804F68"/>
    <w:rsid w:val="6583344D"/>
    <w:rsid w:val="658A426F"/>
    <w:rsid w:val="65AA0C9D"/>
    <w:rsid w:val="65BA4B55"/>
    <w:rsid w:val="65C43C25"/>
    <w:rsid w:val="65F00576"/>
    <w:rsid w:val="65F242EE"/>
    <w:rsid w:val="65F31E15"/>
    <w:rsid w:val="65FC516D"/>
    <w:rsid w:val="65FD2C93"/>
    <w:rsid w:val="660264A8"/>
    <w:rsid w:val="660E4EA0"/>
    <w:rsid w:val="661A3845"/>
    <w:rsid w:val="661A55F3"/>
    <w:rsid w:val="6646288C"/>
    <w:rsid w:val="66522FDF"/>
    <w:rsid w:val="66794A10"/>
    <w:rsid w:val="668C0CD2"/>
    <w:rsid w:val="668C4743"/>
    <w:rsid w:val="66926769"/>
    <w:rsid w:val="66AA2E1B"/>
    <w:rsid w:val="66BC5FE0"/>
    <w:rsid w:val="66E04A8F"/>
    <w:rsid w:val="66FC2597"/>
    <w:rsid w:val="670F0ED0"/>
    <w:rsid w:val="671604B0"/>
    <w:rsid w:val="671F55B7"/>
    <w:rsid w:val="672C55DE"/>
    <w:rsid w:val="6734105D"/>
    <w:rsid w:val="67370365"/>
    <w:rsid w:val="67380427"/>
    <w:rsid w:val="6751773B"/>
    <w:rsid w:val="67994E94"/>
    <w:rsid w:val="679A69EC"/>
    <w:rsid w:val="67A6391B"/>
    <w:rsid w:val="67B6134C"/>
    <w:rsid w:val="67C223E6"/>
    <w:rsid w:val="67D068B1"/>
    <w:rsid w:val="67D85766"/>
    <w:rsid w:val="67DB7004"/>
    <w:rsid w:val="67DD2D7C"/>
    <w:rsid w:val="67EA3477"/>
    <w:rsid w:val="67EF426C"/>
    <w:rsid w:val="67FA392E"/>
    <w:rsid w:val="681864B1"/>
    <w:rsid w:val="681C38A5"/>
    <w:rsid w:val="68234313"/>
    <w:rsid w:val="68320F80"/>
    <w:rsid w:val="6832131A"/>
    <w:rsid w:val="68354966"/>
    <w:rsid w:val="68431CFA"/>
    <w:rsid w:val="684B7535"/>
    <w:rsid w:val="685079F2"/>
    <w:rsid w:val="686139AD"/>
    <w:rsid w:val="6865349E"/>
    <w:rsid w:val="68B735CD"/>
    <w:rsid w:val="68BC5088"/>
    <w:rsid w:val="68C63810"/>
    <w:rsid w:val="68D777CC"/>
    <w:rsid w:val="68EA5751"/>
    <w:rsid w:val="690C1B6B"/>
    <w:rsid w:val="691B47B7"/>
    <w:rsid w:val="691C78D4"/>
    <w:rsid w:val="693D2737"/>
    <w:rsid w:val="69801C11"/>
    <w:rsid w:val="699B6A4B"/>
    <w:rsid w:val="69A023B2"/>
    <w:rsid w:val="69A457AE"/>
    <w:rsid w:val="69B0699A"/>
    <w:rsid w:val="69B30239"/>
    <w:rsid w:val="69B875FD"/>
    <w:rsid w:val="69D63C0D"/>
    <w:rsid w:val="69E37F93"/>
    <w:rsid w:val="69FB573C"/>
    <w:rsid w:val="6A0B3BB5"/>
    <w:rsid w:val="6A10568B"/>
    <w:rsid w:val="6A366774"/>
    <w:rsid w:val="6A3E19A0"/>
    <w:rsid w:val="6A4B4415"/>
    <w:rsid w:val="6A696B49"/>
    <w:rsid w:val="6A6E5840"/>
    <w:rsid w:val="6A6F1BAE"/>
    <w:rsid w:val="6A7F011B"/>
    <w:rsid w:val="6A86594D"/>
    <w:rsid w:val="6A8D6CDC"/>
    <w:rsid w:val="6A9C6F1F"/>
    <w:rsid w:val="6A9F07BD"/>
    <w:rsid w:val="6ADB7A47"/>
    <w:rsid w:val="6ADF6E0B"/>
    <w:rsid w:val="6AEC1C54"/>
    <w:rsid w:val="6AF61E1C"/>
    <w:rsid w:val="6B0625EA"/>
    <w:rsid w:val="6B086362"/>
    <w:rsid w:val="6B832849"/>
    <w:rsid w:val="6B833C3B"/>
    <w:rsid w:val="6B8C6F93"/>
    <w:rsid w:val="6B956FFF"/>
    <w:rsid w:val="6B9E0A74"/>
    <w:rsid w:val="6BA51C0A"/>
    <w:rsid w:val="6BE26BB3"/>
    <w:rsid w:val="6BE92DCC"/>
    <w:rsid w:val="6BF40694"/>
    <w:rsid w:val="6BF803B2"/>
    <w:rsid w:val="6C060AF4"/>
    <w:rsid w:val="6C24541E"/>
    <w:rsid w:val="6C290B81"/>
    <w:rsid w:val="6C2B2308"/>
    <w:rsid w:val="6C3D203B"/>
    <w:rsid w:val="6C411B2C"/>
    <w:rsid w:val="6C47110C"/>
    <w:rsid w:val="6C515AE7"/>
    <w:rsid w:val="6C5C00D6"/>
    <w:rsid w:val="6C7041BF"/>
    <w:rsid w:val="6C727F37"/>
    <w:rsid w:val="6C8B36D7"/>
    <w:rsid w:val="6C9A56E0"/>
    <w:rsid w:val="6CAE35A4"/>
    <w:rsid w:val="6CC4275D"/>
    <w:rsid w:val="6CD96208"/>
    <w:rsid w:val="6CDF30F3"/>
    <w:rsid w:val="6CED1CB3"/>
    <w:rsid w:val="6CED3A62"/>
    <w:rsid w:val="6CF27DCB"/>
    <w:rsid w:val="6CF748E0"/>
    <w:rsid w:val="6CF77AF3"/>
    <w:rsid w:val="6CFE7A1D"/>
    <w:rsid w:val="6D125276"/>
    <w:rsid w:val="6D394EF9"/>
    <w:rsid w:val="6D4A2C62"/>
    <w:rsid w:val="6D5364AC"/>
    <w:rsid w:val="6D543AE1"/>
    <w:rsid w:val="6D617FAC"/>
    <w:rsid w:val="6D660588"/>
    <w:rsid w:val="6D9B526C"/>
    <w:rsid w:val="6DB4632D"/>
    <w:rsid w:val="6DB77BB8"/>
    <w:rsid w:val="6DB91B96"/>
    <w:rsid w:val="6DC5053A"/>
    <w:rsid w:val="6DCE5641"/>
    <w:rsid w:val="6DCF3167"/>
    <w:rsid w:val="6DD30EA9"/>
    <w:rsid w:val="6DD778D7"/>
    <w:rsid w:val="6DEE7A91"/>
    <w:rsid w:val="6DFB0400"/>
    <w:rsid w:val="6E001573"/>
    <w:rsid w:val="6E054DDB"/>
    <w:rsid w:val="6E0653B5"/>
    <w:rsid w:val="6E1312A6"/>
    <w:rsid w:val="6E271D2C"/>
    <w:rsid w:val="6E292877"/>
    <w:rsid w:val="6E2B2A93"/>
    <w:rsid w:val="6E31797E"/>
    <w:rsid w:val="6E3F653F"/>
    <w:rsid w:val="6E4476B1"/>
    <w:rsid w:val="6E6B2E90"/>
    <w:rsid w:val="6E8977BA"/>
    <w:rsid w:val="6E9E269F"/>
    <w:rsid w:val="6EA94619"/>
    <w:rsid w:val="6EB365E5"/>
    <w:rsid w:val="6EBE403D"/>
    <w:rsid w:val="6ECB58D1"/>
    <w:rsid w:val="6EDA1DC4"/>
    <w:rsid w:val="6EDD3662"/>
    <w:rsid w:val="6EDF7765"/>
    <w:rsid w:val="6EF503C2"/>
    <w:rsid w:val="6F051979"/>
    <w:rsid w:val="6F152DFC"/>
    <w:rsid w:val="6F1572A0"/>
    <w:rsid w:val="6F1F3C7A"/>
    <w:rsid w:val="6F274BE8"/>
    <w:rsid w:val="6F3B6D06"/>
    <w:rsid w:val="6F3C65DA"/>
    <w:rsid w:val="6F4F4560"/>
    <w:rsid w:val="6F631DB9"/>
    <w:rsid w:val="6F685621"/>
    <w:rsid w:val="6F6D03D1"/>
    <w:rsid w:val="6F730839"/>
    <w:rsid w:val="6F914B78"/>
    <w:rsid w:val="6FB97C2B"/>
    <w:rsid w:val="6FE54EC4"/>
    <w:rsid w:val="6FEC6252"/>
    <w:rsid w:val="6FF869A5"/>
    <w:rsid w:val="70090BB2"/>
    <w:rsid w:val="703025E3"/>
    <w:rsid w:val="70357BF9"/>
    <w:rsid w:val="703817E6"/>
    <w:rsid w:val="703D6AAE"/>
    <w:rsid w:val="706202C3"/>
    <w:rsid w:val="70657DB3"/>
    <w:rsid w:val="706933FF"/>
    <w:rsid w:val="7073427E"/>
    <w:rsid w:val="707D6EAA"/>
    <w:rsid w:val="707F0E75"/>
    <w:rsid w:val="70983CE4"/>
    <w:rsid w:val="70CB40BA"/>
    <w:rsid w:val="70CE7706"/>
    <w:rsid w:val="70D660F1"/>
    <w:rsid w:val="70F03B20"/>
    <w:rsid w:val="70F353BF"/>
    <w:rsid w:val="71107001"/>
    <w:rsid w:val="711315BD"/>
    <w:rsid w:val="712D6B22"/>
    <w:rsid w:val="713C6D66"/>
    <w:rsid w:val="71526589"/>
    <w:rsid w:val="71593474"/>
    <w:rsid w:val="715E0A8A"/>
    <w:rsid w:val="717958C4"/>
    <w:rsid w:val="71A1306D"/>
    <w:rsid w:val="71BB412E"/>
    <w:rsid w:val="71D17D44"/>
    <w:rsid w:val="71D92806"/>
    <w:rsid w:val="7201383B"/>
    <w:rsid w:val="72016718"/>
    <w:rsid w:val="72111FA0"/>
    <w:rsid w:val="721B697B"/>
    <w:rsid w:val="724A3704"/>
    <w:rsid w:val="724E6D50"/>
    <w:rsid w:val="72565C05"/>
    <w:rsid w:val="72583E6C"/>
    <w:rsid w:val="72645138"/>
    <w:rsid w:val="726E2F4F"/>
    <w:rsid w:val="72925C9A"/>
    <w:rsid w:val="72964253"/>
    <w:rsid w:val="729A3D44"/>
    <w:rsid w:val="72A11576"/>
    <w:rsid w:val="72D336FA"/>
    <w:rsid w:val="72E12ED9"/>
    <w:rsid w:val="730B5AE9"/>
    <w:rsid w:val="732E6B82"/>
    <w:rsid w:val="733A1083"/>
    <w:rsid w:val="733F6699"/>
    <w:rsid w:val="734D7008"/>
    <w:rsid w:val="735F35C5"/>
    <w:rsid w:val="73610D05"/>
    <w:rsid w:val="7379604F"/>
    <w:rsid w:val="737C55D4"/>
    <w:rsid w:val="739E7864"/>
    <w:rsid w:val="73AA0E77"/>
    <w:rsid w:val="73BE1CB4"/>
    <w:rsid w:val="73C05A2C"/>
    <w:rsid w:val="73E060CE"/>
    <w:rsid w:val="73E21E46"/>
    <w:rsid w:val="73F9505A"/>
    <w:rsid w:val="742A5958"/>
    <w:rsid w:val="743D53EC"/>
    <w:rsid w:val="744530CF"/>
    <w:rsid w:val="747D391D"/>
    <w:rsid w:val="74B3733F"/>
    <w:rsid w:val="74C94DB4"/>
    <w:rsid w:val="74CC0B64"/>
    <w:rsid w:val="74DF0134"/>
    <w:rsid w:val="74FF07D6"/>
    <w:rsid w:val="74FF2584"/>
    <w:rsid w:val="750F40FB"/>
    <w:rsid w:val="75157FF9"/>
    <w:rsid w:val="7516167C"/>
    <w:rsid w:val="75241FEA"/>
    <w:rsid w:val="753366D1"/>
    <w:rsid w:val="7535244A"/>
    <w:rsid w:val="75491A51"/>
    <w:rsid w:val="755D54FC"/>
    <w:rsid w:val="755E3466"/>
    <w:rsid w:val="756E14B8"/>
    <w:rsid w:val="75722D56"/>
    <w:rsid w:val="757F1917"/>
    <w:rsid w:val="75812F99"/>
    <w:rsid w:val="75930F1E"/>
    <w:rsid w:val="759C4277"/>
    <w:rsid w:val="75A6152B"/>
    <w:rsid w:val="75C335B1"/>
    <w:rsid w:val="75CD61DE"/>
    <w:rsid w:val="75D373DE"/>
    <w:rsid w:val="75E43528"/>
    <w:rsid w:val="7618014C"/>
    <w:rsid w:val="762F1370"/>
    <w:rsid w:val="76432944"/>
    <w:rsid w:val="765E777E"/>
    <w:rsid w:val="766617FE"/>
    <w:rsid w:val="766905FD"/>
    <w:rsid w:val="766E39D9"/>
    <w:rsid w:val="76836D63"/>
    <w:rsid w:val="768947FB"/>
    <w:rsid w:val="76996C06"/>
    <w:rsid w:val="769D2054"/>
    <w:rsid w:val="76AF7FDA"/>
    <w:rsid w:val="76C84BF7"/>
    <w:rsid w:val="76DB492B"/>
    <w:rsid w:val="76E155BC"/>
    <w:rsid w:val="76E45ED5"/>
    <w:rsid w:val="76F53C3E"/>
    <w:rsid w:val="770519A8"/>
    <w:rsid w:val="770B3462"/>
    <w:rsid w:val="771A36A5"/>
    <w:rsid w:val="772B3B04"/>
    <w:rsid w:val="774A6914"/>
    <w:rsid w:val="77575D2B"/>
    <w:rsid w:val="77862AE9"/>
    <w:rsid w:val="77894387"/>
    <w:rsid w:val="779F1DFC"/>
    <w:rsid w:val="77AF64E3"/>
    <w:rsid w:val="77B751D7"/>
    <w:rsid w:val="77C11D73"/>
    <w:rsid w:val="77CB0E43"/>
    <w:rsid w:val="77E617D9"/>
    <w:rsid w:val="77EA4DE9"/>
    <w:rsid w:val="77F04406"/>
    <w:rsid w:val="780D6D66"/>
    <w:rsid w:val="782D565A"/>
    <w:rsid w:val="783A38D3"/>
    <w:rsid w:val="7860333A"/>
    <w:rsid w:val="786F5C73"/>
    <w:rsid w:val="788334CC"/>
    <w:rsid w:val="7883527A"/>
    <w:rsid w:val="78917997"/>
    <w:rsid w:val="78986F77"/>
    <w:rsid w:val="789C40E1"/>
    <w:rsid w:val="78A27943"/>
    <w:rsid w:val="78AD1482"/>
    <w:rsid w:val="78B96EEE"/>
    <w:rsid w:val="78BE4504"/>
    <w:rsid w:val="78D21D5D"/>
    <w:rsid w:val="78D6184E"/>
    <w:rsid w:val="78D635FC"/>
    <w:rsid w:val="78DF4BA6"/>
    <w:rsid w:val="78E8332F"/>
    <w:rsid w:val="791616FD"/>
    <w:rsid w:val="792F39E5"/>
    <w:rsid w:val="793379E4"/>
    <w:rsid w:val="79442C5B"/>
    <w:rsid w:val="794E03FE"/>
    <w:rsid w:val="795D5ACB"/>
    <w:rsid w:val="79AC25AE"/>
    <w:rsid w:val="79D044EF"/>
    <w:rsid w:val="79D21E6C"/>
    <w:rsid w:val="79DF4732"/>
    <w:rsid w:val="79F75F20"/>
    <w:rsid w:val="7A081EDB"/>
    <w:rsid w:val="7A146AD1"/>
    <w:rsid w:val="7A185700"/>
    <w:rsid w:val="7A2D118F"/>
    <w:rsid w:val="7A446DF5"/>
    <w:rsid w:val="7A4D3D91"/>
    <w:rsid w:val="7A5A200A"/>
    <w:rsid w:val="7A5C2227"/>
    <w:rsid w:val="7A5C3FD5"/>
    <w:rsid w:val="7A6B4824"/>
    <w:rsid w:val="7A6D1D3E"/>
    <w:rsid w:val="7A721E73"/>
    <w:rsid w:val="7A74131E"/>
    <w:rsid w:val="7A8552D9"/>
    <w:rsid w:val="7AA37E55"/>
    <w:rsid w:val="7AAA2F92"/>
    <w:rsid w:val="7AAC4F5C"/>
    <w:rsid w:val="7AD149C3"/>
    <w:rsid w:val="7AD92AD0"/>
    <w:rsid w:val="7B1D19B6"/>
    <w:rsid w:val="7B212202"/>
    <w:rsid w:val="7B4038F6"/>
    <w:rsid w:val="7B5A2BED"/>
    <w:rsid w:val="7B6E2706"/>
    <w:rsid w:val="7B7A6E08"/>
    <w:rsid w:val="7B8A691F"/>
    <w:rsid w:val="7B9652C4"/>
    <w:rsid w:val="7BB223DA"/>
    <w:rsid w:val="7BB67714"/>
    <w:rsid w:val="7BBF481B"/>
    <w:rsid w:val="7BD707FA"/>
    <w:rsid w:val="7BED27FA"/>
    <w:rsid w:val="7C06305E"/>
    <w:rsid w:val="7C1D7794"/>
    <w:rsid w:val="7C280612"/>
    <w:rsid w:val="7C2F2DC1"/>
    <w:rsid w:val="7C30396B"/>
    <w:rsid w:val="7C3F3BAE"/>
    <w:rsid w:val="7C5533D1"/>
    <w:rsid w:val="7C605935"/>
    <w:rsid w:val="7C6158D2"/>
    <w:rsid w:val="7C647170"/>
    <w:rsid w:val="7C694787"/>
    <w:rsid w:val="7C7C2303"/>
    <w:rsid w:val="7C835849"/>
    <w:rsid w:val="7C977546"/>
    <w:rsid w:val="7CA13F21"/>
    <w:rsid w:val="7CBB3234"/>
    <w:rsid w:val="7CC10FD7"/>
    <w:rsid w:val="7CDB7433"/>
    <w:rsid w:val="7CED7166"/>
    <w:rsid w:val="7D2F777E"/>
    <w:rsid w:val="7D3134F6"/>
    <w:rsid w:val="7D32101D"/>
    <w:rsid w:val="7D344D95"/>
    <w:rsid w:val="7D5B0573"/>
    <w:rsid w:val="7D697134"/>
    <w:rsid w:val="7D6C2781"/>
    <w:rsid w:val="7D8236BB"/>
    <w:rsid w:val="7D87580C"/>
    <w:rsid w:val="7D9A72EE"/>
    <w:rsid w:val="7DC46119"/>
    <w:rsid w:val="7DD12DB9"/>
    <w:rsid w:val="7DF57FB2"/>
    <w:rsid w:val="7DFA7D8C"/>
    <w:rsid w:val="7E0806FB"/>
    <w:rsid w:val="7E2412AD"/>
    <w:rsid w:val="7E254619"/>
    <w:rsid w:val="7E2748F9"/>
    <w:rsid w:val="7E355268"/>
    <w:rsid w:val="7E374B3D"/>
    <w:rsid w:val="7E5D76A5"/>
    <w:rsid w:val="7E6374FE"/>
    <w:rsid w:val="7E926217"/>
    <w:rsid w:val="7EA90D5A"/>
    <w:rsid w:val="7EEC1DCB"/>
    <w:rsid w:val="7F3B68AE"/>
    <w:rsid w:val="7F431AE6"/>
    <w:rsid w:val="7F4D213E"/>
    <w:rsid w:val="7F6036E5"/>
    <w:rsid w:val="7F651B7D"/>
    <w:rsid w:val="7F7122D0"/>
    <w:rsid w:val="7FBE38A8"/>
    <w:rsid w:val="7FBF128D"/>
    <w:rsid w:val="7FC00B62"/>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2"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spacing w:before="280" w:after="290" w:line="377" w:lineRule="auto"/>
      <w:outlineLvl w:val="3"/>
    </w:pPr>
    <w:rPr>
      <w:rFonts w:ascii="Arial" w:hAnsi="Arial" w:eastAsia="黑体"/>
      <w:b/>
      <w:bCs/>
      <w:kern w:val="0"/>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unhideWhenUsed/>
    <w:qFormat/>
    <w:uiPriority w:val="0"/>
    <w:pPr>
      <w:ind w:firstLine="420" w:firstLineChars="200"/>
    </w:pPr>
  </w:style>
  <w:style w:type="paragraph" w:styleId="7">
    <w:name w:val="annotation text"/>
    <w:basedOn w:val="1"/>
    <w:link w:val="52"/>
    <w:autoRedefine/>
    <w:qFormat/>
    <w:uiPriority w:val="0"/>
    <w:pPr>
      <w:jc w:val="left"/>
    </w:pPr>
  </w:style>
  <w:style w:type="paragraph" w:styleId="8">
    <w:name w:val="Body Text"/>
    <w:basedOn w:val="1"/>
    <w:autoRedefine/>
    <w:qFormat/>
    <w:uiPriority w:val="0"/>
    <w:rPr>
      <w:rFonts w:ascii="楷体_GB2312" w:hAnsi="Arial" w:eastAsia="楷体_GB2312"/>
      <w:sz w:val="28"/>
      <w:szCs w:val="28"/>
    </w:rPr>
  </w:style>
  <w:style w:type="paragraph" w:styleId="9">
    <w:name w:val="Body Text Indent"/>
    <w:basedOn w:val="1"/>
    <w:next w:val="10"/>
    <w:autoRedefine/>
    <w:qFormat/>
    <w:uiPriority w:val="99"/>
    <w:pPr>
      <w:spacing w:after="120"/>
      <w:ind w:left="420" w:leftChars="200"/>
    </w:pPr>
    <w:rPr>
      <w:kern w:val="0"/>
      <w:sz w:val="20"/>
      <w:szCs w:val="24"/>
    </w:rPr>
  </w:style>
  <w:style w:type="paragraph" w:styleId="10">
    <w:name w:val="envelope return"/>
    <w:basedOn w:val="1"/>
    <w:unhideWhenUsed/>
    <w:qFormat/>
    <w:uiPriority w:val="99"/>
    <w:pPr>
      <w:snapToGrid w:val="0"/>
    </w:pPr>
    <w:rPr>
      <w:rFonts w:ascii="Cambria" w:hAnsi="Cambria" w:eastAsia="宋体" w:cs="Times New Roman"/>
    </w:rPr>
  </w:style>
  <w:style w:type="paragraph" w:styleId="11">
    <w:name w:val="List Bullet 2"/>
    <w:basedOn w:val="1"/>
    <w:autoRedefine/>
    <w:qFormat/>
    <w:uiPriority w:val="0"/>
    <w:pPr>
      <w:numPr>
        <w:ilvl w:val="0"/>
        <w:numId w:val="1"/>
      </w:numPr>
    </w:pPr>
  </w:style>
  <w:style w:type="paragraph" w:styleId="12">
    <w:name w:val="Plain Text"/>
    <w:basedOn w:val="1"/>
    <w:autoRedefine/>
    <w:qFormat/>
    <w:uiPriority w:val="99"/>
    <w:rPr>
      <w:rFonts w:ascii="宋体" w:hAnsi="Courier New"/>
      <w:kern w:val="0"/>
      <w:sz w:val="20"/>
      <w:szCs w:val="21"/>
    </w:rPr>
  </w:style>
  <w:style w:type="paragraph" w:styleId="13">
    <w:name w:val="Body Text Indent 2"/>
    <w:basedOn w:val="1"/>
    <w:link w:val="54"/>
    <w:autoRedefine/>
    <w:qFormat/>
    <w:uiPriority w:val="99"/>
    <w:pPr>
      <w:snapToGrid w:val="0"/>
      <w:spacing w:line="480" w:lineRule="exact"/>
      <w:ind w:firstLine="562" w:firstLineChars="200"/>
    </w:pPr>
    <w:rPr>
      <w:rFonts w:ascii="楷体_GB2312" w:eastAsia="楷体_GB2312"/>
      <w:b/>
      <w:bCs/>
      <w:kern w:val="0"/>
      <w:sz w:val="28"/>
      <w:szCs w:val="24"/>
    </w:rPr>
  </w:style>
  <w:style w:type="paragraph" w:styleId="14">
    <w:name w:val="Balloon Text"/>
    <w:basedOn w:val="1"/>
    <w:link w:val="39"/>
    <w:autoRedefine/>
    <w:qFormat/>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9"/>
    <w:basedOn w:val="1"/>
    <w:next w:val="1"/>
    <w:autoRedefine/>
    <w:qFormat/>
    <w:uiPriority w:val="2"/>
    <w:pPr>
      <w:ind w:left="1680"/>
      <w:jc w:val="left"/>
    </w:pPr>
    <w:rPr>
      <w:sz w:val="18"/>
      <w:szCs w:val="18"/>
    </w:rPr>
  </w:style>
  <w:style w:type="paragraph" w:styleId="19">
    <w:name w:val="Body Text 2"/>
    <w:basedOn w:val="1"/>
    <w:autoRedefine/>
    <w:qFormat/>
    <w:uiPriority w:val="0"/>
    <w:pPr>
      <w:spacing w:after="120" w:line="480" w:lineRule="auto"/>
    </w:pPr>
  </w:style>
  <w:style w:type="paragraph" w:styleId="20">
    <w:name w:val="Normal (Web)"/>
    <w:basedOn w:val="1"/>
    <w:autoRedefine/>
    <w:qFormat/>
    <w:uiPriority w:val="0"/>
    <w:rPr>
      <w:rFonts w:ascii="Times New Roman" w:hAnsi="Times New Roman"/>
      <w:sz w:val="24"/>
    </w:rPr>
  </w:style>
  <w:style w:type="paragraph" w:styleId="21">
    <w:name w:val="annotation subject"/>
    <w:basedOn w:val="7"/>
    <w:next w:val="7"/>
    <w:link w:val="53"/>
    <w:autoRedefine/>
    <w:qFormat/>
    <w:uiPriority w:val="0"/>
    <w:rPr>
      <w:b/>
      <w:bCs/>
    </w:rPr>
  </w:style>
  <w:style w:type="paragraph" w:styleId="22">
    <w:name w:val="Body Text First Indent 2"/>
    <w:basedOn w:val="9"/>
    <w:qFormat/>
    <w:uiPriority w:val="0"/>
    <w:pPr>
      <w:ind w:firstLine="420"/>
    </w:p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autoRedefine/>
    <w:qFormat/>
    <w:uiPriority w:val="0"/>
    <w:rPr>
      <w:b/>
    </w:rPr>
  </w:style>
  <w:style w:type="character" w:styleId="27">
    <w:name w:val="Hyperlink"/>
    <w:basedOn w:val="25"/>
    <w:autoRedefine/>
    <w:qFormat/>
    <w:uiPriority w:val="0"/>
    <w:rPr>
      <w:color w:val="0563C1" w:themeColor="hyperlink"/>
      <w:u w:val="single"/>
      <w14:textFill>
        <w14:solidFill>
          <w14:schemeClr w14:val="hlink"/>
        </w14:solidFill>
      </w14:textFill>
    </w:rPr>
  </w:style>
  <w:style w:type="character" w:styleId="28">
    <w:name w:val="annotation reference"/>
    <w:basedOn w:val="25"/>
    <w:autoRedefine/>
    <w:qFormat/>
    <w:uiPriority w:val="0"/>
    <w:rPr>
      <w:sz w:val="21"/>
      <w:szCs w:val="21"/>
    </w:rPr>
  </w:style>
  <w:style w:type="paragraph" w:customStyle="1" w:styleId="29">
    <w:name w:val="正文（缩进）"/>
    <w:basedOn w:val="1"/>
    <w:next w:val="30"/>
    <w:autoRedefine/>
    <w:qFormat/>
    <w:uiPriority w:val="0"/>
    <w:pPr>
      <w:spacing w:before="156" w:after="156"/>
      <w:ind w:firstLine="480" w:firstLineChars="200"/>
    </w:pPr>
  </w:style>
  <w:style w:type="paragraph" w:customStyle="1" w:styleId="30">
    <w:name w:val="Char Char Char Char Char Char Char Char Char"/>
    <w:basedOn w:val="1"/>
    <w:next w:val="31"/>
    <w:autoRedefine/>
    <w:qFormat/>
    <w:uiPriority w:val="0"/>
    <w:pPr>
      <w:tabs>
        <w:tab w:val="left" w:pos="360"/>
      </w:tabs>
      <w:ind w:left="360" w:hanging="360" w:hangingChars="200"/>
    </w:pPr>
    <w:rPr>
      <w:rFonts w:eastAsia="Calibri" w:cs="宋体"/>
      <w:sz w:val="24"/>
      <w:szCs w:val="24"/>
      <w:lang w:val="zh-CN"/>
    </w:rPr>
  </w:style>
  <w:style w:type="paragraph" w:customStyle="1" w:styleId="31">
    <w:name w:val="正文文本 21"/>
    <w:basedOn w:val="1"/>
    <w:next w:val="32"/>
    <w:autoRedefine/>
    <w:qFormat/>
    <w:uiPriority w:val="0"/>
    <w:pPr>
      <w:widowControl/>
      <w:overflowPunct w:val="0"/>
      <w:ind w:left="720" w:hanging="720"/>
      <w:textAlignment w:val="baseline"/>
    </w:pPr>
    <w:rPr>
      <w:rFonts w:eastAsia="Calibri" w:cs="宋体"/>
      <w:sz w:val="24"/>
      <w:szCs w:val="20"/>
      <w:lang w:val="en-GB"/>
    </w:rPr>
  </w:style>
  <w:style w:type="paragraph" w:customStyle="1" w:styleId="32">
    <w:name w:val="默认段落字体 Para Char Char Char Char Char Char Char"/>
    <w:basedOn w:val="1"/>
    <w:next w:val="33"/>
    <w:autoRedefine/>
    <w:qFormat/>
    <w:uiPriority w:val="0"/>
    <w:pPr>
      <w:ind w:firstLine="200" w:firstLineChars="200"/>
    </w:pPr>
    <w:rPr>
      <w:rFonts w:cs="Arial"/>
    </w:rPr>
  </w:style>
  <w:style w:type="paragraph" w:customStyle="1" w:styleId="33">
    <w:name w:val="样式 首行缩进:  2 字符"/>
    <w:basedOn w:val="1"/>
    <w:next w:val="34"/>
    <w:autoRedefine/>
    <w:qFormat/>
    <w:uiPriority w:val="0"/>
    <w:pPr>
      <w:spacing w:line="360" w:lineRule="auto"/>
      <w:ind w:firstLine="480" w:firstLineChars="200"/>
    </w:pPr>
    <w:rPr>
      <w:sz w:val="24"/>
      <w:szCs w:val="20"/>
      <w:lang w:val="zh-CN"/>
    </w:rPr>
  </w:style>
  <w:style w:type="paragraph" w:customStyle="1" w:styleId="34">
    <w:name w:val="样式 段后: 0.25 行"/>
    <w:basedOn w:val="1"/>
    <w:next w:val="35"/>
    <w:autoRedefine/>
    <w:qFormat/>
    <w:uiPriority w:val="0"/>
    <w:pPr>
      <w:widowControl/>
      <w:spacing w:afterLines="25" w:line="300" w:lineRule="auto"/>
      <w:ind w:firstLine="420" w:firstLineChars="200"/>
    </w:pPr>
    <w:rPr>
      <w:rFonts w:ascii="Arial" w:hAnsi="Arial" w:eastAsia="Calibri" w:cs="宋体"/>
      <w:sz w:val="22"/>
      <w:szCs w:val="20"/>
      <w:lang w:val="zh-CN" w:eastAsia="en-US" w:bidi="en-US"/>
    </w:rPr>
  </w:style>
  <w:style w:type="paragraph" w:customStyle="1" w:styleId="35">
    <w:name w:val="正文 New New New New New New New New New New New New New New"/>
    <w:next w:val="18"/>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6">
    <w:name w:val="正文1"/>
    <w:basedOn w:val="1"/>
    <w:next w:val="1"/>
    <w:autoRedefine/>
    <w:qFormat/>
    <w:uiPriority w:val="0"/>
    <w:pPr>
      <w:spacing w:line="360" w:lineRule="atLeast"/>
      <w:jc w:val="left"/>
    </w:pPr>
    <w:rPr>
      <w:rFonts w:ascii="宋体" w:hAnsiTheme="minorHAnsi" w:eastAsiaTheme="minorEastAsia" w:cstheme="minorBidi"/>
      <w:sz w:val="24"/>
      <w:szCs w:val="20"/>
    </w:rPr>
  </w:style>
  <w:style w:type="paragraph" w:customStyle="1" w:styleId="3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Char"/>
    <w:basedOn w:val="1"/>
    <w:autoRedefine/>
    <w:qFormat/>
    <w:uiPriority w:val="0"/>
    <w:pPr>
      <w:tabs>
        <w:tab w:val="left" w:pos="360"/>
      </w:tabs>
      <w:ind w:firstLine="200" w:firstLineChars="200"/>
    </w:pPr>
    <w:rPr>
      <w:rFonts w:ascii="Times New Roman" w:hAnsi="Times New Roman"/>
      <w:sz w:val="28"/>
      <w:szCs w:val="30"/>
    </w:rPr>
  </w:style>
  <w:style w:type="character" w:customStyle="1" w:styleId="39">
    <w:name w:val="批注框文本 Char"/>
    <w:basedOn w:val="25"/>
    <w:link w:val="14"/>
    <w:autoRedefine/>
    <w:qFormat/>
    <w:uiPriority w:val="0"/>
    <w:rPr>
      <w:kern w:val="2"/>
      <w:sz w:val="18"/>
      <w:szCs w:val="18"/>
    </w:rPr>
  </w:style>
  <w:style w:type="paragraph" w:customStyle="1" w:styleId="40">
    <w:name w:val="正文文本1"/>
    <w:basedOn w:val="36"/>
    <w:next w:val="41"/>
    <w:autoRedefine/>
    <w:qFormat/>
    <w:uiPriority w:val="0"/>
    <w:pPr>
      <w:spacing w:after="120"/>
    </w:pPr>
    <w:rPr>
      <w:lang w:eastAsia="en-US"/>
    </w:rPr>
  </w:style>
  <w:style w:type="paragraph" w:customStyle="1" w:styleId="41">
    <w:name w:val="一级条标题"/>
    <w:basedOn w:val="42"/>
    <w:next w:val="43"/>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43">
    <w:name w:val="段"/>
    <w:basedOn w:val="36"/>
    <w:next w:val="1"/>
    <w:autoRedefine/>
    <w:qFormat/>
    <w:uiPriority w:val="0"/>
    <w:pPr>
      <w:widowControl/>
      <w:ind w:firstLine="200"/>
    </w:pPr>
    <w:rPr>
      <w:sz w:val="20"/>
    </w:rPr>
  </w:style>
  <w:style w:type="character" w:customStyle="1" w:styleId="44">
    <w:name w:val="NormalCharacter"/>
    <w:autoRedefine/>
    <w:qFormat/>
    <w:uiPriority w:val="99"/>
    <w:rPr>
      <w:rFonts w:ascii="Calibri" w:hAnsi="Calibri" w:eastAsia="宋体" w:cs="Times New Roman"/>
      <w:kern w:val="2"/>
      <w:sz w:val="21"/>
      <w:szCs w:val="22"/>
      <w:lang w:val="en-US" w:eastAsia="zh-CN" w:bidi="ar-SA"/>
    </w:rPr>
  </w:style>
  <w:style w:type="paragraph" w:customStyle="1" w:styleId="45">
    <w:name w:val="p0"/>
    <w:basedOn w:val="1"/>
    <w:autoRedefine/>
    <w:qFormat/>
    <w:uiPriority w:val="0"/>
    <w:pPr>
      <w:widowControl/>
    </w:pPr>
    <w:rPr>
      <w:rFonts w:ascii="Times New Roman" w:hAnsi="Times New Roman"/>
      <w:kern w:val="0"/>
      <w:szCs w:val="21"/>
    </w:rPr>
  </w:style>
  <w:style w:type="paragraph" w:styleId="46">
    <w:name w:val="List Paragraph"/>
    <w:basedOn w:val="1"/>
    <w:autoRedefine/>
    <w:qFormat/>
    <w:uiPriority w:val="34"/>
    <w:pPr>
      <w:ind w:firstLine="420" w:firstLineChars="200"/>
    </w:pPr>
  </w:style>
  <w:style w:type="paragraph" w:customStyle="1" w:styleId="47">
    <w:name w:val="Table Paragraph"/>
    <w:basedOn w:val="1"/>
    <w:autoRedefine/>
    <w:qFormat/>
    <w:uiPriority w:val="1"/>
    <w:pPr>
      <w:autoSpaceDE w:val="0"/>
      <w:autoSpaceDN w:val="0"/>
    </w:pPr>
    <w:rPr>
      <w:rFonts w:ascii="Noto Sans CJK JP Regular" w:hAnsi="Noto Sans CJK JP Regular" w:eastAsia="Noto Sans CJK JP Regular" w:cs="Noto Sans CJK JP Regular"/>
      <w:kern w:val="0"/>
      <w:lang w:eastAsia="en-US"/>
    </w:rPr>
  </w:style>
  <w:style w:type="paragraph" w:customStyle="1" w:styleId="4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49">
    <w:name w:val="正文空2格  1."/>
    <w:basedOn w:val="1"/>
    <w:autoRedefine/>
    <w:qFormat/>
    <w:uiPriority w:val="0"/>
    <w:pPr>
      <w:ind w:firstLine="480"/>
    </w:pPr>
    <w:rPr>
      <w:rFonts w:cs="宋体"/>
      <w:sz w:val="28"/>
      <w:szCs w:val="20"/>
    </w:rPr>
  </w:style>
  <w:style w:type="character" w:customStyle="1" w:styleId="50">
    <w:name w:val="font11"/>
    <w:basedOn w:val="25"/>
    <w:autoRedefine/>
    <w:qFormat/>
    <w:uiPriority w:val="0"/>
    <w:rPr>
      <w:rFonts w:hint="eastAsia" w:ascii="宋体" w:hAnsi="宋体" w:eastAsia="宋体" w:cs="宋体"/>
      <w:color w:val="000000"/>
      <w:sz w:val="21"/>
      <w:szCs w:val="21"/>
      <w:u w:val="none"/>
    </w:rPr>
  </w:style>
  <w:style w:type="paragraph" w:customStyle="1" w:styleId="51">
    <w:name w:val="正文文本12"/>
    <w:autoRedefine/>
    <w:semiHidden/>
    <w:qFormat/>
    <w:uiPriority w:val="0"/>
    <w:rPr>
      <w:rFonts w:ascii="宋体" w:hAnsi="宋体" w:eastAsia="宋体" w:cs="宋体"/>
      <w:color w:val="000000"/>
      <w:sz w:val="31"/>
      <w:szCs w:val="31"/>
      <w:lang w:val="en-US" w:eastAsia="en-US" w:bidi="ar-SA"/>
    </w:rPr>
  </w:style>
  <w:style w:type="character" w:customStyle="1" w:styleId="52">
    <w:name w:val="批注文字 Char"/>
    <w:basedOn w:val="25"/>
    <w:link w:val="7"/>
    <w:autoRedefine/>
    <w:qFormat/>
    <w:uiPriority w:val="0"/>
    <w:rPr>
      <w:rFonts w:ascii="Calibri" w:hAnsi="Calibri" w:eastAsia="宋体" w:cs="Times New Roman"/>
      <w:kern w:val="2"/>
      <w:sz w:val="21"/>
      <w:szCs w:val="22"/>
    </w:rPr>
  </w:style>
  <w:style w:type="character" w:customStyle="1" w:styleId="53">
    <w:name w:val="批注主题 Char"/>
    <w:basedOn w:val="52"/>
    <w:link w:val="21"/>
    <w:autoRedefine/>
    <w:qFormat/>
    <w:uiPriority w:val="0"/>
    <w:rPr>
      <w:rFonts w:ascii="Calibri" w:hAnsi="Calibri" w:eastAsia="宋体" w:cs="Times New Roman"/>
      <w:b/>
      <w:bCs/>
      <w:kern w:val="2"/>
      <w:sz w:val="21"/>
      <w:szCs w:val="22"/>
    </w:rPr>
  </w:style>
  <w:style w:type="character" w:customStyle="1" w:styleId="54">
    <w:name w:val="正文文本缩进 2 Char"/>
    <w:basedOn w:val="25"/>
    <w:link w:val="13"/>
    <w:autoRedefine/>
    <w:qFormat/>
    <w:uiPriority w:val="99"/>
    <w:rPr>
      <w:rFonts w:ascii="楷体_GB2312" w:hAnsi="Calibri" w:eastAsia="楷体_GB2312" w:cs="Times New Roman"/>
      <w:b/>
      <w:bCs/>
      <w:sz w:val="28"/>
      <w:szCs w:val="24"/>
    </w:rPr>
  </w:style>
  <w:style w:type="paragraph" w:customStyle="1" w:styleId="55">
    <w:name w:val="正文11"/>
    <w:next w:val="36"/>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6">
    <w:name w:val="标题 41"/>
    <w:basedOn w:val="1"/>
    <w:next w:val="57"/>
    <w:autoRedefine/>
    <w:qFormat/>
    <w:uiPriority w:val="0"/>
    <w:pPr>
      <w:spacing w:before="280" w:after="290" w:line="377" w:lineRule="auto"/>
      <w:outlineLvl w:val="3"/>
    </w:pPr>
    <w:rPr>
      <w:rFonts w:ascii="Arial" w:hAnsi="Arial" w:eastAsia="黑体"/>
      <w:b/>
      <w:bCs/>
      <w:sz w:val="28"/>
      <w:szCs w:val="28"/>
    </w:rPr>
  </w:style>
  <w:style w:type="paragraph" w:customStyle="1" w:styleId="57">
    <w:name w:val="正文缩进1"/>
    <w:basedOn w:val="1"/>
    <w:autoRedefine/>
    <w:qFormat/>
    <w:uiPriority w:val="0"/>
    <w:pPr>
      <w:ind w:firstLine="420"/>
    </w:pPr>
    <w:rPr>
      <w:sz w:val="20"/>
      <w:szCs w:val="21"/>
    </w:rPr>
  </w:style>
  <w:style w:type="paragraph" w:customStyle="1" w:styleId="58">
    <w:name w:val="_Style 2"/>
    <w:basedOn w:val="1"/>
    <w:autoRedefine/>
    <w:qFormat/>
    <w:uiPriority w:val="34"/>
    <w:pPr>
      <w:ind w:firstLine="420" w:firstLineChars="200"/>
    </w:pPr>
  </w:style>
  <w:style w:type="paragraph" w:customStyle="1" w:styleId="59">
    <w:name w:val="标题 11"/>
    <w:basedOn w:val="1"/>
    <w:next w:val="1"/>
    <w:autoRedefine/>
    <w:qFormat/>
    <w:uiPriority w:val="9"/>
    <w:pPr>
      <w:keepNext/>
      <w:keepLines/>
      <w:spacing w:before="340" w:after="330" w:line="578" w:lineRule="auto"/>
      <w:outlineLvl w:val="0"/>
    </w:pPr>
    <w:rPr>
      <w:b/>
      <w:bCs/>
      <w:sz w:val="44"/>
      <w:szCs w:val="44"/>
    </w:rPr>
  </w:style>
  <w:style w:type="paragraph" w:customStyle="1" w:styleId="60">
    <w:name w:val="图例"/>
    <w:basedOn w:val="1"/>
    <w:autoRedefine/>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62C31-2594-4320-AF3B-CEDFC7C6973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62</Pages>
  <Words>18092</Words>
  <Characters>20497</Characters>
  <Lines>213</Lines>
  <Paragraphs>60</Paragraphs>
  <TotalTime>29</TotalTime>
  <ScaleCrop>false</ScaleCrop>
  <LinksUpToDate>false</LinksUpToDate>
  <CharactersWithSpaces>20861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2024-02-29T07:16:00Z</dcterms:created>
  <dc:creator>19905</dc:creator>
  <cp:lastModifiedBy>娜娜長</cp:lastModifiedBy>
  <cp:lastPrinted>2025-11-16T23:45:00Z</cp:lastPrinted>
  <dcterms:modified xsi:type="dcterms:W3CDTF">2025-12-19T07:49:14Z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12643BBD3E324DE6897776C48DE4286E_13</vt:lpwstr>
  </property>
  <property fmtid="{D5CDD505-2E9C-101B-9397-08002B2CF9AE}" pid="4" name="KSOTemplateDocerSaveRecord">
    <vt:lpwstr>eyJoZGlkIjoiNDQ4YzZiNGZiNTE0ZjM0MDI5NDk1MzQzMzBmODgwMzUiLCJ1c2VySWQiOiI2OTMwMTczODUifQ==</vt:lpwstr>
  </property>
</Properties>
</file>