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8D" w:rsidRPr="00CE6A6E" w:rsidRDefault="00BC548D" w:rsidP="00CE6A6E">
      <w:pPr>
        <w:adjustRightInd w:val="0"/>
        <w:snapToGrid w:val="0"/>
        <w:spacing w:line="440" w:lineRule="exact"/>
        <w:ind w:firstLineChars="200" w:firstLine="562"/>
        <w:jc w:val="center"/>
        <w:rPr>
          <w:rFonts w:ascii="黑体" w:eastAsia="黑体" w:hAnsi="黑体"/>
          <w:b/>
          <w:bCs/>
          <w:sz w:val="28"/>
          <w:szCs w:val="24"/>
        </w:rPr>
      </w:pPr>
      <w:r w:rsidRPr="00CE6A6E">
        <w:rPr>
          <w:rFonts w:ascii="黑体" w:eastAsia="黑体" w:hAnsi="黑体"/>
          <w:b/>
          <w:bCs/>
          <w:sz w:val="28"/>
          <w:szCs w:val="24"/>
        </w:rPr>
        <w:t>东西区配电房配电设施维修改造项目</w:t>
      </w:r>
      <w:r w:rsidRPr="00CE6A6E">
        <w:rPr>
          <w:rFonts w:ascii="黑体" w:eastAsia="黑体" w:hAnsi="黑体" w:hint="eastAsia"/>
          <w:b/>
          <w:bCs/>
          <w:sz w:val="28"/>
          <w:szCs w:val="24"/>
        </w:rPr>
        <w:t>需求</w:t>
      </w:r>
    </w:p>
    <w:p w:rsidR="00EC4685" w:rsidRPr="00CE6A6E" w:rsidRDefault="00AD01E6" w:rsidP="00CE6A6E">
      <w:pPr>
        <w:adjustRightInd w:val="0"/>
        <w:snapToGrid w:val="0"/>
        <w:spacing w:line="4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CE6A6E">
        <w:rPr>
          <w:rFonts w:ascii="仿宋" w:eastAsia="仿宋" w:hAnsi="仿宋" w:hint="eastAsia"/>
          <w:b/>
          <w:bCs/>
          <w:sz w:val="24"/>
          <w:szCs w:val="24"/>
        </w:rPr>
        <w:t>一、</w:t>
      </w:r>
      <w:r w:rsidR="006A0788" w:rsidRPr="00CE6A6E">
        <w:rPr>
          <w:rFonts w:ascii="仿宋" w:eastAsia="仿宋" w:hAnsi="仿宋" w:hint="eastAsia"/>
          <w:b/>
          <w:bCs/>
          <w:sz w:val="24"/>
          <w:szCs w:val="24"/>
        </w:rPr>
        <w:t>改造</w:t>
      </w:r>
      <w:r w:rsidRPr="00CE6A6E">
        <w:rPr>
          <w:rFonts w:ascii="仿宋" w:eastAsia="仿宋" w:hAnsi="仿宋" w:hint="eastAsia"/>
          <w:b/>
          <w:bCs/>
          <w:sz w:val="24"/>
          <w:szCs w:val="24"/>
        </w:rPr>
        <w:t>目的</w:t>
      </w:r>
    </w:p>
    <w:p w:rsidR="00EC4685" w:rsidRPr="00CE6A6E" w:rsidRDefault="007809D1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医院配电系统是保障医疗设备正常运行、患者生命安全及医院各项工作有序开展的核心基础设施。随着现有配电房设备使用年限增长，现部分设备出现老化、性能下降等问题，为确保供电稳定性、安全性及节能性，特提出本设备维修更换项目</w:t>
      </w:r>
      <w:r w:rsidR="00E137CC" w:rsidRPr="00CE6A6E">
        <w:rPr>
          <w:rFonts w:ascii="仿宋" w:eastAsia="仿宋" w:hAnsi="仿宋" w:hint="eastAsia"/>
          <w:sz w:val="24"/>
          <w:szCs w:val="24"/>
        </w:rPr>
        <w:t>。</w:t>
      </w:r>
    </w:p>
    <w:p w:rsidR="009534D2" w:rsidRPr="00CE6A6E" w:rsidRDefault="009534D2" w:rsidP="00CE6A6E">
      <w:pPr>
        <w:adjustRightInd w:val="0"/>
        <w:snapToGrid w:val="0"/>
        <w:spacing w:line="4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CE6A6E">
        <w:rPr>
          <w:rFonts w:ascii="仿宋" w:eastAsia="仿宋" w:hAnsi="仿宋" w:hint="eastAsia"/>
          <w:b/>
          <w:bCs/>
          <w:sz w:val="24"/>
          <w:szCs w:val="24"/>
        </w:rPr>
        <w:t>二、</w:t>
      </w:r>
      <w:r w:rsidR="008A2A1C" w:rsidRPr="00CE6A6E">
        <w:rPr>
          <w:rFonts w:ascii="仿宋" w:eastAsia="仿宋" w:hAnsi="仿宋" w:hint="eastAsia"/>
          <w:b/>
          <w:bCs/>
          <w:sz w:val="24"/>
          <w:szCs w:val="24"/>
        </w:rPr>
        <w:t>项目概况</w:t>
      </w:r>
    </w:p>
    <w:p w:rsidR="007D6289" w:rsidRPr="00CE6A6E" w:rsidRDefault="008A2A1C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1．</w:t>
      </w:r>
      <w:r w:rsidR="007D6289" w:rsidRPr="00CE6A6E">
        <w:rPr>
          <w:rFonts w:ascii="仿宋" w:eastAsia="仿宋" w:hAnsi="仿宋" w:hint="eastAsia"/>
          <w:sz w:val="24"/>
          <w:szCs w:val="24"/>
        </w:rPr>
        <w:t>项目</w:t>
      </w:r>
      <w:r w:rsidRPr="00CE6A6E">
        <w:rPr>
          <w:rFonts w:ascii="仿宋" w:eastAsia="仿宋" w:hAnsi="仿宋" w:hint="eastAsia"/>
          <w:sz w:val="24"/>
          <w:szCs w:val="24"/>
        </w:rPr>
        <w:t>内容：</w:t>
      </w:r>
    </w:p>
    <w:p w:rsidR="008A2A1C" w:rsidRPr="00CE6A6E" w:rsidRDefault="007D6289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变压器及维护隔断拆除、变压器隔断安装、母线槽拆除及洞口改造、母线槽安装、高低压开关柜的元器件的拆除安装改造及桩头修复、电容补偿柜的元器件拆除及安装改造、更新设备的调试检测</w:t>
      </w:r>
      <w:r w:rsidR="006A63E8" w:rsidRPr="00CE6A6E">
        <w:rPr>
          <w:rFonts w:ascii="仿宋" w:eastAsia="仿宋" w:hAnsi="仿宋" w:hint="eastAsia"/>
          <w:sz w:val="24"/>
          <w:szCs w:val="24"/>
        </w:rPr>
        <w:t>、东门诊楼地下室配电房变压器门联锁开关维修改造；</w:t>
      </w:r>
      <w:r w:rsidR="008A2A1C" w:rsidRPr="00CE6A6E">
        <w:rPr>
          <w:rFonts w:ascii="仿宋" w:eastAsia="仿宋" w:hAnsi="仿宋" w:hint="eastAsia"/>
          <w:sz w:val="24"/>
          <w:szCs w:val="24"/>
        </w:rPr>
        <w:t>框架断路器3台、变压器1250KVA2台，真空断路器2台，母线槽2组、电容柜改造等，具体内容和要求以</w:t>
      </w:r>
      <w:r w:rsidR="006A63E8" w:rsidRPr="00CE6A6E">
        <w:rPr>
          <w:rFonts w:ascii="仿宋" w:eastAsia="仿宋" w:hAnsi="仿宋" w:hint="eastAsia"/>
          <w:sz w:val="24"/>
          <w:szCs w:val="24"/>
        </w:rPr>
        <w:t>改造</w:t>
      </w:r>
      <w:r w:rsidR="008A2A1C" w:rsidRPr="00CE6A6E">
        <w:rPr>
          <w:rFonts w:ascii="仿宋" w:eastAsia="仿宋" w:hAnsi="仿宋" w:hint="eastAsia"/>
          <w:sz w:val="24"/>
          <w:szCs w:val="24"/>
        </w:rPr>
        <w:t>清单为准。</w:t>
      </w:r>
    </w:p>
    <w:p w:rsidR="008A2A1C" w:rsidRPr="00CE6A6E" w:rsidRDefault="008A2A1C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2．投标人需到招标单位电房现场考察，根据实际情况投标（包含所有设备采购、安装、电容柜改造、施工</w:t>
      </w:r>
      <w:r w:rsidR="008758A7" w:rsidRPr="00CE6A6E">
        <w:rPr>
          <w:rFonts w:ascii="仿宋" w:eastAsia="仿宋" w:hAnsi="仿宋" w:hint="eastAsia"/>
          <w:sz w:val="24"/>
          <w:szCs w:val="24"/>
        </w:rPr>
        <w:t>、</w:t>
      </w:r>
      <w:r w:rsidR="00CF0820" w:rsidRPr="00CE6A6E">
        <w:rPr>
          <w:rFonts w:ascii="仿宋" w:eastAsia="仿宋" w:hAnsi="仿宋" w:hint="eastAsia"/>
          <w:sz w:val="24"/>
          <w:szCs w:val="24"/>
        </w:rPr>
        <w:t>拆除、回收、</w:t>
      </w:r>
      <w:r w:rsidR="008758A7" w:rsidRPr="00CE6A6E">
        <w:rPr>
          <w:rFonts w:ascii="仿宋" w:eastAsia="仿宋" w:hAnsi="仿宋" w:hint="eastAsia"/>
          <w:sz w:val="24"/>
          <w:szCs w:val="24"/>
        </w:rPr>
        <w:t>调试、试验</w:t>
      </w:r>
      <w:r w:rsidRPr="00CE6A6E">
        <w:rPr>
          <w:rFonts w:ascii="仿宋" w:eastAsia="仿宋" w:hAnsi="仿宋" w:hint="eastAsia"/>
          <w:sz w:val="24"/>
          <w:szCs w:val="24"/>
        </w:rPr>
        <w:t>等），以及中标单位与供电部门协调一切事宜。</w:t>
      </w:r>
    </w:p>
    <w:p w:rsidR="002F0BF7" w:rsidRPr="00CE6A6E" w:rsidRDefault="003A0E1A" w:rsidP="00CE6A6E">
      <w:pPr>
        <w:adjustRightInd w:val="0"/>
        <w:snapToGrid w:val="0"/>
        <w:spacing w:line="4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CE6A6E">
        <w:rPr>
          <w:rFonts w:ascii="仿宋" w:eastAsia="仿宋" w:hAnsi="仿宋" w:hint="eastAsia"/>
          <w:b/>
          <w:bCs/>
          <w:sz w:val="24"/>
          <w:szCs w:val="24"/>
        </w:rPr>
        <w:t>三</w:t>
      </w:r>
      <w:r w:rsidR="002F0BF7" w:rsidRPr="00CE6A6E">
        <w:rPr>
          <w:rFonts w:ascii="仿宋" w:eastAsia="仿宋" w:hAnsi="仿宋" w:hint="eastAsia"/>
          <w:b/>
          <w:bCs/>
          <w:sz w:val="24"/>
          <w:szCs w:val="24"/>
        </w:rPr>
        <w:t>、</w:t>
      </w:r>
      <w:r w:rsidR="00E25CD5" w:rsidRPr="00CE6A6E">
        <w:rPr>
          <w:rFonts w:ascii="仿宋" w:eastAsia="仿宋" w:hAnsi="仿宋" w:hint="eastAsia"/>
          <w:b/>
          <w:bCs/>
          <w:sz w:val="24"/>
          <w:szCs w:val="24"/>
        </w:rPr>
        <w:t>项目</w:t>
      </w:r>
      <w:r w:rsidR="002F0BF7" w:rsidRPr="00CE6A6E">
        <w:rPr>
          <w:rFonts w:ascii="仿宋" w:eastAsia="仿宋" w:hAnsi="仿宋" w:hint="eastAsia"/>
          <w:b/>
          <w:bCs/>
          <w:sz w:val="24"/>
          <w:szCs w:val="24"/>
        </w:rPr>
        <w:t>资格要求</w:t>
      </w:r>
    </w:p>
    <w:p w:rsidR="001F3071" w:rsidRPr="00CE6A6E" w:rsidRDefault="001F3071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项目名称：</w:t>
      </w:r>
      <w:r w:rsidR="00387F70" w:rsidRPr="00CE6A6E">
        <w:rPr>
          <w:rFonts w:ascii="仿宋" w:eastAsia="仿宋" w:hAnsi="仿宋" w:hint="eastAsia"/>
          <w:sz w:val="24"/>
          <w:szCs w:val="24"/>
        </w:rPr>
        <w:t>扬州大学附属医院</w:t>
      </w:r>
      <w:r w:rsidR="00BC548D" w:rsidRPr="00CE6A6E">
        <w:rPr>
          <w:rFonts w:ascii="仿宋" w:eastAsia="仿宋" w:hAnsi="仿宋"/>
          <w:sz w:val="24"/>
          <w:szCs w:val="24"/>
        </w:rPr>
        <w:t>东西区配电房配电设施维修改造项目</w:t>
      </w:r>
    </w:p>
    <w:p w:rsidR="002F0BF7" w:rsidRPr="00CE6A6E" w:rsidRDefault="00037CEC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1.</w:t>
      </w:r>
      <w:r w:rsidR="002F0BF7" w:rsidRPr="00CE6A6E">
        <w:rPr>
          <w:rFonts w:ascii="仿宋" w:eastAsia="仿宋" w:hAnsi="仿宋" w:hint="eastAsia"/>
          <w:sz w:val="24"/>
          <w:szCs w:val="24"/>
        </w:rPr>
        <w:t>企业资质要求：电力工程施工总承包</w:t>
      </w:r>
      <w:r w:rsidR="00CF729C" w:rsidRPr="00CE6A6E">
        <w:rPr>
          <w:rFonts w:ascii="仿宋" w:eastAsia="仿宋" w:hAnsi="仿宋" w:hint="eastAsia"/>
          <w:sz w:val="24"/>
          <w:szCs w:val="24"/>
        </w:rPr>
        <w:t>贰级</w:t>
      </w:r>
      <w:r w:rsidR="002F0BF7" w:rsidRPr="00CE6A6E">
        <w:rPr>
          <w:rFonts w:ascii="仿宋" w:eastAsia="仿宋" w:hAnsi="仿宋" w:hint="eastAsia"/>
          <w:sz w:val="24"/>
          <w:szCs w:val="24"/>
        </w:rPr>
        <w:t>及以上或输变电工程专业承包</w:t>
      </w:r>
      <w:r w:rsidR="00CF729C" w:rsidRPr="00CE6A6E">
        <w:rPr>
          <w:rFonts w:ascii="仿宋" w:eastAsia="仿宋" w:hAnsi="仿宋" w:hint="eastAsia"/>
          <w:sz w:val="24"/>
          <w:szCs w:val="24"/>
        </w:rPr>
        <w:t>贰</w:t>
      </w:r>
      <w:r w:rsidR="002F0BF7" w:rsidRPr="00CE6A6E">
        <w:rPr>
          <w:rFonts w:ascii="仿宋" w:eastAsia="仿宋" w:hAnsi="仿宋" w:hint="eastAsia"/>
          <w:sz w:val="24"/>
          <w:szCs w:val="24"/>
        </w:rPr>
        <w:t>级及以上资质，同时具有承装（修、试）电力设施许可证</w:t>
      </w:r>
      <w:r w:rsidR="00CF729C" w:rsidRPr="00CE6A6E">
        <w:rPr>
          <w:rFonts w:ascii="仿宋" w:eastAsia="仿宋" w:hAnsi="仿宋" w:hint="eastAsia"/>
          <w:sz w:val="24"/>
          <w:szCs w:val="24"/>
        </w:rPr>
        <w:t>三</w:t>
      </w:r>
      <w:r w:rsidR="002F0BF7" w:rsidRPr="00CE6A6E">
        <w:rPr>
          <w:rFonts w:ascii="仿宋" w:eastAsia="仿宋" w:hAnsi="仿宋" w:hint="eastAsia"/>
          <w:sz w:val="24"/>
          <w:szCs w:val="24"/>
        </w:rPr>
        <w:t>级及以上资质；</w:t>
      </w:r>
    </w:p>
    <w:p w:rsidR="002F0BF7" w:rsidRPr="00CE6A6E" w:rsidRDefault="00037CEC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2.</w:t>
      </w:r>
      <w:r w:rsidR="002F0BF7" w:rsidRPr="00CE6A6E">
        <w:rPr>
          <w:rFonts w:ascii="仿宋" w:eastAsia="仿宋" w:hAnsi="仿宋" w:hint="eastAsia"/>
          <w:sz w:val="24"/>
          <w:szCs w:val="24"/>
        </w:rPr>
        <w:t>项目负责人资质要求：</w:t>
      </w:r>
      <w:r w:rsidR="002F0BF7" w:rsidRPr="00CE6A6E">
        <w:rPr>
          <w:rFonts w:ascii="仿宋" w:eastAsia="仿宋" w:hAnsi="仿宋" w:hint="eastAsia"/>
          <w:sz w:val="24"/>
          <w:szCs w:val="24"/>
          <w:highlight w:val="yellow"/>
        </w:rPr>
        <w:t>机电安装工程二级及以上注册建造师资格</w:t>
      </w:r>
      <w:r w:rsidR="002F0BF7" w:rsidRPr="00CE6A6E">
        <w:rPr>
          <w:rFonts w:ascii="仿宋" w:eastAsia="仿宋" w:hAnsi="仿宋" w:hint="eastAsia"/>
          <w:sz w:val="24"/>
          <w:szCs w:val="24"/>
        </w:rPr>
        <w:t>，具备有效的安全生产考核合格证书（B证）；</w:t>
      </w:r>
    </w:p>
    <w:p w:rsidR="002F0BF7" w:rsidRPr="00CE6A6E" w:rsidRDefault="003A0E1A" w:rsidP="00CE6A6E">
      <w:pPr>
        <w:adjustRightInd w:val="0"/>
        <w:snapToGrid w:val="0"/>
        <w:spacing w:line="4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CE6A6E">
        <w:rPr>
          <w:rFonts w:ascii="仿宋" w:eastAsia="仿宋" w:hAnsi="仿宋" w:hint="eastAsia"/>
          <w:b/>
          <w:bCs/>
          <w:sz w:val="24"/>
          <w:szCs w:val="24"/>
        </w:rPr>
        <w:t>四</w:t>
      </w:r>
      <w:r w:rsidR="002F0BF7" w:rsidRPr="00CE6A6E">
        <w:rPr>
          <w:rFonts w:ascii="仿宋" w:eastAsia="仿宋" w:hAnsi="仿宋" w:hint="eastAsia"/>
          <w:b/>
          <w:bCs/>
          <w:sz w:val="24"/>
          <w:szCs w:val="24"/>
        </w:rPr>
        <w:t>、质量要求</w:t>
      </w:r>
    </w:p>
    <w:p w:rsidR="009C032D" w:rsidRPr="00CE6A6E" w:rsidRDefault="009C032D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产品质量需符合现行国家产品标准的规定，并提供有效的</w:t>
      </w:r>
      <w:r w:rsidR="003F3B26" w:rsidRPr="00CE6A6E">
        <w:rPr>
          <w:rFonts w:ascii="仿宋" w:eastAsia="仿宋" w:hAnsi="仿宋" w:hint="eastAsia"/>
          <w:sz w:val="24"/>
          <w:szCs w:val="24"/>
        </w:rPr>
        <w:t>型式试验报告</w:t>
      </w:r>
      <w:r w:rsidRPr="00CE6A6E">
        <w:rPr>
          <w:rFonts w:ascii="仿宋" w:eastAsia="仿宋" w:hAnsi="仿宋" w:hint="eastAsia"/>
          <w:sz w:val="24"/>
          <w:szCs w:val="24"/>
        </w:rPr>
        <w:t>，其性能符合现行国家规范和本工程配电系统设计技术要求，符合扬州市供电部门的入网要求和规定。</w:t>
      </w:r>
    </w:p>
    <w:p w:rsidR="0041337D" w:rsidRPr="00CE6A6E" w:rsidRDefault="003A0E1A" w:rsidP="00CE6A6E">
      <w:pPr>
        <w:adjustRightInd w:val="0"/>
        <w:snapToGrid w:val="0"/>
        <w:spacing w:line="4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CE6A6E">
        <w:rPr>
          <w:rFonts w:ascii="仿宋" w:eastAsia="仿宋" w:hAnsi="仿宋" w:hint="eastAsia"/>
          <w:b/>
          <w:bCs/>
          <w:sz w:val="24"/>
          <w:szCs w:val="24"/>
        </w:rPr>
        <w:t>五</w:t>
      </w:r>
      <w:r w:rsidR="0041337D" w:rsidRPr="00CE6A6E">
        <w:rPr>
          <w:rFonts w:ascii="仿宋" w:eastAsia="仿宋" w:hAnsi="仿宋" w:hint="eastAsia"/>
          <w:b/>
          <w:bCs/>
          <w:sz w:val="24"/>
          <w:szCs w:val="24"/>
        </w:rPr>
        <w:t>、质保期</w:t>
      </w:r>
    </w:p>
    <w:p w:rsidR="0041337D" w:rsidRPr="00CE6A6E" w:rsidRDefault="0041337D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本项目免费质保</w:t>
      </w:r>
      <w:r w:rsidR="006A63E8" w:rsidRPr="00CE6A6E">
        <w:rPr>
          <w:rFonts w:ascii="仿宋" w:eastAsia="仿宋" w:hAnsi="仿宋" w:hint="eastAsia"/>
          <w:sz w:val="24"/>
          <w:szCs w:val="24"/>
        </w:rPr>
        <w:t>、维保</w:t>
      </w:r>
      <w:r w:rsidRPr="00CE6A6E">
        <w:rPr>
          <w:rFonts w:ascii="仿宋" w:eastAsia="仿宋" w:hAnsi="仿宋" w:hint="eastAsia"/>
          <w:sz w:val="24"/>
          <w:szCs w:val="24"/>
        </w:rPr>
        <w:t>期三年（自工程验收合格送电之日起计）；其中电容质保</w:t>
      </w:r>
      <w:r w:rsidR="00B31E05" w:rsidRPr="00CE6A6E">
        <w:rPr>
          <w:rFonts w:ascii="仿宋" w:eastAsia="仿宋" w:hAnsi="仿宋" w:hint="eastAsia"/>
          <w:sz w:val="24"/>
          <w:szCs w:val="24"/>
        </w:rPr>
        <w:t>、维保</w:t>
      </w:r>
      <w:r w:rsidRPr="00CE6A6E">
        <w:rPr>
          <w:rFonts w:ascii="仿宋" w:eastAsia="仿宋" w:hAnsi="仿宋" w:hint="eastAsia"/>
          <w:sz w:val="24"/>
          <w:szCs w:val="24"/>
        </w:rPr>
        <w:t>期为五年。</w:t>
      </w:r>
      <w:r w:rsidR="006A63E8" w:rsidRPr="00CE6A6E">
        <w:rPr>
          <w:rFonts w:ascii="仿宋" w:eastAsia="仿宋" w:hAnsi="仿宋" w:hint="eastAsia"/>
          <w:sz w:val="24"/>
          <w:szCs w:val="24"/>
        </w:rPr>
        <w:t>（包含维保期内所有</w:t>
      </w:r>
      <w:r w:rsidR="00B31E05" w:rsidRPr="00CE6A6E">
        <w:rPr>
          <w:rFonts w:ascii="仿宋" w:eastAsia="仿宋" w:hAnsi="仿宋" w:hint="eastAsia"/>
          <w:sz w:val="24"/>
          <w:szCs w:val="24"/>
        </w:rPr>
        <w:t>人工费、</w:t>
      </w:r>
      <w:r w:rsidR="006A63E8" w:rsidRPr="00CE6A6E">
        <w:rPr>
          <w:rFonts w:ascii="仿宋" w:eastAsia="仿宋" w:hAnsi="仿宋" w:hint="eastAsia"/>
          <w:sz w:val="24"/>
          <w:szCs w:val="24"/>
        </w:rPr>
        <w:t>检测及</w:t>
      </w:r>
      <w:r w:rsidR="00B31E05" w:rsidRPr="00CE6A6E">
        <w:rPr>
          <w:rFonts w:ascii="仿宋" w:eastAsia="仿宋" w:hAnsi="仿宋" w:hint="eastAsia"/>
          <w:sz w:val="24"/>
          <w:szCs w:val="24"/>
        </w:rPr>
        <w:t>维保材料费）</w:t>
      </w:r>
    </w:p>
    <w:p w:rsidR="00EC4685" w:rsidRPr="00CE6A6E" w:rsidRDefault="003A0E1A" w:rsidP="00CE6A6E">
      <w:pPr>
        <w:adjustRightInd w:val="0"/>
        <w:snapToGrid w:val="0"/>
        <w:spacing w:line="4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CE6A6E">
        <w:rPr>
          <w:rFonts w:ascii="仿宋" w:eastAsia="仿宋" w:hAnsi="仿宋" w:hint="eastAsia"/>
          <w:b/>
          <w:bCs/>
          <w:sz w:val="24"/>
          <w:szCs w:val="24"/>
        </w:rPr>
        <w:t>六</w:t>
      </w:r>
      <w:r w:rsidR="00AD01E6" w:rsidRPr="00CE6A6E">
        <w:rPr>
          <w:rFonts w:ascii="仿宋" w:eastAsia="仿宋" w:hAnsi="仿宋" w:hint="eastAsia"/>
          <w:b/>
          <w:bCs/>
          <w:sz w:val="24"/>
          <w:szCs w:val="24"/>
        </w:rPr>
        <w:t>、</w:t>
      </w:r>
      <w:r w:rsidR="00612334" w:rsidRPr="00CE6A6E">
        <w:rPr>
          <w:rFonts w:ascii="仿宋" w:eastAsia="仿宋" w:hAnsi="仿宋" w:hint="eastAsia"/>
          <w:b/>
          <w:bCs/>
          <w:sz w:val="24"/>
          <w:szCs w:val="24"/>
        </w:rPr>
        <w:t>更换设备及具体需求</w:t>
      </w:r>
    </w:p>
    <w:p w:rsidR="00612334" w:rsidRPr="00CE6A6E" w:rsidRDefault="00612334" w:rsidP="00CE6A6E">
      <w:pPr>
        <w:topLinePunct/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1.</w:t>
      </w:r>
      <w:r w:rsidR="00D75B6A" w:rsidRPr="00CE6A6E">
        <w:rPr>
          <w:rFonts w:ascii="仿宋" w:eastAsia="仿宋" w:hAnsi="仿宋" w:hint="eastAsia"/>
          <w:sz w:val="24"/>
          <w:szCs w:val="24"/>
        </w:rPr>
        <w:t>变压器</w:t>
      </w:r>
      <w:r w:rsidRPr="00CE6A6E">
        <w:rPr>
          <w:rFonts w:ascii="仿宋" w:eastAsia="仿宋" w:hAnsi="仿宋" w:hint="eastAsia"/>
          <w:sz w:val="24"/>
          <w:szCs w:val="24"/>
        </w:rPr>
        <w:t>选用型号：推荐选用SCB</w:t>
      </w:r>
      <w:r w:rsidR="000F4ACC">
        <w:rPr>
          <w:rFonts w:ascii="仿宋" w:eastAsia="仿宋" w:hAnsi="仿宋" w:hint="eastAsia"/>
          <w:sz w:val="24"/>
          <w:szCs w:val="24"/>
        </w:rPr>
        <w:t>14</w:t>
      </w:r>
      <w:r w:rsidRPr="00CE6A6E">
        <w:rPr>
          <w:rFonts w:ascii="仿宋" w:eastAsia="仿宋" w:hAnsi="仿宋" w:hint="eastAsia"/>
          <w:sz w:val="24"/>
          <w:szCs w:val="24"/>
        </w:rPr>
        <w:t>型干式变压器</w:t>
      </w:r>
      <w:r w:rsidR="00035342" w:rsidRPr="00CE6A6E">
        <w:rPr>
          <w:rFonts w:ascii="仿宋" w:eastAsia="仿宋" w:hAnsi="仿宋" w:hint="eastAsia"/>
          <w:sz w:val="24"/>
          <w:szCs w:val="24"/>
        </w:rPr>
        <w:t>及以上型号</w:t>
      </w:r>
      <w:r w:rsidRPr="00CE6A6E">
        <w:rPr>
          <w:rFonts w:ascii="仿宋" w:eastAsia="仿宋" w:hAnsi="仿宋" w:hint="eastAsia"/>
          <w:sz w:val="24"/>
          <w:szCs w:val="24"/>
        </w:rPr>
        <w:t>，规格与医</w:t>
      </w:r>
      <w:r w:rsidRPr="00CE6A6E">
        <w:rPr>
          <w:rFonts w:ascii="仿宋" w:eastAsia="仿宋" w:hAnsi="仿宋" w:hint="eastAsia"/>
          <w:sz w:val="24"/>
          <w:szCs w:val="24"/>
        </w:rPr>
        <w:lastRenderedPageBreak/>
        <w:t>院现有变压器容量一样（2台1250kVA）。该型号采用环氧树脂浇注，具有防火、防潮、维护方便、体积小等特点，特别适合医院等对安全性要求高的场所。</w:t>
      </w:r>
    </w:p>
    <w:p w:rsidR="00EC4685" w:rsidRPr="00CE6A6E" w:rsidRDefault="00612334" w:rsidP="00CE6A6E">
      <w:pPr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节能效比：该型号干式变压器符合国家及当地供电部门能效标准，空载损耗较旧型号降低约20%，负载损耗降低约15%，能有效减少电能浪费。</w:t>
      </w:r>
    </w:p>
    <w:p w:rsidR="00290837" w:rsidRPr="00CE6A6E" w:rsidRDefault="00290837" w:rsidP="00CE6A6E">
      <w:pPr>
        <w:topLinePunct/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其他要求：本次拟采购的变压器产品属于《节能产品政府采购品目清单》中强制采购范围内产品，各投标人应当提供获得国家确定的认证机构出具的、有效期之内的节能产品（能效</w:t>
      </w:r>
      <w:r w:rsidR="00035342" w:rsidRPr="00CE6A6E">
        <w:rPr>
          <w:rFonts w:ascii="仿宋" w:eastAsia="仿宋" w:hAnsi="仿宋" w:hint="eastAsia"/>
          <w:sz w:val="24"/>
          <w:szCs w:val="24"/>
        </w:rPr>
        <w:t>二</w:t>
      </w:r>
      <w:r w:rsidRPr="00CE6A6E">
        <w:rPr>
          <w:rFonts w:ascii="仿宋" w:eastAsia="仿宋" w:hAnsi="仿宋" w:hint="eastAsia"/>
          <w:sz w:val="24"/>
          <w:szCs w:val="24"/>
        </w:rPr>
        <w:t>级</w:t>
      </w:r>
      <w:r w:rsidR="00035342" w:rsidRPr="00CE6A6E">
        <w:rPr>
          <w:rFonts w:ascii="仿宋" w:eastAsia="仿宋" w:hAnsi="仿宋" w:hint="eastAsia"/>
          <w:sz w:val="24"/>
          <w:szCs w:val="24"/>
        </w:rPr>
        <w:t>及以上</w:t>
      </w:r>
      <w:r w:rsidRPr="00CE6A6E">
        <w:rPr>
          <w:rFonts w:ascii="仿宋" w:eastAsia="仿宋" w:hAnsi="仿宋" w:hint="eastAsia"/>
          <w:sz w:val="24"/>
          <w:szCs w:val="24"/>
        </w:rPr>
        <w:t>）认证证书的产品，上述品目清单可通过“中国政府采购网”（http://www.ccgp.gov.cn/zcfg/mof/201904/t20190403_11849836.htm）查询，并在投标文件内提供由国家确定的认证机构出具的、处于有效期之内的节能产品认证证书原件，扫描上传，否则视为无效投标。</w:t>
      </w:r>
    </w:p>
    <w:p w:rsidR="00E62A44" w:rsidRPr="00CE6A6E" w:rsidRDefault="00E62A44" w:rsidP="00CE6A6E">
      <w:pPr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2.电容采用分体式无功补偿装置，补偿容量根据医院无功负荷计算确定，具备自动投切、过压保护、谐波抑制等功能。</w:t>
      </w:r>
    </w:p>
    <w:p w:rsidR="00E62A44" w:rsidRPr="00CE6A6E" w:rsidRDefault="00E62A44" w:rsidP="00CE6A6E">
      <w:pPr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节能效比：可将功率因数提升至0.95以上，根据医院用电负荷，年节约电费约3%-5%，同时减少线路损耗，提高供电质量。</w:t>
      </w:r>
    </w:p>
    <w:p w:rsidR="00E62A44" w:rsidRPr="00CE6A6E" w:rsidRDefault="00E62A44" w:rsidP="00CE6A6E">
      <w:pPr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3.选用密集型绝缘母线槽（</w:t>
      </w:r>
      <w:r w:rsidR="00035342" w:rsidRPr="00CE6A6E">
        <w:rPr>
          <w:rFonts w:ascii="仿宋" w:eastAsia="仿宋" w:hAnsi="仿宋" w:hint="eastAsia"/>
          <w:sz w:val="24"/>
          <w:szCs w:val="24"/>
        </w:rPr>
        <w:t>CCX</w:t>
      </w:r>
      <w:r w:rsidRPr="00CE6A6E">
        <w:rPr>
          <w:rFonts w:ascii="仿宋" w:eastAsia="仿宋" w:hAnsi="仿宋" w:hint="eastAsia"/>
          <w:sz w:val="24"/>
          <w:szCs w:val="24"/>
        </w:rPr>
        <w:t>型），导体材质为铜质，</w:t>
      </w:r>
      <w:r w:rsidR="00153289" w:rsidRPr="00CE6A6E">
        <w:rPr>
          <w:rFonts w:ascii="仿宋" w:eastAsia="仿宋" w:hAnsi="仿宋" w:hint="eastAsia"/>
          <w:sz w:val="24"/>
          <w:szCs w:val="24"/>
        </w:rPr>
        <w:t>防护等级、</w:t>
      </w:r>
      <w:r w:rsidRPr="00CE6A6E">
        <w:rPr>
          <w:rFonts w:ascii="仿宋" w:eastAsia="仿宋" w:hAnsi="仿宋" w:hint="eastAsia"/>
          <w:sz w:val="24"/>
          <w:szCs w:val="24"/>
        </w:rPr>
        <w:t>额定电流与现有配电系统设计一致，具备良好的散热性和机械强度。</w:t>
      </w:r>
    </w:p>
    <w:p w:rsidR="00E62A44" w:rsidRPr="00CE6A6E" w:rsidRDefault="00E62A44" w:rsidP="00CE6A6E">
      <w:pPr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节能效比：采用高导电率铜材及优化的结构设计，电阻损耗小，与旧型号相比，输电效率提升5%-8%。</w:t>
      </w:r>
    </w:p>
    <w:p w:rsidR="00802541" w:rsidRPr="00CE6A6E" w:rsidRDefault="00802541" w:rsidP="00CE6A6E">
      <w:pPr>
        <w:topLinePunct/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4.</w:t>
      </w:r>
      <w:r w:rsidR="00D75B6A" w:rsidRPr="00CE6A6E">
        <w:rPr>
          <w:rFonts w:ascii="仿宋" w:eastAsia="仿宋" w:hAnsi="仿宋" w:hint="eastAsia"/>
          <w:sz w:val="24"/>
          <w:szCs w:val="24"/>
        </w:rPr>
        <w:t>低压柜进线开关：</w:t>
      </w:r>
      <w:r w:rsidRPr="00CE6A6E">
        <w:rPr>
          <w:rFonts w:ascii="仿宋" w:eastAsia="仿宋" w:hAnsi="仿宋" w:hint="eastAsia"/>
          <w:sz w:val="24"/>
          <w:szCs w:val="24"/>
        </w:rPr>
        <w:t>选用框架式断路器MasterpactMT25H1  MasterpactMT20H1，额定电流2500A与2000A，分断能力≥50kA，具备智能脱扣器，可实现远程监控与保护。</w:t>
      </w:r>
    </w:p>
    <w:p w:rsidR="00802541" w:rsidRPr="00CE6A6E" w:rsidRDefault="00802541" w:rsidP="00CE6A6E">
      <w:pPr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节能效比：采用低功耗线圈设计，自身功耗较旧型号降低约30%，同时精准的保护功能可减少因故障导致的停电损失。</w:t>
      </w:r>
    </w:p>
    <w:p w:rsidR="0066530C" w:rsidRPr="00CE6A6E" w:rsidRDefault="00D75B6A" w:rsidP="00CE6A6E">
      <w:pPr>
        <w:adjustRightInd w:val="0"/>
        <w:snapToGrid w:val="0"/>
        <w:spacing w:line="44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t>5.高压真空断路器选用型号：原型号是西门子3AH2，建议更换断路器时保留原接线，让更换后的断路器具备与现运行的断路器可相互互换。</w:t>
      </w:r>
    </w:p>
    <w:p w:rsidR="00BC548D" w:rsidRPr="00CE6A6E" w:rsidRDefault="00BC548D" w:rsidP="00CE6A6E">
      <w:pPr>
        <w:adjustRightInd w:val="0"/>
        <w:snapToGrid w:val="0"/>
        <w:spacing w:line="440" w:lineRule="exact"/>
        <w:jc w:val="left"/>
        <w:rPr>
          <w:rFonts w:ascii="仿宋" w:eastAsia="仿宋" w:hAnsi="仿宋"/>
          <w:b/>
          <w:bCs/>
          <w:sz w:val="24"/>
          <w:szCs w:val="24"/>
        </w:rPr>
      </w:pPr>
    </w:p>
    <w:p w:rsidR="00BC548D" w:rsidRPr="00CE6A6E" w:rsidRDefault="00BC548D" w:rsidP="00CE6A6E">
      <w:pPr>
        <w:adjustRightInd w:val="0"/>
        <w:snapToGrid w:val="0"/>
        <w:spacing w:line="440" w:lineRule="exact"/>
        <w:jc w:val="left"/>
        <w:rPr>
          <w:rFonts w:ascii="仿宋" w:eastAsia="仿宋" w:hAnsi="仿宋"/>
          <w:b/>
          <w:bCs/>
          <w:sz w:val="24"/>
          <w:szCs w:val="24"/>
        </w:rPr>
      </w:pPr>
    </w:p>
    <w:p w:rsidR="00BC548D" w:rsidRDefault="00BC548D" w:rsidP="00CE6A6E">
      <w:pPr>
        <w:adjustRightInd w:val="0"/>
        <w:snapToGrid w:val="0"/>
        <w:spacing w:line="440" w:lineRule="exact"/>
        <w:jc w:val="left"/>
        <w:rPr>
          <w:rFonts w:ascii="仿宋" w:eastAsia="仿宋" w:hAnsi="仿宋"/>
          <w:b/>
          <w:bCs/>
          <w:sz w:val="24"/>
          <w:szCs w:val="24"/>
        </w:rPr>
      </w:pPr>
    </w:p>
    <w:p w:rsidR="00CE6A6E" w:rsidRPr="00CE6A6E" w:rsidRDefault="00CE6A6E" w:rsidP="00CE6A6E">
      <w:pPr>
        <w:adjustRightInd w:val="0"/>
        <w:snapToGrid w:val="0"/>
        <w:spacing w:line="440" w:lineRule="exact"/>
        <w:jc w:val="left"/>
        <w:rPr>
          <w:rFonts w:ascii="仿宋" w:eastAsia="仿宋" w:hAnsi="仿宋"/>
          <w:b/>
          <w:bCs/>
          <w:sz w:val="24"/>
          <w:szCs w:val="24"/>
        </w:rPr>
      </w:pPr>
    </w:p>
    <w:p w:rsidR="00BC548D" w:rsidRPr="00CE6A6E" w:rsidRDefault="00BC548D" w:rsidP="00CE6A6E">
      <w:pPr>
        <w:adjustRightInd w:val="0"/>
        <w:snapToGrid w:val="0"/>
        <w:spacing w:line="440" w:lineRule="exact"/>
        <w:jc w:val="left"/>
        <w:rPr>
          <w:rFonts w:ascii="仿宋" w:eastAsia="仿宋" w:hAnsi="仿宋"/>
          <w:b/>
          <w:bCs/>
          <w:sz w:val="24"/>
          <w:szCs w:val="24"/>
        </w:rPr>
      </w:pPr>
    </w:p>
    <w:p w:rsidR="00646DED" w:rsidRPr="00CE6A6E" w:rsidRDefault="003A0E1A" w:rsidP="00CE6A6E">
      <w:pPr>
        <w:adjustRightInd w:val="0"/>
        <w:snapToGrid w:val="0"/>
        <w:spacing w:line="440" w:lineRule="exact"/>
        <w:jc w:val="left"/>
        <w:rPr>
          <w:rFonts w:ascii="仿宋" w:eastAsia="仿宋" w:hAnsi="仿宋"/>
          <w:b/>
          <w:bCs/>
          <w:sz w:val="24"/>
          <w:szCs w:val="24"/>
        </w:rPr>
      </w:pPr>
      <w:r w:rsidRPr="00CE6A6E">
        <w:rPr>
          <w:rFonts w:ascii="仿宋" w:eastAsia="仿宋" w:hAnsi="仿宋" w:hint="eastAsia"/>
          <w:b/>
          <w:bCs/>
          <w:sz w:val="24"/>
          <w:szCs w:val="24"/>
        </w:rPr>
        <w:lastRenderedPageBreak/>
        <w:t>七</w:t>
      </w:r>
      <w:r w:rsidR="00AD01E6" w:rsidRPr="00CE6A6E">
        <w:rPr>
          <w:rFonts w:ascii="仿宋" w:eastAsia="仿宋" w:hAnsi="仿宋" w:hint="eastAsia"/>
          <w:b/>
          <w:bCs/>
          <w:sz w:val="24"/>
          <w:szCs w:val="24"/>
        </w:rPr>
        <w:t>、</w:t>
      </w:r>
      <w:bookmarkStart w:id="0" w:name="_Hlk208998929"/>
      <w:r w:rsidR="00AD01E6" w:rsidRPr="00CE6A6E">
        <w:rPr>
          <w:rFonts w:ascii="仿宋" w:eastAsia="仿宋" w:hAnsi="仿宋" w:hint="eastAsia"/>
          <w:b/>
          <w:bCs/>
          <w:sz w:val="24"/>
          <w:szCs w:val="24"/>
        </w:rPr>
        <w:t>设备具体技术要求</w:t>
      </w:r>
      <w:bookmarkEnd w:id="0"/>
    </w:p>
    <w:tbl>
      <w:tblPr>
        <w:tblW w:w="6155" w:type="pct"/>
        <w:tblInd w:w="-885" w:type="dxa"/>
        <w:tblLayout w:type="fixed"/>
        <w:tblLook w:val="04A0"/>
      </w:tblPr>
      <w:tblGrid>
        <w:gridCol w:w="535"/>
        <w:gridCol w:w="1009"/>
        <w:gridCol w:w="726"/>
        <w:gridCol w:w="424"/>
        <w:gridCol w:w="2551"/>
        <w:gridCol w:w="709"/>
        <w:gridCol w:w="850"/>
        <w:gridCol w:w="2411"/>
        <w:gridCol w:w="1276"/>
      </w:tblGrid>
      <w:tr w:rsidR="00646DED" w:rsidRPr="00CE6A6E" w:rsidTr="00646DED">
        <w:trPr>
          <w:trHeight w:val="3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工程量清单</w:t>
            </w:r>
          </w:p>
        </w:tc>
      </w:tr>
      <w:tr w:rsidR="00646DED" w:rsidRPr="00CE6A6E" w:rsidTr="00CF729C">
        <w:trPr>
          <w:trHeight w:val="1179"/>
        </w:trPr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现场图片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F729C" w:rsidRPr="00CE6A6E" w:rsidTr="00CF729C">
        <w:trPr>
          <w:trHeight w:val="260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  <w:r w:rsidRPr="00CE6A6E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CE6A6E" w:rsidRDefault="00646DED" w:rsidP="000F4ACC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SCB</w:t>
            </w:r>
            <w:r w:rsidR="000F4A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-1250 10/0.4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topLinePunct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干式变压器，连接组别：DYn11，阻抗=6%，全套温控器风机，铝合金IP20外壳，尺寸与现场一致，符合国家及当地供电部门</w:t>
            </w:r>
            <w:r w:rsidRPr="00CE6A6E">
              <w:rPr>
                <w:rFonts w:ascii="仿宋" w:eastAsia="仿宋" w:hAnsi="仿宋" w:cs="宋体" w:hint="eastAsia"/>
                <w:sz w:val="24"/>
                <w:szCs w:val="24"/>
              </w:rPr>
              <w:t>要求，</w:t>
            </w:r>
            <w:r w:rsidR="00153289" w:rsidRPr="00CE6A6E">
              <w:rPr>
                <w:rFonts w:ascii="仿宋" w:eastAsia="仿宋" w:hAnsi="仿宋" w:cs="宋体" w:hint="eastAsia"/>
                <w:sz w:val="24"/>
                <w:szCs w:val="24"/>
              </w:rPr>
              <w:t>二</w:t>
            </w:r>
            <w:r w:rsidR="00B500AB"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</w:t>
            </w: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能效标准。提供节能认证证书（符合GB 20052-2024标准)。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品牌：顺特电气设备有限公司、南京大全、常州华迪</w:t>
            </w:r>
            <w:r w:rsidR="00BC2C39"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、许继。</w:t>
            </w:r>
          </w:p>
        </w:tc>
      </w:tr>
      <w:tr w:rsidR="00646DED" w:rsidRPr="00CE6A6E" w:rsidTr="00CF729C">
        <w:trPr>
          <w:trHeight w:val="260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  <w:r w:rsidRPr="00CE6A6E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  <w:u w:val="single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框架断路器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MT25H1 2500A 2.0A抽屉式/3P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topLinePunct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分断能力65KA,电流2500A,控制器MIC2.0,基本保护型，标配，3P，尺寸与现场一致。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-62865</wp:posOffset>
                  </wp:positionV>
                  <wp:extent cx="1463040" cy="1170940"/>
                  <wp:effectExtent l="0" t="0" r="0" b="0"/>
                  <wp:wrapNone/>
                  <wp:docPr id="1" name="图片 3" descr="16b3a799e5fcde8bf1c7a54e1cb9d6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16b3a799e5fcde8bf1c7a54e1cb9d6b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17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品牌：施耐德</w:t>
            </w:r>
          </w:p>
        </w:tc>
      </w:tr>
      <w:tr w:rsidR="00CF729C" w:rsidRPr="00CE6A6E" w:rsidTr="00CF729C">
        <w:trPr>
          <w:trHeight w:val="260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  <w:r w:rsidRPr="00CE6A6E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  <w:u w:val="single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框架断路器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MT25H1 2000A 2.0A抽屉式/3P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分断能力65KA,电流2000A,控制器MIC2.0,基本保护型，标配，3P，尺寸与现场一致。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60"/>
            </w:tblGrid>
            <w:tr w:rsidR="00646DED" w:rsidRPr="00CE6A6E" w:rsidTr="00646DED">
              <w:trPr>
                <w:trHeight w:val="2601"/>
                <w:tblCellSpacing w:w="0" w:type="dxa"/>
              </w:trPr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46DED" w:rsidRPr="00CE6A6E" w:rsidRDefault="00646DED" w:rsidP="00CE6A6E">
                  <w:pPr>
                    <w:widowControl/>
                    <w:adjustRightInd w:val="0"/>
                    <w:snapToGrid w:val="0"/>
                    <w:spacing w:line="440" w:lineRule="exact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CE6A6E">
                    <w:rPr>
                      <w:rFonts w:ascii="仿宋" w:eastAsia="仿宋" w:hAnsi="仿宋" w:cs="宋体" w:hint="eastAsia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-13335</wp:posOffset>
                        </wp:positionH>
                        <wp:positionV relativeFrom="paragraph">
                          <wp:posOffset>-385445</wp:posOffset>
                        </wp:positionV>
                        <wp:extent cx="1394460" cy="1079500"/>
                        <wp:effectExtent l="0" t="0" r="0" b="0"/>
                        <wp:wrapNone/>
                        <wp:docPr id="2" name="图片 2" descr="f41f7b5e153131e4f077a4260f87010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4" descr="f41f7b5e153131e4f077a4260f870109">
                                  <a:extLst>
                                    <a:ext uri="{FF2B5EF4-FFF2-40B4-BE49-F238E27FC236}">
      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5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4460" cy="1079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E6A6E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品牌：施耐德</w:t>
            </w:r>
          </w:p>
        </w:tc>
      </w:tr>
      <w:tr w:rsidR="00CF729C" w:rsidRPr="00CE6A6E" w:rsidTr="00CF729C">
        <w:trPr>
          <w:trHeight w:val="260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  <w:r w:rsidRPr="00CE6A6E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  <w:u w:val="single"/>
              </w:rPr>
              <w:lastRenderedPageBreak/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真空断路器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10KV/630-25KA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60"/>
            </w:tblGrid>
            <w:tr w:rsidR="00646DED" w:rsidRPr="00CE6A6E" w:rsidTr="00646DED">
              <w:trPr>
                <w:trHeight w:val="2601"/>
                <w:tblCellSpacing w:w="0" w:type="dxa"/>
              </w:trPr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46DED" w:rsidRPr="00CE6A6E" w:rsidRDefault="00646DED" w:rsidP="00CE6A6E">
                  <w:pPr>
                    <w:widowControl/>
                    <w:adjustRightInd w:val="0"/>
                    <w:snapToGrid w:val="0"/>
                    <w:spacing w:line="440" w:lineRule="exact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CE6A6E">
                    <w:rPr>
                      <w:rFonts w:ascii="仿宋" w:eastAsia="仿宋" w:hAnsi="仿宋" w:cs="宋体" w:hint="eastAsia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anchor distT="0" distB="0" distL="114300" distR="114300" simplePos="0" relativeHeight="251702272" behindDoc="0" locked="0" layoutInCell="1" allowOverlap="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-184785</wp:posOffset>
                        </wp:positionV>
                        <wp:extent cx="1371600" cy="1353820"/>
                        <wp:effectExtent l="0" t="0" r="0" b="0"/>
                        <wp:wrapNone/>
                        <wp:docPr id="3" name="图片 1" descr="007db6edec2df06d9927dc7624ff2fc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007db6edec2df06d9927dc7624ff2fc4">
                                  <a:extLst>
                                    <a:ext uri="{FF2B5EF4-FFF2-40B4-BE49-F238E27FC236}">
      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6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1353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E6A6E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品牌：西门子</w:t>
            </w:r>
          </w:p>
        </w:tc>
      </w:tr>
      <w:tr w:rsidR="00CF729C" w:rsidRPr="00CE6A6E" w:rsidTr="00CF729C">
        <w:trPr>
          <w:trHeight w:val="110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  <w:r w:rsidRPr="00CE6A6E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  <w:u w:val="single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母线槽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2500A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实际数量以现场测量为准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B71FC0" w:rsidRPr="00CE6A6E">
              <w:rPr>
                <w:rFonts w:ascii="仿宋" w:eastAsia="仿宋" w:hAnsi="仿宋" w:cs="宋体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1223562" cy="1167874"/>
                  <wp:effectExtent l="19050" t="0" r="0" b="0"/>
                  <wp:docPr id="4" name="图片 2" descr="f75b1252f24b675ac83991537a4127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75b1252f24b675ac83991537a4127d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60" cy="117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5F40A2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5F40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施耐德</w:t>
            </w:r>
          </w:p>
        </w:tc>
      </w:tr>
      <w:tr w:rsidR="00EF21FA" w:rsidRPr="00CE6A6E" w:rsidTr="0066530C">
        <w:trPr>
          <w:trHeight w:val="871"/>
        </w:trPr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  <w:r w:rsidRPr="00CE6A6E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  <w:u w:val="single"/>
              </w:rPr>
              <w:t>6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电容柜改造东区</w:t>
            </w: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（整柜更换方案）</w:t>
            </w:r>
          </w:p>
        </w:tc>
        <w:tc>
          <w:tcPr>
            <w:tcW w:w="250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电容柜相关要求见附件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壳体尺寸：宽1000*深1000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电容品牌系列：           </w:t>
            </w:r>
            <w:r w:rsidRPr="00CE6A6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①</w:t>
            </w: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、莱提：电容器LCP，电抗器LDR，控制器LPF                             </w:t>
            </w:r>
            <w:r w:rsidRPr="00CE6A6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②</w:t>
            </w: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艾格曼:电容AMC，电抗器AMR，控制器APP                                                     </w:t>
            </w:r>
            <w:r w:rsidRPr="00CE6A6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③</w:t>
            </w: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、南通现代：电容器TDS-BSMJ,电抗器TDS-CKSG,控制器TDS-1631                  电容投切</w:t>
            </w: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开关品牌：施耐德    </w:t>
            </w:r>
          </w:p>
        </w:tc>
      </w:tr>
      <w:tr w:rsidR="00EF21FA" w:rsidRPr="00CE6A6E" w:rsidTr="00B75631">
        <w:trPr>
          <w:trHeight w:val="542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21FA" w:rsidRPr="00CE6A6E" w:rsidTr="00B75631">
        <w:trPr>
          <w:trHeight w:val="527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21FA" w:rsidRPr="00CE6A6E" w:rsidTr="00B75631">
        <w:trPr>
          <w:trHeight w:val="667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21FA" w:rsidRPr="00CE6A6E" w:rsidTr="0066530C">
        <w:trPr>
          <w:trHeight w:val="836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21FA" w:rsidRPr="00CE6A6E" w:rsidTr="0066530C">
        <w:trPr>
          <w:trHeight w:val="820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电容柜改造西区（整柜更换方案）</w:t>
            </w:r>
          </w:p>
        </w:tc>
        <w:tc>
          <w:tcPr>
            <w:tcW w:w="2507" w:type="pct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电容柜相关要求见附件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21FA" w:rsidRPr="00CE6A6E" w:rsidTr="00DA6DA2">
        <w:trPr>
          <w:trHeight w:val="836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0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21FA" w:rsidRPr="00CE6A6E" w:rsidTr="0066530C">
        <w:trPr>
          <w:trHeight w:val="1118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0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21FA" w:rsidRPr="00CE6A6E" w:rsidTr="0066530C">
        <w:trPr>
          <w:trHeight w:val="978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0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1FA" w:rsidRPr="00CE6A6E" w:rsidRDefault="00EF21FA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FA" w:rsidRPr="00CE6A6E" w:rsidRDefault="00EF21FA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6DED" w:rsidRPr="00CE6A6E" w:rsidTr="006A63E8">
        <w:trPr>
          <w:trHeight w:val="12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施工改造费用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C3C" w:rsidRDefault="00646DED" w:rsidP="00CE6A6E">
            <w:pPr>
              <w:widowControl/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工作内容：</w:t>
            </w:r>
            <w:r w:rsidR="00BF7C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6A63E8" w:rsidRPr="00CE6A6E">
              <w:rPr>
                <w:rFonts w:ascii="仿宋" w:eastAsia="仿宋" w:hAnsi="仿宋" w:hint="eastAsia"/>
                <w:sz w:val="24"/>
                <w:szCs w:val="24"/>
              </w:rPr>
              <w:t>变压器及维护隔断拆除、变压器隔断安装、母线槽拆除及洞口改造、母线槽安装、高低压开关柜的元器件的拆除安装改造及桩头修复、电容补偿柜的元器件拆除及安装改造、更新设备的调试检测、东门诊楼地下室配电房变压器门联锁开关维修改造；</w:t>
            </w: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涉及2台变压器、2台框架断路器、1台真空断路器，2组母线槽、东区西区7组电容柜的改造，拆除旧的设备，安装全新设备，重制一次电缆，二次电线，安装完毕现场调试</w:t>
            </w:r>
            <w:r w:rsidR="00E01620"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、试验</w:t>
            </w: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等费用。</w:t>
            </w:r>
          </w:p>
          <w:p w:rsidR="00BF7C3C" w:rsidRPr="00BF7C3C" w:rsidRDefault="00BF7C3C" w:rsidP="00CE6A6E">
            <w:pPr>
              <w:widowControl/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2.信息化功能：具备母线槽温度监测、电能质量监测、停电报警、数字电表信息平台显示、变压器运行监测、变压器室温湿度监测等</w:t>
            </w:r>
            <w:r w:rsidR="005F40A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，设置信息平台，显示监测的数据，界面模块清晰实用，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topLinePunct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6DED" w:rsidRPr="00CE6A6E" w:rsidTr="00646DE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2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DED" w:rsidRPr="00CE6A6E" w:rsidRDefault="00646DED" w:rsidP="00CE6A6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6A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电容柜改造先按全部更换方案投标报价，最终按实际更换数量结算，（现场部分电容可以利旧）</w:t>
            </w:r>
          </w:p>
        </w:tc>
      </w:tr>
    </w:tbl>
    <w:p w:rsidR="00EC4685" w:rsidRPr="00CE6A6E" w:rsidRDefault="00EC4685" w:rsidP="00CE6A6E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E6A6E">
        <w:rPr>
          <w:rFonts w:ascii="仿宋" w:eastAsia="仿宋" w:hAnsi="仿宋" w:hint="eastAsia"/>
          <w:sz w:val="24"/>
          <w:szCs w:val="24"/>
        </w:rPr>
        <w:lastRenderedPageBreak/>
        <w:t>建议现场查看，自行补充需要补充的工作量，并包含在报价内，验收结算时不增加任何费用</w:t>
      </w:r>
    </w:p>
    <w:p w:rsidR="00EF21FA" w:rsidRPr="00CE6A6E" w:rsidRDefault="00BC548D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Style w:val="ab"/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 w:hint="eastAsia"/>
          <w:color w:val="0F1115"/>
        </w:rPr>
        <w:t>附件：</w:t>
      </w:r>
      <w:r w:rsidR="00EF21FA" w:rsidRPr="00CE6A6E">
        <w:rPr>
          <w:rStyle w:val="ab"/>
          <w:rFonts w:ascii="仿宋" w:eastAsia="仿宋" w:hAnsi="仿宋" w:cs="Segoe UI" w:hint="eastAsia"/>
          <w:color w:val="0F1115"/>
        </w:rPr>
        <w:t>电容柜更新改造要求：</w:t>
      </w:r>
    </w:p>
    <w:p w:rsidR="0066530C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一、</w:t>
      </w:r>
      <w:r w:rsidR="0066530C" w:rsidRPr="00CE6A6E">
        <w:rPr>
          <w:rStyle w:val="ab"/>
          <w:rFonts w:ascii="仿宋" w:eastAsia="仿宋" w:hAnsi="仿宋" w:cs="Segoe UI"/>
          <w:color w:val="0F1115"/>
        </w:rPr>
        <w:t>核心原则</w:t>
      </w:r>
      <w:r w:rsidR="0066530C" w:rsidRPr="00CE6A6E">
        <w:rPr>
          <w:rFonts w:ascii="仿宋" w:eastAsia="仿宋" w:hAnsi="仿宋" w:cs="Segoe UI"/>
          <w:color w:val="0F1115"/>
        </w:rPr>
        <w:t>：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安全第一</w:t>
      </w:r>
      <w:r w:rsidRPr="00CE6A6E">
        <w:rPr>
          <w:rFonts w:ascii="仿宋" w:eastAsia="仿宋" w:hAnsi="仿宋" w:cs="Segoe UI"/>
          <w:color w:val="0F1115"/>
        </w:rPr>
        <w:t>：设计、设备、施工全过程必须符合医疗场所电气安全最高标准，杜绝停电、火灾、电击等风险。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可靠稳定</w:t>
      </w:r>
      <w:r w:rsidRPr="00CE6A6E">
        <w:rPr>
          <w:rFonts w:ascii="仿宋" w:eastAsia="仿宋" w:hAnsi="仿宋" w:cs="Segoe UI"/>
          <w:color w:val="0F1115"/>
        </w:rPr>
        <w:t>：设备需具备极高的运行稳定性和长寿命，确保7x24小时不间断可靠工作，降低维护频率。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高效洁净</w:t>
      </w:r>
      <w:r w:rsidRPr="00CE6A6E">
        <w:rPr>
          <w:rFonts w:ascii="仿宋" w:eastAsia="仿宋" w:hAnsi="仿宋" w:cs="Segoe UI"/>
          <w:color w:val="0F1115"/>
        </w:rPr>
        <w:t>：补偿后功率因数长期稳定在</w:t>
      </w:r>
      <w:r w:rsidRPr="00CE6A6E">
        <w:rPr>
          <w:rStyle w:val="ab"/>
          <w:rFonts w:ascii="仿宋" w:eastAsia="仿宋" w:hAnsi="仿宋" w:cs="Segoe UI"/>
          <w:color w:val="0F1115"/>
        </w:rPr>
        <w:t>0.95以上</w:t>
      </w:r>
      <w:r w:rsidRPr="00CE6A6E">
        <w:rPr>
          <w:rFonts w:ascii="仿宋" w:eastAsia="仿宋" w:hAnsi="仿宋" w:cs="Segoe UI"/>
          <w:color w:val="0F1115"/>
        </w:rPr>
        <w:t>，同时有效治理谐波，确保电网“洁净”，保护敏感医疗设备。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智能监控</w:t>
      </w:r>
      <w:r w:rsidRPr="00CE6A6E">
        <w:rPr>
          <w:rFonts w:ascii="仿宋" w:eastAsia="仿宋" w:hAnsi="仿宋" w:cs="Segoe UI"/>
          <w:color w:val="0F1115"/>
        </w:rPr>
        <w:t>：具备全面的数字化监测、保护、通讯和自诊断功能，支持远程智能化管理。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遵循标准</w:t>
      </w:r>
      <w:r w:rsidRPr="00CE6A6E">
        <w:rPr>
          <w:rFonts w:ascii="仿宋" w:eastAsia="仿宋" w:hAnsi="仿宋" w:cs="Segoe UI"/>
          <w:color w:val="0F1115"/>
        </w:rPr>
        <w:t>：所有设计、制造、安装、验收必须符合（不仅限于）以下最新标准：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国家标准</w:t>
      </w:r>
      <w:r w:rsidRPr="00CE6A6E">
        <w:rPr>
          <w:rFonts w:ascii="仿宋" w:eastAsia="仿宋" w:hAnsi="仿宋" w:cs="Segoe UI"/>
          <w:color w:val="0F1115"/>
        </w:rPr>
        <w:t>：GB/T 15576, GB/T 7251.1/8, GB/T 14549, GB 50054, GB 50052等。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医疗建筑专项标准</w:t>
      </w:r>
      <w:r w:rsidRPr="00CE6A6E">
        <w:rPr>
          <w:rFonts w:ascii="仿宋" w:eastAsia="仿宋" w:hAnsi="仿宋" w:cs="Segoe UI"/>
          <w:color w:val="0F1115"/>
        </w:rPr>
        <w:t>：GB 51039《综合医院建筑设计规范》中电气相关条款。</w:t>
      </w:r>
    </w:p>
    <w:p w:rsidR="00EF21FA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安全与电磁兼容</w:t>
      </w:r>
      <w:r w:rsidRPr="00CE6A6E">
        <w:rPr>
          <w:rFonts w:ascii="仿宋" w:eastAsia="仿宋" w:hAnsi="仿宋" w:cs="Segoe UI"/>
          <w:color w:val="0F1115"/>
        </w:rPr>
        <w:t>：产品须通过国家强制性产品认证（</w:t>
      </w:r>
      <w:r w:rsidRPr="00CE6A6E">
        <w:rPr>
          <w:rStyle w:val="ab"/>
          <w:rFonts w:ascii="仿宋" w:eastAsia="仿宋" w:hAnsi="仿宋" w:cs="Segoe UI"/>
          <w:color w:val="0F1115"/>
        </w:rPr>
        <w:t>CCC认证</w:t>
      </w:r>
      <w:r w:rsidRPr="00CE6A6E">
        <w:rPr>
          <w:rFonts w:ascii="仿宋" w:eastAsia="仿宋" w:hAnsi="仿宋" w:cs="Segoe UI"/>
          <w:color w:val="0F1115"/>
        </w:rPr>
        <w:t>），并具有良好的电磁兼容性（EMC），避免对医疗设备产生干扰。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Style w:val="ab"/>
          <w:rFonts w:ascii="仿宋" w:eastAsia="仿宋" w:hAnsi="仿宋" w:cs="Segoe UI"/>
          <w:bCs w:val="0"/>
          <w:color w:val="0F1115"/>
        </w:rPr>
      </w:pPr>
      <w:r w:rsidRPr="00CE6A6E">
        <w:rPr>
          <w:rStyle w:val="ab"/>
          <w:rFonts w:ascii="仿宋" w:eastAsia="仿宋" w:hAnsi="仿宋" w:cs="Segoe UI"/>
          <w:bCs w:val="0"/>
          <w:color w:val="0F1115"/>
        </w:rPr>
        <w:t>二</w:t>
      </w:r>
      <w:r w:rsidR="0066530C" w:rsidRPr="00CE6A6E">
        <w:rPr>
          <w:rStyle w:val="ab"/>
          <w:rFonts w:ascii="仿宋" w:eastAsia="仿宋" w:hAnsi="仿宋" w:cs="Segoe UI"/>
          <w:bCs w:val="0"/>
          <w:color w:val="0F1115"/>
        </w:rPr>
        <w:t>、 新电容补偿柜详细技术要求</w:t>
      </w:r>
    </w:p>
    <w:p w:rsidR="00EF21FA" w:rsidRPr="00CE6A6E" w:rsidRDefault="00153289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 w:hint="eastAsia"/>
          <w:color w:val="0F1115"/>
        </w:rPr>
        <w:t>1.</w:t>
      </w:r>
      <w:r w:rsidR="0066530C" w:rsidRPr="00CE6A6E">
        <w:rPr>
          <w:rStyle w:val="ab"/>
          <w:rFonts w:ascii="仿宋" w:eastAsia="仿宋" w:hAnsi="仿宋" w:cs="Segoe UI"/>
          <w:color w:val="0F1115"/>
        </w:rPr>
        <w:t>散热与布线</w:t>
      </w:r>
      <w:r w:rsidR="0066530C" w:rsidRPr="00CE6A6E">
        <w:rPr>
          <w:rFonts w:ascii="仿宋" w:eastAsia="仿宋" w:hAnsi="仿宋" w:cs="Segoe UI"/>
          <w:color w:val="0F1115"/>
        </w:rPr>
        <w:t>：柜顶</w:t>
      </w:r>
      <w:r w:rsidRPr="00CE6A6E">
        <w:rPr>
          <w:rFonts w:ascii="仿宋" w:eastAsia="仿宋" w:hAnsi="仿宋" w:cs="Segoe UI" w:hint="eastAsia"/>
          <w:color w:val="0F1115"/>
        </w:rPr>
        <w:t>改</w:t>
      </w:r>
      <w:r w:rsidR="0066530C" w:rsidRPr="00CE6A6E">
        <w:rPr>
          <w:rFonts w:ascii="仿宋" w:eastAsia="仿宋" w:hAnsi="仿宋" w:cs="Segoe UI"/>
          <w:color w:val="0F1115"/>
        </w:rPr>
        <w:t>装</w:t>
      </w:r>
      <w:r w:rsidRPr="00CE6A6E">
        <w:rPr>
          <w:rFonts w:ascii="仿宋" w:eastAsia="仿宋" w:hAnsi="仿宋" w:cs="Segoe UI" w:hint="eastAsia"/>
          <w:color w:val="0F1115"/>
        </w:rPr>
        <w:t>加</w:t>
      </w:r>
      <w:r w:rsidR="0066530C" w:rsidRPr="00CE6A6E">
        <w:rPr>
          <w:rFonts w:ascii="仿宋" w:eastAsia="仿宋" w:hAnsi="仿宋" w:cs="Segoe UI"/>
          <w:color w:val="0F1115"/>
        </w:rPr>
        <w:t>设强制排风风扇（带过滤网、</w:t>
      </w:r>
      <w:r w:rsidRPr="00CE6A6E">
        <w:rPr>
          <w:rFonts w:ascii="仿宋" w:eastAsia="仿宋" w:hAnsi="仿宋" w:cs="Segoe UI" w:hint="eastAsia"/>
          <w:color w:val="0F1115"/>
        </w:rPr>
        <w:t>静音</w:t>
      </w:r>
      <w:r w:rsidR="0066530C" w:rsidRPr="00CE6A6E">
        <w:rPr>
          <w:rFonts w:ascii="仿宋" w:eastAsia="仿宋" w:hAnsi="仿宋" w:cs="Segoe UI"/>
          <w:color w:val="0F1115"/>
        </w:rPr>
        <w:t>运行），并设温控启停。强弱电走线严格分离，线槽规范，标识清晰、永久。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b w:val="0"/>
          <w:bCs w:val="0"/>
          <w:color w:val="0F1115"/>
        </w:rPr>
        <w:t>2. 核心元器件要求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控制器</w:t>
      </w:r>
      <w:r w:rsidRPr="00CE6A6E">
        <w:rPr>
          <w:rFonts w:ascii="仿宋" w:eastAsia="仿宋" w:hAnsi="仿宋" w:cs="Segoe UI"/>
          <w:color w:val="0F1115"/>
        </w:rPr>
        <w:t>：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Fonts w:ascii="仿宋" w:eastAsia="仿宋" w:hAnsi="仿宋" w:cs="Segoe UI"/>
          <w:color w:val="0F1115"/>
        </w:rPr>
        <w:t>采用医疗行业专用或高端工业级智能控制器，</w:t>
      </w:r>
      <w:r w:rsidRPr="00CE6A6E">
        <w:rPr>
          <w:rStyle w:val="ab"/>
          <w:rFonts w:ascii="仿宋" w:eastAsia="仿宋" w:hAnsi="仿宋" w:cs="Segoe UI"/>
          <w:color w:val="0F1115"/>
        </w:rPr>
        <w:t>大屏幕中文液晶显示</w:t>
      </w:r>
      <w:r w:rsidRPr="00CE6A6E">
        <w:rPr>
          <w:rFonts w:ascii="仿宋" w:eastAsia="仿宋" w:hAnsi="仿宋" w:cs="Segoe UI"/>
          <w:color w:val="0F1115"/>
        </w:rPr>
        <w:t>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Fonts w:ascii="仿宋" w:eastAsia="仿宋" w:hAnsi="仿宋" w:cs="Segoe UI"/>
          <w:color w:val="0F1115"/>
        </w:rPr>
        <w:t>需具备</w:t>
      </w:r>
      <w:r w:rsidRPr="00CE6A6E">
        <w:rPr>
          <w:rFonts w:ascii="Segoe UI" w:eastAsia="仿宋" w:hAnsi="Segoe UI" w:cs="Segoe UI"/>
          <w:color w:val="0F1115"/>
        </w:rPr>
        <w:t> </w:t>
      </w:r>
      <w:r w:rsidRPr="00CE6A6E">
        <w:rPr>
          <w:rStyle w:val="ab"/>
          <w:rFonts w:ascii="仿宋" w:eastAsia="仿宋" w:hAnsi="仿宋" w:cs="Segoe UI"/>
          <w:color w:val="0F1115"/>
        </w:rPr>
        <w:t>“谐波分析”功能</w:t>
      </w:r>
      <w:r w:rsidRPr="00CE6A6E">
        <w:rPr>
          <w:rFonts w:ascii="仿宋" w:eastAsia="仿宋" w:hAnsi="仿宋" w:cs="Segoe UI"/>
          <w:color w:val="0F1115"/>
        </w:rPr>
        <w:t>，能实时监测并显示谐波含有率及总谐波畸变率（THD）。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Fonts w:ascii="仿宋" w:eastAsia="仿宋" w:hAnsi="仿宋" w:cs="Segoe UI"/>
          <w:color w:val="0F1115"/>
        </w:rPr>
        <w:t>控制策略：支持等容、编码、模糊控制等多种投切策略，具备</w:t>
      </w:r>
      <w:r w:rsidRPr="00CE6A6E">
        <w:rPr>
          <w:rFonts w:ascii="Segoe UI" w:eastAsia="仿宋" w:hAnsi="Segoe UI" w:cs="Segoe UI"/>
          <w:color w:val="0F1115"/>
        </w:rPr>
        <w:t> </w:t>
      </w:r>
      <w:r w:rsidRPr="00CE6A6E">
        <w:rPr>
          <w:rStyle w:val="ab"/>
          <w:rFonts w:ascii="仿宋" w:eastAsia="仿宋" w:hAnsi="仿宋" w:cs="Segoe UI"/>
          <w:color w:val="0F1115"/>
        </w:rPr>
        <w:t>“智能锁定”功能</w:t>
      </w:r>
      <w:r w:rsidRPr="00CE6A6E">
        <w:rPr>
          <w:rFonts w:ascii="仿宋" w:eastAsia="仿宋" w:hAnsi="仿宋" w:cs="Segoe UI"/>
          <w:color w:val="0F1115"/>
        </w:rPr>
        <w:t>，防止频繁投切。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Fonts w:ascii="仿宋" w:eastAsia="仿宋" w:hAnsi="仿宋" w:cs="Segoe UI"/>
          <w:color w:val="0F1115"/>
        </w:rPr>
        <w:t>保护功能：过压、欠压、欠流、过流、谐波超标、温度过高、电容器容量失衡等全功能保护与告警。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通讯接口</w:t>
      </w:r>
      <w:r w:rsidRPr="00CE6A6E">
        <w:rPr>
          <w:rFonts w:ascii="仿宋" w:eastAsia="仿宋" w:hAnsi="仿宋" w:cs="Segoe UI"/>
          <w:color w:val="0F1115"/>
        </w:rPr>
        <w:t>：标配</w:t>
      </w:r>
      <w:r w:rsidRPr="00CE6A6E">
        <w:rPr>
          <w:rStyle w:val="ab"/>
          <w:rFonts w:ascii="仿宋" w:eastAsia="仿宋" w:hAnsi="仿宋" w:cs="Segoe UI"/>
          <w:color w:val="0F1115"/>
        </w:rPr>
        <w:t>RS485</w:t>
      </w:r>
      <w:r w:rsidRPr="00CE6A6E">
        <w:rPr>
          <w:rFonts w:ascii="仿宋" w:eastAsia="仿宋" w:hAnsi="仿宋" w:cs="Segoe UI"/>
          <w:color w:val="0F1115"/>
        </w:rPr>
        <w:t>接口，通讯协议必须支持</w:t>
      </w:r>
      <w:r w:rsidRPr="00CE6A6E">
        <w:rPr>
          <w:rStyle w:val="ab"/>
          <w:rFonts w:ascii="仿宋" w:eastAsia="仿宋" w:hAnsi="仿宋" w:cs="Segoe UI"/>
          <w:color w:val="0F1115"/>
        </w:rPr>
        <w:t>Modbus RTU</w:t>
      </w:r>
      <w:r w:rsidRPr="00CE6A6E">
        <w:rPr>
          <w:rFonts w:ascii="仿宋" w:eastAsia="仿宋" w:hAnsi="仿宋" w:cs="Segoe UI"/>
          <w:color w:val="0F1115"/>
        </w:rPr>
        <w:t>，并开放协议，以便无缝接入医院已有的</w:t>
      </w:r>
      <w:r w:rsidRPr="00CE6A6E">
        <w:rPr>
          <w:rStyle w:val="ab"/>
          <w:rFonts w:ascii="仿宋" w:eastAsia="仿宋" w:hAnsi="仿宋" w:cs="Segoe UI"/>
          <w:color w:val="0F1115"/>
        </w:rPr>
        <w:t>智能电力监控系统或楼宇自控系统（BAS）</w:t>
      </w:r>
      <w:r w:rsidRPr="00CE6A6E">
        <w:rPr>
          <w:rFonts w:ascii="仿宋" w:eastAsia="仿宋" w:hAnsi="仿宋" w:cs="Segoe UI"/>
          <w:color w:val="0F1115"/>
        </w:rPr>
        <w:t>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t>投切开关</w:t>
      </w:r>
      <w:r w:rsidRPr="00CE6A6E">
        <w:rPr>
          <w:rFonts w:ascii="仿宋" w:eastAsia="仿宋" w:hAnsi="仿宋" w:cs="Segoe UI"/>
          <w:color w:val="0F1115"/>
        </w:rPr>
        <w:t>：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color w:val="0F1115"/>
        </w:rPr>
        <w:lastRenderedPageBreak/>
        <w:t>强制要求</w:t>
      </w:r>
      <w:r w:rsidRPr="00CE6A6E">
        <w:rPr>
          <w:rFonts w:ascii="仿宋" w:eastAsia="仿宋" w:hAnsi="仿宋" w:cs="Segoe UI"/>
          <w:color w:val="0F1115"/>
        </w:rPr>
        <w:t>：为彻底消除投切涌流和火花，防止对电网产生冲击干扰，</w:t>
      </w:r>
      <w:r w:rsidR="00561ECA" w:rsidRPr="00CE6A6E">
        <w:rPr>
          <w:rStyle w:val="ab"/>
          <w:rFonts w:ascii="仿宋" w:eastAsia="仿宋" w:hAnsi="仿宋" w:cs="Segoe UI" w:hint="eastAsia"/>
          <w:color w:val="0F1115"/>
        </w:rPr>
        <w:t>建议</w:t>
      </w:r>
      <w:r w:rsidRPr="00CE6A6E">
        <w:rPr>
          <w:rStyle w:val="ab"/>
          <w:rFonts w:ascii="仿宋" w:eastAsia="仿宋" w:hAnsi="仿宋" w:cs="Segoe UI"/>
          <w:color w:val="0F1115"/>
        </w:rPr>
        <w:t>采用“晶闸管（可控硅）无触点开关”</w:t>
      </w:r>
      <w:r w:rsidRPr="00CE6A6E">
        <w:rPr>
          <w:rFonts w:ascii="仿宋" w:eastAsia="仿宋" w:hAnsi="仿宋" w:cs="Segoe UI"/>
          <w:color w:val="0F1115"/>
        </w:rPr>
        <w:t>。</w:t>
      </w:r>
    </w:p>
    <w:p w:rsidR="0066530C" w:rsidRPr="00CE6A6E" w:rsidRDefault="0066530C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Fonts w:ascii="仿宋" w:eastAsia="仿宋" w:hAnsi="仿宋" w:cs="Segoe UI"/>
          <w:color w:val="0F1115"/>
        </w:rPr>
        <w:t>性能要求：过零投切，响应时间≤20ms，无涌流，无电弧，寿命长，免维护。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/>
          <w:bCs w:val="0"/>
          <w:color w:val="0F1115"/>
        </w:rPr>
        <w:t>三、改造工程实施与验收要求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 w:hint="eastAsia"/>
          <w:color w:val="0F1115"/>
        </w:rPr>
        <w:t>（</w:t>
      </w:r>
      <w:r w:rsidR="00BC548D" w:rsidRPr="00CE6A6E">
        <w:rPr>
          <w:rStyle w:val="ab"/>
          <w:rFonts w:ascii="仿宋" w:eastAsia="仿宋" w:hAnsi="仿宋" w:cs="Segoe UI" w:hint="eastAsia"/>
          <w:color w:val="0F1115"/>
        </w:rPr>
        <w:t>一</w:t>
      </w:r>
      <w:r w:rsidRPr="00CE6A6E">
        <w:rPr>
          <w:rStyle w:val="ab"/>
          <w:rFonts w:ascii="仿宋" w:eastAsia="仿宋" w:hAnsi="仿宋" w:cs="Segoe UI" w:hint="eastAsia"/>
          <w:color w:val="0F1115"/>
        </w:rPr>
        <w:t>）</w:t>
      </w:r>
      <w:r w:rsidRPr="00CE6A6E">
        <w:rPr>
          <w:rStyle w:val="ab"/>
          <w:rFonts w:ascii="仿宋" w:eastAsia="仿宋" w:hAnsi="仿宋" w:cs="Segoe UI"/>
          <w:color w:val="0F1115"/>
        </w:rPr>
        <w:t>施工过程</w:t>
      </w:r>
      <w:r w:rsidRPr="00CE6A6E">
        <w:rPr>
          <w:rFonts w:ascii="仿宋" w:eastAsia="仿宋" w:hAnsi="仿宋" w:cs="Segoe UI"/>
          <w:color w:val="0F1115"/>
        </w:rPr>
        <w:t>：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 w:hint="eastAsia"/>
          <w:color w:val="0F1115"/>
        </w:rPr>
        <w:t>1.</w:t>
      </w:r>
      <w:r w:rsidRPr="00CE6A6E">
        <w:rPr>
          <w:rStyle w:val="ab"/>
          <w:rFonts w:ascii="仿宋" w:eastAsia="仿宋" w:hAnsi="仿宋" w:cs="Segoe UI"/>
          <w:color w:val="0F1115"/>
        </w:rPr>
        <w:t>停电作业</w:t>
      </w:r>
      <w:r w:rsidRPr="00CE6A6E">
        <w:rPr>
          <w:rFonts w:ascii="仿宋" w:eastAsia="仿宋" w:hAnsi="仿宋" w:cs="Segoe UI"/>
          <w:color w:val="0F1115"/>
        </w:rPr>
        <w:t>：必须在医院批准的“停电窗口期”（通常为夜间或周末）进行，严格遵守医院停电、送电管理制度。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 w:hint="eastAsia"/>
          <w:color w:val="0F1115"/>
        </w:rPr>
        <w:t>2.</w:t>
      </w:r>
      <w:r w:rsidRPr="00CE6A6E">
        <w:rPr>
          <w:rStyle w:val="ab"/>
          <w:rFonts w:ascii="仿宋" w:eastAsia="仿宋" w:hAnsi="仿宋" w:cs="Segoe UI"/>
          <w:color w:val="0F1115"/>
        </w:rPr>
        <w:t>旧柜拆除</w:t>
      </w:r>
      <w:r w:rsidRPr="00CE6A6E">
        <w:rPr>
          <w:rFonts w:ascii="仿宋" w:eastAsia="仿宋" w:hAnsi="仿宋" w:cs="Segoe UI"/>
          <w:color w:val="0F1115"/>
        </w:rPr>
        <w:t>：安全、规范拆除旧柜及所有接线，做好母线接头绝缘防护，保持施工现场整洁。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 w:hint="eastAsia"/>
          <w:color w:val="0F1115"/>
        </w:rPr>
        <w:t>3.</w:t>
      </w:r>
      <w:r w:rsidRPr="00CE6A6E">
        <w:rPr>
          <w:rStyle w:val="ab"/>
          <w:rFonts w:ascii="仿宋" w:eastAsia="仿宋" w:hAnsi="仿宋" w:cs="Segoe UI"/>
          <w:color w:val="0F1115"/>
        </w:rPr>
        <w:t>新柜安装</w:t>
      </w:r>
      <w:r w:rsidRPr="00CE6A6E">
        <w:rPr>
          <w:rFonts w:ascii="仿宋" w:eastAsia="仿宋" w:hAnsi="仿宋" w:cs="Segoe UI"/>
          <w:color w:val="0F1115"/>
        </w:rPr>
        <w:t>：确保安装牢固、水平，母排连接可靠、接触电阻低，相序正确无误。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 w:hint="eastAsia"/>
          <w:color w:val="0F1115"/>
        </w:rPr>
        <w:t>4.</w:t>
      </w:r>
      <w:r w:rsidRPr="00CE6A6E">
        <w:rPr>
          <w:rStyle w:val="ab"/>
          <w:rFonts w:ascii="仿宋" w:eastAsia="仿宋" w:hAnsi="仿宋" w:cs="Segoe UI"/>
          <w:color w:val="0F1115"/>
        </w:rPr>
        <w:t>噪音控制</w:t>
      </w:r>
      <w:r w:rsidRPr="00CE6A6E">
        <w:rPr>
          <w:rFonts w:ascii="仿宋" w:eastAsia="仿宋" w:hAnsi="仿宋" w:cs="Segoe UI"/>
          <w:color w:val="0F1115"/>
        </w:rPr>
        <w:t>：施工期间需采取有效措施，控制噪音，避免影响医院正常运营和病人休息。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 w:hint="eastAsia"/>
          <w:color w:val="0F1115"/>
        </w:rPr>
        <w:t>(</w:t>
      </w:r>
      <w:r w:rsidR="00BC548D" w:rsidRPr="00CE6A6E">
        <w:rPr>
          <w:rStyle w:val="ab"/>
          <w:rFonts w:ascii="仿宋" w:eastAsia="仿宋" w:hAnsi="仿宋" w:cs="Segoe UI" w:hint="eastAsia"/>
          <w:color w:val="0F1115"/>
        </w:rPr>
        <w:t>二</w:t>
      </w:r>
      <w:r w:rsidRPr="00CE6A6E">
        <w:rPr>
          <w:rStyle w:val="ab"/>
          <w:rFonts w:ascii="仿宋" w:eastAsia="仿宋" w:hAnsi="仿宋" w:cs="Segoe UI" w:hint="eastAsia"/>
          <w:color w:val="0F1115"/>
        </w:rPr>
        <w:t>)</w:t>
      </w:r>
      <w:r w:rsidRPr="00CE6A6E">
        <w:rPr>
          <w:rStyle w:val="ab"/>
          <w:rFonts w:ascii="仿宋" w:eastAsia="仿宋" w:hAnsi="仿宋" w:cs="Segoe UI"/>
          <w:color w:val="0F1115"/>
        </w:rPr>
        <w:t>调试与试运行</w:t>
      </w:r>
      <w:r w:rsidRPr="00CE6A6E">
        <w:rPr>
          <w:rFonts w:ascii="仿宋" w:eastAsia="仿宋" w:hAnsi="仿宋" w:cs="Segoe UI"/>
          <w:color w:val="0F1115"/>
        </w:rPr>
        <w:t>：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Fonts w:ascii="仿宋" w:eastAsia="仿宋" w:hAnsi="仿宋" w:cs="Segoe UI" w:hint="eastAsia"/>
          <w:color w:val="0F1115"/>
        </w:rPr>
        <w:t>1.</w:t>
      </w:r>
      <w:r w:rsidRPr="00CE6A6E">
        <w:rPr>
          <w:rFonts w:ascii="仿宋" w:eastAsia="仿宋" w:hAnsi="仿宋" w:cs="Segoe UI"/>
          <w:color w:val="0F1115"/>
        </w:rPr>
        <w:t>完成所有电气试验（绝缘、耐压等）。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Fonts w:ascii="仿宋" w:eastAsia="仿宋" w:hAnsi="仿宋" w:cs="Segoe UI" w:hint="eastAsia"/>
          <w:color w:val="0F1115"/>
        </w:rPr>
        <w:t>2.</w:t>
      </w:r>
      <w:r w:rsidRPr="00CE6A6E">
        <w:rPr>
          <w:rFonts w:ascii="仿宋" w:eastAsia="仿宋" w:hAnsi="仿宋" w:cs="Segoe UI"/>
          <w:color w:val="0F1115"/>
        </w:rPr>
        <w:t>进行控制器参数设定、模拟投切和联动测试。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Fonts w:ascii="仿宋" w:eastAsia="仿宋" w:hAnsi="仿宋" w:cs="Segoe UI" w:hint="eastAsia"/>
          <w:color w:val="0F1115"/>
        </w:rPr>
        <w:t>3.</w:t>
      </w:r>
      <w:r w:rsidRPr="00CE6A6E">
        <w:rPr>
          <w:rFonts w:ascii="仿宋" w:eastAsia="仿宋" w:hAnsi="仿宋" w:cs="Segoe UI"/>
          <w:color w:val="0F1115"/>
        </w:rPr>
        <w:t>带载试运行</w:t>
      </w:r>
      <w:r w:rsidRPr="00CE6A6E">
        <w:rPr>
          <w:rStyle w:val="ab"/>
          <w:rFonts w:ascii="仿宋" w:eastAsia="仿宋" w:hAnsi="仿宋" w:cs="Segoe UI"/>
          <w:color w:val="0F1115"/>
        </w:rPr>
        <w:t>不少于168小时（7天）</w:t>
      </w:r>
      <w:r w:rsidRPr="00CE6A6E">
        <w:rPr>
          <w:rFonts w:ascii="仿宋" w:eastAsia="仿宋" w:hAnsi="仿宋" w:cs="Segoe UI"/>
          <w:color w:val="0F1115"/>
        </w:rPr>
        <w:t>，期间监测并记录运行数据，确保功能、性能、稳定性全部达标。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Style w:val="ab"/>
          <w:rFonts w:ascii="仿宋" w:eastAsia="仿宋" w:hAnsi="仿宋" w:cs="Segoe UI" w:hint="eastAsia"/>
          <w:color w:val="0F1115"/>
        </w:rPr>
        <w:t>（三）</w:t>
      </w:r>
      <w:r w:rsidRPr="00CE6A6E">
        <w:rPr>
          <w:rStyle w:val="ab"/>
          <w:rFonts w:ascii="仿宋" w:eastAsia="仿宋" w:hAnsi="仿宋" w:cs="Segoe UI"/>
          <w:color w:val="0F1115"/>
        </w:rPr>
        <w:t>培训与交付</w:t>
      </w:r>
      <w:r w:rsidRPr="00CE6A6E">
        <w:rPr>
          <w:rFonts w:ascii="仿宋" w:eastAsia="仿宋" w:hAnsi="仿宋" w:cs="Segoe UI"/>
          <w:color w:val="0F1115"/>
        </w:rPr>
        <w:t>：</w:t>
      </w:r>
    </w:p>
    <w:p w:rsidR="00EF21FA" w:rsidRPr="00CE6A6E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</w:rPr>
      </w:pPr>
      <w:r w:rsidRPr="00CE6A6E">
        <w:rPr>
          <w:rFonts w:ascii="仿宋" w:eastAsia="仿宋" w:hAnsi="仿宋" w:cs="Segoe UI" w:hint="eastAsia"/>
          <w:color w:val="0F1115"/>
        </w:rPr>
        <w:t>1.</w:t>
      </w:r>
      <w:r w:rsidRPr="00CE6A6E">
        <w:rPr>
          <w:rFonts w:ascii="仿宋" w:eastAsia="仿宋" w:hAnsi="仿宋" w:cs="Segoe UI"/>
          <w:color w:val="0F1115"/>
        </w:rPr>
        <w:t>对医院电气维护人员进行不少于</w:t>
      </w:r>
      <w:r w:rsidRPr="00CE6A6E">
        <w:rPr>
          <w:rStyle w:val="ab"/>
          <w:rFonts w:ascii="仿宋" w:eastAsia="仿宋" w:hAnsi="仿宋" w:cs="Segoe UI"/>
          <w:color w:val="0F1115"/>
        </w:rPr>
        <w:t>4学时</w:t>
      </w:r>
      <w:r w:rsidRPr="00CE6A6E">
        <w:rPr>
          <w:rFonts w:ascii="仿宋" w:eastAsia="仿宋" w:hAnsi="仿宋" w:cs="Segoe UI"/>
          <w:color w:val="0F1115"/>
        </w:rPr>
        <w:t>的专项培训，内容包括：操作、日常巡视、参数查看、简单故障判断与处理。</w:t>
      </w:r>
    </w:p>
    <w:p w:rsidR="00EF21FA" w:rsidRPr="00EF21FA" w:rsidRDefault="00EF21FA" w:rsidP="00CE6A6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仿宋" w:eastAsia="仿宋" w:hAnsi="仿宋" w:cs="Segoe UI"/>
          <w:color w:val="0F1115"/>
          <w:sz w:val="28"/>
          <w:szCs w:val="28"/>
        </w:rPr>
      </w:pPr>
      <w:r w:rsidRPr="00CE6A6E">
        <w:rPr>
          <w:rFonts w:ascii="仿宋" w:eastAsia="仿宋" w:hAnsi="仿宋" w:cs="Segoe UI" w:hint="eastAsia"/>
          <w:color w:val="0F1115"/>
        </w:rPr>
        <w:t>2.</w:t>
      </w:r>
      <w:r w:rsidRPr="00CE6A6E">
        <w:rPr>
          <w:rFonts w:ascii="仿宋" w:eastAsia="仿宋" w:hAnsi="仿宋" w:cs="Segoe UI"/>
          <w:color w:val="0F1115"/>
        </w:rPr>
        <w:t>交付完整的竣工资料，包括：图纸（原理图、接线图、布置图）、产品说明书、合格证、CCC证书、出厂试验报告、调试报告、培训记录等。</w:t>
      </w:r>
    </w:p>
    <w:p w:rsidR="0066530C" w:rsidRPr="00EF21FA" w:rsidRDefault="0066530C" w:rsidP="00EF21FA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66530C" w:rsidRPr="00EF21FA" w:rsidSect="00EC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DB2" w:rsidRDefault="00730DB2" w:rsidP="00E137CC">
      <w:r>
        <w:separator/>
      </w:r>
    </w:p>
  </w:endnote>
  <w:endnote w:type="continuationSeparator" w:id="1">
    <w:p w:rsidR="00730DB2" w:rsidRDefault="00730DB2" w:rsidP="00E1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DB2" w:rsidRDefault="00730DB2" w:rsidP="00E137CC">
      <w:r>
        <w:separator/>
      </w:r>
    </w:p>
  </w:footnote>
  <w:footnote w:type="continuationSeparator" w:id="1">
    <w:p w:rsidR="00730DB2" w:rsidRDefault="00730DB2" w:rsidP="00E13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30D"/>
    <w:multiLevelType w:val="multilevel"/>
    <w:tmpl w:val="7E7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F1D66"/>
    <w:multiLevelType w:val="multilevel"/>
    <w:tmpl w:val="F6A0F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E1225BB"/>
    <w:multiLevelType w:val="multilevel"/>
    <w:tmpl w:val="75B2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B0E69"/>
    <w:multiLevelType w:val="multilevel"/>
    <w:tmpl w:val="FFC2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EDF"/>
    <w:rsid w:val="000101F4"/>
    <w:rsid w:val="00035342"/>
    <w:rsid w:val="00037CEC"/>
    <w:rsid w:val="00051D5A"/>
    <w:rsid w:val="00052CCE"/>
    <w:rsid w:val="000B3AFD"/>
    <w:rsid w:val="000F4ACC"/>
    <w:rsid w:val="00120BD0"/>
    <w:rsid w:val="0012551B"/>
    <w:rsid w:val="00153289"/>
    <w:rsid w:val="00161996"/>
    <w:rsid w:val="00171098"/>
    <w:rsid w:val="00174389"/>
    <w:rsid w:val="00175402"/>
    <w:rsid w:val="00177079"/>
    <w:rsid w:val="00183528"/>
    <w:rsid w:val="00192D16"/>
    <w:rsid w:val="001B6047"/>
    <w:rsid w:val="001C5F28"/>
    <w:rsid w:val="001D4E38"/>
    <w:rsid w:val="001F3071"/>
    <w:rsid w:val="0021072A"/>
    <w:rsid w:val="00217669"/>
    <w:rsid w:val="00222F6E"/>
    <w:rsid w:val="0026207D"/>
    <w:rsid w:val="00274F0D"/>
    <w:rsid w:val="0028299A"/>
    <w:rsid w:val="002851EC"/>
    <w:rsid w:val="00290837"/>
    <w:rsid w:val="00295CCD"/>
    <w:rsid w:val="002C1AFA"/>
    <w:rsid w:val="002E4D0B"/>
    <w:rsid w:val="002F0BF7"/>
    <w:rsid w:val="00305A41"/>
    <w:rsid w:val="00314BA3"/>
    <w:rsid w:val="00333F4C"/>
    <w:rsid w:val="00360B84"/>
    <w:rsid w:val="00387F70"/>
    <w:rsid w:val="00394623"/>
    <w:rsid w:val="00395958"/>
    <w:rsid w:val="003A0E1A"/>
    <w:rsid w:val="003C231E"/>
    <w:rsid w:val="003E2F83"/>
    <w:rsid w:val="003F3B26"/>
    <w:rsid w:val="0041337D"/>
    <w:rsid w:val="004166A7"/>
    <w:rsid w:val="004226CB"/>
    <w:rsid w:val="00445445"/>
    <w:rsid w:val="00445C55"/>
    <w:rsid w:val="00483370"/>
    <w:rsid w:val="0048734C"/>
    <w:rsid w:val="004E6071"/>
    <w:rsid w:val="005279DA"/>
    <w:rsid w:val="00534C8D"/>
    <w:rsid w:val="00561ECA"/>
    <w:rsid w:val="005647D8"/>
    <w:rsid w:val="00572CE5"/>
    <w:rsid w:val="005B7657"/>
    <w:rsid w:val="005C6A5F"/>
    <w:rsid w:val="005F40A2"/>
    <w:rsid w:val="00601290"/>
    <w:rsid w:val="00612334"/>
    <w:rsid w:val="00635FF4"/>
    <w:rsid w:val="00646A18"/>
    <w:rsid w:val="00646DED"/>
    <w:rsid w:val="0066530C"/>
    <w:rsid w:val="006668FF"/>
    <w:rsid w:val="00696330"/>
    <w:rsid w:val="00696827"/>
    <w:rsid w:val="006A0788"/>
    <w:rsid w:val="006A63E8"/>
    <w:rsid w:val="006D75E6"/>
    <w:rsid w:val="007065DD"/>
    <w:rsid w:val="00730DB2"/>
    <w:rsid w:val="007716F8"/>
    <w:rsid w:val="00773CAB"/>
    <w:rsid w:val="007809D1"/>
    <w:rsid w:val="0078215D"/>
    <w:rsid w:val="007A3612"/>
    <w:rsid w:val="007B0E07"/>
    <w:rsid w:val="007B7282"/>
    <w:rsid w:val="007D6289"/>
    <w:rsid w:val="00802541"/>
    <w:rsid w:val="008041A8"/>
    <w:rsid w:val="00820AA1"/>
    <w:rsid w:val="00851199"/>
    <w:rsid w:val="0085323B"/>
    <w:rsid w:val="008535BD"/>
    <w:rsid w:val="008758A7"/>
    <w:rsid w:val="008A2A1C"/>
    <w:rsid w:val="009013FB"/>
    <w:rsid w:val="009238A6"/>
    <w:rsid w:val="009534D2"/>
    <w:rsid w:val="009633DC"/>
    <w:rsid w:val="0096641D"/>
    <w:rsid w:val="00967ADA"/>
    <w:rsid w:val="009952B0"/>
    <w:rsid w:val="009C032D"/>
    <w:rsid w:val="009C2A73"/>
    <w:rsid w:val="009F03C8"/>
    <w:rsid w:val="009F4EFE"/>
    <w:rsid w:val="009F5ADA"/>
    <w:rsid w:val="00A032AA"/>
    <w:rsid w:val="00A336CC"/>
    <w:rsid w:val="00A3777C"/>
    <w:rsid w:val="00A41809"/>
    <w:rsid w:val="00A607DA"/>
    <w:rsid w:val="00A6471B"/>
    <w:rsid w:val="00A67C92"/>
    <w:rsid w:val="00A87C49"/>
    <w:rsid w:val="00AD01E6"/>
    <w:rsid w:val="00AD7F25"/>
    <w:rsid w:val="00B1596C"/>
    <w:rsid w:val="00B16221"/>
    <w:rsid w:val="00B2479E"/>
    <w:rsid w:val="00B31E05"/>
    <w:rsid w:val="00B41459"/>
    <w:rsid w:val="00B500AB"/>
    <w:rsid w:val="00B67907"/>
    <w:rsid w:val="00B71FC0"/>
    <w:rsid w:val="00B8298C"/>
    <w:rsid w:val="00B96C98"/>
    <w:rsid w:val="00BA7ED8"/>
    <w:rsid w:val="00BC2C39"/>
    <w:rsid w:val="00BC548D"/>
    <w:rsid w:val="00BF7C3C"/>
    <w:rsid w:val="00C06473"/>
    <w:rsid w:val="00C125C1"/>
    <w:rsid w:val="00C30702"/>
    <w:rsid w:val="00C5392A"/>
    <w:rsid w:val="00CA0F16"/>
    <w:rsid w:val="00CA1CFC"/>
    <w:rsid w:val="00CB74F2"/>
    <w:rsid w:val="00CE02E7"/>
    <w:rsid w:val="00CE6A6E"/>
    <w:rsid w:val="00CF0820"/>
    <w:rsid w:val="00CF729C"/>
    <w:rsid w:val="00D41D06"/>
    <w:rsid w:val="00D74276"/>
    <w:rsid w:val="00D75B6A"/>
    <w:rsid w:val="00D77C7D"/>
    <w:rsid w:val="00DB0EB0"/>
    <w:rsid w:val="00DB4EE3"/>
    <w:rsid w:val="00DC658E"/>
    <w:rsid w:val="00DF5E71"/>
    <w:rsid w:val="00DF61B4"/>
    <w:rsid w:val="00E01620"/>
    <w:rsid w:val="00E137CC"/>
    <w:rsid w:val="00E20E02"/>
    <w:rsid w:val="00E25CD5"/>
    <w:rsid w:val="00E315AF"/>
    <w:rsid w:val="00E43EDF"/>
    <w:rsid w:val="00E527D5"/>
    <w:rsid w:val="00E62A44"/>
    <w:rsid w:val="00E62D68"/>
    <w:rsid w:val="00EC4685"/>
    <w:rsid w:val="00EF21FA"/>
    <w:rsid w:val="00F241B8"/>
    <w:rsid w:val="00F41AFB"/>
    <w:rsid w:val="00F60230"/>
    <w:rsid w:val="00F818AC"/>
    <w:rsid w:val="00F97D80"/>
    <w:rsid w:val="00FA07FF"/>
    <w:rsid w:val="00FB73FF"/>
    <w:rsid w:val="00FF130C"/>
    <w:rsid w:val="1A847AF1"/>
    <w:rsid w:val="37CD429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header" w:semiHidden="0"/>
    <w:lsdException w:name="footer" w:semiHidden="0"/>
    <w:lsdException w:name="Title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C468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EC4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link w:val="2Char"/>
    <w:uiPriority w:val="9"/>
    <w:semiHidden/>
    <w:unhideWhenUsed/>
    <w:qFormat/>
    <w:rsid w:val="00EC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Char"/>
    <w:uiPriority w:val="9"/>
    <w:semiHidden/>
    <w:unhideWhenUsed/>
    <w:qFormat/>
    <w:rsid w:val="00EC4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link w:val="4Char"/>
    <w:uiPriority w:val="9"/>
    <w:semiHidden/>
    <w:unhideWhenUsed/>
    <w:qFormat/>
    <w:rsid w:val="00EC46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link w:val="5Char"/>
    <w:uiPriority w:val="9"/>
    <w:semiHidden/>
    <w:unhideWhenUsed/>
    <w:qFormat/>
    <w:rsid w:val="00EC46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link w:val="6Char"/>
    <w:uiPriority w:val="9"/>
    <w:semiHidden/>
    <w:unhideWhenUsed/>
    <w:qFormat/>
    <w:rsid w:val="00EC46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link w:val="7Char"/>
    <w:uiPriority w:val="9"/>
    <w:semiHidden/>
    <w:unhideWhenUsed/>
    <w:qFormat/>
    <w:rsid w:val="00EC46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link w:val="8Char"/>
    <w:uiPriority w:val="9"/>
    <w:semiHidden/>
    <w:unhideWhenUsed/>
    <w:qFormat/>
    <w:rsid w:val="00EC46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link w:val="9Char"/>
    <w:uiPriority w:val="9"/>
    <w:semiHidden/>
    <w:unhideWhenUsed/>
    <w:qFormat/>
    <w:rsid w:val="00EC46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C4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46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link w:val="Char1"/>
    <w:uiPriority w:val="11"/>
    <w:qFormat/>
    <w:rsid w:val="00EC4685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link w:val="Char2"/>
    <w:uiPriority w:val="10"/>
    <w:qFormat/>
    <w:rsid w:val="00EC46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EC46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EC4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EC4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C468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EC468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EC468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C468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EC468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C4685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sid w:val="00EC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sid w:val="00EC4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link w:val="Char3"/>
    <w:uiPriority w:val="29"/>
    <w:qFormat/>
    <w:rsid w:val="00EC4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rsid w:val="00EC4685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EC4685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EC4685"/>
    <w:rPr>
      <w:i/>
      <w:iCs/>
      <w:color w:val="0F4761" w:themeColor="accent1" w:themeShade="BF"/>
    </w:rPr>
  </w:style>
  <w:style w:type="paragraph" w:styleId="a9">
    <w:name w:val="Intense Quote"/>
    <w:basedOn w:val="a"/>
    <w:link w:val="Char4"/>
    <w:uiPriority w:val="30"/>
    <w:qFormat/>
    <w:rsid w:val="00EC4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rsid w:val="00EC4685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EC4685"/>
    <w:rPr>
      <w:b/>
      <w:bC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sid w:val="00EC46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C4685"/>
    <w:rPr>
      <w:sz w:val="18"/>
      <w:szCs w:val="18"/>
    </w:rPr>
  </w:style>
  <w:style w:type="paragraph" w:styleId="aa">
    <w:name w:val="Balloon Text"/>
    <w:basedOn w:val="a"/>
    <w:link w:val="Char5"/>
    <w:uiPriority w:val="99"/>
    <w:semiHidden/>
    <w:unhideWhenUsed/>
    <w:rsid w:val="005C6A5F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5C6A5F"/>
    <w:rPr>
      <w:rFonts w:ascii="Calibri" w:hAnsi="Calibri"/>
      <w:kern w:val="2"/>
      <w:sz w:val="18"/>
      <w:szCs w:val="18"/>
    </w:rPr>
  </w:style>
  <w:style w:type="paragraph" w:customStyle="1" w:styleId="ds-markdown-paragraph">
    <w:name w:val="ds-markdown-paragraph"/>
    <w:basedOn w:val="a"/>
    <w:rsid w:val="006653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665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等线 Light"/>
        <a:font script="Guru" typeface="Raavi"/>
        <a:font script="Yiii" typeface="Microsoft Yi Baiti"/>
        <a:font script="Jpan" typeface="游ゴシック Light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/>
        <a:ea typeface=""/>
        <a:cs typeface="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等线"/>
        <a:font script="Guru" typeface="Raavi"/>
        <a:font script="Yiii" typeface="Microsoft Yi Baiti"/>
        <a:font script="Jpan" typeface="游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7</Pages>
  <Words>627</Words>
  <Characters>3575</Characters>
  <Application>Microsoft Office Word</Application>
  <DocSecurity>0</DocSecurity>
  <Lines>29</Lines>
  <Paragraphs>8</Paragraphs>
  <ScaleCrop>false</ScaleCrop>
  <Company>HP Inc.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齐耳 柳</dc:creator>
  <cp:keywords/>
  <dc:description/>
  <cp:lastModifiedBy>ADMIN</cp:lastModifiedBy>
  <cp:revision>110</cp:revision>
  <dcterms:created xsi:type="dcterms:W3CDTF">2025-09-17T01:21:00Z</dcterms:created>
  <dcterms:modified xsi:type="dcterms:W3CDTF">2025-12-24T11:08:00Z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eyJoZGlkIjoiYzdiYThlYjI5MjY3OGQwZmZjMWEwZmI2ZWFjNDhiMDMiLCJ1c2VySWQiOiIyMDYwOTAzMzcifQ==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B9DB686A218C4B30894666D2399A198F_13</vt:lpwstr>
  </property>
</Properties>
</file>