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0D438">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扬州</w:t>
      </w:r>
      <w:r>
        <w:rPr>
          <w:rFonts w:hint="eastAsia"/>
          <w:b/>
          <w:sz w:val="36"/>
          <w:szCs w:val="36"/>
          <w:lang w:val="en-US" w:eastAsia="zh-CN"/>
        </w:rPr>
        <w:t>市第一人民医院</w:t>
      </w:r>
    </w:p>
    <w:p w14:paraId="0BAE3243">
      <w:pPr>
        <w:adjustRightInd w:val="0"/>
        <w:snapToGrid w:val="0"/>
        <w:spacing w:line="800" w:lineRule="exact"/>
        <w:contextualSpacing/>
        <w:jc w:val="center"/>
        <w:rPr>
          <w:b/>
          <w:sz w:val="36"/>
          <w:szCs w:val="36"/>
        </w:rPr>
      </w:pPr>
      <w:r>
        <w:rPr>
          <w:rFonts w:hint="eastAsia"/>
          <w:b/>
          <w:sz w:val="36"/>
          <w:szCs w:val="36"/>
          <w:lang w:val="en-US" w:eastAsia="zh-CN"/>
        </w:rPr>
        <w:t>西区健康管理中心改造工程结算审计复审服务</w:t>
      </w:r>
      <w:r>
        <w:rPr>
          <w:rFonts w:hint="eastAsia"/>
          <w:b/>
          <w:sz w:val="36"/>
          <w:szCs w:val="36"/>
        </w:rPr>
        <w:t>项目询价文件</w:t>
      </w:r>
    </w:p>
    <w:p w14:paraId="3CE4762D">
      <w:pPr>
        <w:pStyle w:val="16"/>
        <w:ind w:firstLine="0"/>
      </w:pPr>
    </w:p>
    <w:p w14:paraId="1A5C0DEA">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5E473637">
      <w:pPr>
        <w:spacing w:after="60" w:afterLines="25" w:line="520" w:lineRule="exact"/>
        <w:rPr>
          <w:rFonts w:ascii="宋体" w:hAnsi="宋体"/>
          <w:b/>
          <w:bCs/>
          <w:sz w:val="44"/>
          <w:szCs w:val="44"/>
        </w:rPr>
      </w:pPr>
    </w:p>
    <w:p w14:paraId="4711262B">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2D17B312">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25年</w:t>
      </w:r>
      <w:r>
        <w:rPr>
          <w:rFonts w:hint="eastAsia" w:asciiTheme="minorEastAsia" w:hAnsiTheme="minorEastAsia" w:eastAsiaTheme="minorEastAsia"/>
          <w:b/>
          <w:w w:val="90"/>
          <w:kern w:val="0"/>
          <w:sz w:val="32"/>
          <w:szCs w:val="32"/>
          <w:lang w:val="en-US" w:eastAsia="zh-CN"/>
        </w:rPr>
        <w:t>12</w:t>
      </w:r>
      <w:r>
        <w:rPr>
          <w:rFonts w:hint="eastAsia" w:asciiTheme="minorEastAsia" w:hAnsiTheme="minorEastAsia" w:eastAsiaTheme="minorEastAsia"/>
          <w:b/>
          <w:w w:val="90"/>
          <w:kern w:val="0"/>
          <w:sz w:val="32"/>
          <w:szCs w:val="32"/>
        </w:rPr>
        <w:t>月</w:t>
      </w:r>
      <w:bookmarkEnd w:id="0"/>
    </w:p>
    <w:p w14:paraId="208F4E6B">
      <w:pPr>
        <w:rPr>
          <w:b/>
          <w:w w:val="90"/>
          <w:kern w:val="0"/>
        </w:rPr>
      </w:pPr>
    </w:p>
    <w:p w14:paraId="53F94EBD">
      <w:pPr>
        <w:spacing w:after="60" w:afterLines="25" w:line="520" w:lineRule="exact"/>
        <w:jc w:val="center"/>
        <w:rPr>
          <w:rFonts w:ascii="宋体" w:hAnsi="宋体"/>
          <w:b/>
          <w:bCs/>
          <w:sz w:val="44"/>
          <w:szCs w:val="44"/>
        </w:rPr>
      </w:pPr>
    </w:p>
    <w:p w14:paraId="677AB385">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2FB5B612">
      <w:pPr>
        <w:pStyle w:val="2"/>
      </w:pPr>
    </w:p>
    <w:p w14:paraId="24BA2BCA">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087B65A0">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70B6E92A">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b w:val="0"/>
          <w:bCs w:val="0"/>
          <w:snapToGrid w:val="0"/>
          <w:kern w:val="0"/>
          <w:sz w:val="24"/>
          <w:lang w:val="en-US" w:eastAsia="zh-CN"/>
        </w:rPr>
        <w:t>扬州市第一人民医院西区健康管理中心改造工程结算审计复审服务项目</w:t>
      </w:r>
      <w:r>
        <w:rPr>
          <w:rFonts w:hint="eastAsia" w:ascii="宋体" w:hAnsi="宋体" w:cs="宋体"/>
          <w:b w:val="0"/>
          <w:bCs w:val="0"/>
          <w:snapToGrid w:val="0"/>
          <w:kern w:val="0"/>
          <w:sz w:val="24"/>
        </w:rPr>
        <w:t>进行邀请招标。现诚邀贵方对该项目进行投标，并将有关项目概况及事宜告知如下</w:t>
      </w:r>
      <w:r>
        <w:rPr>
          <w:rFonts w:hint="eastAsia" w:ascii="宋体" w:hAnsi="宋体" w:cs="宋体"/>
          <w:snapToGrid w:val="0"/>
          <w:kern w:val="0"/>
          <w:sz w:val="24"/>
        </w:rPr>
        <w:t>：</w:t>
      </w:r>
    </w:p>
    <w:p w14:paraId="3BA5066C">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snapToGrid w:val="0"/>
          <w:kern w:val="0"/>
          <w:sz w:val="24"/>
          <w:lang w:val="en-US" w:eastAsia="zh-CN"/>
        </w:rPr>
        <w:t>扬州市第一人民医院西区健康管理中心改造工程结算审计复审服务</w:t>
      </w:r>
      <w:r>
        <w:rPr>
          <w:rFonts w:hint="eastAsia" w:ascii="宋体" w:hAnsi="宋体" w:cs="宋体"/>
          <w:snapToGrid w:val="0"/>
          <w:kern w:val="0"/>
          <w:sz w:val="24"/>
        </w:rPr>
        <w:t>项目</w:t>
      </w:r>
    </w:p>
    <w:p w14:paraId="0135ED03">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2.项目地点：扬州市第一人民医院西区健康管理中心</w:t>
      </w:r>
    </w:p>
    <w:p w14:paraId="78F45CF3">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lang w:val="en-US" w:eastAsia="zh-CN"/>
        </w:rPr>
        <w:t>3</w:t>
      </w:r>
      <w:r>
        <w:rPr>
          <w:rFonts w:hint="eastAsia" w:ascii="宋体" w:hAnsi="宋体" w:cs="宋体"/>
          <w:snapToGrid w:val="0"/>
          <w:kern w:val="0"/>
          <w:sz w:val="24"/>
        </w:rPr>
        <w:t>.</w:t>
      </w:r>
      <w:r>
        <w:rPr>
          <w:rFonts w:hint="eastAsia" w:ascii="宋体" w:hAnsi="宋体" w:cs="宋体"/>
          <w:snapToGrid w:val="0"/>
          <w:kern w:val="0"/>
          <w:sz w:val="24"/>
          <w:lang w:val="en-US" w:eastAsia="zh-CN"/>
        </w:rPr>
        <w:t>预算金额</w:t>
      </w:r>
      <w:r>
        <w:rPr>
          <w:rFonts w:hint="eastAsia" w:ascii="宋体" w:hAnsi="宋体" w:cs="宋体"/>
          <w:snapToGrid w:val="0"/>
          <w:kern w:val="0"/>
          <w:sz w:val="24"/>
        </w:rPr>
        <w:t>：</w:t>
      </w:r>
      <w:r>
        <w:rPr>
          <w:rFonts w:hint="eastAsia" w:ascii="宋体" w:hAnsi="宋体" w:cs="宋体"/>
          <w:snapToGrid w:val="0"/>
          <w:kern w:val="0"/>
          <w:sz w:val="24"/>
          <w:lang w:val="en-US" w:eastAsia="zh-CN"/>
        </w:rPr>
        <w:t>2</w:t>
      </w:r>
      <w:r>
        <w:rPr>
          <w:rFonts w:hint="eastAsia" w:ascii="宋体" w:hAnsi="宋体" w:cs="宋体"/>
          <w:snapToGrid w:val="0"/>
          <w:kern w:val="0"/>
          <w:sz w:val="24"/>
        </w:rPr>
        <w:t>万元</w:t>
      </w:r>
    </w:p>
    <w:p w14:paraId="2BBF9E39">
      <w:pPr>
        <w:adjustRightInd w:val="0"/>
        <w:snapToGrid w:val="0"/>
        <w:spacing w:line="440" w:lineRule="exact"/>
        <w:ind w:firstLine="482" w:firstLineChars="200"/>
        <w:contextualSpacing/>
        <w:rPr>
          <w:rFonts w:hint="eastAsia" w:ascii="宋体" w:hAnsi="宋体" w:eastAsia="宋体" w:cs="宋体"/>
          <w:b/>
          <w:bCs/>
          <w:snapToGrid w:val="0"/>
          <w:kern w:val="0"/>
          <w:sz w:val="24"/>
          <w:lang w:eastAsia="zh-CN"/>
        </w:rPr>
      </w:pPr>
      <w:r>
        <w:rPr>
          <w:rFonts w:hint="eastAsia" w:ascii="宋体" w:hAnsi="宋体" w:cs="宋体"/>
          <w:b/>
          <w:bCs/>
          <w:snapToGrid w:val="0"/>
          <w:kern w:val="0"/>
          <w:sz w:val="24"/>
          <w:lang w:val="en-US" w:eastAsia="zh-CN"/>
        </w:rPr>
        <w:t>4.</w:t>
      </w:r>
      <w:r>
        <w:rPr>
          <w:rFonts w:hint="eastAsia" w:ascii="宋体" w:hAnsi="宋体" w:cs="宋体"/>
          <w:b/>
          <w:bCs/>
          <w:snapToGrid w:val="0"/>
          <w:kern w:val="0"/>
          <w:sz w:val="24"/>
        </w:rPr>
        <w:t>本项目设置最高限价，本项目采用费率报价</w:t>
      </w:r>
      <w:r>
        <w:rPr>
          <w:rFonts w:hint="eastAsia" w:ascii="宋体" w:hAnsi="宋体" w:cs="宋体"/>
          <w:b/>
          <w:bCs/>
          <w:snapToGrid w:val="0"/>
          <w:kern w:val="0"/>
          <w:sz w:val="24"/>
          <w:lang w:eastAsia="zh-CN"/>
        </w:rPr>
        <w:t>：基本收费费率固定为</w:t>
      </w:r>
      <w:r>
        <w:rPr>
          <w:rFonts w:hint="eastAsia" w:ascii="宋体" w:hAnsi="宋体" w:cs="宋体"/>
          <w:b/>
          <w:bCs/>
          <w:snapToGrid w:val="0"/>
          <w:kern w:val="0"/>
          <w:sz w:val="24"/>
          <w:lang w:val="en-US" w:eastAsia="zh-CN"/>
        </w:rPr>
        <w:t>0.1</w:t>
      </w:r>
      <w:r>
        <w:rPr>
          <w:rFonts w:hint="eastAsia" w:ascii="宋体" w:hAnsi="宋体" w:cs="宋体"/>
          <w:b/>
          <w:bCs/>
          <w:snapToGrid w:val="0"/>
          <w:kern w:val="0"/>
          <w:sz w:val="24"/>
          <w:lang w:eastAsia="zh-CN"/>
        </w:rPr>
        <w:t>%，效益收费费率最高限价为</w:t>
      </w:r>
      <w:r>
        <w:rPr>
          <w:rFonts w:hint="eastAsia" w:ascii="宋体" w:hAnsi="宋体" w:cs="宋体"/>
          <w:b/>
          <w:bCs/>
          <w:snapToGrid w:val="0"/>
          <w:kern w:val="0"/>
          <w:sz w:val="24"/>
          <w:lang w:val="en-US" w:eastAsia="zh-CN"/>
        </w:rPr>
        <w:t>6</w:t>
      </w:r>
      <w:r>
        <w:rPr>
          <w:rFonts w:hint="eastAsia" w:ascii="宋体" w:hAnsi="宋体" w:cs="宋体"/>
          <w:b/>
          <w:bCs/>
          <w:snapToGrid w:val="0"/>
          <w:kern w:val="0"/>
          <w:sz w:val="24"/>
          <w:lang w:eastAsia="zh-CN"/>
        </w:rPr>
        <w:t>%，且最终审计费用（基本收费+效益收费）不得超过</w:t>
      </w:r>
      <w:r>
        <w:rPr>
          <w:rFonts w:hint="eastAsia" w:ascii="宋体" w:hAnsi="宋体" w:cs="宋体"/>
          <w:b/>
          <w:bCs/>
          <w:snapToGrid w:val="0"/>
          <w:kern w:val="0"/>
          <w:sz w:val="24"/>
          <w:lang w:val="en-US" w:eastAsia="zh-CN"/>
        </w:rPr>
        <w:t>2万元</w:t>
      </w:r>
      <w:r>
        <w:rPr>
          <w:rFonts w:hint="eastAsia" w:ascii="宋体" w:hAnsi="宋体" w:cs="宋体"/>
          <w:b/>
          <w:bCs/>
          <w:snapToGrid w:val="0"/>
          <w:kern w:val="0"/>
          <w:sz w:val="24"/>
          <w:lang w:eastAsia="zh-CN"/>
        </w:rPr>
        <w:t>。该限价已考虑完成招标文件规定工作内容的所有费用，包括人工费、材料费、设备费、管理费、利润等以及法定部门应收的各种税费。</w:t>
      </w:r>
    </w:p>
    <w:p w14:paraId="1B161C1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lang w:val="en-US" w:eastAsia="zh-CN"/>
        </w:rPr>
        <w:t>5</w:t>
      </w:r>
      <w:r>
        <w:rPr>
          <w:rFonts w:hint="eastAsia" w:ascii="宋体" w:hAnsi="宋体" w:cs="宋体"/>
          <w:snapToGrid w:val="0"/>
          <w:kern w:val="0"/>
          <w:sz w:val="24"/>
        </w:rPr>
        <w:t>.投标人企业资质条件：</w:t>
      </w:r>
    </w:p>
    <w:p w14:paraId="05CF32F3">
      <w:pPr>
        <w:adjustRightInd w:val="0"/>
        <w:snapToGrid w:val="0"/>
        <w:spacing w:line="440" w:lineRule="exact"/>
        <w:ind w:firstLine="480" w:firstLineChars="200"/>
        <w:contextualSpacing/>
        <w:rPr>
          <w:rFonts w:ascii="宋体" w:hAnsi="宋体"/>
          <w:sz w:val="24"/>
        </w:rPr>
      </w:pPr>
      <w:r>
        <w:rPr>
          <w:rFonts w:hint="eastAsia" w:ascii="宋体" w:hAnsi="宋体" w:cs="宋体"/>
          <w:snapToGrid w:val="0"/>
          <w:kern w:val="0"/>
          <w:sz w:val="24"/>
          <w:lang w:val="en-US" w:eastAsia="zh-CN"/>
        </w:rPr>
        <w:t>5</w:t>
      </w:r>
      <w:r>
        <w:rPr>
          <w:rFonts w:hint="eastAsia" w:ascii="宋体" w:hAnsi="宋体" w:cs="宋体"/>
          <w:snapToGrid w:val="0"/>
          <w:kern w:val="0"/>
          <w:sz w:val="24"/>
        </w:rPr>
        <w:t>.1投标人应具备《中华人民</w:t>
      </w:r>
      <w:r>
        <w:rPr>
          <w:rFonts w:hint="eastAsia" w:ascii="宋体" w:hAnsi="宋体"/>
          <w:sz w:val="24"/>
        </w:rPr>
        <w:t>共和国政府采购法》第二十二条规定的条件；</w:t>
      </w:r>
    </w:p>
    <w:p w14:paraId="73DF7169">
      <w:pPr>
        <w:tabs>
          <w:tab w:val="left" w:pos="0"/>
        </w:tabs>
        <w:adjustRightInd w:val="0"/>
        <w:snapToGrid w:val="0"/>
        <w:spacing w:line="440" w:lineRule="exact"/>
        <w:ind w:firstLine="480" w:firstLineChars="200"/>
        <w:contextualSpacing/>
        <w:rPr>
          <w:rFonts w:hint="eastAsia" w:ascii="宋体" w:hAnsi="宋体" w:eastAsia="宋体"/>
          <w:sz w:val="24"/>
          <w:lang w:eastAsia="zh-CN"/>
        </w:rPr>
      </w:pPr>
      <w:r>
        <w:rPr>
          <w:rFonts w:hint="eastAsia" w:ascii="宋体" w:hAnsi="宋体"/>
          <w:sz w:val="24"/>
          <w:lang w:val="en-US" w:eastAsia="zh-CN"/>
        </w:rPr>
        <w:t>5</w:t>
      </w:r>
      <w:r>
        <w:rPr>
          <w:rFonts w:hint="eastAsia" w:ascii="宋体" w:hAnsi="宋体"/>
          <w:sz w:val="24"/>
        </w:rPr>
        <w:t>.2供应商未被“信用中国”网站（www.creditchina.gov.cn）、“中国政府采购网”(www.ccgp.gov.cn)列入失信被执行人、重大税收违法案件当事人名单、政府采购严重违法失信行为记录名单</w:t>
      </w:r>
      <w:r>
        <w:rPr>
          <w:rFonts w:hint="eastAsia" w:ascii="宋体" w:hAnsi="宋体"/>
          <w:sz w:val="24"/>
          <w:lang w:eastAsia="zh-CN"/>
        </w:rPr>
        <w:t>；</w:t>
      </w:r>
    </w:p>
    <w:p w14:paraId="7336C12F">
      <w:pPr>
        <w:tabs>
          <w:tab w:val="left" w:pos="0"/>
        </w:tabs>
        <w:adjustRightInd w:val="0"/>
        <w:snapToGrid w:val="0"/>
        <w:spacing w:line="440" w:lineRule="exact"/>
        <w:ind w:firstLine="482" w:firstLineChars="200"/>
        <w:contextualSpacing/>
        <w:rPr>
          <w:rFonts w:hint="eastAsia" w:ascii="宋体" w:hAnsi="宋体"/>
          <w:b/>
          <w:bCs/>
          <w:sz w:val="24"/>
          <w:highlight w:val="none"/>
        </w:rPr>
      </w:pPr>
      <w:r>
        <w:rPr>
          <w:rFonts w:hint="eastAsia" w:ascii="宋体" w:hAnsi="宋体"/>
          <w:b/>
          <w:bCs/>
          <w:sz w:val="24"/>
          <w:highlight w:val="none"/>
          <w:lang w:val="en-US" w:eastAsia="zh-CN"/>
        </w:rPr>
        <w:t>5</w:t>
      </w:r>
      <w:r>
        <w:rPr>
          <w:rFonts w:hint="eastAsia" w:ascii="宋体" w:hAnsi="宋体"/>
          <w:b/>
          <w:bCs/>
          <w:sz w:val="24"/>
          <w:highlight w:val="none"/>
        </w:rPr>
        <w:t>.</w:t>
      </w:r>
      <w:r>
        <w:rPr>
          <w:rFonts w:hint="eastAsia" w:ascii="宋体" w:hAnsi="宋体"/>
          <w:b/>
          <w:bCs/>
          <w:sz w:val="24"/>
          <w:highlight w:val="none"/>
          <w:lang w:val="en-US" w:eastAsia="zh-CN"/>
        </w:rPr>
        <w:t>3</w:t>
      </w:r>
      <w:r>
        <w:rPr>
          <w:rFonts w:hint="eastAsia" w:ascii="宋体" w:hAnsi="宋体"/>
          <w:b/>
          <w:bCs/>
          <w:sz w:val="24"/>
          <w:highlight w:val="none"/>
        </w:rPr>
        <w:t>项目负责人必须同时具有一级造价工程师（原全国注册造价工程师）执业资格和工程类中级（含）以上职称（提供</w:t>
      </w:r>
      <w:r>
        <w:rPr>
          <w:rFonts w:hint="eastAsia" w:ascii="宋体" w:hAnsi="宋体"/>
          <w:b/>
          <w:bCs/>
          <w:sz w:val="24"/>
          <w:highlight w:val="none"/>
          <w:lang w:val="en-US" w:eastAsia="zh-CN"/>
        </w:rPr>
        <w:t>相关证书</w:t>
      </w:r>
      <w:r>
        <w:rPr>
          <w:rFonts w:hint="eastAsia" w:ascii="宋体" w:hAnsi="宋体" w:cs="宋体"/>
          <w:b/>
          <w:bCs/>
          <w:i w:val="0"/>
          <w:iCs/>
          <w:color w:val="auto"/>
          <w:sz w:val="24"/>
          <w:szCs w:val="24"/>
          <w:highlight w:val="none"/>
          <w:u w:val="none"/>
        </w:rPr>
        <w:t>及投标人为其缴纳的近三个月内任意一月社保证明，复印件加盖投标人公章</w:t>
      </w:r>
      <w:r>
        <w:rPr>
          <w:rFonts w:hint="eastAsia" w:ascii="宋体" w:hAnsi="宋体"/>
          <w:b/>
          <w:bCs/>
          <w:sz w:val="24"/>
          <w:highlight w:val="none"/>
        </w:rPr>
        <w:t>）；</w:t>
      </w:r>
    </w:p>
    <w:p w14:paraId="7D824DB5">
      <w:pPr>
        <w:tabs>
          <w:tab w:val="left" w:pos="0"/>
        </w:tabs>
        <w:adjustRightInd w:val="0"/>
        <w:snapToGrid w:val="0"/>
        <w:spacing w:line="440" w:lineRule="exact"/>
        <w:ind w:firstLine="482" w:firstLineChars="200"/>
        <w:contextualSpacing/>
        <w:rPr>
          <w:rFonts w:hint="eastAsia" w:ascii="宋体" w:hAnsi="宋体"/>
          <w:b/>
          <w:bCs/>
          <w:sz w:val="24"/>
          <w:highlight w:val="none"/>
        </w:rPr>
      </w:pPr>
      <w:r>
        <w:rPr>
          <w:rFonts w:hint="eastAsia" w:ascii="宋体" w:hAnsi="宋体"/>
          <w:b/>
          <w:bCs/>
          <w:sz w:val="24"/>
          <w:highlight w:val="none"/>
          <w:lang w:val="en-US" w:eastAsia="zh-CN"/>
        </w:rPr>
        <w:t>5.4相应参与项目前期全过程咨询、造价咨询、招标代理等服务的中介单位不得参与本项目投标。回避单位：扬州市建苑工程监理有限责任公司、建银工程咨询有限责任公司。</w:t>
      </w:r>
    </w:p>
    <w:p w14:paraId="372AE6DD">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lang w:val="en-US" w:eastAsia="zh-CN"/>
        </w:rPr>
        <w:t>6</w:t>
      </w:r>
      <w:r>
        <w:rPr>
          <w:rFonts w:hint="eastAsia" w:ascii="宋体" w:hAnsi="宋体"/>
          <w:color w:val="000000"/>
          <w:sz w:val="24"/>
        </w:rPr>
        <w:t>.拒绝下述供应商参加本次采购活动：</w:t>
      </w:r>
    </w:p>
    <w:p w14:paraId="1DCFD794">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.1供应商单位负责人为同一人或者存在直接控股、管理关系的不同供应商，不得参加同一协议项下的政府采购活动。</w:t>
      </w:r>
    </w:p>
    <w:p w14:paraId="710C0872">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lang w:val="en-US" w:eastAsia="zh-CN"/>
        </w:rPr>
        <w:t>6</w:t>
      </w:r>
      <w:r>
        <w:rPr>
          <w:rFonts w:hint="eastAsia" w:ascii="宋体" w:hAnsi="宋体" w:cs="宋体"/>
          <w:color w:val="000000"/>
          <w:sz w:val="24"/>
        </w:rPr>
        <w:t>.2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56A981D3">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lang w:val="en-US" w:eastAsia="zh-CN"/>
        </w:rPr>
        <w:t>7</w:t>
      </w:r>
      <w:r>
        <w:rPr>
          <w:rFonts w:hint="eastAsia" w:ascii="宋体" w:hAnsi="宋体" w:cs="微软雅黑"/>
          <w:color w:val="000000"/>
          <w:sz w:val="24"/>
        </w:rPr>
        <w:t>.被邀请的单位可以拒绝对本单位的投标邀请书做出报价，但一经做出报价，即被视为认可以上要求，且不可撤回。否则本单位在此后的三年内，将拒绝该公司参加本单位的所有采购活动。</w:t>
      </w:r>
    </w:p>
    <w:p w14:paraId="74ABF73C">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8.评标办法：询价小组在报价截止时间后对收到的合格报价文件组织评审，评标采用最低价中标。</w:t>
      </w:r>
    </w:p>
    <w:p w14:paraId="2AC539DF">
      <w:pPr>
        <w:tabs>
          <w:tab w:val="left" w:pos="0"/>
        </w:tabs>
        <w:adjustRightInd w:val="0"/>
        <w:snapToGrid w:val="0"/>
        <w:spacing w:line="440" w:lineRule="exact"/>
        <w:ind w:firstLine="482" w:firstLineChars="200"/>
        <w:contextualSpacing/>
        <w:rPr>
          <w:rFonts w:ascii="宋体" w:hAnsi="宋体" w:cs="宋体"/>
          <w:b/>
          <w:bCs/>
          <w:snapToGrid w:val="0"/>
          <w:kern w:val="0"/>
          <w:sz w:val="24"/>
        </w:rPr>
      </w:pPr>
      <w:r>
        <w:rPr>
          <w:rFonts w:hint="eastAsia" w:ascii="宋体" w:hAnsi="宋体" w:cs="宋体"/>
          <w:b/>
          <w:bCs/>
          <w:snapToGrid w:val="0"/>
          <w:kern w:val="0"/>
          <w:sz w:val="24"/>
        </w:rPr>
        <w:t>9.结算方式：应支付费用=</w:t>
      </w:r>
      <w:r>
        <w:rPr>
          <w:rFonts w:hint="eastAsia" w:ascii="宋体" w:hAnsi="宋体" w:cs="宋体"/>
          <w:b/>
          <w:bCs/>
          <w:snapToGrid w:val="0"/>
          <w:kern w:val="0"/>
          <w:sz w:val="24"/>
          <w:lang w:eastAsia="zh-CN"/>
        </w:rPr>
        <w:t>（基本收费</w:t>
      </w:r>
      <w:r>
        <w:rPr>
          <w:rFonts w:hint="eastAsia" w:ascii="宋体" w:hAnsi="宋体" w:cs="宋体"/>
          <w:b/>
          <w:bCs/>
          <w:snapToGrid w:val="0"/>
          <w:kern w:val="0"/>
          <w:sz w:val="24"/>
          <w:lang w:val="en-US" w:eastAsia="zh-CN"/>
        </w:rPr>
        <w:t>+效益收费</w:t>
      </w:r>
      <w:r>
        <w:rPr>
          <w:rFonts w:hint="eastAsia" w:ascii="宋体" w:hAnsi="宋体" w:cs="宋体"/>
          <w:b/>
          <w:bCs/>
          <w:snapToGrid w:val="0"/>
          <w:kern w:val="0"/>
          <w:sz w:val="24"/>
          <w:lang w:eastAsia="zh-CN"/>
        </w:rPr>
        <w:t>）</w:t>
      </w:r>
      <w:r>
        <w:rPr>
          <w:rFonts w:hint="eastAsia" w:ascii="宋体" w:hAnsi="宋体" w:cs="宋体"/>
          <w:b/>
          <w:bCs/>
          <w:snapToGrid w:val="0"/>
          <w:kern w:val="0"/>
          <w:sz w:val="24"/>
        </w:rPr>
        <w:t>*中标单位的投标折扣率。</w:t>
      </w:r>
    </w:p>
    <w:p w14:paraId="64BF9FD4">
      <w:pPr>
        <w:tabs>
          <w:tab w:val="left" w:pos="0"/>
        </w:tabs>
        <w:adjustRightInd w:val="0"/>
        <w:snapToGrid w:val="0"/>
        <w:spacing w:line="440" w:lineRule="exact"/>
        <w:ind w:firstLine="482" w:firstLineChars="200"/>
        <w:contextualSpacing/>
        <w:rPr>
          <w:rFonts w:hint="eastAsia" w:ascii="宋体" w:hAnsi="宋体" w:eastAsia="宋体" w:cs="宋体"/>
          <w:b/>
          <w:bCs/>
          <w:snapToGrid w:val="0"/>
          <w:kern w:val="0"/>
          <w:sz w:val="24"/>
          <w:lang w:eastAsia="zh-CN"/>
        </w:rPr>
      </w:pPr>
      <w:r>
        <w:rPr>
          <w:rFonts w:hint="eastAsia" w:ascii="宋体" w:hAnsi="宋体" w:cs="宋体"/>
          <w:b/>
          <w:bCs/>
          <w:snapToGrid w:val="0"/>
          <w:kern w:val="0"/>
          <w:sz w:val="24"/>
        </w:rPr>
        <w:t>10.项目款支付：提交</w:t>
      </w:r>
      <w:r>
        <w:rPr>
          <w:rFonts w:hint="eastAsia" w:ascii="宋体" w:hAnsi="宋体" w:cs="宋体"/>
          <w:b/>
          <w:bCs/>
          <w:snapToGrid w:val="0"/>
          <w:kern w:val="0"/>
          <w:sz w:val="24"/>
          <w:lang w:val="en-US" w:eastAsia="zh-CN"/>
        </w:rPr>
        <w:t>经委托人同意的</w:t>
      </w:r>
      <w:r>
        <w:rPr>
          <w:rFonts w:hint="eastAsia" w:ascii="宋体" w:hAnsi="宋体" w:cs="宋体"/>
          <w:b/>
          <w:bCs/>
          <w:snapToGrid w:val="0"/>
          <w:kern w:val="0"/>
          <w:sz w:val="24"/>
        </w:rPr>
        <w:t>咨询报告</w:t>
      </w:r>
      <w:r>
        <w:rPr>
          <w:rFonts w:hint="eastAsia" w:ascii="宋体" w:hAnsi="宋体" w:cs="宋体"/>
          <w:b/>
          <w:bCs/>
          <w:snapToGrid w:val="0"/>
          <w:kern w:val="0"/>
          <w:sz w:val="24"/>
          <w:lang w:val="en-US" w:eastAsia="zh-CN"/>
        </w:rPr>
        <w:t>且无异议</w:t>
      </w:r>
      <w:r>
        <w:rPr>
          <w:rFonts w:hint="eastAsia" w:ascii="宋体" w:hAnsi="宋体" w:cs="宋体"/>
          <w:b/>
          <w:bCs/>
          <w:snapToGrid w:val="0"/>
          <w:kern w:val="0"/>
          <w:sz w:val="24"/>
        </w:rPr>
        <w:t>后，一次性付清咨询</w:t>
      </w:r>
      <w:r>
        <w:rPr>
          <w:rFonts w:hint="eastAsia" w:ascii="宋体" w:hAnsi="宋体" w:cs="宋体"/>
          <w:b/>
          <w:bCs/>
          <w:snapToGrid w:val="0"/>
          <w:kern w:val="0"/>
          <w:sz w:val="24"/>
          <w:lang w:val="en-US" w:eastAsia="zh-CN"/>
        </w:rPr>
        <w:t>服务</w:t>
      </w:r>
      <w:r>
        <w:rPr>
          <w:rFonts w:hint="eastAsia" w:ascii="宋体" w:hAnsi="宋体" w:cs="宋体"/>
          <w:b/>
          <w:bCs/>
          <w:snapToGrid w:val="0"/>
          <w:kern w:val="0"/>
          <w:sz w:val="24"/>
        </w:rPr>
        <w:t>费</w:t>
      </w:r>
      <w:r>
        <w:rPr>
          <w:rFonts w:hint="eastAsia" w:ascii="宋体" w:hAnsi="宋体" w:cs="宋体"/>
          <w:b/>
          <w:bCs/>
          <w:snapToGrid w:val="0"/>
          <w:kern w:val="0"/>
          <w:sz w:val="24"/>
          <w:lang w:eastAsia="zh-CN"/>
        </w:rPr>
        <w:t>。</w:t>
      </w:r>
    </w:p>
    <w:p w14:paraId="578B92BA">
      <w:pPr>
        <w:shd w:val="clear" w:color="auto" w:fill="D7D7D7" w:themeFill="background1" w:themeFillShade="D8"/>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11.标书送达时间：202</w:t>
      </w:r>
      <w:r>
        <w:rPr>
          <w:rFonts w:hint="eastAsia" w:ascii="宋体" w:hAnsi="宋体" w:cs="宋体"/>
          <w:snapToGrid w:val="0"/>
          <w:kern w:val="0"/>
          <w:sz w:val="24"/>
          <w:lang w:val="en-US" w:eastAsia="zh-CN"/>
        </w:rPr>
        <w:t>6</w:t>
      </w:r>
      <w:r>
        <w:rPr>
          <w:rFonts w:hint="eastAsia" w:ascii="宋体" w:hAnsi="宋体" w:cs="宋体"/>
          <w:snapToGrid w:val="0"/>
          <w:kern w:val="0"/>
          <w:sz w:val="24"/>
        </w:rPr>
        <w:t>年</w:t>
      </w:r>
      <w:r>
        <w:rPr>
          <w:rFonts w:hint="eastAsia" w:ascii="宋体" w:hAnsi="宋体" w:cs="宋体"/>
          <w:snapToGrid w:val="0"/>
          <w:kern w:val="0"/>
          <w:sz w:val="24"/>
          <w:lang w:val="en-US" w:eastAsia="zh-CN"/>
        </w:rPr>
        <w:t>1</w:t>
      </w:r>
      <w:r>
        <w:rPr>
          <w:rFonts w:hint="eastAsia" w:ascii="宋体" w:hAnsi="宋体" w:cs="宋体"/>
          <w:snapToGrid w:val="0"/>
          <w:kern w:val="0"/>
          <w:sz w:val="24"/>
        </w:rPr>
        <w:t>月</w:t>
      </w:r>
      <w:r>
        <w:rPr>
          <w:rFonts w:hint="eastAsia" w:ascii="宋体" w:hAnsi="宋体" w:cs="宋体"/>
          <w:snapToGrid w:val="0"/>
          <w:kern w:val="0"/>
          <w:sz w:val="24"/>
          <w:lang w:val="en-US" w:eastAsia="zh-CN"/>
        </w:rPr>
        <w:t>6</w:t>
      </w:r>
      <w:r>
        <w:rPr>
          <w:rFonts w:hint="eastAsia" w:ascii="宋体" w:hAnsi="宋体" w:cs="宋体"/>
          <w:snapToGrid w:val="0"/>
          <w:kern w:val="0"/>
          <w:sz w:val="24"/>
        </w:rPr>
        <w:t>日</w:t>
      </w:r>
      <w:r>
        <w:rPr>
          <w:rFonts w:hint="eastAsia" w:ascii="宋体" w:hAnsi="宋体" w:cs="宋体"/>
          <w:snapToGrid w:val="0"/>
          <w:kern w:val="0"/>
          <w:sz w:val="24"/>
          <w:lang w:val="en-US" w:eastAsia="zh-CN"/>
        </w:rPr>
        <w:t>9</w:t>
      </w:r>
      <w:r>
        <w:rPr>
          <w:rFonts w:hint="eastAsia" w:ascii="宋体" w:hAnsi="宋体" w:cs="宋体"/>
          <w:snapToGrid w:val="0"/>
          <w:kern w:val="0"/>
          <w:sz w:val="24"/>
        </w:rPr>
        <w:t>：30前（北京时间）</w:t>
      </w:r>
    </w:p>
    <w:p w14:paraId="57C0A7E4">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标书送达地址：扬州市邗江中路368号扬州大学附属医院（西区医院）行政楼四楼采购中心412办公室</w:t>
      </w:r>
      <w:r>
        <w:rPr>
          <w:rFonts w:ascii="宋体" w:hAnsi="宋体" w:cs="宋体"/>
          <w:snapToGrid w:val="0"/>
          <w:kern w:val="0"/>
          <w:sz w:val="24"/>
        </w:rPr>
        <w:t xml:space="preserve"> </w:t>
      </w:r>
    </w:p>
    <w:p w14:paraId="35BE61A6">
      <w:pPr>
        <w:pStyle w:val="15"/>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3E47FB40">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9E5C317">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6</w:t>
      </w:r>
      <w:r>
        <w:rPr>
          <w:rStyle w:val="33"/>
          <w:rFonts w:ascii="宋体" w:hAnsi="宋体"/>
          <w:b/>
          <w:sz w:val="24"/>
          <w:highlight w:val="lightGray"/>
        </w:rPr>
        <w:t>年</w:t>
      </w:r>
      <w:r>
        <w:rPr>
          <w:rStyle w:val="33"/>
          <w:rFonts w:hint="eastAsia" w:ascii="宋体" w:hAnsi="宋体"/>
          <w:b/>
          <w:sz w:val="24"/>
          <w:highlight w:val="lightGray"/>
          <w:lang w:val="en-US" w:eastAsia="zh-CN"/>
        </w:rPr>
        <w:t>1</w:t>
      </w:r>
      <w:r>
        <w:rPr>
          <w:rStyle w:val="33"/>
          <w:rFonts w:ascii="宋体" w:hAnsi="宋体"/>
          <w:b/>
          <w:sz w:val="24"/>
          <w:highlight w:val="lightGray"/>
        </w:rPr>
        <w:t>月</w:t>
      </w:r>
      <w:r>
        <w:rPr>
          <w:rStyle w:val="33"/>
          <w:rFonts w:hint="eastAsia" w:ascii="宋体" w:hAnsi="宋体"/>
          <w:b/>
          <w:sz w:val="24"/>
          <w:highlight w:val="lightGray"/>
          <w:lang w:val="en-US" w:eastAsia="zh-CN"/>
        </w:rPr>
        <w:t>6</w:t>
      </w:r>
      <w:r>
        <w:rPr>
          <w:rStyle w:val="33"/>
          <w:rFonts w:ascii="宋体" w:hAnsi="宋体"/>
          <w:b/>
          <w:sz w:val="24"/>
          <w:highlight w:val="lightGray"/>
        </w:rPr>
        <w:t>日</w:t>
      </w:r>
      <w:r>
        <w:rPr>
          <w:rStyle w:val="33"/>
          <w:rFonts w:hint="eastAsia" w:ascii="宋体" w:hAnsi="宋体"/>
          <w:b/>
          <w:sz w:val="24"/>
          <w:highlight w:val="lightGray"/>
          <w:lang w:val="en-US" w:eastAsia="zh-CN"/>
        </w:rPr>
        <w:t>9</w:t>
      </w:r>
      <w:r>
        <w:rPr>
          <w:rStyle w:val="33"/>
          <w:rFonts w:hint="eastAsia" w:ascii="宋体" w:hAnsi="宋体"/>
          <w:b/>
          <w:sz w:val="24"/>
          <w:highlight w:val="lightGray"/>
        </w:rPr>
        <w:t>：30</w:t>
      </w:r>
      <w:r>
        <w:rPr>
          <w:rStyle w:val="33"/>
          <w:rFonts w:ascii="宋体" w:hAnsi="宋体"/>
          <w:b/>
          <w:sz w:val="24"/>
          <w:highlight w:val="lightGray"/>
        </w:rPr>
        <w:t>（北</w:t>
      </w:r>
      <w:r>
        <w:rPr>
          <w:rStyle w:val="33"/>
          <w:rFonts w:ascii="宋体" w:hAnsi="宋体"/>
          <w:b/>
          <w:color w:val="000000"/>
          <w:sz w:val="24"/>
          <w:highlight w:val="lightGray"/>
        </w:rPr>
        <w:t>京时间）</w:t>
      </w:r>
    </w:p>
    <w:p w14:paraId="1BADAE07">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扬州市邗江中路368号扬州大学附属医院（西区医院）行政楼四楼采购中心412室</w:t>
      </w:r>
    </w:p>
    <w:p w14:paraId="18216011">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3E0C54F5">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1486EF86">
      <w:pPr>
        <w:tabs>
          <w:tab w:val="left" w:pos="0"/>
        </w:tabs>
        <w:adjustRightInd w:val="0"/>
        <w:snapToGrid w:val="0"/>
        <w:spacing w:line="440" w:lineRule="exact"/>
        <w:ind w:firstLine="480" w:firstLineChars="200"/>
        <w:contextualSpacing/>
        <w:rPr>
          <w:rFonts w:ascii="宋体" w:hAnsi="宋体" w:cs="宋体"/>
          <w:b/>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b/>
          <w:snapToGrid w:val="0"/>
          <w:spacing w:val="-4"/>
          <w:kern w:val="0"/>
          <w:sz w:val="24"/>
        </w:rPr>
        <w:t>供应商如确定参加投标，请如实填写《供应商参加投标确认函》并盖章扫描，并将扫描的加盖公章的确认函和营业执照复印件及授权委托书于202</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1</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日17：</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0前发送至电子邮箱（50891671@qq.com）（联系电话：0514-82099552）。</w:t>
      </w:r>
      <w:r>
        <w:rPr>
          <w:rFonts w:ascii="宋体" w:hAnsi="宋体" w:cs="宋体"/>
          <w:b/>
          <w:snapToGrid w:val="0"/>
          <w:spacing w:val="-4"/>
          <w:kern w:val="0"/>
          <w:sz w:val="24"/>
        </w:rPr>
        <w:t>邮件名称为投标公司名称+所投项目名称，未按规定格式填写发送视为无效报名</w:t>
      </w:r>
      <w:r>
        <w:rPr>
          <w:rFonts w:hint="eastAsia" w:ascii="宋体" w:hAnsi="宋体" w:cs="宋体"/>
          <w:b/>
          <w:snapToGrid w:val="0"/>
          <w:spacing w:val="-4"/>
          <w:kern w:val="0"/>
          <w:sz w:val="24"/>
        </w:rPr>
        <w:t>。</w:t>
      </w:r>
    </w:p>
    <w:p w14:paraId="09C74F97">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1</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日</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扬州市邗江中路368号，扬州大学附属医院行政楼四楼采购中心412办公室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12464D3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04A92A5C">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10FCDDCB">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668A808A">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743C49BD">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87F801C">
      <w:pPr>
        <w:jc w:val="both"/>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EE823E2">
      <w:pPr>
        <w:jc w:val="center"/>
        <w:rPr>
          <w:rFonts w:ascii="宋体" w:hAnsi="宋体"/>
          <w:b/>
          <w:sz w:val="36"/>
          <w:szCs w:val="36"/>
        </w:rPr>
      </w:pPr>
      <w:r>
        <w:rPr>
          <w:rFonts w:hint="eastAsia" w:ascii="宋体" w:hAnsi="宋体"/>
          <w:b/>
          <w:sz w:val="36"/>
          <w:szCs w:val="36"/>
        </w:rPr>
        <w:t>二、项目需求</w:t>
      </w:r>
    </w:p>
    <w:p w14:paraId="0B74D6F5">
      <w:pPr>
        <w:tabs>
          <w:tab w:val="left" w:pos="540"/>
          <w:tab w:val="left" w:pos="720"/>
        </w:tabs>
        <w:adjustRightInd w:val="0"/>
        <w:snapToGrid w:val="0"/>
        <w:spacing w:line="440" w:lineRule="exact"/>
        <w:ind w:firstLine="482" w:firstLineChars="200"/>
        <w:contextualSpacing/>
        <w:rPr>
          <w:rFonts w:asciiTheme="minorEastAsia" w:hAnsiTheme="minorEastAsia" w:eastAsiaTheme="minorEastAsia"/>
          <w:sz w:val="24"/>
        </w:rPr>
      </w:pPr>
      <w:r>
        <w:rPr>
          <w:rFonts w:hint="eastAsia" w:asciiTheme="minorEastAsia" w:hAnsiTheme="minorEastAsia" w:eastAsiaTheme="minorEastAsia"/>
          <w:b/>
          <w:bCs/>
          <w:sz w:val="24"/>
        </w:rPr>
        <w:t>一、项目概况</w:t>
      </w:r>
    </w:p>
    <w:p w14:paraId="48959793">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snapToGrid w:val="0"/>
          <w:kern w:val="0"/>
          <w:sz w:val="24"/>
          <w:lang w:val="en-US" w:eastAsia="zh-CN"/>
        </w:rPr>
        <w:t>扬州市第一人民医院西区健康管理中心改造工程结算审计复审服务</w:t>
      </w:r>
      <w:r>
        <w:rPr>
          <w:rFonts w:hint="eastAsia" w:ascii="宋体" w:hAnsi="宋体" w:cs="宋体"/>
          <w:snapToGrid w:val="0"/>
          <w:kern w:val="0"/>
          <w:sz w:val="24"/>
        </w:rPr>
        <w:t>项目</w:t>
      </w:r>
    </w:p>
    <w:p w14:paraId="4A075E91">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cs="宋体"/>
          <w:snapToGrid w:val="0"/>
          <w:kern w:val="0"/>
          <w:sz w:val="24"/>
          <w:lang w:val="en-US" w:eastAsia="zh-CN"/>
        </w:rPr>
        <w:t>2.项目地点：扬州市第一人民医院西区医院</w:t>
      </w:r>
    </w:p>
    <w:p w14:paraId="24E92B16">
      <w:pPr>
        <w:adjustRightInd w:val="0"/>
        <w:snapToGrid w:val="0"/>
        <w:spacing w:line="440" w:lineRule="exact"/>
        <w:ind w:firstLine="480" w:firstLineChars="200"/>
        <w:contextualSpacing/>
        <w:rPr>
          <w:rFonts w:ascii="宋体" w:hAnsi="宋体" w:cs="宋体"/>
          <w:sz w:val="24"/>
        </w:rPr>
      </w:pPr>
      <w:r>
        <w:rPr>
          <w:rFonts w:hint="eastAsia" w:ascii="宋体" w:hAnsi="宋体" w:cs="宋体"/>
          <w:snapToGrid w:val="0"/>
          <w:kern w:val="0"/>
          <w:sz w:val="24"/>
          <w:lang w:val="en-US" w:eastAsia="zh-CN"/>
        </w:rPr>
        <w:t>3</w:t>
      </w:r>
      <w:r>
        <w:rPr>
          <w:rFonts w:hint="eastAsia" w:ascii="宋体" w:hAnsi="宋体" w:cs="宋体"/>
          <w:snapToGrid w:val="0"/>
          <w:kern w:val="0"/>
          <w:sz w:val="24"/>
        </w:rPr>
        <w:t>.</w:t>
      </w:r>
      <w:r>
        <w:rPr>
          <w:rFonts w:hint="eastAsia" w:ascii="宋体" w:hAnsi="宋体" w:cs="宋体"/>
          <w:snapToGrid w:val="0"/>
          <w:kern w:val="0"/>
          <w:sz w:val="24"/>
          <w:lang w:val="en-US" w:eastAsia="zh-CN"/>
        </w:rPr>
        <w:t>工程结算初审金额为1017万元</w:t>
      </w:r>
      <w:r>
        <w:rPr>
          <w:rFonts w:hint="eastAsia" w:ascii="宋体" w:hAnsi="宋体" w:cs="宋体"/>
          <w:snapToGrid w:val="0"/>
          <w:kern w:val="0"/>
          <w:sz w:val="24"/>
          <w:lang w:eastAsia="zh-CN"/>
        </w:rPr>
        <w:t>。</w:t>
      </w:r>
    </w:p>
    <w:p w14:paraId="7CA00061">
      <w:pPr>
        <w:adjustRightInd w:val="0"/>
        <w:snapToGrid w:val="0"/>
        <w:spacing w:line="440" w:lineRule="exact"/>
        <w:ind w:firstLine="480" w:firstLineChars="200"/>
        <w:contextualSpacing/>
        <w:rPr>
          <w:rFonts w:ascii="宋体" w:hAnsi="宋体" w:cs="宋体"/>
          <w:b w:val="0"/>
          <w:bCs w:val="0"/>
          <w:snapToGrid w:val="0"/>
          <w:kern w:val="0"/>
          <w:sz w:val="24"/>
        </w:rPr>
      </w:pPr>
      <w:r>
        <w:rPr>
          <w:rFonts w:hint="eastAsia" w:ascii="宋体" w:hAnsi="宋体" w:cs="宋体"/>
          <w:b w:val="0"/>
          <w:bCs w:val="0"/>
          <w:snapToGrid w:val="0"/>
          <w:kern w:val="0"/>
          <w:sz w:val="24"/>
          <w:lang w:val="en-US" w:eastAsia="zh-CN"/>
        </w:rPr>
        <w:t>4</w:t>
      </w:r>
      <w:r>
        <w:rPr>
          <w:rFonts w:hint="eastAsia" w:ascii="宋体" w:hAnsi="宋体" w:cs="宋体"/>
          <w:b w:val="0"/>
          <w:bCs w:val="0"/>
          <w:snapToGrid w:val="0"/>
          <w:kern w:val="0"/>
          <w:sz w:val="24"/>
        </w:rPr>
        <w:t>.</w:t>
      </w:r>
      <w:r>
        <w:rPr>
          <w:rFonts w:hint="eastAsia" w:ascii="宋体" w:hAnsi="宋体" w:cs="宋体"/>
          <w:b w:val="0"/>
          <w:bCs w:val="0"/>
          <w:snapToGrid w:val="0"/>
          <w:kern w:val="0"/>
          <w:sz w:val="24"/>
          <w:lang w:val="en-US" w:eastAsia="zh-CN"/>
        </w:rPr>
        <w:t>成果</w:t>
      </w:r>
      <w:r>
        <w:rPr>
          <w:rFonts w:hint="eastAsia" w:ascii="宋体" w:hAnsi="宋体" w:cs="宋体"/>
          <w:b w:val="0"/>
          <w:bCs w:val="0"/>
          <w:snapToGrid w:val="0"/>
          <w:kern w:val="0"/>
          <w:sz w:val="24"/>
        </w:rPr>
        <w:t>要求</w:t>
      </w:r>
      <w:r>
        <w:rPr>
          <w:rFonts w:hint="eastAsia" w:ascii="宋体" w:hAnsi="宋体" w:cs="宋体"/>
          <w:b w:val="0"/>
          <w:bCs w:val="0"/>
          <w:snapToGrid w:val="0"/>
          <w:kern w:val="0"/>
          <w:sz w:val="24"/>
          <w:lang w:eastAsia="zh-CN"/>
        </w:rPr>
        <w:t>：</w:t>
      </w:r>
      <w:r>
        <w:rPr>
          <w:rFonts w:hint="eastAsia" w:ascii="宋体" w:hAnsi="宋体" w:cs="宋体"/>
          <w:b w:val="0"/>
          <w:bCs w:val="0"/>
          <w:snapToGrid w:val="0"/>
          <w:kern w:val="0"/>
          <w:sz w:val="24"/>
        </w:rPr>
        <w:t>从接到完整的竣工结算资料之日起</w:t>
      </w:r>
      <w:r>
        <w:rPr>
          <w:rFonts w:hint="eastAsia" w:ascii="宋体" w:hAnsi="宋体" w:cs="宋体"/>
          <w:b w:val="0"/>
          <w:bCs w:val="0"/>
          <w:snapToGrid w:val="0"/>
          <w:kern w:val="0"/>
          <w:sz w:val="24"/>
          <w:lang w:val="en-US" w:eastAsia="zh-CN"/>
        </w:rPr>
        <w:t>30</w:t>
      </w:r>
      <w:r>
        <w:rPr>
          <w:rFonts w:hint="eastAsia" w:ascii="宋体" w:hAnsi="宋体" w:cs="宋体"/>
          <w:b w:val="0"/>
          <w:bCs w:val="0"/>
          <w:snapToGrid w:val="0"/>
          <w:kern w:val="0"/>
          <w:sz w:val="24"/>
        </w:rPr>
        <w:t>天内提交初审结果报告，</w:t>
      </w:r>
      <w:r>
        <w:rPr>
          <w:rFonts w:hint="eastAsia" w:ascii="宋体" w:hAnsi="宋体" w:cs="宋体"/>
          <w:b w:val="0"/>
          <w:bCs w:val="0"/>
          <w:snapToGrid w:val="0"/>
          <w:kern w:val="0"/>
          <w:sz w:val="24"/>
          <w:lang w:val="en-US" w:eastAsia="zh-CN"/>
        </w:rPr>
        <w:t>60</w:t>
      </w:r>
      <w:r>
        <w:rPr>
          <w:rFonts w:hint="eastAsia" w:ascii="宋体" w:hAnsi="宋体" w:cs="宋体"/>
          <w:b w:val="0"/>
          <w:bCs w:val="0"/>
          <w:snapToGrid w:val="0"/>
          <w:kern w:val="0"/>
          <w:sz w:val="24"/>
        </w:rPr>
        <w:t>天内提交审定成果报告。若出现被审计单位不配合（如拒绝提供材料、拖延确认审核意见等）、资料不完整需补充、项目情况复杂需额外核查等情况，审核时间及时通知采购人后可相应顺延。</w:t>
      </w:r>
    </w:p>
    <w:p w14:paraId="7BAAB532">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lang w:val="en-US" w:eastAsia="zh-CN"/>
        </w:rPr>
        <w:t>5</w:t>
      </w:r>
      <w:r>
        <w:rPr>
          <w:rFonts w:hint="eastAsia" w:ascii="宋体" w:hAnsi="宋体" w:cs="宋体"/>
          <w:snapToGrid w:val="0"/>
          <w:kern w:val="0"/>
          <w:sz w:val="24"/>
        </w:rPr>
        <w:t>.合同签订时间：中标公告发出后15个日历天内（因中标单位原因造成超过期限未签订合同，视为自动放弃中标资格）</w:t>
      </w:r>
    </w:p>
    <w:p w14:paraId="65525150">
      <w:pPr>
        <w:tabs>
          <w:tab w:val="left" w:pos="540"/>
          <w:tab w:val="left" w:pos="720"/>
        </w:tabs>
        <w:adjustRightInd w:val="0"/>
        <w:snapToGrid w:val="0"/>
        <w:spacing w:line="440" w:lineRule="exact"/>
        <w:ind w:firstLine="482" w:firstLineChars="200"/>
        <w:contextualSpacing/>
      </w:pPr>
      <w:r>
        <w:rPr>
          <w:rFonts w:hint="eastAsia" w:asciiTheme="minorEastAsia" w:hAnsiTheme="minorEastAsia" w:eastAsiaTheme="minorEastAsia"/>
          <w:b/>
          <w:bCs/>
          <w:sz w:val="24"/>
        </w:rPr>
        <w:t>二、工程项目结算审计</w:t>
      </w:r>
      <w:r>
        <w:rPr>
          <w:rFonts w:hint="eastAsia" w:asciiTheme="minorEastAsia" w:hAnsiTheme="minorEastAsia" w:eastAsiaTheme="minorEastAsia"/>
          <w:b/>
          <w:bCs/>
          <w:sz w:val="24"/>
          <w:lang w:val="en-US" w:eastAsia="zh-CN"/>
        </w:rPr>
        <w:t>复审咨询服务</w:t>
      </w:r>
      <w:r>
        <w:rPr>
          <w:rFonts w:hint="eastAsia" w:asciiTheme="minorEastAsia" w:hAnsiTheme="minorEastAsia" w:eastAsiaTheme="minorEastAsia"/>
          <w:b/>
          <w:bCs/>
          <w:sz w:val="24"/>
        </w:rPr>
        <w:t>要求</w:t>
      </w:r>
    </w:p>
    <w:p w14:paraId="237D152C">
      <w:pPr>
        <w:adjustRightInd w:val="0"/>
        <w:snapToGrid w:val="0"/>
        <w:spacing w:line="440" w:lineRule="exact"/>
        <w:ind w:firstLine="480" w:firstLineChars="200"/>
        <w:contextualSpacing/>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1.</w:t>
      </w:r>
      <w:r>
        <w:rPr>
          <w:rFonts w:hint="eastAsia" w:ascii="宋体" w:hAnsi="宋体" w:eastAsia="宋体" w:cs="宋体"/>
          <w:snapToGrid w:val="0"/>
          <w:kern w:val="0"/>
          <w:sz w:val="24"/>
        </w:rPr>
        <w:t>全面复核标内工程量，说明超工程量是否计价及理由；</w:t>
      </w:r>
    </w:p>
    <w:p w14:paraId="747443FF">
      <w:pPr>
        <w:adjustRightInd w:val="0"/>
        <w:snapToGrid w:val="0"/>
        <w:spacing w:line="440" w:lineRule="exact"/>
        <w:ind w:firstLine="480" w:firstLineChars="200"/>
        <w:contextualSpacing/>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2.</w:t>
      </w:r>
      <w:r>
        <w:rPr>
          <w:rFonts w:hint="eastAsia" w:ascii="宋体" w:hAnsi="宋体" w:eastAsia="宋体" w:cs="宋体"/>
          <w:snapToGrid w:val="0"/>
          <w:kern w:val="0"/>
          <w:sz w:val="24"/>
        </w:rPr>
        <w:t>全面复核变更签证工程量与单价，特别关注定额子目的套用是否存在高套、错套与重套现象，并给出处理结果；</w:t>
      </w:r>
    </w:p>
    <w:p w14:paraId="60D4BF41">
      <w:pPr>
        <w:adjustRightInd w:val="0"/>
        <w:snapToGrid w:val="0"/>
        <w:spacing w:line="440" w:lineRule="exact"/>
        <w:ind w:firstLine="480" w:firstLineChars="200"/>
        <w:contextualSpacing/>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3.</w:t>
      </w:r>
      <w:r>
        <w:rPr>
          <w:rFonts w:hint="eastAsia" w:ascii="宋体" w:hAnsi="宋体" w:eastAsia="宋体" w:cs="宋体"/>
          <w:snapToGrid w:val="0"/>
          <w:kern w:val="0"/>
          <w:sz w:val="24"/>
        </w:rPr>
        <w:t>全面复核主材品牌、规格和型号；</w:t>
      </w:r>
    </w:p>
    <w:p w14:paraId="5B8156AA">
      <w:pPr>
        <w:adjustRightInd w:val="0"/>
        <w:snapToGrid w:val="0"/>
        <w:spacing w:line="440" w:lineRule="exact"/>
        <w:ind w:firstLine="480" w:firstLineChars="200"/>
        <w:contextualSpacing/>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4.</w:t>
      </w:r>
      <w:r>
        <w:rPr>
          <w:rFonts w:hint="eastAsia" w:ascii="宋体" w:hAnsi="宋体" w:eastAsia="宋体" w:cs="宋体"/>
          <w:snapToGrid w:val="0"/>
          <w:kern w:val="0"/>
          <w:sz w:val="24"/>
        </w:rPr>
        <w:t>根据现场影像资料，全面复核隐蔽工程的工程量和价格；</w:t>
      </w:r>
    </w:p>
    <w:p w14:paraId="3F25E6E2">
      <w:pPr>
        <w:adjustRightInd w:val="0"/>
        <w:snapToGrid w:val="0"/>
        <w:spacing w:line="440" w:lineRule="exact"/>
        <w:ind w:firstLine="480" w:firstLineChars="200"/>
        <w:contextualSpacing/>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5.</w:t>
      </w:r>
      <w:r>
        <w:rPr>
          <w:rFonts w:hint="eastAsia" w:ascii="宋体" w:hAnsi="宋体" w:eastAsia="宋体" w:cs="宋体"/>
          <w:snapToGrid w:val="0"/>
          <w:kern w:val="0"/>
          <w:sz w:val="24"/>
        </w:rPr>
        <w:t>审核工程工期，处理超工期问题；</w:t>
      </w:r>
    </w:p>
    <w:p w14:paraId="3A9AE2E5">
      <w:pPr>
        <w:adjustRightInd w:val="0"/>
        <w:snapToGrid w:val="0"/>
        <w:spacing w:line="440" w:lineRule="exact"/>
        <w:ind w:firstLine="480" w:firstLineChars="200"/>
        <w:contextualSpacing/>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6.</w:t>
      </w:r>
      <w:r>
        <w:rPr>
          <w:rFonts w:hint="eastAsia" w:ascii="宋体" w:hAnsi="宋体" w:eastAsia="宋体" w:cs="宋体"/>
          <w:snapToGrid w:val="0"/>
          <w:kern w:val="0"/>
          <w:sz w:val="24"/>
        </w:rPr>
        <w:t>审核甲供材超欠供的处理情况；</w:t>
      </w:r>
    </w:p>
    <w:p w14:paraId="38DC8F31">
      <w:pPr>
        <w:adjustRightInd w:val="0"/>
        <w:snapToGrid w:val="0"/>
        <w:spacing w:line="440" w:lineRule="exact"/>
        <w:ind w:firstLine="480" w:firstLineChars="200"/>
        <w:contextualSpacing/>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7.</w:t>
      </w:r>
      <w:r>
        <w:rPr>
          <w:rFonts w:hint="eastAsia" w:ascii="宋体" w:hAnsi="宋体" w:eastAsia="宋体" w:cs="宋体"/>
          <w:snapToGrid w:val="0"/>
          <w:kern w:val="0"/>
          <w:sz w:val="24"/>
        </w:rPr>
        <w:t>审核取费、措施费用及其它费用的合理性；</w:t>
      </w:r>
    </w:p>
    <w:p w14:paraId="2EE52F32">
      <w:pPr>
        <w:adjustRightInd w:val="0"/>
        <w:snapToGrid w:val="0"/>
        <w:spacing w:line="440" w:lineRule="exact"/>
        <w:ind w:firstLine="480" w:firstLineChars="200"/>
        <w:contextualSpacing/>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8.</w:t>
      </w:r>
      <w:r>
        <w:rPr>
          <w:rFonts w:hint="eastAsia" w:ascii="宋体" w:hAnsi="宋体" w:eastAsia="宋体" w:cs="宋体"/>
          <w:snapToGrid w:val="0"/>
          <w:kern w:val="0"/>
          <w:sz w:val="24"/>
        </w:rPr>
        <w:t>审核水电费的处理情况；</w:t>
      </w:r>
    </w:p>
    <w:p w14:paraId="01AD6893">
      <w:pPr>
        <w:adjustRightInd w:val="0"/>
        <w:snapToGrid w:val="0"/>
        <w:spacing w:line="440" w:lineRule="exact"/>
        <w:ind w:firstLine="480" w:firstLineChars="200"/>
        <w:contextualSpacing/>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9.</w:t>
      </w:r>
      <w:r>
        <w:rPr>
          <w:rFonts w:hint="eastAsia" w:ascii="宋体" w:hAnsi="宋体" w:eastAsia="宋体" w:cs="宋体"/>
          <w:snapToGrid w:val="0"/>
          <w:kern w:val="0"/>
          <w:sz w:val="24"/>
        </w:rPr>
        <w:t>对工程项目管理等情况进行评价。</w:t>
      </w:r>
    </w:p>
    <w:p w14:paraId="2E088387">
      <w:pPr>
        <w:tabs>
          <w:tab w:val="left" w:pos="540"/>
          <w:tab w:val="left" w:pos="720"/>
        </w:tabs>
        <w:adjustRightInd w:val="0"/>
        <w:snapToGrid w:val="0"/>
        <w:spacing w:line="440" w:lineRule="exact"/>
        <w:ind w:firstLine="482" w:firstLineChars="200"/>
        <w:contextualSpacing/>
        <w:rPr>
          <w:rFonts w:hint="default" w:cs="Times New Roman" w:asciiTheme="minorEastAsia" w:hAnsiTheme="minorEastAsia" w:eastAsiaTheme="minorEastAsia"/>
          <w:b/>
          <w:bCs/>
          <w:sz w:val="24"/>
          <w:lang w:val="en-US" w:eastAsia="zh-CN"/>
        </w:rPr>
      </w:pPr>
      <w:r>
        <w:rPr>
          <w:rFonts w:hint="eastAsia" w:cs="Times New Roman" w:asciiTheme="minorEastAsia" w:hAnsiTheme="minorEastAsia" w:eastAsiaTheme="minorEastAsia"/>
          <w:b/>
          <w:bCs/>
          <w:sz w:val="24"/>
          <w:lang w:val="en-US" w:eastAsia="zh-CN"/>
        </w:rPr>
        <w:t>三</w:t>
      </w:r>
      <w:r>
        <w:rPr>
          <w:rFonts w:hint="eastAsia" w:cs="Times New Roman" w:asciiTheme="minorEastAsia" w:hAnsiTheme="minorEastAsia" w:eastAsiaTheme="minorEastAsia"/>
          <w:b/>
          <w:bCs/>
          <w:sz w:val="24"/>
        </w:rPr>
        <w:t>、</w:t>
      </w:r>
      <w:r>
        <w:rPr>
          <w:rFonts w:hint="eastAsia" w:cs="Times New Roman" w:asciiTheme="minorEastAsia" w:hAnsiTheme="minorEastAsia" w:eastAsiaTheme="minorEastAsia"/>
          <w:b/>
          <w:bCs/>
          <w:sz w:val="24"/>
          <w:lang w:val="en-US" w:eastAsia="zh-CN"/>
        </w:rPr>
        <w:t>人员要求</w:t>
      </w:r>
    </w:p>
    <w:p w14:paraId="6F9614C0">
      <w:pPr>
        <w:adjustRightInd w:val="0"/>
        <w:snapToGrid w:val="0"/>
        <w:spacing w:line="440" w:lineRule="exact"/>
        <w:ind w:firstLine="480" w:firstLineChars="200"/>
        <w:contextualSpacing/>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1.项目负责人必须同时具有一级造价工程师（原全国注册造价工程师）执业资格和工程类中级（含）以上职称；</w:t>
      </w:r>
    </w:p>
    <w:p w14:paraId="022732A3">
      <w:pPr>
        <w:adjustRightInd w:val="0"/>
        <w:snapToGrid w:val="0"/>
        <w:spacing w:line="440" w:lineRule="exact"/>
        <w:ind w:firstLine="480" w:firstLineChars="200"/>
        <w:contextualSpacing/>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2.项目组其他人员须具有二级及以上造价工程师执业资格或中级（含）以上造价员资格；</w:t>
      </w:r>
    </w:p>
    <w:p w14:paraId="349FD900">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3.</w:t>
      </w:r>
      <w:r>
        <w:rPr>
          <w:rFonts w:hint="default" w:ascii="宋体" w:hAnsi="宋体" w:eastAsia="宋体" w:cs="宋体"/>
          <w:snapToGrid w:val="0"/>
          <w:kern w:val="0"/>
          <w:sz w:val="24"/>
          <w:lang w:val="en-US" w:eastAsia="zh-CN"/>
        </w:rPr>
        <w:t>项目组成员均须为本单位正式员工；</w:t>
      </w:r>
    </w:p>
    <w:p w14:paraId="1499372F">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4.</w:t>
      </w:r>
      <w:r>
        <w:rPr>
          <w:rFonts w:hint="default" w:ascii="宋体" w:hAnsi="宋体" w:eastAsia="宋体" w:cs="宋体"/>
          <w:snapToGrid w:val="0"/>
          <w:kern w:val="0"/>
          <w:sz w:val="24"/>
          <w:lang w:val="en-US" w:eastAsia="zh-CN"/>
        </w:rPr>
        <w:t>审计过程中，中标人不得随意调换（减少）审计人员，确因特殊原因需调整审计人员的，必须事先履行书面申请，经委托人批准后实施。若委托人发现项目实际审计人员非原投标项目组成员，且人员调整未经委托人同意，情节严重的，委托人有权单方面终止合同，并追究咨询人违约责任。</w:t>
      </w:r>
    </w:p>
    <w:p w14:paraId="4FCB5246">
      <w:pPr>
        <w:tabs>
          <w:tab w:val="left" w:pos="540"/>
          <w:tab w:val="left" w:pos="720"/>
        </w:tabs>
        <w:adjustRightInd w:val="0"/>
        <w:snapToGrid w:val="0"/>
        <w:spacing w:line="440" w:lineRule="exact"/>
        <w:ind w:firstLine="482" w:firstLineChars="200"/>
        <w:contextualSpacing/>
        <w:rPr>
          <w:rFonts w:hint="default" w:cs="Times New Roman" w:asciiTheme="minorEastAsia" w:hAnsiTheme="minorEastAsia" w:eastAsiaTheme="minorEastAsia"/>
          <w:b/>
          <w:bCs/>
          <w:sz w:val="24"/>
          <w:lang w:val="en-US" w:eastAsia="zh-CN"/>
        </w:rPr>
      </w:pPr>
      <w:bookmarkStart w:id="1" w:name="_Toc14208"/>
      <w:r>
        <w:rPr>
          <w:rFonts w:hint="eastAsia" w:cs="Times New Roman" w:asciiTheme="minorEastAsia" w:hAnsiTheme="minorEastAsia" w:eastAsiaTheme="minorEastAsia"/>
          <w:b/>
          <w:bCs/>
          <w:sz w:val="24"/>
          <w:lang w:val="en-US" w:eastAsia="zh-CN"/>
        </w:rPr>
        <w:t>三、</w:t>
      </w:r>
      <w:r>
        <w:rPr>
          <w:rFonts w:hint="default" w:cs="Times New Roman" w:asciiTheme="minorEastAsia" w:hAnsiTheme="minorEastAsia" w:eastAsiaTheme="minorEastAsia"/>
          <w:b/>
          <w:bCs/>
          <w:sz w:val="24"/>
          <w:lang w:val="en-US" w:eastAsia="zh-CN"/>
        </w:rPr>
        <w:t>其他要求</w:t>
      </w:r>
      <w:bookmarkEnd w:id="1"/>
    </w:p>
    <w:p w14:paraId="7DF43E79">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1.</w:t>
      </w:r>
      <w:r>
        <w:rPr>
          <w:rFonts w:hint="default" w:ascii="宋体" w:hAnsi="宋体" w:eastAsia="宋体" w:cs="宋体"/>
          <w:snapToGrid w:val="0"/>
          <w:kern w:val="0"/>
          <w:sz w:val="24"/>
          <w:lang w:val="en-US" w:eastAsia="zh-CN"/>
        </w:rPr>
        <w:t>中标人接受委托人分配的任务应当履行审计回避制度。凡是与被审计单位或者审计事项存在利害关系，或已实际承担了与该审计事项不相容的业务，应当主动回避。如在审计过程中发现中标人或相关审计人员应当回避而未回避的，委托人将要求中标人及时更换相关人员，并将情况备案，造成严重后果的，委托人有权中止合同，并就有关损失进行索赔。</w:t>
      </w:r>
    </w:p>
    <w:p w14:paraId="3A858914">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2.</w:t>
      </w:r>
      <w:r>
        <w:rPr>
          <w:rFonts w:hint="default" w:ascii="宋体" w:hAnsi="宋体" w:eastAsia="宋体" w:cs="宋体"/>
          <w:snapToGrid w:val="0"/>
          <w:kern w:val="0"/>
          <w:sz w:val="24"/>
          <w:lang w:val="en-US" w:eastAsia="zh-CN"/>
        </w:rPr>
        <w:t>中标人必须严格遵守审计职业道德、审计“八不准”等廉政纪律要求，保守审计过程中获悉的商业秘密或委托人要求保密的工作秘密。</w:t>
      </w:r>
    </w:p>
    <w:p w14:paraId="31E33E62">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p>
    <w:p w14:paraId="220F60AB">
      <w:pPr>
        <w:rPr>
          <w:rFonts w:hint="eastAsia" w:ascii="宋体" w:hAnsi="宋体"/>
          <w:b/>
          <w:sz w:val="36"/>
          <w:szCs w:val="36"/>
        </w:rPr>
      </w:pPr>
      <w:r>
        <w:rPr>
          <w:rFonts w:hint="eastAsia" w:ascii="宋体" w:hAnsi="宋体"/>
          <w:b/>
          <w:sz w:val="36"/>
          <w:szCs w:val="36"/>
        </w:rPr>
        <w:br w:type="page"/>
      </w:r>
    </w:p>
    <w:p w14:paraId="1C18B536">
      <w:pPr>
        <w:jc w:val="center"/>
        <w:rPr>
          <w:rFonts w:ascii="宋体" w:hAnsi="宋体"/>
          <w:b/>
          <w:sz w:val="36"/>
          <w:szCs w:val="36"/>
        </w:rPr>
      </w:pPr>
      <w:r>
        <w:rPr>
          <w:rFonts w:hint="eastAsia" w:ascii="宋体" w:hAnsi="宋体"/>
          <w:b/>
          <w:sz w:val="36"/>
          <w:szCs w:val="36"/>
        </w:rPr>
        <w:t>投标文件格式</w:t>
      </w:r>
    </w:p>
    <w:p w14:paraId="5D7E61D7">
      <w:pPr>
        <w:rPr>
          <w:rFonts w:ascii="宋体" w:hAnsi="宋体"/>
          <w:b/>
          <w:sz w:val="32"/>
          <w:szCs w:val="32"/>
        </w:rPr>
      </w:pPr>
    </w:p>
    <w:p w14:paraId="65BBD9F2">
      <w:pPr>
        <w:pStyle w:val="6"/>
      </w:pPr>
    </w:p>
    <w:p w14:paraId="47866877">
      <w:pPr>
        <w:pStyle w:val="16"/>
        <w:ind w:firstLine="0"/>
      </w:pPr>
    </w:p>
    <w:p w14:paraId="2DDC478E">
      <w:pPr>
        <w:jc w:val="center"/>
        <w:rPr>
          <w:rFonts w:ascii="宋体" w:hAnsi="宋体"/>
          <w:b/>
          <w:bCs/>
          <w:sz w:val="36"/>
          <w:szCs w:val="36"/>
        </w:rPr>
      </w:pPr>
      <w:r>
        <w:rPr>
          <w:rFonts w:hint="eastAsia" w:ascii="宋体" w:hAnsi="宋体"/>
          <w:b/>
          <w:bCs/>
          <w:sz w:val="36"/>
          <w:szCs w:val="36"/>
        </w:rPr>
        <w:t>投标文件</w:t>
      </w:r>
    </w:p>
    <w:p w14:paraId="44DDC78A">
      <w:pPr>
        <w:pStyle w:val="16"/>
        <w:ind w:firstLine="0"/>
      </w:pPr>
    </w:p>
    <w:p w14:paraId="7F3E64E7">
      <w:pPr>
        <w:rPr>
          <w:rFonts w:ascii="宋体" w:hAnsi="宋体"/>
          <w:u w:val="single"/>
        </w:rPr>
      </w:pPr>
    </w:p>
    <w:p w14:paraId="71630C91">
      <w:pPr>
        <w:rPr>
          <w:rFonts w:ascii="宋体" w:hAnsi="宋体"/>
          <w:u w:val="single"/>
        </w:rPr>
      </w:pPr>
    </w:p>
    <w:p w14:paraId="536A89A1">
      <w:pPr>
        <w:rPr>
          <w:rFonts w:ascii="宋体" w:hAnsi="宋体"/>
          <w:sz w:val="30"/>
          <w:u w:val="single"/>
        </w:rPr>
      </w:pPr>
    </w:p>
    <w:p w14:paraId="35E09CB1">
      <w:pPr>
        <w:rPr>
          <w:rFonts w:ascii="宋体" w:hAnsi="宋体"/>
          <w:sz w:val="30"/>
          <w:u w:val="single"/>
        </w:rPr>
      </w:pPr>
    </w:p>
    <w:p w14:paraId="79BA9DD4">
      <w:pPr>
        <w:rPr>
          <w:rFonts w:ascii="宋体" w:hAnsi="宋体"/>
          <w:sz w:val="30"/>
          <w:u w:val="single"/>
        </w:rPr>
      </w:pPr>
    </w:p>
    <w:p w14:paraId="5965A21E">
      <w:pPr>
        <w:spacing w:line="400" w:lineRule="exact"/>
        <w:rPr>
          <w:rFonts w:ascii="宋体" w:hAnsi="宋体"/>
          <w:sz w:val="30"/>
          <w:u w:val="single"/>
        </w:rPr>
      </w:pPr>
    </w:p>
    <w:p w14:paraId="50C26508">
      <w:pPr>
        <w:pStyle w:val="16"/>
        <w:ind w:firstLine="0"/>
      </w:pPr>
    </w:p>
    <w:p w14:paraId="39EBF1B8">
      <w:pPr>
        <w:pStyle w:val="16"/>
        <w:ind w:firstLine="0"/>
      </w:pPr>
    </w:p>
    <w:p w14:paraId="3AF6335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400812CA">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14F223F2">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64CDD8A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7993A433">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6448913D">
      <w:pPr>
        <w:adjustRightInd w:val="0"/>
        <w:snapToGrid w:val="0"/>
        <w:spacing w:line="700" w:lineRule="exact"/>
        <w:ind w:firstLine="677" w:firstLineChars="242"/>
        <w:contextualSpacing/>
        <w:rPr>
          <w:sz w:val="28"/>
          <w:szCs w:val="28"/>
        </w:rPr>
      </w:pPr>
      <w:r>
        <w:rPr>
          <w:rFonts w:hint="eastAsia"/>
          <w:sz w:val="28"/>
          <w:szCs w:val="28"/>
        </w:rPr>
        <w:t>日       期：          年      月      日</w:t>
      </w:r>
    </w:p>
    <w:p w14:paraId="254FAB5B">
      <w:pPr>
        <w:rPr>
          <w:b/>
          <w:sz w:val="36"/>
          <w:szCs w:val="36"/>
        </w:rPr>
      </w:pPr>
    </w:p>
    <w:p w14:paraId="5BEA9749">
      <w:r>
        <w:br w:type="page"/>
      </w:r>
    </w:p>
    <w:p w14:paraId="43D1EC52">
      <w:pPr>
        <w:jc w:val="center"/>
        <w:rPr>
          <w:rFonts w:ascii="宋体" w:hAnsi="宋体"/>
          <w:b/>
          <w:sz w:val="36"/>
          <w:szCs w:val="36"/>
          <w:u w:val="single"/>
        </w:rPr>
      </w:pPr>
      <w:r>
        <w:rPr>
          <w:rFonts w:hint="eastAsia"/>
          <w:b/>
          <w:sz w:val="36"/>
          <w:szCs w:val="36"/>
        </w:rPr>
        <w:t>目录</w:t>
      </w:r>
    </w:p>
    <w:p w14:paraId="2200BA5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2620CACC">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4A0C6D18">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293A37A7">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72BC1C8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5E747750">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57F33AC6">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0310C97C">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392E572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6B541E97">
      <w:pPr>
        <w:tabs>
          <w:tab w:val="left" w:pos="1300"/>
          <w:tab w:val="left" w:pos="1600"/>
        </w:tabs>
        <w:spacing w:line="560" w:lineRule="exact"/>
        <w:rPr>
          <w:rFonts w:ascii="宋体" w:hAnsi="宋体"/>
          <w:color w:val="000000"/>
          <w:szCs w:val="21"/>
          <w:u w:val="single"/>
        </w:rPr>
      </w:pPr>
    </w:p>
    <w:p w14:paraId="151A54CA">
      <w:pPr>
        <w:autoSpaceDE w:val="0"/>
        <w:autoSpaceDN w:val="0"/>
        <w:jc w:val="left"/>
        <w:rPr>
          <w:rFonts w:ascii="宋体" w:hAnsi="宋体" w:cs="宋体"/>
          <w:b/>
          <w:sz w:val="44"/>
          <w:szCs w:val="44"/>
        </w:rPr>
      </w:pPr>
    </w:p>
    <w:p w14:paraId="22CA678C">
      <w:pPr>
        <w:autoSpaceDE w:val="0"/>
        <w:autoSpaceDN w:val="0"/>
        <w:jc w:val="left"/>
        <w:rPr>
          <w:rFonts w:ascii="宋体" w:hAnsi="宋体" w:cs="宋体"/>
          <w:b/>
          <w:sz w:val="44"/>
          <w:szCs w:val="44"/>
        </w:rPr>
      </w:pPr>
    </w:p>
    <w:p w14:paraId="133E563A">
      <w:r>
        <w:br w:type="page"/>
      </w:r>
    </w:p>
    <w:p w14:paraId="17D3DD78">
      <w:pPr>
        <w:pStyle w:val="30"/>
        <w:numPr>
          <w:ilvl w:val="0"/>
          <w:numId w:val="2"/>
        </w:numPr>
        <w:autoSpaceDE w:val="0"/>
        <w:autoSpaceDN w:val="0"/>
        <w:ind w:firstLineChars="0"/>
        <w:jc w:val="center"/>
        <w:rPr>
          <w:b/>
          <w:sz w:val="36"/>
          <w:szCs w:val="36"/>
        </w:rPr>
      </w:pPr>
      <w:r>
        <w:rPr>
          <w:rFonts w:hint="eastAsia"/>
          <w:b/>
          <w:sz w:val="36"/>
          <w:szCs w:val="36"/>
        </w:rPr>
        <w:t>供应商参加投标确认函原件</w:t>
      </w:r>
    </w:p>
    <w:p w14:paraId="6AFCD11E">
      <w:pPr>
        <w:autoSpaceDE w:val="0"/>
        <w:autoSpaceDN w:val="0"/>
        <w:jc w:val="center"/>
        <w:rPr>
          <w:rFonts w:ascii="宋体" w:hAnsi="宋体" w:cs="宋体"/>
          <w:sz w:val="28"/>
          <w:szCs w:val="28"/>
        </w:rPr>
      </w:pPr>
    </w:p>
    <w:p w14:paraId="0A222128">
      <w:pPr>
        <w:autoSpaceDE w:val="0"/>
        <w:autoSpaceDN w:val="0"/>
        <w:jc w:val="center"/>
        <w:rPr>
          <w:rFonts w:ascii="宋体" w:hAnsi="宋体" w:cs="宋体"/>
          <w:sz w:val="28"/>
          <w:szCs w:val="28"/>
        </w:rPr>
      </w:pPr>
    </w:p>
    <w:p w14:paraId="04D6F74A">
      <w:pPr>
        <w:autoSpaceDE w:val="0"/>
        <w:autoSpaceDN w:val="0"/>
        <w:jc w:val="center"/>
        <w:rPr>
          <w:rFonts w:ascii="宋体" w:hAnsi="宋体" w:cs="宋体"/>
          <w:sz w:val="28"/>
          <w:szCs w:val="28"/>
        </w:rPr>
      </w:pPr>
    </w:p>
    <w:p w14:paraId="27FBDCE3">
      <w:pPr>
        <w:adjustRightInd w:val="0"/>
        <w:snapToGrid w:val="0"/>
        <w:spacing w:line="440" w:lineRule="exact"/>
        <w:contextualSpacing/>
        <w:jc w:val="center"/>
        <w:rPr>
          <w:b/>
          <w:sz w:val="36"/>
          <w:szCs w:val="36"/>
        </w:rPr>
      </w:pPr>
      <w:r>
        <w:rPr>
          <w:rFonts w:hint="eastAsia"/>
          <w:b/>
          <w:sz w:val="36"/>
          <w:szCs w:val="36"/>
        </w:rPr>
        <w:t>（二）营业执照副本</w:t>
      </w:r>
    </w:p>
    <w:p w14:paraId="4A409043">
      <w:pPr>
        <w:adjustRightInd w:val="0"/>
        <w:snapToGrid w:val="0"/>
        <w:spacing w:line="440" w:lineRule="exact"/>
        <w:contextualSpacing/>
      </w:pPr>
    </w:p>
    <w:p w14:paraId="030E9E9A">
      <w:pPr>
        <w:pStyle w:val="16"/>
      </w:pPr>
    </w:p>
    <w:p w14:paraId="2B331A71">
      <w:pPr>
        <w:pStyle w:val="16"/>
      </w:pPr>
    </w:p>
    <w:p w14:paraId="57667CCC">
      <w:pPr>
        <w:pStyle w:val="16"/>
      </w:pPr>
    </w:p>
    <w:p w14:paraId="5FD57050">
      <w:pPr>
        <w:pStyle w:val="16"/>
      </w:pPr>
    </w:p>
    <w:p w14:paraId="6D9C5D24">
      <w:pPr>
        <w:pStyle w:val="16"/>
      </w:pPr>
    </w:p>
    <w:p w14:paraId="7BB96BF3">
      <w:pPr>
        <w:pStyle w:val="16"/>
      </w:pPr>
    </w:p>
    <w:p w14:paraId="1340B890">
      <w:pPr>
        <w:pStyle w:val="16"/>
      </w:pPr>
    </w:p>
    <w:p w14:paraId="72460F34">
      <w:pPr>
        <w:pStyle w:val="16"/>
      </w:pPr>
    </w:p>
    <w:p w14:paraId="02A25C6E">
      <w:pPr>
        <w:pStyle w:val="16"/>
      </w:pPr>
    </w:p>
    <w:p w14:paraId="386E7265">
      <w:pPr>
        <w:pStyle w:val="16"/>
      </w:pPr>
    </w:p>
    <w:p w14:paraId="1FC75F88">
      <w:pPr>
        <w:pStyle w:val="16"/>
      </w:pPr>
    </w:p>
    <w:p w14:paraId="418DA8A8">
      <w:pPr>
        <w:pStyle w:val="16"/>
      </w:pPr>
    </w:p>
    <w:p w14:paraId="7B507AE6">
      <w:pPr>
        <w:pStyle w:val="16"/>
      </w:pPr>
    </w:p>
    <w:p w14:paraId="446A251D">
      <w:pPr>
        <w:pStyle w:val="16"/>
      </w:pPr>
    </w:p>
    <w:p w14:paraId="662DB244">
      <w:pPr>
        <w:pStyle w:val="16"/>
      </w:pPr>
    </w:p>
    <w:p w14:paraId="062ABC9E">
      <w:pPr>
        <w:pStyle w:val="16"/>
      </w:pPr>
    </w:p>
    <w:p w14:paraId="3741635D">
      <w:pPr>
        <w:pStyle w:val="16"/>
      </w:pPr>
    </w:p>
    <w:p w14:paraId="5A7BC6AA">
      <w:pPr>
        <w:pStyle w:val="16"/>
      </w:pPr>
    </w:p>
    <w:p w14:paraId="43DBD97C">
      <w:pPr>
        <w:pStyle w:val="16"/>
      </w:pPr>
    </w:p>
    <w:p w14:paraId="37A617E5">
      <w:pPr>
        <w:pStyle w:val="16"/>
      </w:pPr>
    </w:p>
    <w:p w14:paraId="0921D270">
      <w:pPr>
        <w:pStyle w:val="16"/>
      </w:pPr>
    </w:p>
    <w:p w14:paraId="027F6C0A">
      <w:pPr>
        <w:pStyle w:val="16"/>
      </w:pPr>
    </w:p>
    <w:p w14:paraId="18758E81">
      <w:pPr>
        <w:pStyle w:val="16"/>
      </w:pPr>
    </w:p>
    <w:p w14:paraId="181DBF2C">
      <w:pPr>
        <w:pStyle w:val="16"/>
      </w:pPr>
    </w:p>
    <w:p w14:paraId="4BDB7C8D">
      <w:pPr>
        <w:pStyle w:val="16"/>
      </w:pPr>
    </w:p>
    <w:p w14:paraId="2303540E">
      <w:pPr>
        <w:pStyle w:val="16"/>
      </w:pPr>
    </w:p>
    <w:p w14:paraId="7208EFD9">
      <w:pPr>
        <w:pStyle w:val="16"/>
      </w:pPr>
    </w:p>
    <w:p w14:paraId="2161FDF2">
      <w:pPr>
        <w:pStyle w:val="16"/>
      </w:pPr>
    </w:p>
    <w:p w14:paraId="284D992A">
      <w:pPr>
        <w:pStyle w:val="16"/>
      </w:pPr>
    </w:p>
    <w:p w14:paraId="1FDD855A">
      <w:pPr>
        <w:pStyle w:val="16"/>
      </w:pPr>
    </w:p>
    <w:p w14:paraId="3F13D828">
      <w:pPr>
        <w:pStyle w:val="16"/>
      </w:pPr>
    </w:p>
    <w:p w14:paraId="119A7677">
      <w:pPr>
        <w:adjustRightInd w:val="0"/>
        <w:snapToGrid w:val="0"/>
        <w:spacing w:line="440" w:lineRule="exact"/>
        <w:contextualSpacing/>
      </w:pPr>
    </w:p>
    <w:p w14:paraId="0BB73B51">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8CEBDA6">
      <w:pPr>
        <w:pStyle w:val="3"/>
        <w:spacing w:line="440" w:lineRule="exact"/>
        <w:ind w:firstLine="0" w:firstLineChars="0"/>
        <w:jc w:val="center"/>
        <w:rPr>
          <w:b/>
          <w:sz w:val="24"/>
        </w:rPr>
      </w:pPr>
      <w:r>
        <w:rPr>
          <w:rFonts w:hint="eastAsia"/>
          <w:b/>
          <w:sz w:val="24"/>
        </w:rPr>
        <w:t>(参考格式)</w:t>
      </w:r>
    </w:p>
    <w:p w14:paraId="7CC6EE82">
      <w:pPr>
        <w:spacing w:after="240" w:afterLines="100" w:line="360" w:lineRule="auto"/>
        <w:jc w:val="center"/>
        <w:rPr>
          <w:rFonts w:ascii="宋体" w:hAnsi="宋体"/>
          <w:b/>
          <w:bCs/>
          <w:szCs w:val="21"/>
        </w:rPr>
      </w:pPr>
    </w:p>
    <w:p w14:paraId="2555610A">
      <w:pPr>
        <w:spacing w:after="240" w:afterLines="100" w:line="360" w:lineRule="auto"/>
        <w:jc w:val="center"/>
        <w:rPr>
          <w:rFonts w:ascii="宋体" w:hAnsi="宋体"/>
          <w:b/>
          <w:bCs/>
          <w:sz w:val="24"/>
        </w:rPr>
      </w:pPr>
      <w:r>
        <w:rPr>
          <w:rFonts w:hint="eastAsia" w:ascii="宋体" w:hAnsi="宋体"/>
          <w:b/>
          <w:bCs/>
          <w:sz w:val="24"/>
        </w:rPr>
        <w:t>声  明</w:t>
      </w:r>
    </w:p>
    <w:p w14:paraId="02CDB1EE">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5AFEE805">
      <w:pPr>
        <w:adjustRightInd w:val="0"/>
        <w:snapToGrid w:val="0"/>
        <w:spacing w:line="440" w:lineRule="exact"/>
        <w:contextualSpacing/>
        <w:rPr>
          <w:rFonts w:ascii="宋体" w:hAnsi="宋体"/>
          <w:bCs/>
          <w:sz w:val="24"/>
        </w:rPr>
      </w:pPr>
    </w:p>
    <w:p w14:paraId="31C62F4D">
      <w:pPr>
        <w:pStyle w:val="16"/>
        <w:rPr>
          <w:rFonts w:ascii="宋体" w:hAnsi="宋体"/>
          <w:bCs/>
          <w:sz w:val="24"/>
        </w:rPr>
      </w:pPr>
    </w:p>
    <w:p w14:paraId="4BACE7CC">
      <w:pPr>
        <w:pStyle w:val="16"/>
        <w:rPr>
          <w:rFonts w:ascii="宋体" w:hAnsi="宋体"/>
          <w:bCs/>
          <w:sz w:val="24"/>
        </w:rPr>
      </w:pPr>
    </w:p>
    <w:p w14:paraId="7C1D71F1">
      <w:pPr>
        <w:pStyle w:val="16"/>
        <w:rPr>
          <w:rFonts w:ascii="宋体" w:hAnsi="宋体"/>
          <w:bCs/>
          <w:sz w:val="24"/>
        </w:rPr>
      </w:pPr>
    </w:p>
    <w:p w14:paraId="53F91005">
      <w:pPr>
        <w:pStyle w:val="16"/>
        <w:rPr>
          <w:rFonts w:ascii="宋体" w:hAnsi="宋体"/>
          <w:bCs/>
          <w:sz w:val="24"/>
        </w:rPr>
      </w:pPr>
    </w:p>
    <w:p w14:paraId="3B4CCE1C">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3F9F2D6B">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15FA927B">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29325AA4">
      <w:pPr>
        <w:pStyle w:val="10"/>
        <w:jc w:val="center"/>
        <w:rPr>
          <w:rFonts w:asciiTheme="minorEastAsia" w:hAnsiTheme="minorEastAsia" w:eastAsiaTheme="minorEastAsia"/>
          <w:b/>
          <w:sz w:val="36"/>
        </w:rPr>
      </w:pPr>
    </w:p>
    <w:p w14:paraId="71E8F3F0">
      <w:pPr>
        <w:pStyle w:val="10"/>
        <w:jc w:val="center"/>
        <w:rPr>
          <w:rFonts w:asciiTheme="minorEastAsia" w:hAnsiTheme="minorEastAsia" w:eastAsiaTheme="minorEastAsia"/>
          <w:b/>
          <w:sz w:val="36"/>
        </w:rPr>
      </w:pPr>
    </w:p>
    <w:p w14:paraId="6950AF9C">
      <w:pPr>
        <w:pStyle w:val="10"/>
        <w:jc w:val="center"/>
        <w:rPr>
          <w:rFonts w:asciiTheme="minorEastAsia" w:hAnsiTheme="minorEastAsia" w:eastAsiaTheme="minorEastAsia"/>
          <w:b/>
          <w:sz w:val="36"/>
        </w:rPr>
      </w:pPr>
    </w:p>
    <w:p w14:paraId="4A7E31B5">
      <w:pPr>
        <w:pStyle w:val="10"/>
        <w:jc w:val="center"/>
        <w:rPr>
          <w:rFonts w:asciiTheme="minorEastAsia" w:hAnsiTheme="minorEastAsia" w:eastAsiaTheme="minorEastAsia"/>
          <w:b/>
          <w:sz w:val="36"/>
        </w:rPr>
      </w:pPr>
    </w:p>
    <w:p w14:paraId="5E0B18A5">
      <w:pPr>
        <w:pStyle w:val="10"/>
        <w:jc w:val="center"/>
        <w:rPr>
          <w:rFonts w:asciiTheme="minorEastAsia" w:hAnsiTheme="minorEastAsia" w:eastAsiaTheme="minorEastAsia"/>
          <w:b/>
          <w:sz w:val="36"/>
        </w:rPr>
      </w:pPr>
    </w:p>
    <w:p w14:paraId="38AD570F">
      <w:pPr>
        <w:pStyle w:val="10"/>
        <w:jc w:val="center"/>
        <w:rPr>
          <w:rFonts w:asciiTheme="minorEastAsia" w:hAnsiTheme="minorEastAsia" w:eastAsiaTheme="minorEastAsia"/>
          <w:b/>
          <w:sz w:val="36"/>
        </w:rPr>
      </w:pPr>
    </w:p>
    <w:p w14:paraId="348F80BD">
      <w:pPr>
        <w:pStyle w:val="10"/>
        <w:jc w:val="center"/>
        <w:rPr>
          <w:rFonts w:asciiTheme="minorEastAsia" w:hAnsiTheme="minorEastAsia" w:eastAsiaTheme="minorEastAsia"/>
          <w:b/>
          <w:sz w:val="36"/>
        </w:rPr>
      </w:pPr>
    </w:p>
    <w:p w14:paraId="6EDAA5A6">
      <w:pPr>
        <w:pStyle w:val="10"/>
        <w:jc w:val="center"/>
        <w:rPr>
          <w:rFonts w:asciiTheme="minorEastAsia" w:hAnsiTheme="minorEastAsia" w:eastAsiaTheme="minorEastAsia"/>
          <w:b/>
          <w:sz w:val="36"/>
        </w:rPr>
      </w:pPr>
    </w:p>
    <w:p w14:paraId="32A014E9">
      <w:pPr>
        <w:pStyle w:val="10"/>
        <w:jc w:val="center"/>
        <w:rPr>
          <w:rFonts w:asciiTheme="minorEastAsia" w:hAnsiTheme="minorEastAsia" w:eastAsiaTheme="minorEastAsia"/>
          <w:b/>
          <w:sz w:val="36"/>
        </w:rPr>
      </w:pPr>
    </w:p>
    <w:p w14:paraId="45D9D502">
      <w:pPr>
        <w:pStyle w:val="10"/>
        <w:jc w:val="center"/>
        <w:rPr>
          <w:rFonts w:asciiTheme="minorEastAsia" w:hAnsiTheme="minorEastAsia" w:eastAsiaTheme="minorEastAsia"/>
          <w:b/>
          <w:sz w:val="36"/>
        </w:rPr>
      </w:pPr>
    </w:p>
    <w:p w14:paraId="62F32821">
      <w:pPr>
        <w:pStyle w:val="10"/>
        <w:jc w:val="center"/>
        <w:rPr>
          <w:rFonts w:asciiTheme="minorEastAsia" w:hAnsiTheme="minorEastAsia" w:eastAsiaTheme="minorEastAsia"/>
          <w:b/>
          <w:sz w:val="36"/>
        </w:rPr>
      </w:pPr>
    </w:p>
    <w:p w14:paraId="0D5286D3">
      <w:pPr>
        <w:pStyle w:val="10"/>
        <w:jc w:val="center"/>
        <w:rPr>
          <w:rFonts w:asciiTheme="minorEastAsia" w:hAnsiTheme="minorEastAsia" w:eastAsiaTheme="minorEastAsia"/>
          <w:b/>
          <w:sz w:val="36"/>
        </w:rPr>
      </w:pPr>
    </w:p>
    <w:p w14:paraId="481523BB">
      <w:pPr>
        <w:pStyle w:val="10"/>
        <w:jc w:val="center"/>
        <w:rPr>
          <w:rFonts w:asciiTheme="minorEastAsia" w:hAnsiTheme="minorEastAsia" w:eastAsiaTheme="minorEastAsia"/>
          <w:b/>
          <w:sz w:val="36"/>
        </w:rPr>
      </w:pPr>
    </w:p>
    <w:p w14:paraId="2666220A">
      <w:pPr>
        <w:pStyle w:val="10"/>
        <w:rPr>
          <w:rFonts w:asciiTheme="minorEastAsia" w:hAnsiTheme="minorEastAsia" w:eastAsiaTheme="minorEastAsia"/>
          <w:b/>
          <w:sz w:val="36"/>
        </w:rPr>
      </w:pPr>
    </w:p>
    <w:p w14:paraId="15F6510F">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5C300575">
      <w:pPr>
        <w:pStyle w:val="10"/>
        <w:jc w:val="center"/>
        <w:rPr>
          <w:rFonts w:asciiTheme="minorEastAsia" w:hAnsiTheme="minorEastAsia" w:eastAsiaTheme="minorEastAsia"/>
          <w:b/>
          <w:sz w:val="36"/>
        </w:rPr>
      </w:pPr>
    </w:p>
    <w:p w14:paraId="0F79C230">
      <w:pPr>
        <w:pStyle w:val="10"/>
        <w:jc w:val="center"/>
        <w:rPr>
          <w:rFonts w:asciiTheme="minorEastAsia" w:hAnsiTheme="minorEastAsia" w:eastAsiaTheme="minorEastAsia"/>
          <w:b/>
          <w:sz w:val="36"/>
        </w:rPr>
      </w:pPr>
    </w:p>
    <w:p w14:paraId="7CBA52D9">
      <w:pPr>
        <w:pStyle w:val="10"/>
        <w:jc w:val="center"/>
        <w:rPr>
          <w:rFonts w:asciiTheme="minorEastAsia" w:hAnsiTheme="minorEastAsia" w:eastAsiaTheme="minorEastAsia"/>
          <w:b/>
          <w:sz w:val="36"/>
        </w:rPr>
      </w:pPr>
    </w:p>
    <w:p w14:paraId="7C5B8FE8">
      <w:pPr>
        <w:pStyle w:val="10"/>
        <w:jc w:val="center"/>
        <w:rPr>
          <w:rFonts w:asciiTheme="minorEastAsia" w:hAnsiTheme="minorEastAsia" w:eastAsiaTheme="minorEastAsia"/>
          <w:b/>
          <w:sz w:val="36"/>
        </w:rPr>
      </w:pPr>
    </w:p>
    <w:p w14:paraId="11AECEBC">
      <w:pPr>
        <w:pStyle w:val="10"/>
        <w:jc w:val="center"/>
        <w:rPr>
          <w:rFonts w:asciiTheme="minorEastAsia" w:hAnsiTheme="minorEastAsia" w:eastAsiaTheme="minorEastAsia"/>
          <w:b/>
          <w:sz w:val="36"/>
        </w:rPr>
      </w:pPr>
    </w:p>
    <w:p w14:paraId="158C7975">
      <w:pPr>
        <w:pStyle w:val="10"/>
        <w:jc w:val="center"/>
        <w:rPr>
          <w:rFonts w:asciiTheme="minorEastAsia" w:hAnsiTheme="minorEastAsia" w:eastAsiaTheme="minorEastAsia"/>
          <w:b/>
          <w:sz w:val="36"/>
        </w:rPr>
      </w:pPr>
    </w:p>
    <w:p w14:paraId="66BC49DF">
      <w:pPr>
        <w:pStyle w:val="10"/>
        <w:jc w:val="center"/>
        <w:rPr>
          <w:rFonts w:asciiTheme="minorEastAsia" w:hAnsiTheme="minorEastAsia" w:eastAsiaTheme="minorEastAsia"/>
          <w:b/>
          <w:sz w:val="36"/>
        </w:rPr>
      </w:pPr>
    </w:p>
    <w:p w14:paraId="13597C18">
      <w:pPr>
        <w:pStyle w:val="10"/>
        <w:jc w:val="center"/>
        <w:rPr>
          <w:rFonts w:asciiTheme="minorEastAsia" w:hAnsiTheme="minorEastAsia" w:eastAsiaTheme="minorEastAsia"/>
          <w:b/>
          <w:sz w:val="36"/>
        </w:rPr>
      </w:pPr>
    </w:p>
    <w:p w14:paraId="47C1DAA0">
      <w:pPr>
        <w:pStyle w:val="10"/>
        <w:jc w:val="center"/>
        <w:rPr>
          <w:rFonts w:asciiTheme="minorEastAsia" w:hAnsiTheme="minorEastAsia" w:eastAsiaTheme="minorEastAsia"/>
          <w:b/>
          <w:sz w:val="36"/>
        </w:rPr>
      </w:pPr>
    </w:p>
    <w:p w14:paraId="67F2AA33">
      <w:pPr>
        <w:pStyle w:val="10"/>
        <w:jc w:val="center"/>
        <w:rPr>
          <w:rFonts w:asciiTheme="minorEastAsia" w:hAnsiTheme="minorEastAsia" w:eastAsiaTheme="minorEastAsia"/>
          <w:b/>
          <w:sz w:val="36"/>
        </w:rPr>
      </w:pPr>
    </w:p>
    <w:p w14:paraId="4DA16456">
      <w:pPr>
        <w:pStyle w:val="10"/>
        <w:jc w:val="center"/>
        <w:rPr>
          <w:rFonts w:asciiTheme="minorEastAsia" w:hAnsiTheme="minorEastAsia" w:eastAsiaTheme="minorEastAsia"/>
          <w:b/>
          <w:sz w:val="36"/>
        </w:rPr>
      </w:pPr>
    </w:p>
    <w:p w14:paraId="75ECA61D">
      <w:pPr>
        <w:pStyle w:val="10"/>
        <w:jc w:val="center"/>
        <w:rPr>
          <w:rFonts w:asciiTheme="minorEastAsia" w:hAnsiTheme="minorEastAsia" w:eastAsiaTheme="minorEastAsia"/>
          <w:b/>
          <w:sz w:val="36"/>
        </w:rPr>
      </w:pPr>
    </w:p>
    <w:p w14:paraId="48D25D72">
      <w:pPr>
        <w:pStyle w:val="10"/>
        <w:jc w:val="center"/>
        <w:rPr>
          <w:rFonts w:asciiTheme="minorEastAsia" w:hAnsiTheme="minorEastAsia" w:eastAsiaTheme="minorEastAsia"/>
          <w:b/>
          <w:sz w:val="36"/>
        </w:rPr>
      </w:pPr>
    </w:p>
    <w:p w14:paraId="6297446B">
      <w:pPr>
        <w:pStyle w:val="10"/>
        <w:jc w:val="center"/>
        <w:rPr>
          <w:rFonts w:asciiTheme="minorEastAsia" w:hAnsiTheme="minorEastAsia" w:eastAsiaTheme="minorEastAsia"/>
          <w:b/>
          <w:sz w:val="36"/>
        </w:rPr>
      </w:pPr>
    </w:p>
    <w:p w14:paraId="2030A37C">
      <w:pPr>
        <w:pStyle w:val="10"/>
        <w:jc w:val="center"/>
        <w:rPr>
          <w:rFonts w:asciiTheme="minorEastAsia" w:hAnsiTheme="minorEastAsia" w:eastAsiaTheme="minorEastAsia"/>
          <w:b/>
          <w:sz w:val="36"/>
        </w:rPr>
      </w:pPr>
    </w:p>
    <w:p w14:paraId="0F660028">
      <w:pPr>
        <w:pStyle w:val="10"/>
        <w:jc w:val="center"/>
        <w:rPr>
          <w:rFonts w:asciiTheme="minorEastAsia" w:hAnsiTheme="minorEastAsia" w:eastAsiaTheme="minorEastAsia"/>
          <w:b/>
          <w:sz w:val="36"/>
        </w:rPr>
      </w:pPr>
    </w:p>
    <w:p w14:paraId="39DC943D">
      <w:pPr>
        <w:pStyle w:val="10"/>
        <w:jc w:val="center"/>
        <w:rPr>
          <w:rFonts w:asciiTheme="minorEastAsia" w:hAnsiTheme="minorEastAsia" w:eastAsiaTheme="minorEastAsia"/>
          <w:b/>
          <w:sz w:val="36"/>
        </w:rPr>
      </w:pPr>
    </w:p>
    <w:p w14:paraId="3E132287">
      <w:pPr>
        <w:pStyle w:val="10"/>
        <w:jc w:val="center"/>
        <w:rPr>
          <w:rFonts w:asciiTheme="minorEastAsia" w:hAnsiTheme="minorEastAsia" w:eastAsiaTheme="minorEastAsia"/>
          <w:b/>
          <w:sz w:val="36"/>
        </w:rPr>
      </w:pPr>
    </w:p>
    <w:p w14:paraId="18952113">
      <w:pPr>
        <w:pStyle w:val="10"/>
        <w:jc w:val="center"/>
        <w:rPr>
          <w:rFonts w:asciiTheme="minorEastAsia" w:hAnsiTheme="minorEastAsia" w:eastAsiaTheme="minorEastAsia"/>
          <w:b/>
          <w:sz w:val="36"/>
        </w:rPr>
      </w:pPr>
    </w:p>
    <w:p w14:paraId="69B30157">
      <w:pPr>
        <w:pStyle w:val="10"/>
        <w:jc w:val="center"/>
        <w:rPr>
          <w:rFonts w:asciiTheme="minorEastAsia" w:hAnsiTheme="minorEastAsia" w:eastAsiaTheme="minorEastAsia"/>
          <w:b/>
          <w:sz w:val="36"/>
        </w:rPr>
      </w:pPr>
    </w:p>
    <w:p w14:paraId="3685B65B">
      <w:pPr>
        <w:pStyle w:val="10"/>
        <w:jc w:val="center"/>
        <w:rPr>
          <w:rFonts w:asciiTheme="minorEastAsia" w:hAnsiTheme="minorEastAsia" w:eastAsiaTheme="minorEastAsia"/>
          <w:b/>
          <w:sz w:val="36"/>
        </w:rPr>
      </w:pPr>
    </w:p>
    <w:p w14:paraId="3D73F0E3">
      <w:pPr>
        <w:pStyle w:val="10"/>
        <w:jc w:val="center"/>
        <w:rPr>
          <w:rFonts w:asciiTheme="minorEastAsia" w:hAnsiTheme="minorEastAsia" w:eastAsiaTheme="minorEastAsia"/>
          <w:b/>
          <w:sz w:val="36"/>
        </w:rPr>
      </w:pPr>
    </w:p>
    <w:p w14:paraId="49FAAB84">
      <w:pPr>
        <w:pStyle w:val="10"/>
        <w:jc w:val="center"/>
        <w:rPr>
          <w:rFonts w:asciiTheme="minorEastAsia" w:hAnsiTheme="minorEastAsia" w:eastAsiaTheme="minorEastAsia"/>
          <w:b/>
          <w:sz w:val="36"/>
        </w:rPr>
      </w:pPr>
    </w:p>
    <w:p w14:paraId="5DE025F5">
      <w:pPr>
        <w:pStyle w:val="10"/>
        <w:jc w:val="center"/>
        <w:rPr>
          <w:rFonts w:asciiTheme="minorEastAsia" w:hAnsiTheme="minorEastAsia" w:eastAsiaTheme="minorEastAsia"/>
          <w:b/>
          <w:sz w:val="36"/>
        </w:rPr>
      </w:pPr>
    </w:p>
    <w:p w14:paraId="50F72C4C">
      <w:pPr>
        <w:pStyle w:val="10"/>
        <w:jc w:val="center"/>
        <w:rPr>
          <w:rFonts w:asciiTheme="minorEastAsia" w:hAnsiTheme="minorEastAsia" w:eastAsiaTheme="minorEastAsia"/>
          <w:b/>
          <w:sz w:val="36"/>
        </w:rPr>
      </w:pPr>
    </w:p>
    <w:p w14:paraId="552C3B3C">
      <w:pPr>
        <w:pStyle w:val="10"/>
        <w:jc w:val="center"/>
        <w:rPr>
          <w:rFonts w:asciiTheme="minorEastAsia" w:hAnsiTheme="minorEastAsia" w:eastAsiaTheme="minorEastAsia"/>
          <w:b/>
          <w:sz w:val="36"/>
        </w:rPr>
      </w:pPr>
    </w:p>
    <w:p w14:paraId="24E033B0">
      <w:pPr>
        <w:pStyle w:val="10"/>
        <w:rPr>
          <w:rFonts w:asciiTheme="minorEastAsia" w:hAnsiTheme="minorEastAsia" w:eastAsiaTheme="minorEastAsia"/>
          <w:b/>
          <w:sz w:val="36"/>
        </w:rPr>
      </w:pPr>
    </w:p>
    <w:p w14:paraId="046A95BC">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32D77126">
      <w:pPr>
        <w:pStyle w:val="10"/>
        <w:rPr>
          <w:rFonts w:ascii="Times New Roman" w:hAnsi="Times New Roman"/>
          <w:b/>
          <w:sz w:val="36"/>
        </w:rPr>
      </w:pPr>
    </w:p>
    <w:p w14:paraId="69008E35">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3E8BD024">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501A92BD">
      <w:pPr>
        <w:pStyle w:val="10"/>
        <w:adjustRightInd w:val="0"/>
        <w:snapToGrid w:val="0"/>
        <w:spacing w:line="440" w:lineRule="exact"/>
        <w:ind w:firstLine="420"/>
        <w:contextualSpacing/>
        <w:rPr>
          <w:rFonts w:asciiTheme="minorEastAsia" w:hAnsiTheme="minorEastAsia" w:eastAsiaTheme="minorEastAsia"/>
          <w:sz w:val="24"/>
          <w:szCs w:val="24"/>
        </w:rPr>
      </w:pPr>
    </w:p>
    <w:p w14:paraId="4CECBADA">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3AE64C6A">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5CEF3AE8">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4AF422C3">
      <w:pPr>
        <w:pStyle w:val="10"/>
        <w:adjustRightInd w:val="0"/>
        <w:snapToGrid w:val="0"/>
        <w:spacing w:line="500" w:lineRule="exact"/>
        <w:ind w:firstLine="420"/>
        <w:contextualSpacing/>
        <w:rPr>
          <w:rFonts w:asciiTheme="minorEastAsia" w:hAnsiTheme="minorEastAsia" w:eastAsiaTheme="minorEastAsia"/>
          <w:sz w:val="24"/>
          <w:szCs w:val="24"/>
        </w:rPr>
      </w:pPr>
    </w:p>
    <w:p w14:paraId="2E60DE46">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44BF91D3">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3544D67B">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596C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240C1174">
            <w:pPr>
              <w:adjustRightInd w:val="0"/>
              <w:snapToGrid w:val="0"/>
              <w:spacing w:line="440" w:lineRule="exact"/>
              <w:contextualSpacing/>
            </w:pPr>
          </w:p>
          <w:p w14:paraId="1998A136">
            <w:pPr>
              <w:pStyle w:val="2"/>
            </w:pPr>
          </w:p>
          <w:p w14:paraId="6446BBD5"/>
          <w:p w14:paraId="0CF04413">
            <w:pPr>
              <w:pStyle w:val="2"/>
            </w:pPr>
          </w:p>
          <w:p w14:paraId="11C6FA63"/>
          <w:p w14:paraId="237AF7E9">
            <w:pPr>
              <w:pStyle w:val="2"/>
            </w:pPr>
          </w:p>
          <w:p w14:paraId="2F108015"/>
          <w:p w14:paraId="15509EC7">
            <w:pPr>
              <w:pStyle w:val="2"/>
            </w:pPr>
          </w:p>
          <w:p w14:paraId="6AC29AAD"/>
          <w:p w14:paraId="0F3124F9">
            <w:pPr>
              <w:pStyle w:val="2"/>
            </w:pPr>
          </w:p>
          <w:p w14:paraId="71A09276"/>
          <w:p w14:paraId="6BA3A79F">
            <w:pPr>
              <w:pStyle w:val="2"/>
            </w:pPr>
          </w:p>
          <w:p w14:paraId="2DD72EA7"/>
          <w:p w14:paraId="2F8877D7">
            <w:pPr>
              <w:pStyle w:val="2"/>
            </w:pPr>
          </w:p>
          <w:p w14:paraId="775EF425"/>
          <w:p w14:paraId="6DC3E3DF">
            <w:pPr>
              <w:pStyle w:val="2"/>
            </w:pPr>
          </w:p>
        </w:tc>
        <w:tc>
          <w:tcPr>
            <w:tcW w:w="4937" w:type="dxa"/>
          </w:tcPr>
          <w:p w14:paraId="33E14E4C">
            <w:pPr>
              <w:adjustRightInd w:val="0"/>
              <w:snapToGrid w:val="0"/>
              <w:spacing w:line="440" w:lineRule="exact"/>
              <w:contextualSpacing/>
            </w:pPr>
          </w:p>
        </w:tc>
      </w:tr>
    </w:tbl>
    <w:p w14:paraId="77D34B41">
      <w:pPr>
        <w:adjustRightInd w:val="0"/>
        <w:snapToGrid w:val="0"/>
        <w:spacing w:line="440" w:lineRule="exact"/>
        <w:contextualSpacing/>
      </w:pPr>
    </w:p>
    <w:p w14:paraId="15B1B550"/>
    <w:p w14:paraId="2F7B97C9">
      <w:pPr>
        <w:pStyle w:val="6"/>
      </w:pPr>
    </w:p>
    <w:p w14:paraId="150EF1E5">
      <w:pPr>
        <w:pStyle w:val="7"/>
      </w:pPr>
    </w:p>
    <w:p w14:paraId="783DB290">
      <w:pPr>
        <w:pStyle w:val="7"/>
      </w:pPr>
    </w:p>
    <w:p w14:paraId="34CC7B95">
      <w:pPr>
        <w:pStyle w:val="7"/>
      </w:pPr>
    </w:p>
    <w:p w14:paraId="29772AA3">
      <w:pPr>
        <w:pStyle w:val="7"/>
      </w:pPr>
    </w:p>
    <w:p w14:paraId="1B891552">
      <w:pPr>
        <w:pStyle w:val="7"/>
      </w:pPr>
    </w:p>
    <w:p w14:paraId="44DAF14C">
      <w:pPr>
        <w:pStyle w:val="5"/>
      </w:pPr>
    </w:p>
    <w:p w14:paraId="6E914E44">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77F26D19">
      <w:pPr>
        <w:spacing w:line="360" w:lineRule="auto"/>
        <w:ind w:firstLine="480" w:firstLineChars="200"/>
        <w:rPr>
          <w:rFonts w:ascii="宋体" w:hAnsi="宋体" w:cs="宋体"/>
          <w:sz w:val="24"/>
        </w:rPr>
      </w:pPr>
    </w:p>
    <w:p w14:paraId="0B2450CE">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3ABF3857">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4E4142B">
      <w:pPr>
        <w:spacing w:line="480" w:lineRule="auto"/>
        <w:ind w:firstLine="480" w:firstLineChars="200"/>
        <w:rPr>
          <w:rFonts w:ascii="宋体" w:hAnsi="宋体" w:cs="宋体"/>
          <w:sz w:val="24"/>
        </w:rPr>
      </w:pPr>
      <w:r>
        <w:rPr>
          <w:rFonts w:hint="eastAsia" w:ascii="宋体" w:hAnsi="宋体" w:cs="宋体"/>
          <w:sz w:val="24"/>
        </w:rPr>
        <w:t>特此承诺。</w:t>
      </w:r>
    </w:p>
    <w:p w14:paraId="1FA469EC">
      <w:pPr>
        <w:spacing w:line="480" w:lineRule="auto"/>
        <w:ind w:firstLine="480" w:firstLineChars="200"/>
        <w:rPr>
          <w:rFonts w:ascii="宋体" w:hAnsi="宋体" w:cs="宋体"/>
          <w:sz w:val="24"/>
        </w:rPr>
      </w:pPr>
    </w:p>
    <w:p w14:paraId="7C970640">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07814257">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5FABEFA8">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6</w:t>
      </w:r>
      <w:r>
        <w:rPr>
          <w:rFonts w:hint="eastAsia" w:ascii="宋体" w:hAnsi="宋体" w:cs="宋体"/>
          <w:sz w:val="24"/>
        </w:rPr>
        <w:t>年   月   日</w:t>
      </w:r>
    </w:p>
    <w:p w14:paraId="18F77CA8">
      <w:pPr>
        <w:rPr>
          <w:rFonts w:ascii="宋体" w:hAnsi="宋体" w:cs="宋体"/>
          <w:sz w:val="24"/>
        </w:rPr>
      </w:pPr>
    </w:p>
    <w:p w14:paraId="086B6D55">
      <w:pPr>
        <w:pStyle w:val="14"/>
        <w:rPr>
          <w:rFonts w:ascii="宋体" w:hAnsi="宋体"/>
          <w:kern w:val="0"/>
          <w:sz w:val="36"/>
          <w:szCs w:val="36"/>
        </w:rPr>
      </w:pPr>
    </w:p>
    <w:p w14:paraId="340DC39B"/>
    <w:p w14:paraId="0D5C5AEC">
      <w:pPr>
        <w:pStyle w:val="6"/>
      </w:pPr>
    </w:p>
    <w:p w14:paraId="0B602E05">
      <w:pPr>
        <w:pStyle w:val="5"/>
      </w:pPr>
    </w:p>
    <w:p w14:paraId="02B60E2E"/>
    <w:p w14:paraId="718C4E55">
      <w:pPr>
        <w:pStyle w:val="6"/>
      </w:pPr>
    </w:p>
    <w:p w14:paraId="6499ECF9">
      <w:pPr>
        <w:pStyle w:val="5"/>
      </w:pPr>
    </w:p>
    <w:p w14:paraId="24B38016"/>
    <w:p w14:paraId="02F33D42">
      <w:pPr>
        <w:pStyle w:val="6"/>
      </w:pPr>
    </w:p>
    <w:p w14:paraId="7D5EA41C">
      <w:pPr>
        <w:pStyle w:val="5"/>
      </w:pPr>
    </w:p>
    <w:p w14:paraId="2E3D6906">
      <w:pPr>
        <w:pStyle w:val="6"/>
      </w:pPr>
    </w:p>
    <w:p w14:paraId="67BE3C5D">
      <w:pPr>
        <w:pStyle w:val="5"/>
      </w:pPr>
    </w:p>
    <w:p w14:paraId="698627B4"/>
    <w:p w14:paraId="30359DD0"/>
    <w:p w14:paraId="612F3B34"/>
    <w:p w14:paraId="148E24F0"/>
    <w:p w14:paraId="05C5F079"/>
    <w:p w14:paraId="19774586"/>
    <w:p w14:paraId="6B439898">
      <w:pPr>
        <w:pStyle w:val="14"/>
        <w:rPr>
          <w:rFonts w:ascii="宋体" w:hAnsi="宋体"/>
          <w:sz w:val="36"/>
          <w:szCs w:val="36"/>
        </w:rPr>
      </w:pPr>
      <w:r>
        <w:rPr>
          <w:rFonts w:hint="eastAsia" w:ascii="宋体" w:hAnsi="宋体"/>
          <w:kern w:val="0"/>
          <w:sz w:val="36"/>
          <w:szCs w:val="36"/>
        </w:rPr>
        <w:t>（七）投标函</w:t>
      </w:r>
    </w:p>
    <w:p w14:paraId="7487D8F2">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1107454A">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u w:val="single"/>
          <w:lang w:val="en-US" w:eastAsia="zh-CN"/>
        </w:rPr>
        <w:t>扬州市第一人民医院西区健康管理中心改造工程结算审计复审服务</w:t>
      </w:r>
      <w:r>
        <w:rPr>
          <w:rFonts w:hint="eastAsia" w:ascii="宋体" w:hAnsi="宋体" w:cs="宋体"/>
          <w:sz w:val="24"/>
        </w:rPr>
        <w:t>项目</w:t>
      </w:r>
      <w:r>
        <w:rPr>
          <w:rFonts w:hint="eastAsia" w:ascii="宋体" w:hAnsi="宋体"/>
          <w:sz w:val="24"/>
        </w:rPr>
        <w:t>询价邀请，我方针对该项目的投标报价</w:t>
      </w:r>
      <w:r>
        <w:rPr>
          <w:rFonts w:hint="eastAsia" w:ascii="宋体" w:hAnsi="宋体"/>
          <w:b/>
          <w:bCs/>
          <w:sz w:val="24"/>
          <w:lang w:val="en-US" w:eastAsia="zh-CN"/>
        </w:rPr>
        <w:t>折扣率</w:t>
      </w:r>
      <w:r>
        <w:rPr>
          <w:rFonts w:hint="eastAsia" w:ascii="宋体" w:hAnsi="宋体"/>
          <w:sz w:val="24"/>
        </w:rPr>
        <w:t>为</w:t>
      </w:r>
      <w:r>
        <w:rPr>
          <w:rFonts w:hint="eastAsia" w:ascii="宋体" w:hAnsi="宋体"/>
          <w:sz w:val="24"/>
          <w:u w:val="single"/>
          <w:lang w:val="en-US" w:eastAsia="zh-CN"/>
        </w:rPr>
        <w:t xml:space="preserve">          （%）</w:t>
      </w:r>
      <w:r>
        <w:rPr>
          <w:rFonts w:hint="eastAsia" w:ascii="宋体" w:hAnsi="宋体"/>
          <w:sz w:val="24"/>
        </w:rPr>
        <w:t>（最高限价的百分比）</w:t>
      </w:r>
      <w:r>
        <w:rPr>
          <w:rFonts w:hint="eastAsia" w:ascii="宋体" w:hAnsi="宋体"/>
          <w:sz w:val="24"/>
          <w:lang w:eastAsia="zh-CN"/>
        </w:rPr>
        <w:t>，</w:t>
      </w:r>
      <w:r>
        <w:rPr>
          <w:rFonts w:hint="eastAsia" w:ascii="宋体" w:hAnsi="宋体"/>
          <w:sz w:val="24"/>
          <w:lang w:val="en-US" w:eastAsia="zh-CN"/>
        </w:rPr>
        <w:t>最终合同费用不超过</w:t>
      </w:r>
      <w:r>
        <w:rPr>
          <w:rFonts w:hint="eastAsia" w:ascii="宋体" w:hAnsi="宋体"/>
          <w:sz w:val="24"/>
          <w:u w:val="single"/>
          <w:lang w:val="en-US" w:eastAsia="zh-CN"/>
        </w:rPr>
        <w:t xml:space="preserve">贰 </w:t>
      </w:r>
      <w:r>
        <w:rPr>
          <w:rFonts w:hint="eastAsia" w:ascii="宋体" w:hAnsi="宋体"/>
          <w:sz w:val="24"/>
          <w:u w:val="none"/>
          <w:lang w:val="en-US" w:eastAsia="zh-CN"/>
        </w:rPr>
        <w:t>万元</w:t>
      </w:r>
      <w:r>
        <w:rPr>
          <w:rFonts w:hint="eastAsia" w:ascii="宋体" w:hAnsi="宋体"/>
          <w:sz w:val="24"/>
        </w:rPr>
        <w:t>。并正式授权的下述签字人             （职务和职称）代表投标人          （投标人名称），提交招标文件要求的全套投标文件，包括：</w:t>
      </w:r>
    </w:p>
    <w:p w14:paraId="5B632FC0">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30B97969">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18FA798C">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A72218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4E575C0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63F16C0F">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6D33DEF8">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0945E7DC">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18323C03">
      <w:pPr>
        <w:adjustRightInd w:val="0"/>
        <w:snapToGrid w:val="0"/>
        <w:spacing w:line="440" w:lineRule="exact"/>
        <w:contextualSpacing/>
        <w:rPr>
          <w:rFonts w:ascii="宋体" w:hAnsi="宋体"/>
          <w:sz w:val="24"/>
        </w:rPr>
      </w:pPr>
    </w:p>
    <w:p w14:paraId="6888256D">
      <w:pPr>
        <w:spacing w:line="360" w:lineRule="auto"/>
        <w:rPr>
          <w:rFonts w:ascii="宋体" w:hAnsi="宋体"/>
          <w:sz w:val="22"/>
        </w:rPr>
      </w:pPr>
    </w:p>
    <w:p w14:paraId="3777C975">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1443B247">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50398AA5">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01538CB">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192768EE">
      <w:pPr>
        <w:adjustRightInd w:val="0"/>
        <w:snapToGrid w:val="0"/>
        <w:spacing w:line="500" w:lineRule="exact"/>
        <w:contextualSpacing/>
        <w:rPr>
          <w:rFonts w:ascii="宋体" w:hAnsi="宋体"/>
          <w:sz w:val="22"/>
        </w:rPr>
      </w:pPr>
    </w:p>
    <w:p w14:paraId="6423D25A">
      <w:pPr>
        <w:spacing w:line="340" w:lineRule="exact"/>
        <w:jc w:val="left"/>
        <w:rPr>
          <w:rFonts w:ascii="宋体" w:hAnsi="宋体"/>
          <w:b/>
          <w:sz w:val="32"/>
        </w:rPr>
      </w:pPr>
    </w:p>
    <w:p w14:paraId="58DB76DF">
      <w:pPr>
        <w:adjustRightInd w:val="0"/>
        <w:snapToGrid w:val="0"/>
        <w:spacing w:line="440" w:lineRule="exact"/>
        <w:contextualSpacing/>
        <w:rPr>
          <w:rFonts w:ascii="宋体" w:hAnsi="宋体"/>
        </w:rPr>
      </w:pPr>
    </w:p>
    <w:p w14:paraId="7F2F7505">
      <w:pPr>
        <w:pStyle w:val="2"/>
        <w:rPr>
          <w:rFonts w:ascii="宋体" w:hAnsi="宋体"/>
        </w:rPr>
      </w:pPr>
    </w:p>
    <w:p w14:paraId="186662AA">
      <w:pPr>
        <w:rPr>
          <w:rFonts w:ascii="宋体" w:hAnsi="宋体"/>
        </w:rPr>
      </w:pPr>
    </w:p>
    <w:p w14:paraId="68668551">
      <w:pPr>
        <w:pStyle w:val="2"/>
      </w:pPr>
    </w:p>
    <w:p w14:paraId="5D0E117F"/>
    <w:p w14:paraId="44FD2564">
      <w:pPr>
        <w:spacing w:line="340" w:lineRule="exact"/>
        <w:jc w:val="center"/>
        <w:rPr>
          <w:rFonts w:ascii="宋体" w:hAnsi="宋体" w:cs="宋体"/>
          <w:b/>
          <w:sz w:val="36"/>
          <w:szCs w:val="36"/>
        </w:rPr>
      </w:pPr>
    </w:p>
    <w:p w14:paraId="7292878E">
      <w:pPr>
        <w:spacing w:line="340" w:lineRule="exact"/>
        <w:jc w:val="center"/>
        <w:rPr>
          <w:rFonts w:ascii="宋体" w:hAnsi="宋体" w:cs="宋体"/>
          <w:b/>
          <w:sz w:val="36"/>
          <w:szCs w:val="36"/>
        </w:rPr>
      </w:pPr>
    </w:p>
    <w:p w14:paraId="001A88DB">
      <w:pPr>
        <w:spacing w:line="340" w:lineRule="exact"/>
        <w:jc w:val="center"/>
        <w:rPr>
          <w:rFonts w:ascii="宋体" w:hAnsi="宋体" w:cs="宋体"/>
          <w:b/>
          <w:sz w:val="36"/>
          <w:szCs w:val="36"/>
        </w:rPr>
      </w:pPr>
    </w:p>
    <w:p w14:paraId="43101573">
      <w:pPr>
        <w:spacing w:line="340" w:lineRule="exact"/>
        <w:jc w:val="center"/>
        <w:rPr>
          <w:rFonts w:ascii="宋体" w:hAnsi="宋体" w:cs="宋体"/>
          <w:b/>
          <w:sz w:val="36"/>
          <w:szCs w:val="36"/>
        </w:rPr>
      </w:pPr>
    </w:p>
    <w:p w14:paraId="55EEBC3D">
      <w:pPr>
        <w:pStyle w:val="14"/>
        <w:keepNext w:val="0"/>
        <w:keepLines w:val="0"/>
        <w:pageBreakBefore w:val="0"/>
        <w:widowControl w:val="0"/>
        <w:kinsoku/>
        <w:wordWrap/>
        <w:overflowPunct/>
        <w:topLinePunct w:val="0"/>
        <w:autoSpaceDE/>
        <w:autoSpaceDN/>
        <w:bidi w:val="0"/>
        <w:adjustRightInd/>
        <w:snapToGrid/>
        <w:spacing w:before="0" w:after="0"/>
        <w:textAlignment w:val="auto"/>
        <w:rPr>
          <w:rFonts w:ascii="宋体" w:hAnsi="宋体"/>
          <w:kern w:val="0"/>
          <w:sz w:val="36"/>
          <w:szCs w:val="36"/>
        </w:rPr>
      </w:pPr>
      <w:r>
        <w:rPr>
          <w:rFonts w:hint="eastAsia" w:ascii="宋体" w:hAnsi="宋体"/>
          <w:kern w:val="0"/>
          <w:sz w:val="36"/>
          <w:szCs w:val="36"/>
        </w:rPr>
        <w:t>（八）投标报价表</w:t>
      </w:r>
    </w:p>
    <w:p w14:paraId="444F6016">
      <w:pPr>
        <w:spacing w:line="340" w:lineRule="exact"/>
        <w:jc w:val="center"/>
        <w:rPr>
          <w:rFonts w:ascii="宋体" w:hAnsi="宋体" w:cs="宋体"/>
          <w:b/>
          <w:sz w:val="32"/>
        </w:rPr>
      </w:pPr>
    </w:p>
    <w:p w14:paraId="0CEE446B">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22D5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72DA9CD1">
            <w:pPr>
              <w:pStyle w:val="6"/>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0887879F">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7BC7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42FF5F05">
            <w:pPr>
              <w:pStyle w:val="6"/>
              <w:adjustRightInd w:val="0"/>
              <w:snapToGrid w:val="0"/>
              <w:spacing w:line="440" w:lineRule="exact"/>
              <w:contextualSpacing/>
              <w:rPr>
                <w:rFonts w:ascii="宋体" w:hAnsi="宋体" w:eastAsia="宋体" w:cs="宋体"/>
                <w:kern w:val="2"/>
                <w:sz w:val="24"/>
                <w:szCs w:val="24"/>
              </w:rPr>
            </w:pPr>
            <w:r>
              <w:rPr>
                <w:rFonts w:hint="eastAsia" w:ascii="宋体" w:hAnsi="宋体" w:eastAsia="宋体" w:cs="宋体"/>
                <w:kern w:val="2"/>
                <w:sz w:val="24"/>
                <w:szCs w:val="24"/>
                <w:lang w:val="en-US" w:eastAsia="zh-CN"/>
              </w:rPr>
              <w:t>扬州市第一人民医院西区健康管理中心改造工程结算审计复审服务项目</w:t>
            </w:r>
          </w:p>
        </w:tc>
        <w:tc>
          <w:tcPr>
            <w:tcW w:w="5412" w:type="dxa"/>
            <w:tcBorders>
              <w:top w:val="single" w:color="auto" w:sz="4" w:space="0"/>
              <w:left w:val="single" w:color="auto" w:sz="4" w:space="0"/>
              <w:bottom w:val="single" w:color="auto" w:sz="4" w:space="0"/>
              <w:right w:val="single" w:color="auto" w:sz="4" w:space="0"/>
            </w:tcBorders>
            <w:vAlign w:val="center"/>
          </w:tcPr>
          <w:p w14:paraId="3153811A">
            <w:pPr>
              <w:pStyle w:val="35"/>
              <w:spacing w:before="0" w:after="0" w:line="500" w:lineRule="exact"/>
              <w:ind w:firstLine="0"/>
              <w:rPr>
                <w:rFonts w:hint="default" w:ascii="宋体" w:hAnsi="宋体" w:eastAsia="宋体" w:cs="宋体"/>
                <w:kern w:val="2"/>
                <w:u w:val="none"/>
                <w:lang w:val="en-US" w:eastAsia="zh-CN"/>
              </w:rPr>
            </w:pPr>
            <w:r>
              <w:rPr>
                <w:rFonts w:hint="eastAsia" w:ascii="宋体" w:hAnsi="宋体" w:cs="宋体"/>
              </w:rPr>
              <w:t>折扣率</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w:t>
            </w:r>
            <w:r>
              <w:rPr>
                <w:rFonts w:hint="eastAsia" w:ascii="宋体" w:hAnsi="宋体" w:cs="宋体"/>
              </w:rPr>
              <w:t>（最高限价的百分比）</w:t>
            </w:r>
            <w:r>
              <w:rPr>
                <w:rFonts w:hint="eastAsia" w:ascii="宋体" w:hAnsi="宋体" w:cs="宋体"/>
                <w:lang w:eastAsia="zh-CN"/>
              </w:rPr>
              <w:t>，</w:t>
            </w:r>
            <w:r>
              <w:rPr>
                <w:rFonts w:hint="eastAsia" w:ascii="宋体" w:hAnsi="宋体" w:cs="宋体"/>
                <w:lang w:val="en-US" w:eastAsia="zh-CN"/>
              </w:rPr>
              <w:t>最终合同费用</w:t>
            </w:r>
            <w:bookmarkStart w:id="2" w:name="_GoBack"/>
            <w:bookmarkEnd w:id="2"/>
            <w:r>
              <w:rPr>
                <w:rFonts w:hint="eastAsia" w:ascii="宋体" w:hAnsi="宋体" w:cs="宋体"/>
                <w:lang w:val="en-US" w:eastAsia="zh-CN"/>
              </w:rPr>
              <w:t>不超过</w:t>
            </w:r>
            <w:r>
              <w:rPr>
                <w:rFonts w:hint="eastAsia" w:ascii="宋体" w:hAnsi="宋体" w:cs="宋体"/>
                <w:u w:val="single"/>
                <w:lang w:val="en-US" w:eastAsia="zh-CN"/>
              </w:rPr>
              <w:t xml:space="preserve"> 贰</w:t>
            </w:r>
            <w:r>
              <w:rPr>
                <w:rFonts w:hint="eastAsia" w:ascii="宋体" w:hAnsi="宋体" w:cs="宋体"/>
                <w:u w:val="none"/>
                <w:lang w:val="en-US" w:eastAsia="zh-CN"/>
              </w:rPr>
              <w:t>万元。</w:t>
            </w:r>
          </w:p>
        </w:tc>
      </w:tr>
      <w:tr w14:paraId="4540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600A9BF4">
            <w:pPr>
              <w:pStyle w:val="6"/>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47C639D6">
            <w:pPr>
              <w:pStyle w:val="6"/>
              <w:adjustRightInd w:val="0"/>
              <w:snapToGrid w:val="0"/>
              <w:spacing w:line="440" w:lineRule="exact"/>
              <w:contextualSpacing/>
              <w:rPr>
                <w:rFonts w:ascii="宋体" w:hAnsi="宋体" w:eastAsia="宋体" w:cs="宋体"/>
                <w:kern w:val="2"/>
                <w:sz w:val="24"/>
                <w:szCs w:val="24"/>
              </w:rPr>
            </w:pPr>
            <w:r>
              <w:rPr>
                <w:rFonts w:ascii="宋体" w:hAnsi="宋体" w:eastAsia="宋体" w:cs="宋体"/>
                <w:kern w:val="2"/>
                <w:sz w:val="24"/>
                <w:szCs w:val="24"/>
              </w:rPr>
              <w:t>投标人应充分考虑市场情况，在最高限价的基础上，报定该项目折扣率。（折扣率定义为相对于最高限价的百分比。投标人报价时，应报出正的（＋）百分比。例如：下浮10%，折扣率应填写为90%。）</w:t>
            </w:r>
          </w:p>
        </w:tc>
      </w:tr>
    </w:tbl>
    <w:p w14:paraId="4E8997CF">
      <w:pPr>
        <w:adjustRightInd w:val="0"/>
        <w:snapToGrid w:val="0"/>
        <w:spacing w:line="500" w:lineRule="exact"/>
        <w:contextualSpacing/>
        <w:rPr>
          <w:rFonts w:ascii="宋体" w:hAnsi="宋体" w:cs="宋体"/>
          <w:bCs/>
          <w:snapToGrid w:val="0"/>
          <w:kern w:val="0"/>
          <w:sz w:val="24"/>
        </w:rPr>
      </w:pPr>
    </w:p>
    <w:p w14:paraId="0AB212A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F7B65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127E88E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72737439">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70D7D417">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057F1895">
      <w:pPr>
        <w:pStyle w:val="6"/>
      </w:pPr>
    </w:p>
    <w:p w14:paraId="76F12DF7">
      <w:pPr>
        <w:pStyle w:val="5"/>
      </w:pPr>
    </w:p>
    <w:p w14:paraId="3045C3EF"/>
    <w:p w14:paraId="3234BC47">
      <w:r>
        <w:br w:type="page"/>
      </w:r>
    </w:p>
    <w:p w14:paraId="573FEECF">
      <w:pPr>
        <w:pStyle w:val="14"/>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宋体" w:hAnsi="宋体"/>
          <w:kern w:val="0"/>
          <w:sz w:val="36"/>
          <w:szCs w:val="36"/>
        </w:rPr>
      </w:pPr>
      <w:r>
        <w:rPr>
          <w:rFonts w:hint="eastAsia" w:ascii="宋体" w:hAnsi="宋体"/>
          <w:kern w:val="0"/>
          <w:sz w:val="36"/>
          <w:szCs w:val="36"/>
        </w:rPr>
        <w:t>（九）分项报价表</w:t>
      </w:r>
    </w:p>
    <w:p w14:paraId="32EC0F7D">
      <w:pPr>
        <w:adjustRightInd w:val="0"/>
        <w:snapToGrid w:val="0"/>
        <w:spacing w:line="440" w:lineRule="exact"/>
        <w:ind w:firstLine="480" w:firstLineChars="200"/>
        <w:contextualSpacing/>
        <w:rPr>
          <w:rFonts w:ascii="宋体" w:hAnsi="宋体"/>
          <w:sz w:val="24"/>
        </w:rPr>
      </w:pPr>
      <w:r>
        <w:rPr>
          <w:rFonts w:hint="eastAsia" w:ascii="宋体" w:hAnsi="宋体"/>
          <w:sz w:val="24"/>
        </w:rPr>
        <w:t>供应商在报价时应按《建设工程工程量清单计价规范》（GB50500-2013）和竞争性磋商文件规定的格式报价。分项报价表按照附件提供的工程量清单的格式进行填报，分别填报单价和合价，要求填报完整，漏报项视为价格已分摊到其他清单项中。</w:t>
      </w:r>
    </w:p>
    <w:p w14:paraId="5BFA5318">
      <w:pPr>
        <w:adjustRightInd w:val="0"/>
        <w:snapToGrid w:val="0"/>
        <w:spacing w:line="440" w:lineRule="exact"/>
        <w:ind w:firstLine="480" w:firstLineChars="200"/>
        <w:contextualSpacing/>
        <w:rPr>
          <w:rFonts w:ascii="宋体" w:hAnsi="宋体"/>
          <w:sz w:val="24"/>
        </w:rPr>
      </w:pPr>
      <w:r>
        <w:rPr>
          <w:rFonts w:hint="eastAsia" w:ascii="宋体" w:hAnsi="宋体"/>
          <w:sz w:val="24"/>
        </w:rPr>
        <w:t>特别说明：本工程供应商需提供完整响应文件的纸质版（PDF格式）。未提供或者提供内容不全的，将视为未响应采购文件要求，作为无效响应处理。</w:t>
      </w:r>
    </w:p>
    <w:p w14:paraId="7A8A2E8D">
      <w:pPr>
        <w:pStyle w:val="39"/>
        <w:ind w:left="320" w:hanging="320" w:hangingChars="100"/>
        <w:jc w:val="left"/>
        <w:rPr>
          <w:rFonts w:ascii="宋体" w:hAnsi="宋体" w:cs="宋体"/>
          <w:bCs/>
          <w:kern w:val="2"/>
          <w:sz w:val="32"/>
          <w:szCs w:val="32"/>
        </w:rPr>
      </w:pPr>
    </w:p>
    <w:p w14:paraId="2BE4DFA2">
      <w:pPr>
        <w:pStyle w:val="39"/>
        <w:rPr>
          <w:rFonts w:ascii="宋体" w:hAnsi="宋体" w:cs="宋体"/>
          <w:b/>
          <w:bCs/>
          <w:kern w:val="2"/>
          <w:sz w:val="32"/>
          <w:szCs w:val="32"/>
        </w:rPr>
      </w:pPr>
    </w:p>
    <w:p w14:paraId="5B9C4A4C">
      <w:pPr>
        <w:pStyle w:val="39"/>
        <w:jc w:val="center"/>
        <w:rPr>
          <w:rFonts w:ascii="宋体" w:hAnsi="宋体" w:cs="宋体"/>
          <w:b/>
          <w:kern w:val="2"/>
          <w:sz w:val="52"/>
          <w:szCs w:val="52"/>
        </w:rPr>
      </w:pPr>
    </w:p>
    <w:p w14:paraId="4E1EB9AF">
      <w:pPr>
        <w:pStyle w:val="39"/>
        <w:jc w:val="center"/>
        <w:rPr>
          <w:rFonts w:ascii="宋体" w:hAnsi="宋体" w:cs="宋体"/>
          <w:b/>
          <w:kern w:val="2"/>
          <w:sz w:val="72"/>
          <w:szCs w:val="52"/>
        </w:rPr>
      </w:pPr>
    </w:p>
    <w:p w14:paraId="38204EBD">
      <w:pPr>
        <w:rPr>
          <w:rFonts w:ascii="宋体" w:hAnsi="宋体" w:cs="宋体"/>
          <w:b/>
          <w:sz w:val="72"/>
          <w:szCs w:val="52"/>
        </w:rPr>
      </w:pPr>
      <w:r>
        <w:rPr>
          <w:rFonts w:hint="eastAsia" w:ascii="宋体" w:hAnsi="宋体" w:cs="宋体"/>
          <w:b/>
          <w:sz w:val="72"/>
          <w:szCs w:val="52"/>
        </w:rPr>
        <w:br w:type="page"/>
      </w:r>
    </w:p>
    <w:p w14:paraId="1EABAAC8">
      <w:pPr>
        <w:pStyle w:val="42"/>
        <w:keepNext/>
        <w:keepLines/>
        <w:widowControl w:val="0"/>
        <w:suppressLineNumbers w:val="0"/>
        <w:spacing w:before="840" w:beforeAutospacing="0" w:after="780" w:afterAutospacing="0"/>
        <w:ind w:left="1443" w:right="0" w:hanging="883"/>
        <w:rPr>
          <w:rFonts w:hint="eastAsia" w:ascii="宋体" w:hAnsi="宋体" w:eastAsia="宋体" w:cs="宋体"/>
          <w:b/>
          <w:bCs w:val="0"/>
          <w:kern w:val="0"/>
          <w:sz w:val="44"/>
          <w:szCs w:val="44"/>
        </w:rPr>
      </w:pPr>
    </w:p>
    <w:p w14:paraId="6AE5297D">
      <w:pPr>
        <w:pStyle w:val="42"/>
        <w:keepNext/>
        <w:keepLines/>
        <w:widowControl w:val="0"/>
        <w:suppressLineNumbers w:val="0"/>
        <w:spacing w:before="840" w:beforeAutospacing="0" w:after="780" w:afterAutospacing="0"/>
        <w:ind w:left="1443" w:right="0" w:hanging="883"/>
        <w:rPr>
          <w:rFonts w:hint="eastAsia" w:ascii="宋体" w:hAnsi="宋体" w:eastAsia="宋体" w:cs="宋体"/>
          <w:b/>
          <w:bCs w:val="0"/>
          <w:kern w:val="0"/>
          <w:sz w:val="44"/>
          <w:szCs w:val="44"/>
        </w:rPr>
      </w:pPr>
      <w:r>
        <w:rPr>
          <w:rFonts w:hint="eastAsia" w:ascii="宋体" w:hAnsi="宋体" w:eastAsia="宋体" w:cs="宋体"/>
          <w:b/>
          <w:bCs w:val="0"/>
          <w:kern w:val="0"/>
          <w:sz w:val="44"/>
          <w:szCs w:val="44"/>
        </w:rPr>
        <w:t>江苏省建设工程造价咨询合同</w:t>
      </w:r>
    </w:p>
    <w:p w14:paraId="77436DF4">
      <w:pPr>
        <w:pStyle w:val="42"/>
        <w:keepNext/>
        <w:keepLines/>
        <w:widowControl w:val="0"/>
        <w:suppressLineNumbers w:val="0"/>
        <w:spacing w:before="840" w:beforeAutospacing="0" w:after="780" w:afterAutospacing="0"/>
        <w:ind w:left="1443" w:right="0" w:hanging="883"/>
        <w:rPr>
          <w:rFonts w:hint="eastAsia" w:ascii="宋体" w:hAnsi="宋体" w:eastAsia="宋体" w:cs="宋体"/>
          <w:b/>
          <w:bCs w:val="0"/>
          <w:kern w:val="0"/>
          <w:sz w:val="44"/>
          <w:szCs w:val="44"/>
        </w:rPr>
      </w:pPr>
      <w:r>
        <w:rPr>
          <w:rFonts w:hint="eastAsia" w:ascii="宋体" w:hAnsi="宋体" w:eastAsia="宋体" w:cs="宋体"/>
          <w:b/>
          <w:bCs w:val="0"/>
          <w:kern w:val="0"/>
          <w:sz w:val="44"/>
          <w:szCs w:val="44"/>
        </w:rPr>
        <w:t xml:space="preserve"> </w:t>
      </w:r>
    </w:p>
    <w:p w14:paraId="4BB6A7C0">
      <w:pPr>
        <w:keepNext w:val="0"/>
        <w:keepLines w:val="0"/>
        <w:widowControl w:val="0"/>
        <w:suppressLineNumbers w:val="0"/>
        <w:spacing w:before="0" w:beforeAutospacing="0" w:after="0" w:afterAutospacing="0" w:line="480" w:lineRule="auto"/>
        <w:ind w:left="2177" w:leftChars="200" w:right="0" w:hanging="1757" w:hangingChars="446"/>
        <w:jc w:val="both"/>
        <w:rPr>
          <w:rFonts w:hint="eastAsia" w:ascii="宋体" w:hAnsi="宋体" w:eastAsia="宋体" w:cs="宋体"/>
          <w:kern w:val="2"/>
          <w:sz w:val="28"/>
          <w:szCs w:val="28"/>
          <w:u w:val="single"/>
        </w:rPr>
      </w:pPr>
      <w:r>
        <w:rPr>
          <w:rFonts w:hint="eastAsia" w:ascii="宋体" w:hAnsi="宋体" w:eastAsia="宋体" w:cs="宋体"/>
          <w:spacing w:val="57"/>
          <w:kern w:val="2"/>
          <w:sz w:val="28"/>
          <w:szCs w:val="28"/>
          <w:lang w:val="en-US" w:eastAsia="zh-CN" w:bidi="ar"/>
        </w:rPr>
        <w:t>项目名称</w:t>
      </w:r>
      <w:r>
        <w:rPr>
          <w:rFonts w:hint="eastAsia" w:ascii="宋体" w:hAnsi="宋体" w:eastAsia="宋体" w:cs="宋体"/>
          <w:kern w:val="2"/>
          <w:sz w:val="28"/>
          <w:szCs w:val="28"/>
          <w:lang w:val="en-US" w:eastAsia="zh-CN" w:bidi="ar"/>
        </w:rPr>
        <w:t>：</w:t>
      </w:r>
    </w:p>
    <w:p w14:paraId="02C15326">
      <w:pPr>
        <w:keepNext w:val="0"/>
        <w:keepLines w:val="0"/>
        <w:widowControl w:val="0"/>
        <w:suppressLineNumbers w:val="0"/>
        <w:spacing w:before="0" w:beforeAutospacing="0" w:after="0" w:afterAutospacing="0" w:line="480" w:lineRule="auto"/>
        <w:ind w:left="0" w:right="0" w:firstLine="394" w:firstLineChars="100"/>
        <w:jc w:val="both"/>
        <w:rPr>
          <w:rFonts w:hint="eastAsia" w:ascii="宋体" w:hAnsi="宋体" w:eastAsia="宋体" w:cs="宋体"/>
          <w:kern w:val="2"/>
          <w:sz w:val="28"/>
          <w:szCs w:val="28"/>
          <w:u w:val="single"/>
        </w:rPr>
      </w:pPr>
      <w:r>
        <w:rPr>
          <w:rFonts w:hint="eastAsia" w:ascii="宋体" w:hAnsi="宋体" w:eastAsia="宋体" w:cs="宋体"/>
          <w:spacing w:val="57"/>
          <w:kern w:val="2"/>
          <w:sz w:val="28"/>
          <w:szCs w:val="28"/>
          <w:lang w:val="en-US" w:eastAsia="zh-CN" w:bidi="ar"/>
        </w:rPr>
        <w:t>建设地点</w:t>
      </w:r>
      <w:r>
        <w:rPr>
          <w:rFonts w:hint="eastAsia" w:ascii="宋体" w:hAnsi="宋体" w:eastAsia="宋体" w:cs="宋体"/>
          <w:kern w:val="2"/>
          <w:sz w:val="28"/>
          <w:szCs w:val="28"/>
          <w:lang w:val="en-US" w:eastAsia="zh-CN" w:bidi="ar"/>
        </w:rPr>
        <w:t>：</w:t>
      </w:r>
    </w:p>
    <w:p w14:paraId="05B54B46">
      <w:pPr>
        <w:keepNext w:val="0"/>
        <w:keepLines w:val="0"/>
        <w:widowControl w:val="0"/>
        <w:suppressLineNumbers w:val="0"/>
        <w:spacing w:before="0" w:beforeAutospacing="0" w:after="0" w:afterAutospacing="0" w:line="480" w:lineRule="auto"/>
        <w:ind w:left="0" w:right="0" w:firstLine="394" w:firstLineChars="100"/>
        <w:jc w:val="both"/>
        <w:rPr>
          <w:rFonts w:hint="eastAsia" w:ascii="宋体" w:hAnsi="宋体" w:eastAsia="宋体" w:cs="宋体"/>
          <w:kern w:val="2"/>
          <w:sz w:val="28"/>
          <w:szCs w:val="28"/>
          <w:u w:val="single"/>
        </w:rPr>
      </w:pPr>
      <w:r>
        <w:rPr>
          <w:rFonts w:hint="eastAsia" w:ascii="宋体" w:hAnsi="宋体" w:eastAsia="宋体" w:cs="宋体"/>
          <w:spacing w:val="57"/>
          <w:kern w:val="2"/>
          <w:sz w:val="28"/>
          <w:szCs w:val="28"/>
          <w:lang w:val="en-US" w:eastAsia="zh-CN" w:bidi="ar"/>
        </w:rPr>
        <w:t>审计编号</w:t>
      </w:r>
      <w:r>
        <w:rPr>
          <w:rFonts w:hint="eastAsia" w:ascii="宋体" w:hAnsi="宋体" w:eastAsia="宋体" w:cs="宋体"/>
          <w:kern w:val="2"/>
          <w:sz w:val="28"/>
          <w:szCs w:val="28"/>
          <w:lang w:val="en-US" w:eastAsia="zh-CN" w:bidi="ar"/>
        </w:rPr>
        <w:t>：</w:t>
      </w:r>
    </w:p>
    <w:p w14:paraId="1DFA351D">
      <w:pPr>
        <w:keepNext w:val="0"/>
        <w:keepLines w:val="0"/>
        <w:widowControl w:val="0"/>
        <w:suppressLineNumbers w:val="0"/>
        <w:spacing w:before="0" w:beforeAutospacing="0" w:after="0" w:afterAutospacing="0" w:line="480" w:lineRule="auto"/>
        <w:ind w:left="0" w:right="0" w:firstLine="394" w:firstLineChars="100"/>
        <w:jc w:val="both"/>
        <w:rPr>
          <w:rFonts w:hint="eastAsia" w:ascii="宋体" w:hAnsi="宋体" w:eastAsia="宋体" w:cs="宋体"/>
          <w:kern w:val="2"/>
          <w:sz w:val="28"/>
          <w:szCs w:val="28"/>
          <w:u w:val="single"/>
        </w:rPr>
      </w:pPr>
      <w:r>
        <w:rPr>
          <w:rFonts w:hint="eastAsia" w:ascii="宋体" w:hAnsi="宋体" w:eastAsia="宋体" w:cs="宋体"/>
          <w:spacing w:val="57"/>
          <w:kern w:val="2"/>
          <w:sz w:val="28"/>
          <w:szCs w:val="28"/>
          <w:lang w:val="en-US" w:eastAsia="zh-CN" w:bidi="ar"/>
        </w:rPr>
        <w:t>咨询类型：</w:t>
      </w:r>
    </w:p>
    <w:p w14:paraId="0434339D">
      <w:pPr>
        <w:pStyle w:val="42"/>
        <w:keepNext/>
        <w:keepLines/>
        <w:widowControl w:val="0"/>
        <w:suppressLineNumbers w:val="0"/>
        <w:spacing w:before="840" w:beforeAutospacing="0" w:after="780" w:afterAutospacing="0"/>
        <w:ind w:left="1120" w:right="0" w:hanging="56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1BB316CE">
      <w:pPr>
        <w:pStyle w:val="42"/>
        <w:keepNext/>
        <w:keepLines/>
        <w:widowControl w:val="0"/>
        <w:suppressLineNumbers w:val="0"/>
        <w:spacing w:before="840" w:beforeAutospacing="0" w:after="780" w:afterAutospacing="0"/>
        <w:ind w:left="1040" w:right="0" w:hanging="480"/>
        <w:jc w:val="left"/>
        <w:rPr>
          <w:rFonts w:hint="eastAsia" w:ascii="宋体" w:hAnsi="宋体" w:eastAsia="宋体" w:cs="宋体"/>
          <w:kern w:val="0"/>
          <w:sz w:val="32"/>
          <w:szCs w:val="32"/>
        </w:rPr>
      </w:pPr>
      <w:r>
        <w:rPr>
          <w:rFonts w:hint="eastAsia" w:ascii="宋体" w:hAnsi="宋体" w:eastAsia="宋体" w:cs="宋体"/>
          <w:kern w:val="0"/>
          <w:sz w:val="32"/>
          <w:szCs w:val="32"/>
        </w:rPr>
        <w:t xml:space="preserve"> </w:t>
      </w:r>
    </w:p>
    <w:p w14:paraId="29C16D0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56CBA07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57FBE01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江苏省住房和城乡建设厅</w:t>
      </w:r>
    </w:p>
    <w:p w14:paraId="156233ED">
      <w:pPr>
        <w:keepNext w:val="0"/>
        <w:keepLines w:val="0"/>
        <w:widowControl w:val="0"/>
        <w:suppressLineNumbers w:val="0"/>
        <w:spacing w:before="0" w:beforeAutospacing="0" w:after="0" w:afterAutospacing="0"/>
        <w:ind w:left="0" w:right="0" w:firstLine="6440" w:firstLineChars="23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制定</w:t>
      </w:r>
    </w:p>
    <w:p w14:paraId="2784D2E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pacing w:val="20"/>
          <w:kern w:val="2"/>
          <w:sz w:val="28"/>
          <w:szCs w:val="28"/>
        </w:rPr>
      </w:pPr>
      <w:r>
        <w:rPr>
          <w:rFonts w:hint="eastAsia" w:ascii="宋体" w:hAnsi="宋体" w:eastAsia="宋体" w:cs="宋体"/>
          <w:spacing w:val="20"/>
          <w:kern w:val="2"/>
          <w:sz w:val="28"/>
          <w:szCs w:val="28"/>
          <w:lang w:val="en-US" w:eastAsia="zh-CN" w:bidi="ar"/>
        </w:rPr>
        <w:t>江苏省工商行政管理局</w:t>
      </w:r>
    </w:p>
    <w:p w14:paraId="0C245775">
      <w:pPr>
        <w:rPr>
          <w:rFonts w:hint="eastAsia" w:ascii="宋体" w:hAnsi="宋体" w:eastAsia="宋体" w:cs="宋体"/>
          <w:kern w:val="0"/>
          <w:sz w:val="32"/>
          <w:szCs w:val="32"/>
        </w:rPr>
      </w:pPr>
      <w:r>
        <w:rPr>
          <w:rFonts w:hint="eastAsia" w:ascii="宋体" w:hAnsi="宋体" w:eastAsia="宋体" w:cs="宋体"/>
          <w:kern w:val="0"/>
          <w:sz w:val="32"/>
          <w:szCs w:val="32"/>
        </w:rPr>
        <w:br w:type="page"/>
      </w:r>
    </w:p>
    <w:p w14:paraId="6A74434A">
      <w:pPr>
        <w:pStyle w:val="42"/>
        <w:keepNext/>
        <w:keepLines/>
        <w:widowControl w:val="0"/>
        <w:suppressLineNumbers w:val="0"/>
        <w:spacing w:before="840" w:beforeAutospacing="0" w:after="780" w:afterAutospacing="0"/>
        <w:ind w:left="1040" w:right="0" w:hanging="480"/>
        <w:rPr>
          <w:rFonts w:hint="eastAsia" w:ascii="宋体" w:hAnsi="宋体" w:eastAsia="宋体" w:cs="MingLiU"/>
          <w:kern w:val="0"/>
          <w:sz w:val="32"/>
          <w:szCs w:val="32"/>
        </w:rPr>
      </w:pPr>
      <w:r>
        <w:rPr>
          <w:rFonts w:hint="eastAsia" w:ascii="宋体" w:hAnsi="宋体" w:eastAsia="宋体" w:cs="宋体"/>
          <w:kern w:val="0"/>
          <w:sz w:val="32"/>
          <w:szCs w:val="32"/>
        </w:rPr>
        <w:t>第一部分建设工程造价咨询协议书</w:t>
      </w:r>
    </w:p>
    <w:p w14:paraId="747204BB">
      <w:pPr>
        <w:pStyle w:val="43"/>
        <w:widowControl/>
        <w:tabs>
          <w:tab w:val="left" w:pos="1402"/>
          <w:tab w:val="left" w:pos="8405"/>
        </w:tabs>
        <w:spacing w:line="480" w:lineRule="exact"/>
        <w:ind w:left="0" w:firstLine="0"/>
        <w:jc w:val="both"/>
        <w:rPr>
          <w:rFonts w:hint="eastAsia" w:ascii="宋体" w:hAnsi="宋体" w:eastAsia="宋体" w:cs="MingLiU"/>
          <w:kern w:val="0"/>
          <w:sz w:val="22"/>
          <w:szCs w:val="22"/>
        </w:rPr>
      </w:pPr>
      <w:r>
        <w:rPr>
          <w:rFonts w:hint="eastAsia" w:ascii="宋体" w:hAnsi="宋体" w:eastAsia="宋体" w:cs="宋体"/>
          <w:kern w:val="0"/>
          <w:sz w:val="22"/>
          <w:szCs w:val="22"/>
        </w:rPr>
        <w:t>委托人：</w:t>
      </w:r>
    </w:p>
    <w:p w14:paraId="40ED07E6">
      <w:pPr>
        <w:pStyle w:val="43"/>
        <w:widowControl/>
        <w:tabs>
          <w:tab w:val="left" w:pos="1402"/>
          <w:tab w:val="left" w:pos="8390"/>
        </w:tabs>
        <w:spacing w:line="480" w:lineRule="exact"/>
        <w:ind w:left="0" w:firstLine="0"/>
        <w:jc w:val="both"/>
        <w:rPr>
          <w:rFonts w:hint="eastAsia" w:ascii="宋体" w:hAnsi="宋体" w:eastAsia="宋体" w:cs="MingLiU"/>
          <w:kern w:val="0"/>
          <w:sz w:val="22"/>
          <w:szCs w:val="22"/>
        </w:rPr>
      </w:pPr>
      <w:r>
        <w:rPr>
          <w:rFonts w:hint="eastAsia" w:ascii="宋体" w:hAnsi="宋体" w:eastAsia="宋体" w:cs="宋体"/>
          <w:kern w:val="0"/>
          <w:sz w:val="22"/>
          <w:szCs w:val="22"/>
        </w:rPr>
        <w:t>咨询人：</w:t>
      </w:r>
    </w:p>
    <w:p w14:paraId="5F106DA2">
      <w:pPr>
        <w:pStyle w:val="43"/>
        <w:widowControl/>
        <w:spacing w:line="480" w:lineRule="exact"/>
        <w:ind w:left="0" w:firstLine="480"/>
        <w:jc w:val="both"/>
        <w:rPr>
          <w:rFonts w:hint="eastAsia" w:ascii="宋体" w:hAnsi="宋体" w:eastAsia="宋体" w:cs="MingLiU"/>
          <w:kern w:val="0"/>
          <w:sz w:val="22"/>
          <w:szCs w:val="22"/>
        </w:rPr>
      </w:pPr>
      <w:r>
        <w:rPr>
          <w:rFonts w:hint="eastAsia" w:ascii="宋体" w:hAnsi="宋体" w:eastAsia="宋体" w:cs="宋体"/>
          <w:kern w:val="0"/>
          <w:sz w:val="22"/>
          <w:szCs w:val="22"/>
        </w:rPr>
        <w:t>依据《中华人民共和国民法典》及工程造价相关管理规定，经过双方协商一致，签订本工程造价咨询合同。</w:t>
      </w:r>
    </w:p>
    <w:p w14:paraId="72C1C5B9">
      <w:pPr>
        <w:pStyle w:val="43"/>
        <w:widowControl/>
        <w:spacing w:line="480" w:lineRule="exact"/>
        <w:rPr>
          <w:rFonts w:hint="eastAsia" w:ascii="宋体" w:hAnsi="宋体" w:eastAsia="宋体" w:cs="MingLiU"/>
          <w:kern w:val="0"/>
          <w:sz w:val="22"/>
          <w:szCs w:val="22"/>
        </w:rPr>
      </w:pPr>
      <w:r>
        <w:rPr>
          <w:rFonts w:hint="eastAsia" w:ascii="宋体" w:hAnsi="宋体" w:eastAsia="宋体" w:cs="宋体"/>
          <w:kern w:val="0"/>
          <w:sz w:val="22"/>
          <w:szCs w:val="22"/>
        </w:rPr>
        <w:t>一、委托人委托咨询人为以下项目提供建设工程造价咨询服务：</w:t>
      </w:r>
    </w:p>
    <w:p w14:paraId="2636894C">
      <w:pPr>
        <w:pStyle w:val="43"/>
        <w:widowControl/>
        <w:numPr>
          <w:ilvl w:val="0"/>
          <w:numId w:val="3"/>
        </w:numPr>
        <w:tabs>
          <w:tab w:val="left" w:pos="798"/>
          <w:tab w:val="left" w:pos="8354"/>
        </w:tabs>
        <w:spacing w:line="480" w:lineRule="exact"/>
        <w:rPr>
          <w:rFonts w:hint="eastAsia" w:ascii="宋体" w:hAnsi="宋体" w:eastAsia="宋体" w:cs="MingLiU"/>
          <w:b/>
          <w:bCs/>
          <w:kern w:val="0"/>
          <w:sz w:val="22"/>
          <w:szCs w:val="22"/>
        </w:rPr>
      </w:pPr>
      <w:r>
        <w:rPr>
          <w:rFonts w:hint="eastAsia" w:ascii="宋体" w:hAnsi="宋体" w:eastAsia="宋体" w:cs="宋体"/>
          <w:kern w:val="0"/>
          <w:sz w:val="22"/>
          <w:szCs w:val="22"/>
        </w:rPr>
        <w:t>项目名称：</w:t>
      </w:r>
      <w:r>
        <w:rPr>
          <w:rFonts w:hint="eastAsia" w:ascii="宋体" w:hAnsi="宋体" w:eastAsia="宋体" w:cs="MingLiU"/>
          <w:b/>
          <w:bCs/>
          <w:kern w:val="0"/>
          <w:sz w:val="22"/>
          <w:szCs w:val="22"/>
          <w:u w:val="single"/>
        </w:rPr>
        <w:tab/>
      </w:r>
    </w:p>
    <w:p w14:paraId="4DA44E5A">
      <w:pPr>
        <w:pStyle w:val="43"/>
        <w:widowControl/>
        <w:numPr>
          <w:ilvl w:val="0"/>
          <w:numId w:val="3"/>
        </w:numPr>
        <w:tabs>
          <w:tab w:val="left" w:pos="798"/>
          <w:tab w:val="left" w:pos="2944"/>
          <w:tab w:val="left" w:pos="8373"/>
        </w:tabs>
        <w:spacing w:line="480" w:lineRule="exact"/>
        <w:rPr>
          <w:rFonts w:hint="eastAsia" w:ascii="宋体" w:hAnsi="宋体" w:eastAsia="宋体" w:cs="MingLiU"/>
          <w:b/>
          <w:bCs/>
          <w:kern w:val="0"/>
          <w:sz w:val="22"/>
          <w:szCs w:val="22"/>
        </w:rPr>
      </w:pPr>
      <w:r>
        <w:rPr>
          <w:rFonts w:hint="eastAsia" w:ascii="宋体" w:hAnsi="宋体" w:eastAsia="宋体" w:cs="宋体"/>
          <w:kern w:val="0"/>
          <w:sz w:val="22"/>
          <w:szCs w:val="22"/>
        </w:rPr>
        <w:t>建设地点：</w:t>
      </w:r>
      <w:r>
        <w:rPr>
          <w:rFonts w:hint="eastAsia" w:ascii="宋体" w:hAnsi="宋体" w:eastAsia="宋体" w:cs="MingLiU"/>
          <w:b/>
          <w:bCs/>
          <w:kern w:val="0"/>
          <w:sz w:val="22"/>
          <w:szCs w:val="22"/>
          <w:u w:val="single"/>
        </w:rPr>
        <w:tab/>
      </w:r>
      <w:r>
        <w:rPr>
          <w:rFonts w:hint="eastAsia" w:ascii="宋体" w:hAnsi="宋体" w:eastAsia="宋体" w:cs="MingLiU"/>
          <w:b/>
          <w:bCs/>
          <w:kern w:val="0"/>
          <w:sz w:val="22"/>
          <w:szCs w:val="22"/>
          <w:u w:val="single"/>
          <w:lang w:val="en-US" w:eastAsia="zh-CN"/>
        </w:rPr>
        <w:t xml:space="preserve">                                                 </w:t>
      </w:r>
    </w:p>
    <w:p w14:paraId="16286E18">
      <w:pPr>
        <w:pStyle w:val="43"/>
        <w:widowControl/>
        <w:numPr>
          <w:ilvl w:val="0"/>
          <w:numId w:val="3"/>
        </w:numPr>
        <w:tabs>
          <w:tab w:val="left" w:pos="798"/>
          <w:tab w:val="left" w:pos="8373"/>
        </w:tabs>
        <w:spacing w:line="480" w:lineRule="exact"/>
        <w:rPr>
          <w:rFonts w:hint="eastAsia" w:ascii="宋体" w:hAnsi="宋体" w:eastAsia="宋体" w:cs="MingLiU"/>
          <w:kern w:val="0"/>
          <w:sz w:val="22"/>
          <w:szCs w:val="22"/>
        </w:rPr>
      </w:pPr>
      <w:r>
        <w:rPr>
          <w:rFonts w:hint="eastAsia" w:ascii="宋体" w:hAnsi="宋体" w:eastAsia="宋体" w:cs="宋体"/>
          <w:kern w:val="0"/>
          <w:sz w:val="22"/>
          <w:szCs w:val="22"/>
        </w:rPr>
        <w:t>资金来源：</w:t>
      </w:r>
      <w:r>
        <w:rPr>
          <w:rFonts w:hint="eastAsia" w:ascii="宋体" w:hAnsi="宋体" w:eastAsia="宋体" w:cs="MingLiU"/>
          <w:kern w:val="0"/>
          <w:sz w:val="22"/>
          <w:szCs w:val="22"/>
          <w:u w:val="single"/>
        </w:rPr>
        <w:tab/>
      </w:r>
    </w:p>
    <w:p w14:paraId="3134A27E">
      <w:pPr>
        <w:pStyle w:val="43"/>
        <w:widowControl/>
        <w:numPr>
          <w:ilvl w:val="0"/>
          <w:numId w:val="3"/>
        </w:numPr>
        <w:tabs>
          <w:tab w:val="left" w:pos="798"/>
          <w:tab w:val="left" w:pos="8373"/>
        </w:tabs>
        <w:spacing w:line="480" w:lineRule="exact"/>
        <w:rPr>
          <w:rFonts w:hint="eastAsia" w:ascii="宋体" w:hAnsi="宋体" w:eastAsia="宋体" w:cs="MingLiU"/>
          <w:kern w:val="0"/>
          <w:sz w:val="22"/>
          <w:szCs w:val="22"/>
        </w:rPr>
      </w:pPr>
      <w:r>
        <w:rPr>
          <w:rFonts w:hint="eastAsia" w:ascii="宋体" w:hAnsi="宋体" w:eastAsia="宋体" w:cs="宋体"/>
          <w:kern w:val="0"/>
          <w:sz w:val="22"/>
          <w:szCs w:val="22"/>
        </w:rPr>
        <w:t>工程用途：</w:t>
      </w:r>
      <w:r>
        <w:rPr>
          <w:rFonts w:hint="eastAsia" w:ascii="宋体" w:hAnsi="宋体" w:eastAsia="宋体" w:cs="MingLiU"/>
          <w:kern w:val="0"/>
          <w:sz w:val="22"/>
          <w:szCs w:val="22"/>
          <w:u w:val="single"/>
        </w:rPr>
        <w:tab/>
      </w:r>
    </w:p>
    <w:p w14:paraId="771B64A5">
      <w:pPr>
        <w:pStyle w:val="43"/>
        <w:widowControl/>
        <w:numPr>
          <w:ilvl w:val="0"/>
          <w:numId w:val="3"/>
        </w:numPr>
        <w:tabs>
          <w:tab w:val="left" w:pos="798"/>
          <w:tab w:val="left" w:pos="6093"/>
          <w:tab w:val="left" w:pos="8373"/>
        </w:tabs>
        <w:spacing w:line="480" w:lineRule="exact"/>
        <w:ind w:left="0" w:firstLine="403"/>
        <w:jc w:val="both"/>
        <w:rPr>
          <w:rFonts w:hint="eastAsia" w:ascii="宋体" w:hAnsi="宋体" w:eastAsia="宋体" w:cs="MingLiU"/>
          <w:kern w:val="0"/>
          <w:sz w:val="22"/>
          <w:szCs w:val="22"/>
        </w:rPr>
      </w:pPr>
      <w:r>
        <w:rPr>
          <w:rFonts w:hint="eastAsia" w:ascii="宋体" w:hAnsi="宋体" w:eastAsia="宋体" w:cs="宋体"/>
          <w:kern w:val="0"/>
          <w:sz w:val="22"/>
          <w:szCs w:val="22"/>
        </w:rPr>
        <w:t>项目规模：总投资额约万元，建筑面积平方米。</w:t>
      </w:r>
    </w:p>
    <w:p w14:paraId="42127879">
      <w:pPr>
        <w:pStyle w:val="43"/>
        <w:widowControl/>
        <w:numPr>
          <w:ilvl w:val="0"/>
          <w:numId w:val="3"/>
        </w:numPr>
        <w:tabs>
          <w:tab w:val="left" w:pos="798"/>
          <w:tab w:val="left" w:pos="6093"/>
          <w:tab w:val="left" w:pos="8373"/>
        </w:tabs>
        <w:spacing w:line="480" w:lineRule="exact"/>
        <w:ind w:left="0" w:firstLine="403"/>
        <w:jc w:val="both"/>
        <w:rPr>
          <w:rFonts w:hint="eastAsia" w:ascii="宋体" w:hAnsi="宋体" w:eastAsia="宋体" w:cs="MingLiU"/>
          <w:kern w:val="0"/>
          <w:sz w:val="22"/>
          <w:szCs w:val="22"/>
        </w:rPr>
      </w:pPr>
      <w:r>
        <w:rPr>
          <w:rFonts w:hint="eastAsia" w:ascii="宋体" w:hAnsi="宋体" w:eastAsia="宋体" w:cs="宋体"/>
          <w:kern w:val="0"/>
          <w:sz w:val="22"/>
          <w:szCs w:val="22"/>
        </w:rPr>
        <w:t>咨询业务范围及内容：</w:t>
      </w:r>
    </w:p>
    <w:p w14:paraId="703E9545">
      <w:pPr>
        <w:pStyle w:val="43"/>
        <w:widowControl/>
        <w:spacing w:line="470" w:lineRule="exact"/>
        <w:ind w:left="0" w:firstLine="480"/>
        <w:jc w:val="both"/>
        <w:rPr>
          <w:rFonts w:hint="eastAsia" w:ascii="宋体" w:hAnsi="宋体" w:eastAsia="宋体" w:cs="MingLiU"/>
          <w:kern w:val="0"/>
          <w:sz w:val="22"/>
          <w:szCs w:val="22"/>
        </w:rPr>
      </w:pPr>
      <w:r>
        <w:rPr>
          <w:rFonts w:hint="eastAsia" w:ascii="宋体" w:hAnsi="宋体" w:eastAsia="宋体" w:cs="宋体"/>
          <w:kern w:val="0"/>
          <w:sz w:val="22"/>
          <w:szCs w:val="22"/>
        </w:rPr>
        <w:t>二、本协议书的措词和用语与所属建设工程造价咨询合同通用条款赋予的定义相同。</w:t>
      </w:r>
    </w:p>
    <w:p w14:paraId="0940E2F4">
      <w:pPr>
        <w:pStyle w:val="43"/>
        <w:widowControl/>
        <w:numPr>
          <w:ilvl w:val="0"/>
          <w:numId w:val="4"/>
        </w:numPr>
        <w:spacing w:line="470" w:lineRule="exact"/>
        <w:ind w:left="971" w:hanging="465"/>
        <w:rPr>
          <w:rFonts w:hint="eastAsia" w:ascii="宋体" w:hAnsi="宋体" w:eastAsia="宋体" w:cs="MingLiU"/>
          <w:kern w:val="0"/>
          <w:sz w:val="22"/>
          <w:szCs w:val="22"/>
        </w:rPr>
      </w:pPr>
      <w:r>
        <w:rPr>
          <w:rFonts w:hint="eastAsia" w:ascii="宋体" w:hAnsi="宋体" w:eastAsia="宋体" w:cs="宋体"/>
          <w:kern w:val="0"/>
          <w:sz w:val="22"/>
          <w:szCs w:val="22"/>
        </w:rPr>
        <w:t>本合同的组成部分及解释顺序为：</w:t>
      </w:r>
    </w:p>
    <w:p w14:paraId="691DD3E5">
      <w:pPr>
        <w:pStyle w:val="43"/>
        <w:widowControl/>
        <w:numPr>
          <w:ilvl w:val="0"/>
          <w:numId w:val="5"/>
        </w:numPr>
        <w:tabs>
          <w:tab w:val="left" w:pos="798"/>
        </w:tabs>
        <w:spacing w:line="470" w:lineRule="exact"/>
        <w:ind w:left="760" w:hanging="360"/>
        <w:rPr>
          <w:rFonts w:hint="eastAsia" w:ascii="宋体" w:hAnsi="宋体" w:eastAsia="宋体" w:cs="MingLiU"/>
          <w:kern w:val="0"/>
          <w:sz w:val="22"/>
          <w:szCs w:val="22"/>
        </w:rPr>
      </w:pPr>
      <w:r>
        <w:rPr>
          <w:rFonts w:hint="eastAsia" w:ascii="宋体" w:hAnsi="宋体" w:eastAsia="宋体" w:cs="宋体"/>
          <w:kern w:val="0"/>
          <w:sz w:val="22"/>
          <w:szCs w:val="22"/>
        </w:rPr>
        <w:t>建设工程造价咨询协议书；</w:t>
      </w:r>
    </w:p>
    <w:p w14:paraId="2CC48CAD">
      <w:pPr>
        <w:pStyle w:val="43"/>
        <w:widowControl/>
        <w:numPr>
          <w:ilvl w:val="0"/>
          <w:numId w:val="5"/>
        </w:numPr>
        <w:tabs>
          <w:tab w:val="left" w:pos="798"/>
        </w:tabs>
        <w:spacing w:line="470" w:lineRule="exact"/>
        <w:ind w:left="760" w:hanging="360"/>
        <w:rPr>
          <w:rFonts w:hint="eastAsia" w:ascii="宋体" w:hAnsi="宋体" w:eastAsia="宋体" w:cs="MingLiU"/>
          <w:kern w:val="0"/>
          <w:sz w:val="22"/>
          <w:szCs w:val="22"/>
        </w:rPr>
      </w:pPr>
      <w:r>
        <w:rPr>
          <w:rFonts w:hint="eastAsia" w:ascii="宋体" w:hAnsi="宋体" w:eastAsia="宋体" w:cs="宋体"/>
          <w:kern w:val="0"/>
          <w:sz w:val="22"/>
          <w:szCs w:val="22"/>
        </w:rPr>
        <w:t>建设工程造价咨询合同专用条款；</w:t>
      </w:r>
    </w:p>
    <w:p w14:paraId="51669B9B">
      <w:pPr>
        <w:pStyle w:val="43"/>
        <w:widowControl/>
        <w:numPr>
          <w:ilvl w:val="0"/>
          <w:numId w:val="5"/>
        </w:numPr>
        <w:tabs>
          <w:tab w:val="left" w:pos="798"/>
        </w:tabs>
        <w:spacing w:line="470" w:lineRule="exact"/>
        <w:ind w:left="760" w:hanging="360"/>
        <w:rPr>
          <w:rFonts w:hint="eastAsia" w:ascii="宋体" w:hAnsi="宋体" w:eastAsia="宋体" w:cs="MingLiU"/>
          <w:kern w:val="0"/>
          <w:sz w:val="22"/>
          <w:szCs w:val="22"/>
        </w:rPr>
      </w:pPr>
      <w:r>
        <w:rPr>
          <w:rFonts w:hint="eastAsia" w:ascii="宋体" w:hAnsi="宋体" w:eastAsia="宋体" w:cs="宋体"/>
          <w:kern w:val="0"/>
          <w:sz w:val="22"/>
          <w:szCs w:val="22"/>
        </w:rPr>
        <w:t>建设工程造价咨询合同通用条款；</w:t>
      </w:r>
    </w:p>
    <w:p w14:paraId="5EE57D3A">
      <w:pPr>
        <w:pStyle w:val="43"/>
        <w:widowControl/>
        <w:numPr>
          <w:ilvl w:val="0"/>
          <w:numId w:val="5"/>
        </w:numPr>
        <w:tabs>
          <w:tab w:val="left" w:pos="798"/>
        </w:tabs>
        <w:spacing w:line="470" w:lineRule="exact"/>
        <w:ind w:left="760" w:hanging="360"/>
        <w:rPr>
          <w:rFonts w:hint="eastAsia" w:ascii="宋体" w:hAnsi="宋体" w:eastAsia="宋体" w:cs="MingLiU"/>
          <w:kern w:val="0"/>
          <w:sz w:val="22"/>
          <w:szCs w:val="22"/>
        </w:rPr>
      </w:pPr>
      <w:r>
        <w:rPr>
          <w:rFonts w:hint="eastAsia" w:ascii="宋体" w:hAnsi="宋体" w:eastAsia="宋体" w:cs="宋体"/>
          <w:kern w:val="0"/>
          <w:sz w:val="22"/>
          <w:szCs w:val="22"/>
        </w:rPr>
        <w:t>建设工程造价咨询合同履行中共同签署的补充文件；</w:t>
      </w:r>
    </w:p>
    <w:p w14:paraId="47EF88EA">
      <w:pPr>
        <w:pStyle w:val="43"/>
        <w:widowControl/>
        <w:tabs>
          <w:tab w:val="left" w:pos="798"/>
        </w:tabs>
        <w:spacing w:line="470" w:lineRule="exact"/>
        <w:rPr>
          <w:rFonts w:hint="eastAsia" w:ascii="宋体" w:hAnsi="宋体" w:eastAsia="宋体" w:cs="MingLiU"/>
          <w:kern w:val="0"/>
          <w:sz w:val="22"/>
          <w:szCs w:val="22"/>
        </w:rPr>
      </w:pPr>
      <w:r>
        <w:rPr>
          <w:rFonts w:hint="eastAsia" w:ascii="宋体" w:hAnsi="宋体" w:eastAsia="宋体" w:cs="宋体"/>
          <w:kern w:val="0"/>
          <w:sz w:val="22"/>
          <w:szCs w:val="22"/>
        </w:rPr>
        <w:t>5、通过招标方式获得咨询业务的，还包括下列资料：</w:t>
      </w:r>
    </w:p>
    <w:p w14:paraId="565F7E81">
      <w:pPr>
        <w:pStyle w:val="43"/>
        <w:widowControl/>
        <w:tabs>
          <w:tab w:val="left" w:pos="931"/>
        </w:tabs>
        <w:spacing w:line="470" w:lineRule="exact"/>
        <w:rPr>
          <w:rFonts w:hint="eastAsia" w:ascii="宋体" w:hAnsi="宋体" w:eastAsia="宋体" w:cs="MingLiU"/>
          <w:kern w:val="0"/>
          <w:sz w:val="22"/>
          <w:szCs w:val="22"/>
        </w:rPr>
      </w:pPr>
      <w:r>
        <w:rPr>
          <w:rFonts w:hint="eastAsia" w:ascii="宋体" w:hAnsi="宋体" w:eastAsia="宋体" w:cs="宋体"/>
          <w:kern w:val="0"/>
          <w:sz w:val="22"/>
          <w:szCs w:val="22"/>
        </w:rPr>
        <w:t>（1）招标文件；</w:t>
      </w:r>
    </w:p>
    <w:p w14:paraId="535B749F">
      <w:pPr>
        <w:pStyle w:val="43"/>
        <w:widowControl/>
        <w:tabs>
          <w:tab w:val="left" w:pos="931"/>
        </w:tabs>
        <w:spacing w:line="470" w:lineRule="exact"/>
        <w:rPr>
          <w:rFonts w:hint="eastAsia" w:ascii="宋体" w:hAnsi="宋体" w:eastAsia="宋体" w:cs="MingLiU"/>
          <w:kern w:val="0"/>
          <w:sz w:val="22"/>
          <w:szCs w:val="22"/>
        </w:rPr>
      </w:pPr>
      <w:r>
        <w:rPr>
          <w:rFonts w:hint="eastAsia" w:ascii="宋体" w:hAnsi="宋体" w:eastAsia="宋体" w:cs="宋体"/>
          <w:kern w:val="0"/>
          <w:sz w:val="22"/>
          <w:szCs w:val="22"/>
        </w:rPr>
        <w:t>（2）投标书及其附件；</w:t>
      </w:r>
    </w:p>
    <w:p w14:paraId="20248212">
      <w:pPr>
        <w:pStyle w:val="43"/>
        <w:widowControl/>
        <w:tabs>
          <w:tab w:val="left" w:pos="931"/>
        </w:tabs>
        <w:spacing w:line="470" w:lineRule="exact"/>
        <w:rPr>
          <w:rFonts w:hint="eastAsia" w:ascii="宋体" w:hAnsi="宋体" w:eastAsia="宋体" w:cs="MingLiU"/>
          <w:kern w:val="0"/>
          <w:sz w:val="22"/>
          <w:szCs w:val="22"/>
        </w:rPr>
      </w:pPr>
      <w:r>
        <w:rPr>
          <w:rFonts w:hint="eastAsia" w:ascii="宋体" w:hAnsi="宋体" w:eastAsia="宋体" w:cs="宋体"/>
          <w:kern w:val="0"/>
          <w:sz w:val="24"/>
          <w:szCs w:val="24"/>
        </w:rPr>
        <w:t>（3）</w:t>
      </w:r>
      <w:r>
        <w:rPr>
          <w:rFonts w:hint="eastAsia" w:ascii="宋体" w:hAnsi="宋体" w:eastAsia="宋体" w:cs="宋体"/>
          <w:kern w:val="0"/>
          <w:sz w:val="22"/>
          <w:szCs w:val="22"/>
        </w:rPr>
        <w:t>中标通知书。</w:t>
      </w:r>
    </w:p>
    <w:p w14:paraId="61E3D639">
      <w:pPr>
        <w:pStyle w:val="43"/>
        <w:widowControl/>
        <w:spacing w:after="100" w:afterAutospacing="0" w:line="470" w:lineRule="exact"/>
        <w:jc w:val="both"/>
        <w:rPr>
          <w:rFonts w:hint="eastAsia" w:ascii="宋体" w:hAnsi="宋体" w:eastAsia="宋体" w:cs="MingLiU"/>
          <w:kern w:val="0"/>
          <w:sz w:val="22"/>
          <w:szCs w:val="22"/>
        </w:rPr>
      </w:pPr>
      <w:r>
        <w:rPr>
          <w:rFonts w:hint="eastAsia" w:ascii="宋体" w:hAnsi="宋体" w:eastAsia="宋体" w:cs="宋体"/>
          <w:kern w:val="0"/>
          <w:sz w:val="22"/>
          <w:szCs w:val="22"/>
        </w:rPr>
        <w:t>四、咨询人同意按照本合同的约定,承担本合同专用条款中约定范围内的建设工程造价咨询业务。</w:t>
      </w:r>
    </w:p>
    <w:p w14:paraId="3424379A">
      <w:pPr>
        <w:pStyle w:val="43"/>
        <w:widowControl/>
        <w:spacing w:after="100" w:afterAutospacing="0" w:line="470" w:lineRule="exact"/>
        <w:jc w:val="both"/>
        <w:rPr>
          <w:rFonts w:hint="eastAsia" w:ascii="宋体" w:hAnsi="宋体" w:eastAsia="宋体" w:cs="MingLiU"/>
          <w:kern w:val="0"/>
          <w:sz w:val="22"/>
          <w:szCs w:val="22"/>
        </w:rPr>
      </w:pPr>
      <w:r>
        <w:rPr>
          <w:rFonts w:hint="eastAsia" w:ascii="宋体" w:hAnsi="宋体" w:eastAsia="宋体" w:cs="宋体"/>
          <w:kern w:val="0"/>
          <w:sz w:val="22"/>
          <w:szCs w:val="22"/>
        </w:rPr>
        <w:t>五、委托人同意按照专用条款中约定的期限、方式、币种和额度向咨询人支付酬金。</w:t>
      </w:r>
    </w:p>
    <w:p w14:paraId="6EE3FA79">
      <w:pPr>
        <w:pStyle w:val="43"/>
        <w:widowControl/>
        <w:spacing w:after="100" w:afterAutospacing="0" w:line="470" w:lineRule="exact"/>
        <w:jc w:val="both"/>
        <w:rPr>
          <w:rFonts w:hint="eastAsia" w:ascii="宋体" w:hAnsi="宋体" w:eastAsia="宋体" w:cs="宋体"/>
          <w:kern w:val="0"/>
          <w:sz w:val="22"/>
          <w:szCs w:val="22"/>
        </w:rPr>
      </w:pPr>
      <w:r>
        <w:rPr>
          <w:rFonts w:hint="eastAsia" w:ascii="宋体" w:hAnsi="宋体" w:eastAsia="宋体" w:cs="宋体"/>
          <w:kern w:val="0"/>
          <w:sz w:val="22"/>
          <w:szCs w:val="22"/>
        </w:rPr>
        <w:t>六、本合同的建设工程造价咨询业务自202</w:t>
      </w: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年   月    日开始实施，至202</w:t>
      </w: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年   月    日终结。若委托人提供咨询资料延后则时间相应顺延，若增加工作内容具体完成时间另行约定。</w:t>
      </w:r>
    </w:p>
    <w:p w14:paraId="61747FB8">
      <w:pPr>
        <w:pStyle w:val="43"/>
        <w:widowControl/>
        <w:numPr>
          <w:ilvl w:val="0"/>
          <w:numId w:val="6"/>
        </w:numPr>
        <w:spacing w:after="120" w:afterAutospacing="0" w:line="470" w:lineRule="exact"/>
        <w:ind w:left="793" w:leftChars="168" w:hanging="440" w:hangingChars="200"/>
        <w:jc w:val="both"/>
        <w:rPr>
          <w:rFonts w:hint="eastAsia" w:ascii="宋体" w:hAnsi="宋体" w:eastAsia="宋体" w:cs="MingLiU"/>
          <w:kern w:val="0"/>
          <w:sz w:val="22"/>
          <w:szCs w:val="22"/>
        </w:rPr>
      </w:pPr>
      <w:r>
        <w:rPr>
          <w:rFonts w:hint="eastAsia" w:ascii="宋体" w:hAnsi="宋体" w:eastAsia="宋体" w:cs="宋体"/>
          <w:kern w:val="0"/>
          <w:sz w:val="22"/>
          <w:szCs w:val="22"/>
        </w:rPr>
        <w:t>本合同共</w:t>
      </w:r>
      <w:r>
        <w:rPr>
          <w:rFonts w:hint="eastAsia" w:ascii="宋体" w:hAnsi="宋体" w:eastAsia="宋体" w:cs="宋体"/>
          <w:b/>
          <w:bCs/>
          <w:kern w:val="0"/>
          <w:sz w:val="22"/>
          <w:szCs w:val="22"/>
          <w:u w:val="single"/>
        </w:rPr>
        <w:t>肆</w:t>
      </w:r>
      <w:r>
        <w:rPr>
          <w:rFonts w:hint="eastAsia" w:ascii="宋体" w:hAnsi="宋体" w:eastAsia="宋体" w:cs="宋体"/>
          <w:kern w:val="0"/>
          <w:sz w:val="22"/>
          <w:szCs w:val="22"/>
        </w:rPr>
        <w:t>份，委托人、咨询人各执</w:t>
      </w:r>
      <w:r>
        <w:rPr>
          <w:rFonts w:hint="eastAsia" w:ascii="宋体" w:hAnsi="宋体" w:eastAsia="宋体" w:cs="宋体"/>
          <w:b/>
          <w:bCs/>
          <w:kern w:val="0"/>
          <w:sz w:val="22"/>
          <w:szCs w:val="22"/>
          <w:u w:val="single"/>
        </w:rPr>
        <w:t>贰</w:t>
      </w:r>
      <w:r>
        <w:rPr>
          <w:rFonts w:hint="eastAsia" w:ascii="宋体" w:hAnsi="宋体" w:eastAsia="宋体" w:cs="宋体"/>
          <w:kern w:val="0"/>
          <w:sz w:val="22"/>
          <w:szCs w:val="22"/>
        </w:rPr>
        <w:t>份。</w:t>
      </w:r>
    </w:p>
    <w:p w14:paraId="08A63332">
      <w:pPr>
        <w:pStyle w:val="43"/>
        <w:widowControl/>
        <w:spacing w:after="120" w:afterAutospacing="0" w:line="470" w:lineRule="exact"/>
        <w:ind w:left="0" w:firstLine="440" w:firstLineChars="200"/>
        <w:jc w:val="both"/>
        <w:rPr>
          <w:rFonts w:hint="eastAsia" w:ascii="宋体" w:hAnsi="宋体" w:eastAsia="宋体" w:cs="MingLiU"/>
          <w:kern w:val="0"/>
          <w:sz w:val="22"/>
          <w:szCs w:val="22"/>
        </w:rPr>
      </w:pPr>
      <w:r>
        <w:rPr>
          <w:rFonts w:hint="eastAsia" w:ascii="宋体" w:hAnsi="宋体" w:eastAsia="宋体" w:cs="宋体"/>
          <w:kern w:val="0"/>
          <w:sz w:val="22"/>
          <w:szCs w:val="22"/>
        </w:rPr>
        <w:t>九、咨询人应加强工作人员的管理，禁止咨询人以各种手段腐蚀、贿赂委托人单位工作人员，并将诚信档案记录的工作人员违规不良行为纳入违约行为，如有违反，委托人将停止履行合同，并追究咨询人违约责任。</w:t>
      </w:r>
    </w:p>
    <w:p w14:paraId="41500611">
      <w:pPr>
        <w:pStyle w:val="43"/>
        <w:widowControl/>
        <w:spacing w:after="120" w:afterAutospacing="0" w:line="470" w:lineRule="exact"/>
        <w:ind w:left="0" w:firstLine="0"/>
        <w:jc w:val="both"/>
        <w:rPr>
          <w:rFonts w:hint="eastAsia" w:ascii="宋体" w:hAnsi="宋体" w:eastAsia="宋体" w:cs="MingLiU"/>
          <w:kern w:val="0"/>
          <w:sz w:val="22"/>
          <w:szCs w:val="22"/>
        </w:rPr>
      </w:pPr>
      <w:r>
        <w:rPr>
          <w:rFonts w:hint="eastAsia" w:ascii="宋体" w:hAnsi="宋体" w:eastAsia="宋体" w:cs="MingLiU"/>
          <w:kern w:val="0"/>
          <w:sz w:val="22"/>
          <w:szCs w:val="22"/>
        </w:rPr>
        <w:t xml:space="preserve"> </w:t>
      </w:r>
    </w:p>
    <w:p w14:paraId="4308C96A">
      <w:pPr>
        <w:pStyle w:val="43"/>
        <w:widowControl/>
        <w:spacing w:after="120" w:afterAutospacing="0" w:line="470" w:lineRule="exact"/>
        <w:ind w:left="5480" w:leftChars="156" w:hanging="5152" w:hangingChars="2342"/>
        <w:jc w:val="both"/>
        <w:rPr>
          <w:rFonts w:hint="eastAsia" w:ascii="宋体" w:hAnsi="宋体" w:eastAsia="宋体" w:cs="MingLiU"/>
          <w:kern w:val="0"/>
          <w:sz w:val="22"/>
          <w:szCs w:val="22"/>
        </w:rPr>
      </w:pPr>
      <w:r>
        <w:rPr>
          <w:rFonts w:hint="eastAsia" w:ascii="宋体" w:hAnsi="宋体" w:eastAsia="宋体" w:cs="宋体"/>
          <w:kern w:val="0"/>
          <w:sz w:val="22"/>
          <w:szCs w:val="22"/>
        </w:rPr>
        <w:t>委托人：（盖章）</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咨询人：（盖章）</w:t>
      </w:r>
    </w:p>
    <w:p w14:paraId="5E0AE2E9">
      <w:pPr>
        <w:pStyle w:val="43"/>
        <w:widowControl/>
        <w:spacing w:after="120" w:afterAutospacing="0" w:line="470" w:lineRule="exact"/>
        <w:ind w:left="0" w:firstLine="440"/>
        <w:rPr>
          <w:rFonts w:hint="eastAsia" w:ascii="宋体" w:hAnsi="宋体" w:eastAsia="宋体" w:cs="MingLiU"/>
          <w:kern w:val="0"/>
          <w:sz w:val="22"/>
          <w:szCs w:val="22"/>
        </w:rPr>
      </w:pPr>
      <w:r>
        <w:rPr>
          <w:rFonts w:hint="eastAsia" w:ascii="宋体" w:hAnsi="宋体" w:eastAsia="宋体" w:cs="宋体"/>
          <w:kern w:val="0"/>
          <w:sz w:val="22"/>
          <w:szCs w:val="22"/>
        </w:rPr>
        <w:t>法定代表人或</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法定代表人或</w:t>
      </w:r>
    </w:p>
    <w:p w14:paraId="1CE090C5">
      <w:pPr>
        <w:pStyle w:val="43"/>
        <w:widowControl/>
        <w:spacing w:after="120" w:afterAutospacing="0" w:line="470"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授权签约人：（签字）</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授权签约人：（签字）</w:t>
      </w:r>
      <w:r>
        <w:rPr>
          <w:rFonts w:hint="eastAsia" w:ascii="宋体" w:hAnsi="宋体" w:eastAsia="宋体" w:cs="MingLiU"/>
          <w:kern w:val="0"/>
          <w:sz w:val="22"/>
          <w:szCs w:val="22"/>
        </w:rPr>
        <w:t xml:space="preserve"> </w:t>
      </w:r>
    </w:p>
    <w:p w14:paraId="13D450A7">
      <w:pPr>
        <w:pStyle w:val="43"/>
        <w:widowControl/>
        <w:spacing w:after="120" w:afterAutospacing="0" w:line="470"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住所：</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住所：</w:t>
      </w:r>
    </w:p>
    <w:p w14:paraId="72A308CC">
      <w:pPr>
        <w:pStyle w:val="43"/>
        <w:widowControl/>
        <w:spacing w:after="120" w:afterAutospacing="0" w:line="470"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开户银行：</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开户银行：</w:t>
      </w:r>
    </w:p>
    <w:p w14:paraId="6F808CAA">
      <w:pPr>
        <w:pStyle w:val="43"/>
        <w:widowControl/>
        <w:spacing w:after="120" w:afterAutospacing="0" w:line="470"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账号：</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账号：</w:t>
      </w:r>
    </w:p>
    <w:p w14:paraId="01CFAF0E">
      <w:pPr>
        <w:pStyle w:val="43"/>
        <w:widowControl/>
        <w:spacing w:after="120" w:afterAutospacing="0" w:line="470"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电话：</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电话：</w:t>
      </w:r>
    </w:p>
    <w:p w14:paraId="79776216">
      <w:pPr>
        <w:pStyle w:val="43"/>
        <w:widowControl/>
        <w:spacing w:after="120" w:afterAutospacing="0" w:line="470"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传真：</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传真：</w:t>
      </w:r>
    </w:p>
    <w:p w14:paraId="5750B089">
      <w:pPr>
        <w:pStyle w:val="43"/>
        <w:widowControl/>
        <w:spacing w:after="120" w:afterAutospacing="0" w:line="470"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电子邮箱：</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电子邮箱：</w:t>
      </w:r>
    </w:p>
    <w:p w14:paraId="600AFAA6">
      <w:pPr>
        <w:pStyle w:val="43"/>
        <w:widowControl/>
        <w:spacing w:after="120" w:afterAutospacing="0" w:line="470"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邮政编码：</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邮政编码：</w:t>
      </w:r>
    </w:p>
    <w:p w14:paraId="09DC75F1">
      <w:pPr>
        <w:pStyle w:val="43"/>
        <w:widowControl/>
        <w:spacing w:after="120" w:afterAutospacing="0" w:line="470" w:lineRule="exact"/>
        <w:ind w:left="0" w:firstLine="440" w:firstLineChars="200"/>
        <w:jc w:val="both"/>
        <w:rPr>
          <w:rFonts w:hint="default" w:ascii="MingLiU" w:hAnsi="MingLiU" w:eastAsia="MingLiU" w:cs="MingLiU"/>
          <w:kern w:val="0"/>
          <w:sz w:val="22"/>
          <w:szCs w:val="22"/>
        </w:rPr>
      </w:pPr>
      <w:r>
        <w:rPr>
          <w:rFonts w:hint="eastAsia" w:ascii="宋体" w:hAnsi="宋体" w:eastAsia="宋体" w:cs="宋体"/>
          <w:kern w:val="0"/>
          <w:sz w:val="22"/>
          <w:szCs w:val="22"/>
        </w:rPr>
        <w:t>日期：202</w:t>
      </w: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年</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月</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日</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日期：202</w:t>
      </w: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年   月   日</w:t>
      </w:r>
    </w:p>
    <w:p w14:paraId="4EBDD658">
      <w:pPr>
        <w:rPr>
          <w:rFonts w:hint="eastAsia" w:ascii="宋体" w:hAnsi="宋体" w:eastAsia="宋体" w:cs="宋体"/>
          <w:kern w:val="0"/>
          <w:sz w:val="32"/>
          <w:szCs w:val="32"/>
        </w:rPr>
      </w:pPr>
      <w:r>
        <w:rPr>
          <w:rFonts w:hint="eastAsia" w:ascii="宋体" w:hAnsi="宋体" w:eastAsia="宋体" w:cs="宋体"/>
          <w:kern w:val="0"/>
          <w:sz w:val="32"/>
          <w:szCs w:val="32"/>
        </w:rPr>
        <w:br w:type="page"/>
      </w:r>
    </w:p>
    <w:p w14:paraId="6DE78633">
      <w:pPr>
        <w:pStyle w:val="42"/>
        <w:keepNext/>
        <w:keepLines/>
        <w:widowControl w:val="0"/>
        <w:suppressLineNumbers w:val="0"/>
        <w:spacing w:before="0" w:beforeAutospacing="0"/>
        <w:ind w:left="1040" w:right="0" w:hanging="480"/>
        <w:rPr>
          <w:rFonts w:hint="eastAsia" w:ascii="宋体" w:hAnsi="宋体" w:eastAsia="宋体" w:cs="MingLiU"/>
          <w:kern w:val="0"/>
          <w:sz w:val="32"/>
          <w:szCs w:val="32"/>
        </w:rPr>
      </w:pPr>
      <w:r>
        <w:rPr>
          <w:rFonts w:hint="eastAsia" w:ascii="宋体" w:hAnsi="宋体" w:eastAsia="宋体" w:cs="宋体"/>
          <w:kern w:val="0"/>
          <w:sz w:val="32"/>
          <w:szCs w:val="32"/>
        </w:rPr>
        <w:t>第二部分建设工程造价咨询合同通用条款</w:t>
      </w:r>
    </w:p>
    <w:p w14:paraId="6FED10D0">
      <w:pPr>
        <w:pStyle w:val="43"/>
        <w:widowControl/>
        <w:spacing w:line="470" w:lineRule="exact"/>
        <w:ind w:left="0" w:firstLine="0"/>
        <w:jc w:val="center"/>
        <w:rPr>
          <w:rFonts w:hint="eastAsia" w:ascii="宋体" w:hAnsi="宋体" w:eastAsia="宋体" w:cs="MingLiU"/>
          <w:kern w:val="0"/>
          <w:sz w:val="22"/>
          <w:szCs w:val="22"/>
        </w:rPr>
      </w:pPr>
      <w:r>
        <w:rPr>
          <w:rFonts w:hint="eastAsia" w:ascii="宋体" w:hAnsi="宋体" w:eastAsia="宋体" w:cs="宋体"/>
          <w:kern w:val="0"/>
          <w:sz w:val="22"/>
          <w:szCs w:val="22"/>
        </w:rPr>
        <w:t>词语定义、适用语言和法律、法规</w:t>
      </w:r>
    </w:p>
    <w:p w14:paraId="3D1F18DF">
      <w:pPr>
        <w:pStyle w:val="43"/>
        <w:widowControl/>
        <w:spacing w:line="470"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第一条下列名词和用语，除上下文另有规定外具有如下含义。</w:t>
      </w:r>
    </w:p>
    <w:p w14:paraId="442C3A2C">
      <w:pPr>
        <w:pStyle w:val="43"/>
        <w:widowControl/>
        <w:tabs>
          <w:tab w:val="left" w:pos="891"/>
        </w:tabs>
        <w:spacing w:line="470"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4"/>
          <w:szCs w:val="24"/>
        </w:rPr>
        <w:t>1</w:t>
      </w:r>
      <w:r>
        <w:rPr>
          <w:rFonts w:hint="eastAsia" w:ascii="宋体" w:hAnsi="宋体" w:eastAsia="宋体" w:cs="宋体"/>
          <w:kern w:val="0"/>
          <w:sz w:val="22"/>
          <w:szCs w:val="22"/>
        </w:rPr>
        <w:t>、</w:t>
      </w:r>
      <w:r>
        <w:rPr>
          <w:rFonts w:hint="eastAsia" w:ascii="宋体" w:hAnsi="宋体" w:eastAsia="宋体" w:cs="MingLiU"/>
          <w:kern w:val="0"/>
          <w:sz w:val="22"/>
          <w:szCs w:val="22"/>
        </w:rPr>
        <w:tab/>
      </w:r>
      <w:r>
        <w:rPr>
          <w:rFonts w:hint="eastAsia" w:ascii="宋体" w:hAnsi="宋体" w:eastAsia="宋体" w:cs="宋体"/>
          <w:kern w:val="0"/>
          <w:sz w:val="22"/>
          <w:szCs w:val="22"/>
        </w:rPr>
        <w:t>“委托人”是指在建设工程造价咨询协议书上指明并与咨询人在该协议书上签字、盖章的当事人。</w:t>
      </w:r>
    </w:p>
    <w:p w14:paraId="6CE5C1C1">
      <w:pPr>
        <w:pStyle w:val="43"/>
        <w:widowControl/>
        <w:tabs>
          <w:tab w:val="left" w:pos="891"/>
        </w:tabs>
        <w:spacing w:line="470"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4"/>
          <w:szCs w:val="24"/>
        </w:rPr>
        <w:t>2</w:t>
      </w:r>
      <w:r>
        <w:rPr>
          <w:rFonts w:hint="eastAsia" w:ascii="宋体" w:hAnsi="宋体" w:eastAsia="宋体" w:cs="宋体"/>
          <w:kern w:val="0"/>
          <w:sz w:val="22"/>
          <w:szCs w:val="22"/>
        </w:rPr>
        <w:t>、</w:t>
      </w:r>
      <w:r>
        <w:rPr>
          <w:rFonts w:hint="eastAsia" w:ascii="宋体" w:hAnsi="宋体" w:eastAsia="宋体" w:cs="MingLiU"/>
          <w:kern w:val="0"/>
          <w:sz w:val="22"/>
          <w:szCs w:val="22"/>
        </w:rPr>
        <w:tab/>
      </w:r>
      <w:r>
        <w:rPr>
          <w:rFonts w:hint="eastAsia" w:ascii="宋体" w:hAnsi="宋体" w:eastAsia="宋体" w:cs="宋体"/>
          <w:kern w:val="0"/>
          <w:sz w:val="22"/>
          <w:szCs w:val="22"/>
        </w:rPr>
        <w:t>“咨询人”是指具有《工程造价咨询企业资质证书》，在建设工程造价咨询协议书上指明并与委托人在该协议书上签字、盖章的当事人。</w:t>
      </w:r>
    </w:p>
    <w:p w14:paraId="1432D84D">
      <w:pPr>
        <w:pStyle w:val="43"/>
        <w:widowControl/>
        <w:tabs>
          <w:tab w:val="left" w:pos="842"/>
        </w:tabs>
        <w:spacing w:line="470"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4"/>
          <w:szCs w:val="24"/>
        </w:rPr>
        <w:t>3</w:t>
      </w:r>
      <w:r>
        <w:rPr>
          <w:rFonts w:hint="eastAsia" w:ascii="宋体" w:hAnsi="宋体" w:eastAsia="宋体" w:cs="宋体"/>
          <w:kern w:val="0"/>
          <w:sz w:val="22"/>
          <w:szCs w:val="22"/>
        </w:rPr>
        <w:t>、</w:t>
      </w:r>
      <w:r>
        <w:rPr>
          <w:rFonts w:hint="eastAsia" w:ascii="宋体" w:hAnsi="宋体" w:eastAsia="宋体" w:cs="MingLiU"/>
          <w:kern w:val="0"/>
          <w:sz w:val="22"/>
          <w:szCs w:val="22"/>
        </w:rPr>
        <w:tab/>
      </w:r>
      <w:r>
        <w:rPr>
          <w:rFonts w:hint="eastAsia" w:ascii="宋体" w:hAnsi="宋体" w:eastAsia="宋体" w:cs="宋体"/>
          <w:kern w:val="0"/>
          <w:sz w:val="22"/>
          <w:szCs w:val="22"/>
        </w:rPr>
        <w:t>“第三人”是指除委托人、咨询人以外与本咨询业务有关的当事人。</w:t>
      </w:r>
    </w:p>
    <w:p w14:paraId="5416CF85">
      <w:pPr>
        <w:pStyle w:val="43"/>
        <w:widowControl/>
        <w:tabs>
          <w:tab w:val="left" w:pos="842"/>
        </w:tabs>
        <w:spacing w:line="470"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4"/>
          <w:szCs w:val="24"/>
        </w:rPr>
        <w:t>4</w:t>
      </w:r>
      <w:r>
        <w:rPr>
          <w:rFonts w:hint="eastAsia" w:ascii="宋体" w:hAnsi="宋体" w:eastAsia="宋体" w:cs="宋体"/>
          <w:kern w:val="0"/>
          <w:sz w:val="22"/>
          <w:szCs w:val="22"/>
        </w:rPr>
        <w:t>、</w:t>
      </w:r>
      <w:r>
        <w:rPr>
          <w:rFonts w:hint="eastAsia" w:ascii="宋体" w:hAnsi="宋体" w:eastAsia="宋体" w:cs="MingLiU"/>
          <w:kern w:val="0"/>
          <w:sz w:val="22"/>
          <w:szCs w:val="22"/>
        </w:rPr>
        <w:tab/>
      </w:r>
      <w:r>
        <w:rPr>
          <w:rFonts w:hint="eastAsia" w:ascii="宋体" w:hAnsi="宋体" w:eastAsia="宋体" w:cs="宋体"/>
          <w:kern w:val="0"/>
          <w:sz w:val="22"/>
          <w:szCs w:val="22"/>
        </w:rPr>
        <w:t>“日”是指任何一个午夜至下一个午夜的时间段。</w:t>
      </w:r>
    </w:p>
    <w:p w14:paraId="6AFDFD16">
      <w:pPr>
        <w:pStyle w:val="43"/>
        <w:widowControl/>
        <w:tabs>
          <w:tab w:val="left" w:pos="842"/>
        </w:tabs>
        <w:spacing w:line="470"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4"/>
          <w:szCs w:val="24"/>
        </w:rPr>
        <w:t>5</w:t>
      </w:r>
      <w:r>
        <w:rPr>
          <w:rFonts w:hint="eastAsia" w:ascii="宋体" w:hAnsi="宋体" w:eastAsia="宋体" w:cs="宋体"/>
          <w:kern w:val="0"/>
          <w:sz w:val="22"/>
          <w:szCs w:val="22"/>
        </w:rPr>
        <w:t>、</w:t>
      </w:r>
      <w:r>
        <w:rPr>
          <w:rFonts w:hint="eastAsia" w:ascii="宋体" w:hAnsi="宋体" w:eastAsia="宋体" w:cs="MingLiU"/>
          <w:kern w:val="0"/>
          <w:sz w:val="22"/>
          <w:szCs w:val="22"/>
        </w:rPr>
        <w:tab/>
      </w:r>
      <w:r>
        <w:rPr>
          <w:rFonts w:hint="eastAsia" w:ascii="宋体" w:hAnsi="宋体" w:eastAsia="宋体" w:cs="宋体"/>
          <w:kern w:val="0"/>
          <w:sz w:val="22"/>
          <w:szCs w:val="22"/>
        </w:rPr>
        <w:t>“正常服务”是指双方在专用条款中约定的工程造价咨询工作；</w:t>
      </w:r>
    </w:p>
    <w:p w14:paraId="124FC52A">
      <w:pPr>
        <w:pStyle w:val="43"/>
        <w:widowControl/>
        <w:tabs>
          <w:tab w:val="left" w:pos="842"/>
        </w:tabs>
        <w:spacing w:line="470"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4"/>
          <w:szCs w:val="24"/>
        </w:rPr>
        <w:t>6</w:t>
      </w:r>
      <w:r>
        <w:rPr>
          <w:rFonts w:hint="eastAsia" w:ascii="宋体" w:hAnsi="宋体" w:eastAsia="宋体" w:cs="宋体"/>
          <w:kern w:val="0"/>
          <w:sz w:val="22"/>
          <w:szCs w:val="22"/>
        </w:rPr>
        <w:t>、</w:t>
      </w:r>
      <w:r>
        <w:rPr>
          <w:rFonts w:hint="eastAsia" w:ascii="宋体" w:hAnsi="宋体" w:eastAsia="宋体" w:cs="MingLiU"/>
          <w:kern w:val="0"/>
          <w:sz w:val="22"/>
          <w:szCs w:val="22"/>
        </w:rPr>
        <w:tab/>
      </w:r>
      <w:r>
        <w:rPr>
          <w:rFonts w:hint="eastAsia" w:ascii="宋体" w:hAnsi="宋体" w:eastAsia="宋体" w:cs="宋体"/>
          <w:kern w:val="0"/>
          <w:sz w:val="22"/>
          <w:szCs w:val="22"/>
        </w:rPr>
        <w:t>“附加服务”是指在“正常服务”以外，经双方书面协议确定的附加服务；</w:t>
      </w:r>
    </w:p>
    <w:p w14:paraId="25C8E937">
      <w:pPr>
        <w:pStyle w:val="43"/>
        <w:widowControl/>
        <w:tabs>
          <w:tab w:val="left" w:pos="896"/>
        </w:tabs>
        <w:spacing w:line="470"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4"/>
          <w:szCs w:val="24"/>
        </w:rPr>
        <w:t>7</w:t>
      </w:r>
      <w:r>
        <w:rPr>
          <w:rFonts w:hint="eastAsia" w:ascii="宋体" w:hAnsi="宋体" w:eastAsia="宋体" w:cs="宋体"/>
          <w:kern w:val="0"/>
          <w:sz w:val="22"/>
          <w:szCs w:val="22"/>
        </w:rPr>
        <w:t>、</w:t>
      </w:r>
      <w:r>
        <w:rPr>
          <w:rFonts w:hint="eastAsia" w:ascii="宋体" w:hAnsi="宋体" w:eastAsia="宋体" w:cs="MingLiU"/>
          <w:kern w:val="0"/>
          <w:sz w:val="22"/>
          <w:szCs w:val="22"/>
        </w:rPr>
        <w:tab/>
      </w:r>
      <w:r>
        <w:rPr>
          <w:rFonts w:hint="eastAsia" w:ascii="宋体" w:hAnsi="宋体" w:eastAsia="宋体" w:cs="宋体"/>
          <w:kern w:val="0"/>
          <w:sz w:val="22"/>
          <w:szCs w:val="22"/>
        </w:rPr>
        <w:t>“额外服务”是指不属于“正常服务”和“附加服务”，咨询人增加的额外工作量。</w:t>
      </w:r>
    </w:p>
    <w:p w14:paraId="6E641673">
      <w:pPr>
        <w:pStyle w:val="43"/>
        <w:widowControl/>
        <w:spacing w:line="470"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第二条建设工程造价咨询合同适用的法律、法规是中华人民共和国的法律、法规，以及专用条款中约定的部门规章、工程造价有关计价办法、规定，及项目所在地的地方法规、地方规章。</w:t>
      </w:r>
    </w:p>
    <w:p w14:paraId="35FC8E4A">
      <w:pPr>
        <w:pStyle w:val="43"/>
        <w:widowControl/>
        <w:spacing w:line="470"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第三条建设工程造价咨询合同的书写、解释和说明，以汉语为主导语言。当不同语言文本发生不同解释时，以汉语合同文本为准。</w:t>
      </w:r>
    </w:p>
    <w:p w14:paraId="49C1C5EF">
      <w:pPr>
        <w:pStyle w:val="43"/>
        <w:widowControl/>
        <w:spacing w:line="470" w:lineRule="exact"/>
        <w:ind w:left="0" w:firstLine="0"/>
        <w:jc w:val="center"/>
        <w:rPr>
          <w:rFonts w:hint="eastAsia" w:ascii="宋体" w:hAnsi="宋体" w:eastAsia="宋体" w:cs="MingLiU"/>
          <w:kern w:val="0"/>
          <w:sz w:val="22"/>
          <w:szCs w:val="22"/>
        </w:rPr>
      </w:pPr>
      <w:r>
        <w:rPr>
          <w:rFonts w:hint="eastAsia" w:ascii="宋体" w:hAnsi="宋体" w:eastAsia="宋体" w:cs="宋体"/>
          <w:kern w:val="0"/>
          <w:sz w:val="22"/>
          <w:szCs w:val="22"/>
        </w:rPr>
        <w:t>咨询人的义务</w:t>
      </w:r>
    </w:p>
    <w:p w14:paraId="21491B35">
      <w:pPr>
        <w:pStyle w:val="43"/>
        <w:widowControl/>
        <w:spacing w:line="470"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第四条向委托人提供与工程造价咨询业务有关的资料，包括工程造价咨询企业资质证书及承担本合同咨询业务的专业人员名单、咨询工作计划等。</w:t>
      </w:r>
    </w:p>
    <w:p w14:paraId="409B9194">
      <w:pPr>
        <w:pStyle w:val="43"/>
        <w:widowControl/>
        <w:spacing w:line="470"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第五条咨询人按专用条款中约定的工作范围和内容，向委托人提供工程造价咨询专业服务，包括正常服务、附加服务和额外服务。并在合同约定的时间内，提供符合行业管理规定的咨询成果文件。</w:t>
      </w:r>
    </w:p>
    <w:p w14:paraId="34850B1F">
      <w:pPr>
        <w:pStyle w:val="43"/>
        <w:widowControl/>
        <w:spacing w:after="80" w:afterAutospacing="0" w:line="470"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第六条</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咨询人从事工程造价咨询活动，应当遵循独立、客观、公正、诚实信用的原则，不得损害社会公共利益和他人的合法权益。除委托人书面同意外，咨询人及咨询专业人员不应接受建设工程造价咨询合同约定以外的与本工程造价咨询项目有关的任何报酬。咨询人不得参与可能影响合同规定的委托人利益的任何活动。</w:t>
      </w:r>
    </w:p>
    <w:p w14:paraId="20109E34">
      <w:pPr>
        <w:pStyle w:val="43"/>
        <w:widowControl/>
        <w:spacing w:line="472"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第七条咨询人不得泄露与本合同规定业务活动有关的保密资料。</w:t>
      </w:r>
    </w:p>
    <w:p w14:paraId="1E2EFDBD">
      <w:pPr>
        <w:pStyle w:val="43"/>
        <w:widowControl/>
        <w:spacing w:line="472" w:lineRule="exact"/>
        <w:ind w:left="0" w:firstLine="0"/>
        <w:jc w:val="center"/>
        <w:rPr>
          <w:rFonts w:hint="eastAsia" w:ascii="宋体" w:hAnsi="宋体" w:eastAsia="宋体" w:cs="MingLiU"/>
          <w:kern w:val="0"/>
          <w:sz w:val="22"/>
          <w:szCs w:val="22"/>
        </w:rPr>
      </w:pPr>
      <w:r>
        <w:rPr>
          <w:rFonts w:hint="eastAsia" w:ascii="宋体" w:hAnsi="宋体" w:eastAsia="宋体" w:cs="宋体"/>
          <w:kern w:val="0"/>
          <w:sz w:val="22"/>
          <w:szCs w:val="22"/>
        </w:rPr>
        <w:t>委托人的义务</w:t>
      </w:r>
    </w:p>
    <w:p w14:paraId="57C42B3C">
      <w:pPr>
        <w:pStyle w:val="43"/>
        <w:widowControl/>
        <w:spacing w:line="472" w:lineRule="exact"/>
        <w:ind w:left="0" w:firstLine="520"/>
        <w:jc w:val="both"/>
        <w:rPr>
          <w:rFonts w:hint="eastAsia" w:ascii="宋体" w:hAnsi="宋体" w:eastAsia="宋体" w:cs="MingLiU"/>
          <w:kern w:val="0"/>
          <w:sz w:val="22"/>
          <w:szCs w:val="22"/>
        </w:rPr>
      </w:pPr>
      <w:r>
        <w:rPr>
          <w:rFonts w:hint="eastAsia" w:ascii="宋体" w:hAnsi="宋体" w:eastAsia="宋体" w:cs="宋体"/>
          <w:kern w:val="0"/>
          <w:sz w:val="22"/>
          <w:szCs w:val="22"/>
        </w:rPr>
        <w:t>第八条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14:paraId="6C86D17E">
      <w:pPr>
        <w:pStyle w:val="43"/>
        <w:widowControl/>
        <w:numPr>
          <w:ilvl w:val="0"/>
          <w:numId w:val="7"/>
        </w:numPr>
        <w:spacing w:line="472" w:lineRule="exact"/>
        <w:ind w:left="0" w:firstLine="520"/>
        <w:jc w:val="both"/>
        <w:rPr>
          <w:rFonts w:hint="eastAsia" w:ascii="宋体" w:hAnsi="宋体" w:eastAsia="宋体" w:cs="MingLiU"/>
          <w:kern w:val="0"/>
          <w:sz w:val="22"/>
          <w:szCs w:val="22"/>
        </w:rPr>
      </w:pPr>
      <w:r>
        <w:rPr>
          <w:rFonts w:hint="eastAsia" w:ascii="宋体" w:hAnsi="宋体" w:eastAsia="宋体" w:cs="宋体"/>
          <w:kern w:val="0"/>
          <w:sz w:val="22"/>
          <w:szCs w:val="22"/>
        </w:rPr>
        <w:t>委托人在约定的时间内，免费向咨询人提供与本项目咨询业务有关的资料。并对资料的真实性、完整性负责。</w:t>
      </w:r>
    </w:p>
    <w:p w14:paraId="60ACD4B9">
      <w:pPr>
        <w:pStyle w:val="43"/>
        <w:widowControl/>
        <w:spacing w:line="472" w:lineRule="exact"/>
        <w:ind w:left="0" w:firstLine="440" w:firstLineChars="200"/>
        <w:jc w:val="both"/>
        <w:rPr>
          <w:rFonts w:hint="eastAsia" w:ascii="宋体" w:hAnsi="宋体" w:eastAsia="宋体" w:cs="MingLiU"/>
          <w:kern w:val="0"/>
          <w:sz w:val="22"/>
          <w:szCs w:val="22"/>
        </w:rPr>
      </w:pPr>
      <w:r>
        <w:rPr>
          <w:rFonts w:hint="eastAsia" w:ascii="宋体" w:hAnsi="宋体" w:eastAsia="宋体" w:cs="宋体"/>
          <w:kern w:val="0"/>
          <w:sz w:val="22"/>
          <w:szCs w:val="22"/>
        </w:rPr>
        <w:t>第十条委托人在约定的时间内就咨询人书面提交并要求做出答复的事宜做出书面答复。</w:t>
      </w:r>
    </w:p>
    <w:p w14:paraId="1CF7F287">
      <w:pPr>
        <w:pStyle w:val="43"/>
        <w:widowControl/>
        <w:spacing w:line="472"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第十一条委托人应当按合同条款规定及时支付咨询费用。</w:t>
      </w:r>
    </w:p>
    <w:p w14:paraId="6182475A">
      <w:pPr>
        <w:pStyle w:val="43"/>
        <w:widowControl/>
        <w:spacing w:line="472" w:lineRule="exact"/>
        <w:ind w:left="0" w:firstLine="0"/>
        <w:jc w:val="center"/>
        <w:rPr>
          <w:rFonts w:hint="eastAsia" w:ascii="宋体" w:hAnsi="宋体" w:eastAsia="宋体" w:cs="MingLiU"/>
          <w:kern w:val="0"/>
          <w:sz w:val="22"/>
          <w:szCs w:val="22"/>
        </w:rPr>
      </w:pPr>
      <w:r>
        <w:rPr>
          <w:rFonts w:hint="eastAsia" w:ascii="宋体" w:hAnsi="宋体" w:eastAsia="宋体" w:cs="宋体"/>
          <w:kern w:val="0"/>
          <w:sz w:val="22"/>
          <w:szCs w:val="22"/>
        </w:rPr>
        <w:t>咨询人的权利</w:t>
      </w:r>
    </w:p>
    <w:p w14:paraId="2D094DC0">
      <w:pPr>
        <w:pStyle w:val="43"/>
        <w:widowControl/>
        <w:spacing w:line="472"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第十二条咨询人在咨询过程中，如委托人提供的资料不明确时可向委托人提出书面报告。</w:t>
      </w:r>
    </w:p>
    <w:p w14:paraId="6BCAAFC5">
      <w:pPr>
        <w:pStyle w:val="43"/>
        <w:widowControl/>
        <w:spacing w:line="472"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第十三条咨询人在咨询过程中，有权对与本咨询业务有关的问题进行核对或查问，以及到工程现场勘察。</w:t>
      </w:r>
    </w:p>
    <w:p w14:paraId="628B408E">
      <w:pPr>
        <w:pStyle w:val="43"/>
        <w:widowControl/>
        <w:spacing w:line="472"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第十四条咨询人在咨询过程中，由于委托人原因造成咨询人无法继续履行合同时，咨询人有权解除合同并要求委托人承担相应赔偿。</w:t>
      </w:r>
    </w:p>
    <w:p w14:paraId="48CFA336">
      <w:pPr>
        <w:pStyle w:val="43"/>
        <w:widowControl/>
        <w:spacing w:line="472"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第十五条咨询人在咨询过程中，有独立执行工程造价咨询业务工作的权利。</w:t>
      </w:r>
    </w:p>
    <w:p w14:paraId="1414E574">
      <w:pPr>
        <w:pStyle w:val="43"/>
        <w:widowControl/>
        <w:spacing w:line="472"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咨询人有权拒绝委托人提出的有失公平、公正及违反法律法规的要求，由此原因造成的咨询合同终止咨询人免责。对于造成咨询人损失的，由委托人给予赔偿。</w:t>
      </w:r>
    </w:p>
    <w:p w14:paraId="2F674783">
      <w:pPr>
        <w:pStyle w:val="43"/>
        <w:widowControl/>
        <w:spacing w:line="472" w:lineRule="exact"/>
        <w:ind w:left="0" w:firstLine="0"/>
        <w:jc w:val="center"/>
        <w:rPr>
          <w:rFonts w:hint="eastAsia" w:ascii="宋体" w:hAnsi="宋体" w:eastAsia="宋体" w:cs="MingLiU"/>
          <w:kern w:val="0"/>
          <w:sz w:val="22"/>
          <w:szCs w:val="22"/>
        </w:rPr>
      </w:pPr>
      <w:r>
        <w:rPr>
          <w:rFonts w:hint="eastAsia" w:ascii="宋体" w:hAnsi="宋体" w:eastAsia="宋体" w:cs="宋体"/>
          <w:kern w:val="0"/>
          <w:sz w:val="22"/>
          <w:szCs w:val="22"/>
        </w:rPr>
        <w:t>委托人的权利</w:t>
      </w:r>
    </w:p>
    <w:p w14:paraId="46D2FFC6">
      <w:pPr>
        <w:pStyle w:val="43"/>
        <w:widowControl/>
        <w:spacing w:line="472"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第十六条委托人有权向咨询人询问工作进展情况及相关的内容。</w:t>
      </w:r>
    </w:p>
    <w:p w14:paraId="0B187333">
      <w:pPr>
        <w:pStyle w:val="43"/>
        <w:widowControl/>
        <w:spacing w:line="472"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第十七条委托人有权阐述对具体问题的意见和建议。</w:t>
      </w:r>
    </w:p>
    <w:p w14:paraId="35E9C99E">
      <w:pPr>
        <w:pStyle w:val="43"/>
        <w:widowControl/>
        <w:spacing w:line="472"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第十八条当委托人认定咨询专业人员不按咨询合同履行其职责，或与第三人串通给委托人造成经济损失的，委托人有权要求更换咨询专业人员，直至终止合同并要求咨询人承担相应的赔偿责任。</w:t>
      </w:r>
    </w:p>
    <w:p w14:paraId="707100E1">
      <w:pPr>
        <w:pStyle w:val="43"/>
        <w:widowControl/>
        <w:spacing w:line="472"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第十九条当委托人认定咨询人执行的专业咨询业务不符合相关规范时，有向行业主管部门申诉的权利。</w:t>
      </w:r>
    </w:p>
    <w:p w14:paraId="74ED629A">
      <w:pPr>
        <w:pStyle w:val="43"/>
        <w:widowControl/>
        <w:spacing w:line="479" w:lineRule="exact"/>
        <w:ind w:left="0" w:firstLine="0"/>
        <w:jc w:val="center"/>
        <w:rPr>
          <w:rFonts w:hint="eastAsia" w:ascii="宋体" w:hAnsi="宋体" w:eastAsia="宋体" w:cs="MingLiU"/>
          <w:kern w:val="0"/>
          <w:sz w:val="22"/>
          <w:szCs w:val="22"/>
        </w:rPr>
      </w:pPr>
      <w:r>
        <w:rPr>
          <w:rFonts w:hint="eastAsia" w:ascii="宋体" w:hAnsi="宋体" w:eastAsia="宋体" w:cs="MingLiU"/>
          <w:kern w:val="0"/>
          <w:sz w:val="22"/>
          <w:szCs w:val="22"/>
        </w:rPr>
        <w:t xml:space="preserve"> </w:t>
      </w:r>
    </w:p>
    <w:p w14:paraId="186C5690">
      <w:pPr>
        <w:pStyle w:val="43"/>
        <w:widowControl/>
        <w:spacing w:line="479" w:lineRule="exact"/>
        <w:ind w:left="0" w:firstLine="0"/>
        <w:jc w:val="center"/>
        <w:rPr>
          <w:rFonts w:hint="eastAsia" w:ascii="宋体" w:hAnsi="宋体" w:eastAsia="宋体" w:cs="MingLiU"/>
          <w:kern w:val="0"/>
          <w:sz w:val="22"/>
          <w:szCs w:val="22"/>
        </w:rPr>
      </w:pPr>
      <w:r>
        <w:rPr>
          <w:rFonts w:hint="eastAsia" w:ascii="宋体" w:hAnsi="宋体" w:eastAsia="宋体" w:cs="宋体"/>
          <w:kern w:val="0"/>
          <w:sz w:val="22"/>
          <w:szCs w:val="22"/>
        </w:rPr>
        <w:t>咨询人的责任</w:t>
      </w:r>
    </w:p>
    <w:p w14:paraId="7C107C0A">
      <w:pPr>
        <w:pStyle w:val="43"/>
        <w:widowControl/>
        <w:spacing w:line="474"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二十条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14:paraId="0AA466DD">
      <w:pPr>
        <w:pStyle w:val="43"/>
        <w:widowControl/>
        <w:spacing w:line="474"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第二十一条咨询人对委托人或第三人所提出的咨询业务范围内的问题不能及时核对或答复，导致合同不能全部或部分履行，咨询人应承担相应的责任。</w:t>
      </w:r>
    </w:p>
    <w:p w14:paraId="761993B8">
      <w:pPr>
        <w:pStyle w:val="43"/>
        <w:widowControl/>
        <w:spacing w:line="479"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第二十二条咨询人向委托人提出赔偿要求不能成立时，则应补偿由于该赔偿或其他要求所导致委托人的各种费用的支出。</w:t>
      </w:r>
    </w:p>
    <w:p w14:paraId="05EF4267">
      <w:pPr>
        <w:pStyle w:val="43"/>
        <w:widowControl/>
        <w:spacing w:line="479" w:lineRule="exact"/>
        <w:ind w:left="0" w:firstLine="0"/>
        <w:jc w:val="center"/>
        <w:rPr>
          <w:rFonts w:hint="eastAsia" w:ascii="宋体" w:hAnsi="宋体" w:eastAsia="宋体" w:cs="MingLiU"/>
          <w:kern w:val="0"/>
          <w:sz w:val="22"/>
          <w:szCs w:val="22"/>
        </w:rPr>
      </w:pPr>
      <w:r>
        <w:rPr>
          <w:rFonts w:hint="eastAsia" w:ascii="宋体" w:hAnsi="宋体" w:eastAsia="宋体" w:cs="宋体"/>
          <w:kern w:val="0"/>
          <w:sz w:val="22"/>
          <w:szCs w:val="22"/>
        </w:rPr>
        <w:t>委托人的责任</w:t>
      </w:r>
    </w:p>
    <w:p w14:paraId="675677C1">
      <w:pPr>
        <w:pStyle w:val="43"/>
        <w:widowControl/>
        <w:spacing w:line="479"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第二十三条委托人应当履行建设工程造价咨询合同约定的义务，如有违反则应当承担违约责任，赔偿给咨询人造成的损失。</w:t>
      </w:r>
    </w:p>
    <w:p w14:paraId="4F1F6FE6">
      <w:pPr>
        <w:pStyle w:val="43"/>
        <w:widowControl/>
        <w:spacing w:line="479"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第二十四条委托人如果向咨询人提出赔偿或其他要求不能成立时，则应补偿由于该赔偿或其他要求所导致咨询人的各种费用的支出。</w:t>
      </w:r>
    </w:p>
    <w:p w14:paraId="545A7BC3">
      <w:pPr>
        <w:pStyle w:val="43"/>
        <w:widowControl/>
        <w:spacing w:line="479" w:lineRule="exact"/>
        <w:ind w:left="0" w:firstLine="0"/>
        <w:jc w:val="center"/>
        <w:rPr>
          <w:rFonts w:hint="eastAsia" w:ascii="宋体" w:hAnsi="宋体" w:eastAsia="宋体" w:cs="MingLiU"/>
          <w:kern w:val="0"/>
          <w:sz w:val="22"/>
          <w:szCs w:val="22"/>
        </w:rPr>
      </w:pPr>
      <w:r>
        <w:rPr>
          <w:rFonts w:hint="eastAsia" w:ascii="宋体" w:hAnsi="宋体" w:eastAsia="宋体" w:cs="宋体"/>
          <w:kern w:val="0"/>
          <w:sz w:val="22"/>
          <w:szCs w:val="22"/>
        </w:rPr>
        <w:t>合同生效、变更与终止</w:t>
      </w:r>
    </w:p>
    <w:p w14:paraId="1E9E4EC4">
      <w:pPr>
        <w:pStyle w:val="43"/>
        <w:widowControl/>
        <w:spacing w:line="479"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第二十五条本合同自双方签字盖章之日起生效。</w:t>
      </w:r>
    </w:p>
    <w:p w14:paraId="483DDDFE">
      <w:pPr>
        <w:pStyle w:val="43"/>
        <w:widowControl/>
        <w:spacing w:line="479"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二十六条由于委托人或第三人的原因使咨询人工作受到阻碍、延误或重复以致增加了工作量或延长了约定的咨询时间，则咨询人应当将此情况与可能产生的影响及时书面通知委托人。由此增加的工作量视为额外服务，完成建设工程造价咨询工作的时间应当相应延长，并得到额外的酬金。</w:t>
      </w:r>
    </w:p>
    <w:p w14:paraId="291C5C97">
      <w:pPr>
        <w:pStyle w:val="43"/>
        <w:widowControl/>
        <w:spacing w:line="479"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第二十七条</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当事人一方要求变更或解除合同时，则应当在</w:t>
      </w:r>
      <w:r>
        <w:rPr>
          <w:rFonts w:hint="eastAsia" w:ascii="宋体" w:hAnsi="宋体" w:eastAsia="宋体" w:cs="宋体"/>
          <w:kern w:val="0"/>
          <w:sz w:val="24"/>
          <w:szCs w:val="24"/>
        </w:rPr>
        <w:t>7</w:t>
      </w:r>
      <w:r>
        <w:rPr>
          <w:rFonts w:hint="eastAsia" w:ascii="宋体" w:hAnsi="宋体" w:eastAsia="宋体" w:cs="宋体"/>
          <w:kern w:val="0"/>
          <w:sz w:val="22"/>
          <w:szCs w:val="22"/>
        </w:rPr>
        <w:t>个工作日前通知对方；因变更或解除合同使一方遭受损失的，应由责任方负责赔偿。</w:t>
      </w:r>
    </w:p>
    <w:p w14:paraId="0F8C4EF7">
      <w:pPr>
        <w:pStyle w:val="43"/>
        <w:widowControl/>
        <w:spacing w:line="477"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第二十八条咨询人由于非自身原因暂停或中止执行建设工程造价咨询业务，由此而增加的恢复执行建设工程造价咨询业务的工作，应视为额外服务，有权得到额外的时间和酬金。</w:t>
      </w:r>
    </w:p>
    <w:p w14:paraId="4C863617">
      <w:pPr>
        <w:pStyle w:val="43"/>
        <w:widowControl/>
        <w:spacing w:line="477"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第二十九条变更或解除合同的通知或协议应当采取书面形式，新的协议未达成之前，原合同仍然有效。</w:t>
      </w:r>
    </w:p>
    <w:p w14:paraId="2E901070">
      <w:pPr>
        <w:pStyle w:val="43"/>
        <w:widowControl/>
        <w:spacing w:line="477" w:lineRule="exact"/>
        <w:ind w:left="0" w:firstLine="0"/>
        <w:jc w:val="center"/>
        <w:rPr>
          <w:rFonts w:hint="eastAsia" w:ascii="宋体" w:hAnsi="宋体" w:eastAsia="宋体" w:cs="MingLiU"/>
          <w:kern w:val="0"/>
          <w:sz w:val="22"/>
          <w:szCs w:val="22"/>
        </w:rPr>
      </w:pPr>
      <w:r>
        <w:rPr>
          <w:rFonts w:hint="eastAsia" w:ascii="宋体" w:hAnsi="宋体" w:eastAsia="宋体" w:cs="宋体"/>
          <w:kern w:val="0"/>
          <w:sz w:val="22"/>
          <w:szCs w:val="22"/>
        </w:rPr>
        <w:t>咨询业务酬金</w:t>
      </w:r>
    </w:p>
    <w:p w14:paraId="16CE1189">
      <w:pPr>
        <w:pStyle w:val="43"/>
        <w:widowControl/>
        <w:spacing w:line="477"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第三十条</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正常服务，附加服务和额外服务的酬金，按照建设工程造价咨询合同专用条款约定的方法计取，并按约定的时间、数额和币种支付。</w:t>
      </w:r>
    </w:p>
    <w:p w14:paraId="6B77000A">
      <w:pPr>
        <w:pStyle w:val="43"/>
        <w:widowControl/>
        <w:spacing w:line="477"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第三十一条如果委托人在规定的支付期限内未支付建设工程造价咨询酬金，自规定支付之日起，应当向咨询人补偿应支付的酬金利息。利息额按规定支付期限最后一日银行贷款利率计算。</w:t>
      </w:r>
    </w:p>
    <w:p w14:paraId="75B53EE6">
      <w:pPr>
        <w:pStyle w:val="43"/>
        <w:widowControl/>
        <w:spacing w:line="475"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第三十二条如果委托人对咨询人提交的支付通知书中酬金或部分酬金项目提出异议，应当在收到支付通知书两日内向咨询人发出异议的通知，但委托人不得拖延其无异议部分酬金的支付。</w:t>
      </w:r>
    </w:p>
    <w:p w14:paraId="49FED2DA">
      <w:pPr>
        <w:pStyle w:val="43"/>
        <w:widowControl/>
        <w:spacing w:line="480"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第三十三条</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支付建设工程造价咨询酬金所釆取的货币币种、汇率由合同专用条款约定。</w:t>
      </w:r>
    </w:p>
    <w:p w14:paraId="4B0977D5">
      <w:pPr>
        <w:pStyle w:val="43"/>
        <w:widowControl/>
        <w:spacing w:line="480" w:lineRule="exact"/>
        <w:ind w:left="0" w:firstLine="0"/>
        <w:jc w:val="center"/>
        <w:rPr>
          <w:rFonts w:hint="eastAsia" w:ascii="宋体" w:hAnsi="宋体" w:eastAsia="宋体" w:cs="MingLiU"/>
          <w:kern w:val="0"/>
          <w:sz w:val="22"/>
          <w:szCs w:val="22"/>
        </w:rPr>
      </w:pPr>
      <w:r>
        <w:rPr>
          <w:rFonts w:hint="eastAsia" w:ascii="宋体" w:hAnsi="宋体" w:eastAsia="宋体" w:cs="宋体"/>
          <w:kern w:val="0"/>
          <w:sz w:val="22"/>
          <w:szCs w:val="22"/>
        </w:rPr>
        <w:t>其</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他</w:t>
      </w:r>
    </w:p>
    <w:p w14:paraId="482D16D0">
      <w:pPr>
        <w:pStyle w:val="43"/>
        <w:widowControl/>
        <w:spacing w:line="475"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第三十四条因建设工程造价咨询业务的需要，咨询人在合同约定外的外出考察，经委托人同意，其所需费用由委托人负责。</w:t>
      </w:r>
    </w:p>
    <w:p w14:paraId="27521C22">
      <w:pPr>
        <w:pStyle w:val="43"/>
        <w:widowControl/>
        <w:spacing w:line="475"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第三十五条咨询人如需外聘专家协助，在委托的建设工程造价咨询业务范围内其费用由咨询人承担；在委托的建设工程造价咨询业务范围以外经委托人认可其费用由委托人承担。</w:t>
      </w:r>
    </w:p>
    <w:p w14:paraId="7A20FF78">
      <w:pPr>
        <w:pStyle w:val="43"/>
        <w:widowControl/>
        <w:spacing w:line="490"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第三十六条未经对方的书面同意，各方均不得转让合同约定的权利和义务。</w:t>
      </w:r>
    </w:p>
    <w:p w14:paraId="22A21CE4">
      <w:pPr>
        <w:pStyle w:val="43"/>
        <w:widowControl/>
        <w:spacing w:line="472"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三十七条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14:paraId="6C1413CB">
      <w:pPr>
        <w:pStyle w:val="43"/>
        <w:widowControl/>
        <w:spacing w:line="472" w:lineRule="exact"/>
        <w:ind w:left="0" w:firstLine="0"/>
        <w:jc w:val="center"/>
        <w:rPr>
          <w:rFonts w:hint="eastAsia" w:ascii="宋体" w:hAnsi="宋体" w:eastAsia="宋体" w:cs="MingLiU"/>
          <w:kern w:val="0"/>
          <w:sz w:val="22"/>
          <w:szCs w:val="22"/>
        </w:rPr>
      </w:pPr>
      <w:r>
        <w:rPr>
          <w:rFonts w:hint="eastAsia" w:ascii="宋体" w:hAnsi="宋体" w:eastAsia="宋体" w:cs="宋体"/>
          <w:kern w:val="0"/>
          <w:sz w:val="22"/>
          <w:szCs w:val="22"/>
        </w:rPr>
        <w:t>合同争议的解决</w:t>
      </w:r>
    </w:p>
    <w:p w14:paraId="5F0C77F9">
      <w:pPr>
        <w:pStyle w:val="43"/>
        <w:widowControl/>
        <w:spacing w:line="472"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三十九条因违约或终止合同而引起的损失和损害的赔偿，委托人与咨询人之间应当协商解决；如未能达成一致，可提交有关主管部门调解；协商或调解不成的，可提交扬州市仲裁委员会仲裁解决或向人民法院提起诉讼。</w:t>
      </w:r>
      <w:r>
        <w:rPr>
          <w:rFonts w:hint="eastAsia" w:ascii="宋体" w:hAnsi="宋体" w:eastAsia="宋体" w:cs="MingLiU"/>
          <w:kern w:val="0"/>
          <w:sz w:val="22"/>
          <w:szCs w:val="22"/>
        </w:rPr>
        <w:br w:type="page"/>
      </w:r>
    </w:p>
    <w:p w14:paraId="6FCCCA2A">
      <w:pPr>
        <w:pStyle w:val="42"/>
        <w:keepNext/>
        <w:keepLines/>
        <w:widowControl w:val="0"/>
        <w:suppressLineNumbers w:val="0"/>
        <w:spacing w:before="0" w:beforeAutospacing="0" w:after="120" w:afterAutospacing="0"/>
        <w:ind w:left="1040" w:right="0" w:hanging="480"/>
        <w:rPr>
          <w:rFonts w:hint="eastAsia" w:ascii="宋体" w:hAnsi="宋体" w:eastAsia="宋体" w:cs="MingLiU"/>
          <w:kern w:val="0"/>
          <w:sz w:val="32"/>
          <w:szCs w:val="32"/>
        </w:rPr>
      </w:pPr>
      <w:r>
        <w:rPr>
          <w:rFonts w:hint="eastAsia" w:ascii="宋体" w:hAnsi="宋体" w:eastAsia="宋体" w:cs="宋体"/>
          <w:kern w:val="0"/>
          <w:sz w:val="32"/>
          <w:szCs w:val="32"/>
        </w:rPr>
        <w:t>第三部分建设工程造价咨询合同专用条款</w:t>
      </w:r>
    </w:p>
    <w:p w14:paraId="1B93B435">
      <w:pPr>
        <w:pStyle w:val="43"/>
        <w:widowControl/>
        <w:spacing w:line="477"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第一条</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本合同适用的法律、法规及工程造价计价办法和规定</w:t>
      </w:r>
    </w:p>
    <w:p w14:paraId="01581090">
      <w:pPr>
        <w:pStyle w:val="43"/>
        <w:widowControl/>
        <w:numPr>
          <w:ilvl w:val="0"/>
          <w:numId w:val="8"/>
        </w:numPr>
        <w:tabs>
          <w:tab w:val="left" w:pos="958"/>
        </w:tabs>
        <w:spacing w:line="477" w:lineRule="exact"/>
        <w:ind w:left="0" w:firstLine="440" w:firstLineChars="200"/>
        <w:jc w:val="both"/>
        <w:rPr>
          <w:rFonts w:hint="eastAsia" w:ascii="宋体" w:hAnsi="宋体" w:eastAsia="宋体" w:cs="MingLiU"/>
          <w:kern w:val="0"/>
          <w:sz w:val="22"/>
          <w:szCs w:val="22"/>
        </w:rPr>
      </w:pPr>
      <w:r>
        <w:rPr>
          <w:rFonts w:hint="eastAsia" w:ascii="宋体" w:hAnsi="宋体" w:eastAsia="宋体" w:cs="宋体"/>
          <w:kern w:val="0"/>
          <w:sz w:val="22"/>
          <w:szCs w:val="22"/>
        </w:rPr>
        <w:t>适用法律和法规：</w:t>
      </w:r>
      <w:r>
        <w:rPr>
          <w:rFonts w:hint="eastAsia" w:ascii="宋体" w:hAnsi="宋体" w:eastAsia="宋体" w:cs="宋体"/>
          <w:kern w:val="0"/>
          <w:sz w:val="22"/>
          <w:szCs w:val="22"/>
          <w:u w:val="single"/>
        </w:rPr>
        <w:t>中华人民共和国民法典、建筑法、招投标及实施条例</w:t>
      </w:r>
    </w:p>
    <w:p w14:paraId="1A2A28B4">
      <w:pPr>
        <w:pStyle w:val="43"/>
        <w:widowControl/>
        <w:numPr>
          <w:ilvl w:val="0"/>
          <w:numId w:val="9"/>
        </w:numPr>
        <w:spacing w:line="475" w:lineRule="exact"/>
        <w:ind w:left="0" w:firstLine="440" w:firstLineChars="200"/>
        <w:jc w:val="both"/>
        <w:rPr>
          <w:rFonts w:hint="eastAsia" w:ascii="宋体" w:hAnsi="宋体" w:eastAsia="宋体" w:cs="MingLiU"/>
          <w:kern w:val="0"/>
          <w:sz w:val="22"/>
          <w:szCs w:val="22"/>
        </w:rPr>
      </w:pPr>
      <w:r>
        <w:rPr>
          <w:rFonts w:hint="eastAsia" w:ascii="宋体" w:hAnsi="宋体" w:eastAsia="宋体" w:cs="宋体"/>
          <w:kern w:val="0"/>
          <w:sz w:val="22"/>
          <w:szCs w:val="22"/>
        </w:rPr>
        <w:t>工程造价计价办法：</w:t>
      </w:r>
      <w:r>
        <w:rPr>
          <w:rFonts w:hint="eastAsia" w:ascii="宋体" w:hAnsi="宋体" w:eastAsia="宋体" w:cs="宋体"/>
          <w:kern w:val="0"/>
          <w:sz w:val="22"/>
          <w:szCs w:val="22"/>
          <w:u w:val="single"/>
        </w:rPr>
        <w:t>《江苏省建筑与装饰工程计价表》；《江苏省安装工程计价表》；《江苏省房屋修缮工程计价表》；《水利工程工程量清单计价规范》</w:t>
      </w:r>
      <w:r>
        <w:rPr>
          <w:rFonts w:hint="eastAsia" w:ascii="宋体" w:hAnsi="宋体" w:eastAsia="宋体" w:cs="宋体"/>
          <w:kern w:val="0"/>
          <w:sz w:val="24"/>
          <w:szCs w:val="24"/>
          <w:u w:val="single"/>
        </w:rPr>
        <w:t>（</w:t>
      </w:r>
      <w:r>
        <w:rPr>
          <w:rFonts w:hint="eastAsia" w:ascii="宋体" w:hAnsi="宋体" w:eastAsia="宋体" w:cs="MingLiU"/>
          <w:kern w:val="0"/>
          <w:sz w:val="22"/>
          <w:szCs w:val="22"/>
          <w:u w:val="single"/>
        </w:rPr>
        <w:t>GB50501</w:t>
      </w:r>
      <w:r>
        <w:rPr>
          <w:rFonts w:hint="eastAsia" w:ascii="宋体" w:hAnsi="宋体" w:eastAsia="宋体" w:cs="宋体"/>
          <w:kern w:val="0"/>
          <w:sz w:val="24"/>
          <w:szCs w:val="24"/>
          <w:u w:val="single"/>
        </w:rPr>
        <w:t>-2007）；</w:t>
      </w:r>
      <w:r>
        <w:rPr>
          <w:rFonts w:hint="eastAsia" w:ascii="宋体" w:hAnsi="宋体" w:eastAsia="宋体" w:cs="宋体"/>
          <w:kern w:val="0"/>
          <w:sz w:val="22"/>
          <w:szCs w:val="22"/>
          <w:u w:val="single"/>
        </w:rPr>
        <w:t>《江苏省费用定额》；《建设工程工程量清单计价规范》等。</w:t>
      </w:r>
    </w:p>
    <w:p w14:paraId="4C4BC285">
      <w:pPr>
        <w:pStyle w:val="43"/>
        <w:widowControl/>
        <w:numPr>
          <w:ilvl w:val="0"/>
          <w:numId w:val="9"/>
        </w:numPr>
        <w:spacing w:line="475" w:lineRule="exact"/>
        <w:ind w:left="0" w:firstLine="440" w:firstLineChars="200"/>
        <w:jc w:val="both"/>
        <w:rPr>
          <w:rFonts w:hint="eastAsia" w:ascii="宋体" w:hAnsi="宋体" w:eastAsia="宋体" w:cs="MingLiU"/>
          <w:kern w:val="0"/>
          <w:sz w:val="22"/>
          <w:szCs w:val="22"/>
          <w:u w:val="single"/>
        </w:rPr>
      </w:pPr>
      <w:r>
        <w:rPr>
          <w:rFonts w:hint="eastAsia" w:ascii="宋体" w:hAnsi="宋体" w:eastAsia="宋体" w:cs="宋体"/>
          <w:kern w:val="0"/>
          <w:sz w:val="22"/>
          <w:szCs w:val="22"/>
        </w:rPr>
        <w:t>标准规范：</w:t>
      </w:r>
      <w:r>
        <w:rPr>
          <w:rFonts w:hint="eastAsia" w:ascii="宋体" w:hAnsi="宋体" w:eastAsia="宋体" w:cs="宋体"/>
          <w:kern w:val="0"/>
          <w:sz w:val="22"/>
          <w:szCs w:val="22"/>
          <w:u w:val="single"/>
        </w:rPr>
        <w:t>《江苏省工程造价咨询业务指导规程》；江苏省及扬州市相关工程造价文件；现行建设工程设计及施工规范和标准图集。</w:t>
      </w:r>
    </w:p>
    <w:p w14:paraId="1D005276">
      <w:pPr>
        <w:pStyle w:val="43"/>
        <w:widowControl/>
        <w:numPr>
          <w:ilvl w:val="0"/>
          <w:numId w:val="10"/>
        </w:numPr>
        <w:spacing w:line="475" w:lineRule="exact"/>
        <w:ind w:left="0" w:firstLine="540"/>
        <w:jc w:val="both"/>
        <w:rPr>
          <w:rFonts w:hint="eastAsia" w:ascii="宋体" w:hAnsi="宋体" w:eastAsia="宋体" w:cs="MingLiU"/>
          <w:kern w:val="0"/>
          <w:sz w:val="22"/>
          <w:szCs w:val="22"/>
        </w:rPr>
      </w:pPr>
      <w:r>
        <w:rPr>
          <w:rFonts w:hint="eastAsia" w:ascii="宋体" w:hAnsi="宋体" w:eastAsia="宋体" w:cs="宋体"/>
          <w:kern w:val="0"/>
          <w:sz w:val="22"/>
          <w:szCs w:val="22"/>
        </w:rPr>
        <w:t>本合同咨询项目负责人由</w:t>
      </w:r>
      <w:r>
        <w:rPr>
          <w:rFonts w:hint="eastAsia" w:ascii="宋体" w:hAnsi="宋体" w:eastAsia="宋体" w:cs="宋体"/>
          <w:kern w:val="0"/>
          <w:sz w:val="22"/>
          <w:szCs w:val="22"/>
          <w:u w:val="single"/>
          <w:lang w:val="en-US" w:eastAsia="zh-CN"/>
        </w:rPr>
        <w:t xml:space="preserve">  </w:t>
      </w:r>
      <w:r>
        <w:rPr>
          <w:rFonts w:hint="eastAsia" w:ascii="宋体" w:hAnsi="宋体" w:eastAsia="宋体" w:cs="宋体"/>
          <w:kern w:val="0"/>
          <w:sz w:val="22"/>
          <w:szCs w:val="22"/>
        </w:rPr>
        <w:t>担任</w:t>
      </w:r>
      <w:r>
        <w:rPr>
          <w:rFonts w:hint="eastAsia" w:ascii="宋体" w:hAnsi="宋体" w:eastAsia="宋体" w:cs="MingLiU"/>
          <w:kern w:val="0"/>
          <w:sz w:val="22"/>
          <w:szCs w:val="22"/>
        </w:rPr>
        <w:t>,负责本咨询项目的具体实施及与委托方的联系等事宜</w:t>
      </w:r>
      <w:r>
        <w:rPr>
          <w:rFonts w:hint="eastAsia" w:ascii="宋体" w:hAnsi="宋体" w:eastAsia="宋体" w:cs="宋体"/>
          <w:kern w:val="0"/>
          <w:sz w:val="22"/>
          <w:szCs w:val="22"/>
        </w:rPr>
        <w:t>。</w:t>
      </w:r>
    </w:p>
    <w:p w14:paraId="77DB359B">
      <w:pPr>
        <w:pStyle w:val="43"/>
        <w:widowControl/>
        <w:spacing w:line="475" w:lineRule="exact"/>
        <w:ind w:left="0" w:firstLine="440" w:firstLineChars="200"/>
        <w:jc w:val="both"/>
        <w:rPr>
          <w:rFonts w:hint="eastAsia" w:ascii="宋体" w:hAnsi="宋体" w:eastAsia="宋体" w:cs="MingLiU"/>
          <w:kern w:val="0"/>
          <w:sz w:val="22"/>
          <w:szCs w:val="22"/>
        </w:rPr>
      </w:pPr>
      <w:r>
        <w:rPr>
          <w:rFonts w:hint="eastAsia" w:ascii="宋体" w:hAnsi="宋体" w:eastAsia="宋体" w:cs="宋体"/>
          <w:kern w:val="0"/>
          <w:sz w:val="22"/>
          <w:szCs w:val="22"/>
        </w:rPr>
        <w:t>第三条</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建设工程造价咨询业务范围及内容</w:t>
      </w:r>
    </w:p>
    <w:p w14:paraId="69708D88">
      <w:pPr>
        <w:pStyle w:val="43"/>
        <w:widowControl/>
        <w:numPr>
          <w:ilvl w:val="0"/>
          <w:numId w:val="11"/>
        </w:numPr>
        <w:spacing w:after="220" w:afterAutospacing="0" w:line="475" w:lineRule="exact"/>
        <w:ind w:left="0" w:firstLine="500"/>
        <w:jc w:val="both"/>
        <w:rPr>
          <w:rFonts w:hint="eastAsia" w:ascii="宋体" w:hAnsi="宋体" w:eastAsia="宋体" w:cs="MingLiU"/>
          <w:kern w:val="0"/>
          <w:sz w:val="22"/>
          <w:szCs w:val="22"/>
          <w:u w:val="single"/>
        </w:rPr>
      </w:pPr>
      <w:r>
        <w:rPr>
          <w:rFonts w:hint="eastAsia" w:ascii="宋体" w:hAnsi="宋体" w:eastAsia="宋体" w:cs="宋体"/>
          <w:kern w:val="0"/>
          <w:sz w:val="22"/>
          <w:szCs w:val="22"/>
        </w:rPr>
        <w:t>工程造价咨询的工程范围：</w:t>
      </w:r>
    </w:p>
    <w:p w14:paraId="581DA64D">
      <w:pPr>
        <w:pStyle w:val="43"/>
        <w:widowControl/>
        <w:numPr>
          <w:ilvl w:val="0"/>
          <w:numId w:val="11"/>
        </w:numPr>
        <w:spacing w:after="120" w:afterAutospacing="0"/>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委托工程造价咨询业务的内容（下列内容有委托的在口中打</w:t>
      </w:r>
      <w:r>
        <w:rPr>
          <w:rFonts w:hint="eastAsia" w:ascii="宋体" w:hAnsi="宋体" w:eastAsia="宋体" w:cs="宋体"/>
          <w:kern w:val="0"/>
          <w:sz w:val="24"/>
          <w:szCs w:val="24"/>
        </w:rPr>
        <w:t>√</w:t>
      </w:r>
      <w:r>
        <w:rPr>
          <w:rFonts w:hint="eastAsia" w:ascii="宋体" w:hAnsi="宋体" w:eastAsia="宋体" w:cs="宋体"/>
          <w:kern w:val="0"/>
          <w:sz w:val="22"/>
          <w:szCs w:val="22"/>
        </w:rPr>
        <w:t>）：</w:t>
      </w:r>
    </w:p>
    <w:p w14:paraId="66D598FE">
      <w:pPr>
        <w:pStyle w:val="43"/>
        <w:widowControl/>
        <w:spacing w:after="220" w:afterAutospacing="0"/>
        <w:ind w:left="0" w:firstLine="500"/>
        <w:jc w:val="both"/>
        <w:rPr>
          <w:rFonts w:hint="eastAsia" w:ascii="宋体" w:hAnsi="宋体" w:eastAsia="宋体" w:cs="MingLiU"/>
          <w:kern w:val="0"/>
          <w:sz w:val="22"/>
          <w:szCs w:val="22"/>
        </w:rPr>
      </w:pPr>
      <w:r>
        <w:rPr>
          <w:rFonts w:hint="eastAsia" w:ascii="宋体" w:hAnsi="宋体" w:eastAsia="宋体" w:cs="宋体"/>
          <w:kern w:val="0"/>
          <w:sz w:val="24"/>
          <w:szCs w:val="24"/>
        </w:rPr>
        <w:t>2.1</w:t>
      </w:r>
      <w:r>
        <w:rPr>
          <w:rFonts w:hint="eastAsia" w:ascii="宋体" w:hAnsi="宋体" w:eastAsia="宋体" w:cs="宋体"/>
          <w:kern w:val="0"/>
          <w:sz w:val="22"/>
          <w:szCs w:val="22"/>
        </w:rPr>
        <w:t>建设工程造价咨询业务（具体内容详见第四部分“工作内容、要求及</w:t>
      </w:r>
    </w:p>
    <w:p w14:paraId="06181DCE">
      <w:pPr>
        <w:pStyle w:val="43"/>
        <w:widowControl/>
        <w:ind w:left="0" w:firstLine="0"/>
        <w:jc w:val="both"/>
        <w:rPr>
          <w:rFonts w:hint="eastAsia" w:ascii="宋体" w:hAnsi="宋体" w:eastAsia="宋体" w:cs="MingLiU"/>
          <w:kern w:val="0"/>
          <w:sz w:val="22"/>
          <w:szCs w:val="22"/>
        </w:rPr>
      </w:pPr>
      <w:r>
        <w:rPr>
          <w:rFonts w:hint="eastAsia" w:ascii="宋体" w:hAnsi="宋体" w:eastAsia="宋体" w:cs="宋体"/>
          <w:kern w:val="0"/>
          <w:sz w:val="22"/>
          <w:szCs w:val="22"/>
        </w:rPr>
        <w:t>罚则</w:t>
      </w:r>
      <w:r>
        <w:rPr>
          <w:rFonts w:hint="eastAsia" w:ascii="宋体" w:hAnsi="宋体" w:eastAsia="宋体" w:cs="MingLiU"/>
          <w:kern w:val="0"/>
          <w:sz w:val="22"/>
          <w:szCs w:val="22"/>
        </w:rPr>
        <w:t>"）</w:t>
      </w:r>
    </w:p>
    <w:p w14:paraId="24436E8C">
      <w:pPr>
        <w:pStyle w:val="43"/>
        <w:widowControl/>
        <w:spacing w:line="360" w:lineRule="auto"/>
        <w:ind w:left="0" w:firstLine="587" w:firstLineChars="266"/>
        <w:rPr>
          <w:rFonts w:hint="eastAsia" w:ascii="宋体" w:hAnsi="宋体" w:eastAsia="宋体" w:cs="MingLiU"/>
          <w:kern w:val="0"/>
          <w:sz w:val="22"/>
          <w:szCs w:val="22"/>
        </w:rPr>
      </w:pPr>
      <w:r>
        <w:rPr>
          <w:rFonts w:hint="eastAsia" w:ascii="宋体" w:hAnsi="宋体" w:eastAsia="宋体" w:cs="宋体"/>
          <w:b/>
          <w:bCs/>
          <w:kern w:val="0"/>
          <w:sz w:val="22"/>
          <w:szCs w:val="22"/>
        </w:rPr>
        <w:t>投资决策阶段</w:t>
      </w:r>
    </w:p>
    <w:p w14:paraId="5B44A1FE">
      <w:pPr>
        <w:pStyle w:val="43"/>
        <w:widowControl/>
        <w:spacing w:line="360" w:lineRule="auto"/>
        <w:ind w:left="0" w:firstLine="585" w:firstLineChars="266"/>
        <w:rPr>
          <w:rFonts w:hint="eastAsia" w:ascii="宋体" w:hAnsi="宋体" w:eastAsia="宋体" w:cs="MingLiU"/>
          <w:kern w:val="0"/>
          <w:sz w:val="22"/>
          <w:szCs w:val="22"/>
        </w:rPr>
      </w:pPr>
      <w:r>
        <w:rPr>
          <w:rFonts w:hint="eastAsia" w:ascii="宋体" w:hAnsi="宋体" w:eastAsia="宋体" w:cs="宋体"/>
          <w:kern w:val="0"/>
          <w:sz w:val="22"/>
          <w:szCs w:val="22"/>
        </w:rPr>
        <w:t>□编制建设工程投资估算</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审核建设工程投资估算</w:t>
      </w:r>
    </w:p>
    <w:p w14:paraId="49B42853">
      <w:pPr>
        <w:pStyle w:val="43"/>
        <w:widowControl/>
        <w:spacing w:line="360" w:lineRule="auto"/>
        <w:ind w:left="0" w:firstLine="585" w:firstLineChars="266"/>
        <w:rPr>
          <w:rFonts w:hint="eastAsia" w:ascii="宋体" w:hAnsi="宋体" w:eastAsia="宋体" w:cs="MingLiU"/>
          <w:kern w:val="0"/>
          <w:sz w:val="22"/>
          <w:szCs w:val="22"/>
        </w:rPr>
      </w:pPr>
      <w:r>
        <w:rPr>
          <w:rFonts w:hint="eastAsia" w:ascii="宋体" w:hAnsi="宋体" w:eastAsia="宋体" w:cs="宋体"/>
          <w:kern w:val="0"/>
          <w:sz w:val="22"/>
          <w:szCs w:val="22"/>
        </w:rPr>
        <w:t>□建设工程项目经济评估</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□其他</w:t>
      </w:r>
    </w:p>
    <w:p w14:paraId="62D90A2E">
      <w:pPr>
        <w:pStyle w:val="43"/>
        <w:widowControl/>
        <w:spacing w:line="360" w:lineRule="auto"/>
        <w:ind w:left="0" w:firstLine="587" w:firstLineChars="266"/>
        <w:rPr>
          <w:rFonts w:hint="eastAsia" w:ascii="宋体" w:hAnsi="宋体" w:eastAsia="宋体" w:cs="MingLiU"/>
          <w:kern w:val="0"/>
          <w:sz w:val="22"/>
          <w:szCs w:val="22"/>
        </w:rPr>
      </w:pPr>
      <w:r>
        <w:rPr>
          <w:rFonts w:hint="eastAsia" w:ascii="宋体" w:hAnsi="宋体" w:eastAsia="宋体" w:cs="宋体"/>
          <w:b/>
          <w:bCs/>
          <w:kern w:val="0"/>
          <w:sz w:val="22"/>
          <w:szCs w:val="22"/>
        </w:rPr>
        <w:t>工程设计阶段</w:t>
      </w:r>
    </w:p>
    <w:p w14:paraId="5EE44E7B">
      <w:pPr>
        <w:pStyle w:val="43"/>
        <w:widowControl/>
        <w:spacing w:line="360" w:lineRule="auto"/>
        <w:ind w:left="0" w:firstLine="585" w:firstLineChars="266"/>
        <w:rPr>
          <w:rFonts w:hint="eastAsia" w:ascii="宋体" w:hAnsi="宋体" w:eastAsia="宋体" w:cs="MingLiU"/>
          <w:kern w:val="0"/>
          <w:sz w:val="22"/>
          <w:szCs w:val="22"/>
        </w:rPr>
      </w:pPr>
      <w:r>
        <w:rPr>
          <w:rFonts w:hint="eastAsia" w:ascii="宋体" w:hAnsi="宋体" w:eastAsia="宋体" w:cs="宋体"/>
          <w:kern w:val="0"/>
          <w:sz w:val="22"/>
          <w:szCs w:val="22"/>
        </w:rPr>
        <w:t>□编制建设工程概算</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□审核建设工程概算</w:t>
      </w:r>
    </w:p>
    <w:p w14:paraId="433A5FB4">
      <w:pPr>
        <w:pStyle w:val="43"/>
        <w:widowControl/>
        <w:spacing w:line="360" w:lineRule="auto"/>
        <w:ind w:left="0" w:firstLine="585" w:firstLineChars="266"/>
        <w:rPr>
          <w:rFonts w:hint="eastAsia" w:ascii="宋体" w:hAnsi="宋体" w:eastAsia="宋体" w:cs="MingLiU"/>
          <w:kern w:val="0"/>
          <w:sz w:val="22"/>
          <w:szCs w:val="22"/>
        </w:rPr>
      </w:pPr>
      <w:r>
        <w:rPr>
          <w:rFonts w:hint="eastAsia" w:ascii="宋体" w:hAnsi="宋体" w:eastAsia="宋体" w:cs="宋体"/>
          <w:kern w:val="0"/>
          <w:sz w:val="22"/>
          <w:szCs w:val="22"/>
        </w:rPr>
        <w:t>□编制建设工程预算</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□审核建设工程预算</w:t>
      </w:r>
    </w:p>
    <w:p w14:paraId="7B092B49">
      <w:pPr>
        <w:pStyle w:val="43"/>
        <w:widowControl/>
        <w:spacing w:line="360" w:lineRule="auto"/>
        <w:ind w:left="0" w:firstLine="585" w:firstLineChars="266"/>
        <w:rPr>
          <w:rFonts w:hint="eastAsia" w:ascii="宋体" w:hAnsi="宋体" w:eastAsia="宋体" w:cs="MingLiU"/>
          <w:kern w:val="0"/>
          <w:sz w:val="22"/>
          <w:szCs w:val="22"/>
        </w:rPr>
      </w:pPr>
      <w:r>
        <w:rPr>
          <w:rFonts w:hint="eastAsia" w:ascii="宋体" w:hAnsi="宋体" w:eastAsia="宋体" w:cs="宋体"/>
          <w:kern w:val="0"/>
          <w:sz w:val="22"/>
          <w:szCs w:val="22"/>
        </w:rPr>
        <w:t>□设计方案经济比较</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□其他</w:t>
      </w:r>
      <w:r>
        <w:rPr>
          <w:rFonts w:hint="eastAsia" w:ascii="宋体" w:hAnsi="宋体" w:eastAsia="宋体" w:cs="宋体"/>
          <w:b/>
          <w:bCs/>
          <w:kern w:val="0"/>
          <w:sz w:val="22"/>
          <w:szCs w:val="22"/>
        </w:rPr>
        <w:t>工程发承包/招投标阶段</w:t>
      </w:r>
    </w:p>
    <w:p w14:paraId="050AB70F">
      <w:pPr>
        <w:pStyle w:val="43"/>
        <w:widowControl/>
        <w:spacing w:line="360" w:lineRule="auto"/>
        <w:ind w:left="0" w:firstLine="585" w:firstLineChars="266"/>
        <w:rPr>
          <w:rFonts w:hint="eastAsia" w:ascii="宋体" w:hAnsi="宋体" w:eastAsia="宋体" w:cs="MingLiU"/>
          <w:kern w:val="0"/>
          <w:sz w:val="22"/>
          <w:szCs w:val="22"/>
        </w:rPr>
      </w:pPr>
      <w:r>
        <w:rPr>
          <w:rFonts w:hint="default" w:ascii="Wingdings 2" w:hAnsi="Wingdings 2" w:eastAsia="Wingdings 2" w:cs="Wingdings 2"/>
          <w:kern w:val="0"/>
          <w:sz w:val="22"/>
          <w:szCs w:val="22"/>
        </w:rPr>
        <w:t>£</w:t>
      </w:r>
      <w:r>
        <w:rPr>
          <w:rFonts w:hint="eastAsia" w:ascii="宋体" w:hAnsi="宋体" w:eastAsia="宋体" w:cs="宋体"/>
          <w:kern w:val="0"/>
          <w:sz w:val="22"/>
          <w:szCs w:val="22"/>
        </w:rPr>
        <w:t>审计招标文件造价控制条款</w:t>
      </w:r>
    </w:p>
    <w:p w14:paraId="3E751D0B">
      <w:pPr>
        <w:pStyle w:val="43"/>
        <w:widowControl/>
        <w:spacing w:line="360" w:lineRule="auto"/>
        <w:ind w:left="0" w:firstLine="585" w:firstLineChars="266"/>
        <w:rPr>
          <w:rFonts w:hint="eastAsia" w:ascii="宋体" w:hAnsi="宋体" w:eastAsia="宋体" w:cs="MingLiU"/>
          <w:kern w:val="0"/>
          <w:sz w:val="22"/>
          <w:szCs w:val="22"/>
        </w:rPr>
      </w:pPr>
      <w:r>
        <w:rPr>
          <w:rFonts w:hint="default" w:ascii="Wingdings 2" w:hAnsi="Wingdings 2" w:eastAsia="Wingdings 2" w:cs="Wingdings 2"/>
          <w:kern w:val="0"/>
          <w:sz w:val="22"/>
          <w:szCs w:val="22"/>
        </w:rPr>
        <w:sym w:font="Wingdings 2" w:char="00A3"/>
      </w:r>
      <w:r>
        <w:rPr>
          <w:rFonts w:hint="eastAsia" w:ascii="宋体" w:hAnsi="宋体" w:eastAsia="宋体" w:cs="宋体"/>
          <w:kern w:val="0"/>
          <w:sz w:val="22"/>
          <w:szCs w:val="22"/>
        </w:rPr>
        <w:t>编制工程量清单</w:t>
      </w:r>
      <w:r>
        <w:rPr>
          <w:rFonts w:hint="default" w:ascii="Wingdings 2" w:hAnsi="Wingdings 2" w:eastAsia="Wingdings 2" w:cs="Wingdings 2"/>
          <w:kern w:val="0"/>
          <w:sz w:val="22"/>
          <w:szCs w:val="22"/>
        </w:rPr>
        <w:t>£</w:t>
      </w:r>
      <w:r>
        <w:rPr>
          <w:rFonts w:hint="eastAsia" w:ascii="宋体" w:hAnsi="宋体" w:eastAsia="宋体" w:cs="宋体"/>
          <w:kern w:val="0"/>
          <w:sz w:val="22"/>
          <w:szCs w:val="22"/>
        </w:rPr>
        <w:t>编制招标控制价/发包工程预算（标底）</w:t>
      </w:r>
    </w:p>
    <w:p w14:paraId="0F7575ED">
      <w:pPr>
        <w:pStyle w:val="43"/>
        <w:widowControl/>
        <w:spacing w:line="360" w:lineRule="auto"/>
        <w:ind w:left="0" w:firstLine="585" w:firstLineChars="266"/>
        <w:rPr>
          <w:rFonts w:hint="eastAsia" w:ascii="宋体" w:hAnsi="宋体" w:eastAsia="宋体" w:cs="MingLiU"/>
          <w:kern w:val="0"/>
          <w:sz w:val="22"/>
          <w:szCs w:val="22"/>
        </w:rPr>
      </w:pPr>
      <w:r>
        <w:rPr>
          <w:rFonts w:hint="default" w:ascii="Wingdings 2" w:hAnsi="Wingdings 2" w:eastAsia="Wingdings 2" w:cs="Wingdings 2"/>
          <w:kern w:val="0"/>
          <w:sz w:val="22"/>
          <w:szCs w:val="22"/>
        </w:rPr>
        <w:t>£</w:t>
      </w:r>
      <w:r>
        <w:rPr>
          <w:rFonts w:hint="eastAsia" w:ascii="宋体" w:hAnsi="宋体" w:eastAsia="宋体" w:cs="宋体"/>
          <w:kern w:val="0"/>
          <w:sz w:val="22"/>
          <w:szCs w:val="22"/>
        </w:rPr>
        <w:t>审核工程量清单</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□审核招标控制价/发包工程预算（标底）</w:t>
      </w:r>
    </w:p>
    <w:p w14:paraId="59F2C477">
      <w:pPr>
        <w:pStyle w:val="43"/>
        <w:widowControl/>
        <w:spacing w:line="360" w:lineRule="auto"/>
        <w:ind w:left="0" w:firstLine="585" w:firstLineChars="266"/>
        <w:rPr>
          <w:rFonts w:hint="eastAsia" w:ascii="宋体" w:hAnsi="宋体" w:eastAsia="宋体" w:cs="MingLiU"/>
          <w:kern w:val="0"/>
          <w:sz w:val="22"/>
          <w:szCs w:val="22"/>
        </w:rPr>
      </w:pPr>
      <w:r>
        <w:rPr>
          <w:rFonts w:hint="eastAsia" w:ascii="宋体" w:hAnsi="宋体" w:eastAsia="宋体" w:cs="宋体"/>
          <w:kern w:val="0"/>
          <w:sz w:val="22"/>
          <w:szCs w:val="22"/>
        </w:rPr>
        <w:t>□参与审查经济标</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□参与合同谈判，协助起草合同文本</w:t>
      </w:r>
    </w:p>
    <w:p w14:paraId="1FB6594C">
      <w:pPr>
        <w:pStyle w:val="43"/>
        <w:widowControl/>
        <w:spacing w:line="360" w:lineRule="auto"/>
        <w:ind w:left="0" w:firstLine="585" w:firstLineChars="266"/>
        <w:rPr>
          <w:rFonts w:hint="eastAsia" w:ascii="宋体" w:hAnsi="宋体" w:eastAsia="宋体" w:cs="MingLiU"/>
          <w:kern w:val="0"/>
          <w:sz w:val="22"/>
          <w:szCs w:val="22"/>
        </w:rPr>
      </w:pPr>
      <w:r>
        <w:rPr>
          <w:rFonts w:hint="eastAsia" w:ascii="宋体" w:hAnsi="宋体" w:eastAsia="宋体" w:cs="宋体"/>
          <w:kern w:val="0"/>
          <w:sz w:val="22"/>
          <w:szCs w:val="22"/>
        </w:rPr>
        <w:t>□其他</w:t>
      </w:r>
    </w:p>
    <w:p w14:paraId="7C3BA3EC">
      <w:pPr>
        <w:pStyle w:val="43"/>
        <w:widowControl/>
        <w:spacing w:line="360" w:lineRule="auto"/>
        <w:ind w:left="0" w:firstLine="587" w:firstLineChars="266"/>
        <w:rPr>
          <w:rFonts w:hint="eastAsia" w:ascii="宋体" w:hAnsi="宋体" w:eastAsia="宋体" w:cs="MingLiU"/>
          <w:b/>
          <w:bCs w:val="0"/>
          <w:kern w:val="0"/>
          <w:sz w:val="22"/>
          <w:szCs w:val="22"/>
        </w:rPr>
      </w:pPr>
      <w:r>
        <w:rPr>
          <w:rFonts w:hint="eastAsia" w:ascii="宋体" w:hAnsi="宋体" w:eastAsia="宋体" w:cs="宋体"/>
          <w:b/>
          <w:bCs/>
          <w:kern w:val="0"/>
          <w:sz w:val="22"/>
          <w:szCs w:val="22"/>
        </w:rPr>
        <w:t>工程施工</w:t>
      </w:r>
      <w:r>
        <w:rPr>
          <w:rFonts w:hint="eastAsia" w:ascii="宋体" w:hAnsi="宋体" w:eastAsia="宋体" w:cs="宋体"/>
          <w:b/>
          <w:bCs w:val="0"/>
          <w:kern w:val="0"/>
          <w:sz w:val="22"/>
          <w:szCs w:val="22"/>
        </w:rPr>
        <w:t>阶段</w:t>
      </w:r>
    </w:p>
    <w:p w14:paraId="6110B7FE">
      <w:pPr>
        <w:pStyle w:val="43"/>
        <w:widowControl/>
        <w:spacing w:line="360" w:lineRule="auto"/>
        <w:ind w:left="650" w:leftChars="273" w:hanging="77" w:hangingChars="35"/>
        <w:rPr>
          <w:rFonts w:hint="eastAsia" w:ascii="宋体" w:hAnsi="宋体" w:eastAsia="宋体" w:cs="MingLiU"/>
          <w:kern w:val="0"/>
          <w:sz w:val="22"/>
          <w:szCs w:val="22"/>
        </w:rPr>
      </w:pPr>
      <w:r>
        <w:rPr>
          <w:rFonts w:hint="default" w:ascii="Wingdings 2" w:hAnsi="Wingdings 2" w:eastAsia="Wingdings 2" w:cs="Wingdings 2"/>
          <w:kern w:val="0"/>
          <w:sz w:val="22"/>
          <w:szCs w:val="22"/>
        </w:rPr>
        <w:t>£</w:t>
      </w:r>
      <w:r>
        <w:rPr>
          <w:rFonts w:hint="eastAsia" w:ascii="宋体" w:hAnsi="宋体" w:eastAsia="宋体" w:cs="宋体"/>
          <w:kern w:val="0"/>
          <w:sz w:val="22"/>
          <w:szCs w:val="22"/>
        </w:rPr>
        <w:t>分析合同价款（投标报价/发包工程预算），确定工程造价控制目标，编制资金使用计划           □审核工程计量与价款支付</w:t>
      </w:r>
      <w:r>
        <w:rPr>
          <w:rFonts w:hint="eastAsia" w:ascii="宋体" w:hAnsi="宋体" w:eastAsia="宋体" w:cs="MingLiU"/>
          <w:kern w:val="0"/>
          <w:sz w:val="22"/>
          <w:szCs w:val="22"/>
        </w:rPr>
        <w:t xml:space="preserve">          </w:t>
      </w:r>
      <w:r>
        <w:rPr>
          <w:rFonts w:hint="default" w:ascii="Wingdings 2" w:hAnsi="Wingdings 2" w:eastAsia="Wingdings 2" w:cs="Wingdings 2"/>
          <w:kern w:val="0"/>
          <w:sz w:val="22"/>
          <w:szCs w:val="22"/>
        </w:rPr>
        <w:sym w:font="Wingdings 2" w:char="00A3"/>
      </w:r>
      <w:r>
        <w:rPr>
          <w:rFonts w:hint="eastAsia" w:ascii="宋体" w:hAnsi="宋体" w:eastAsia="宋体" w:cs="宋体"/>
          <w:kern w:val="0"/>
          <w:sz w:val="22"/>
          <w:szCs w:val="22"/>
        </w:rPr>
        <w:t>审核工程索赔与签证费用</w:t>
      </w:r>
    </w:p>
    <w:p w14:paraId="3C5586D5">
      <w:pPr>
        <w:pStyle w:val="43"/>
        <w:widowControl/>
        <w:spacing w:line="360" w:lineRule="auto"/>
        <w:ind w:left="650" w:leftChars="273" w:hanging="77" w:hangingChars="35"/>
        <w:rPr>
          <w:rFonts w:hint="eastAsia" w:ascii="宋体" w:hAnsi="宋体" w:eastAsia="宋体" w:cs="MingLiU"/>
          <w:kern w:val="0"/>
          <w:sz w:val="22"/>
          <w:szCs w:val="22"/>
        </w:rPr>
      </w:pPr>
      <w:r>
        <w:rPr>
          <w:rFonts w:hint="eastAsia" w:ascii="宋体" w:hAnsi="宋体" w:eastAsia="宋体" w:cs="宋体"/>
          <w:kern w:val="0"/>
          <w:sz w:val="22"/>
          <w:szCs w:val="22"/>
          <w:lang w:eastAsia="zh-CN"/>
        </w:rPr>
        <w:t>□</w:t>
      </w:r>
      <w:r>
        <w:rPr>
          <w:rFonts w:hint="eastAsia" w:ascii="宋体" w:hAnsi="宋体" w:eastAsia="宋体" w:cs="宋体"/>
          <w:kern w:val="0"/>
          <w:sz w:val="22"/>
          <w:szCs w:val="22"/>
        </w:rPr>
        <w:t>审核工程价款调整</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□业主分包的专业工程招标咨询，材料设备询价</w:t>
      </w:r>
    </w:p>
    <w:p w14:paraId="289C721F">
      <w:pPr>
        <w:pStyle w:val="43"/>
        <w:widowControl/>
        <w:spacing w:line="360" w:lineRule="auto"/>
        <w:ind w:left="650" w:leftChars="273" w:hanging="77" w:hangingChars="35"/>
        <w:rPr>
          <w:rFonts w:hint="eastAsia" w:ascii="宋体" w:hAnsi="宋体" w:eastAsia="宋体" w:cs="MingLiU"/>
          <w:kern w:val="0"/>
          <w:sz w:val="22"/>
          <w:szCs w:val="22"/>
        </w:rPr>
      </w:pPr>
      <w:r>
        <w:rPr>
          <w:rFonts w:hint="eastAsia" w:ascii="宋体" w:hAnsi="宋体" w:eastAsia="宋体" w:cs="宋体"/>
          <w:kern w:val="0"/>
          <w:sz w:val="22"/>
          <w:szCs w:val="22"/>
        </w:rPr>
        <w:t>□分析工程投资偏差，调整工程造价控制目标</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□其他</w:t>
      </w:r>
    </w:p>
    <w:p w14:paraId="4A951EBF">
      <w:pPr>
        <w:pStyle w:val="43"/>
        <w:widowControl/>
        <w:spacing w:line="360" w:lineRule="auto"/>
        <w:ind w:left="650" w:leftChars="273" w:hanging="77" w:hangingChars="35"/>
        <w:rPr>
          <w:rFonts w:hint="eastAsia" w:ascii="宋体" w:hAnsi="宋体" w:eastAsia="宋体" w:cs="MingLiU"/>
          <w:b/>
          <w:bCs w:val="0"/>
          <w:kern w:val="0"/>
          <w:sz w:val="22"/>
          <w:szCs w:val="22"/>
        </w:rPr>
      </w:pPr>
      <w:r>
        <w:rPr>
          <w:rFonts w:hint="eastAsia" w:ascii="宋体" w:hAnsi="宋体" w:eastAsia="宋体" w:cs="宋体"/>
          <w:b/>
          <w:bCs w:val="0"/>
          <w:kern w:val="0"/>
          <w:sz w:val="22"/>
          <w:szCs w:val="22"/>
        </w:rPr>
        <w:t>工程竣工阶段</w:t>
      </w:r>
    </w:p>
    <w:p w14:paraId="3744566C">
      <w:pPr>
        <w:pStyle w:val="43"/>
        <w:widowControl/>
        <w:spacing w:line="360" w:lineRule="auto"/>
        <w:ind w:left="650" w:leftChars="273" w:hanging="77" w:hangingChars="35"/>
        <w:rPr>
          <w:rFonts w:hint="eastAsia" w:ascii="宋体" w:hAnsi="宋体" w:eastAsia="宋体" w:cs="MingLiU"/>
          <w:kern w:val="0"/>
          <w:sz w:val="22"/>
          <w:szCs w:val="22"/>
        </w:rPr>
      </w:pPr>
      <w:r>
        <w:rPr>
          <w:rFonts w:hint="eastAsia" w:ascii="宋体" w:hAnsi="宋体" w:eastAsia="宋体" w:cs="宋体"/>
          <w:kern w:val="0"/>
          <w:sz w:val="22"/>
          <w:szCs w:val="22"/>
        </w:rPr>
        <w:t>□编制工程竣工结算书</w:t>
      </w:r>
      <w:r>
        <w:rPr>
          <w:rFonts w:hint="eastAsia" w:ascii="宋体" w:hAnsi="宋体" w:eastAsia="宋体" w:cs="MingLiU"/>
          <w:kern w:val="0"/>
          <w:sz w:val="22"/>
          <w:szCs w:val="22"/>
        </w:rPr>
        <w:t xml:space="preserve">     </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审核工程竣工决算</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□其他</w:t>
      </w:r>
    </w:p>
    <w:p w14:paraId="4BBE10B3">
      <w:pPr>
        <w:pStyle w:val="43"/>
        <w:widowControl/>
        <w:spacing w:line="360" w:lineRule="auto"/>
        <w:ind w:left="650" w:leftChars="273" w:hanging="77" w:hangingChars="35"/>
        <w:rPr>
          <w:rFonts w:hint="eastAsia" w:ascii="宋体" w:hAnsi="宋体" w:eastAsia="宋体" w:cs="MingLiU"/>
          <w:kern w:val="0"/>
          <w:sz w:val="22"/>
          <w:szCs w:val="22"/>
        </w:rPr>
      </w:pPr>
      <w:r>
        <w:rPr>
          <w:rFonts w:hint="eastAsia" w:ascii="宋体" w:hAnsi="宋体" w:eastAsia="宋体" w:cs="宋体"/>
          <w:kern w:val="0"/>
          <w:sz w:val="22"/>
          <w:szCs w:val="22"/>
        </w:rPr>
        <w:t>2.2造价咨询其他业务</w:t>
      </w:r>
    </w:p>
    <w:p w14:paraId="327D2FF9">
      <w:pPr>
        <w:pStyle w:val="43"/>
        <w:widowControl/>
        <w:spacing w:line="360" w:lineRule="auto"/>
        <w:ind w:left="650" w:leftChars="273" w:hanging="77" w:hangingChars="35"/>
        <w:rPr>
          <w:rFonts w:hint="eastAsia" w:ascii="宋体" w:hAnsi="宋体" w:eastAsia="宋体" w:cs="MingLiU"/>
          <w:kern w:val="0"/>
          <w:sz w:val="22"/>
          <w:szCs w:val="22"/>
        </w:rPr>
      </w:pPr>
      <w:r>
        <w:rPr>
          <w:rFonts w:hint="default" w:ascii="Wingdings 2" w:hAnsi="Wingdings 2" w:eastAsia="Wingdings 2" w:cs="Wingdings 2"/>
          <w:kern w:val="0"/>
          <w:sz w:val="22"/>
          <w:szCs w:val="22"/>
        </w:rPr>
        <w:t>£</w:t>
      </w:r>
      <w:r>
        <w:rPr>
          <w:rFonts w:hint="eastAsia" w:ascii="宋体" w:hAnsi="宋体" w:eastAsia="宋体" w:cs="宋体"/>
          <w:kern w:val="0"/>
          <w:sz w:val="22"/>
          <w:szCs w:val="22"/>
        </w:rPr>
        <w:t>工程造价鉴定及仲裁咨询</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□编制工程造价计价依据</w:t>
      </w:r>
    </w:p>
    <w:p w14:paraId="35EF0845">
      <w:pPr>
        <w:pStyle w:val="43"/>
        <w:widowControl/>
        <w:spacing w:line="360" w:lineRule="auto"/>
        <w:ind w:left="650" w:leftChars="273" w:hanging="77" w:hangingChars="35"/>
        <w:rPr>
          <w:rFonts w:hint="eastAsia" w:ascii="宋体" w:hAnsi="宋体" w:eastAsia="宋体" w:cs="MingLiU"/>
          <w:kern w:val="0"/>
          <w:sz w:val="22"/>
          <w:szCs w:val="22"/>
        </w:rPr>
      </w:pPr>
      <w:r>
        <w:rPr>
          <w:rFonts w:hint="eastAsia" w:ascii="宋体" w:hAnsi="宋体" w:eastAsia="宋体" w:cs="宋体"/>
          <w:kern w:val="0"/>
          <w:sz w:val="22"/>
          <w:szCs w:val="22"/>
        </w:rPr>
        <w:t>□提供工程造价信息服务</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□其他</w:t>
      </w:r>
    </w:p>
    <w:p w14:paraId="0BEF63AD">
      <w:pPr>
        <w:pStyle w:val="43"/>
        <w:widowControl/>
        <w:spacing w:line="463"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第四条</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实施工程施工阶段造价咨询业务，要求咨询人常驻施工现场时，委托人应安排咨询人参与工程例会和与工程造价有关的合同洽谈及现场签证，由委托人提供下列必要的办公条件：</w:t>
      </w:r>
      <w:r>
        <w:rPr>
          <w:rFonts w:hint="eastAsia" w:ascii="宋体" w:hAnsi="宋体" w:eastAsia="宋体" w:cs="宋体"/>
          <w:kern w:val="0"/>
          <w:sz w:val="22"/>
          <w:szCs w:val="22"/>
          <w:u w:val="single"/>
        </w:rPr>
        <w:t>根据现场需要确定</w:t>
      </w:r>
      <w:r>
        <w:rPr>
          <w:rFonts w:hint="eastAsia" w:ascii="宋体" w:hAnsi="宋体" w:eastAsia="宋体" w:cs="MingLiU"/>
          <w:kern w:val="0"/>
          <w:sz w:val="22"/>
          <w:szCs w:val="22"/>
          <w:u w:val="single"/>
        </w:rPr>
        <w:tab/>
      </w:r>
    </w:p>
    <w:p w14:paraId="2A914F34">
      <w:pPr>
        <w:pStyle w:val="43"/>
        <w:widowControl/>
        <w:spacing w:line="463" w:lineRule="exact"/>
        <w:ind w:left="0" w:firstLine="440"/>
        <w:jc w:val="both"/>
        <w:rPr>
          <w:rFonts w:hint="eastAsia" w:ascii="宋体" w:hAnsi="宋体" w:eastAsia="宋体" w:cs="MingLiU"/>
          <w:kern w:val="0"/>
          <w:sz w:val="22"/>
          <w:szCs w:val="22"/>
        </w:rPr>
      </w:pPr>
      <w:r>
        <w:rPr>
          <w:rFonts w:hint="eastAsia" w:ascii="宋体" w:hAnsi="宋体" w:eastAsia="宋体" w:cs="宋体"/>
          <w:kern w:val="0"/>
          <w:sz w:val="22"/>
          <w:szCs w:val="22"/>
        </w:rPr>
        <w:t>第五条</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双方约定的委托人应提供的建设工程造价咨询材料及提供时间：</w:t>
      </w:r>
    </w:p>
    <w:p w14:paraId="0556F8DF">
      <w:pPr>
        <w:pStyle w:val="43"/>
        <w:widowControl/>
        <w:spacing w:after="60" w:afterAutospacing="0" w:line="463" w:lineRule="exact"/>
        <w:ind w:left="0" w:firstLine="500"/>
        <w:jc w:val="both"/>
        <w:rPr>
          <w:rFonts w:hint="eastAsia" w:ascii="宋体" w:hAnsi="宋体" w:eastAsia="宋体" w:cs="MingLiU"/>
          <w:kern w:val="0"/>
          <w:sz w:val="22"/>
          <w:szCs w:val="22"/>
        </w:rPr>
      </w:pPr>
      <w:r>
        <w:rPr>
          <w:rFonts w:hint="eastAsia" w:ascii="宋体" w:hAnsi="宋体" w:eastAsia="宋体" w:cs="MingLiU"/>
          <w:kern w:val="0"/>
          <w:sz w:val="22"/>
          <w:szCs w:val="22"/>
        </w:rPr>
        <w:t xml:space="preserve"> </w:t>
      </w:r>
    </w:p>
    <w:p w14:paraId="1CB89131">
      <w:pPr>
        <w:pStyle w:val="43"/>
        <w:widowControl/>
        <w:spacing w:line="462"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第六条</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委托人应在</w:t>
      </w:r>
      <w:r>
        <w:rPr>
          <w:rFonts w:hint="eastAsia" w:ascii="宋体" w:hAnsi="宋体" w:eastAsia="宋体" w:cs="MingLiU"/>
          <w:kern w:val="0"/>
          <w:sz w:val="22"/>
          <w:szCs w:val="22"/>
          <w:u w:val="single"/>
        </w:rPr>
        <w:t xml:space="preserve">   </w:t>
      </w:r>
      <w:r>
        <w:rPr>
          <w:rFonts w:hint="eastAsia" w:ascii="宋体" w:hAnsi="宋体" w:eastAsia="宋体" w:cs="宋体"/>
          <w:kern w:val="0"/>
          <w:sz w:val="22"/>
          <w:szCs w:val="22"/>
          <w:u w:val="single"/>
        </w:rPr>
        <w:t xml:space="preserve">7  </w:t>
      </w:r>
      <w:r>
        <w:rPr>
          <w:rFonts w:hint="eastAsia" w:ascii="宋体" w:hAnsi="宋体" w:eastAsia="宋体" w:cs="宋体"/>
          <w:kern w:val="0"/>
          <w:sz w:val="22"/>
          <w:szCs w:val="22"/>
        </w:rPr>
        <w:t>日内对咨询人书面提交并要求做出答复的事宜做出书面答复。</w:t>
      </w:r>
    </w:p>
    <w:p w14:paraId="2318B151">
      <w:pPr>
        <w:pStyle w:val="43"/>
        <w:widowControl/>
        <w:spacing w:line="462"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第七条</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委托人授权</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为本咨询业务的代表</w:t>
      </w:r>
      <w:r>
        <w:rPr>
          <w:rFonts w:hint="eastAsia" w:ascii="宋体" w:hAnsi="宋体" w:eastAsia="宋体" w:cs="MingLiU"/>
          <w:kern w:val="0"/>
          <w:sz w:val="22"/>
          <w:szCs w:val="22"/>
        </w:rPr>
        <w:t>,负责与咨询人联系。</w:t>
      </w:r>
    </w:p>
    <w:p w14:paraId="0BAAB62D">
      <w:pPr>
        <w:pStyle w:val="43"/>
        <w:widowControl/>
        <w:spacing w:line="462" w:lineRule="exact"/>
        <w:ind w:left="0" w:firstLine="500"/>
        <w:jc w:val="both"/>
        <w:rPr>
          <w:rFonts w:hint="eastAsia" w:ascii="宋体" w:hAnsi="宋体" w:eastAsia="宋体" w:cs="MingLiU"/>
          <w:kern w:val="0"/>
          <w:sz w:val="22"/>
          <w:szCs w:val="22"/>
        </w:rPr>
      </w:pPr>
      <w:r>
        <w:rPr>
          <w:rFonts w:hint="eastAsia" w:ascii="宋体" w:hAnsi="宋体" w:eastAsia="宋体" w:cs="宋体"/>
          <w:kern w:val="0"/>
          <w:sz w:val="22"/>
          <w:szCs w:val="22"/>
        </w:rPr>
        <w:t>第八条</w:t>
      </w:r>
      <w:r>
        <w:rPr>
          <w:rFonts w:hint="eastAsia" w:ascii="宋体" w:hAnsi="宋体" w:eastAsia="宋体" w:cs="MingLiU"/>
          <w:kern w:val="0"/>
          <w:sz w:val="22"/>
          <w:szCs w:val="22"/>
        </w:rPr>
        <w:t xml:space="preserve"> </w:t>
      </w:r>
      <w:r>
        <w:rPr>
          <w:rFonts w:hint="eastAsia" w:ascii="宋体" w:hAnsi="宋体" w:eastAsia="宋体" w:cs="宋体"/>
          <w:kern w:val="0"/>
          <w:sz w:val="22"/>
          <w:szCs w:val="22"/>
        </w:rPr>
        <w:t>委托人应当授权胜任本咨询业务的代表，负责与咨询人联系，解决在咨询业务中的委托方问题，并代表委托人签署相关文件。咨询人在其责任期内如果因自身原因给委托方造成经济损失时，同意按以下办法承担责任，向委托方支付赔偿金：（结算审计阶段的处罚措施详见第十三条）</w:t>
      </w:r>
    </w:p>
    <w:p w14:paraId="5DE5DBD6">
      <w:pPr>
        <w:pStyle w:val="43"/>
        <w:widowControl/>
        <w:spacing w:line="468" w:lineRule="exact"/>
        <w:ind w:left="1320" w:firstLine="0"/>
        <w:rPr>
          <w:rFonts w:hint="eastAsia" w:ascii="宋体" w:hAnsi="宋体" w:eastAsia="宋体" w:cs="MingLiU"/>
          <w:kern w:val="0"/>
          <w:sz w:val="22"/>
          <w:szCs w:val="22"/>
        </w:rPr>
      </w:pPr>
      <w:r>
        <w:rPr>
          <w:rFonts w:hint="eastAsia" w:ascii="宋体" w:hAnsi="宋体" w:eastAsia="宋体" w:cs="宋体"/>
          <w:kern w:val="0"/>
          <w:sz w:val="22"/>
          <w:szCs w:val="22"/>
        </w:rPr>
        <w:t>赔偿金</w:t>
      </w:r>
      <w:r>
        <w:rPr>
          <w:rFonts w:hint="eastAsia" w:ascii="宋体" w:hAnsi="宋体" w:eastAsia="宋体" w:cs="MingLiU"/>
          <w:kern w:val="0"/>
          <w:sz w:val="22"/>
          <w:szCs w:val="22"/>
        </w:rPr>
        <w:t>=直接经济损失</w:t>
      </w:r>
      <w:r>
        <w:rPr>
          <w:rFonts w:hint="eastAsia" w:ascii="宋体" w:hAnsi="宋体" w:eastAsia="宋体" w:cs="宋体"/>
          <w:kern w:val="0"/>
          <w:sz w:val="24"/>
          <w:szCs w:val="24"/>
        </w:rPr>
        <w:t>x</w:t>
      </w:r>
      <w:r>
        <w:rPr>
          <w:rFonts w:hint="eastAsia" w:ascii="宋体" w:hAnsi="宋体" w:eastAsia="宋体" w:cs="宋体"/>
          <w:kern w:val="0"/>
          <w:sz w:val="22"/>
          <w:szCs w:val="22"/>
        </w:rPr>
        <w:t>酬金比率（扣除税金）。</w:t>
      </w:r>
    </w:p>
    <w:p w14:paraId="353351C8">
      <w:pPr>
        <w:pStyle w:val="43"/>
        <w:widowControl/>
        <w:spacing w:line="468" w:lineRule="exact"/>
        <w:ind w:left="0" w:firstLine="580"/>
        <w:jc w:val="both"/>
        <w:rPr>
          <w:rFonts w:hint="eastAsia" w:ascii="宋体" w:hAnsi="宋体" w:eastAsia="宋体" w:cs="MingLiU"/>
          <w:kern w:val="0"/>
          <w:sz w:val="22"/>
          <w:szCs w:val="22"/>
        </w:rPr>
      </w:pPr>
      <w:r>
        <w:rPr>
          <w:rFonts w:hint="eastAsia" w:ascii="宋体" w:hAnsi="宋体" w:eastAsia="宋体" w:cs="宋体"/>
          <w:kern w:val="0"/>
          <w:sz w:val="22"/>
          <w:szCs w:val="22"/>
        </w:rPr>
        <w:t>第九条委托人对其提供资料的真实性、完整性和有效性负责，由此造成的咨询人工作的缺陷或失误及额外工作由委托人负责对咨询人进行赔偿。</w:t>
      </w:r>
    </w:p>
    <w:p w14:paraId="3FF0A326">
      <w:pPr>
        <w:pStyle w:val="43"/>
        <w:widowControl/>
        <w:spacing w:line="468" w:lineRule="exact"/>
        <w:ind w:left="0" w:firstLine="580"/>
        <w:jc w:val="both"/>
        <w:rPr>
          <w:rFonts w:hint="eastAsia" w:ascii="宋体" w:hAnsi="宋体" w:eastAsia="宋体" w:cs="MingLiU"/>
          <w:kern w:val="0"/>
          <w:sz w:val="22"/>
          <w:szCs w:val="22"/>
        </w:rPr>
      </w:pPr>
      <w:r>
        <w:rPr>
          <w:rFonts w:hint="eastAsia" w:ascii="宋体" w:hAnsi="宋体" w:eastAsia="宋体" w:cs="宋体"/>
          <w:kern w:val="0"/>
          <w:sz w:val="22"/>
          <w:szCs w:val="22"/>
        </w:rPr>
        <w:t>第十条咨询人参与工程例会和工程造价相关的合同、现场签证等有关事项，有于委托人共同签证的权利并承担相应的责任。</w:t>
      </w:r>
    </w:p>
    <w:p w14:paraId="0490EABF">
      <w:pPr>
        <w:pStyle w:val="43"/>
        <w:widowControl/>
        <w:spacing w:after="200" w:afterAutospacing="0" w:line="468" w:lineRule="exact"/>
        <w:ind w:left="0" w:firstLine="580"/>
        <w:jc w:val="both"/>
        <w:rPr>
          <w:rFonts w:hint="eastAsia" w:ascii="宋体" w:hAnsi="宋体" w:eastAsia="宋体" w:cs="MingLiU"/>
          <w:kern w:val="0"/>
          <w:sz w:val="22"/>
          <w:szCs w:val="22"/>
        </w:rPr>
      </w:pPr>
      <w:r>
        <w:rPr>
          <w:rFonts w:hint="eastAsia" w:ascii="宋体" w:hAnsi="宋体" w:eastAsia="宋体" w:cs="宋体"/>
          <w:kern w:val="0"/>
          <w:sz w:val="22"/>
          <w:szCs w:val="22"/>
        </w:rPr>
        <w:t>第十一条委托人同意在复审核减率为</w:t>
      </w:r>
      <w:r>
        <w:rPr>
          <w:rFonts w:hint="eastAsia" w:ascii="宋体" w:hAnsi="宋体" w:eastAsia="宋体" w:cs="宋体"/>
          <w:kern w:val="0"/>
          <w:sz w:val="24"/>
          <w:szCs w:val="24"/>
        </w:rPr>
        <w:t>2%</w:t>
      </w:r>
      <w:r>
        <w:rPr>
          <w:rFonts w:hint="eastAsia" w:ascii="宋体" w:hAnsi="宋体" w:eastAsia="宋体" w:cs="宋体"/>
          <w:kern w:val="0"/>
          <w:sz w:val="22"/>
          <w:szCs w:val="22"/>
        </w:rPr>
        <w:t>（含）以内的按以下计算方法支付咨询人的服务酬金：</w:t>
      </w:r>
    </w:p>
    <w:p w14:paraId="0CDAF4FB">
      <w:pPr>
        <w:pStyle w:val="43"/>
        <w:widowControl/>
        <w:spacing w:after="80" w:afterAutospacing="0"/>
        <w:ind w:left="0" w:firstLine="0"/>
        <w:rPr>
          <w:rFonts w:hint="eastAsia" w:ascii="宋体" w:hAnsi="宋体" w:eastAsia="宋体" w:cs="MingLiU"/>
          <w:kern w:val="0"/>
          <w:sz w:val="22"/>
          <w:szCs w:val="22"/>
        </w:rPr>
      </w:pPr>
      <w:r>
        <w:rPr>
          <w:rFonts w:hint="eastAsia" w:ascii="宋体" w:hAnsi="宋体" w:eastAsia="宋体" w:cs="宋体"/>
          <w:kern w:val="0"/>
          <w:sz w:val="22"/>
          <w:szCs w:val="22"/>
        </w:rPr>
        <w:t>（1）正常服务酬金计算方法</w:t>
      </w:r>
    </w:p>
    <w:p w14:paraId="0D22F92D">
      <w:pPr>
        <w:pStyle w:val="43"/>
        <w:widowControl/>
        <w:spacing w:after="80" w:afterAutospacing="0"/>
        <w:rPr>
          <w:rFonts w:hint="eastAsia" w:ascii="宋体" w:hAnsi="宋体" w:eastAsia="宋体" w:cs="MingLiU"/>
          <w:kern w:val="0"/>
          <w:sz w:val="22"/>
          <w:szCs w:val="22"/>
        </w:rPr>
      </w:pPr>
      <w:r>
        <w:rPr>
          <w:rFonts w:hint="eastAsia" w:ascii="宋体" w:hAnsi="宋体" w:eastAsia="宋体" w:cs="宋体"/>
          <w:kern w:val="0"/>
          <w:sz w:val="22"/>
          <w:szCs w:val="22"/>
        </w:rPr>
        <w:t>根据江苏省工程造价行业主管部门及物价部门的有关规定，本项目的咨询服务酬金计算方法：</w:t>
      </w:r>
    </w:p>
    <w:p w14:paraId="36415F01">
      <w:pPr>
        <w:keepNext w:val="0"/>
        <w:keepLines w:val="0"/>
        <w:widowControl w:val="0"/>
        <w:suppressLineNumbers w:val="0"/>
        <w:spacing w:before="0" w:beforeAutospacing="0" w:after="79" w:afterAutospacing="0" w:line="1" w:lineRule="exact"/>
        <w:ind w:left="0" w:right="0"/>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14:paraId="5716BAC3">
      <w:pPr>
        <w:pStyle w:val="43"/>
        <w:widowControl/>
        <w:spacing w:line="470" w:lineRule="exact"/>
        <w:ind w:left="0" w:firstLine="540"/>
        <w:jc w:val="both"/>
        <w:rPr>
          <w:rFonts w:hint="eastAsia" w:ascii="宋体" w:hAnsi="宋体" w:eastAsia="宋体" w:cs="MingLiU"/>
          <w:kern w:val="0"/>
          <w:sz w:val="22"/>
          <w:szCs w:val="22"/>
        </w:rPr>
      </w:pPr>
      <w:r>
        <w:rPr>
          <w:rFonts w:hint="eastAsia" w:ascii="宋体" w:hAnsi="宋体" w:eastAsia="宋体" w:cs="宋体"/>
          <w:b/>
          <w:bCs/>
          <w:kern w:val="0"/>
          <w:sz w:val="22"/>
          <w:szCs w:val="22"/>
        </w:rPr>
        <w:t>竣工结算审计报告需施工单位、建设单位签字盖章确认。未经建设单位、施工单位签字盖章的竣工结算报告无效，无效的竣工结算审计报告不作为计算服务酬金的依据。</w:t>
      </w:r>
    </w:p>
    <w:p w14:paraId="5BA5BFBA">
      <w:pPr>
        <w:pStyle w:val="43"/>
        <w:widowControl/>
        <w:tabs>
          <w:tab w:val="left" w:pos="211"/>
        </w:tabs>
        <w:spacing w:line="470" w:lineRule="exact"/>
        <w:ind w:left="0" w:firstLine="540"/>
        <w:jc w:val="both"/>
        <w:rPr>
          <w:rFonts w:hint="eastAsia" w:ascii="宋体" w:hAnsi="宋体" w:eastAsia="宋体" w:cs="MingLiU"/>
          <w:b/>
          <w:bCs/>
          <w:kern w:val="0"/>
          <w:sz w:val="22"/>
          <w:szCs w:val="22"/>
        </w:rPr>
      </w:pPr>
      <w:r>
        <w:rPr>
          <w:rFonts w:hint="eastAsia" w:ascii="宋体" w:hAnsi="宋体" w:eastAsia="宋体" w:cs="宋体"/>
          <w:b/>
          <w:bCs/>
          <w:kern w:val="0"/>
          <w:sz w:val="22"/>
          <w:szCs w:val="22"/>
        </w:rPr>
        <w:t>正常服务酬金于提交全部委托的竣工结算审计报告等咨询成果且委托人无异议后一个月内</w:t>
      </w:r>
      <w:r>
        <w:rPr>
          <w:rFonts w:hint="eastAsia" w:ascii="宋体" w:hAnsi="宋体" w:eastAsia="宋体" w:cs="宋体"/>
          <w:b/>
          <w:bCs/>
          <w:kern w:val="0"/>
          <w:sz w:val="22"/>
          <w:szCs w:val="22"/>
          <w:u w:val="single"/>
          <w:shd w:val="clear" w:fill="7F7F7F"/>
        </w:rPr>
        <w:t>一</w:t>
      </w:r>
      <w:r>
        <w:rPr>
          <w:rFonts w:hint="eastAsia" w:ascii="宋体" w:hAnsi="宋体" w:eastAsia="宋体" w:cs="宋体"/>
          <w:b/>
          <w:bCs/>
          <w:kern w:val="0"/>
          <w:sz w:val="22"/>
          <w:szCs w:val="22"/>
        </w:rPr>
        <w:t>次性付清。</w:t>
      </w:r>
    </w:p>
    <w:p w14:paraId="3A26F6EE">
      <w:pPr>
        <w:pStyle w:val="43"/>
        <w:widowControl/>
        <w:tabs>
          <w:tab w:val="left" w:pos="211"/>
        </w:tabs>
        <w:spacing w:line="470" w:lineRule="exact"/>
        <w:ind w:left="0" w:firstLine="540"/>
        <w:jc w:val="both"/>
        <w:rPr>
          <w:rFonts w:hint="eastAsia" w:ascii="宋体" w:hAnsi="宋体" w:eastAsia="宋体" w:cs="MingLiU"/>
          <w:kern w:val="0"/>
          <w:sz w:val="22"/>
          <w:szCs w:val="22"/>
        </w:rPr>
      </w:pPr>
      <w:r>
        <w:rPr>
          <w:rFonts w:hint="eastAsia" w:ascii="宋体" w:hAnsi="宋体" w:eastAsia="宋体" w:cs="宋体"/>
          <w:kern w:val="0"/>
          <w:sz w:val="22"/>
          <w:szCs w:val="22"/>
        </w:rPr>
        <w:t>第十二条双方同意用</w:t>
      </w:r>
      <w:r>
        <w:rPr>
          <w:rFonts w:hint="eastAsia" w:ascii="宋体" w:hAnsi="宋体" w:eastAsia="宋体" w:cs="宋体"/>
          <w:kern w:val="0"/>
          <w:sz w:val="22"/>
          <w:szCs w:val="22"/>
          <w:u w:val="single"/>
        </w:rPr>
        <w:t>人民币</w:t>
      </w:r>
      <w:r>
        <w:rPr>
          <w:rFonts w:hint="eastAsia" w:ascii="宋体" w:hAnsi="宋体" w:eastAsia="宋体" w:cs="宋体"/>
          <w:kern w:val="0"/>
          <w:sz w:val="22"/>
          <w:szCs w:val="22"/>
        </w:rPr>
        <w:t>支付酬金。</w:t>
      </w:r>
    </w:p>
    <w:p w14:paraId="5704A7B4">
      <w:pPr>
        <w:pStyle w:val="43"/>
        <w:widowControl/>
        <w:spacing w:line="470" w:lineRule="exact"/>
        <w:ind w:left="0" w:firstLine="540"/>
        <w:jc w:val="both"/>
        <w:rPr>
          <w:rFonts w:hint="eastAsia" w:ascii="宋体" w:hAnsi="宋体" w:eastAsia="宋体" w:cs="MingLiU"/>
          <w:kern w:val="0"/>
          <w:sz w:val="22"/>
          <w:szCs w:val="22"/>
          <w:highlight w:val="yellow"/>
        </w:rPr>
      </w:pPr>
      <w:r>
        <w:rPr>
          <w:rFonts w:hint="eastAsia" w:ascii="宋体" w:hAnsi="宋体" w:eastAsia="宋体" w:cs="宋体"/>
          <w:kern w:val="0"/>
          <w:sz w:val="22"/>
          <w:szCs w:val="22"/>
        </w:rPr>
        <w:t>第十三条咨询人依据造价行业主管部门及国家的有关规定及要求开展造价咨询工作，咨询质量满足委托方及行业主管的要求。咨询人提交的咨询成果报告须文字清晰整齐，有较强的可复查性。</w:t>
      </w:r>
    </w:p>
    <w:p w14:paraId="7C8270B9">
      <w:pPr>
        <w:pStyle w:val="43"/>
        <w:widowControl/>
        <w:spacing w:line="470" w:lineRule="exact"/>
        <w:jc w:val="both"/>
        <w:rPr>
          <w:rFonts w:hint="eastAsia" w:ascii="宋体" w:hAnsi="宋体" w:eastAsia="宋体" w:cs="MingLiU"/>
          <w:kern w:val="0"/>
          <w:sz w:val="22"/>
          <w:szCs w:val="22"/>
        </w:rPr>
      </w:pPr>
      <w:r>
        <w:rPr>
          <w:rFonts w:hint="eastAsia" w:ascii="宋体" w:hAnsi="宋体" w:eastAsia="宋体" w:cs="宋体"/>
          <w:kern w:val="0"/>
          <w:sz w:val="22"/>
          <w:szCs w:val="22"/>
        </w:rPr>
        <w:t>第十四条咨询人向委托人交纳的履约保证金人民币</w:t>
      </w:r>
      <w:r>
        <w:rPr>
          <w:rFonts w:hint="eastAsia" w:ascii="宋体" w:hAnsi="宋体" w:eastAsia="宋体" w:cs="宋体"/>
          <w:kern w:val="0"/>
          <w:sz w:val="22"/>
          <w:szCs w:val="22"/>
          <w:u w:val="single"/>
          <w:lang w:val="en-US" w:eastAsia="zh-CN"/>
        </w:rPr>
        <w:t>/</w:t>
      </w:r>
      <w:r>
        <w:rPr>
          <w:rFonts w:hint="eastAsia" w:ascii="宋体" w:hAnsi="宋体" w:eastAsia="宋体" w:cs="宋体"/>
          <w:kern w:val="0"/>
          <w:sz w:val="22"/>
          <w:szCs w:val="22"/>
        </w:rPr>
        <w:t>元整，如未违约，本合同完成后如数退还（无息）；如违约，履约保证金不退还。</w:t>
      </w:r>
    </w:p>
    <w:p w14:paraId="41ED92FB">
      <w:pPr>
        <w:pStyle w:val="43"/>
        <w:widowControl/>
        <w:spacing w:line="473" w:lineRule="exact"/>
        <w:ind w:left="0" w:firstLine="420"/>
        <w:jc w:val="both"/>
        <w:rPr>
          <w:rFonts w:hint="eastAsia" w:ascii="宋体" w:hAnsi="宋体" w:eastAsia="宋体" w:cs="MingLiU"/>
          <w:kern w:val="0"/>
          <w:sz w:val="22"/>
          <w:szCs w:val="22"/>
        </w:rPr>
      </w:pPr>
      <w:r>
        <w:rPr>
          <w:rFonts w:hint="eastAsia" w:ascii="宋体" w:hAnsi="宋体" w:eastAsia="宋体" w:cs="宋体"/>
          <w:kern w:val="0"/>
          <w:sz w:val="22"/>
          <w:szCs w:val="22"/>
        </w:rPr>
        <w:t>第十五条建设工程造价咨询合同在履行过程中发生争议，委托人与咨询人应及时协商解决；如未能达成一致，可提交有关主管部门调解；协商或调解不成的，可提交扬州市仲裁委员会仲裁解决或向扬州市人民法院提起诉讼。</w:t>
      </w:r>
    </w:p>
    <w:p w14:paraId="406F06DD">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br w:type="page"/>
      </w:r>
    </w:p>
    <w:p w14:paraId="2B44F390">
      <w:pPr>
        <w:pStyle w:val="43"/>
        <w:widowControl/>
        <w:spacing w:line="473" w:lineRule="exact"/>
        <w:ind w:left="0" w:firstLine="0"/>
        <w:jc w:val="center"/>
        <w:rPr>
          <w:rFonts w:hint="eastAsia" w:ascii="宋体" w:hAnsi="宋体" w:eastAsia="MingLiU" w:cs="宋体"/>
          <w:b/>
          <w:bCs/>
          <w:kern w:val="36"/>
          <w:sz w:val="36"/>
          <w:szCs w:val="36"/>
        </w:rPr>
      </w:pPr>
      <w:r>
        <w:rPr>
          <w:rFonts w:hint="default" w:ascii="MingLiU" w:hAnsi="MingLiU" w:eastAsia="MingLiU" w:cs="MingLiU"/>
          <w:b/>
          <w:bCs/>
          <w:kern w:val="36"/>
          <w:sz w:val="36"/>
          <w:szCs w:val="36"/>
        </w:rPr>
        <w:t>廉洁合作协议</w:t>
      </w:r>
    </w:p>
    <w:p w14:paraId="11B00D48">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b/>
          <w:bCs w:val="0"/>
          <w:kern w:val="0"/>
          <w:sz w:val="24"/>
          <w:szCs w:val="24"/>
        </w:rPr>
      </w:pPr>
      <w:r>
        <w:rPr>
          <w:rFonts w:hint="eastAsia" w:ascii="宋体" w:hAnsi="宋体" w:eastAsia="宋体" w:cs="宋体"/>
          <w:kern w:val="0"/>
          <w:sz w:val="24"/>
          <w:szCs w:val="24"/>
          <w:lang w:val="en-US" w:eastAsia="zh-CN" w:bidi="ar"/>
        </w:rPr>
        <w:t>甲方名称：</w:t>
      </w:r>
    </w:p>
    <w:p w14:paraId="5FEF8742">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乙方名称：</w:t>
      </w:r>
    </w:p>
    <w:p w14:paraId="176805AD">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在甲乙双方订立、履行合同过程中，为保持廉洁自律的工作作风，防止各种不正当行为的发生，甲乙双方订立协议如下：</w:t>
      </w:r>
    </w:p>
    <w:p w14:paraId="17D5F2F2">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一、甲乙双方应当自觉遵守国家、地方法律法规以及本协议的约定，在合同的订立、履行过程中廉洁自律。</w:t>
      </w:r>
    </w:p>
    <w:p w14:paraId="1AB671B6">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二、甲方工作人员严禁进行商业目的的统方，不得以任何形式向乙方索要和收受个人回扣等好处费。</w:t>
      </w:r>
    </w:p>
    <w:p w14:paraId="6D810645">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三、甲方工作人员应当保持与乙方的正常业务交往，不得接受乙方的礼金、有价证券和贵重物品，不得在乙方报销任何应由其个人承担的费用。</w:t>
      </w:r>
    </w:p>
    <w:p w14:paraId="78EF2F93">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四、甲方工作人员不得参加可能对公正开展业务有影响的宴请和娱乐活动。如甲方工作人员确因实际情况须参加宴请、进行娱乐活动的，须事先报上一级批准。</w:t>
      </w:r>
    </w:p>
    <w:p w14:paraId="39F75ACF">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五、甲方工作人员不得要求或者接受乙方为其住房装修、婚丧嫁娶、家属和子女的工作安排以及出国等提供方便。</w:t>
      </w:r>
    </w:p>
    <w:p w14:paraId="5E35E275">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六、乙方不得接受甲方工作人员介绍的家属或者亲友从事与合同相关的业务。</w:t>
      </w:r>
    </w:p>
    <w:p w14:paraId="4D4634EE">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3F07456F">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14:paraId="4F691FCF">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九、甲方发现乙方有违反本协议或者采用不正当的手段行贿甲方工作人员等不正当竞争行为的，甲方有权解除合同。</w:t>
      </w:r>
    </w:p>
    <w:p w14:paraId="19AFC1D5">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十、本廉洁协议作为合同的附件，与合同具有同等法律效力。经协议双方签署后立即生效。</w:t>
      </w:r>
    </w:p>
    <w:p w14:paraId="1E9E5792">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十一、本协议一式肆份，甲、乙双方各执贰份，从签订之日起生效。</w:t>
      </w:r>
    </w:p>
    <w:p w14:paraId="67079D62">
      <w:pPr>
        <w:pStyle w:val="15"/>
        <w:keepNext w:val="0"/>
        <w:keepLines w:val="0"/>
        <w:widowControl w:val="0"/>
        <w:suppressLineNumbers w:val="0"/>
        <w:tabs>
          <w:tab w:val="left" w:pos="780"/>
        </w:tabs>
        <w:spacing w:before="0" w:beforeAutospacing="1" w:after="0" w:afterAutospacing="1"/>
        <w:ind w:left="830" w:leftChars="200" w:right="-313" w:rightChars="-149" w:hanging="410" w:hangingChars="171"/>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736F70A9">
      <w:pPr>
        <w:keepNext w:val="0"/>
        <w:keepLines w:val="0"/>
        <w:widowControl w:val="0"/>
        <w:suppressLineNumbers w:val="0"/>
        <w:adjustRightInd w:val="0"/>
        <w:snapToGrid w:val="0"/>
        <w:spacing w:before="0" w:beforeAutospacing="0" w:after="0" w:afterAutospacing="0" w:line="440" w:lineRule="exact"/>
        <w:ind w:left="5280" w:right="-313" w:rightChars="-149" w:hanging="5280" w:hangingChars="2200"/>
        <w:contextualSpacing/>
        <w:jc w:val="both"/>
        <w:rPr>
          <w:rFonts w:hint="eastAsia" w:ascii="宋体" w:hAnsi="宋体" w:eastAsia="宋体" w:cs="宋体"/>
          <w:b/>
          <w:bCs w:val="0"/>
          <w:kern w:val="0"/>
          <w:sz w:val="24"/>
          <w:szCs w:val="24"/>
        </w:rPr>
      </w:pPr>
      <w:r>
        <w:rPr>
          <w:rFonts w:hint="eastAsia" w:ascii="宋体" w:hAnsi="宋体" w:eastAsia="宋体" w:cs="宋体"/>
          <w:kern w:val="0"/>
          <w:sz w:val="24"/>
          <w:szCs w:val="24"/>
          <w:lang w:val="en-US" w:eastAsia="zh-CN" w:bidi="ar"/>
        </w:rPr>
        <w:t xml:space="preserve">甲方：（盖章）     </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乙方：（盖章）</w:t>
      </w:r>
    </w:p>
    <w:p w14:paraId="4D0346C5">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法定代表人：                        法定代表人：</w:t>
      </w:r>
    </w:p>
    <w:p w14:paraId="3C145948">
      <w:pPr>
        <w:keepNext w:val="0"/>
        <w:keepLines w:val="0"/>
        <w:widowControl w:val="0"/>
        <w:suppressLineNumbers w:val="0"/>
        <w:adjustRightInd w:val="0"/>
        <w:snapToGrid w:val="0"/>
        <w:spacing w:before="0" w:beforeAutospacing="0" w:after="0" w:afterAutospacing="0" w:line="340" w:lineRule="exact"/>
        <w:ind w:left="-420" w:leftChars="-200" w:right="-313" w:rightChars="-149" w:firstLine="480" w:firstLineChars="200"/>
        <w:contextualSpacing/>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（或授权签约人）：                 （或授权签约人）：</w:t>
      </w:r>
    </w:p>
    <w:p w14:paraId="5017C5D5">
      <w:pPr>
        <w:pStyle w:val="15"/>
        <w:keepNext w:val="0"/>
        <w:keepLines w:val="0"/>
        <w:widowControl w:val="0"/>
        <w:suppressLineNumbers w:val="0"/>
        <w:tabs>
          <w:tab w:val="center" w:pos="4153"/>
          <w:tab w:val="right" w:pos="8306"/>
        </w:tabs>
        <w:snapToGrid w:val="0"/>
        <w:spacing w:before="0" w:beforeAutospacing="0" w:after="0" w:afterAutospacing="0"/>
        <w:ind w:left="0" w:right="-313" w:rightChars="-149"/>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4798B87">
      <w:pPr>
        <w:adjustRightInd w:val="0"/>
        <w:snapToGrid w:val="0"/>
        <w:spacing w:line="440" w:lineRule="exact"/>
        <w:contextualSpacing/>
        <w:jc w:val="both"/>
        <w:rPr>
          <w:rFonts w:ascii="宋体" w:hAnsi="宋体" w:cs="宋体"/>
          <w:szCs w:val="21"/>
        </w:rPr>
      </w:pPr>
      <w:r>
        <w:rPr>
          <w:rFonts w:hint="eastAsia" w:ascii="宋体" w:hAnsi="宋体" w:eastAsia="宋体" w:cs="宋体"/>
          <w:kern w:val="0"/>
          <w:sz w:val="24"/>
          <w:szCs w:val="24"/>
        </w:rPr>
        <w:t>日期:202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   月   日              日期：202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   月   日</w:t>
      </w:r>
    </w:p>
    <w:p w14:paraId="24C68093">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55A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49E0D05">
                          <w:pPr>
                            <w:pStyle w:val="12"/>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49E0D05">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9CA50"/>
    <w:multiLevelType w:val="multilevel"/>
    <w:tmpl w:val="B829CA50"/>
    <w:lvl w:ilvl="0" w:tentative="0">
      <w:start w:val="9"/>
      <w:numFmt w:val="chineseCounting"/>
      <w:suff w:val="space"/>
      <w:lvlText w:val="第%1条"/>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D27A7AA9"/>
    <w:multiLevelType w:val="multilevel"/>
    <w:tmpl w:val="D27A7AA9"/>
    <w:lvl w:ilvl="0" w:tentative="0">
      <w:start w:val="3"/>
      <w:numFmt w:val="japaneseCounting"/>
      <w:lvlText w:val="%1、"/>
      <w:lvlJc w:val="left"/>
      <w:pPr>
        <w:ind w:left="971" w:hanging="465"/>
      </w:pPr>
      <w:rPr>
        <w:rFonts w:hint="default" w:ascii="Times New Roman" w:hAnsi="Times New Roman" w:cs="Times New Roman"/>
      </w:rPr>
    </w:lvl>
    <w:lvl w:ilvl="1" w:tentative="0">
      <w:start w:val="1"/>
      <w:numFmt w:val="lowerLetter"/>
      <w:lvlText w:val="%2)"/>
      <w:lvlJc w:val="left"/>
      <w:pPr>
        <w:ind w:left="1346" w:hanging="420"/>
      </w:pPr>
      <w:rPr>
        <w:rFonts w:hint="default" w:ascii="Times New Roman" w:hAnsi="Times New Roman" w:cs="Times New Roman"/>
      </w:rPr>
    </w:lvl>
    <w:lvl w:ilvl="2" w:tentative="0">
      <w:start w:val="1"/>
      <w:numFmt w:val="lowerRoman"/>
      <w:lvlText w:val="%3."/>
      <w:lvlJc w:val="right"/>
      <w:pPr>
        <w:ind w:left="1766" w:hanging="420"/>
      </w:pPr>
      <w:rPr>
        <w:rFonts w:hint="default" w:ascii="Times New Roman" w:hAnsi="Times New Roman" w:cs="Times New Roman"/>
      </w:rPr>
    </w:lvl>
    <w:lvl w:ilvl="3" w:tentative="0">
      <w:start w:val="1"/>
      <w:numFmt w:val="decimal"/>
      <w:lvlText w:val="%4."/>
      <w:lvlJc w:val="left"/>
      <w:pPr>
        <w:ind w:left="2186" w:hanging="420"/>
      </w:pPr>
      <w:rPr>
        <w:rFonts w:hint="default" w:ascii="Times New Roman" w:hAnsi="Times New Roman" w:cs="Times New Roman"/>
      </w:rPr>
    </w:lvl>
    <w:lvl w:ilvl="4" w:tentative="0">
      <w:start w:val="1"/>
      <w:numFmt w:val="lowerLetter"/>
      <w:lvlText w:val="%5)"/>
      <w:lvlJc w:val="left"/>
      <w:pPr>
        <w:ind w:left="2606" w:hanging="420"/>
      </w:pPr>
      <w:rPr>
        <w:rFonts w:hint="default" w:ascii="Times New Roman" w:hAnsi="Times New Roman" w:cs="Times New Roman"/>
      </w:rPr>
    </w:lvl>
    <w:lvl w:ilvl="5" w:tentative="0">
      <w:start w:val="1"/>
      <w:numFmt w:val="lowerRoman"/>
      <w:lvlText w:val="%6."/>
      <w:lvlJc w:val="right"/>
      <w:pPr>
        <w:ind w:left="3026" w:hanging="420"/>
      </w:pPr>
      <w:rPr>
        <w:rFonts w:hint="default" w:ascii="Times New Roman" w:hAnsi="Times New Roman" w:cs="Times New Roman"/>
      </w:rPr>
    </w:lvl>
    <w:lvl w:ilvl="6" w:tentative="0">
      <w:start w:val="1"/>
      <w:numFmt w:val="decimal"/>
      <w:lvlText w:val="%7."/>
      <w:lvlJc w:val="left"/>
      <w:pPr>
        <w:ind w:left="3446" w:hanging="420"/>
      </w:pPr>
      <w:rPr>
        <w:rFonts w:hint="default" w:ascii="Times New Roman" w:hAnsi="Times New Roman" w:cs="Times New Roman"/>
      </w:rPr>
    </w:lvl>
    <w:lvl w:ilvl="7" w:tentative="0">
      <w:start w:val="1"/>
      <w:numFmt w:val="lowerLetter"/>
      <w:lvlText w:val="%8)"/>
      <w:lvlJc w:val="left"/>
      <w:pPr>
        <w:ind w:left="3866" w:hanging="420"/>
      </w:pPr>
      <w:rPr>
        <w:rFonts w:hint="default" w:ascii="Times New Roman" w:hAnsi="Times New Roman" w:cs="Times New Roman"/>
      </w:rPr>
    </w:lvl>
    <w:lvl w:ilvl="8" w:tentative="0">
      <w:start w:val="1"/>
      <w:numFmt w:val="lowerRoman"/>
      <w:lvlText w:val="%9."/>
      <w:lvlJc w:val="right"/>
      <w:pPr>
        <w:ind w:left="4286" w:hanging="420"/>
      </w:pPr>
      <w:rPr>
        <w:rFonts w:hint="default" w:ascii="Times New Roman" w:hAnsi="Times New Roman" w:cs="Times New Roman"/>
      </w:rPr>
    </w:lvl>
  </w:abstractNum>
  <w:abstractNum w:abstractNumId="2">
    <w:nsid w:val="E0685993"/>
    <w:multiLevelType w:val="multilevel"/>
    <w:tmpl w:val="E0685993"/>
    <w:lvl w:ilvl="0" w:tentative="0">
      <w:start w:val="1"/>
      <w:numFmt w:val="decimal"/>
      <w:lvlText w:val="%1、"/>
      <w:lvlJc w:val="left"/>
      <w:pPr>
        <w:ind w:left="760" w:hanging="360"/>
      </w:pPr>
      <w:rPr>
        <w:rFonts w:hint="default" w:ascii="Times New Roman" w:hAnsi="Times New Roman" w:eastAsia="宋体" w:cs="Times New Roman"/>
      </w:rPr>
    </w:lvl>
    <w:lvl w:ilvl="1" w:tentative="0">
      <w:start w:val="1"/>
      <w:numFmt w:val="lowerLetter"/>
      <w:lvlText w:val="%2)"/>
      <w:lvlJc w:val="left"/>
      <w:pPr>
        <w:ind w:left="1240" w:hanging="420"/>
      </w:pPr>
      <w:rPr>
        <w:rFonts w:hint="default" w:ascii="Times New Roman" w:hAnsi="Times New Roman" w:cs="Times New Roman"/>
      </w:rPr>
    </w:lvl>
    <w:lvl w:ilvl="2" w:tentative="0">
      <w:start w:val="1"/>
      <w:numFmt w:val="lowerRoman"/>
      <w:lvlText w:val="%3."/>
      <w:lvlJc w:val="right"/>
      <w:pPr>
        <w:ind w:left="1660" w:hanging="420"/>
      </w:pPr>
      <w:rPr>
        <w:rFonts w:hint="default" w:ascii="Times New Roman" w:hAnsi="Times New Roman" w:cs="Times New Roman"/>
      </w:rPr>
    </w:lvl>
    <w:lvl w:ilvl="3" w:tentative="0">
      <w:start w:val="1"/>
      <w:numFmt w:val="decimal"/>
      <w:lvlText w:val="%4."/>
      <w:lvlJc w:val="left"/>
      <w:pPr>
        <w:ind w:left="2080" w:hanging="420"/>
      </w:pPr>
      <w:rPr>
        <w:rFonts w:hint="default" w:ascii="Times New Roman" w:hAnsi="Times New Roman" w:cs="Times New Roman"/>
      </w:rPr>
    </w:lvl>
    <w:lvl w:ilvl="4" w:tentative="0">
      <w:start w:val="1"/>
      <w:numFmt w:val="lowerLetter"/>
      <w:lvlText w:val="%5)"/>
      <w:lvlJc w:val="left"/>
      <w:pPr>
        <w:ind w:left="2500" w:hanging="420"/>
      </w:pPr>
      <w:rPr>
        <w:rFonts w:hint="default" w:ascii="Times New Roman" w:hAnsi="Times New Roman" w:cs="Times New Roman"/>
      </w:rPr>
    </w:lvl>
    <w:lvl w:ilvl="5" w:tentative="0">
      <w:start w:val="1"/>
      <w:numFmt w:val="lowerRoman"/>
      <w:lvlText w:val="%6."/>
      <w:lvlJc w:val="right"/>
      <w:pPr>
        <w:ind w:left="2920" w:hanging="420"/>
      </w:pPr>
      <w:rPr>
        <w:rFonts w:hint="default" w:ascii="Times New Roman" w:hAnsi="Times New Roman" w:cs="Times New Roman"/>
      </w:rPr>
    </w:lvl>
    <w:lvl w:ilvl="6" w:tentative="0">
      <w:start w:val="1"/>
      <w:numFmt w:val="decimal"/>
      <w:lvlText w:val="%7."/>
      <w:lvlJc w:val="left"/>
      <w:pPr>
        <w:ind w:left="3340" w:hanging="420"/>
      </w:pPr>
      <w:rPr>
        <w:rFonts w:hint="default" w:ascii="Times New Roman" w:hAnsi="Times New Roman" w:cs="Times New Roman"/>
      </w:rPr>
    </w:lvl>
    <w:lvl w:ilvl="7" w:tentative="0">
      <w:start w:val="1"/>
      <w:numFmt w:val="lowerLetter"/>
      <w:lvlText w:val="%8)"/>
      <w:lvlJc w:val="left"/>
      <w:pPr>
        <w:ind w:left="3760" w:hanging="420"/>
      </w:pPr>
      <w:rPr>
        <w:rFonts w:hint="default" w:ascii="Times New Roman" w:hAnsi="Times New Roman" w:cs="Times New Roman"/>
      </w:rPr>
    </w:lvl>
    <w:lvl w:ilvl="8" w:tentative="0">
      <w:start w:val="1"/>
      <w:numFmt w:val="lowerRoman"/>
      <w:lvlText w:val="%9."/>
      <w:lvlJc w:val="right"/>
      <w:pPr>
        <w:ind w:left="4180" w:hanging="420"/>
      </w:pPr>
      <w:rPr>
        <w:rFonts w:hint="default" w:ascii="Times New Roman" w:hAnsi="Times New Roman" w:cs="Times New Roman"/>
      </w:rPr>
    </w:lvl>
  </w:abstractNum>
  <w:abstractNum w:abstractNumId="3">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4">
    <w:nsid w:val="26FF7AA2"/>
    <w:multiLevelType w:val="multilevel"/>
    <w:tmpl w:val="26FF7AA2"/>
    <w:lvl w:ilvl="0" w:tentative="0">
      <w:start w:val="1"/>
      <w:numFmt w:val="decimal"/>
      <w:lvlText w:val="%1."/>
      <w:lvlJc w:val="left"/>
      <w:pPr>
        <w:ind w:left="0" w:firstLine="0"/>
      </w:pPr>
      <w:rPr>
        <w:rFonts w:hint="eastAsia" w:ascii="宋体" w:hAnsi="宋体" w:eastAsia="宋体" w:cs="宋体"/>
        <w:b w:val="0"/>
        <w:bCs w:val="0"/>
        <w:i w:val="0"/>
        <w:iCs w:val="0"/>
        <w:color w:val="000000"/>
        <w:spacing w:val="0"/>
        <w:w w:val="100"/>
        <w:sz w:val="24"/>
        <w:szCs w:val="24"/>
      </w:rPr>
    </w:lvl>
    <w:lvl w:ilvl="1" w:tentative="0">
      <w:start w:val="0"/>
      <w:numFmt w:val="decimal"/>
      <w:lvlText w:val="%2."/>
      <w:lvlJc w:val="left"/>
      <w:pPr>
        <w:ind w:left="1440"/>
      </w:pPr>
    </w:lvl>
    <w:lvl w:ilvl="2" w:tentative="0">
      <w:start w:val="0"/>
      <w:numFmt w:val="decimal"/>
      <w:lvlText w:val="%3."/>
      <w:lvlJc w:val="left"/>
      <w:pPr>
        <w:ind w:left="2160"/>
      </w:pPr>
    </w:lvl>
    <w:lvl w:ilvl="3" w:tentative="0">
      <w:start w:val="0"/>
      <w:numFmt w:val="decimal"/>
      <w:lvlText w:val="%4."/>
      <w:lvlJc w:val="left"/>
      <w:pPr>
        <w:ind w:left="2880"/>
      </w:pPr>
    </w:lvl>
    <w:lvl w:ilvl="4" w:tentative="0">
      <w:start w:val="0"/>
      <w:numFmt w:val="decimal"/>
      <w:lvlText w:val="%5."/>
      <w:lvlJc w:val="left"/>
      <w:pPr>
        <w:ind w:left="3600"/>
      </w:pPr>
    </w:lvl>
    <w:lvl w:ilvl="5" w:tentative="0">
      <w:start w:val="0"/>
      <w:numFmt w:val="decimal"/>
      <w:lvlText w:val="%6."/>
      <w:lvlJc w:val="left"/>
      <w:pPr>
        <w:ind w:left="4320"/>
      </w:pPr>
    </w:lvl>
    <w:lvl w:ilvl="6" w:tentative="0">
      <w:start w:val="0"/>
      <w:numFmt w:val="decimal"/>
      <w:lvlText w:val="%7."/>
      <w:lvlJc w:val="left"/>
      <w:pPr>
        <w:ind w:left="5040"/>
      </w:pPr>
    </w:lvl>
    <w:lvl w:ilvl="7" w:tentative="0">
      <w:start w:val="0"/>
      <w:numFmt w:val="decimal"/>
      <w:lvlText w:val="%8."/>
      <w:lvlJc w:val="left"/>
      <w:pPr>
        <w:ind w:left="5760"/>
      </w:pPr>
    </w:lvl>
    <w:lvl w:ilvl="8" w:tentative="0">
      <w:start w:val="0"/>
      <w:numFmt w:val="decimal"/>
      <w:lvlText w:val="%9."/>
      <w:lvlJc w:val="left"/>
      <w:pPr>
        <w:ind w:left="6480"/>
      </w:pPr>
    </w:lvl>
  </w:abstractNum>
  <w:abstractNum w:abstractNumId="5">
    <w:nsid w:val="36AF2642"/>
    <w:multiLevelType w:val="multilevel"/>
    <w:tmpl w:val="36AF2642"/>
    <w:lvl w:ilvl="0" w:tentative="0">
      <w:start w:val="1"/>
      <w:numFmt w:val="japaneseCounting"/>
      <w:lvlText w:val="（%1）"/>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C7D1D7C"/>
    <w:multiLevelType w:val="multilevel"/>
    <w:tmpl w:val="4C7D1D7C"/>
    <w:lvl w:ilvl="0" w:tentative="0">
      <w:start w:val="2"/>
      <w:numFmt w:val="decimal"/>
      <w:lvlText w:val="%1、"/>
      <w:lvlJc w:val="left"/>
      <w:pPr>
        <w:ind w:left="900" w:hanging="360"/>
      </w:pPr>
      <w:rPr>
        <w:rFonts w:hint="default" w:ascii="Times New Roman" w:hAnsi="Times New Roman" w:eastAsia="宋体" w:cs="Times New Roman"/>
      </w:rPr>
    </w:lvl>
    <w:lvl w:ilvl="1" w:tentative="0">
      <w:start w:val="1"/>
      <w:numFmt w:val="lowerLetter"/>
      <w:lvlText w:val="%2)"/>
      <w:lvlJc w:val="left"/>
      <w:pPr>
        <w:ind w:left="1380" w:hanging="420"/>
      </w:pPr>
      <w:rPr>
        <w:rFonts w:hint="default" w:ascii="Times New Roman" w:hAnsi="Times New Roman" w:cs="Times New Roman"/>
      </w:rPr>
    </w:lvl>
    <w:lvl w:ilvl="2" w:tentative="0">
      <w:start w:val="1"/>
      <w:numFmt w:val="lowerRoman"/>
      <w:lvlText w:val="%3."/>
      <w:lvlJc w:val="right"/>
      <w:pPr>
        <w:ind w:left="1800" w:hanging="420"/>
      </w:pPr>
      <w:rPr>
        <w:rFonts w:hint="default" w:ascii="Times New Roman" w:hAnsi="Times New Roman" w:cs="Times New Roman"/>
      </w:rPr>
    </w:lvl>
    <w:lvl w:ilvl="3" w:tentative="0">
      <w:start w:val="1"/>
      <w:numFmt w:val="decimal"/>
      <w:lvlText w:val="%4."/>
      <w:lvlJc w:val="left"/>
      <w:pPr>
        <w:ind w:left="2220" w:hanging="420"/>
      </w:pPr>
      <w:rPr>
        <w:rFonts w:hint="default" w:ascii="Times New Roman" w:hAnsi="Times New Roman" w:cs="Times New Roman"/>
      </w:rPr>
    </w:lvl>
    <w:lvl w:ilvl="4" w:tentative="0">
      <w:start w:val="1"/>
      <w:numFmt w:val="lowerLetter"/>
      <w:lvlText w:val="%5)"/>
      <w:lvlJc w:val="left"/>
      <w:pPr>
        <w:ind w:left="2640" w:hanging="420"/>
      </w:pPr>
      <w:rPr>
        <w:rFonts w:hint="default" w:ascii="Times New Roman" w:hAnsi="Times New Roman" w:cs="Times New Roman"/>
      </w:rPr>
    </w:lvl>
    <w:lvl w:ilvl="5" w:tentative="0">
      <w:start w:val="1"/>
      <w:numFmt w:val="lowerRoman"/>
      <w:lvlText w:val="%6."/>
      <w:lvlJc w:val="right"/>
      <w:pPr>
        <w:ind w:left="3060" w:hanging="420"/>
      </w:pPr>
      <w:rPr>
        <w:rFonts w:hint="default" w:ascii="Times New Roman" w:hAnsi="Times New Roman" w:cs="Times New Roman"/>
      </w:rPr>
    </w:lvl>
    <w:lvl w:ilvl="6" w:tentative="0">
      <w:start w:val="1"/>
      <w:numFmt w:val="decimal"/>
      <w:lvlText w:val="%7."/>
      <w:lvlJc w:val="left"/>
      <w:pPr>
        <w:ind w:left="3480" w:hanging="420"/>
      </w:pPr>
      <w:rPr>
        <w:rFonts w:hint="default" w:ascii="Times New Roman" w:hAnsi="Times New Roman" w:cs="Times New Roman"/>
      </w:rPr>
    </w:lvl>
    <w:lvl w:ilvl="7" w:tentative="0">
      <w:start w:val="1"/>
      <w:numFmt w:val="lowerLetter"/>
      <w:lvlText w:val="%8)"/>
      <w:lvlJc w:val="left"/>
      <w:pPr>
        <w:ind w:left="3900" w:hanging="420"/>
      </w:pPr>
      <w:rPr>
        <w:rFonts w:hint="default" w:ascii="Times New Roman" w:hAnsi="Times New Roman" w:cs="Times New Roman"/>
      </w:rPr>
    </w:lvl>
    <w:lvl w:ilvl="8" w:tentative="0">
      <w:start w:val="1"/>
      <w:numFmt w:val="lowerRoman"/>
      <w:lvlText w:val="%9."/>
      <w:lvlJc w:val="right"/>
      <w:pPr>
        <w:ind w:left="4320" w:hanging="420"/>
      </w:pPr>
      <w:rPr>
        <w:rFonts w:hint="default" w:ascii="Times New Roman" w:hAnsi="Times New Roman" w:cs="Times New Roman"/>
      </w:rPr>
    </w:lvl>
  </w:abstractNum>
  <w:abstractNum w:abstractNumId="7">
    <w:nsid w:val="4E52A6DB"/>
    <w:multiLevelType w:val="multilevel"/>
    <w:tmpl w:val="4E52A6DB"/>
    <w:lvl w:ilvl="0" w:tentative="0">
      <w:start w:val="7"/>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53DAA0BC"/>
    <w:multiLevelType w:val="multilevel"/>
    <w:tmpl w:val="53DAA0BC"/>
    <w:lvl w:ilvl="0" w:tentative="0">
      <w:start w:val="1"/>
      <w:numFmt w:val="decimal"/>
      <w:lvlText w:val="%1."/>
      <w:lvlJc w:val="left"/>
      <w:pPr>
        <w:ind w:left="0" w:firstLine="0"/>
      </w:pPr>
      <w:rPr>
        <w:rFonts w:hint="eastAsia" w:ascii="宋体" w:hAnsi="宋体" w:eastAsia="宋体" w:cs="宋体"/>
        <w:b w:val="0"/>
        <w:bCs w:val="0"/>
        <w:i w:val="0"/>
        <w:iCs w:val="0"/>
        <w:color w:val="000000"/>
        <w:spacing w:val="0"/>
        <w:w w:val="100"/>
        <w:sz w:val="24"/>
        <w:szCs w:val="24"/>
      </w:rPr>
    </w:lvl>
    <w:lvl w:ilvl="1" w:tentative="0">
      <w:start w:val="0"/>
      <w:numFmt w:val="decimal"/>
      <w:lvlText w:val="%2."/>
      <w:lvlJc w:val="left"/>
      <w:pPr>
        <w:ind w:left="1440"/>
      </w:pPr>
    </w:lvl>
    <w:lvl w:ilvl="2" w:tentative="0">
      <w:start w:val="0"/>
      <w:numFmt w:val="decimal"/>
      <w:lvlText w:val="%3."/>
      <w:lvlJc w:val="left"/>
      <w:pPr>
        <w:ind w:left="2160"/>
      </w:pPr>
    </w:lvl>
    <w:lvl w:ilvl="3" w:tentative="0">
      <w:start w:val="0"/>
      <w:numFmt w:val="decimal"/>
      <w:lvlText w:val="%4."/>
      <w:lvlJc w:val="left"/>
      <w:pPr>
        <w:ind w:left="2880"/>
      </w:pPr>
    </w:lvl>
    <w:lvl w:ilvl="4" w:tentative="0">
      <w:start w:val="0"/>
      <w:numFmt w:val="decimal"/>
      <w:lvlText w:val="%5."/>
      <w:lvlJc w:val="left"/>
      <w:pPr>
        <w:ind w:left="3600"/>
      </w:pPr>
    </w:lvl>
    <w:lvl w:ilvl="5" w:tentative="0">
      <w:start w:val="0"/>
      <w:numFmt w:val="decimal"/>
      <w:lvlText w:val="%6."/>
      <w:lvlJc w:val="left"/>
      <w:pPr>
        <w:ind w:left="4320"/>
      </w:pPr>
    </w:lvl>
    <w:lvl w:ilvl="6" w:tentative="0">
      <w:start w:val="0"/>
      <w:numFmt w:val="decimal"/>
      <w:lvlText w:val="%7."/>
      <w:lvlJc w:val="left"/>
      <w:pPr>
        <w:ind w:left="5040"/>
      </w:pPr>
    </w:lvl>
    <w:lvl w:ilvl="7" w:tentative="0">
      <w:start w:val="0"/>
      <w:numFmt w:val="decimal"/>
      <w:lvlText w:val="%8."/>
      <w:lvlJc w:val="left"/>
      <w:pPr>
        <w:ind w:left="5760"/>
      </w:pPr>
    </w:lvl>
    <w:lvl w:ilvl="8" w:tentative="0">
      <w:start w:val="0"/>
      <w:numFmt w:val="decimal"/>
      <w:lvlText w:val="%9."/>
      <w:lvlJc w:val="left"/>
      <w:pPr>
        <w:ind w:left="6480"/>
      </w:pPr>
    </w:lvl>
  </w:abstractNum>
  <w:abstractNum w:abstractNumId="9">
    <w:nsid w:val="558160C8"/>
    <w:multiLevelType w:val="multilevel"/>
    <w:tmpl w:val="558160C8"/>
    <w:lvl w:ilvl="0" w:tentative="0">
      <w:start w:val="2"/>
      <w:numFmt w:val="chineseCounting"/>
      <w:suff w:val="space"/>
      <w:lvlText w:val="第%1条"/>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
    <w:nsid w:val="74FD495F"/>
    <w:multiLevelType w:val="multilevel"/>
    <w:tmpl w:val="74FD495F"/>
    <w:lvl w:ilvl="0" w:tentative="0">
      <w:start w:val="1"/>
      <w:numFmt w:val="decimal"/>
      <w:lvlText w:val="%1."/>
      <w:lvlJc w:val="left"/>
      <w:pPr>
        <w:shd w:val="clear" w:fill="FFFFFF"/>
        <w:ind w:left="0" w:firstLine="0"/>
      </w:pPr>
      <w:rPr>
        <w:rFonts w:hint="eastAsia" w:ascii="宋体" w:hAnsi="宋体" w:eastAsia="宋体" w:cs="宋体"/>
        <w:b w:val="0"/>
        <w:bCs w:val="0"/>
        <w:i w:val="0"/>
        <w:iCs w:val="0"/>
        <w:color w:val="000000"/>
        <w:spacing w:val="0"/>
        <w:w w:val="100"/>
        <w:sz w:val="24"/>
        <w:szCs w:val="24"/>
      </w:rPr>
    </w:lvl>
    <w:lvl w:ilvl="1" w:tentative="0">
      <w:start w:val="0"/>
      <w:numFmt w:val="decimal"/>
      <w:lvlText w:val="%2."/>
      <w:lvlJc w:val="left"/>
      <w:pPr>
        <w:ind w:left="1440"/>
      </w:pPr>
    </w:lvl>
    <w:lvl w:ilvl="2" w:tentative="0">
      <w:start w:val="0"/>
      <w:numFmt w:val="decimal"/>
      <w:lvlText w:val="%3."/>
      <w:lvlJc w:val="left"/>
      <w:pPr>
        <w:ind w:left="2160"/>
      </w:pPr>
    </w:lvl>
    <w:lvl w:ilvl="3" w:tentative="0">
      <w:start w:val="0"/>
      <w:numFmt w:val="decimal"/>
      <w:lvlText w:val="%4."/>
      <w:lvlJc w:val="left"/>
      <w:pPr>
        <w:ind w:left="2880"/>
      </w:pPr>
    </w:lvl>
    <w:lvl w:ilvl="4" w:tentative="0">
      <w:start w:val="0"/>
      <w:numFmt w:val="decimal"/>
      <w:lvlText w:val="%5."/>
      <w:lvlJc w:val="left"/>
      <w:pPr>
        <w:ind w:left="3600"/>
      </w:pPr>
    </w:lvl>
    <w:lvl w:ilvl="5" w:tentative="0">
      <w:start w:val="0"/>
      <w:numFmt w:val="decimal"/>
      <w:lvlText w:val="%6."/>
      <w:lvlJc w:val="left"/>
      <w:pPr>
        <w:ind w:left="4320"/>
      </w:pPr>
    </w:lvl>
    <w:lvl w:ilvl="6" w:tentative="0">
      <w:start w:val="0"/>
      <w:numFmt w:val="decimal"/>
      <w:lvlText w:val="%7."/>
      <w:lvlJc w:val="left"/>
      <w:pPr>
        <w:ind w:left="5040"/>
      </w:pPr>
    </w:lvl>
    <w:lvl w:ilvl="7" w:tentative="0">
      <w:start w:val="0"/>
      <w:numFmt w:val="decimal"/>
      <w:lvlText w:val="%8."/>
      <w:lvlJc w:val="left"/>
      <w:pPr>
        <w:ind w:left="5760"/>
      </w:pPr>
    </w:lvl>
    <w:lvl w:ilvl="8" w:tentative="0">
      <w:start w:val="0"/>
      <w:numFmt w:val="decimal"/>
      <w:lvlText w:val="%9."/>
      <w:lvlJc w:val="left"/>
      <w:pPr>
        <w:ind w:left="6480"/>
      </w:pPr>
    </w:lvl>
  </w:abstractNum>
  <w:num w:numId="1">
    <w:abstractNumId w:val="3"/>
  </w:num>
  <w:num w:numId="2">
    <w:abstractNumId w:val="5"/>
  </w:num>
  <w:num w:numId="3">
    <w:abstractNumId w:val="10"/>
  </w:num>
  <w:num w:numId="4">
    <w:abstractNumId w:val="1"/>
  </w:num>
  <w:num w:numId="5">
    <w:abstractNumId w:val="2"/>
  </w:num>
  <w:num w:numId="6">
    <w:abstractNumId w:val="7"/>
  </w:num>
  <w:num w:numId="7">
    <w:abstractNumId w:val="0"/>
  </w:num>
  <w:num w:numId="8">
    <w:abstractNumId w:val="4"/>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B46BA"/>
    <w:rsid w:val="000B7F05"/>
    <w:rsid w:val="000C1A1A"/>
    <w:rsid w:val="000C7F60"/>
    <w:rsid w:val="000D11F7"/>
    <w:rsid w:val="000D3A72"/>
    <w:rsid w:val="000D7D67"/>
    <w:rsid w:val="000E272B"/>
    <w:rsid w:val="000E2C22"/>
    <w:rsid w:val="000E30E3"/>
    <w:rsid w:val="000E59BA"/>
    <w:rsid w:val="000E7674"/>
    <w:rsid w:val="000F024B"/>
    <w:rsid w:val="000F422C"/>
    <w:rsid w:val="0010016D"/>
    <w:rsid w:val="00104F2F"/>
    <w:rsid w:val="00111536"/>
    <w:rsid w:val="00124491"/>
    <w:rsid w:val="00125825"/>
    <w:rsid w:val="00127867"/>
    <w:rsid w:val="0013376F"/>
    <w:rsid w:val="00134368"/>
    <w:rsid w:val="00145BEE"/>
    <w:rsid w:val="00150613"/>
    <w:rsid w:val="001526C2"/>
    <w:rsid w:val="00161C61"/>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71525"/>
    <w:rsid w:val="0048158E"/>
    <w:rsid w:val="00482177"/>
    <w:rsid w:val="00482E4A"/>
    <w:rsid w:val="0048317A"/>
    <w:rsid w:val="0049765D"/>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5F26"/>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5BD"/>
    <w:rsid w:val="00635D9C"/>
    <w:rsid w:val="006370BA"/>
    <w:rsid w:val="00641FA5"/>
    <w:rsid w:val="006464B7"/>
    <w:rsid w:val="00654FF5"/>
    <w:rsid w:val="00655AF6"/>
    <w:rsid w:val="0066795B"/>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8733D"/>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312D"/>
    <w:rsid w:val="0098477F"/>
    <w:rsid w:val="009A3578"/>
    <w:rsid w:val="009A71F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62702"/>
    <w:rsid w:val="00A70EF7"/>
    <w:rsid w:val="00A71F16"/>
    <w:rsid w:val="00A73596"/>
    <w:rsid w:val="00A7374E"/>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D3B7B"/>
    <w:rsid w:val="00AE1102"/>
    <w:rsid w:val="00AE28DC"/>
    <w:rsid w:val="00AE42C4"/>
    <w:rsid w:val="00AE690B"/>
    <w:rsid w:val="00AF193B"/>
    <w:rsid w:val="00B064FC"/>
    <w:rsid w:val="00B13F45"/>
    <w:rsid w:val="00B16EA8"/>
    <w:rsid w:val="00B2156F"/>
    <w:rsid w:val="00B22B0E"/>
    <w:rsid w:val="00B250D9"/>
    <w:rsid w:val="00B34025"/>
    <w:rsid w:val="00B346B4"/>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4FEB"/>
    <w:rsid w:val="00BF5F52"/>
    <w:rsid w:val="00BF6079"/>
    <w:rsid w:val="00BF611F"/>
    <w:rsid w:val="00BF6130"/>
    <w:rsid w:val="00C11035"/>
    <w:rsid w:val="00C1371A"/>
    <w:rsid w:val="00C141E6"/>
    <w:rsid w:val="00C21443"/>
    <w:rsid w:val="00C2726A"/>
    <w:rsid w:val="00C30B44"/>
    <w:rsid w:val="00C34CC5"/>
    <w:rsid w:val="00C35850"/>
    <w:rsid w:val="00C51ED4"/>
    <w:rsid w:val="00C5611B"/>
    <w:rsid w:val="00C57486"/>
    <w:rsid w:val="00C6274D"/>
    <w:rsid w:val="00C64A0B"/>
    <w:rsid w:val="00C64E20"/>
    <w:rsid w:val="00C81765"/>
    <w:rsid w:val="00C8217D"/>
    <w:rsid w:val="00C83611"/>
    <w:rsid w:val="00C83D9E"/>
    <w:rsid w:val="00C936CE"/>
    <w:rsid w:val="00C94F9E"/>
    <w:rsid w:val="00CA3878"/>
    <w:rsid w:val="00CA6ADD"/>
    <w:rsid w:val="00CA7D47"/>
    <w:rsid w:val="00CB157B"/>
    <w:rsid w:val="00CC2972"/>
    <w:rsid w:val="00CC390B"/>
    <w:rsid w:val="00CC6649"/>
    <w:rsid w:val="00CD24B8"/>
    <w:rsid w:val="00CE3219"/>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647D"/>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5AC7"/>
    <w:rsid w:val="00FF0F1A"/>
    <w:rsid w:val="00FF6AD6"/>
    <w:rsid w:val="010C2544"/>
    <w:rsid w:val="016043AA"/>
    <w:rsid w:val="01613449"/>
    <w:rsid w:val="01DF79C5"/>
    <w:rsid w:val="01F114A6"/>
    <w:rsid w:val="02217FDE"/>
    <w:rsid w:val="02641C78"/>
    <w:rsid w:val="026F3BE4"/>
    <w:rsid w:val="02872ED6"/>
    <w:rsid w:val="02D54924"/>
    <w:rsid w:val="03022BC6"/>
    <w:rsid w:val="034D4BC8"/>
    <w:rsid w:val="03681C3C"/>
    <w:rsid w:val="03F60FF6"/>
    <w:rsid w:val="043D4E77"/>
    <w:rsid w:val="048E56D2"/>
    <w:rsid w:val="049520F1"/>
    <w:rsid w:val="04E61983"/>
    <w:rsid w:val="04F93EF7"/>
    <w:rsid w:val="053E3F8C"/>
    <w:rsid w:val="056C012F"/>
    <w:rsid w:val="057B5C57"/>
    <w:rsid w:val="05850883"/>
    <w:rsid w:val="05AF76AE"/>
    <w:rsid w:val="0623162F"/>
    <w:rsid w:val="06393A45"/>
    <w:rsid w:val="06835001"/>
    <w:rsid w:val="07091040"/>
    <w:rsid w:val="076B50BC"/>
    <w:rsid w:val="07CD3AA2"/>
    <w:rsid w:val="083E37C8"/>
    <w:rsid w:val="087150EF"/>
    <w:rsid w:val="08A54D99"/>
    <w:rsid w:val="08BC0A60"/>
    <w:rsid w:val="0907213E"/>
    <w:rsid w:val="09572537"/>
    <w:rsid w:val="09D21BBD"/>
    <w:rsid w:val="0A140428"/>
    <w:rsid w:val="0A157CFC"/>
    <w:rsid w:val="0A4E393A"/>
    <w:rsid w:val="0A9357F1"/>
    <w:rsid w:val="0A951569"/>
    <w:rsid w:val="0ABE2142"/>
    <w:rsid w:val="0AD64E6D"/>
    <w:rsid w:val="0B095AB3"/>
    <w:rsid w:val="0B3C19E4"/>
    <w:rsid w:val="0BE26932"/>
    <w:rsid w:val="0BE47D69"/>
    <w:rsid w:val="0BED7182"/>
    <w:rsid w:val="0C006EB6"/>
    <w:rsid w:val="0C067990"/>
    <w:rsid w:val="0C4A2728"/>
    <w:rsid w:val="0C5D60B6"/>
    <w:rsid w:val="0CF140C8"/>
    <w:rsid w:val="0D077DD0"/>
    <w:rsid w:val="0D0C188A"/>
    <w:rsid w:val="0D1D6B9E"/>
    <w:rsid w:val="0D2E16CF"/>
    <w:rsid w:val="0D2F22E2"/>
    <w:rsid w:val="0D4515B4"/>
    <w:rsid w:val="0D765A45"/>
    <w:rsid w:val="0D9773A6"/>
    <w:rsid w:val="0DA87805"/>
    <w:rsid w:val="0E06277D"/>
    <w:rsid w:val="0E126F52"/>
    <w:rsid w:val="0E2A13BF"/>
    <w:rsid w:val="0E43308A"/>
    <w:rsid w:val="0EA24254"/>
    <w:rsid w:val="0EE42777"/>
    <w:rsid w:val="0F2B249C"/>
    <w:rsid w:val="0F8E6586"/>
    <w:rsid w:val="0FB75ADD"/>
    <w:rsid w:val="0FD50659"/>
    <w:rsid w:val="0FE443F8"/>
    <w:rsid w:val="102D2243"/>
    <w:rsid w:val="1102722C"/>
    <w:rsid w:val="110961DE"/>
    <w:rsid w:val="111B6540"/>
    <w:rsid w:val="112453F4"/>
    <w:rsid w:val="118916FB"/>
    <w:rsid w:val="11AB0FF2"/>
    <w:rsid w:val="11B60016"/>
    <w:rsid w:val="12172744"/>
    <w:rsid w:val="125C7FC2"/>
    <w:rsid w:val="1283614B"/>
    <w:rsid w:val="129465AA"/>
    <w:rsid w:val="12C0739F"/>
    <w:rsid w:val="12F72D3C"/>
    <w:rsid w:val="130A061A"/>
    <w:rsid w:val="13385187"/>
    <w:rsid w:val="134A6C68"/>
    <w:rsid w:val="135576AB"/>
    <w:rsid w:val="13DF5603"/>
    <w:rsid w:val="14107EB2"/>
    <w:rsid w:val="14522278"/>
    <w:rsid w:val="149208C7"/>
    <w:rsid w:val="14C60571"/>
    <w:rsid w:val="14D26F15"/>
    <w:rsid w:val="14FC60B6"/>
    <w:rsid w:val="15145780"/>
    <w:rsid w:val="153E27FD"/>
    <w:rsid w:val="153E69EA"/>
    <w:rsid w:val="15400323"/>
    <w:rsid w:val="154F67B8"/>
    <w:rsid w:val="15D76399"/>
    <w:rsid w:val="15D8055B"/>
    <w:rsid w:val="16866609"/>
    <w:rsid w:val="16BE1E47"/>
    <w:rsid w:val="16C45895"/>
    <w:rsid w:val="172469D5"/>
    <w:rsid w:val="17407202"/>
    <w:rsid w:val="17C27715"/>
    <w:rsid w:val="17EE050A"/>
    <w:rsid w:val="18272BE6"/>
    <w:rsid w:val="183103F7"/>
    <w:rsid w:val="186D5CBC"/>
    <w:rsid w:val="18942F6A"/>
    <w:rsid w:val="18DA283C"/>
    <w:rsid w:val="190D49C0"/>
    <w:rsid w:val="194303E2"/>
    <w:rsid w:val="19826916"/>
    <w:rsid w:val="19A5109C"/>
    <w:rsid w:val="19B117EF"/>
    <w:rsid w:val="1A3A7A37"/>
    <w:rsid w:val="1A4F2DB6"/>
    <w:rsid w:val="1A6F528E"/>
    <w:rsid w:val="1A965BFC"/>
    <w:rsid w:val="1B09565B"/>
    <w:rsid w:val="1BA41680"/>
    <w:rsid w:val="1BED0AD9"/>
    <w:rsid w:val="1C0E117B"/>
    <w:rsid w:val="1C33473D"/>
    <w:rsid w:val="1C94789B"/>
    <w:rsid w:val="1CBF7DCF"/>
    <w:rsid w:val="1CC730D8"/>
    <w:rsid w:val="1D762024"/>
    <w:rsid w:val="1E525F06"/>
    <w:rsid w:val="1E766B63"/>
    <w:rsid w:val="1EA40D73"/>
    <w:rsid w:val="1EAC0AAC"/>
    <w:rsid w:val="1EEA3AC9"/>
    <w:rsid w:val="1EED1389"/>
    <w:rsid w:val="1F5C21FD"/>
    <w:rsid w:val="1FF236E2"/>
    <w:rsid w:val="201F1463"/>
    <w:rsid w:val="20322137"/>
    <w:rsid w:val="205648A9"/>
    <w:rsid w:val="205F4DDA"/>
    <w:rsid w:val="20D02EA3"/>
    <w:rsid w:val="20EF09AB"/>
    <w:rsid w:val="2139587A"/>
    <w:rsid w:val="219E6AFD"/>
    <w:rsid w:val="21B843D9"/>
    <w:rsid w:val="21C93434"/>
    <w:rsid w:val="2249407F"/>
    <w:rsid w:val="225278E7"/>
    <w:rsid w:val="228A7081"/>
    <w:rsid w:val="22EC14F1"/>
    <w:rsid w:val="22F774F6"/>
    <w:rsid w:val="23735059"/>
    <w:rsid w:val="23CB7951"/>
    <w:rsid w:val="23D5432C"/>
    <w:rsid w:val="244D419B"/>
    <w:rsid w:val="2466755A"/>
    <w:rsid w:val="246C2D68"/>
    <w:rsid w:val="24782FEE"/>
    <w:rsid w:val="250D2E12"/>
    <w:rsid w:val="250D7AF6"/>
    <w:rsid w:val="25227A45"/>
    <w:rsid w:val="255D282B"/>
    <w:rsid w:val="259D70CC"/>
    <w:rsid w:val="25BD151C"/>
    <w:rsid w:val="25CB3C39"/>
    <w:rsid w:val="25FC2044"/>
    <w:rsid w:val="26296BB1"/>
    <w:rsid w:val="26802C75"/>
    <w:rsid w:val="26CD39E1"/>
    <w:rsid w:val="270244AF"/>
    <w:rsid w:val="272D3CD7"/>
    <w:rsid w:val="276E0D20"/>
    <w:rsid w:val="279829B9"/>
    <w:rsid w:val="27C76682"/>
    <w:rsid w:val="27CD46E2"/>
    <w:rsid w:val="27EC7E96"/>
    <w:rsid w:val="28697739"/>
    <w:rsid w:val="28795CAE"/>
    <w:rsid w:val="28CF6D5C"/>
    <w:rsid w:val="28D728FE"/>
    <w:rsid w:val="290E1224"/>
    <w:rsid w:val="29312005"/>
    <w:rsid w:val="29891E41"/>
    <w:rsid w:val="298C36DF"/>
    <w:rsid w:val="2A0D0CC4"/>
    <w:rsid w:val="2A1E3465"/>
    <w:rsid w:val="2A6C65F7"/>
    <w:rsid w:val="2A8455CF"/>
    <w:rsid w:val="2A8F792B"/>
    <w:rsid w:val="2AA6133D"/>
    <w:rsid w:val="2B801021"/>
    <w:rsid w:val="2B8F74B6"/>
    <w:rsid w:val="2BBB474F"/>
    <w:rsid w:val="2BCB5B07"/>
    <w:rsid w:val="2BDD6474"/>
    <w:rsid w:val="2CAD22EA"/>
    <w:rsid w:val="2D6812F4"/>
    <w:rsid w:val="2E026BA2"/>
    <w:rsid w:val="2E316BEE"/>
    <w:rsid w:val="2E443808"/>
    <w:rsid w:val="2EE7735A"/>
    <w:rsid w:val="2EE95130"/>
    <w:rsid w:val="2EEB0EA8"/>
    <w:rsid w:val="2EF20488"/>
    <w:rsid w:val="2F123144"/>
    <w:rsid w:val="2F452CAE"/>
    <w:rsid w:val="2F716810"/>
    <w:rsid w:val="2F877A0A"/>
    <w:rsid w:val="2FA774C5"/>
    <w:rsid w:val="301306B6"/>
    <w:rsid w:val="306405FB"/>
    <w:rsid w:val="30DF7E8F"/>
    <w:rsid w:val="311A3424"/>
    <w:rsid w:val="31442AF1"/>
    <w:rsid w:val="318E7998"/>
    <w:rsid w:val="31FB3AF8"/>
    <w:rsid w:val="32542738"/>
    <w:rsid w:val="32943604"/>
    <w:rsid w:val="33022C64"/>
    <w:rsid w:val="330819F8"/>
    <w:rsid w:val="349B0B50"/>
    <w:rsid w:val="34D332FE"/>
    <w:rsid w:val="35072585"/>
    <w:rsid w:val="35D408E8"/>
    <w:rsid w:val="35E87898"/>
    <w:rsid w:val="365E6403"/>
    <w:rsid w:val="368E5920"/>
    <w:rsid w:val="36E2757E"/>
    <w:rsid w:val="37296A11"/>
    <w:rsid w:val="375A406B"/>
    <w:rsid w:val="37682A67"/>
    <w:rsid w:val="37A07217"/>
    <w:rsid w:val="386907F2"/>
    <w:rsid w:val="38806B05"/>
    <w:rsid w:val="394A2C6F"/>
    <w:rsid w:val="395873E0"/>
    <w:rsid w:val="398427FF"/>
    <w:rsid w:val="3A23639D"/>
    <w:rsid w:val="3A797CAF"/>
    <w:rsid w:val="3B023801"/>
    <w:rsid w:val="3B2E7C35"/>
    <w:rsid w:val="3B6B7997"/>
    <w:rsid w:val="3B9C1EA7"/>
    <w:rsid w:val="3C7E55A0"/>
    <w:rsid w:val="3C7E7E4D"/>
    <w:rsid w:val="3CB23005"/>
    <w:rsid w:val="3D51281E"/>
    <w:rsid w:val="3D920AB3"/>
    <w:rsid w:val="3D9372DA"/>
    <w:rsid w:val="3D956BAE"/>
    <w:rsid w:val="3E1A70B4"/>
    <w:rsid w:val="3E442382"/>
    <w:rsid w:val="3E4F54B3"/>
    <w:rsid w:val="3E6B6D9C"/>
    <w:rsid w:val="3E8517B1"/>
    <w:rsid w:val="3EA006FD"/>
    <w:rsid w:val="3F12422F"/>
    <w:rsid w:val="3F283A52"/>
    <w:rsid w:val="3F8213B4"/>
    <w:rsid w:val="3FD44368"/>
    <w:rsid w:val="400242A3"/>
    <w:rsid w:val="406A6438"/>
    <w:rsid w:val="40905054"/>
    <w:rsid w:val="409B2C7E"/>
    <w:rsid w:val="40C726B4"/>
    <w:rsid w:val="412F731A"/>
    <w:rsid w:val="41391F47"/>
    <w:rsid w:val="4167503B"/>
    <w:rsid w:val="41C95125"/>
    <w:rsid w:val="41D37CA5"/>
    <w:rsid w:val="41FF4BE4"/>
    <w:rsid w:val="423E7DE4"/>
    <w:rsid w:val="424B0DFC"/>
    <w:rsid w:val="426D5F6E"/>
    <w:rsid w:val="42C5064A"/>
    <w:rsid w:val="43207507"/>
    <w:rsid w:val="43B458B4"/>
    <w:rsid w:val="43F56786"/>
    <w:rsid w:val="44DC50C3"/>
    <w:rsid w:val="44E346A3"/>
    <w:rsid w:val="44F00B6E"/>
    <w:rsid w:val="45097E82"/>
    <w:rsid w:val="451D23E2"/>
    <w:rsid w:val="456C546E"/>
    <w:rsid w:val="45977351"/>
    <w:rsid w:val="45F42EB8"/>
    <w:rsid w:val="46056344"/>
    <w:rsid w:val="46432224"/>
    <w:rsid w:val="464F7B16"/>
    <w:rsid w:val="46592743"/>
    <w:rsid w:val="466E4440"/>
    <w:rsid w:val="467B4C8A"/>
    <w:rsid w:val="46974A2B"/>
    <w:rsid w:val="476615BC"/>
    <w:rsid w:val="47BE6D02"/>
    <w:rsid w:val="47E32C0C"/>
    <w:rsid w:val="48561630"/>
    <w:rsid w:val="48931F3C"/>
    <w:rsid w:val="48AB372A"/>
    <w:rsid w:val="48B5696C"/>
    <w:rsid w:val="48B819A3"/>
    <w:rsid w:val="49184B37"/>
    <w:rsid w:val="4933371F"/>
    <w:rsid w:val="4938256C"/>
    <w:rsid w:val="49396F88"/>
    <w:rsid w:val="495D254A"/>
    <w:rsid w:val="497C6E74"/>
    <w:rsid w:val="49AB1508"/>
    <w:rsid w:val="49AC543C"/>
    <w:rsid w:val="49E36EF3"/>
    <w:rsid w:val="4A0D3596"/>
    <w:rsid w:val="4ABE526B"/>
    <w:rsid w:val="4ACD2A51"/>
    <w:rsid w:val="4B4053E3"/>
    <w:rsid w:val="4B8D08A2"/>
    <w:rsid w:val="4BB83532"/>
    <w:rsid w:val="4BD6274F"/>
    <w:rsid w:val="4BF47196"/>
    <w:rsid w:val="4C150FBA"/>
    <w:rsid w:val="4C1A4723"/>
    <w:rsid w:val="4C2279B2"/>
    <w:rsid w:val="4C472E7D"/>
    <w:rsid w:val="4C5B7215"/>
    <w:rsid w:val="4CB85CB5"/>
    <w:rsid w:val="4D02189A"/>
    <w:rsid w:val="4D3C7046"/>
    <w:rsid w:val="4D50664E"/>
    <w:rsid w:val="4DF252CB"/>
    <w:rsid w:val="4E295D4C"/>
    <w:rsid w:val="4EF31987"/>
    <w:rsid w:val="4EFD0A57"/>
    <w:rsid w:val="4F717F10"/>
    <w:rsid w:val="4F764366"/>
    <w:rsid w:val="4F9A0054"/>
    <w:rsid w:val="4FA709C3"/>
    <w:rsid w:val="4FC84D31"/>
    <w:rsid w:val="4FD317B8"/>
    <w:rsid w:val="50113D90"/>
    <w:rsid w:val="501519DD"/>
    <w:rsid w:val="50302767"/>
    <w:rsid w:val="504F0E3F"/>
    <w:rsid w:val="505C17AE"/>
    <w:rsid w:val="507C6263"/>
    <w:rsid w:val="508A0E56"/>
    <w:rsid w:val="510F701A"/>
    <w:rsid w:val="5117550A"/>
    <w:rsid w:val="51673008"/>
    <w:rsid w:val="5199638E"/>
    <w:rsid w:val="51BD509B"/>
    <w:rsid w:val="521A547C"/>
    <w:rsid w:val="52D4387D"/>
    <w:rsid w:val="52F1442F"/>
    <w:rsid w:val="52F27EF3"/>
    <w:rsid w:val="531B01F2"/>
    <w:rsid w:val="533407C0"/>
    <w:rsid w:val="53420941"/>
    <w:rsid w:val="537760B9"/>
    <w:rsid w:val="53A5346C"/>
    <w:rsid w:val="53A70F92"/>
    <w:rsid w:val="53B11E10"/>
    <w:rsid w:val="53DA1367"/>
    <w:rsid w:val="53F16143"/>
    <w:rsid w:val="54AB4AB2"/>
    <w:rsid w:val="54AC3518"/>
    <w:rsid w:val="54D47B64"/>
    <w:rsid w:val="55733821"/>
    <w:rsid w:val="559B68D4"/>
    <w:rsid w:val="55BB0D24"/>
    <w:rsid w:val="560560AD"/>
    <w:rsid w:val="56410E61"/>
    <w:rsid w:val="5684380C"/>
    <w:rsid w:val="56A1616C"/>
    <w:rsid w:val="57144B90"/>
    <w:rsid w:val="57390153"/>
    <w:rsid w:val="577E200A"/>
    <w:rsid w:val="57DA3AB3"/>
    <w:rsid w:val="58515970"/>
    <w:rsid w:val="585A4825"/>
    <w:rsid w:val="58A415C5"/>
    <w:rsid w:val="591C0A3A"/>
    <w:rsid w:val="59B61F2F"/>
    <w:rsid w:val="59E6430E"/>
    <w:rsid w:val="5A663955"/>
    <w:rsid w:val="5A8D7133"/>
    <w:rsid w:val="5AAA72D0"/>
    <w:rsid w:val="5ACD5782"/>
    <w:rsid w:val="5B063544"/>
    <w:rsid w:val="5B1E7D8B"/>
    <w:rsid w:val="5B231846"/>
    <w:rsid w:val="5B24111A"/>
    <w:rsid w:val="5B3A3011"/>
    <w:rsid w:val="5BD053AF"/>
    <w:rsid w:val="5BE11FCF"/>
    <w:rsid w:val="5BEA2363"/>
    <w:rsid w:val="5C0D47D8"/>
    <w:rsid w:val="5C3E22E0"/>
    <w:rsid w:val="5C510930"/>
    <w:rsid w:val="5C5872CD"/>
    <w:rsid w:val="5C63055C"/>
    <w:rsid w:val="5C936A98"/>
    <w:rsid w:val="5C9D5DDF"/>
    <w:rsid w:val="5C9D73D6"/>
    <w:rsid w:val="5CA1516C"/>
    <w:rsid w:val="5CA23409"/>
    <w:rsid w:val="5CDB0A62"/>
    <w:rsid w:val="5D5C4B9B"/>
    <w:rsid w:val="5D9E4640"/>
    <w:rsid w:val="5DD72473"/>
    <w:rsid w:val="5DE74DAC"/>
    <w:rsid w:val="5E584ED9"/>
    <w:rsid w:val="5ED2780B"/>
    <w:rsid w:val="5F797C86"/>
    <w:rsid w:val="5FCF4A17"/>
    <w:rsid w:val="5FFD7DE8"/>
    <w:rsid w:val="60186A28"/>
    <w:rsid w:val="60446E43"/>
    <w:rsid w:val="608347CF"/>
    <w:rsid w:val="60A07495"/>
    <w:rsid w:val="60D1764E"/>
    <w:rsid w:val="60DB4EA5"/>
    <w:rsid w:val="60F811C1"/>
    <w:rsid w:val="61167757"/>
    <w:rsid w:val="612E05C2"/>
    <w:rsid w:val="614147D4"/>
    <w:rsid w:val="61497CEF"/>
    <w:rsid w:val="616C3D5B"/>
    <w:rsid w:val="61806483"/>
    <w:rsid w:val="619072D4"/>
    <w:rsid w:val="61F801D2"/>
    <w:rsid w:val="626E3CB0"/>
    <w:rsid w:val="62742987"/>
    <w:rsid w:val="62E418BB"/>
    <w:rsid w:val="62E713AB"/>
    <w:rsid w:val="62E96ED1"/>
    <w:rsid w:val="63473929"/>
    <w:rsid w:val="636B3D8A"/>
    <w:rsid w:val="63862972"/>
    <w:rsid w:val="638766EA"/>
    <w:rsid w:val="63F0428F"/>
    <w:rsid w:val="64236413"/>
    <w:rsid w:val="64B11C70"/>
    <w:rsid w:val="64C37BF6"/>
    <w:rsid w:val="653528A1"/>
    <w:rsid w:val="653603C7"/>
    <w:rsid w:val="65F2258C"/>
    <w:rsid w:val="663A4F28"/>
    <w:rsid w:val="6646010A"/>
    <w:rsid w:val="66976C44"/>
    <w:rsid w:val="66A07C1E"/>
    <w:rsid w:val="66AF19DA"/>
    <w:rsid w:val="66CC0FE3"/>
    <w:rsid w:val="6710513C"/>
    <w:rsid w:val="671F55B7"/>
    <w:rsid w:val="675A5AE8"/>
    <w:rsid w:val="677A6507"/>
    <w:rsid w:val="684D420F"/>
    <w:rsid w:val="68B86C5B"/>
    <w:rsid w:val="68BC5088"/>
    <w:rsid w:val="691F1FEC"/>
    <w:rsid w:val="695C3D4C"/>
    <w:rsid w:val="69F30635"/>
    <w:rsid w:val="6A0B3BD1"/>
    <w:rsid w:val="6A3A2FD9"/>
    <w:rsid w:val="6A7A5AEA"/>
    <w:rsid w:val="6AB8552D"/>
    <w:rsid w:val="6AD95A7D"/>
    <w:rsid w:val="6ADE7537"/>
    <w:rsid w:val="6B826114"/>
    <w:rsid w:val="6B9320D0"/>
    <w:rsid w:val="6BC13960"/>
    <w:rsid w:val="6BD83F86"/>
    <w:rsid w:val="6BD9731F"/>
    <w:rsid w:val="6BE24E05"/>
    <w:rsid w:val="6C2B055A"/>
    <w:rsid w:val="6C5A2BED"/>
    <w:rsid w:val="6CAB51F7"/>
    <w:rsid w:val="6CCE7137"/>
    <w:rsid w:val="6CCF5389"/>
    <w:rsid w:val="6CD3474E"/>
    <w:rsid w:val="6CE625EE"/>
    <w:rsid w:val="6CFB70CA"/>
    <w:rsid w:val="6D633984"/>
    <w:rsid w:val="6DF60098"/>
    <w:rsid w:val="6E030710"/>
    <w:rsid w:val="6E1F0C2D"/>
    <w:rsid w:val="6E2A65EF"/>
    <w:rsid w:val="6EB71F0A"/>
    <w:rsid w:val="6ECA4942"/>
    <w:rsid w:val="6EE42C42"/>
    <w:rsid w:val="6F6D70DC"/>
    <w:rsid w:val="6F6E31AE"/>
    <w:rsid w:val="6F7B5355"/>
    <w:rsid w:val="6FA14D9B"/>
    <w:rsid w:val="6FAC19B2"/>
    <w:rsid w:val="6FD11419"/>
    <w:rsid w:val="70027824"/>
    <w:rsid w:val="70470A58"/>
    <w:rsid w:val="704716DB"/>
    <w:rsid w:val="708C2B36"/>
    <w:rsid w:val="70952B65"/>
    <w:rsid w:val="70C57A02"/>
    <w:rsid w:val="70DB38A7"/>
    <w:rsid w:val="70FE780D"/>
    <w:rsid w:val="712E50BB"/>
    <w:rsid w:val="712F289B"/>
    <w:rsid w:val="713954C7"/>
    <w:rsid w:val="714A76D4"/>
    <w:rsid w:val="71D1780D"/>
    <w:rsid w:val="71DC1AE4"/>
    <w:rsid w:val="72113D4E"/>
    <w:rsid w:val="72217603"/>
    <w:rsid w:val="72487296"/>
    <w:rsid w:val="7282207E"/>
    <w:rsid w:val="72916C3D"/>
    <w:rsid w:val="72E826C1"/>
    <w:rsid w:val="7315161C"/>
    <w:rsid w:val="734939BC"/>
    <w:rsid w:val="738A025C"/>
    <w:rsid w:val="739801A3"/>
    <w:rsid w:val="74226CB9"/>
    <w:rsid w:val="748C590E"/>
    <w:rsid w:val="74982505"/>
    <w:rsid w:val="74B03CF2"/>
    <w:rsid w:val="74BF5CE3"/>
    <w:rsid w:val="75006B73"/>
    <w:rsid w:val="752E4C17"/>
    <w:rsid w:val="7591786E"/>
    <w:rsid w:val="7592164A"/>
    <w:rsid w:val="75DE08D4"/>
    <w:rsid w:val="75E67957"/>
    <w:rsid w:val="764E69E8"/>
    <w:rsid w:val="77100A78"/>
    <w:rsid w:val="7722255A"/>
    <w:rsid w:val="7787662E"/>
    <w:rsid w:val="77F20BEE"/>
    <w:rsid w:val="77F57C6E"/>
    <w:rsid w:val="781225CE"/>
    <w:rsid w:val="78615304"/>
    <w:rsid w:val="78C24964"/>
    <w:rsid w:val="78C7785D"/>
    <w:rsid w:val="78D855C6"/>
    <w:rsid w:val="790A7E6D"/>
    <w:rsid w:val="794C38BE"/>
    <w:rsid w:val="795C2A02"/>
    <w:rsid w:val="797A7FFA"/>
    <w:rsid w:val="79AC4BB9"/>
    <w:rsid w:val="79B416E2"/>
    <w:rsid w:val="79CC0928"/>
    <w:rsid w:val="7A1545F8"/>
    <w:rsid w:val="7A3B0217"/>
    <w:rsid w:val="7A456C8B"/>
    <w:rsid w:val="7ABB1C53"/>
    <w:rsid w:val="7ACF3C5D"/>
    <w:rsid w:val="7AD65B35"/>
    <w:rsid w:val="7B300C63"/>
    <w:rsid w:val="7B5B603A"/>
    <w:rsid w:val="7BB340C8"/>
    <w:rsid w:val="7BF34C08"/>
    <w:rsid w:val="7C232FFC"/>
    <w:rsid w:val="7C246D74"/>
    <w:rsid w:val="7C3A20F4"/>
    <w:rsid w:val="7C544A6F"/>
    <w:rsid w:val="7C6460D0"/>
    <w:rsid w:val="7CA270D6"/>
    <w:rsid w:val="7DCE343B"/>
    <w:rsid w:val="7DD32800"/>
    <w:rsid w:val="7DDC0E2A"/>
    <w:rsid w:val="7E2766A8"/>
    <w:rsid w:val="7E4401E2"/>
    <w:rsid w:val="7E851D4C"/>
    <w:rsid w:val="7E9E2E0E"/>
    <w:rsid w:val="7EAA3560"/>
    <w:rsid w:val="7ECF0FC0"/>
    <w:rsid w:val="7EFE0269"/>
    <w:rsid w:val="7F4219EB"/>
    <w:rsid w:val="7F5434CC"/>
    <w:rsid w:val="7F6556D9"/>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32"/>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ody Text 3"/>
    <w:basedOn w:val="1"/>
    <w:next w:val="1"/>
    <w:link w:val="38"/>
    <w:qFormat/>
    <w:uiPriority w:val="0"/>
    <w:pPr>
      <w:spacing w:after="120"/>
    </w:pPr>
    <w:rPr>
      <w:sz w:val="16"/>
      <w:szCs w:val="16"/>
    </w:rPr>
  </w:style>
  <w:style w:type="paragraph" w:styleId="6">
    <w:name w:val="Body Text"/>
    <w:basedOn w:val="1"/>
    <w:next w:val="7"/>
    <w:qFormat/>
    <w:uiPriority w:val="99"/>
    <w:rPr>
      <w:rFonts w:ascii="楷体_GB2312" w:hAnsi="Arial" w:eastAsia="楷体_GB2312"/>
      <w:kern w:val="0"/>
      <w:sz w:val="28"/>
      <w:szCs w:val="28"/>
    </w:rPr>
  </w:style>
  <w:style w:type="paragraph" w:styleId="7">
    <w:name w:val="Body Text 2"/>
    <w:basedOn w:val="1"/>
    <w:qFormat/>
    <w:uiPriority w:val="0"/>
    <w:pPr>
      <w:tabs>
        <w:tab w:val="left" w:pos="0"/>
        <w:tab w:val="left" w:pos="993"/>
        <w:tab w:val="left" w:pos="1134"/>
      </w:tabs>
      <w:spacing w:line="240" w:lineRule="exact"/>
    </w:pPr>
    <w:rPr>
      <w:rFonts w:ascii="楷体_GB2312" w:eastAsia="楷体_GB2312"/>
      <w:sz w:val="18"/>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3"/>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paragraph" w:customStyle="1" w:styleId="3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qFormat/>
    <w:uiPriority w:val="0"/>
    <w:rPr>
      <w:sz w:val="24"/>
    </w:rPr>
  </w:style>
  <w:style w:type="paragraph" w:customStyle="1" w:styleId="37">
    <w:name w:val="Blockquote"/>
    <w:basedOn w:val="1"/>
    <w:link w:val="36"/>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5"/>
    <w:qFormat/>
    <w:uiPriority w:val="0"/>
    <w:rPr>
      <w:kern w:val="2"/>
      <w:sz w:val="16"/>
      <w:szCs w:val="16"/>
    </w:rPr>
  </w:style>
  <w:style w:type="paragraph" w:customStyle="1" w:styleId="39">
    <w:name w:val="正文_0_0_0_0"/>
    <w:autoRedefine/>
    <w:qFormat/>
    <w:uiPriority w:val="0"/>
    <w:pPr>
      <w:widowControl w:val="0"/>
      <w:jc w:val="both"/>
    </w:pPr>
    <w:rPr>
      <w:rFonts w:ascii="Times New Roman" w:hAnsi="Times New Roman" w:eastAsia="宋体" w:cs="Times New Roman"/>
      <w:lang w:val="en-US" w:eastAsia="zh-CN" w:bidi="ar-SA"/>
    </w:rPr>
  </w:style>
  <w:style w:type="paragraph" w:customStyle="1" w:styleId="40">
    <w:name w:val="正文_0"/>
    <w:autoRedefine/>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paragraph" w:customStyle="1" w:styleId="41">
    <w:name w:val="列出段落1"/>
    <w:basedOn w:val="1"/>
    <w:qFormat/>
    <w:uiPriority w:val="0"/>
    <w:pPr>
      <w:ind w:firstLine="420" w:firstLineChars="200"/>
    </w:pPr>
  </w:style>
  <w:style w:type="paragraph" w:customStyle="1" w:styleId="42">
    <w:name w:val="Heading #1|1"/>
    <w:basedOn w:val="1"/>
    <w:qFormat/>
    <w:uiPriority w:val="0"/>
    <w:pPr>
      <w:keepNext w:val="0"/>
      <w:keepLines w:val="0"/>
      <w:widowControl w:val="0"/>
      <w:suppressLineNumbers w:val="0"/>
      <w:spacing w:before="420" w:beforeAutospacing="0" w:after="160" w:afterAutospacing="0"/>
      <w:jc w:val="center"/>
      <w:outlineLvl w:val="0"/>
    </w:pPr>
    <w:rPr>
      <w:rFonts w:hint="default" w:ascii="MingLiU" w:hAnsi="MingLiU" w:eastAsia="MingLiU" w:cs="MingLiU"/>
      <w:kern w:val="0"/>
      <w:sz w:val="32"/>
      <w:szCs w:val="32"/>
      <w:lang w:val="en-US" w:eastAsia="zh-CN" w:bidi="ar"/>
    </w:rPr>
  </w:style>
  <w:style w:type="paragraph" w:customStyle="1" w:styleId="43">
    <w:name w:val="Body text|1"/>
    <w:basedOn w:val="1"/>
    <w:qFormat/>
    <w:uiPriority w:val="0"/>
    <w:pPr>
      <w:keepNext w:val="0"/>
      <w:keepLines w:val="0"/>
      <w:widowControl w:val="0"/>
      <w:suppressLineNumbers w:val="0"/>
      <w:spacing w:before="0" w:beforeAutospacing="0" w:after="0" w:afterAutospacing="0" w:line="424" w:lineRule="auto"/>
      <w:ind w:left="0" w:right="0" w:firstLine="400"/>
      <w:jc w:val="left"/>
    </w:pPr>
    <w:rPr>
      <w:rFonts w:hint="default" w:ascii="MingLiU" w:hAnsi="MingLiU" w:eastAsia="MingLiU" w:cs="MingLiU"/>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128A6A-3249-45DC-8A58-7CE8C29C9A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9843</Words>
  <Characters>10183</Characters>
  <Lines>1</Lines>
  <Paragraphs>1</Paragraphs>
  <TotalTime>10</TotalTime>
  <ScaleCrop>false</ScaleCrop>
  <LinksUpToDate>false</LinksUpToDate>
  <CharactersWithSpaces>11269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2025-12-30T07:53:21Z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EE86911F8843445CA685A919146CBDC9_13</vt:lpwstr>
  </property>
  <property fmtid="{D5CDD505-2E9C-101B-9397-08002B2CF9AE}" pid="4" name="KSOTemplateDocerSaveRecord">
    <vt:lpwstr>eyJoZGlkIjoiN2Y4ZDNhMDVmNDIzOTA1MDMwMTAyNmQxZjFhNzlmNGYiLCJ1c2VySWQiOiIxMjEwNDIxMzA4In0=</vt:lpwstr>
  </property>
</Properties>
</file>