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3B1B69">
      <w:pPr>
        <w:rPr>
          <w:sz w:val="28"/>
        </w:rPr>
      </w:pPr>
    </w:p>
    <w:p w14:paraId="2D974F55">
      <w:pPr>
        <w:jc w:val="right"/>
        <w:rPr>
          <w:rFonts w:hint="eastAsia" w:ascii="宋体" w:hAnsi="宋体" w:eastAsia="宋体" w:cs="宋体"/>
          <w:b/>
          <w:bCs/>
          <w:sz w:val="32"/>
          <w:szCs w:val="32"/>
          <w:lang w:eastAsia="zh-CN"/>
        </w:rPr>
      </w:pPr>
      <w:r>
        <w:rPr>
          <w:rFonts w:hint="eastAsia" w:ascii="宋体" w:hAnsi="宋体" w:cs="宋体"/>
          <w:b/>
          <w:bCs/>
          <w:sz w:val="32"/>
          <w:szCs w:val="32"/>
          <w:lang w:eastAsia="zh-CN"/>
        </w:rPr>
        <w:t>YDFYSW-20251201-1号</w:t>
      </w:r>
    </w:p>
    <w:p w14:paraId="20CB3A19">
      <w:pPr>
        <w:jc w:val="left"/>
        <w:rPr>
          <w:b/>
          <w:bCs/>
          <w:sz w:val="36"/>
        </w:rPr>
      </w:pPr>
    </w:p>
    <w:p w14:paraId="2F80947B">
      <w:pPr>
        <w:jc w:val="center"/>
        <w:rPr>
          <w:rFonts w:hint="default" w:eastAsia="宋体"/>
          <w:b/>
          <w:bCs/>
          <w:sz w:val="36"/>
          <w:lang w:val="en-US" w:eastAsia="zh-CN"/>
        </w:rPr>
      </w:pPr>
      <w:r>
        <w:rPr>
          <w:rFonts w:hint="eastAsia"/>
          <w:b/>
          <w:bCs/>
          <w:sz w:val="36"/>
          <w:lang w:val="en-US" w:eastAsia="zh-CN"/>
        </w:rPr>
        <w:t xml:space="preserve"> </w:t>
      </w:r>
      <w:r>
        <w:rPr>
          <w:rFonts w:hint="eastAsia"/>
          <w:b/>
          <w:bCs/>
          <w:color w:val="auto"/>
          <w:sz w:val="36"/>
          <w:lang w:val="en-US" w:eastAsia="zh-CN"/>
        </w:rPr>
        <w:t>扬州大学附属医院东西区防坠网安装（二次）</w:t>
      </w:r>
    </w:p>
    <w:p w14:paraId="72CD0823">
      <w:pPr>
        <w:jc w:val="center"/>
        <w:rPr>
          <w:b/>
          <w:bCs/>
          <w:sz w:val="36"/>
        </w:rPr>
      </w:pPr>
      <w:r>
        <w:rPr>
          <w:b/>
          <w:bCs/>
          <w:sz w:val="36"/>
        </w:rPr>
        <w:t>竞争性磋商文件</w:t>
      </w:r>
    </w:p>
    <w:p w14:paraId="3EBE19EB">
      <w:pPr>
        <w:jc w:val="center"/>
        <w:rPr>
          <w:sz w:val="36"/>
        </w:rPr>
      </w:pPr>
    </w:p>
    <w:p w14:paraId="1DF51D85">
      <w:pPr>
        <w:jc w:val="center"/>
        <w:rPr>
          <w:rFonts w:hint="eastAsia" w:eastAsia="宋体"/>
          <w:sz w:val="36"/>
          <w:lang w:eastAsia="zh-CN"/>
        </w:rPr>
      </w:pPr>
      <w:r>
        <w:rPr>
          <w:rFonts w:hint="eastAsia" w:eastAsia="宋体"/>
          <w:sz w:val="36"/>
          <w:lang w:eastAsia="zh-CN"/>
        </w:rPr>
        <w:drawing>
          <wp:inline distT="0" distB="0" distL="114300" distR="114300">
            <wp:extent cx="5481955" cy="4156075"/>
            <wp:effectExtent l="0" t="0" r="444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8"/>
                    <a:stretch>
                      <a:fillRect/>
                    </a:stretch>
                  </pic:blipFill>
                  <pic:spPr>
                    <a:xfrm>
                      <a:off x="0" y="0"/>
                      <a:ext cx="5481955" cy="4156075"/>
                    </a:xfrm>
                    <a:prstGeom prst="rect">
                      <a:avLst/>
                    </a:prstGeom>
                  </pic:spPr>
                </pic:pic>
              </a:graphicData>
            </a:graphic>
          </wp:inline>
        </w:drawing>
      </w:r>
    </w:p>
    <w:p w14:paraId="5F7A464A">
      <w:pPr>
        <w:jc w:val="center"/>
        <w:rPr>
          <w:sz w:val="36"/>
        </w:rPr>
      </w:pPr>
    </w:p>
    <w:p w14:paraId="11798A9E"/>
    <w:p w14:paraId="7C89561E"/>
    <w:p w14:paraId="01BDABEE">
      <w:pPr>
        <w:jc w:val="center"/>
        <w:rPr>
          <w:rFonts w:hint="eastAsia" w:eastAsia="宋体"/>
          <w:b/>
          <w:bCs/>
          <w:sz w:val="36"/>
          <w:lang w:eastAsia="zh-CN"/>
        </w:rPr>
      </w:pPr>
      <w:r>
        <w:rPr>
          <w:rFonts w:hint="eastAsia"/>
          <w:b/>
          <w:bCs/>
          <w:sz w:val="36"/>
          <w:lang w:eastAsia="zh-CN"/>
        </w:rPr>
        <w:t>江苏苏维工程管理有限公司</w:t>
      </w:r>
    </w:p>
    <w:p w14:paraId="64797179">
      <w:pPr>
        <w:jc w:val="center"/>
        <w:rPr>
          <w:b/>
          <w:bCs/>
          <w:sz w:val="36"/>
          <w:highlight w:val="none"/>
        </w:rPr>
      </w:pPr>
      <w:r>
        <w:rPr>
          <w:b/>
          <w:bCs/>
          <w:sz w:val="36"/>
          <w:highlight w:val="none"/>
        </w:rPr>
        <w:t>202</w:t>
      </w:r>
      <w:r>
        <w:rPr>
          <w:rFonts w:hint="eastAsia"/>
          <w:b/>
          <w:bCs/>
          <w:sz w:val="36"/>
          <w:highlight w:val="none"/>
          <w:lang w:val="en-US" w:eastAsia="zh-CN"/>
        </w:rPr>
        <w:t>6</w:t>
      </w:r>
      <w:r>
        <w:rPr>
          <w:b/>
          <w:bCs/>
          <w:sz w:val="36"/>
          <w:highlight w:val="none"/>
        </w:rPr>
        <w:t>年</w:t>
      </w:r>
      <w:r>
        <w:rPr>
          <w:rFonts w:hint="eastAsia"/>
          <w:b/>
          <w:bCs/>
          <w:sz w:val="36"/>
          <w:highlight w:val="none"/>
          <w:lang w:val="en-US" w:eastAsia="zh-CN"/>
        </w:rPr>
        <w:t>1</w:t>
      </w:r>
      <w:r>
        <w:rPr>
          <w:b/>
          <w:bCs/>
          <w:sz w:val="36"/>
          <w:highlight w:val="none"/>
        </w:rPr>
        <w:t>月</w:t>
      </w:r>
    </w:p>
    <w:p w14:paraId="0C01811F">
      <w:pPr>
        <w:spacing w:line="360" w:lineRule="auto"/>
        <w:jc w:val="center"/>
        <w:rPr>
          <w:sz w:val="44"/>
          <w:szCs w:val="44"/>
        </w:rPr>
        <w:sectPr>
          <w:headerReference r:id="rId3" w:type="default"/>
          <w:footerReference r:id="rId4" w:type="default"/>
          <w:pgSz w:w="11906" w:h="16838"/>
          <w:pgMar w:top="1440" w:right="1417" w:bottom="1440" w:left="1417" w:header="1191" w:footer="992" w:gutter="0"/>
          <w:pgNumType w:fmt="numberInDash"/>
          <w:cols w:space="720" w:num="1"/>
          <w:docGrid w:type="lines" w:linePitch="319" w:charSpace="0"/>
        </w:sectPr>
      </w:pPr>
    </w:p>
    <w:p w14:paraId="696FA30A">
      <w:pPr>
        <w:spacing w:line="360" w:lineRule="auto"/>
        <w:jc w:val="center"/>
        <w:rPr>
          <w:sz w:val="44"/>
          <w:szCs w:val="44"/>
        </w:rPr>
      </w:pPr>
      <w:r>
        <w:rPr>
          <w:sz w:val="44"/>
          <w:szCs w:val="44"/>
        </w:rPr>
        <w:t>目 录</w:t>
      </w:r>
    </w:p>
    <w:p w14:paraId="7ACEB58F">
      <w:pPr>
        <w:spacing w:line="360" w:lineRule="auto"/>
        <w:jc w:val="center"/>
        <w:rPr>
          <w:sz w:val="32"/>
        </w:rPr>
      </w:pPr>
    </w:p>
    <w:p w14:paraId="6718239C">
      <w:pPr>
        <w:pStyle w:val="21"/>
        <w:tabs>
          <w:tab w:val="right" w:leader="dot" w:pos="9072"/>
        </w:tabs>
        <w:rPr>
          <w:sz w:val="28"/>
          <w:szCs w:val="28"/>
        </w:rPr>
      </w:pPr>
      <w:r>
        <w:rPr>
          <w:sz w:val="28"/>
          <w:szCs w:val="28"/>
        </w:rPr>
        <w:fldChar w:fldCharType="begin"/>
      </w:r>
      <w:r>
        <w:rPr>
          <w:sz w:val="28"/>
          <w:szCs w:val="28"/>
        </w:rPr>
        <w:instrText xml:space="preserve"> TOC \o "1-3" \f </w:instrText>
      </w:r>
      <w:r>
        <w:rPr>
          <w:sz w:val="28"/>
          <w:szCs w:val="28"/>
        </w:rPr>
        <w:fldChar w:fldCharType="separate"/>
      </w:r>
      <w:r>
        <w:rPr>
          <w:sz w:val="28"/>
          <w:szCs w:val="28"/>
        </w:rPr>
        <w:t>第一章</w:t>
      </w:r>
      <w:r>
        <w:rPr>
          <w:rFonts w:hint="eastAsia"/>
          <w:sz w:val="28"/>
          <w:szCs w:val="28"/>
        </w:rPr>
        <w:t xml:space="preserve"> </w:t>
      </w:r>
      <w:r>
        <w:rPr>
          <w:sz w:val="28"/>
          <w:szCs w:val="28"/>
        </w:rPr>
        <w:t>竞争性磋商采购</w:t>
      </w:r>
      <w:r>
        <w:rPr>
          <w:rFonts w:hint="eastAsia"/>
          <w:sz w:val="28"/>
          <w:szCs w:val="28"/>
        </w:rPr>
        <w:t>公告</w:t>
      </w:r>
      <w:r>
        <w:rPr>
          <w:sz w:val="28"/>
          <w:szCs w:val="28"/>
        </w:rPr>
        <w:tab/>
      </w:r>
      <w:r>
        <w:rPr>
          <w:sz w:val="28"/>
          <w:szCs w:val="28"/>
        </w:rPr>
        <w:fldChar w:fldCharType="begin"/>
      </w:r>
      <w:r>
        <w:rPr>
          <w:sz w:val="28"/>
          <w:szCs w:val="28"/>
        </w:rPr>
        <w:instrText xml:space="preserve"> PAGEREF _Toc14936 \h </w:instrText>
      </w:r>
      <w:r>
        <w:rPr>
          <w:sz w:val="28"/>
          <w:szCs w:val="28"/>
        </w:rPr>
        <w:fldChar w:fldCharType="separate"/>
      </w:r>
      <w:r>
        <w:rPr>
          <w:sz w:val="28"/>
          <w:szCs w:val="28"/>
        </w:rPr>
        <w:t>- 1 -</w:t>
      </w:r>
      <w:r>
        <w:rPr>
          <w:sz w:val="28"/>
          <w:szCs w:val="28"/>
        </w:rPr>
        <w:fldChar w:fldCharType="end"/>
      </w:r>
    </w:p>
    <w:p w14:paraId="241B10D5">
      <w:pPr>
        <w:pStyle w:val="21"/>
        <w:tabs>
          <w:tab w:val="right" w:leader="dot" w:pos="9072"/>
        </w:tabs>
        <w:rPr>
          <w:sz w:val="28"/>
          <w:szCs w:val="28"/>
        </w:rPr>
      </w:pPr>
      <w:r>
        <w:rPr>
          <w:sz w:val="28"/>
          <w:szCs w:val="28"/>
        </w:rPr>
        <w:t>第二章 磋商须知</w:t>
      </w:r>
      <w:r>
        <w:rPr>
          <w:sz w:val="28"/>
          <w:szCs w:val="28"/>
        </w:rPr>
        <w:tab/>
      </w:r>
      <w:r>
        <w:rPr>
          <w:sz w:val="28"/>
          <w:szCs w:val="28"/>
        </w:rPr>
        <w:fldChar w:fldCharType="begin"/>
      </w:r>
      <w:r>
        <w:rPr>
          <w:sz w:val="28"/>
          <w:szCs w:val="28"/>
        </w:rPr>
        <w:instrText xml:space="preserve"> PAGEREF _Toc22962 \h </w:instrText>
      </w:r>
      <w:r>
        <w:rPr>
          <w:sz w:val="28"/>
          <w:szCs w:val="28"/>
        </w:rPr>
        <w:fldChar w:fldCharType="separate"/>
      </w:r>
      <w:r>
        <w:rPr>
          <w:sz w:val="28"/>
          <w:szCs w:val="28"/>
        </w:rPr>
        <w:t>- 5 -</w:t>
      </w:r>
      <w:r>
        <w:rPr>
          <w:sz w:val="28"/>
          <w:szCs w:val="28"/>
        </w:rPr>
        <w:fldChar w:fldCharType="end"/>
      </w:r>
    </w:p>
    <w:p w14:paraId="3D618A34">
      <w:pPr>
        <w:pStyle w:val="21"/>
        <w:tabs>
          <w:tab w:val="right" w:leader="dot" w:pos="9072"/>
        </w:tabs>
        <w:rPr>
          <w:sz w:val="28"/>
          <w:szCs w:val="28"/>
        </w:rPr>
      </w:pPr>
      <w:r>
        <w:rPr>
          <w:sz w:val="28"/>
          <w:szCs w:val="28"/>
        </w:rPr>
        <w:t>第三章 合同条款及格式</w:t>
      </w:r>
      <w:r>
        <w:rPr>
          <w:sz w:val="28"/>
          <w:szCs w:val="28"/>
        </w:rPr>
        <w:tab/>
      </w:r>
      <w:r>
        <w:rPr>
          <w:sz w:val="28"/>
          <w:szCs w:val="28"/>
        </w:rPr>
        <w:fldChar w:fldCharType="begin"/>
      </w:r>
      <w:r>
        <w:rPr>
          <w:sz w:val="28"/>
          <w:szCs w:val="28"/>
        </w:rPr>
        <w:instrText xml:space="preserve"> PAGEREF _Toc16389 \h </w:instrText>
      </w:r>
      <w:r>
        <w:rPr>
          <w:sz w:val="28"/>
          <w:szCs w:val="28"/>
        </w:rPr>
        <w:fldChar w:fldCharType="separate"/>
      </w:r>
      <w:r>
        <w:rPr>
          <w:sz w:val="28"/>
          <w:szCs w:val="28"/>
        </w:rPr>
        <w:t>- 15 -</w:t>
      </w:r>
      <w:r>
        <w:rPr>
          <w:sz w:val="28"/>
          <w:szCs w:val="28"/>
        </w:rPr>
        <w:fldChar w:fldCharType="end"/>
      </w:r>
    </w:p>
    <w:p w14:paraId="61FFCA06">
      <w:pPr>
        <w:pStyle w:val="21"/>
        <w:tabs>
          <w:tab w:val="right" w:leader="dot" w:pos="9072"/>
        </w:tabs>
        <w:rPr>
          <w:sz w:val="28"/>
          <w:szCs w:val="28"/>
        </w:rPr>
      </w:pPr>
      <w:r>
        <w:rPr>
          <w:sz w:val="28"/>
          <w:szCs w:val="28"/>
        </w:rPr>
        <w:t>第四章 项目需求</w:t>
      </w:r>
      <w:r>
        <w:rPr>
          <w:sz w:val="28"/>
          <w:szCs w:val="28"/>
        </w:rPr>
        <w:tab/>
      </w:r>
      <w:r>
        <w:rPr>
          <w:sz w:val="28"/>
          <w:szCs w:val="28"/>
        </w:rPr>
        <w:fldChar w:fldCharType="begin"/>
      </w:r>
      <w:r>
        <w:rPr>
          <w:sz w:val="28"/>
          <w:szCs w:val="28"/>
        </w:rPr>
        <w:instrText xml:space="preserve"> PAGEREF _Toc2329 \h </w:instrText>
      </w:r>
      <w:r>
        <w:rPr>
          <w:sz w:val="28"/>
          <w:szCs w:val="28"/>
        </w:rPr>
        <w:fldChar w:fldCharType="separate"/>
      </w:r>
      <w:r>
        <w:rPr>
          <w:sz w:val="28"/>
          <w:szCs w:val="28"/>
        </w:rPr>
        <w:t>- 47 -</w:t>
      </w:r>
      <w:r>
        <w:rPr>
          <w:sz w:val="28"/>
          <w:szCs w:val="28"/>
        </w:rPr>
        <w:fldChar w:fldCharType="end"/>
      </w:r>
    </w:p>
    <w:p w14:paraId="2CF63FEB">
      <w:pPr>
        <w:pStyle w:val="21"/>
        <w:tabs>
          <w:tab w:val="right" w:leader="dot" w:pos="9072"/>
        </w:tabs>
        <w:rPr>
          <w:sz w:val="28"/>
          <w:szCs w:val="28"/>
        </w:rPr>
      </w:pPr>
      <w:r>
        <w:rPr>
          <w:sz w:val="28"/>
          <w:szCs w:val="28"/>
        </w:rPr>
        <w:t>第五章 评审方法和评审标准</w:t>
      </w:r>
      <w:r>
        <w:rPr>
          <w:sz w:val="28"/>
          <w:szCs w:val="28"/>
        </w:rPr>
        <w:tab/>
      </w:r>
      <w:r>
        <w:rPr>
          <w:sz w:val="28"/>
          <w:szCs w:val="28"/>
        </w:rPr>
        <w:fldChar w:fldCharType="begin"/>
      </w:r>
      <w:r>
        <w:rPr>
          <w:sz w:val="28"/>
          <w:szCs w:val="28"/>
        </w:rPr>
        <w:instrText xml:space="preserve"> PAGEREF _Toc7715 \h </w:instrText>
      </w:r>
      <w:r>
        <w:rPr>
          <w:sz w:val="28"/>
          <w:szCs w:val="28"/>
        </w:rPr>
        <w:fldChar w:fldCharType="separate"/>
      </w:r>
      <w:r>
        <w:rPr>
          <w:sz w:val="28"/>
          <w:szCs w:val="28"/>
        </w:rPr>
        <w:t>- 53 -</w:t>
      </w:r>
      <w:r>
        <w:rPr>
          <w:sz w:val="28"/>
          <w:szCs w:val="28"/>
        </w:rPr>
        <w:fldChar w:fldCharType="end"/>
      </w:r>
    </w:p>
    <w:p w14:paraId="7DFED7E2">
      <w:pPr>
        <w:pStyle w:val="21"/>
        <w:tabs>
          <w:tab w:val="right" w:leader="dot" w:pos="9072"/>
        </w:tabs>
        <w:rPr>
          <w:sz w:val="28"/>
          <w:szCs w:val="28"/>
        </w:rPr>
      </w:pPr>
      <w:r>
        <w:rPr>
          <w:sz w:val="28"/>
          <w:szCs w:val="28"/>
        </w:rPr>
        <w:t>第六章 竞争性磋商响应文件格式</w:t>
      </w:r>
      <w:r>
        <w:rPr>
          <w:sz w:val="28"/>
          <w:szCs w:val="28"/>
        </w:rPr>
        <w:tab/>
      </w:r>
      <w:r>
        <w:rPr>
          <w:sz w:val="28"/>
          <w:szCs w:val="28"/>
        </w:rPr>
        <w:fldChar w:fldCharType="begin"/>
      </w:r>
      <w:r>
        <w:rPr>
          <w:sz w:val="28"/>
          <w:szCs w:val="28"/>
        </w:rPr>
        <w:instrText xml:space="preserve"> PAGEREF _Toc8422 \h </w:instrText>
      </w:r>
      <w:r>
        <w:rPr>
          <w:sz w:val="28"/>
          <w:szCs w:val="28"/>
        </w:rPr>
        <w:fldChar w:fldCharType="separate"/>
      </w:r>
      <w:r>
        <w:rPr>
          <w:sz w:val="28"/>
          <w:szCs w:val="28"/>
        </w:rPr>
        <w:t>- 56 -</w:t>
      </w:r>
      <w:r>
        <w:rPr>
          <w:sz w:val="28"/>
          <w:szCs w:val="28"/>
        </w:rPr>
        <w:fldChar w:fldCharType="end"/>
      </w:r>
    </w:p>
    <w:p w14:paraId="34ACFE2D">
      <w:pPr>
        <w:spacing w:line="360" w:lineRule="auto"/>
        <w:jc w:val="center"/>
        <w:rPr>
          <w:sz w:val="28"/>
          <w:szCs w:val="28"/>
        </w:rPr>
      </w:pPr>
      <w:r>
        <w:rPr>
          <w:sz w:val="28"/>
          <w:szCs w:val="28"/>
        </w:rPr>
        <w:fldChar w:fldCharType="end"/>
      </w:r>
      <w:bookmarkStart w:id="0" w:name="_Toc497145839"/>
      <w:bookmarkStart w:id="1" w:name="_Toc14936"/>
    </w:p>
    <w:p w14:paraId="2EEE1ED6">
      <w:pPr>
        <w:spacing w:line="360" w:lineRule="auto"/>
        <w:jc w:val="center"/>
        <w:rPr>
          <w:rFonts w:hint="eastAsia"/>
          <w:sz w:val="28"/>
          <w:szCs w:val="28"/>
          <w:lang w:val="en-US" w:eastAsia="zh-CN"/>
        </w:rPr>
        <w:sectPr>
          <w:footerReference r:id="rId5" w:type="default"/>
          <w:pgSz w:w="11906" w:h="16838"/>
          <w:pgMar w:top="1440" w:right="1417" w:bottom="1440" w:left="1417" w:header="1191" w:footer="992" w:gutter="0"/>
          <w:pgNumType w:fmt="numberInDash" w:start="1"/>
          <w:cols w:space="720" w:num="1"/>
          <w:docGrid w:type="lines" w:linePitch="319" w:charSpace="0"/>
        </w:sectPr>
      </w:pPr>
    </w:p>
    <w:p w14:paraId="6B9FCE99">
      <w:pPr>
        <w:spacing w:line="360" w:lineRule="auto"/>
        <w:jc w:val="center"/>
      </w:pPr>
      <w:r>
        <w:rPr>
          <w:rFonts w:hint="eastAsia"/>
          <w:sz w:val="28"/>
          <w:szCs w:val="28"/>
          <w:lang w:val="en-US" w:eastAsia="zh-CN"/>
        </w:rPr>
        <w:t xml:space="preserve">     </w:t>
      </w:r>
      <w:r>
        <w:rPr>
          <w:b/>
          <w:bCs/>
          <w:kern w:val="44"/>
          <w:sz w:val="44"/>
          <w:szCs w:val="44"/>
        </w:rPr>
        <w:t>第一章</w:t>
      </w:r>
      <w:r>
        <w:rPr>
          <w:rFonts w:hint="eastAsia"/>
          <w:b/>
          <w:bCs/>
          <w:kern w:val="44"/>
          <w:sz w:val="44"/>
          <w:szCs w:val="44"/>
        </w:rPr>
        <w:t xml:space="preserve"> </w:t>
      </w:r>
      <w:r>
        <w:rPr>
          <w:b/>
          <w:bCs/>
          <w:kern w:val="44"/>
          <w:sz w:val="44"/>
          <w:szCs w:val="44"/>
        </w:rPr>
        <w:t xml:space="preserve"> 竞争性磋商采购</w:t>
      </w:r>
      <w:bookmarkEnd w:id="0"/>
      <w:bookmarkEnd w:id="1"/>
      <w:bookmarkStart w:id="2" w:name="_Toc497145840"/>
      <w:r>
        <w:rPr>
          <w:rFonts w:hint="eastAsia"/>
          <w:b/>
          <w:bCs/>
          <w:kern w:val="44"/>
          <w:sz w:val="44"/>
          <w:szCs w:val="44"/>
        </w:rPr>
        <w:t>公告</w:t>
      </w:r>
    </w:p>
    <w:p w14:paraId="6CC5C402">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szCs w:val="21"/>
        </w:rPr>
      </w:pPr>
      <w:r>
        <w:rPr>
          <w:rFonts w:hint="eastAsia"/>
          <w:szCs w:val="21"/>
          <w:u w:val="single"/>
          <w:lang w:eastAsia="zh-CN"/>
        </w:rPr>
        <w:t>江苏苏维工程管理有限公司</w:t>
      </w:r>
      <w:r>
        <w:rPr>
          <w:szCs w:val="21"/>
        </w:rPr>
        <w:t>受</w:t>
      </w:r>
      <w:r>
        <w:rPr>
          <w:rFonts w:hint="eastAsia"/>
          <w:szCs w:val="21"/>
          <w:u w:val="single"/>
        </w:rPr>
        <w:t xml:space="preserve"> </w:t>
      </w:r>
      <w:r>
        <w:rPr>
          <w:rFonts w:hint="eastAsia"/>
          <w:szCs w:val="21"/>
          <w:u w:val="single"/>
          <w:lang w:eastAsia="zh-CN"/>
        </w:rPr>
        <w:t>扬州大学附属医院</w:t>
      </w:r>
      <w:r>
        <w:rPr>
          <w:rFonts w:hint="eastAsia"/>
          <w:szCs w:val="21"/>
          <w:u w:val="single"/>
        </w:rPr>
        <w:t xml:space="preserve"> </w:t>
      </w:r>
      <w:r>
        <w:rPr>
          <w:szCs w:val="21"/>
        </w:rPr>
        <w:t>的委托，</w:t>
      </w:r>
      <w:r>
        <w:rPr>
          <w:bCs/>
          <w:szCs w:val="21"/>
        </w:rPr>
        <w:t>就</w:t>
      </w:r>
      <w:r>
        <w:rPr>
          <w:rFonts w:hint="eastAsia"/>
          <w:bCs/>
          <w:szCs w:val="21"/>
          <w:u w:val="single"/>
        </w:rPr>
        <w:t xml:space="preserve"> </w:t>
      </w:r>
      <w:r>
        <w:rPr>
          <w:rFonts w:hint="eastAsia"/>
          <w:bCs/>
          <w:szCs w:val="21"/>
          <w:u w:val="single"/>
          <w:lang w:val="en-US" w:eastAsia="zh-CN"/>
        </w:rPr>
        <w:t xml:space="preserve">扬州大学附属医院东西区防坠网安装（二次） </w:t>
      </w:r>
      <w:r>
        <w:rPr>
          <w:szCs w:val="21"/>
        </w:rPr>
        <w:t>实施竞争性磋商采购，欢迎符合相关条件的供应商参加磋商。</w:t>
      </w:r>
    </w:p>
    <w:p w14:paraId="79FD6773">
      <w:pPr>
        <w:spacing w:line="360" w:lineRule="auto"/>
        <w:ind w:firstLine="422" w:firstLineChars="200"/>
        <w:rPr>
          <w:b/>
          <w:szCs w:val="21"/>
        </w:rPr>
      </w:pPr>
      <w:r>
        <w:rPr>
          <w:b/>
          <w:szCs w:val="21"/>
        </w:rPr>
        <w:t>一、</w:t>
      </w:r>
      <w:r>
        <w:rPr>
          <w:b/>
          <w:bCs/>
          <w:szCs w:val="21"/>
        </w:rPr>
        <w:t>采购项目名称</w:t>
      </w:r>
      <w:r>
        <w:rPr>
          <w:b/>
          <w:szCs w:val="21"/>
        </w:rPr>
        <w:t>及编号</w:t>
      </w:r>
    </w:p>
    <w:p w14:paraId="0976A82F">
      <w:pPr>
        <w:spacing w:line="360" w:lineRule="auto"/>
        <w:ind w:firstLine="420" w:firstLineChars="200"/>
        <w:rPr>
          <w:rFonts w:hint="eastAsia" w:eastAsia="宋体"/>
          <w:bCs/>
          <w:szCs w:val="21"/>
          <w:lang w:eastAsia="zh-CN"/>
        </w:rPr>
      </w:pPr>
      <w:r>
        <w:rPr>
          <w:szCs w:val="21"/>
        </w:rPr>
        <w:t>项目名称：</w:t>
      </w:r>
      <w:r>
        <w:rPr>
          <w:rFonts w:hint="eastAsia"/>
          <w:szCs w:val="21"/>
          <w:lang w:eastAsia="zh-CN"/>
        </w:rPr>
        <w:t>扬州大学附属医院东西区防坠网安装（二次）</w:t>
      </w:r>
    </w:p>
    <w:p w14:paraId="281EBADD">
      <w:pPr>
        <w:spacing w:line="360" w:lineRule="auto"/>
        <w:ind w:firstLine="420" w:firstLineChars="200"/>
        <w:rPr>
          <w:rFonts w:hint="eastAsia" w:eastAsia="宋体"/>
          <w:szCs w:val="21"/>
          <w:lang w:eastAsia="zh-CN"/>
        </w:rPr>
      </w:pPr>
      <w:r>
        <w:rPr>
          <w:rFonts w:hint="eastAsia"/>
          <w:szCs w:val="21"/>
        </w:rPr>
        <w:t>项目</w:t>
      </w:r>
      <w:r>
        <w:rPr>
          <w:szCs w:val="21"/>
        </w:rPr>
        <w:t>编号：</w:t>
      </w:r>
      <w:r>
        <w:rPr>
          <w:rFonts w:hint="eastAsia" w:ascii="宋体" w:hAnsi="宋体" w:cs="宋体"/>
          <w:szCs w:val="21"/>
          <w:lang w:eastAsia="zh-CN"/>
        </w:rPr>
        <w:t>YDFYSW-20251201-1号</w:t>
      </w:r>
    </w:p>
    <w:p w14:paraId="3DF37512">
      <w:pPr>
        <w:tabs>
          <w:tab w:val="left" w:pos="900"/>
        </w:tabs>
        <w:spacing w:line="360" w:lineRule="auto"/>
        <w:ind w:firstLine="422" w:firstLineChars="200"/>
        <w:rPr>
          <w:szCs w:val="21"/>
        </w:rPr>
      </w:pPr>
      <w:r>
        <w:rPr>
          <w:b/>
          <w:bCs/>
          <w:szCs w:val="21"/>
        </w:rPr>
        <w:t>二、采购项目简要说明及预算金额</w:t>
      </w:r>
    </w:p>
    <w:p w14:paraId="3FDF03A3">
      <w:pPr>
        <w:tabs>
          <w:tab w:val="left" w:pos="900"/>
        </w:tabs>
        <w:spacing w:line="360" w:lineRule="auto"/>
        <w:ind w:firstLine="420" w:firstLineChars="200"/>
        <w:rPr>
          <w:rFonts w:hint="eastAsia" w:eastAsia="宋体"/>
          <w:szCs w:val="21"/>
          <w:highlight w:val="none"/>
          <w:lang w:eastAsia="zh-CN"/>
        </w:rPr>
      </w:pPr>
      <w:r>
        <w:rPr>
          <w:bCs/>
          <w:szCs w:val="21"/>
          <w:highlight w:val="none"/>
        </w:rPr>
        <w:t>项目简要说明：</w:t>
      </w:r>
      <w:r>
        <w:rPr>
          <w:rFonts w:hint="eastAsia"/>
          <w:bCs/>
          <w:szCs w:val="21"/>
          <w:highlight w:val="none"/>
          <w:lang w:eastAsia="zh-CN"/>
        </w:rPr>
        <w:t>扬州大学附属医院东西区防坠网安装</w:t>
      </w:r>
      <w:r>
        <w:rPr>
          <w:rFonts w:hint="eastAsia"/>
          <w:bCs/>
          <w:szCs w:val="21"/>
          <w:highlight w:val="none"/>
        </w:rPr>
        <w:t>。详见本磋</w:t>
      </w:r>
      <w:bookmarkStart w:id="141" w:name="_GoBack"/>
      <w:bookmarkEnd w:id="141"/>
      <w:r>
        <w:rPr>
          <w:rFonts w:hint="eastAsia"/>
          <w:bCs/>
          <w:szCs w:val="21"/>
          <w:highlight w:val="none"/>
        </w:rPr>
        <w:t>商文件第四章</w:t>
      </w:r>
      <w:r>
        <w:rPr>
          <w:rFonts w:hint="eastAsia"/>
          <w:bCs/>
          <w:szCs w:val="21"/>
          <w:highlight w:val="none"/>
          <w:lang w:eastAsia="zh-CN"/>
        </w:rPr>
        <w:t>。</w:t>
      </w:r>
    </w:p>
    <w:p w14:paraId="2349979E">
      <w:pPr>
        <w:tabs>
          <w:tab w:val="left" w:pos="900"/>
        </w:tabs>
        <w:spacing w:line="360" w:lineRule="auto"/>
        <w:ind w:firstLine="420" w:firstLineChars="200"/>
        <w:rPr>
          <w:rFonts w:hint="default"/>
          <w:color w:val="auto"/>
          <w:szCs w:val="21"/>
          <w:highlight w:val="none"/>
          <w:lang w:val="en-US"/>
        </w:rPr>
      </w:pPr>
      <w:r>
        <w:rPr>
          <w:color w:val="auto"/>
          <w:szCs w:val="21"/>
          <w:highlight w:val="none"/>
        </w:rPr>
        <w:t>预算金额</w:t>
      </w:r>
      <w:r>
        <w:rPr>
          <w:rFonts w:hint="eastAsia"/>
          <w:color w:val="auto"/>
          <w:szCs w:val="21"/>
          <w:highlight w:val="none"/>
          <w:lang w:eastAsia="zh-CN"/>
        </w:rPr>
        <w:t>：</w:t>
      </w:r>
      <w:r>
        <w:rPr>
          <w:rFonts w:hint="eastAsia"/>
          <w:color w:val="auto"/>
          <w:szCs w:val="21"/>
          <w:highlight w:val="none"/>
          <w:lang w:val="en-US" w:eastAsia="zh-CN"/>
        </w:rPr>
        <w:t>47.6万元</w:t>
      </w:r>
    </w:p>
    <w:p w14:paraId="699B64B8">
      <w:pPr>
        <w:tabs>
          <w:tab w:val="left" w:pos="900"/>
        </w:tabs>
        <w:spacing w:line="360" w:lineRule="auto"/>
        <w:ind w:firstLine="420" w:firstLineChars="200"/>
        <w:rPr>
          <w:color w:val="auto"/>
          <w:szCs w:val="21"/>
          <w:highlight w:val="none"/>
        </w:rPr>
      </w:pPr>
      <w:r>
        <w:rPr>
          <w:color w:val="auto"/>
          <w:szCs w:val="21"/>
          <w:highlight w:val="none"/>
        </w:rPr>
        <w:t>本项目设定最高限价，</w:t>
      </w:r>
      <w:r>
        <w:rPr>
          <w:rFonts w:hint="eastAsia"/>
          <w:color w:val="auto"/>
          <w:szCs w:val="21"/>
          <w:highlight w:val="none"/>
        </w:rPr>
        <w:t>46</w:t>
      </w:r>
      <w:r>
        <w:rPr>
          <w:rFonts w:hint="eastAsia"/>
          <w:color w:val="auto"/>
          <w:szCs w:val="21"/>
          <w:highlight w:val="none"/>
          <w:lang w:val="en-US" w:eastAsia="zh-CN"/>
        </w:rPr>
        <w:t>.</w:t>
      </w:r>
      <w:r>
        <w:rPr>
          <w:rFonts w:hint="eastAsia"/>
          <w:color w:val="auto"/>
          <w:szCs w:val="21"/>
          <w:highlight w:val="none"/>
        </w:rPr>
        <w:t>169151万元</w:t>
      </w:r>
      <w:r>
        <w:rPr>
          <w:rFonts w:hint="eastAsia"/>
          <w:color w:val="auto"/>
          <w:szCs w:val="21"/>
          <w:highlight w:val="none"/>
          <w:lang w:eastAsia="zh-CN"/>
        </w:rPr>
        <w:t>，</w:t>
      </w:r>
      <w:r>
        <w:rPr>
          <w:color w:val="auto"/>
          <w:szCs w:val="21"/>
          <w:highlight w:val="none"/>
        </w:rPr>
        <w:t>报价超过最高限价的为无效报价，按照无效响应处理。</w:t>
      </w:r>
    </w:p>
    <w:p w14:paraId="42C9319E">
      <w:pPr>
        <w:spacing w:line="360" w:lineRule="auto"/>
        <w:ind w:firstLine="420" w:firstLineChars="200"/>
        <w:rPr>
          <w:rFonts w:hint="default"/>
          <w:color w:val="auto"/>
          <w:szCs w:val="21"/>
          <w:highlight w:val="none"/>
          <w:lang w:val="en-US"/>
        </w:rPr>
      </w:pPr>
      <w:r>
        <w:rPr>
          <w:rFonts w:hint="eastAsia"/>
          <w:color w:val="auto"/>
          <w:szCs w:val="21"/>
          <w:highlight w:val="none"/>
        </w:rPr>
        <w:t>付款方式：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AC2E3EC">
      <w:pPr>
        <w:shd w:val="clear"/>
        <w:spacing w:line="360" w:lineRule="auto"/>
        <w:ind w:firstLine="420" w:firstLineChars="200"/>
        <w:rPr>
          <w:szCs w:val="21"/>
        </w:rPr>
      </w:pPr>
      <w:r>
        <w:rPr>
          <w:rFonts w:hint="eastAsia"/>
          <w:szCs w:val="21"/>
        </w:rPr>
        <w:t>质保期：两年</w:t>
      </w:r>
    </w:p>
    <w:p w14:paraId="41AE99F8">
      <w:pPr>
        <w:shd w:val="clear"/>
        <w:spacing w:line="360" w:lineRule="auto"/>
        <w:ind w:firstLine="420" w:firstLineChars="200"/>
        <w:rPr>
          <w:rFonts w:hint="eastAsia" w:eastAsia="宋体"/>
          <w:color w:val="auto"/>
          <w:szCs w:val="21"/>
          <w:highlight w:val="none"/>
          <w:lang w:val="en-US" w:eastAsia="zh-CN"/>
        </w:rPr>
      </w:pPr>
      <w:r>
        <w:rPr>
          <w:color w:val="auto"/>
          <w:szCs w:val="21"/>
          <w:highlight w:val="none"/>
        </w:rPr>
        <w:t>工期：</w:t>
      </w:r>
      <w:r>
        <w:rPr>
          <w:rFonts w:hint="eastAsia"/>
          <w:color w:val="auto"/>
          <w:szCs w:val="21"/>
          <w:highlight w:val="none"/>
        </w:rPr>
        <w:t>45日历天。成交单位施工期间，不得以材料设备等订货周期不够等借口要求延长工期，必须采取各种措施保质保量坚决完成本次项目</w:t>
      </w:r>
      <w:r>
        <w:rPr>
          <w:rFonts w:hint="eastAsia"/>
          <w:color w:val="auto"/>
          <w:szCs w:val="21"/>
          <w:highlight w:val="none"/>
          <w:lang w:eastAsia="zh-CN"/>
        </w:rPr>
        <w:t>。</w:t>
      </w:r>
    </w:p>
    <w:p w14:paraId="625592A3">
      <w:pPr>
        <w:numPr>
          <w:ilvl w:val="0"/>
          <w:numId w:val="3"/>
        </w:numPr>
        <w:tabs>
          <w:tab w:val="left" w:pos="900"/>
        </w:tabs>
        <w:spacing w:line="360" w:lineRule="auto"/>
        <w:ind w:left="420"/>
        <w:rPr>
          <w:szCs w:val="21"/>
        </w:rPr>
      </w:pPr>
      <w:r>
        <w:rPr>
          <w:rFonts w:hint="eastAsia" w:ascii="宋体" w:hAnsi="宋体" w:cs="宋体"/>
          <w:b/>
          <w:bCs/>
          <w:szCs w:val="21"/>
        </w:rPr>
        <w:t>申请人的资格要求</w:t>
      </w:r>
    </w:p>
    <w:p w14:paraId="07E7655D">
      <w:pPr>
        <w:spacing w:line="360" w:lineRule="auto"/>
        <w:ind w:firstLine="210" w:firstLineChars="100"/>
        <w:rPr>
          <w:rFonts w:hint="eastAsia" w:ascii="宋体" w:hAnsi="宋体" w:cs="宋体"/>
          <w:szCs w:val="21"/>
        </w:rPr>
      </w:pPr>
      <w:r>
        <w:rPr>
          <w:rFonts w:hint="eastAsia" w:ascii="宋体" w:hAnsi="宋体" w:cs="宋体"/>
          <w:szCs w:val="21"/>
        </w:rPr>
        <w:t>（一）通用资格要求</w:t>
      </w:r>
    </w:p>
    <w:p w14:paraId="532854B6">
      <w:pPr>
        <w:spacing w:line="360" w:lineRule="auto"/>
        <w:ind w:firstLine="420" w:firstLineChars="200"/>
        <w:rPr>
          <w:rFonts w:hint="eastAsia" w:ascii="宋体" w:hAnsi="宋体" w:cs="宋体"/>
          <w:szCs w:val="21"/>
        </w:rPr>
      </w:pPr>
      <w:r>
        <w:rPr>
          <w:rFonts w:hint="eastAsia" w:ascii="宋体" w:hAnsi="宋体" w:cs="宋体"/>
          <w:szCs w:val="21"/>
        </w:rPr>
        <w:t>1.满足《中华人民共和国政府采购法》第二十二条规定，并提供下列材料：</w:t>
      </w:r>
    </w:p>
    <w:p w14:paraId="4D469F3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1.1 法人或者其他组织的营业执照等证明文件，自然人的身份证明</w:t>
      </w:r>
      <w:r>
        <w:rPr>
          <w:rFonts w:hint="eastAsia" w:ascii="宋体" w:hAnsi="宋体" w:cs="宋体"/>
          <w:b/>
          <w:bCs/>
          <w:i/>
          <w:iCs/>
          <w:szCs w:val="21"/>
          <w:u w:val="single"/>
        </w:rPr>
        <w:t>（身份证为正、反面）</w:t>
      </w:r>
      <w:r>
        <w:rPr>
          <w:rFonts w:hint="eastAsia" w:ascii="宋体" w:hAnsi="宋体" w:cs="宋体"/>
          <w:i/>
          <w:iCs/>
          <w:szCs w:val="21"/>
          <w:u w:val="single"/>
        </w:rPr>
        <w:t>；</w:t>
      </w:r>
    </w:p>
    <w:p w14:paraId="5D9CC0E2">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lang w:val="en-US" w:eastAsia="zh-CN"/>
        </w:rPr>
        <w:t>1.2</w:t>
      </w:r>
      <w:r>
        <w:rPr>
          <w:rFonts w:hint="eastAsia" w:ascii="宋体" w:hAnsi="宋体" w:cs="宋体"/>
          <w:i/>
          <w:iCs/>
          <w:szCs w:val="21"/>
          <w:u w:val="single"/>
        </w:rPr>
        <w:t>若法定代表人参加磋商的，须提供本人身份证复印件</w:t>
      </w:r>
      <w:r>
        <w:rPr>
          <w:rFonts w:hint="eastAsia" w:ascii="宋体" w:hAnsi="宋体" w:cs="宋体"/>
          <w:b/>
          <w:bCs/>
          <w:i/>
          <w:iCs/>
          <w:szCs w:val="21"/>
          <w:u w:val="single"/>
        </w:rPr>
        <w:t>(原件备查)</w:t>
      </w:r>
      <w:r>
        <w:rPr>
          <w:rFonts w:hint="eastAsia" w:ascii="宋体" w:hAnsi="宋体" w:cs="宋体"/>
          <w:i/>
          <w:iCs/>
          <w:szCs w:val="21"/>
          <w:u w:val="single"/>
        </w:rPr>
        <w:t>；若授权代表参加的，须提供《法人授权书》原件和授权代表身份证复印件</w:t>
      </w:r>
      <w:r>
        <w:rPr>
          <w:rFonts w:hint="eastAsia" w:ascii="宋体" w:hAnsi="宋体" w:cs="宋体"/>
          <w:b/>
          <w:bCs/>
          <w:i/>
          <w:iCs/>
          <w:szCs w:val="21"/>
          <w:u w:val="single"/>
        </w:rPr>
        <w:t>（原件备查）</w:t>
      </w:r>
      <w:r>
        <w:rPr>
          <w:rFonts w:hint="eastAsia" w:ascii="宋体" w:hAnsi="宋体" w:cs="宋体"/>
          <w:i/>
          <w:iCs/>
          <w:szCs w:val="21"/>
          <w:u w:val="single"/>
        </w:rPr>
        <w:t>；</w:t>
      </w:r>
    </w:p>
    <w:p w14:paraId="2957A7D3">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3 2024</w:t>
      </w:r>
      <w:r>
        <w:rPr>
          <w:rFonts w:hint="eastAsia" w:ascii="宋体" w:hAnsi="宋体" w:cs="宋体"/>
          <w:i/>
          <w:iCs/>
          <w:szCs w:val="21"/>
          <w:u w:val="single"/>
        </w:rPr>
        <w:t>年度</w:t>
      </w:r>
      <w:r>
        <w:rPr>
          <w:rFonts w:hint="eastAsia" w:ascii="宋体" w:hAnsi="宋体" w:cs="宋体"/>
          <w:i/>
          <w:iCs/>
          <w:szCs w:val="21"/>
          <w:u w:val="single"/>
          <w:lang w:val="en-US" w:eastAsia="zh-CN"/>
        </w:rPr>
        <w:t>或2025年度</w:t>
      </w:r>
      <w:r>
        <w:rPr>
          <w:rFonts w:hint="eastAsia" w:ascii="宋体" w:hAnsi="宋体" w:cs="宋体"/>
          <w:i/>
          <w:iCs/>
          <w:szCs w:val="21"/>
          <w:u w:val="single"/>
        </w:rPr>
        <w:t>的财务状况报告（成立不满一年无需提供）；</w:t>
      </w:r>
    </w:p>
    <w:p w14:paraId="22CE1A21">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4</w:t>
      </w:r>
      <w:r>
        <w:rPr>
          <w:rFonts w:hint="eastAsia" w:ascii="宋体" w:hAnsi="宋体" w:cs="宋体"/>
          <w:i/>
          <w:iCs/>
          <w:szCs w:val="21"/>
          <w:u w:val="single"/>
        </w:rPr>
        <w:t>依法缴纳税收和社会保障资金的相关材料（提供提交响应文件截止时间前一年内至少一个月依法缴纳税收及缴纳社会保障资金的证明材料。供应商依法享受缓缴、免缴税收、社会保障资金的提供证明材料。）；</w:t>
      </w:r>
    </w:p>
    <w:p w14:paraId="57CD1A9C">
      <w:pPr>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1.</w:t>
      </w:r>
      <w:r>
        <w:rPr>
          <w:rFonts w:hint="eastAsia" w:ascii="宋体" w:hAnsi="宋体" w:cs="宋体"/>
          <w:i/>
          <w:iCs/>
          <w:szCs w:val="21"/>
          <w:u w:val="single"/>
          <w:lang w:val="en-US" w:eastAsia="zh-CN"/>
        </w:rPr>
        <w:t>5</w:t>
      </w:r>
      <w:r>
        <w:rPr>
          <w:rFonts w:hint="eastAsia" w:ascii="宋体" w:hAnsi="宋体" w:cs="宋体"/>
          <w:i/>
          <w:iCs/>
          <w:szCs w:val="21"/>
          <w:u w:val="single"/>
        </w:rPr>
        <w:t>具备履行合同所必需的设备和专业技术能力的书面声明；</w:t>
      </w:r>
    </w:p>
    <w:p w14:paraId="7282BC78">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6</w:t>
      </w:r>
      <w:r>
        <w:rPr>
          <w:rFonts w:hint="eastAsia" w:ascii="宋体" w:hAnsi="宋体" w:cs="宋体"/>
          <w:i/>
          <w:iCs/>
          <w:szCs w:val="21"/>
          <w:u w:val="single"/>
        </w:rPr>
        <w:t>参加政府采购活动前3年内在经营活动中没有重大违法记录的书面声明</w:t>
      </w:r>
      <w:r>
        <w:rPr>
          <w:rFonts w:hint="eastAsia" w:ascii="宋体" w:hAnsi="宋体" w:cs="宋体"/>
          <w:i/>
          <w:iCs/>
          <w:szCs w:val="21"/>
          <w:u w:val="single"/>
          <w:lang w:eastAsia="zh-CN"/>
        </w:rPr>
        <w:t>；</w:t>
      </w:r>
    </w:p>
    <w:p w14:paraId="407CBCE1">
      <w:pPr>
        <w:spacing w:line="360" w:lineRule="auto"/>
        <w:ind w:firstLine="420" w:firstLineChars="200"/>
        <w:rPr>
          <w:rFonts w:hint="eastAsia" w:ascii="宋体" w:hAnsi="宋体" w:eastAsia="宋体" w:cs="宋体"/>
          <w:i/>
          <w:iCs/>
          <w:szCs w:val="21"/>
          <w:u w:val="single"/>
          <w:lang w:eastAsia="zh-CN"/>
        </w:rPr>
      </w:pPr>
      <w:r>
        <w:rPr>
          <w:rFonts w:hint="eastAsia" w:ascii="宋体" w:hAnsi="宋体" w:cs="宋体"/>
          <w:i/>
          <w:iCs/>
          <w:szCs w:val="21"/>
          <w:u w:val="single"/>
        </w:rPr>
        <w:t>1.</w:t>
      </w:r>
      <w:r>
        <w:rPr>
          <w:rFonts w:hint="eastAsia" w:ascii="宋体" w:hAnsi="宋体" w:cs="宋体"/>
          <w:i/>
          <w:iCs/>
          <w:szCs w:val="21"/>
          <w:u w:val="single"/>
          <w:lang w:val="en-US" w:eastAsia="zh-CN"/>
        </w:rPr>
        <w:t>7</w:t>
      </w:r>
      <w:r>
        <w:rPr>
          <w:rFonts w:hint="eastAsia" w:ascii="宋体" w:hAnsi="宋体" w:cs="宋体"/>
          <w:i/>
          <w:iCs/>
          <w:szCs w:val="21"/>
          <w:u w:val="single"/>
        </w:rPr>
        <w:t>供应商信用承诺书</w:t>
      </w:r>
      <w:r>
        <w:rPr>
          <w:rFonts w:hint="eastAsia" w:ascii="宋体" w:hAnsi="宋体" w:cs="宋体"/>
          <w:i/>
          <w:iCs/>
          <w:szCs w:val="21"/>
          <w:u w:val="single"/>
          <w:lang w:eastAsia="zh-CN"/>
        </w:rPr>
        <w:t>。</w:t>
      </w:r>
    </w:p>
    <w:p w14:paraId="1C8533B8">
      <w:pPr>
        <w:spacing w:line="360" w:lineRule="auto"/>
        <w:ind w:firstLine="420" w:firstLineChars="200"/>
        <w:rPr>
          <w:rFonts w:hint="eastAsia" w:ascii="宋体" w:hAnsi="宋体" w:eastAsia="宋体" w:cs="宋体"/>
          <w:i/>
          <w:iCs/>
          <w:szCs w:val="21"/>
          <w:u w:val="single"/>
          <w:lang w:eastAsia="zh-CN"/>
        </w:rPr>
      </w:pPr>
      <w:r>
        <w:rPr>
          <w:rFonts w:hint="eastAsia" w:ascii="宋体" w:hAnsi="宋体" w:eastAsia="宋体" w:cs="宋体"/>
          <w:i/>
          <w:iCs/>
          <w:szCs w:val="21"/>
          <w:u w:val="single"/>
          <w:lang w:val="en-US" w:eastAsia="zh-CN"/>
        </w:rPr>
        <w:t>1.8</w:t>
      </w:r>
      <w:r>
        <w:rPr>
          <w:rFonts w:hint="eastAsia" w:ascii="宋体" w:hAnsi="宋体" w:eastAsia="宋体" w:cs="宋体"/>
          <w:i/>
          <w:iCs/>
          <w:szCs w:val="21"/>
          <w:u w:val="single"/>
        </w:rPr>
        <w:t>未被“信用中国”网站（www.creditchina.gov.cn）、“中国政府采购网"(www.ccgp.gov.cn)列入失信被执行人、重大税收违法案件当事人名单、政府采购严重违法失信行为记录名单（响应文件中无需提供证明材料）</w:t>
      </w:r>
      <w:r>
        <w:rPr>
          <w:rFonts w:hint="eastAsia" w:ascii="宋体" w:hAnsi="宋体" w:eastAsia="宋体" w:cs="宋体"/>
          <w:i/>
          <w:iCs/>
          <w:szCs w:val="21"/>
          <w:u w:val="single"/>
          <w:lang w:eastAsia="zh-CN"/>
        </w:rPr>
        <w:t>。</w:t>
      </w:r>
    </w:p>
    <w:p w14:paraId="3D1DD184">
      <w:pPr>
        <w:spacing w:line="360" w:lineRule="auto"/>
        <w:ind w:firstLine="420" w:firstLineChars="200"/>
        <w:rPr>
          <w:rFonts w:hint="eastAsia" w:ascii="宋体" w:hAnsi="宋体" w:cs="宋体"/>
          <w:szCs w:val="21"/>
        </w:rPr>
      </w:pPr>
      <w:r>
        <w:rPr>
          <w:rFonts w:hint="eastAsia" w:ascii="宋体" w:hAnsi="宋体" w:cs="宋体"/>
          <w:szCs w:val="21"/>
          <w:lang w:val="en-US" w:eastAsia="zh-CN"/>
        </w:rPr>
        <w:t>2</w:t>
      </w:r>
      <w:r>
        <w:rPr>
          <w:rFonts w:hint="eastAsia" w:ascii="宋体" w:hAnsi="宋体" w:cs="宋体"/>
          <w:szCs w:val="21"/>
        </w:rPr>
        <w:t>.落实政府采购政策需满足的资格要求：</w:t>
      </w:r>
    </w:p>
    <w:p w14:paraId="3BFB8D38">
      <w:pPr>
        <w:adjustRightInd w:val="0"/>
        <w:snapToGrid w:val="0"/>
        <w:spacing w:line="360" w:lineRule="auto"/>
        <w:ind w:firstLine="420" w:firstLineChars="200"/>
        <w:rPr>
          <w:rFonts w:hint="eastAsia" w:ascii="宋体" w:hAnsi="宋体" w:cs="宋体"/>
          <w:i/>
          <w:iCs/>
          <w:szCs w:val="21"/>
          <w:u w:val="single"/>
        </w:rPr>
      </w:pPr>
      <w:r>
        <w:rPr>
          <w:rFonts w:hint="eastAsia" w:ascii="宋体" w:hAnsi="宋体" w:cs="宋体"/>
          <w:i/>
          <w:iCs/>
          <w:szCs w:val="21"/>
          <w:u w:val="single"/>
        </w:rPr>
        <w:t>根据《政府采购促进中小企业发展管理办法》的规定，本项目专门面向中小企业采购，供应商磋商时须提供《中小企业声明函》，《中小企业声明函》不符合要求或未提供的，响应文件无效。</w:t>
      </w:r>
    </w:p>
    <w:p w14:paraId="3C657622">
      <w:pPr>
        <w:pStyle w:val="96"/>
        <w:spacing w:line="360" w:lineRule="auto"/>
        <w:ind w:firstLine="420" w:firstLineChars="200"/>
        <w:rPr>
          <w:rFonts w:hint="eastAsia" w:hAnsi="宋体" w:eastAsia="宋体"/>
          <w:color w:val="auto"/>
          <w:sz w:val="21"/>
          <w:szCs w:val="21"/>
          <w:lang w:eastAsia="zh-CN"/>
        </w:rPr>
      </w:pPr>
      <w:r>
        <w:rPr>
          <w:rFonts w:hint="eastAsia" w:hAnsi="宋体"/>
          <w:color w:val="auto"/>
          <w:sz w:val="21"/>
          <w:szCs w:val="21"/>
        </w:rPr>
        <w:t>注：本项目中小企业划分标准参照《关于印发中小企业划型标准规定的通知》（工信部联企[2011]300号）中第（三）条：</w:t>
      </w:r>
      <w:r>
        <w:rPr>
          <w:rFonts w:hint="eastAsia" w:hAnsi="宋体"/>
          <w:b/>
          <w:bCs/>
          <w:color w:val="auto"/>
          <w:sz w:val="21"/>
          <w:szCs w:val="21"/>
        </w:rPr>
        <w:t>建筑业</w:t>
      </w:r>
      <w:r>
        <w:rPr>
          <w:rFonts w:hint="eastAsia" w:hAnsi="宋体"/>
          <w:b/>
          <w:bCs/>
          <w:color w:val="auto"/>
          <w:sz w:val="21"/>
          <w:szCs w:val="21"/>
          <w:lang w:eastAsia="zh-CN"/>
        </w:rPr>
        <w:t>。</w:t>
      </w:r>
    </w:p>
    <w:p w14:paraId="1B71D98F">
      <w:pPr>
        <w:spacing w:line="360" w:lineRule="auto"/>
        <w:ind w:firstLine="420" w:firstLineChars="200"/>
        <w:rPr>
          <w:rFonts w:hint="eastAsia" w:ascii="宋体" w:hAnsi="宋体" w:cs="宋体"/>
          <w:kern w:val="0"/>
          <w:szCs w:val="21"/>
        </w:rPr>
      </w:pPr>
      <w:r>
        <w:rPr>
          <w:rFonts w:hint="eastAsia" w:ascii="宋体" w:hAnsi="宋体" w:cs="宋体"/>
          <w:szCs w:val="21"/>
          <w:lang w:val="en-US" w:eastAsia="zh-CN"/>
        </w:rPr>
        <w:t>3</w:t>
      </w:r>
      <w:r>
        <w:rPr>
          <w:rFonts w:hint="eastAsia" w:ascii="宋体" w:hAnsi="宋体" w:cs="宋体"/>
          <w:szCs w:val="21"/>
        </w:rPr>
        <w:t>.本项目</w:t>
      </w:r>
      <w:r>
        <w:rPr>
          <w:rFonts w:hint="eastAsia" w:ascii="宋体" w:hAnsi="宋体" w:cs="宋体"/>
          <w:szCs w:val="21"/>
          <w:u w:val="single"/>
        </w:rPr>
        <w:t xml:space="preserve"> </w:t>
      </w:r>
      <w:r>
        <w:rPr>
          <w:rFonts w:hint="eastAsia" w:ascii="宋体" w:hAnsi="宋体" w:cs="宋体"/>
          <w:i/>
          <w:iCs/>
          <w:szCs w:val="21"/>
          <w:u w:val="single"/>
        </w:rPr>
        <w:t>不接受</w:t>
      </w:r>
      <w:r>
        <w:rPr>
          <w:rFonts w:hint="eastAsia" w:ascii="宋体" w:hAnsi="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cs="宋体"/>
          <w:szCs w:val="21"/>
        </w:rPr>
        <w:t>联合体参与磋商（接受/不接受）</w:t>
      </w:r>
    </w:p>
    <w:p w14:paraId="79B4094E">
      <w:pPr>
        <w:snapToGrid w:val="0"/>
        <w:spacing w:line="360" w:lineRule="auto"/>
        <w:ind w:firstLine="210" w:firstLineChars="100"/>
        <w:rPr>
          <w:rFonts w:hint="eastAsia" w:ascii="宋体" w:hAnsi="宋体" w:cs="宋体"/>
          <w:b/>
          <w:bCs/>
          <w:i/>
          <w:iCs/>
          <w:szCs w:val="21"/>
          <w:u w:val="single"/>
        </w:rPr>
      </w:pPr>
      <w:r>
        <w:rPr>
          <w:rFonts w:hint="eastAsia" w:ascii="宋体" w:hAnsi="宋体" w:cs="宋体"/>
          <w:kern w:val="0"/>
          <w:szCs w:val="21"/>
        </w:rPr>
        <w:t>（二）本项目的特定资格要求：</w:t>
      </w:r>
    </w:p>
    <w:p w14:paraId="0AD5E4AF">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1.1供应商</w:t>
      </w:r>
      <w:r>
        <w:rPr>
          <w:rFonts w:hint="eastAsia" w:ascii="宋体" w:hAnsi="宋体" w:cs="宋体"/>
          <w:i/>
          <w:iCs/>
          <w:color w:val="auto"/>
          <w:szCs w:val="21"/>
          <w:u w:val="single"/>
          <w:lang w:val="en-US" w:eastAsia="zh-CN"/>
        </w:rPr>
        <w:t>具</w:t>
      </w:r>
      <w:r>
        <w:rPr>
          <w:rFonts w:hint="eastAsia" w:ascii="宋体" w:hAnsi="宋体" w:cs="宋体"/>
          <w:i/>
          <w:iCs/>
          <w:color w:val="auto"/>
          <w:szCs w:val="21"/>
          <w:highlight w:val="none"/>
          <w:u w:val="single"/>
          <w:lang w:val="en-US" w:eastAsia="zh-CN"/>
        </w:rPr>
        <w:t>备有效期内的建筑工程施工总承包三级及以上资质</w:t>
      </w:r>
      <w:r>
        <w:rPr>
          <w:rFonts w:hint="eastAsia" w:ascii="宋体" w:hAnsi="宋体" w:cs="宋体"/>
          <w:b/>
          <w:bCs/>
          <w:i/>
          <w:iCs/>
          <w:color w:val="auto"/>
          <w:szCs w:val="21"/>
          <w:highlight w:val="none"/>
          <w:u w:val="single"/>
        </w:rPr>
        <w:t>（复印件加盖供应商公章）</w:t>
      </w:r>
    </w:p>
    <w:p w14:paraId="4AB2BE0D">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1.2供应商具备安全生产条件，并取得有效期内的安全生产许可证</w:t>
      </w:r>
      <w:r>
        <w:rPr>
          <w:rFonts w:hint="eastAsia" w:ascii="宋体" w:hAnsi="宋体" w:cs="宋体"/>
          <w:b/>
          <w:bCs/>
          <w:i/>
          <w:iCs/>
          <w:color w:val="auto"/>
          <w:szCs w:val="21"/>
          <w:u w:val="single"/>
        </w:rPr>
        <w:t>(复印件加盖供应商公章)</w:t>
      </w:r>
    </w:p>
    <w:p w14:paraId="03672D75">
      <w:pPr>
        <w:snapToGrid w:val="0"/>
        <w:spacing w:line="360" w:lineRule="auto"/>
        <w:ind w:firstLine="210" w:firstLineChars="100"/>
        <w:rPr>
          <w:rFonts w:hint="eastAsia" w:ascii="宋体" w:hAnsi="宋体" w:cs="宋体"/>
          <w:i/>
          <w:iCs/>
          <w:color w:val="auto"/>
          <w:szCs w:val="21"/>
          <w:u w:val="single"/>
        </w:rPr>
      </w:pPr>
      <w:r>
        <w:rPr>
          <w:rFonts w:hint="eastAsia" w:ascii="宋体" w:hAnsi="宋体" w:cs="宋体"/>
          <w:i/>
          <w:iCs/>
          <w:color w:val="auto"/>
          <w:szCs w:val="21"/>
          <w:u w:val="single"/>
        </w:rPr>
        <w:t>1.3拟派项目负责人为本公司正式员工，正常缴纳社会保险，具</w:t>
      </w:r>
      <w:r>
        <w:rPr>
          <w:rFonts w:hint="eastAsia" w:ascii="宋体" w:hAnsi="宋体" w:cs="宋体"/>
          <w:i/>
          <w:iCs/>
          <w:color w:val="auto"/>
          <w:szCs w:val="21"/>
          <w:highlight w:val="none"/>
          <w:u w:val="single"/>
        </w:rPr>
        <w:t>备</w:t>
      </w:r>
      <w:r>
        <w:rPr>
          <w:rFonts w:hint="eastAsia" w:ascii="宋体" w:hAnsi="宋体" w:cs="宋体"/>
          <w:i/>
          <w:iCs/>
          <w:color w:val="auto"/>
          <w:szCs w:val="21"/>
          <w:highlight w:val="none"/>
          <w:u w:val="single"/>
          <w:lang w:val="en-US" w:eastAsia="zh-CN"/>
        </w:rPr>
        <w:t>建筑工程</w:t>
      </w:r>
      <w:r>
        <w:rPr>
          <w:rFonts w:hint="eastAsia" w:ascii="宋体" w:hAnsi="宋体" w:cs="宋体"/>
          <w:i/>
          <w:iCs/>
          <w:color w:val="auto"/>
          <w:szCs w:val="21"/>
          <w:highlight w:val="none"/>
          <w:u w:val="single"/>
        </w:rPr>
        <w:t>专业二级及以上注册建造师执业资格，且具备有效期内的安全生产考核合格证B证(提供</w:t>
      </w:r>
      <w:r>
        <w:rPr>
          <w:rFonts w:hint="eastAsia" w:ascii="宋体" w:hAnsi="宋体" w:cs="宋体"/>
          <w:i/>
          <w:iCs/>
          <w:color w:val="auto"/>
          <w:szCs w:val="21"/>
          <w:u w:val="single"/>
        </w:rPr>
        <w:t>拟派项目负责人相关证书及供应商为其缴纳的</w:t>
      </w:r>
      <w:r>
        <w:rPr>
          <w:rFonts w:hint="eastAsia" w:ascii="宋体" w:hAnsi="宋体" w:cs="宋体"/>
          <w:i/>
          <w:iCs/>
          <w:color w:val="auto"/>
          <w:szCs w:val="21"/>
          <w:u w:val="single"/>
          <w:lang w:val="en-US" w:eastAsia="zh-CN"/>
        </w:rPr>
        <w:t>近</w:t>
      </w:r>
      <w:r>
        <w:rPr>
          <w:rFonts w:hint="eastAsia" w:ascii="宋体" w:hAnsi="宋体" w:cs="宋体"/>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i/>
          <w:iCs/>
          <w:color w:val="auto"/>
          <w:szCs w:val="21"/>
          <w:u w:val="single"/>
        </w:rPr>
        <w:t>)</w:t>
      </w:r>
    </w:p>
    <w:p w14:paraId="1BF1513B">
      <w:pPr>
        <w:snapToGrid w:val="0"/>
        <w:spacing w:line="360" w:lineRule="auto"/>
        <w:ind w:firstLine="210" w:firstLineChars="100"/>
        <w:rPr>
          <w:rFonts w:hint="eastAsia" w:ascii="宋体" w:hAnsi="宋体" w:cs="宋体"/>
          <w:b/>
          <w:bCs/>
          <w:i/>
          <w:iCs/>
          <w:color w:val="auto"/>
          <w:szCs w:val="21"/>
          <w:highlight w:val="none"/>
          <w:u w:val="single"/>
        </w:rPr>
      </w:pPr>
      <w:r>
        <w:rPr>
          <w:rFonts w:hint="eastAsia" w:ascii="宋体" w:hAnsi="宋体" w:eastAsia="宋体" w:cs="宋体"/>
          <w:i/>
          <w:iCs/>
          <w:color w:val="auto"/>
          <w:szCs w:val="21"/>
          <w:highlight w:val="none"/>
          <w:u w:val="single"/>
          <w:lang w:val="en-US" w:eastAsia="zh-CN"/>
        </w:rPr>
        <w:t>1.4</w:t>
      </w:r>
      <w:r>
        <w:rPr>
          <w:rFonts w:hint="eastAsia" w:ascii="宋体" w:hAnsi="宋体" w:cs="宋体"/>
          <w:i/>
          <w:iCs/>
          <w:color w:val="auto"/>
          <w:szCs w:val="21"/>
          <w:highlight w:val="none"/>
          <w:u w:val="single"/>
        </w:rPr>
        <w:t>拟派项目负责人无在建工程承诺书</w:t>
      </w:r>
      <w:r>
        <w:rPr>
          <w:rFonts w:hint="eastAsia" w:ascii="宋体" w:hAnsi="宋体" w:cs="宋体"/>
          <w:b/>
          <w:bCs/>
          <w:i/>
          <w:iCs/>
          <w:color w:val="auto"/>
          <w:szCs w:val="21"/>
          <w:highlight w:val="none"/>
          <w:u w:val="single"/>
        </w:rPr>
        <w:t>(复印件加盖供应商公章)</w:t>
      </w:r>
    </w:p>
    <w:p w14:paraId="076B6CE4">
      <w:pPr>
        <w:snapToGrid w:val="0"/>
        <w:spacing w:line="360" w:lineRule="auto"/>
        <w:ind w:firstLine="210" w:firstLineChars="100"/>
        <w:rPr>
          <w:rFonts w:hint="eastAsia" w:ascii="宋体" w:hAnsi="宋体" w:eastAsia="宋体" w:cs="宋体"/>
          <w:b w:val="0"/>
          <w:bCs w:val="0"/>
          <w:i/>
          <w:iCs/>
          <w:color w:val="auto"/>
          <w:szCs w:val="21"/>
          <w:highlight w:val="none"/>
          <w:u w:val="single"/>
          <w:lang w:val="en-US" w:eastAsia="zh-CN"/>
        </w:rPr>
      </w:pPr>
      <w:r>
        <w:rPr>
          <w:rFonts w:hint="eastAsia" w:ascii="宋体" w:hAnsi="宋体" w:cs="宋体"/>
          <w:b w:val="0"/>
          <w:bCs w:val="0"/>
          <w:i/>
          <w:iCs/>
          <w:color w:val="auto"/>
          <w:szCs w:val="21"/>
          <w:highlight w:val="none"/>
          <w:u w:val="single"/>
          <w:lang w:val="en-US" w:eastAsia="zh-CN"/>
        </w:rPr>
        <w:t>1.5拟派项目组成员中须有一名具有有效的建筑施工特种作业操作证（高处作业类）</w:t>
      </w:r>
      <w:r>
        <w:rPr>
          <w:rFonts w:hint="eastAsia" w:ascii="宋体" w:hAnsi="宋体" w:cs="宋体"/>
          <w:b w:val="0"/>
          <w:bCs w:val="0"/>
          <w:i/>
          <w:iCs/>
          <w:color w:val="auto"/>
          <w:szCs w:val="21"/>
          <w:highlight w:val="none"/>
          <w:u w:val="single"/>
        </w:rPr>
        <w:t>(提供</w:t>
      </w:r>
      <w:r>
        <w:rPr>
          <w:rFonts w:hint="eastAsia" w:ascii="宋体" w:hAnsi="宋体" w:cs="宋体"/>
          <w:b w:val="0"/>
          <w:bCs w:val="0"/>
          <w:i/>
          <w:iCs/>
          <w:color w:val="auto"/>
          <w:szCs w:val="21"/>
          <w:u w:val="single"/>
        </w:rPr>
        <w:t>拟派</w:t>
      </w:r>
      <w:r>
        <w:rPr>
          <w:rFonts w:hint="eastAsia" w:ascii="宋体" w:hAnsi="宋体" w:cs="宋体"/>
          <w:b w:val="0"/>
          <w:bCs w:val="0"/>
          <w:i/>
          <w:iCs/>
          <w:color w:val="auto"/>
          <w:szCs w:val="21"/>
          <w:u w:val="single"/>
          <w:lang w:val="en-US" w:eastAsia="zh-CN"/>
        </w:rPr>
        <w:t>成员</w:t>
      </w:r>
      <w:r>
        <w:rPr>
          <w:rFonts w:hint="eastAsia" w:ascii="宋体" w:hAnsi="宋体" w:cs="宋体"/>
          <w:b w:val="0"/>
          <w:bCs w:val="0"/>
          <w:i/>
          <w:iCs/>
          <w:color w:val="auto"/>
          <w:szCs w:val="21"/>
          <w:u w:val="single"/>
        </w:rPr>
        <w:t>相关证书及供应商为其缴纳的</w:t>
      </w:r>
      <w:r>
        <w:rPr>
          <w:rFonts w:hint="eastAsia" w:ascii="宋体" w:hAnsi="宋体" w:cs="宋体"/>
          <w:b w:val="0"/>
          <w:bCs w:val="0"/>
          <w:i/>
          <w:iCs/>
          <w:color w:val="auto"/>
          <w:szCs w:val="21"/>
          <w:u w:val="single"/>
          <w:lang w:val="en-US" w:eastAsia="zh-CN"/>
        </w:rPr>
        <w:t>近</w:t>
      </w:r>
      <w:r>
        <w:rPr>
          <w:rFonts w:hint="eastAsia" w:ascii="宋体" w:hAnsi="宋体" w:cs="宋体"/>
          <w:b w:val="0"/>
          <w:bCs w:val="0"/>
          <w:i/>
          <w:iCs/>
          <w:color w:val="auto"/>
          <w:szCs w:val="21"/>
          <w:u w:val="single"/>
        </w:rPr>
        <w:t>三个月内任意一个月的社保证明</w:t>
      </w:r>
      <w:r>
        <w:rPr>
          <w:rFonts w:hint="eastAsia" w:ascii="宋体" w:hAnsi="宋体" w:cs="宋体"/>
          <w:b/>
          <w:bCs/>
          <w:i/>
          <w:iCs/>
          <w:color w:val="auto"/>
          <w:szCs w:val="21"/>
          <w:u w:val="single"/>
        </w:rPr>
        <w:t>(复印件加盖供应商公章)</w:t>
      </w:r>
      <w:r>
        <w:rPr>
          <w:rFonts w:hint="eastAsia" w:ascii="宋体" w:hAnsi="宋体" w:cs="宋体"/>
          <w:b/>
          <w:bCs/>
          <w:i/>
          <w:iCs/>
          <w:color w:val="auto"/>
          <w:szCs w:val="21"/>
          <w:u w:val="single"/>
          <w:lang w:eastAsia="zh-CN"/>
        </w:rPr>
        <w:t>）</w:t>
      </w:r>
    </w:p>
    <w:p w14:paraId="43E07259">
      <w:pPr>
        <w:spacing w:line="360" w:lineRule="auto"/>
        <w:ind w:firstLine="422" w:firstLineChars="200"/>
        <w:rPr>
          <w:rFonts w:hint="eastAsia" w:ascii="宋体" w:hAnsi="宋体" w:cs="宋体"/>
          <w:szCs w:val="21"/>
          <w:highlight w:val="none"/>
          <w:lang w:val="en-US" w:eastAsia="zh-CN"/>
        </w:rPr>
      </w:pPr>
      <w:r>
        <w:rPr>
          <w:rFonts w:hint="eastAsia" w:ascii="宋体" w:hAnsi="宋体" w:cs="宋体"/>
          <w:b/>
          <w:bCs/>
          <w:szCs w:val="21"/>
        </w:rPr>
        <w:t>四、获取采购文件</w:t>
      </w:r>
    </w:p>
    <w:p w14:paraId="5EEE7E8D">
      <w:pPr>
        <w:tabs>
          <w:tab w:val="left" w:pos="900"/>
        </w:tabs>
        <w:spacing w:line="360" w:lineRule="auto"/>
        <w:ind w:firstLine="420" w:firstLineChars="200"/>
        <w:rPr>
          <w:rFonts w:hint="eastAsia" w:ascii="宋体" w:hAnsi="宋体" w:cs="宋体"/>
          <w:szCs w:val="21"/>
          <w:highlight w:val="none"/>
        </w:rPr>
      </w:pPr>
      <w:r>
        <w:rPr>
          <w:rFonts w:hint="eastAsia" w:ascii="宋体" w:hAnsi="宋体" w:cs="宋体"/>
          <w:szCs w:val="21"/>
          <w:highlight w:val="none"/>
          <w:lang w:val="en-US" w:eastAsia="zh-CN"/>
        </w:rPr>
        <w:t>1.</w:t>
      </w:r>
      <w:r>
        <w:rPr>
          <w:rFonts w:hint="eastAsia" w:ascii="宋体" w:hAnsi="宋体" w:cs="宋体"/>
          <w:szCs w:val="21"/>
          <w:highlight w:val="none"/>
        </w:rPr>
        <w:t>时间：</w:t>
      </w:r>
      <w:r>
        <w:rPr>
          <w:rFonts w:hint="eastAsia" w:ascii="宋体" w:hAnsi="宋体" w:cs="宋体"/>
          <w:szCs w:val="21"/>
          <w:highlight w:val="none"/>
          <w:u w:val="single"/>
        </w:rPr>
        <w:t>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日至202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1</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13</w:t>
      </w:r>
      <w:r>
        <w:rPr>
          <w:rFonts w:hint="eastAsia" w:ascii="宋体" w:hAnsi="宋体" w:cs="宋体"/>
          <w:szCs w:val="21"/>
          <w:highlight w:val="none"/>
          <w:u w:val="single"/>
        </w:rPr>
        <w:t>日</w:t>
      </w:r>
      <w:r>
        <w:rPr>
          <w:rFonts w:hint="eastAsia" w:ascii="宋体" w:hAnsi="宋体" w:cs="宋体"/>
          <w:szCs w:val="21"/>
          <w:highlight w:val="none"/>
        </w:rPr>
        <w:t>（北京时</w:t>
      </w:r>
      <w:r>
        <w:rPr>
          <w:rFonts w:hint="eastAsia" w:ascii="宋体" w:hAnsi="宋体" w:cs="宋体"/>
          <w:szCs w:val="21"/>
        </w:rPr>
        <w:t>间上午9:</w:t>
      </w:r>
      <w:r>
        <w:rPr>
          <w:rFonts w:hint="eastAsia" w:ascii="宋体" w:hAnsi="宋体" w:cs="宋体"/>
          <w:szCs w:val="21"/>
          <w:lang w:val="en-US" w:eastAsia="zh-CN"/>
        </w:rPr>
        <w:t>30</w:t>
      </w:r>
      <w:r>
        <w:rPr>
          <w:rFonts w:hint="eastAsia" w:ascii="宋体" w:hAnsi="宋体" w:cs="宋体"/>
          <w:szCs w:val="21"/>
        </w:rPr>
        <w:t>-11:30，下午</w:t>
      </w:r>
      <w:r>
        <w:rPr>
          <w:rFonts w:hint="eastAsia" w:ascii="宋体" w:hAnsi="宋体" w:cs="宋体"/>
          <w:szCs w:val="21"/>
          <w:lang w:val="en-US" w:eastAsia="zh-CN"/>
        </w:rPr>
        <w:t>2</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w:t>
      </w:r>
      <w:r>
        <w:rPr>
          <w:rFonts w:hint="eastAsia" w:ascii="宋体" w:hAnsi="宋体" w:cs="宋体"/>
          <w:szCs w:val="21"/>
          <w:lang w:val="en-US" w:eastAsia="zh-CN"/>
        </w:rPr>
        <w:t>00</w:t>
      </w:r>
      <w:r>
        <w:rPr>
          <w:rFonts w:hint="eastAsia" w:ascii="宋体" w:hAnsi="宋体" w:cs="宋体"/>
          <w:szCs w:val="21"/>
        </w:rPr>
        <w:t>，</w:t>
      </w:r>
      <w:r>
        <w:rPr>
          <w:rFonts w:hint="eastAsia" w:ascii="宋体" w:hAnsi="宋体" w:cs="宋体"/>
          <w:szCs w:val="21"/>
          <w:highlight w:val="none"/>
        </w:rPr>
        <w:t>法定节假日除外）</w:t>
      </w:r>
    </w:p>
    <w:p w14:paraId="6B2B65F3">
      <w:pPr>
        <w:tabs>
          <w:tab w:val="left" w:pos="900"/>
        </w:tabs>
        <w:spacing w:line="360" w:lineRule="auto"/>
        <w:ind w:firstLine="420" w:firstLineChars="200"/>
        <w:rPr>
          <w:rFonts w:hint="eastAsia" w:ascii="宋体" w:hAnsi="宋体" w:cs="宋体"/>
          <w:bCs/>
          <w:szCs w:val="21"/>
          <w:highlight w:val="none"/>
          <w:lang w:eastAsia="zh-CN"/>
        </w:rPr>
      </w:pPr>
      <w:r>
        <w:rPr>
          <w:rFonts w:hint="eastAsia" w:ascii="宋体" w:hAnsi="宋体" w:cs="宋体"/>
          <w:bCs/>
          <w:szCs w:val="21"/>
          <w:highlight w:val="none"/>
          <w:lang w:val="en-US" w:eastAsia="zh-CN"/>
        </w:rPr>
        <w:t>2.方式</w:t>
      </w:r>
      <w:r>
        <w:rPr>
          <w:rFonts w:hint="eastAsia" w:ascii="宋体" w:hAnsi="宋体" w:cs="宋体"/>
          <w:bCs/>
          <w:szCs w:val="21"/>
          <w:highlight w:val="none"/>
        </w:rPr>
        <w:t>：</w:t>
      </w:r>
      <w:r>
        <w:rPr>
          <w:rFonts w:hint="eastAsia" w:ascii="宋体" w:hAnsi="宋体" w:cs="宋体"/>
          <w:bCs/>
          <w:szCs w:val="21"/>
          <w:highlight w:val="none"/>
          <w:lang w:eastAsia="zh-CN"/>
        </w:rPr>
        <w:t>招标文件及相关资料联系代理公司或</w:t>
      </w:r>
      <w:r>
        <w:rPr>
          <w:rFonts w:hint="eastAsia" w:ascii="宋体" w:hAnsi="宋体" w:cs="宋体"/>
          <w:szCs w:val="21"/>
          <w:highlight w:val="none"/>
        </w:rPr>
        <w:t>“</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bCs/>
          <w:szCs w:val="21"/>
          <w:highlight w:val="none"/>
          <w:lang w:eastAsia="zh-CN"/>
        </w:rPr>
        <w:t>下载（</w:t>
      </w:r>
      <w:r>
        <w:rPr>
          <w:rFonts w:hint="eastAsia" w:ascii="宋体" w:hAnsi="宋体" w:cs="宋体"/>
          <w:bCs/>
          <w:szCs w:val="21"/>
          <w:highlight w:val="none"/>
          <w:lang w:val="en-US" w:eastAsia="zh-CN"/>
        </w:rPr>
        <w:t>因平台系统原因，附件请联系</w:t>
      </w:r>
      <w:r>
        <w:rPr>
          <w:rFonts w:hint="eastAsia" w:ascii="宋体" w:hAnsi="宋体" w:cs="宋体"/>
          <w:bCs/>
          <w:szCs w:val="21"/>
          <w:highlight w:val="none"/>
          <w:lang w:eastAsia="zh-CN"/>
        </w:rPr>
        <w:t>采购代理机构经办人，联系电话0514-82129121）。</w:t>
      </w:r>
    </w:p>
    <w:p w14:paraId="7E79C5C7">
      <w:pPr>
        <w:tabs>
          <w:tab w:val="left" w:pos="900"/>
        </w:tabs>
        <w:spacing w:line="360" w:lineRule="auto"/>
        <w:ind w:firstLine="420" w:firstLineChars="200"/>
        <w:rPr>
          <w:rFonts w:hint="eastAsia" w:ascii="宋体" w:hAnsi="宋体" w:cs="宋体"/>
          <w:bCs/>
          <w:szCs w:val="21"/>
          <w:highlight w:val="none"/>
        </w:rPr>
      </w:pPr>
      <w:r>
        <w:rPr>
          <w:rFonts w:hint="eastAsia" w:ascii="宋体" w:hAnsi="宋体" w:cs="宋体"/>
          <w:bCs/>
          <w:szCs w:val="21"/>
          <w:highlight w:val="none"/>
          <w:lang w:val="en-US" w:eastAsia="zh-CN"/>
        </w:rPr>
        <w:t>3.报名资料：</w:t>
      </w:r>
      <w:r>
        <w:rPr>
          <w:rFonts w:hint="eastAsia" w:ascii="宋体" w:hAnsi="宋体" w:cs="宋体"/>
          <w:bCs/>
          <w:szCs w:val="21"/>
          <w:highlight w:val="none"/>
          <w:lang w:eastAsia="zh-CN"/>
        </w:rPr>
        <w:t>供应商如确定参加磋商，请如实填写《供应商参加磋商确认函》（详见采购文件尾页），并将</w:t>
      </w:r>
      <w:r>
        <w:rPr>
          <w:rFonts w:hint="eastAsia" w:ascii="宋体" w:hAnsi="宋体" w:eastAsia="宋体" w:cs="宋体"/>
          <w:i w:val="0"/>
          <w:iCs w:val="0"/>
          <w:caps w:val="0"/>
          <w:color w:val="auto"/>
          <w:spacing w:val="0"/>
          <w:sz w:val="21"/>
          <w:szCs w:val="21"/>
          <w:highlight w:val="none"/>
          <w:shd w:val="clear" w:color="auto" w:fill="FFFFFF"/>
        </w:rPr>
        <w:t>【法人身份证和营业执照】</w:t>
      </w:r>
      <w:r>
        <w:rPr>
          <w:rFonts w:hint="eastAsia" w:ascii="宋体" w:hAnsi="宋体" w:cs="Arial"/>
          <w:color w:val="auto"/>
          <w:szCs w:val="21"/>
          <w:highlight w:val="none"/>
        </w:rPr>
        <w:t>原件扫描件</w:t>
      </w:r>
      <w:r>
        <w:rPr>
          <w:rFonts w:hint="eastAsia" w:ascii="宋体" w:hAnsi="宋体" w:cs="Arial"/>
          <w:color w:val="auto"/>
          <w:szCs w:val="21"/>
          <w:highlight w:val="none"/>
          <w:lang w:eastAsia="zh-CN"/>
        </w:rPr>
        <w:t>；</w:t>
      </w:r>
      <w:r>
        <w:rPr>
          <w:rFonts w:hint="eastAsia" w:ascii="宋体" w:hAnsi="宋体" w:eastAsia="宋体" w:cs="宋体"/>
          <w:i w:val="0"/>
          <w:iCs w:val="0"/>
          <w:caps w:val="0"/>
          <w:color w:val="auto"/>
          <w:spacing w:val="0"/>
          <w:sz w:val="21"/>
          <w:szCs w:val="21"/>
          <w:highlight w:val="none"/>
          <w:shd w:val="clear" w:color="auto" w:fill="FFFFFF"/>
        </w:rPr>
        <w:t>若授权代表参加的，须提供【法人授权书和授权代表身份证</w:t>
      </w:r>
      <w:r>
        <w:rPr>
          <w:rFonts w:hint="eastAsia" w:ascii="宋体" w:hAnsi="宋体" w:cs="宋体"/>
          <w:i w:val="0"/>
          <w:iCs w:val="0"/>
          <w:caps w:val="0"/>
          <w:color w:val="auto"/>
          <w:spacing w:val="0"/>
          <w:sz w:val="21"/>
          <w:szCs w:val="21"/>
          <w:highlight w:val="none"/>
          <w:shd w:val="clear" w:color="auto" w:fill="FFFFFF"/>
          <w:lang w:val="en-US" w:eastAsia="zh-CN"/>
        </w:rPr>
        <w:t>和</w:t>
      </w:r>
      <w:r>
        <w:rPr>
          <w:rFonts w:hint="eastAsia" w:ascii="宋体" w:hAnsi="宋体" w:eastAsia="宋体" w:cs="宋体"/>
          <w:i w:val="0"/>
          <w:iCs w:val="0"/>
          <w:caps w:val="0"/>
          <w:color w:val="auto"/>
          <w:spacing w:val="0"/>
          <w:sz w:val="21"/>
          <w:szCs w:val="21"/>
          <w:highlight w:val="none"/>
          <w:shd w:val="clear" w:color="auto" w:fill="FFFFFF"/>
        </w:rPr>
        <w:t>营业执照】</w:t>
      </w:r>
      <w:r>
        <w:rPr>
          <w:rFonts w:hint="eastAsia" w:ascii="宋体" w:hAnsi="宋体" w:eastAsia="宋体" w:cs="宋体"/>
          <w:i w:val="0"/>
          <w:iCs w:val="0"/>
          <w:caps w:val="0"/>
          <w:color w:val="auto"/>
          <w:spacing w:val="0"/>
          <w:sz w:val="21"/>
          <w:szCs w:val="21"/>
          <w:highlight w:val="none"/>
          <w:shd w:val="clear" w:color="auto" w:fill="FFFFFF"/>
          <w:lang w:val="en-US" w:eastAsia="zh-CN"/>
        </w:rPr>
        <w:t>原件扫描件；以及【</w:t>
      </w:r>
      <w:r>
        <w:rPr>
          <w:rFonts w:hint="eastAsia" w:ascii="宋体" w:hAnsi="宋体" w:cs="宋体"/>
          <w:bCs/>
          <w:szCs w:val="21"/>
          <w:highlight w:val="none"/>
          <w:lang w:eastAsia="zh-CN"/>
        </w:rPr>
        <w:t>加盖供应商公章的《供应商参加磋商确认函》</w:t>
      </w:r>
      <w:r>
        <w:rPr>
          <w:rFonts w:hint="eastAsia" w:ascii="宋体" w:hAnsi="宋体" w:eastAsia="宋体" w:cs="宋体"/>
          <w:i w:val="0"/>
          <w:iCs w:val="0"/>
          <w:caps w:val="0"/>
          <w:color w:val="auto"/>
          <w:spacing w:val="0"/>
          <w:sz w:val="21"/>
          <w:szCs w:val="21"/>
          <w:highlight w:val="none"/>
          <w:shd w:val="clear" w:color="auto" w:fill="FFFFFF"/>
          <w:lang w:val="en-US" w:eastAsia="zh-CN"/>
        </w:rPr>
        <w:t>】原件</w:t>
      </w:r>
      <w:r>
        <w:rPr>
          <w:rFonts w:hint="eastAsia" w:ascii="宋体" w:hAnsi="宋体" w:cs="宋体"/>
          <w:bCs/>
          <w:szCs w:val="21"/>
          <w:highlight w:val="none"/>
          <w:lang w:eastAsia="zh-CN"/>
        </w:rPr>
        <w:t>扫描件于2026年1月</w:t>
      </w:r>
      <w:r>
        <w:rPr>
          <w:rFonts w:hint="eastAsia" w:ascii="宋体" w:hAnsi="宋体" w:cs="宋体"/>
          <w:bCs/>
          <w:szCs w:val="21"/>
          <w:highlight w:val="none"/>
          <w:lang w:val="en-US" w:eastAsia="zh-CN"/>
        </w:rPr>
        <w:t>13</w:t>
      </w:r>
      <w:r>
        <w:rPr>
          <w:rFonts w:hint="eastAsia" w:ascii="宋体" w:hAnsi="宋体" w:cs="宋体"/>
          <w:bCs/>
          <w:szCs w:val="21"/>
          <w:highlight w:val="none"/>
          <w:lang w:eastAsia="zh-CN"/>
        </w:rPr>
        <w:t>日</w:t>
      </w:r>
      <w:r>
        <w:rPr>
          <w:rFonts w:hint="eastAsia" w:ascii="宋体" w:hAnsi="宋体" w:cs="宋体"/>
          <w:bCs/>
          <w:szCs w:val="21"/>
          <w:highlight w:val="none"/>
          <w:lang w:val="en-US" w:eastAsia="zh-CN"/>
        </w:rPr>
        <w:t>下午5</w:t>
      </w:r>
      <w:r>
        <w:rPr>
          <w:rFonts w:hint="eastAsia" w:ascii="宋体" w:hAnsi="宋体" w:cs="宋体"/>
          <w:bCs/>
          <w:szCs w:val="21"/>
          <w:highlight w:val="none"/>
          <w:lang w:eastAsia="zh-CN"/>
        </w:rPr>
        <w:t>:00前发送至采购代理机构经办人电子邮箱并与代理机构人员确认（电子邮箱：310671768@qq.com；联系电话0514-82129121，</w:t>
      </w:r>
      <w:r>
        <w:rPr>
          <w:rFonts w:hint="eastAsia" w:ascii="宋体" w:hAnsi="宋体" w:cs="宋体"/>
          <w:b/>
          <w:bCs w:val="0"/>
          <w:szCs w:val="21"/>
          <w:highlight w:val="none"/>
          <w:lang w:eastAsia="zh-CN"/>
        </w:rPr>
        <w:t>邮件标题备注：公司全称+项目简称，开标当日交付确认函原件</w:t>
      </w:r>
      <w:r>
        <w:rPr>
          <w:rFonts w:hint="eastAsia" w:ascii="宋体" w:hAnsi="宋体" w:cs="宋体"/>
          <w:bCs/>
          <w:szCs w:val="21"/>
          <w:highlight w:val="none"/>
          <w:lang w:eastAsia="zh-CN"/>
        </w:rPr>
        <w:t>）。如供应商未按上述要求去做，将自行承担所产生的风险。未报名者、超过时限者不得前来投标，内容不全者后果自负。</w:t>
      </w:r>
    </w:p>
    <w:p w14:paraId="1D5D1D8F">
      <w:pPr>
        <w:spacing w:line="360" w:lineRule="auto"/>
        <w:ind w:firstLine="514" w:firstLineChars="244"/>
        <w:rPr>
          <w:rFonts w:hint="eastAsia" w:ascii="宋体" w:hAnsi="宋体" w:cs="宋体"/>
          <w:szCs w:val="21"/>
          <w:highlight w:val="none"/>
        </w:rPr>
      </w:pPr>
      <w:r>
        <w:rPr>
          <w:rFonts w:hint="eastAsia" w:ascii="宋体" w:hAnsi="宋体" w:cs="宋体"/>
          <w:b/>
          <w:bCs/>
          <w:szCs w:val="21"/>
          <w:highlight w:val="none"/>
        </w:rPr>
        <w:t>五、磋商响应文件接收截止时间和地点</w:t>
      </w:r>
    </w:p>
    <w:p w14:paraId="1843C6E7">
      <w:pPr>
        <w:spacing w:line="360" w:lineRule="auto"/>
        <w:ind w:firstLine="420" w:firstLineChars="200"/>
        <w:rPr>
          <w:rFonts w:hint="default" w:ascii="宋体" w:hAnsi="宋体" w:eastAsia="宋体" w:cs="宋体"/>
          <w:szCs w:val="21"/>
          <w:highlight w:val="none"/>
          <w:lang w:val="en-US" w:eastAsia="zh-CN"/>
        </w:rPr>
      </w:pPr>
      <w:r>
        <w:rPr>
          <w:rFonts w:hint="eastAsia" w:ascii="宋体" w:hAnsi="宋体" w:cs="宋体"/>
          <w:szCs w:val="21"/>
          <w:highlight w:val="none"/>
        </w:rPr>
        <w:t>（一）响应文件接收开始</w:t>
      </w:r>
      <w:r>
        <w:rPr>
          <w:rFonts w:hint="eastAsia" w:ascii="宋体" w:hAnsi="宋体" w:cs="宋体"/>
          <w:color w:val="auto"/>
          <w:szCs w:val="21"/>
          <w:highlight w:val="none"/>
        </w:rPr>
        <w:t>时间：202</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19</w:t>
      </w:r>
      <w:r>
        <w:rPr>
          <w:rFonts w:hint="eastAsia" w:ascii="宋体" w:hAnsi="宋体" w:cs="宋体"/>
          <w:color w:val="auto"/>
          <w:szCs w:val="21"/>
          <w:highlight w:val="none"/>
        </w:rPr>
        <w:t>日</w:t>
      </w:r>
      <w:r>
        <w:rPr>
          <w:rFonts w:hint="eastAsia" w:ascii="宋体" w:hAnsi="宋体" w:cs="宋体"/>
          <w:color w:val="auto"/>
          <w:szCs w:val="21"/>
          <w:highlight w:val="none"/>
          <w:lang w:val="en-US" w:eastAsia="zh-CN"/>
        </w:rPr>
        <w:t>9:00</w:t>
      </w:r>
    </w:p>
    <w:p w14:paraId="7B32381F">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（二）响应文件接收截止时间：202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19</w:t>
      </w:r>
      <w:r>
        <w:rPr>
          <w:rFonts w:hint="eastAsia" w:ascii="宋体" w:hAnsi="宋体" w:cs="宋体"/>
          <w:szCs w:val="21"/>
          <w:highlight w:val="none"/>
        </w:rPr>
        <w:t>日</w:t>
      </w:r>
      <w:r>
        <w:rPr>
          <w:rFonts w:hint="eastAsia" w:ascii="宋体" w:hAnsi="宋体" w:cs="宋体"/>
          <w:szCs w:val="21"/>
          <w:highlight w:val="none"/>
          <w:lang w:val="en-US" w:eastAsia="zh-CN"/>
        </w:rPr>
        <w:t>9:30</w:t>
      </w:r>
      <w:r>
        <w:rPr>
          <w:rFonts w:hint="eastAsia" w:ascii="宋体" w:hAnsi="宋体" w:cs="宋体"/>
          <w:szCs w:val="21"/>
          <w:highlight w:val="none"/>
        </w:rPr>
        <w:t>，逾期送达将作无效响应处理。</w:t>
      </w:r>
    </w:p>
    <w:p w14:paraId="50A003E8">
      <w:pPr>
        <w:spacing w:line="360" w:lineRule="auto"/>
        <w:ind w:firstLine="420" w:firstLineChars="200"/>
        <w:rPr>
          <w:rFonts w:hint="eastAsia" w:ascii="宋体" w:hAnsi="宋体" w:cs="宋体"/>
          <w:szCs w:val="21"/>
        </w:rPr>
      </w:pPr>
      <w:r>
        <w:rPr>
          <w:rFonts w:hint="eastAsia" w:ascii="宋体" w:hAnsi="宋体" w:cs="宋体"/>
          <w:szCs w:val="21"/>
        </w:rPr>
        <w:t>（三）响应文件接收地点：</w:t>
      </w:r>
      <w:r>
        <w:rPr>
          <w:rFonts w:hint="eastAsia" w:ascii="宋体" w:hAnsi="宋体" w:cs="宋体"/>
          <w:szCs w:val="21"/>
          <w:lang w:eastAsia="zh-CN"/>
        </w:rPr>
        <w:t>江苏苏维工程管理有限公司</w:t>
      </w:r>
      <w:r>
        <w:rPr>
          <w:rFonts w:hint="eastAsia" w:ascii="宋体" w:hAnsi="宋体"/>
          <w:color w:val="auto"/>
          <w:szCs w:val="21"/>
          <w:highlight w:val="none"/>
        </w:rPr>
        <w:t>三楼东开标</w:t>
      </w:r>
      <w:r>
        <w:rPr>
          <w:rFonts w:hint="eastAsia" w:ascii="宋体" w:hAnsi="宋体"/>
          <w:color w:val="auto"/>
          <w:szCs w:val="21"/>
          <w:highlight w:val="none"/>
          <w:lang w:val="en-US" w:eastAsia="zh-CN"/>
        </w:rPr>
        <w:t>四</w:t>
      </w:r>
      <w:r>
        <w:rPr>
          <w:rFonts w:hint="eastAsia" w:ascii="宋体" w:hAnsi="宋体"/>
          <w:color w:val="auto"/>
          <w:szCs w:val="21"/>
          <w:highlight w:val="none"/>
        </w:rPr>
        <w:t>室（扬州市翠岗路48号）</w:t>
      </w:r>
      <w:r>
        <w:rPr>
          <w:rFonts w:hint="eastAsia" w:ascii="宋体" w:hAnsi="宋体" w:cs="宋体"/>
          <w:szCs w:val="21"/>
        </w:rPr>
        <w:t>。</w:t>
      </w:r>
    </w:p>
    <w:p w14:paraId="25C2C4DB">
      <w:pPr>
        <w:spacing w:line="360" w:lineRule="auto"/>
        <w:ind w:firstLine="413" w:firstLineChars="196"/>
        <w:rPr>
          <w:rFonts w:hint="eastAsia" w:ascii="宋体" w:hAnsi="宋体" w:cs="宋体"/>
          <w:b/>
          <w:bCs/>
          <w:szCs w:val="21"/>
        </w:rPr>
      </w:pPr>
      <w:r>
        <w:rPr>
          <w:rFonts w:hint="eastAsia" w:ascii="宋体" w:hAnsi="宋体" w:cs="宋体"/>
          <w:b/>
          <w:bCs/>
          <w:szCs w:val="21"/>
        </w:rPr>
        <w:t>六、磋商响应文件开启信息</w:t>
      </w:r>
    </w:p>
    <w:p w14:paraId="3C06DCC7">
      <w:pPr>
        <w:spacing w:line="360" w:lineRule="auto"/>
        <w:ind w:firstLine="420" w:firstLineChars="200"/>
        <w:rPr>
          <w:rFonts w:hint="default" w:eastAsia="宋体"/>
          <w:sz w:val="24"/>
          <w:szCs w:val="24"/>
          <w:highlight w:val="none"/>
          <w:lang w:val="en-US" w:eastAsia="zh-CN"/>
        </w:rPr>
      </w:pPr>
      <w:r>
        <w:rPr>
          <w:rFonts w:hint="eastAsia" w:ascii="宋体" w:hAnsi="宋体" w:cs="宋体"/>
          <w:szCs w:val="21"/>
          <w:highlight w:val="none"/>
        </w:rPr>
        <w:t>（一）响应文件开启时间：202</w:t>
      </w:r>
      <w:r>
        <w:rPr>
          <w:rFonts w:hint="eastAsia" w:ascii="宋体" w:hAnsi="宋体" w:cs="宋体"/>
          <w:szCs w:val="21"/>
          <w:highlight w:val="none"/>
          <w:lang w:val="en-US" w:eastAsia="zh-CN"/>
        </w:rPr>
        <w:t>6</w:t>
      </w:r>
      <w:r>
        <w:rPr>
          <w:rFonts w:hint="eastAsia" w:ascii="宋体" w:hAnsi="宋体" w:cs="宋体"/>
          <w:szCs w:val="21"/>
          <w:highlight w:val="none"/>
        </w:rPr>
        <w:t>年</w:t>
      </w:r>
      <w:r>
        <w:rPr>
          <w:rFonts w:hint="eastAsia" w:ascii="宋体" w:hAnsi="宋体" w:cs="宋体"/>
          <w:szCs w:val="21"/>
          <w:highlight w:val="none"/>
          <w:lang w:val="en-US" w:eastAsia="zh-CN"/>
        </w:rPr>
        <w:t>1</w:t>
      </w:r>
      <w:r>
        <w:rPr>
          <w:rFonts w:hint="eastAsia" w:ascii="宋体" w:hAnsi="宋体" w:cs="宋体"/>
          <w:szCs w:val="21"/>
          <w:highlight w:val="none"/>
        </w:rPr>
        <w:t>月</w:t>
      </w:r>
      <w:r>
        <w:rPr>
          <w:rFonts w:hint="eastAsia" w:ascii="宋体" w:hAnsi="宋体" w:cs="宋体"/>
          <w:szCs w:val="21"/>
          <w:highlight w:val="none"/>
          <w:lang w:val="en-US" w:eastAsia="zh-CN"/>
        </w:rPr>
        <w:t>19</w:t>
      </w:r>
      <w:r>
        <w:rPr>
          <w:rFonts w:hint="eastAsia" w:ascii="宋体" w:hAnsi="宋体" w:cs="宋体"/>
          <w:szCs w:val="21"/>
          <w:highlight w:val="none"/>
        </w:rPr>
        <w:t>日</w:t>
      </w:r>
      <w:r>
        <w:rPr>
          <w:rFonts w:hint="eastAsia" w:ascii="宋体" w:hAnsi="宋体" w:cs="宋体"/>
          <w:szCs w:val="21"/>
          <w:highlight w:val="none"/>
          <w:lang w:val="en-US" w:eastAsia="zh-CN"/>
        </w:rPr>
        <w:t>9:30</w:t>
      </w:r>
    </w:p>
    <w:p w14:paraId="6E508240">
      <w:pPr>
        <w:spacing w:line="360" w:lineRule="auto"/>
        <w:ind w:firstLine="420" w:firstLineChars="200"/>
        <w:rPr>
          <w:rFonts w:hint="eastAsia" w:ascii="宋体" w:hAnsi="宋体" w:cs="宋体"/>
          <w:szCs w:val="21"/>
        </w:rPr>
      </w:pPr>
      <w:r>
        <w:rPr>
          <w:rFonts w:hint="eastAsia" w:ascii="宋体" w:hAnsi="宋体" w:cs="宋体"/>
          <w:szCs w:val="21"/>
        </w:rPr>
        <w:t>（二）响应文件开启地点：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21A1C7CA">
      <w:pPr>
        <w:spacing w:line="360" w:lineRule="auto"/>
        <w:ind w:firstLine="420" w:firstLineChars="200"/>
        <w:rPr>
          <w:rFonts w:hint="eastAsia" w:ascii="宋体" w:hAnsi="宋体" w:cs="宋体"/>
          <w:szCs w:val="21"/>
        </w:rPr>
      </w:pPr>
      <w:r>
        <w:rPr>
          <w:rFonts w:hint="eastAsia" w:ascii="宋体" w:hAnsi="宋体" w:cs="宋体"/>
          <w:szCs w:val="21"/>
        </w:rPr>
        <w:t>（三）磋商地点：</w:t>
      </w:r>
      <w:r>
        <w:rPr>
          <w:rFonts w:hint="eastAsia" w:ascii="宋体" w:hAnsi="宋体" w:cs="宋体"/>
          <w:szCs w:val="21"/>
          <w:lang w:eastAsia="zh-CN"/>
        </w:rPr>
        <w:t>江苏苏维工程管理有限公司</w:t>
      </w:r>
      <w:r>
        <w:rPr>
          <w:rFonts w:hint="eastAsia" w:ascii="宋体" w:hAnsi="宋体" w:cs="宋体"/>
          <w:szCs w:val="21"/>
        </w:rPr>
        <w:t>评标室</w:t>
      </w:r>
      <w:r>
        <w:rPr>
          <w:rFonts w:hint="eastAsia" w:ascii="宋体" w:hAnsi="宋体"/>
          <w:color w:val="auto"/>
          <w:szCs w:val="21"/>
          <w:highlight w:val="none"/>
        </w:rPr>
        <w:t>（扬州市翠岗路48号）</w:t>
      </w:r>
      <w:r>
        <w:rPr>
          <w:rFonts w:hint="eastAsia" w:ascii="宋体" w:hAnsi="宋体" w:cs="宋体"/>
          <w:szCs w:val="21"/>
        </w:rPr>
        <w:t>。</w:t>
      </w:r>
    </w:p>
    <w:p w14:paraId="38723C96">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七</w:t>
      </w:r>
      <w:r>
        <w:rPr>
          <w:rFonts w:hint="eastAsia" w:ascii="宋体" w:hAnsi="宋体" w:cs="宋体"/>
          <w:b/>
          <w:bCs/>
          <w:szCs w:val="21"/>
        </w:rPr>
        <w:t>、本次磋商响应文件制作份数要求</w:t>
      </w:r>
    </w:p>
    <w:p w14:paraId="4F85835C">
      <w:pPr>
        <w:spacing w:line="360" w:lineRule="auto"/>
        <w:ind w:firstLine="422" w:firstLineChars="200"/>
        <w:rPr>
          <w:rFonts w:hint="eastAsia" w:ascii="宋体" w:hAnsi="宋体" w:cs="宋体"/>
          <w:szCs w:val="21"/>
        </w:rPr>
      </w:pPr>
      <w:r>
        <w:rPr>
          <w:rFonts w:hint="eastAsia" w:ascii="宋体" w:hAnsi="宋体" w:eastAsia="宋体" w:cs="宋体"/>
          <w:b/>
          <w:bCs/>
          <w:color w:val="000000"/>
          <w:szCs w:val="21"/>
          <w:highlight w:val="none"/>
        </w:rPr>
        <w:t>响应文件份数:纸质版一式</w:t>
      </w:r>
      <w:r>
        <w:rPr>
          <w:rFonts w:hint="eastAsia" w:ascii="宋体" w:hAnsi="宋体" w:cs="宋体"/>
          <w:b/>
          <w:bCs/>
          <w:color w:val="000000"/>
          <w:szCs w:val="21"/>
          <w:highlight w:val="none"/>
          <w:lang w:val="en-US" w:eastAsia="zh-CN"/>
        </w:rPr>
        <w:t>五</w:t>
      </w:r>
      <w:r>
        <w:rPr>
          <w:rFonts w:hint="eastAsia" w:ascii="宋体" w:hAnsi="宋体" w:eastAsia="宋体" w:cs="宋体"/>
          <w:b/>
          <w:bCs/>
          <w:color w:val="000000"/>
          <w:szCs w:val="21"/>
          <w:highlight w:val="none"/>
        </w:rPr>
        <w:t>份(壹份正本、</w:t>
      </w:r>
      <w:r>
        <w:rPr>
          <w:rFonts w:hint="eastAsia" w:ascii="宋体" w:hAnsi="宋体" w:cs="宋体"/>
          <w:b/>
          <w:bCs/>
          <w:color w:val="000000"/>
          <w:szCs w:val="21"/>
          <w:highlight w:val="none"/>
          <w:lang w:val="en-US" w:eastAsia="zh-CN"/>
        </w:rPr>
        <w:t>肆</w:t>
      </w:r>
      <w:r>
        <w:rPr>
          <w:rFonts w:hint="eastAsia" w:ascii="宋体" w:hAnsi="宋体" w:eastAsia="宋体" w:cs="宋体"/>
          <w:b/>
          <w:bCs/>
          <w:color w:val="000000"/>
          <w:szCs w:val="21"/>
          <w:highlight w:val="none"/>
        </w:rPr>
        <w:t>份副本)、电子版壹份(一般应为U盘形式</w:t>
      </w:r>
      <w:r>
        <w:rPr>
          <w:rFonts w:hint="eastAsia" w:ascii="宋体" w:hAnsi="宋体" w:eastAsia="宋体" w:cs="宋体"/>
          <w:b/>
          <w:bCs/>
          <w:color w:val="000000"/>
          <w:szCs w:val="21"/>
          <w:highlight w:val="none"/>
          <w:lang w:eastAsia="zh-CN"/>
        </w:rPr>
        <w:t>，</w:t>
      </w:r>
      <w:r>
        <w:rPr>
          <w:rFonts w:hint="eastAsia" w:ascii="宋体" w:hAnsi="宋体" w:eastAsia="宋体" w:cs="宋体"/>
          <w:b/>
          <w:bCs/>
          <w:color w:val="000000"/>
          <w:szCs w:val="21"/>
          <w:highlight w:val="none"/>
          <w:lang w:val="en-US" w:eastAsia="zh-CN"/>
        </w:rPr>
        <w:t>含完整磋商响应文件的电子版（PDF格式或Word格式）及响应报价的电子版（jsbgtb格式和emjsx格式），</w:t>
      </w:r>
      <w:r>
        <w:rPr>
          <w:rFonts w:hint="eastAsia" w:ascii="宋体" w:hAnsi="宋体" w:eastAsia="宋体" w:cs="宋体"/>
          <w:b/>
          <w:bCs/>
          <w:color w:val="000000"/>
          <w:szCs w:val="21"/>
          <w:highlight w:val="none"/>
        </w:rPr>
        <w:t>随纸质正本文件一并提交)</w:t>
      </w:r>
      <w:r>
        <w:rPr>
          <w:rFonts w:hint="eastAsia" w:ascii="宋体" w:hAnsi="宋体" w:eastAsia="宋体" w:cs="宋体"/>
          <w:color w:val="000000"/>
          <w:szCs w:val="21"/>
          <w:highlight w:val="none"/>
        </w:rPr>
        <w:t>。当电子版文件和纸质正本文件不一致时，以纸质正本文件为准。电子版文件用于辅助评标和存档，供应商需承担前述不一致造成的不利后果。每份响应文件须清楚标明“正本”或“副本”字样。一旦正本和副本不符，以正本为准。</w:t>
      </w:r>
    </w:p>
    <w:p w14:paraId="1EBAED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八</w:t>
      </w:r>
      <w:r>
        <w:rPr>
          <w:rFonts w:hint="eastAsia" w:ascii="宋体" w:hAnsi="宋体" w:cs="宋体"/>
          <w:b/>
          <w:bCs/>
          <w:szCs w:val="21"/>
        </w:rPr>
        <w:t>、本次磋商保证金要求：</w:t>
      </w:r>
    </w:p>
    <w:p w14:paraId="042AA887">
      <w:pPr>
        <w:pStyle w:val="29"/>
        <w:spacing w:line="360" w:lineRule="auto"/>
        <w:rPr>
          <w:rFonts w:hint="eastAsia" w:ascii="宋体" w:hAnsi="宋体" w:cs="宋体"/>
          <w:sz w:val="21"/>
          <w:szCs w:val="21"/>
        </w:rPr>
      </w:pPr>
      <w:r>
        <w:rPr>
          <w:rFonts w:hint="eastAsia" w:ascii="宋体" w:hAnsi="宋体" w:cs="宋体"/>
          <w:sz w:val="21"/>
          <w:szCs w:val="21"/>
        </w:rPr>
        <w:t>本项目无磋商保证金。</w:t>
      </w:r>
    </w:p>
    <w:p w14:paraId="73900534">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九</w:t>
      </w:r>
      <w:r>
        <w:rPr>
          <w:rFonts w:hint="eastAsia" w:ascii="宋体" w:hAnsi="宋体" w:cs="宋体"/>
          <w:b/>
          <w:bCs/>
          <w:szCs w:val="21"/>
        </w:rPr>
        <w:t>、其他说明事项：</w:t>
      </w:r>
    </w:p>
    <w:p w14:paraId="772484A3">
      <w:pPr>
        <w:spacing w:line="360" w:lineRule="auto"/>
        <w:ind w:firstLine="420" w:firstLineChars="200"/>
        <w:rPr>
          <w:rFonts w:hint="eastAsia" w:ascii="宋体" w:hAnsi="宋体" w:cs="宋体"/>
          <w:iCs/>
          <w:szCs w:val="21"/>
        </w:rPr>
      </w:pPr>
      <w:r>
        <w:rPr>
          <w:rFonts w:hint="eastAsia" w:ascii="宋体" w:hAnsi="宋体" w:cs="宋体"/>
          <w:szCs w:val="21"/>
        </w:rPr>
        <w:t>（一）</w:t>
      </w:r>
      <w:r>
        <w:rPr>
          <w:rFonts w:hint="eastAsia" w:ascii="宋体" w:hAnsi="宋体" w:cs="宋体"/>
          <w:iCs/>
          <w:szCs w:val="21"/>
        </w:rPr>
        <w:t>本磋商文件中斜体下划线部分为实质性响应条件，为必须遵守的条件，如不满足将作无效响应文件处理。</w:t>
      </w:r>
    </w:p>
    <w:p w14:paraId="02A71BC3">
      <w:pPr>
        <w:spacing w:line="360" w:lineRule="auto"/>
        <w:ind w:firstLine="420" w:firstLineChars="200"/>
        <w:rPr>
          <w:rFonts w:hint="eastAsia" w:ascii="宋体" w:hAnsi="宋体" w:cs="宋体"/>
          <w:szCs w:val="21"/>
        </w:rPr>
      </w:pPr>
      <w:r>
        <w:rPr>
          <w:rFonts w:hint="eastAsia" w:ascii="宋体" w:hAnsi="宋体" w:cs="宋体"/>
          <w:szCs w:val="21"/>
        </w:rPr>
        <w:t>（二）公告期限：自磋商公告在</w:t>
      </w:r>
      <w:r>
        <w:rPr>
          <w:rFonts w:hint="eastAsia" w:ascii="宋体" w:hAnsi="宋体" w:cs="宋体"/>
          <w:szCs w:val="21"/>
          <w:highlight w:val="none"/>
        </w:rPr>
        <w:t xml:space="preserve"> “</w:t>
      </w:r>
      <w:r>
        <w:rPr>
          <w:rFonts w:hint="eastAsia" w:ascii="宋体" w:hAnsi="宋体" w:cs="宋体"/>
          <w:szCs w:val="21"/>
          <w:highlight w:val="none"/>
          <w:lang w:eastAsia="zh-CN"/>
        </w:rPr>
        <w:t>扬州大学附属医院</w:t>
      </w:r>
      <w:r>
        <w:rPr>
          <w:rFonts w:hint="eastAsia" w:ascii="宋体" w:hAnsi="宋体" w:cs="宋体"/>
          <w:szCs w:val="21"/>
          <w:highlight w:val="none"/>
        </w:rPr>
        <w:t>”</w:t>
      </w:r>
      <w:r>
        <w:rPr>
          <w:rFonts w:hint="eastAsia" w:ascii="宋体" w:hAnsi="宋体" w:cs="宋体"/>
          <w:szCs w:val="21"/>
          <w:highlight w:val="none"/>
          <w:lang w:eastAsia="zh-CN"/>
        </w:rPr>
        <w:t>、</w:t>
      </w:r>
      <w:r>
        <w:rPr>
          <w:rFonts w:hint="eastAsia" w:ascii="宋体" w:hAnsi="宋体" w:cs="宋体"/>
          <w:color w:val="auto"/>
          <w:szCs w:val="21"/>
          <w:highlight w:val="none"/>
          <w:lang w:eastAsia="zh-CN"/>
        </w:rPr>
        <w:t>“江苏招标采购服务平台”</w:t>
      </w:r>
      <w:r>
        <w:rPr>
          <w:rFonts w:hint="eastAsia" w:ascii="宋体" w:hAnsi="宋体" w:cs="宋体"/>
          <w:szCs w:val="21"/>
          <w:highlight w:val="none"/>
        </w:rPr>
        <w:t>网站发布之日起</w:t>
      </w:r>
      <w:r>
        <w:rPr>
          <w:rFonts w:hint="eastAsia" w:ascii="宋体" w:hAnsi="宋体" w:cs="宋体"/>
          <w:szCs w:val="21"/>
          <w:highlight w:val="none"/>
          <w:lang w:val="en-US" w:eastAsia="zh-CN"/>
        </w:rPr>
        <w:t>5</w:t>
      </w:r>
      <w:r>
        <w:rPr>
          <w:rFonts w:hint="eastAsia" w:ascii="宋体" w:hAnsi="宋体" w:cs="宋体"/>
          <w:szCs w:val="21"/>
          <w:highlight w:val="none"/>
        </w:rPr>
        <w:t>个工作日。</w:t>
      </w:r>
      <w:r>
        <w:rPr>
          <w:rFonts w:hint="eastAsia" w:ascii="宋体" w:hAnsi="宋体" w:cs="宋体"/>
          <w:szCs w:val="21"/>
        </w:rPr>
        <w:t>未报名（未购买磋商文件）者、超过时限者不得前来磋商。有关本次磋商的事项若存在变动或修改，敬请及时关注“</w:t>
      </w:r>
      <w:r>
        <w:rPr>
          <w:rFonts w:hint="eastAsia" w:ascii="宋体" w:hAnsi="宋体" w:cs="宋体"/>
          <w:szCs w:val="21"/>
          <w:lang w:eastAsia="zh-CN"/>
        </w:rPr>
        <w:t>扬州大学附属医院</w:t>
      </w:r>
      <w:r>
        <w:rPr>
          <w:rFonts w:hint="eastAsia" w:ascii="宋体" w:hAnsi="宋体" w:cs="宋体"/>
          <w:szCs w:val="21"/>
        </w:rPr>
        <w:t>”</w:t>
      </w:r>
      <w:r>
        <w:rPr>
          <w:rFonts w:hint="eastAsia" w:ascii="宋体" w:hAnsi="宋体" w:cs="宋体"/>
          <w:szCs w:val="21"/>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ascii="宋体" w:hAnsi="宋体" w:cs="宋体"/>
          <w:szCs w:val="21"/>
        </w:rPr>
        <w:t>网站发布的信息或更正公告。</w:t>
      </w:r>
    </w:p>
    <w:p w14:paraId="5929C3FD">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三</w:t>
      </w:r>
      <w:r>
        <w:rPr>
          <w:rFonts w:hint="eastAsia" w:ascii="宋体" w:hAnsi="宋体" w:eastAsia="宋体" w:cs="宋体"/>
          <w:szCs w:val="21"/>
          <w:lang w:val="en-US" w:eastAsia="zh-CN"/>
        </w:rPr>
        <w:t>）为落实好政府采购履约资金扶持政策，中标/成交供应商可凭政府采购合同办理融资贷款，详见江苏政府采购网“政采贷”专栏。</w:t>
      </w:r>
    </w:p>
    <w:p w14:paraId="710D6642">
      <w:pPr>
        <w:spacing w:line="360" w:lineRule="auto"/>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四</w:t>
      </w:r>
      <w:r>
        <w:rPr>
          <w:rFonts w:hint="eastAsia" w:ascii="宋体" w:hAnsi="宋体" w:eastAsia="宋体" w:cs="宋体"/>
          <w:szCs w:val="21"/>
          <w:lang w:val="en-US" w:eastAsia="zh-CN"/>
        </w:rPr>
        <w:t>）本项目严格执行政府采购关于支持节能产品、环境标志产品的相关政策规定。如本次采购的产品属于财政部、国家发展改革委、生态环境部、市场监管总局等部门发布的节能产品、环境标志产品品目清单政府强制采购范围的，供应商必须在投标/响应文件中提供所投产品的相关证书(由国家确定的认证机构出具的、处于有效期之内的节能产品、环境标志产品认证证书)。节能产品、环境标志产品品目清单以递交响应文件截止时已正式公布的最近一期信息为准，如属政府强制采购产品未提供认证证书的或认证证书提供不全的将视为未实质性响应采购要求。其他条件相同情况下，本项目优先采购节能产品、环境标志产品。</w:t>
      </w:r>
    </w:p>
    <w:p w14:paraId="199B821A">
      <w:pPr>
        <w:spacing w:line="360" w:lineRule="auto"/>
        <w:ind w:firstLine="420" w:firstLineChars="200"/>
        <w:rPr>
          <w:rFonts w:hint="eastAsia" w:ascii="宋体" w:hAnsi="宋体" w:cs="宋体"/>
          <w:b/>
          <w:bCs/>
          <w:szCs w:val="21"/>
          <w:lang w:val="en-US" w:eastAsia="zh-CN"/>
        </w:rPr>
      </w:pPr>
      <w:r>
        <w:rPr>
          <w:rFonts w:hint="eastAsia" w:ascii="宋体" w:hAnsi="宋体" w:eastAsia="宋体" w:cs="宋体"/>
          <w:szCs w:val="21"/>
          <w:lang w:val="en-US" w:eastAsia="zh-CN"/>
        </w:rPr>
        <w:t>（</w:t>
      </w:r>
      <w:r>
        <w:rPr>
          <w:rFonts w:hint="eastAsia" w:ascii="宋体" w:hAnsi="宋体" w:cs="宋体"/>
          <w:szCs w:val="21"/>
          <w:lang w:val="en-US" w:eastAsia="zh-CN"/>
        </w:rPr>
        <w:t>五</w:t>
      </w:r>
      <w:r>
        <w:rPr>
          <w:rFonts w:hint="eastAsia" w:ascii="宋体" w:hAnsi="宋体" w:eastAsia="宋体" w:cs="宋体"/>
          <w:szCs w:val="21"/>
          <w:lang w:val="en-US" w:eastAsia="zh-CN"/>
        </w:rPr>
        <w:t>）供应商对于所投产品的包装应按照“财办库〔2020〕123号《关于印发《商品包装政府采购需求标准（试行）》、《快递包装政府采购需求标准（试行）》的通知》”执行。</w:t>
      </w:r>
    </w:p>
    <w:p w14:paraId="4D269EDE">
      <w:pPr>
        <w:spacing w:line="360" w:lineRule="auto"/>
        <w:ind w:firstLine="413" w:firstLineChars="196"/>
        <w:rPr>
          <w:rFonts w:hint="eastAsia" w:ascii="宋体" w:hAnsi="宋体" w:cs="宋体"/>
          <w:b/>
          <w:bCs/>
          <w:szCs w:val="21"/>
        </w:rPr>
      </w:pPr>
      <w:r>
        <w:rPr>
          <w:rFonts w:hint="eastAsia" w:ascii="宋体" w:hAnsi="宋体" w:cs="宋体"/>
          <w:b/>
          <w:bCs/>
          <w:szCs w:val="21"/>
          <w:lang w:val="en-US" w:eastAsia="zh-CN"/>
        </w:rPr>
        <w:t>十</w:t>
      </w:r>
      <w:r>
        <w:rPr>
          <w:rFonts w:hint="eastAsia" w:ascii="宋体" w:hAnsi="宋体" w:cs="宋体"/>
          <w:b/>
          <w:bCs/>
          <w:szCs w:val="21"/>
        </w:rPr>
        <w:t>、本次磋商采购联系事项</w:t>
      </w:r>
    </w:p>
    <w:p w14:paraId="1E935C54">
      <w:pPr>
        <w:spacing w:line="360" w:lineRule="auto"/>
        <w:ind w:right="-155" w:firstLine="420" w:firstLineChars="200"/>
        <w:rPr>
          <w:rFonts w:hint="eastAsia" w:ascii="宋体" w:hAnsi="宋体" w:cs="宋体"/>
          <w:szCs w:val="21"/>
        </w:rPr>
      </w:pPr>
      <w:r>
        <w:rPr>
          <w:rFonts w:hint="eastAsia" w:ascii="宋体" w:hAnsi="宋体" w:cs="宋体"/>
          <w:szCs w:val="21"/>
        </w:rPr>
        <w:t>(一)采购单位</w:t>
      </w:r>
      <w:r>
        <w:rPr>
          <w:rFonts w:hint="eastAsia" w:ascii="宋体" w:hAnsi="宋体" w:cs="宋体"/>
          <w:szCs w:val="21"/>
          <w:lang w:val="en-US" w:eastAsia="zh-CN"/>
        </w:rPr>
        <w:t>信息</w:t>
      </w:r>
      <w:r>
        <w:rPr>
          <w:rFonts w:hint="eastAsia" w:ascii="宋体" w:hAnsi="宋体" w:cs="宋体"/>
          <w:szCs w:val="21"/>
        </w:rPr>
        <w:t>：</w:t>
      </w:r>
    </w:p>
    <w:p w14:paraId="2F91F788">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lang w:val="en-US" w:eastAsia="zh-CN"/>
        </w:rPr>
        <w:t>名称：扬州大学附属医院</w:t>
      </w:r>
    </w:p>
    <w:p w14:paraId="5B347638">
      <w:pPr>
        <w:spacing w:line="360" w:lineRule="auto"/>
        <w:ind w:right="-155" w:firstLine="420" w:firstLineChars="200"/>
        <w:rPr>
          <w:rFonts w:hint="eastAsia" w:ascii="宋体" w:hAnsi="宋体" w:eastAsia="宋体" w:cs="宋体"/>
          <w:szCs w:val="21"/>
          <w:highlight w:val="none"/>
          <w:lang w:val="en-US" w:eastAsia="zh-CN"/>
        </w:rPr>
      </w:pPr>
      <w:r>
        <w:rPr>
          <w:rFonts w:hint="eastAsia" w:ascii="宋体" w:hAnsi="宋体" w:cs="宋体"/>
          <w:szCs w:val="21"/>
          <w:highlight w:val="none"/>
        </w:rPr>
        <w:t>联系人：张</w:t>
      </w:r>
      <w:r>
        <w:rPr>
          <w:rFonts w:hint="eastAsia" w:ascii="宋体" w:hAnsi="宋体" w:cs="宋体"/>
          <w:szCs w:val="21"/>
          <w:highlight w:val="none"/>
          <w:lang w:val="en-US" w:eastAsia="zh-CN"/>
        </w:rPr>
        <w:t>亚东</w:t>
      </w:r>
    </w:p>
    <w:p w14:paraId="3570DC25">
      <w:pPr>
        <w:spacing w:line="360" w:lineRule="auto"/>
        <w:ind w:right="-155" w:firstLine="420" w:firstLineChars="200"/>
        <w:rPr>
          <w:rFonts w:hint="eastAsia" w:ascii="宋体" w:hAnsi="宋体" w:cs="宋体"/>
          <w:szCs w:val="21"/>
          <w:highlight w:val="none"/>
        </w:rPr>
      </w:pPr>
      <w:r>
        <w:rPr>
          <w:rFonts w:hint="eastAsia" w:ascii="宋体" w:hAnsi="宋体" w:cs="宋体"/>
          <w:szCs w:val="21"/>
          <w:highlight w:val="none"/>
        </w:rPr>
        <w:t>电话：0514-82099555</w:t>
      </w:r>
    </w:p>
    <w:p w14:paraId="10709548">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地址：扬州市</w:t>
      </w:r>
      <w:r>
        <w:rPr>
          <w:rFonts w:hint="eastAsia" w:ascii="宋体" w:hAnsi="宋体" w:cs="宋体"/>
          <w:szCs w:val="21"/>
          <w:highlight w:val="none"/>
          <w:lang w:val="en-US" w:eastAsia="zh-CN"/>
        </w:rPr>
        <w:t>邗江中路368号</w:t>
      </w:r>
    </w:p>
    <w:p w14:paraId="1CFB0104">
      <w:pPr>
        <w:spacing w:line="360" w:lineRule="auto"/>
        <w:ind w:firstLine="420" w:firstLineChars="200"/>
        <w:rPr>
          <w:rFonts w:hint="eastAsia" w:ascii="宋体" w:hAnsi="宋体" w:cs="宋体"/>
          <w:szCs w:val="21"/>
        </w:rPr>
      </w:pPr>
      <w:r>
        <w:rPr>
          <w:rFonts w:hint="eastAsia" w:ascii="宋体" w:hAnsi="宋体" w:cs="宋体"/>
          <w:szCs w:val="21"/>
        </w:rPr>
        <w:t>(二)采购代理机构</w:t>
      </w:r>
      <w:r>
        <w:rPr>
          <w:rFonts w:hint="eastAsia" w:ascii="宋体" w:hAnsi="宋体" w:cs="宋体"/>
          <w:szCs w:val="21"/>
          <w:lang w:val="en-US" w:eastAsia="zh-CN"/>
        </w:rPr>
        <w:t>信息</w:t>
      </w:r>
      <w:r>
        <w:rPr>
          <w:rFonts w:hint="eastAsia" w:ascii="宋体" w:hAnsi="宋体" w:cs="宋体"/>
          <w:szCs w:val="21"/>
        </w:rPr>
        <w:t>：</w:t>
      </w:r>
    </w:p>
    <w:p w14:paraId="6CFDDDAD">
      <w:pPr>
        <w:spacing w:line="360" w:lineRule="auto"/>
        <w:ind w:firstLine="420" w:firstLineChars="200"/>
        <w:rPr>
          <w:rFonts w:hint="eastAsia" w:ascii="宋体" w:hAnsi="宋体" w:eastAsia="宋体" w:cs="宋体"/>
          <w:szCs w:val="21"/>
          <w:lang w:eastAsia="zh-CN"/>
        </w:rPr>
      </w:pPr>
      <w:r>
        <w:rPr>
          <w:rFonts w:hint="eastAsia" w:ascii="宋体" w:hAnsi="宋体" w:cs="宋体"/>
          <w:szCs w:val="21"/>
        </w:rPr>
        <w:t>名  称：</w:t>
      </w:r>
      <w:r>
        <w:rPr>
          <w:rFonts w:hint="eastAsia" w:ascii="宋体" w:hAnsi="宋体" w:cs="宋体"/>
          <w:szCs w:val="21"/>
          <w:lang w:eastAsia="zh-CN"/>
        </w:rPr>
        <w:t>江苏苏维工程管理有限公司</w:t>
      </w:r>
    </w:p>
    <w:p w14:paraId="6111DD92">
      <w:pPr>
        <w:spacing w:line="360" w:lineRule="auto"/>
        <w:ind w:firstLine="420" w:firstLineChars="200"/>
        <w:rPr>
          <w:rFonts w:hint="eastAsia" w:ascii="宋体" w:hAnsi="宋体" w:cs="宋体"/>
          <w:szCs w:val="21"/>
        </w:rPr>
      </w:pPr>
      <w:r>
        <w:rPr>
          <w:rFonts w:hint="eastAsia" w:ascii="宋体" w:hAnsi="宋体" w:cs="宋体"/>
          <w:szCs w:val="21"/>
        </w:rPr>
        <w:t>地　址：扬州市翠岗路48号</w:t>
      </w:r>
    </w:p>
    <w:p w14:paraId="0EF87F2E">
      <w:pPr>
        <w:spacing w:line="360" w:lineRule="auto"/>
        <w:ind w:firstLine="420" w:firstLineChars="200"/>
        <w:rPr>
          <w:rFonts w:hint="eastAsia" w:ascii="宋体" w:hAnsi="宋体" w:eastAsia="宋体" w:cs="宋体"/>
          <w:szCs w:val="21"/>
          <w:lang w:eastAsia="zh-CN"/>
        </w:rPr>
      </w:pPr>
      <w:r>
        <w:rPr>
          <w:rFonts w:hint="eastAsia" w:ascii="宋体" w:hAnsi="宋体" w:cs="宋体"/>
          <w:szCs w:val="21"/>
          <w:lang w:val="en-US" w:eastAsia="zh-CN"/>
        </w:rPr>
        <w:t>联系</w:t>
      </w:r>
      <w:r>
        <w:rPr>
          <w:rFonts w:hint="eastAsia" w:ascii="宋体" w:hAnsi="宋体" w:cs="宋体"/>
          <w:szCs w:val="21"/>
        </w:rPr>
        <w:t>人：</w:t>
      </w:r>
      <w:r>
        <w:rPr>
          <w:rFonts w:hint="eastAsia" w:ascii="宋体" w:hAnsi="宋体" w:cs="宋体"/>
          <w:szCs w:val="21"/>
          <w:lang w:val="en-US" w:eastAsia="zh-CN"/>
        </w:rPr>
        <w:t>孙玉君</w:t>
      </w:r>
    </w:p>
    <w:p w14:paraId="075E2195">
      <w:pPr>
        <w:spacing w:line="360" w:lineRule="auto"/>
        <w:ind w:firstLine="420" w:firstLineChars="200"/>
        <w:rPr>
          <w:rFonts w:hint="default" w:ascii="宋体" w:hAnsi="宋体" w:eastAsia="宋体" w:cs="宋体"/>
          <w:szCs w:val="21"/>
          <w:lang w:val="en-US" w:eastAsia="zh-CN"/>
        </w:rPr>
      </w:pPr>
      <w:r>
        <w:rPr>
          <w:rFonts w:hint="eastAsia" w:ascii="宋体" w:hAnsi="宋体" w:cs="宋体"/>
          <w:szCs w:val="21"/>
        </w:rPr>
        <w:t>电　话：0514-8</w:t>
      </w:r>
      <w:r>
        <w:rPr>
          <w:rFonts w:hint="eastAsia" w:ascii="宋体" w:hAnsi="宋体" w:cs="宋体"/>
          <w:szCs w:val="21"/>
          <w:lang w:val="en-US" w:eastAsia="zh-CN"/>
        </w:rPr>
        <w:t>2129121</w:t>
      </w:r>
    </w:p>
    <w:p w14:paraId="34CEDEF4">
      <w:bookmarkStart w:id="3" w:name="_Toc22962"/>
    </w:p>
    <w:p w14:paraId="42F8B56D">
      <w:pPr>
        <w:jc w:val="left"/>
      </w:pPr>
    </w:p>
    <w:p w14:paraId="1A4D2163">
      <w:r>
        <w:br w:type="page"/>
      </w:r>
    </w:p>
    <w:p w14:paraId="334A1169"/>
    <w:p w14:paraId="493D1E18">
      <w:pPr>
        <w:pStyle w:val="2"/>
        <w:jc w:val="center"/>
      </w:pPr>
      <w:r>
        <w:t>第二章 磋商须知</w:t>
      </w:r>
      <w:bookmarkEnd w:id="2"/>
      <w:bookmarkEnd w:id="3"/>
    </w:p>
    <w:p w14:paraId="48B85F73">
      <w:pPr>
        <w:spacing w:line="360" w:lineRule="auto"/>
        <w:jc w:val="center"/>
        <w:rPr>
          <w:b/>
          <w:bCs/>
          <w:szCs w:val="21"/>
        </w:rPr>
      </w:pPr>
      <w:bookmarkStart w:id="4" w:name="_Toc16938520"/>
      <w:bookmarkStart w:id="5" w:name="_Toc458694821"/>
      <w:bookmarkStart w:id="6" w:name="_Toc513029204"/>
      <w:bookmarkStart w:id="7" w:name="_Toc20823276"/>
      <w:r>
        <w:rPr>
          <w:bCs/>
          <w:szCs w:val="21"/>
        </w:rPr>
        <w:t>（参加竞争性磋商的供应商以下简称“磋商供应商”）</w:t>
      </w:r>
    </w:p>
    <w:bookmarkEnd w:id="4"/>
    <w:bookmarkEnd w:id="5"/>
    <w:bookmarkEnd w:id="6"/>
    <w:bookmarkEnd w:id="7"/>
    <w:p w14:paraId="6432ABB9">
      <w:pPr>
        <w:tabs>
          <w:tab w:val="left" w:pos="900"/>
        </w:tabs>
        <w:spacing w:after="159" w:afterLines="50" w:line="360" w:lineRule="auto"/>
        <w:ind w:firstLine="422" w:firstLineChars="200"/>
        <w:rPr>
          <w:b/>
          <w:szCs w:val="21"/>
        </w:rPr>
      </w:pPr>
      <w:bookmarkStart w:id="8" w:name="OLE_LINK69"/>
      <w:bookmarkEnd w:id="8"/>
      <w:r>
        <w:rPr>
          <w:b/>
          <w:szCs w:val="21"/>
        </w:rPr>
        <w:t>一、总则</w:t>
      </w:r>
    </w:p>
    <w:p w14:paraId="06F2B619">
      <w:pPr>
        <w:tabs>
          <w:tab w:val="left" w:pos="900"/>
        </w:tabs>
        <w:spacing w:line="360" w:lineRule="auto"/>
        <w:ind w:firstLine="420" w:firstLineChars="200"/>
        <w:rPr>
          <w:szCs w:val="21"/>
        </w:rPr>
      </w:pPr>
      <w:r>
        <w:rPr>
          <w:szCs w:val="21"/>
        </w:rPr>
        <w:t>1、适用范围</w:t>
      </w:r>
    </w:p>
    <w:p w14:paraId="2840810D">
      <w:pPr>
        <w:tabs>
          <w:tab w:val="left" w:pos="900"/>
        </w:tabs>
        <w:spacing w:line="360" w:lineRule="auto"/>
        <w:ind w:firstLine="420" w:firstLineChars="200"/>
        <w:rPr>
          <w:szCs w:val="21"/>
        </w:rPr>
      </w:pPr>
      <w:r>
        <w:rPr>
          <w:szCs w:val="21"/>
        </w:rPr>
        <w:t>1.1 本竞争性磋商文件（以下简称磋商文件）仅适用</w:t>
      </w:r>
      <w:r>
        <w:rPr>
          <w:rFonts w:hint="eastAsia"/>
          <w:szCs w:val="21"/>
          <w:lang w:val="en-US" w:eastAsia="zh-CN"/>
        </w:rPr>
        <w:t>于本</w:t>
      </w:r>
      <w:r>
        <w:rPr>
          <w:szCs w:val="21"/>
        </w:rPr>
        <w:t>项目。</w:t>
      </w:r>
    </w:p>
    <w:p w14:paraId="4DA38A64">
      <w:pPr>
        <w:tabs>
          <w:tab w:val="left" w:pos="900"/>
        </w:tabs>
        <w:spacing w:line="360" w:lineRule="auto"/>
        <w:ind w:firstLine="420" w:firstLineChars="200"/>
        <w:rPr>
          <w:szCs w:val="21"/>
        </w:rPr>
      </w:pPr>
      <w:r>
        <w:rPr>
          <w:szCs w:val="21"/>
        </w:rPr>
        <w:t>2、项目采购方式</w:t>
      </w:r>
    </w:p>
    <w:p w14:paraId="160100C9">
      <w:pPr>
        <w:tabs>
          <w:tab w:val="left" w:pos="900"/>
        </w:tabs>
        <w:spacing w:line="360" w:lineRule="auto"/>
        <w:ind w:firstLine="420" w:firstLineChars="200"/>
        <w:rPr>
          <w:szCs w:val="21"/>
        </w:rPr>
      </w:pPr>
      <w:r>
        <w:rPr>
          <w:szCs w:val="21"/>
        </w:rPr>
        <w:t>本次采购采取竞争性磋商的方式。</w:t>
      </w:r>
    </w:p>
    <w:p w14:paraId="3F87EC6C">
      <w:pPr>
        <w:tabs>
          <w:tab w:val="left" w:pos="900"/>
        </w:tabs>
        <w:spacing w:line="360" w:lineRule="auto"/>
        <w:ind w:firstLine="420" w:firstLineChars="200"/>
        <w:rPr>
          <w:szCs w:val="21"/>
        </w:rPr>
      </w:pPr>
      <w:r>
        <w:rPr>
          <w:szCs w:val="21"/>
        </w:rPr>
        <w:t>3、合格的磋商供应商</w:t>
      </w:r>
    </w:p>
    <w:p w14:paraId="5C85B70F">
      <w:pPr>
        <w:tabs>
          <w:tab w:val="left" w:pos="900"/>
        </w:tabs>
        <w:spacing w:line="360" w:lineRule="auto"/>
        <w:ind w:firstLine="420" w:firstLineChars="200"/>
        <w:rPr>
          <w:szCs w:val="21"/>
        </w:rPr>
      </w:pPr>
      <w:r>
        <w:rPr>
          <w:szCs w:val="21"/>
        </w:rPr>
        <w:t>3.1满足本磋商文件“竞争性磋商采购邀请”中合格磋商供应商资格要求的规定。</w:t>
      </w:r>
    </w:p>
    <w:p w14:paraId="10CCB3C3">
      <w:pPr>
        <w:tabs>
          <w:tab w:val="left" w:pos="900"/>
        </w:tabs>
        <w:spacing w:line="360" w:lineRule="auto"/>
        <w:ind w:firstLine="420" w:firstLineChars="200"/>
        <w:rPr>
          <w:szCs w:val="21"/>
        </w:rPr>
      </w:pPr>
      <w:r>
        <w:rPr>
          <w:szCs w:val="21"/>
        </w:rPr>
        <w:t>3.2 满足本磋商文件实质性要求和条件的规定。</w:t>
      </w:r>
    </w:p>
    <w:p w14:paraId="1818F63E">
      <w:pPr>
        <w:tabs>
          <w:tab w:val="left" w:pos="900"/>
        </w:tabs>
        <w:spacing w:line="360" w:lineRule="auto"/>
        <w:ind w:firstLine="420" w:firstLineChars="200"/>
        <w:rPr>
          <w:szCs w:val="21"/>
        </w:rPr>
      </w:pPr>
      <w:r>
        <w:rPr>
          <w:szCs w:val="21"/>
        </w:rPr>
        <w:t>4、参加磋商费用</w:t>
      </w:r>
      <w:r>
        <w:rPr>
          <w:rFonts w:hint="eastAsia"/>
          <w:szCs w:val="21"/>
        </w:rPr>
        <w:t xml:space="preserve"> </w:t>
      </w:r>
    </w:p>
    <w:p w14:paraId="7DEB3674">
      <w:pPr>
        <w:tabs>
          <w:tab w:val="left" w:pos="900"/>
        </w:tabs>
        <w:spacing w:line="360" w:lineRule="auto"/>
        <w:ind w:firstLine="420" w:firstLineChars="200"/>
        <w:rPr>
          <w:szCs w:val="21"/>
          <w:highlight w:val="none"/>
        </w:rPr>
      </w:pPr>
      <w:r>
        <w:rPr>
          <w:szCs w:val="21"/>
        </w:rPr>
        <w:t>4.1参加磋商供应商应自行承担所有与参加磋商有关的费用。不论最终的成交结果如何，</w:t>
      </w:r>
      <w:r>
        <w:rPr>
          <w:rFonts w:hint="eastAsia"/>
          <w:szCs w:val="21"/>
          <w:lang w:eastAsia="zh-CN"/>
        </w:rPr>
        <w:t>江苏苏维工程管理有限公司</w:t>
      </w:r>
      <w:r>
        <w:rPr>
          <w:szCs w:val="21"/>
          <w:highlight w:val="none"/>
        </w:rPr>
        <w:t>（以下简称代理机构） 在任何情况下均无义务和责任承担这些费用。</w:t>
      </w:r>
    </w:p>
    <w:p w14:paraId="2372445D">
      <w:pPr>
        <w:pageBreakBefore w:val="0"/>
        <w:spacing w:beforeAutospacing="0" w:afterAutospacing="0" w:line="360" w:lineRule="auto"/>
        <w:ind w:left="0" w:firstLine="422"/>
        <w:jc w:val="left"/>
        <w:rPr>
          <w:b/>
          <w:bCs/>
          <w:szCs w:val="21"/>
          <w:highlight w:val="none"/>
        </w:rPr>
      </w:pPr>
      <w:r>
        <w:rPr>
          <w:rFonts w:hint="eastAsia" w:ascii="Times New Roman" w:hAnsi="Times New Roman" w:eastAsia="宋体" w:cs="宋体"/>
          <w:b/>
          <w:bCs/>
          <w:i/>
          <w:iCs/>
          <w:color w:val="000000"/>
          <w:szCs w:val="21"/>
          <w:highlight w:val="none"/>
          <w:u w:val="single"/>
          <w:lang w:val="en-US" w:eastAsia="zh-CN"/>
        </w:rPr>
        <w:t>4.2</w:t>
      </w:r>
      <w:r>
        <w:rPr>
          <w:rFonts w:hint="eastAsia" w:cs="宋体"/>
          <w:b/>
          <w:bCs/>
          <w:i/>
          <w:iCs/>
          <w:color w:val="000000"/>
          <w:szCs w:val="21"/>
          <w:highlight w:val="none"/>
          <w:u w:val="single"/>
          <w:lang w:val="en-US" w:eastAsia="zh-CN"/>
        </w:rPr>
        <w:t xml:space="preserve"> 标书工本费250元（含电子清标费），递交纸质版响应文件时缴纳，售后不退，否则响应文件不予接收。</w:t>
      </w:r>
    </w:p>
    <w:p w14:paraId="18378636">
      <w:pPr>
        <w:spacing w:line="360" w:lineRule="auto"/>
        <w:ind w:firstLine="422" w:firstLineChars="200"/>
        <w:jc w:val="left"/>
        <w:rPr>
          <w:b/>
          <w:bCs/>
          <w:szCs w:val="21"/>
        </w:rPr>
      </w:pPr>
      <w:r>
        <w:rPr>
          <w:b/>
          <w:bCs/>
          <w:szCs w:val="21"/>
        </w:rPr>
        <w:t>4.</w:t>
      </w:r>
      <w:r>
        <w:rPr>
          <w:rFonts w:hint="eastAsia"/>
          <w:b/>
          <w:bCs/>
          <w:szCs w:val="21"/>
          <w:lang w:val="en-US" w:eastAsia="zh-CN"/>
        </w:rPr>
        <w:t>3</w:t>
      </w:r>
      <w:r>
        <w:rPr>
          <w:b/>
          <w:bCs/>
          <w:szCs w:val="21"/>
        </w:rPr>
        <w:t>本项目</w:t>
      </w:r>
      <w:r>
        <w:rPr>
          <w:rFonts w:hint="eastAsia"/>
          <w:b/>
          <w:bCs/>
          <w:szCs w:val="21"/>
        </w:rPr>
        <w:t>代理</w:t>
      </w:r>
      <w:r>
        <w:rPr>
          <w:b/>
          <w:bCs/>
          <w:szCs w:val="21"/>
        </w:rPr>
        <w:t>服务费：</w:t>
      </w:r>
      <w:r>
        <w:rPr>
          <w:rFonts w:hint="eastAsia"/>
          <w:b/>
          <w:bCs/>
          <w:szCs w:val="21"/>
        </w:rPr>
        <w:t>本次采购由</w:t>
      </w:r>
      <w:r>
        <w:rPr>
          <w:rFonts w:hint="eastAsia"/>
          <w:b/>
          <w:bCs/>
          <w:szCs w:val="21"/>
          <w:lang w:val="en-US" w:eastAsia="zh-CN"/>
        </w:rPr>
        <w:t>成交</w:t>
      </w:r>
      <w:r>
        <w:rPr>
          <w:rFonts w:hint="eastAsia"/>
          <w:b/>
          <w:bCs/>
          <w:szCs w:val="21"/>
        </w:rPr>
        <w:t>人在领取</w:t>
      </w:r>
      <w:r>
        <w:rPr>
          <w:rFonts w:hint="eastAsia"/>
          <w:b/>
          <w:bCs/>
          <w:szCs w:val="21"/>
          <w:lang w:val="en-US" w:eastAsia="zh-CN"/>
        </w:rPr>
        <w:t>成交</w:t>
      </w:r>
      <w:r>
        <w:rPr>
          <w:rFonts w:hint="eastAsia"/>
          <w:b/>
          <w:bCs/>
          <w:szCs w:val="21"/>
        </w:rPr>
        <w:t>通知书前一次性支付给招标代理机构（具体计算方式详见下表）。</w:t>
      </w:r>
    </w:p>
    <w:tbl>
      <w:tblPr>
        <w:tblStyle w:val="30"/>
        <w:tblW w:w="8812" w:type="dxa"/>
        <w:jc w:val="center"/>
        <w:tblLayout w:type="fixed"/>
        <w:tblCellMar>
          <w:top w:w="0" w:type="dxa"/>
          <w:left w:w="108" w:type="dxa"/>
          <w:bottom w:w="0" w:type="dxa"/>
          <w:right w:w="108" w:type="dxa"/>
        </w:tblCellMar>
      </w:tblPr>
      <w:tblGrid>
        <w:gridCol w:w="2178"/>
        <w:gridCol w:w="2214"/>
        <w:gridCol w:w="1879"/>
        <w:gridCol w:w="2541"/>
      </w:tblGrid>
      <w:tr w14:paraId="0A638F01">
        <w:tblPrEx>
          <w:tblCellMar>
            <w:top w:w="0" w:type="dxa"/>
            <w:left w:w="108" w:type="dxa"/>
            <w:bottom w:w="0" w:type="dxa"/>
            <w:right w:w="108" w:type="dxa"/>
          </w:tblCellMar>
        </w:tblPrEx>
        <w:trPr>
          <w:trHeight w:val="795" w:hRule="atLeast"/>
          <w:jc w:val="center"/>
        </w:trPr>
        <w:tc>
          <w:tcPr>
            <w:tcW w:w="2178" w:type="dxa"/>
            <w:vMerge w:val="restart"/>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C30FF82">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项目</w:t>
            </w:r>
          </w:p>
          <w:p w14:paraId="738288EE">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r>
              <w:rPr>
                <w:rFonts w:hint="eastAsia" w:ascii="宋体" w:hAnsi="宋体" w:cs="宋体"/>
                <w:color w:val="000000"/>
                <w:spacing w:val="40"/>
                <w:szCs w:val="21"/>
                <w:highlight w:val="none"/>
              </w:rPr>
              <w:t>类型</w:t>
            </w: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4CF8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万以下</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021BE9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万以上</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30BAFF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代理服务费最高限价</w:t>
            </w:r>
          </w:p>
        </w:tc>
      </w:tr>
      <w:tr w14:paraId="57CCBA2B">
        <w:tblPrEx>
          <w:tblCellMar>
            <w:top w:w="0" w:type="dxa"/>
            <w:left w:w="108" w:type="dxa"/>
            <w:bottom w:w="0" w:type="dxa"/>
            <w:right w:w="108" w:type="dxa"/>
          </w:tblCellMar>
        </w:tblPrEx>
        <w:trPr>
          <w:trHeight w:val="952" w:hRule="atLeast"/>
          <w:jc w:val="center"/>
        </w:trPr>
        <w:tc>
          <w:tcPr>
            <w:tcW w:w="2178" w:type="dxa"/>
            <w:vMerge w:val="continue"/>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CF3DD1">
            <w:pPr>
              <w:keepNext w:val="0"/>
              <w:keepLines w:val="0"/>
              <w:pageBreakBefore w:val="0"/>
              <w:widowControl/>
              <w:spacing w:beforeAutospacing="0" w:afterAutospacing="0" w:line="360" w:lineRule="auto"/>
              <w:ind w:left="0" w:firstLine="0"/>
              <w:jc w:val="center"/>
              <w:rPr>
                <w:rFonts w:ascii="宋体" w:hAnsi="宋体" w:cs="宋体"/>
                <w:color w:val="000000"/>
                <w:spacing w:val="40"/>
                <w:szCs w:val="21"/>
                <w:highlight w:val="none"/>
              </w:rPr>
            </w:pPr>
          </w:p>
        </w:tc>
        <w:tc>
          <w:tcPr>
            <w:tcW w:w="2214"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BA6A5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4E705E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7BCF3184">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685F2A5">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（折扣率）</w:t>
            </w:r>
          </w:p>
        </w:tc>
        <w:tc>
          <w:tcPr>
            <w:tcW w:w="2541"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5DBA3CB">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代理费</w:t>
            </w:r>
          </w:p>
          <w:p w14:paraId="0CF5DF4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（单位：元）</w:t>
            </w:r>
          </w:p>
        </w:tc>
      </w:tr>
      <w:tr w14:paraId="4A7970ED">
        <w:tblPrEx>
          <w:tblCellMar>
            <w:top w:w="0" w:type="dxa"/>
            <w:left w:w="108" w:type="dxa"/>
            <w:bottom w:w="0" w:type="dxa"/>
            <w:right w:w="108" w:type="dxa"/>
          </w:tblCellMar>
        </w:tblPrEx>
        <w:trPr>
          <w:trHeight w:val="431"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49567E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w:t>
            </w:r>
          </w:p>
        </w:tc>
        <w:tc>
          <w:tcPr>
            <w:tcW w:w="2214"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3E432C1A">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1500</w:t>
            </w:r>
            <w:r>
              <w:rPr>
                <w:rFonts w:hint="eastAsia" w:ascii="宋体" w:hAnsi="宋体" w:cs="宋体"/>
                <w:color w:val="000000"/>
                <w:szCs w:val="21"/>
                <w:highlight w:val="none"/>
              </w:rPr>
              <w:t>元</w:t>
            </w:r>
          </w:p>
        </w:tc>
        <w:tc>
          <w:tcPr>
            <w:tcW w:w="1879"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5AC29B3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restart"/>
            <w:tcBorders>
              <w:top w:val="single" w:color="000000" w:sz="4" w:space="0"/>
              <w:left w:val="single" w:color="000000" w:sz="4" w:space="0"/>
              <w:bottom w:val="nil"/>
              <w:right w:val="single" w:color="000000" w:sz="4" w:space="0"/>
            </w:tcBorders>
            <w:noWrap w:val="0"/>
            <w:tcMar>
              <w:top w:w="0" w:type="dxa"/>
              <w:left w:w="108" w:type="dxa"/>
              <w:bottom w:w="0" w:type="dxa"/>
              <w:right w:w="108" w:type="dxa"/>
            </w:tcMar>
            <w:vAlign w:val="center"/>
          </w:tcPr>
          <w:p w14:paraId="0AC6DEA1">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lang w:val="en-US" w:eastAsia="zh-CN"/>
              </w:rPr>
              <w:t>8000</w:t>
            </w:r>
            <w:r>
              <w:rPr>
                <w:rFonts w:hint="eastAsia" w:ascii="宋体" w:hAnsi="宋体" w:cs="宋体"/>
                <w:color w:val="000000"/>
                <w:szCs w:val="21"/>
                <w:highlight w:val="none"/>
              </w:rPr>
              <w:t>元</w:t>
            </w:r>
          </w:p>
        </w:tc>
      </w:tr>
      <w:tr w14:paraId="68258521">
        <w:tblPrEx>
          <w:tblCellMar>
            <w:top w:w="0" w:type="dxa"/>
            <w:left w:w="108" w:type="dxa"/>
            <w:bottom w:w="0" w:type="dxa"/>
            <w:right w:w="108" w:type="dxa"/>
          </w:tblCellMar>
        </w:tblPrEx>
        <w:trPr>
          <w:trHeight w:val="436"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6E6C67">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w:t>
            </w:r>
          </w:p>
        </w:tc>
        <w:tc>
          <w:tcPr>
            <w:tcW w:w="2214"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562CE5D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BC068E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2541" w:type="dxa"/>
            <w:vMerge w:val="continue"/>
            <w:tcBorders>
              <w:top w:val="nil"/>
              <w:left w:val="single" w:color="000000" w:sz="4" w:space="0"/>
              <w:bottom w:val="nil"/>
              <w:right w:val="single" w:color="000000" w:sz="4" w:space="0"/>
            </w:tcBorders>
            <w:noWrap w:val="0"/>
            <w:tcMar>
              <w:top w:w="0" w:type="dxa"/>
              <w:left w:w="108" w:type="dxa"/>
              <w:bottom w:w="0" w:type="dxa"/>
              <w:right w:w="108" w:type="dxa"/>
            </w:tcMar>
            <w:vAlign w:val="center"/>
          </w:tcPr>
          <w:p w14:paraId="7B7E52A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r w14:paraId="3276E2F6">
        <w:tblPrEx>
          <w:tblCellMar>
            <w:top w:w="0" w:type="dxa"/>
            <w:left w:w="108" w:type="dxa"/>
            <w:bottom w:w="0" w:type="dxa"/>
            <w:right w:w="108" w:type="dxa"/>
          </w:tblCellMar>
        </w:tblPrEx>
        <w:trPr>
          <w:trHeight w:val="535" w:hRule="atLeast"/>
          <w:jc w:val="center"/>
        </w:trPr>
        <w:tc>
          <w:tcPr>
            <w:tcW w:w="217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342E5620">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w:t>
            </w:r>
          </w:p>
        </w:tc>
        <w:tc>
          <w:tcPr>
            <w:tcW w:w="2214"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229AEC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c>
          <w:tcPr>
            <w:tcW w:w="1879"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6E9EA57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u w:val="single"/>
                <w:lang w:val="en-US" w:eastAsia="zh-CN"/>
              </w:rPr>
              <w:t>15</w:t>
            </w:r>
            <w:r>
              <w:rPr>
                <w:rFonts w:hint="eastAsia" w:ascii="宋体" w:hAnsi="宋体" w:cs="宋体"/>
                <w:color w:val="000000"/>
                <w:szCs w:val="21"/>
                <w:highlight w:val="none"/>
              </w:rPr>
              <w:t>%</w:t>
            </w:r>
          </w:p>
        </w:tc>
        <w:tc>
          <w:tcPr>
            <w:tcW w:w="2541" w:type="dxa"/>
            <w:vMerge w:val="continue"/>
            <w:tcBorders>
              <w:top w:val="nil"/>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5D69E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p>
        </w:tc>
      </w:tr>
    </w:tbl>
    <w:p w14:paraId="5801FB92">
      <w:pPr>
        <w:spacing w:line="360" w:lineRule="auto"/>
        <w:ind w:firstLine="420" w:firstLineChars="200"/>
        <w:jc w:val="center"/>
        <w:rPr>
          <w:szCs w:val="21"/>
        </w:rPr>
      </w:pPr>
      <w:r>
        <w:rPr>
          <w:rFonts w:hint="eastAsia"/>
          <w:szCs w:val="21"/>
        </w:rPr>
        <w:t>基准费率表</w:t>
      </w:r>
    </w:p>
    <w:tbl>
      <w:tblPr>
        <w:tblStyle w:val="30"/>
        <w:tblW w:w="8790" w:type="dxa"/>
        <w:jc w:val="center"/>
        <w:tblLayout w:type="fixed"/>
        <w:tblCellMar>
          <w:top w:w="0" w:type="dxa"/>
          <w:left w:w="0" w:type="dxa"/>
          <w:bottom w:w="0" w:type="dxa"/>
          <w:right w:w="0" w:type="dxa"/>
        </w:tblCellMar>
      </w:tblPr>
      <w:tblGrid>
        <w:gridCol w:w="3027"/>
        <w:gridCol w:w="1759"/>
        <w:gridCol w:w="1759"/>
        <w:gridCol w:w="2245"/>
      </w:tblGrid>
      <w:tr w14:paraId="19F34BEB">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EED270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中标</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成交</w:t>
            </w:r>
            <w:r>
              <w:rPr>
                <w:rFonts w:hint="eastAsia" w:ascii="宋体" w:hAnsi="宋体" w:cs="宋体"/>
                <w:color w:val="000000"/>
                <w:szCs w:val="21"/>
                <w:highlight w:val="none"/>
                <w:lang w:eastAsia="zh-CN"/>
              </w:rPr>
              <w:t>）</w:t>
            </w:r>
            <w:r>
              <w:rPr>
                <w:rFonts w:hint="eastAsia" w:ascii="宋体" w:hAnsi="宋体" w:cs="宋体"/>
                <w:color w:val="000000"/>
                <w:szCs w:val="21"/>
                <w:highlight w:val="none"/>
              </w:rPr>
              <w:t>金额（万元）</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637F182">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货物采购</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0BF2F9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服务采购</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6EB8E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宋体" w:hAnsi="宋体" w:cs="宋体"/>
                <w:color w:val="000000"/>
                <w:szCs w:val="21"/>
                <w:highlight w:val="none"/>
              </w:rPr>
              <w:t>工程采购</w:t>
            </w:r>
          </w:p>
        </w:tc>
      </w:tr>
      <w:tr w14:paraId="59B3C2CD">
        <w:tblPrEx>
          <w:tblCellMar>
            <w:top w:w="0" w:type="dxa"/>
            <w:left w:w="0" w:type="dxa"/>
            <w:bottom w:w="0" w:type="dxa"/>
            <w:right w:w="0" w:type="dxa"/>
          </w:tblCellMar>
        </w:tblPrEx>
        <w:trPr>
          <w:trHeight w:val="374"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53EB0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以下</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604B50A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2DAB175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4CAE3E">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w:t>
            </w:r>
            <w:r>
              <w:rPr>
                <w:rFonts w:hint="eastAsia" w:ascii="宋体" w:hAnsi="宋体" w:cs="宋体"/>
                <w:color w:val="000000"/>
                <w:szCs w:val="21"/>
                <w:highlight w:val="none"/>
              </w:rPr>
              <w:t>％</w:t>
            </w:r>
          </w:p>
        </w:tc>
      </w:tr>
      <w:tr w14:paraId="0386BA15">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D61A80D">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500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3A16A54F">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1.1</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3078C73">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748F18CC">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0.7</w:t>
            </w:r>
            <w:r>
              <w:rPr>
                <w:rFonts w:hint="eastAsia" w:ascii="宋体" w:hAnsi="宋体" w:cs="宋体"/>
                <w:color w:val="000000"/>
                <w:szCs w:val="21"/>
                <w:highlight w:val="none"/>
              </w:rPr>
              <w:t>％</w:t>
            </w:r>
          </w:p>
        </w:tc>
      </w:tr>
      <w:tr w14:paraId="254B1459">
        <w:tblPrEx>
          <w:tblCellMar>
            <w:top w:w="0" w:type="dxa"/>
            <w:left w:w="0" w:type="dxa"/>
            <w:bottom w:w="0" w:type="dxa"/>
            <w:right w:w="0" w:type="dxa"/>
          </w:tblCellMar>
        </w:tblPrEx>
        <w:trPr>
          <w:trHeight w:val="227" w:hRule="atLeast"/>
          <w:jc w:val="center"/>
        </w:trPr>
        <w:tc>
          <w:tcPr>
            <w:tcW w:w="3027"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180932B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500</w:t>
            </w:r>
            <w:r>
              <w:rPr>
                <w:rFonts w:hint="eastAsia" w:ascii="宋体" w:hAnsi="宋体" w:cs="宋体"/>
                <w:color w:val="000000"/>
                <w:szCs w:val="21"/>
                <w:highlight w:val="none"/>
              </w:rPr>
              <w:t>-</w:t>
            </w:r>
            <w:r>
              <w:rPr>
                <w:rFonts w:hint="eastAsia" w:ascii="Times New Roman" w:hAnsi="Times New Roman" w:cs="宋体"/>
                <w:color w:val="000000"/>
                <w:szCs w:val="21"/>
                <w:highlight w:val="none"/>
              </w:rPr>
              <w:t>1000</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4E15DA09">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0.8</w:t>
            </w:r>
            <w:r>
              <w:rPr>
                <w:rFonts w:hint="eastAsia" w:ascii="宋体" w:hAnsi="宋体" w:cs="宋体"/>
                <w:color w:val="000000"/>
                <w:szCs w:val="21"/>
                <w:highlight w:val="none"/>
              </w:rPr>
              <w:t>％</w:t>
            </w:r>
          </w:p>
        </w:tc>
        <w:tc>
          <w:tcPr>
            <w:tcW w:w="1759"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56C73D06">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0.45</w:t>
            </w:r>
            <w:r>
              <w:rPr>
                <w:rFonts w:hint="eastAsia" w:ascii="宋体" w:hAnsi="宋体" w:cs="宋体"/>
                <w:color w:val="000000"/>
                <w:szCs w:val="21"/>
                <w:highlight w:val="none"/>
              </w:rPr>
              <w:t>％</w:t>
            </w:r>
          </w:p>
        </w:tc>
        <w:tc>
          <w:tcPr>
            <w:tcW w:w="2245" w:type="dxa"/>
            <w:tcBorders>
              <w:top w:val="single" w:color="000000" w:sz="6" w:space="0"/>
              <w:left w:val="single" w:color="000000" w:sz="6" w:space="0"/>
              <w:bottom w:val="single" w:color="000000" w:sz="6" w:space="0"/>
              <w:right w:val="single" w:color="000000" w:sz="6" w:space="0"/>
            </w:tcBorders>
            <w:noWrap w:val="0"/>
            <w:tcMar>
              <w:top w:w="0" w:type="dxa"/>
              <w:left w:w="0" w:type="dxa"/>
              <w:bottom w:w="0" w:type="dxa"/>
              <w:right w:w="0" w:type="dxa"/>
            </w:tcMar>
            <w:vAlign w:val="center"/>
          </w:tcPr>
          <w:p w14:paraId="0732AB18">
            <w:pPr>
              <w:keepNext w:val="0"/>
              <w:keepLines w:val="0"/>
              <w:pageBreakBefore w:val="0"/>
              <w:widowControl/>
              <w:spacing w:beforeAutospacing="0" w:afterAutospacing="0" w:line="360" w:lineRule="auto"/>
              <w:ind w:left="0" w:firstLine="0"/>
              <w:jc w:val="center"/>
              <w:rPr>
                <w:rFonts w:ascii="宋体" w:hAnsi="宋体" w:cs="宋体"/>
                <w:color w:val="000000"/>
                <w:szCs w:val="21"/>
                <w:highlight w:val="none"/>
              </w:rPr>
            </w:pPr>
            <w:r>
              <w:rPr>
                <w:rFonts w:hint="eastAsia" w:ascii="Times New Roman" w:hAnsi="Times New Roman" w:cs="宋体"/>
                <w:color w:val="000000"/>
                <w:szCs w:val="21"/>
                <w:highlight w:val="none"/>
              </w:rPr>
              <w:t>0.55</w:t>
            </w:r>
            <w:r>
              <w:rPr>
                <w:rFonts w:hint="eastAsia" w:ascii="宋体" w:hAnsi="宋体" w:cs="宋体"/>
                <w:color w:val="000000"/>
                <w:szCs w:val="21"/>
                <w:highlight w:val="none"/>
              </w:rPr>
              <w:t>％</w:t>
            </w:r>
          </w:p>
        </w:tc>
      </w:tr>
    </w:tbl>
    <w:p w14:paraId="25247C18">
      <w:pPr>
        <w:spacing w:line="360" w:lineRule="auto"/>
        <w:ind w:firstLine="420" w:firstLineChars="200"/>
        <w:rPr>
          <w:rFonts w:hint="eastAsia" w:eastAsia="宋体"/>
          <w:szCs w:val="21"/>
          <w:lang w:eastAsia="zh-CN"/>
        </w:rPr>
      </w:pPr>
      <w:r>
        <w:rPr>
          <w:szCs w:val="21"/>
        </w:rPr>
        <w:t>（1）服务费以人民币支付</w:t>
      </w:r>
      <w:r>
        <w:rPr>
          <w:rFonts w:hint="eastAsia"/>
          <w:szCs w:val="21"/>
          <w:lang w:eastAsia="zh-CN"/>
        </w:rPr>
        <w:t>；</w:t>
      </w:r>
    </w:p>
    <w:p w14:paraId="03B95A39">
      <w:pPr>
        <w:spacing w:line="360" w:lineRule="auto"/>
        <w:ind w:firstLine="420" w:firstLineChars="200"/>
        <w:rPr>
          <w:szCs w:val="21"/>
        </w:rPr>
      </w:pPr>
      <w:r>
        <w:rPr>
          <w:szCs w:val="21"/>
        </w:rPr>
        <w:t>（2）</w:t>
      </w:r>
      <w:r>
        <w:rPr>
          <w:rFonts w:hint="eastAsia"/>
          <w:szCs w:val="21"/>
        </w:rPr>
        <w:t>服务费支付方式：一次性以电汇</w:t>
      </w:r>
      <w:r>
        <w:rPr>
          <w:rFonts w:hint="eastAsia"/>
          <w:szCs w:val="21"/>
          <w:lang w:eastAsia="zh-CN"/>
        </w:rPr>
        <w:t>、</w:t>
      </w:r>
      <w:r>
        <w:rPr>
          <w:rFonts w:hint="eastAsia"/>
          <w:szCs w:val="21"/>
        </w:rPr>
        <w:t>转账</w:t>
      </w:r>
      <w:r>
        <w:rPr>
          <w:rFonts w:hint="eastAsia"/>
          <w:szCs w:val="21"/>
          <w:lang w:eastAsia="zh-CN"/>
        </w:rPr>
        <w:t>、</w:t>
      </w:r>
      <w:r>
        <w:rPr>
          <w:rFonts w:hint="eastAsia"/>
          <w:szCs w:val="21"/>
          <w:lang w:val="en-US" w:eastAsia="zh-CN"/>
        </w:rPr>
        <w:t>支票、</w:t>
      </w:r>
      <w:r>
        <w:rPr>
          <w:rFonts w:hint="eastAsia"/>
          <w:szCs w:val="21"/>
        </w:rPr>
        <w:t>现金</w:t>
      </w:r>
      <w:r>
        <w:rPr>
          <w:rFonts w:hint="eastAsia"/>
          <w:szCs w:val="21"/>
          <w:lang w:val="en-US" w:eastAsia="zh-CN"/>
        </w:rPr>
        <w:t>等</w:t>
      </w:r>
      <w:r>
        <w:rPr>
          <w:rFonts w:hint="eastAsia"/>
          <w:szCs w:val="21"/>
        </w:rPr>
        <w:t>形式支付</w:t>
      </w:r>
      <w:r>
        <w:rPr>
          <w:rFonts w:hint="eastAsia"/>
          <w:szCs w:val="21"/>
          <w:lang w:eastAsia="zh-CN"/>
        </w:rPr>
        <w:t>，</w:t>
      </w:r>
      <w:r>
        <w:rPr>
          <w:rFonts w:hint="eastAsia"/>
          <w:szCs w:val="21"/>
          <w:lang w:val="en-US" w:eastAsia="zh-CN"/>
        </w:rPr>
        <w:t>同时领取代理服务费发票</w:t>
      </w:r>
      <w:r>
        <w:rPr>
          <w:rFonts w:hint="eastAsia"/>
          <w:szCs w:val="21"/>
        </w:rPr>
        <w:t>。</w:t>
      </w:r>
    </w:p>
    <w:p w14:paraId="1063B5E6">
      <w:pPr>
        <w:spacing w:line="360" w:lineRule="auto"/>
        <w:ind w:firstLine="420" w:firstLineChars="200"/>
        <w:rPr>
          <w:bCs/>
          <w:kern w:val="0"/>
          <w:szCs w:val="21"/>
        </w:rPr>
      </w:pPr>
      <w:r>
        <w:rPr>
          <w:szCs w:val="21"/>
        </w:rPr>
        <w:t>（3）</w:t>
      </w:r>
      <w:r>
        <w:rPr>
          <w:rFonts w:hint="eastAsia"/>
          <w:szCs w:val="21"/>
        </w:rPr>
        <w:t>服务费不在</w:t>
      </w:r>
      <w:r>
        <w:rPr>
          <w:rFonts w:hint="eastAsia"/>
          <w:szCs w:val="21"/>
          <w:lang w:val="en-US" w:eastAsia="zh-CN"/>
        </w:rPr>
        <w:t>磋商</w:t>
      </w:r>
      <w:r>
        <w:rPr>
          <w:rFonts w:hint="eastAsia"/>
          <w:szCs w:val="21"/>
        </w:rPr>
        <w:t>报价中单列，包含在</w:t>
      </w:r>
      <w:r>
        <w:rPr>
          <w:rFonts w:hint="eastAsia"/>
          <w:szCs w:val="21"/>
          <w:lang w:val="en-US" w:eastAsia="zh-CN"/>
        </w:rPr>
        <w:t>磋商</w:t>
      </w:r>
      <w:r>
        <w:rPr>
          <w:rFonts w:hint="eastAsia"/>
          <w:szCs w:val="21"/>
        </w:rPr>
        <w:t>总价中。</w:t>
      </w:r>
    </w:p>
    <w:p w14:paraId="0132E12F">
      <w:pPr>
        <w:spacing w:line="360" w:lineRule="auto"/>
        <w:ind w:firstLine="420" w:firstLineChars="200"/>
        <w:rPr>
          <w:rFonts w:hint="default" w:eastAsia="宋体"/>
          <w:bCs/>
          <w:kern w:val="0"/>
          <w:szCs w:val="21"/>
          <w:lang w:val="en-US" w:eastAsia="zh-CN"/>
        </w:rPr>
      </w:pPr>
      <w:r>
        <w:rPr>
          <w:bCs/>
          <w:kern w:val="0"/>
          <w:szCs w:val="21"/>
        </w:rPr>
        <w:t>4.</w:t>
      </w:r>
      <w:r>
        <w:rPr>
          <w:rFonts w:hint="eastAsia"/>
          <w:bCs/>
          <w:kern w:val="0"/>
          <w:szCs w:val="21"/>
          <w:lang w:val="en-US" w:eastAsia="zh-CN"/>
        </w:rPr>
        <w:t>4</w:t>
      </w:r>
      <w:r>
        <w:rPr>
          <w:rFonts w:hint="eastAsia"/>
          <w:bCs/>
          <w:kern w:val="0"/>
          <w:szCs w:val="21"/>
        </w:rPr>
        <w:t>专家评审费</w:t>
      </w:r>
      <w:r>
        <w:rPr>
          <w:rFonts w:hint="eastAsia"/>
          <w:bCs/>
          <w:kern w:val="0"/>
          <w:szCs w:val="21"/>
          <w:lang w:val="en-US" w:eastAsia="zh-CN"/>
        </w:rPr>
        <w:t>参</w:t>
      </w:r>
      <w:r>
        <w:rPr>
          <w:rFonts w:hint="eastAsia"/>
          <w:bCs/>
          <w:kern w:val="0"/>
          <w:szCs w:val="21"/>
        </w:rPr>
        <w:t>照《关于规范江苏省政府采购专家评审费标准的通知》（苏财购〔2016〕48号）执行。</w:t>
      </w:r>
    </w:p>
    <w:p w14:paraId="17F57A0E">
      <w:pPr>
        <w:tabs>
          <w:tab w:val="left" w:pos="900"/>
        </w:tabs>
        <w:spacing w:line="360" w:lineRule="auto"/>
        <w:ind w:firstLine="420" w:firstLineChars="200"/>
        <w:rPr>
          <w:szCs w:val="21"/>
          <w:highlight w:val="none"/>
        </w:rPr>
      </w:pPr>
      <w:r>
        <w:rPr>
          <w:szCs w:val="21"/>
          <w:highlight w:val="none"/>
        </w:rPr>
        <w:t>5、磋商文件的约束力</w:t>
      </w:r>
    </w:p>
    <w:p w14:paraId="3F58247C">
      <w:pPr>
        <w:tabs>
          <w:tab w:val="left" w:pos="900"/>
        </w:tabs>
        <w:spacing w:line="360" w:lineRule="auto"/>
        <w:ind w:firstLine="420" w:firstLineChars="200"/>
        <w:rPr>
          <w:szCs w:val="21"/>
          <w:highlight w:val="none"/>
        </w:rPr>
      </w:pPr>
      <w:r>
        <w:rPr>
          <w:szCs w:val="21"/>
          <w:highlight w:val="none"/>
        </w:rPr>
        <w:t>供应商一旦</w:t>
      </w:r>
      <w:r>
        <w:rPr>
          <w:rFonts w:hint="eastAsia"/>
          <w:szCs w:val="21"/>
          <w:highlight w:val="none"/>
        </w:rPr>
        <w:t>获取</w:t>
      </w:r>
      <w:r>
        <w:rPr>
          <w:szCs w:val="21"/>
          <w:highlight w:val="none"/>
        </w:rPr>
        <w:t>本磋商文件并决定参加磋商，即被认为接受了本磋商文件的规定和约束，并且视为自竞争性磋商公告期限届满之日起已经知道或应当知道自身权益是否受到了损害。</w:t>
      </w:r>
    </w:p>
    <w:p w14:paraId="337C6D45">
      <w:pPr>
        <w:tabs>
          <w:tab w:val="left" w:pos="900"/>
        </w:tabs>
        <w:spacing w:line="360" w:lineRule="auto"/>
        <w:ind w:firstLine="420" w:firstLineChars="200"/>
        <w:rPr>
          <w:szCs w:val="21"/>
          <w:highlight w:val="none"/>
        </w:rPr>
      </w:pPr>
      <w:r>
        <w:rPr>
          <w:szCs w:val="21"/>
          <w:highlight w:val="none"/>
        </w:rPr>
        <w:t>6、</w:t>
      </w:r>
      <w:bookmarkStart w:id="9" w:name="_Toc16938527"/>
      <w:bookmarkStart w:id="10" w:name="_Toc462564070"/>
      <w:bookmarkStart w:id="11" w:name="_Toc513029211"/>
      <w:bookmarkStart w:id="12" w:name="_Toc20823283"/>
      <w:r>
        <w:rPr>
          <w:szCs w:val="21"/>
          <w:highlight w:val="none"/>
        </w:rPr>
        <w:t>磋商文件的</w:t>
      </w:r>
      <w:bookmarkEnd w:id="9"/>
      <w:bookmarkEnd w:id="10"/>
      <w:bookmarkEnd w:id="11"/>
      <w:bookmarkEnd w:id="12"/>
      <w:r>
        <w:rPr>
          <w:szCs w:val="21"/>
          <w:highlight w:val="none"/>
        </w:rPr>
        <w:t>询问及修改</w:t>
      </w:r>
    </w:p>
    <w:p w14:paraId="4778C57C">
      <w:pPr>
        <w:tabs>
          <w:tab w:val="left" w:pos="900"/>
        </w:tabs>
        <w:spacing w:line="360" w:lineRule="auto"/>
        <w:ind w:firstLine="420" w:firstLineChars="200"/>
        <w:rPr>
          <w:szCs w:val="21"/>
          <w:highlight w:val="none"/>
        </w:rPr>
      </w:pPr>
      <w:r>
        <w:rPr>
          <w:szCs w:val="21"/>
          <w:highlight w:val="none"/>
        </w:rPr>
        <w:t>任何要求对磋商文件进行询问的供应商，均应在提交首次响应文件截止时间5日前按采购邀请中的通讯地址，向代理机构提出。提交首次响应文件截止之日前，代理机构可以对已发出的磋商文件进行必要的澄清或者修改，澄清或者修改的内容作为磋商文件的组成部分。澄清或者修改的内容可能影响响应文件编制的，代理机构将在提交首次响应文件截止时间至少5日前，在</w:t>
      </w:r>
      <w:r>
        <w:rPr>
          <w:rFonts w:hint="eastAsia"/>
          <w:szCs w:val="21"/>
          <w:highlight w:val="none"/>
        </w:rPr>
        <w:t>“</w:t>
      </w:r>
      <w:r>
        <w:rPr>
          <w:rFonts w:hint="eastAsia"/>
          <w:szCs w:val="21"/>
          <w:highlight w:val="none"/>
          <w:lang w:eastAsia="zh-CN"/>
        </w:rPr>
        <w:t>扬州大学附属医院</w:t>
      </w:r>
      <w:r>
        <w:rPr>
          <w:rFonts w:hint="eastAsia"/>
          <w:szCs w:val="21"/>
          <w:highlight w:val="none"/>
        </w:rPr>
        <w:t>”</w:t>
      </w:r>
      <w:r>
        <w:rPr>
          <w:rFonts w:hint="eastAsia"/>
          <w:szCs w:val="21"/>
          <w:highlight w:val="none"/>
          <w:lang w:eastAsia="zh-CN"/>
        </w:rPr>
        <w:t>、</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highlight w:val="none"/>
          <w:lang w:val="en-US" w:eastAsia="zh-CN"/>
        </w:rPr>
        <w:t>网站</w:t>
      </w:r>
      <w:r>
        <w:rPr>
          <w:szCs w:val="21"/>
          <w:highlight w:val="none"/>
        </w:rPr>
        <w:t>上发布更正公告通知所有获取磋商文件的供应商。不足5日的，代理机构应当顺延提交首次响应文件截止时间。</w:t>
      </w:r>
    </w:p>
    <w:p w14:paraId="7F3D0294">
      <w:pPr>
        <w:tabs>
          <w:tab w:val="left" w:pos="900"/>
        </w:tabs>
        <w:spacing w:line="360" w:lineRule="auto"/>
        <w:ind w:firstLine="420" w:firstLineChars="200"/>
        <w:rPr>
          <w:szCs w:val="21"/>
        </w:rPr>
      </w:pPr>
      <w:r>
        <w:rPr>
          <w:szCs w:val="21"/>
        </w:rPr>
        <w:t>7、磋商文件的解释</w:t>
      </w:r>
    </w:p>
    <w:p w14:paraId="6298F47B">
      <w:pPr>
        <w:spacing w:line="360" w:lineRule="auto"/>
        <w:ind w:firstLine="420" w:firstLineChars="200"/>
        <w:rPr>
          <w:bCs/>
          <w:szCs w:val="21"/>
        </w:rPr>
      </w:pPr>
      <w:r>
        <w:rPr>
          <w:bCs/>
          <w:szCs w:val="21"/>
        </w:rPr>
        <w:t>本磋商文件由代理机构负责解释。</w:t>
      </w:r>
    </w:p>
    <w:p w14:paraId="20E7F152">
      <w:pPr>
        <w:tabs>
          <w:tab w:val="left" w:pos="900"/>
        </w:tabs>
        <w:spacing w:line="360" w:lineRule="auto"/>
        <w:ind w:firstLine="422" w:firstLineChars="200"/>
        <w:rPr>
          <w:b/>
          <w:szCs w:val="21"/>
        </w:rPr>
      </w:pPr>
      <w:bookmarkStart w:id="13" w:name="_Hlt26954830"/>
      <w:bookmarkEnd w:id="13"/>
      <w:bookmarkStart w:id="14" w:name="_Hlt26670354"/>
      <w:bookmarkEnd w:id="14"/>
      <w:bookmarkStart w:id="15" w:name="_Hlt26954828"/>
      <w:bookmarkEnd w:id="15"/>
      <w:bookmarkStart w:id="16" w:name="_Hlt26668969"/>
      <w:bookmarkEnd w:id="16"/>
      <w:bookmarkStart w:id="17" w:name="_Hlt26670348"/>
      <w:bookmarkEnd w:id="17"/>
      <w:bookmarkStart w:id="18" w:name="_Hlt26954832"/>
      <w:bookmarkEnd w:id="18"/>
      <w:bookmarkStart w:id="19" w:name="_Hlt26670345"/>
      <w:bookmarkEnd w:id="19"/>
      <w:bookmarkStart w:id="20" w:name="_Toc61149553"/>
      <w:bookmarkStart w:id="21" w:name="_Toc462564072"/>
      <w:bookmarkStart w:id="22" w:name="_Toc513029213"/>
      <w:bookmarkStart w:id="23" w:name="_Toc14577351"/>
      <w:r>
        <w:rPr>
          <w:b/>
          <w:szCs w:val="21"/>
        </w:rPr>
        <w:t>二、磋商响应文件的编制</w:t>
      </w:r>
      <w:bookmarkEnd w:id="20"/>
      <w:bookmarkEnd w:id="21"/>
      <w:bookmarkEnd w:id="22"/>
      <w:bookmarkEnd w:id="23"/>
    </w:p>
    <w:p w14:paraId="7D219A12">
      <w:pPr>
        <w:tabs>
          <w:tab w:val="left" w:pos="900"/>
        </w:tabs>
        <w:spacing w:line="360" w:lineRule="auto"/>
        <w:ind w:firstLine="420" w:firstLineChars="200"/>
        <w:rPr>
          <w:szCs w:val="21"/>
        </w:rPr>
      </w:pPr>
      <w:bookmarkStart w:id="24" w:name="_Toc61149561"/>
      <w:bookmarkStart w:id="25" w:name="_Toc14577361"/>
      <w:bookmarkStart w:id="26" w:name="_Toc513029223"/>
      <w:r>
        <w:rPr>
          <w:szCs w:val="21"/>
        </w:rPr>
        <w:t>1、磋商响应文件份数和签署</w:t>
      </w:r>
      <w:bookmarkEnd w:id="24"/>
      <w:bookmarkEnd w:id="25"/>
      <w:bookmarkEnd w:id="26"/>
    </w:p>
    <w:p w14:paraId="0D20A917">
      <w:pPr>
        <w:tabs>
          <w:tab w:val="left" w:pos="900"/>
        </w:tabs>
        <w:spacing w:line="360" w:lineRule="auto"/>
        <w:ind w:firstLine="420" w:firstLineChars="200"/>
        <w:rPr>
          <w:szCs w:val="21"/>
        </w:rPr>
      </w:pPr>
      <w:r>
        <w:rPr>
          <w:szCs w:val="21"/>
        </w:rPr>
        <w:t>1.1磋商供应商应严格按照采购邀请要求准备磋商响应文件（以下简称响应文件），每份响应文件须清楚地标明“正本”或“副本”字样。</w:t>
      </w:r>
    </w:p>
    <w:p w14:paraId="39039745">
      <w:pPr>
        <w:snapToGrid w:val="0"/>
        <w:spacing w:line="360" w:lineRule="auto"/>
        <w:ind w:firstLine="420" w:firstLineChars="200"/>
        <w:rPr>
          <w:szCs w:val="21"/>
        </w:rPr>
      </w:pPr>
      <w:r>
        <w:rPr>
          <w:szCs w:val="21"/>
        </w:rPr>
        <w:t>响应文件的正本和所有的副本均需打印或复印。响应文件正本中，磋商文件要求提供原件的必须按照要求提供，文字材料需打印或用不褪色墨水书写，响应文件正本须经法定代表人或授权代表签字和加盖磋商供应商公章。本磋商文件所表述（指定）的公章是指刻有供应商法定名称的印章，不包括合同、财务、税务、发票等形式的业务专用章。</w:t>
      </w:r>
    </w:p>
    <w:p w14:paraId="59CF0995">
      <w:pPr>
        <w:tabs>
          <w:tab w:val="left" w:pos="900"/>
        </w:tabs>
        <w:spacing w:line="360" w:lineRule="auto"/>
        <w:ind w:firstLine="420" w:firstLineChars="200"/>
        <w:rPr>
          <w:szCs w:val="21"/>
        </w:rPr>
      </w:pPr>
      <w:r>
        <w:rPr>
          <w:szCs w:val="21"/>
        </w:rPr>
        <w:t>1.2 除磋商供应商对错处做必要修改外，响应文件不得行间插字、涂改或增删。如有修改错漏处，必须由响应文件签署人签字或盖章。</w:t>
      </w:r>
    </w:p>
    <w:p w14:paraId="76AF78F6">
      <w:pPr>
        <w:tabs>
          <w:tab w:val="left" w:pos="900"/>
        </w:tabs>
        <w:spacing w:line="360" w:lineRule="auto"/>
        <w:ind w:firstLine="420" w:firstLineChars="200"/>
        <w:rPr>
          <w:szCs w:val="21"/>
        </w:rPr>
      </w:pPr>
      <w:bookmarkStart w:id="27" w:name="_Hlt26954834"/>
      <w:bookmarkEnd w:id="27"/>
      <w:bookmarkStart w:id="28" w:name="_Toc513029215"/>
      <w:bookmarkStart w:id="29" w:name="_Toc462564074"/>
      <w:bookmarkStart w:id="30" w:name="_Toc61149555"/>
      <w:bookmarkStart w:id="31" w:name="_Toc14577353"/>
      <w:bookmarkStart w:id="32" w:name="_Toc14577352"/>
      <w:bookmarkStart w:id="33" w:name="_Toc61149554"/>
      <w:bookmarkStart w:id="34" w:name="_Toc462564073"/>
      <w:bookmarkStart w:id="35" w:name="_Toc513029214"/>
      <w:r>
        <w:rPr>
          <w:szCs w:val="21"/>
        </w:rPr>
        <w:t>2、响应文件</w:t>
      </w:r>
      <w:bookmarkEnd w:id="28"/>
      <w:bookmarkEnd w:id="29"/>
      <w:bookmarkEnd w:id="30"/>
      <w:bookmarkEnd w:id="31"/>
      <w:r>
        <w:rPr>
          <w:szCs w:val="21"/>
        </w:rPr>
        <w:t>编制要求</w:t>
      </w:r>
    </w:p>
    <w:bookmarkEnd w:id="32"/>
    <w:bookmarkEnd w:id="33"/>
    <w:bookmarkEnd w:id="34"/>
    <w:bookmarkEnd w:id="35"/>
    <w:p w14:paraId="44C05B6B">
      <w:pPr>
        <w:tabs>
          <w:tab w:val="left" w:pos="900"/>
        </w:tabs>
        <w:spacing w:line="360" w:lineRule="auto"/>
        <w:ind w:firstLine="420" w:firstLineChars="200"/>
        <w:rPr>
          <w:szCs w:val="21"/>
        </w:rPr>
      </w:pPr>
      <w:r>
        <w:rPr>
          <w:szCs w:val="21"/>
        </w:rPr>
        <w:t>2.1磋商供应商提交的响应文件以及磋商供应商与代理机构及采购人就有关磋商的所有来往函电均应使用简体中文。磋商文件中既有中文也有外文的，以中文意义为准。</w:t>
      </w:r>
    </w:p>
    <w:p w14:paraId="228000FF">
      <w:pPr>
        <w:tabs>
          <w:tab w:val="left" w:pos="900"/>
        </w:tabs>
        <w:spacing w:line="360" w:lineRule="auto"/>
        <w:ind w:firstLine="420" w:firstLineChars="200"/>
        <w:rPr>
          <w:szCs w:val="21"/>
        </w:rPr>
      </w:pPr>
      <w:r>
        <w:rPr>
          <w:szCs w:val="21"/>
        </w:rPr>
        <w:t>2.2 除技术性能另有规定外，响应文件所使用的度量衡单位，均须采用国家法定计量单位。</w:t>
      </w:r>
    </w:p>
    <w:p w14:paraId="23B30A69">
      <w:pPr>
        <w:tabs>
          <w:tab w:val="left" w:pos="900"/>
        </w:tabs>
        <w:spacing w:line="360" w:lineRule="auto"/>
        <w:ind w:firstLine="420" w:firstLineChars="200"/>
        <w:rPr>
          <w:szCs w:val="21"/>
        </w:rPr>
      </w:pPr>
      <w:bookmarkStart w:id="36" w:name="_Hlt26954836"/>
      <w:bookmarkEnd w:id="36"/>
      <w:bookmarkStart w:id="37" w:name="_Hlt26670357"/>
      <w:bookmarkEnd w:id="37"/>
      <w:bookmarkStart w:id="38" w:name="_Toc61149558"/>
      <w:bookmarkStart w:id="39" w:name="_Toc14577357"/>
      <w:bookmarkStart w:id="40" w:name="_Toc513029219"/>
      <w:bookmarkStart w:id="41" w:name="_Toc513029217"/>
      <w:bookmarkStart w:id="42" w:name="_Toc14577355"/>
      <w:bookmarkStart w:id="43" w:name="_Toc61149557"/>
      <w:r>
        <w:rPr>
          <w:szCs w:val="21"/>
        </w:rPr>
        <w:t>3、参加磋商供应商资格的文件</w:t>
      </w:r>
      <w:bookmarkEnd w:id="38"/>
      <w:bookmarkEnd w:id="39"/>
      <w:bookmarkEnd w:id="40"/>
      <w:r>
        <w:rPr>
          <w:szCs w:val="21"/>
        </w:rPr>
        <w:t>证明</w:t>
      </w:r>
    </w:p>
    <w:p w14:paraId="26A31478">
      <w:pPr>
        <w:tabs>
          <w:tab w:val="left" w:pos="900"/>
        </w:tabs>
        <w:spacing w:line="360" w:lineRule="auto"/>
        <w:ind w:firstLine="420" w:firstLineChars="200"/>
        <w:rPr>
          <w:szCs w:val="21"/>
        </w:rPr>
      </w:pPr>
      <w:bookmarkStart w:id="44" w:name="_Hlt26668999"/>
      <w:bookmarkEnd w:id="44"/>
      <w:r>
        <w:rPr>
          <w:szCs w:val="21"/>
        </w:rPr>
        <w:t>3.1磋商供应商应提交证明其有资格参加磋商和成交后有能力独立履行合同的文件，并作为其响应文件的一部分。</w:t>
      </w:r>
    </w:p>
    <w:p w14:paraId="59550D85">
      <w:pPr>
        <w:tabs>
          <w:tab w:val="left" w:pos="900"/>
        </w:tabs>
        <w:spacing w:line="360" w:lineRule="auto"/>
        <w:ind w:firstLine="420" w:firstLineChars="200"/>
        <w:rPr>
          <w:szCs w:val="21"/>
        </w:rPr>
      </w:pPr>
      <w:r>
        <w:rPr>
          <w:szCs w:val="21"/>
        </w:rPr>
        <w:t>3.2磋商供应商除必须具有履行合同所需提供的设备以及服务的能力外，还必须具备相应的财务、技术方面的能力。</w:t>
      </w:r>
    </w:p>
    <w:p w14:paraId="2EF47D8F">
      <w:pPr>
        <w:tabs>
          <w:tab w:val="left" w:pos="900"/>
        </w:tabs>
        <w:spacing w:line="360" w:lineRule="auto"/>
        <w:ind w:firstLine="420" w:firstLineChars="200"/>
        <w:rPr>
          <w:szCs w:val="21"/>
        </w:rPr>
      </w:pPr>
      <w:r>
        <w:rPr>
          <w:szCs w:val="21"/>
        </w:rPr>
        <w:t>3.3磋商供应商应填写并提交磋商文件所附的“资格证明文件”。</w:t>
      </w:r>
    </w:p>
    <w:p w14:paraId="7481B368">
      <w:pPr>
        <w:tabs>
          <w:tab w:val="left" w:pos="900"/>
        </w:tabs>
        <w:spacing w:line="360" w:lineRule="auto"/>
        <w:ind w:firstLine="420" w:firstLineChars="200"/>
        <w:rPr>
          <w:szCs w:val="21"/>
        </w:rPr>
      </w:pPr>
      <w:r>
        <w:rPr>
          <w:szCs w:val="21"/>
        </w:rPr>
        <w:t>4、磋商响应报价</w:t>
      </w:r>
      <w:bookmarkEnd w:id="41"/>
      <w:bookmarkEnd w:id="42"/>
      <w:bookmarkStart w:id="45" w:name="_Hlt26670373"/>
      <w:bookmarkEnd w:id="45"/>
      <w:r>
        <w:rPr>
          <w:szCs w:val="21"/>
        </w:rPr>
        <w:t>表</w:t>
      </w:r>
      <w:bookmarkEnd w:id="43"/>
    </w:p>
    <w:p w14:paraId="2ECCA288">
      <w:pPr>
        <w:tabs>
          <w:tab w:val="left" w:pos="900"/>
        </w:tabs>
        <w:spacing w:line="360" w:lineRule="auto"/>
        <w:ind w:firstLine="420" w:firstLineChars="200"/>
        <w:rPr>
          <w:szCs w:val="21"/>
        </w:rPr>
      </w:pPr>
      <w:r>
        <w:rPr>
          <w:szCs w:val="21"/>
        </w:rPr>
        <w:t>4.1磋商供应商应按照磋商文件规定格式填报磋商响应报价表（含分项报价）。每项产品或服务只允许有一个报价，任何有选择的报价将不予接受，磋商文件中另有规定的按规定执行。</w:t>
      </w:r>
    </w:p>
    <w:p w14:paraId="7B83F7B8">
      <w:pPr>
        <w:tabs>
          <w:tab w:val="left" w:pos="900"/>
        </w:tabs>
        <w:spacing w:line="360" w:lineRule="auto"/>
        <w:ind w:firstLine="420" w:firstLineChars="200"/>
        <w:rPr>
          <w:szCs w:val="21"/>
        </w:rPr>
      </w:pPr>
      <w:r>
        <w:rPr>
          <w:szCs w:val="21"/>
        </w:rPr>
        <w:t>4.2标的物</w:t>
      </w:r>
    </w:p>
    <w:p w14:paraId="10C35684">
      <w:pPr>
        <w:tabs>
          <w:tab w:val="left" w:pos="900"/>
        </w:tabs>
        <w:spacing w:line="360" w:lineRule="auto"/>
        <w:ind w:firstLine="420" w:firstLineChars="200"/>
        <w:rPr>
          <w:szCs w:val="21"/>
        </w:rPr>
      </w:pPr>
      <w:r>
        <w:rPr>
          <w:szCs w:val="21"/>
        </w:rPr>
        <w:t>详见第四章项目需求。</w:t>
      </w:r>
    </w:p>
    <w:p w14:paraId="30DAC56B">
      <w:pPr>
        <w:tabs>
          <w:tab w:val="left" w:pos="900"/>
        </w:tabs>
        <w:spacing w:line="360" w:lineRule="auto"/>
        <w:ind w:firstLine="420" w:firstLineChars="200"/>
        <w:rPr>
          <w:szCs w:val="21"/>
        </w:rPr>
      </w:pPr>
      <w:r>
        <w:rPr>
          <w:szCs w:val="21"/>
        </w:rPr>
        <w:t>4.3有关费用处理</w:t>
      </w:r>
    </w:p>
    <w:p w14:paraId="53D46DF1">
      <w:pPr>
        <w:tabs>
          <w:tab w:val="left" w:pos="900"/>
        </w:tabs>
        <w:spacing w:line="360" w:lineRule="auto"/>
        <w:ind w:firstLine="420" w:firstLineChars="200"/>
        <w:rPr>
          <w:szCs w:val="21"/>
        </w:rPr>
      </w:pPr>
      <w:r>
        <w:rPr>
          <w:szCs w:val="21"/>
        </w:rPr>
        <w:t>本次采购磋商供应商的总报价应包括为完成本项目发生的所有费用，本磋商文件中另有规定的除外。</w:t>
      </w:r>
    </w:p>
    <w:p w14:paraId="178A88C0">
      <w:pPr>
        <w:tabs>
          <w:tab w:val="left" w:pos="900"/>
        </w:tabs>
        <w:spacing w:line="360" w:lineRule="auto"/>
        <w:ind w:firstLine="420" w:firstLineChars="200"/>
        <w:rPr>
          <w:szCs w:val="21"/>
        </w:rPr>
      </w:pPr>
      <w:r>
        <w:rPr>
          <w:szCs w:val="21"/>
        </w:rPr>
        <w:t>4.4其它费用处理</w:t>
      </w:r>
    </w:p>
    <w:p w14:paraId="38ACEB31">
      <w:pPr>
        <w:tabs>
          <w:tab w:val="left" w:pos="900"/>
        </w:tabs>
        <w:spacing w:line="360" w:lineRule="auto"/>
        <w:ind w:firstLine="420" w:firstLineChars="200"/>
        <w:rPr>
          <w:szCs w:val="21"/>
        </w:rPr>
      </w:pPr>
      <w:r>
        <w:rPr>
          <w:szCs w:val="21"/>
        </w:rPr>
        <w:t>磋商文件未列明，而磋商供应商认为必须的费用也须列入报价。</w:t>
      </w:r>
    </w:p>
    <w:p w14:paraId="5CC78E8A">
      <w:pPr>
        <w:tabs>
          <w:tab w:val="left" w:pos="900"/>
        </w:tabs>
        <w:spacing w:line="360" w:lineRule="auto"/>
        <w:ind w:firstLine="420" w:firstLineChars="200"/>
        <w:rPr>
          <w:szCs w:val="21"/>
        </w:rPr>
      </w:pPr>
      <w:r>
        <w:rPr>
          <w:szCs w:val="21"/>
        </w:rPr>
        <w:t>4.5报价采用的货币</w:t>
      </w:r>
    </w:p>
    <w:p w14:paraId="6EB438DE">
      <w:pPr>
        <w:tabs>
          <w:tab w:val="left" w:pos="900"/>
        </w:tabs>
        <w:spacing w:line="360" w:lineRule="auto"/>
        <w:ind w:firstLine="420" w:firstLineChars="200"/>
        <w:rPr>
          <w:szCs w:val="21"/>
        </w:rPr>
      </w:pPr>
      <w:r>
        <w:rPr>
          <w:szCs w:val="21"/>
        </w:rPr>
        <w:t>响应文件中的单价和总价，无特殊规定的采用人民币报价，以元为单位标注。磋商文件中另有规定的按规定执行。</w:t>
      </w:r>
    </w:p>
    <w:p w14:paraId="12F69CB4">
      <w:pPr>
        <w:tabs>
          <w:tab w:val="left" w:pos="900"/>
        </w:tabs>
        <w:spacing w:line="360" w:lineRule="auto"/>
        <w:ind w:firstLine="420" w:firstLineChars="200"/>
        <w:rPr>
          <w:szCs w:val="21"/>
        </w:rPr>
      </w:pPr>
      <w:r>
        <w:rPr>
          <w:szCs w:val="21"/>
        </w:rPr>
        <w:t>4.6 磋商响应报价表上的价格应按磋商文件规定填写。</w:t>
      </w:r>
    </w:p>
    <w:p w14:paraId="19E66934">
      <w:pPr>
        <w:tabs>
          <w:tab w:val="left" w:pos="900"/>
        </w:tabs>
        <w:spacing w:line="360" w:lineRule="auto"/>
        <w:ind w:firstLine="420" w:firstLineChars="200"/>
        <w:rPr>
          <w:szCs w:val="21"/>
        </w:rPr>
      </w:pPr>
      <w:bookmarkStart w:id="46" w:name="_Hlt26954842"/>
      <w:bookmarkEnd w:id="46"/>
      <w:bookmarkStart w:id="47" w:name="_Hlt26954731"/>
      <w:bookmarkEnd w:id="47"/>
      <w:bookmarkStart w:id="48" w:name="_Hlt26668983"/>
      <w:bookmarkEnd w:id="48"/>
      <w:bookmarkStart w:id="49" w:name="_Hlt26954846"/>
      <w:bookmarkEnd w:id="49"/>
      <w:bookmarkStart w:id="50" w:name="_Hlt26670403"/>
      <w:bookmarkEnd w:id="50"/>
      <w:bookmarkStart w:id="51" w:name="_Hlt26954844"/>
      <w:bookmarkEnd w:id="51"/>
      <w:bookmarkStart w:id="52" w:name="_Hlt26670482"/>
      <w:bookmarkEnd w:id="52"/>
      <w:bookmarkStart w:id="53" w:name="_Hlt26954848"/>
      <w:bookmarkEnd w:id="53"/>
      <w:bookmarkStart w:id="54" w:name="_Hlt26670486"/>
      <w:bookmarkEnd w:id="54"/>
      <w:bookmarkStart w:id="55" w:name="_Hlt26670425"/>
      <w:bookmarkEnd w:id="55"/>
      <w:bookmarkStart w:id="56" w:name="_Toc14577359"/>
      <w:bookmarkStart w:id="57" w:name="_Toc513029221"/>
      <w:bookmarkStart w:id="58" w:name="_Toc61149559"/>
      <w:r>
        <w:rPr>
          <w:szCs w:val="21"/>
        </w:rPr>
        <w:t>5、项目需求响应方案</w:t>
      </w:r>
    </w:p>
    <w:p w14:paraId="375EB221">
      <w:pPr>
        <w:tabs>
          <w:tab w:val="left" w:pos="900"/>
        </w:tabs>
        <w:spacing w:line="360" w:lineRule="auto"/>
        <w:ind w:firstLine="420" w:firstLineChars="200"/>
        <w:rPr>
          <w:szCs w:val="21"/>
        </w:rPr>
      </w:pPr>
      <w:r>
        <w:rPr>
          <w:szCs w:val="21"/>
        </w:rPr>
        <w:t>5.1提供为完成本项目的总体实施方案。</w:t>
      </w:r>
    </w:p>
    <w:p w14:paraId="46E46558">
      <w:pPr>
        <w:tabs>
          <w:tab w:val="left" w:pos="900"/>
        </w:tabs>
        <w:spacing w:line="360" w:lineRule="auto"/>
        <w:ind w:firstLine="420" w:firstLineChars="200"/>
        <w:rPr>
          <w:szCs w:val="21"/>
        </w:rPr>
      </w:pPr>
      <w:r>
        <w:rPr>
          <w:szCs w:val="21"/>
        </w:rPr>
        <w:t>5.2对磋商文件中项目需求的技术与商务条款要求逐项作出应答，并提供依据或说明。</w:t>
      </w:r>
    </w:p>
    <w:p w14:paraId="4310B424">
      <w:pPr>
        <w:tabs>
          <w:tab w:val="left" w:pos="900"/>
        </w:tabs>
        <w:spacing w:line="360" w:lineRule="auto"/>
        <w:ind w:firstLine="420" w:firstLineChars="200"/>
        <w:rPr>
          <w:szCs w:val="21"/>
        </w:rPr>
      </w:pPr>
      <w:r>
        <w:rPr>
          <w:szCs w:val="21"/>
        </w:rPr>
        <w:t>5.3磋商供应商认为需要的其他技术文件或说明。</w:t>
      </w:r>
    </w:p>
    <w:p w14:paraId="72DB9461">
      <w:pPr>
        <w:tabs>
          <w:tab w:val="left" w:pos="900"/>
        </w:tabs>
        <w:spacing w:line="360" w:lineRule="auto"/>
        <w:ind w:firstLine="420" w:firstLineChars="200"/>
        <w:rPr>
          <w:szCs w:val="21"/>
        </w:rPr>
      </w:pPr>
      <w:r>
        <w:rPr>
          <w:szCs w:val="21"/>
        </w:rPr>
        <w:t>6、磋商保证金</w:t>
      </w:r>
      <w:bookmarkEnd w:id="56"/>
      <w:bookmarkEnd w:id="57"/>
      <w:bookmarkEnd w:id="58"/>
    </w:p>
    <w:p w14:paraId="6CD83C21">
      <w:pPr>
        <w:tabs>
          <w:tab w:val="left" w:pos="900"/>
        </w:tabs>
        <w:spacing w:line="360" w:lineRule="auto"/>
        <w:ind w:firstLine="420" w:firstLineChars="200"/>
        <w:rPr>
          <w:szCs w:val="21"/>
        </w:rPr>
      </w:pPr>
      <w:r>
        <w:rPr>
          <w:szCs w:val="21"/>
        </w:rPr>
        <w:t>无</w:t>
      </w:r>
    </w:p>
    <w:p w14:paraId="3E87B799">
      <w:pPr>
        <w:tabs>
          <w:tab w:val="left" w:pos="900"/>
        </w:tabs>
        <w:spacing w:line="360" w:lineRule="auto"/>
        <w:ind w:firstLine="422" w:firstLineChars="200"/>
        <w:rPr>
          <w:b/>
          <w:szCs w:val="21"/>
        </w:rPr>
      </w:pPr>
      <w:bookmarkStart w:id="59" w:name="_Hlt26954734"/>
      <w:bookmarkEnd w:id="59"/>
      <w:bookmarkStart w:id="60" w:name="_Hlt26954739"/>
      <w:bookmarkEnd w:id="60"/>
      <w:bookmarkStart w:id="61" w:name="_Hlt26954854"/>
      <w:bookmarkEnd w:id="61"/>
      <w:bookmarkStart w:id="62" w:name="_Hlt26670493"/>
      <w:bookmarkEnd w:id="62"/>
      <w:bookmarkStart w:id="63" w:name="_Hlt26954850"/>
      <w:bookmarkEnd w:id="63"/>
      <w:bookmarkStart w:id="64" w:name="_Hlt26954852"/>
      <w:bookmarkEnd w:id="64"/>
      <w:bookmarkStart w:id="65" w:name="_Hlt26670489"/>
      <w:bookmarkEnd w:id="65"/>
      <w:bookmarkStart w:id="66" w:name="_Hlt26954749"/>
      <w:bookmarkEnd w:id="66"/>
      <w:bookmarkStart w:id="67" w:name="_Toc14577362"/>
      <w:bookmarkStart w:id="68" w:name="_Toc61149562"/>
      <w:bookmarkStart w:id="69" w:name="_Toc513029224"/>
      <w:r>
        <w:rPr>
          <w:b/>
          <w:szCs w:val="21"/>
        </w:rPr>
        <w:t>三、响应文件的递交</w:t>
      </w:r>
      <w:bookmarkEnd w:id="67"/>
      <w:bookmarkEnd w:id="68"/>
      <w:bookmarkEnd w:id="69"/>
    </w:p>
    <w:p w14:paraId="779B3AED">
      <w:pPr>
        <w:tabs>
          <w:tab w:val="left" w:pos="900"/>
        </w:tabs>
        <w:spacing w:line="360" w:lineRule="auto"/>
        <w:ind w:firstLine="420" w:firstLineChars="200"/>
        <w:rPr>
          <w:szCs w:val="21"/>
        </w:rPr>
      </w:pPr>
      <w:bookmarkStart w:id="70" w:name="_Hlt26954856"/>
      <w:bookmarkEnd w:id="70"/>
      <w:bookmarkStart w:id="71" w:name="_Toc61149563"/>
      <w:bookmarkStart w:id="72" w:name="_Toc14577363"/>
      <w:bookmarkStart w:id="73" w:name="_Toc462564084"/>
      <w:bookmarkStart w:id="74" w:name="_Toc513029225"/>
      <w:r>
        <w:rPr>
          <w:szCs w:val="21"/>
        </w:rPr>
        <w:t>1、响应文件</w:t>
      </w:r>
      <w:bookmarkStart w:id="75" w:name="_Hlt26954743"/>
      <w:bookmarkEnd w:id="75"/>
      <w:r>
        <w:rPr>
          <w:szCs w:val="21"/>
        </w:rPr>
        <w:t>的密封和标记</w:t>
      </w:r>
      <w:bookmarkEnd w:id="71"/>
      <w:bookmarkEnd w:id="72"/>
      <w:bookmarkEnd w:id="73"/>
      <w:bookmarkEnd w:id="74"/>
    </w:p>
    <w:p w14:paraId="193087D7">
      <w:pPr>
        <w:tabs>
          <w:tab w:val="left" w:pos="900"/>
        </w:tabs>
        <w:spacing w:line="360" w:lineRule="auto"/>
        <w:ind w:firstLine="420" w:firstLineChars="200"/>
        <w:rPr>
          <w:szCs w:val="21"/>
        </w:rPr>
      </w:pPr>
      <w:r>
        <w:rPr>
          <w:szCs w:val="21"/>
        </w:rPr>
        <w:t xml:space="preserve">1.1磋商供应商应严格按照采购邀请要求的份数准备响应文件，每份响应文件须清楚地标明“正本”或“副本”字样。一旦正本和副本不符，以正本为准。磋商供应商应将响应文件正本和所有副本密封。 </w:t>
      </w:r>
    </w:p>
    <w:p w14:paraId="75D812C0">
      <w:pPr>
        <w:tabs>
          <w:tab w:val="left" w:pos="900"/>
        </w:tabs>
        <w:spacing w:line="360" w:lineRule="auto"/>
        <w:ind w:firstLine="420" w:firstLineChars="200"/>
        <w:rPr>
          <w:szCs w:val="21"/>
        </w:rPr>
      </w:pPr>
      <w:r>
        <w:rPr>
          <w:szCs w:val="21"/>
        </w:rPr>
        <w:t>1.2密封的响应文件应：</w:t>
      </w:r>
    </w:p>
    <w:p w14:paraId="7D54532C">
      <w:pPr>
        <w:tabs>
          <w:tab w:val="left" w:pos="900"/>
        </w:tabs>
        <w:spacing w:line="360" w:lineRule="auto"/>
        <w:ind w:firstLine="420" w:firstLineChars="200"/>
        <w:rPr>
          <w:szCs w:val="21"/>
        </w:rPr>
      </w:pPr>
      <w:r>
        <w:rPr>
          <w:szCs w:val="21"/>
        </w:rPr>
        <w:t>（1）按采购邀请中注明的地址送达规定地点；</w:t>
      </w:r>
    </w:p>
    <w:p w14:paraId="2707AFE7">
      <w:pPr>
        <w:tabs>
          <w:tab w:val="left" w:pos="900"/>
        </w:tabs>
        <w:spacing w:line="360" w:lineRule="auto"/>
        <w:ind w:firstLine="420" w:firstLineChars="200"/>
        <w:rPr>
          <w:szCs w:val="21"/>
        </w:rPr>
      </w:pPr>
      <w:r>
        <w:rPr>
          <w:szCs w:val="21"/>
        </w:rPr>
        <w:t>（2）注明参加磋商项目名称、磋商文件编号；</w:t>
      </w:r>
    </w:p>
    <w:p w14:paraId="6CF40090">
      <w:pPr>
        <w:tabs>
          <w:tab w:val="left" w:pos="900"/>
        </w:tabs>
        <w:spacing w:line="360" w:lineRule="auto"/>
        <w:ind w:firstLine="420" w:firstLineChars="200"/>
        <w:rPr>
          <w:szCs w:val="21"/>
        </w:rPr>
      </w:pPr>
      <w:r>
        <w:rPr>
          <w:szCs w:val="21"/>
        </w:rPr>
        <w:t>（3）密封包装上应写明磋商供应商名称和地址。</w:t>
      </w:r>
    </w:p>
    <w:p w14:paraId="67C697BC">
      <w:pPr>
        <w:tabs>
          <w:tab w:val="left" w:pos="900"/>
        </w:tabs>
        <w:spacing w:line="360" w:lineRule="auto"/>
        <w:ind w:firstLine="420" w:firstLineChars="200"/>
        <w:rPr>
          <w:szCs w:val="21"/>
        </w:rPr>
      </w:pPr>
      <w:r>
        <w:rPr>
          <w:szCs w:val="21"/>
        </w:rPr>
        <w:t>1.3如果密封包装未按要求密封和加写标记，代理机构对误投或过早启封概不负责。对由此造成提前开封的响应文件，代理机构将予以拒绝，作无效响应处理。</w:t>
      </w:r>
    </w:p>
    <w:p w14:paraId="48B7F837">
      <w:pPr>
        <w:tabs>
          <w:tab w:val="left" w:pos="900"/>
        </w:tabs>
        <w:spacing w:line="360" w:lineRule="auto"/>
        <w:ind w:firstLine="420" w:firstLineChars="200"/>
        <w:rPr>
          <w:szCs w:val="21"/>
        </w:rPr>
      </w:pPr>
      <w:bookmarkStart w:id="76" w:name="_Hlt26670496"/>
      <w:bookmarkEnd w:id="76"/>
      <w:bookmarkStart w:id="77" w:name="_Hlt26954752"/>
      <w:bookmarkEnd w:id="77"/>
      <w:bookmarkStart w:id="78" w:name="_Hlt26954858"/>
      <w:bookmarkEnd w:id="78"/>
      <w:bookmarkStart w:id="79" w:name="_Toc513029226"/>
      <w:bookmarkStart w:id="80" w:name="_Toc61149564"/>
      <w:bookmarkStart w:id="81" w:name="_Toc14577364"/>
      <w:r>
        <w:rPr>
          <w:szCs w:val="21"/>
        </w:rPr>
        <w:t>2、</w:t>
      </w:r>
      <w:bookmarkEnd w:id="79"/>
      <w:bookmarkEnd w:id="80"/>
      <w:bookmarkEnd w:id="81"/>
      <w:r>
        <w:rPr>
          <w:szCs w:val="21"/>
        </w:rPr>
        <w:t>响应文件开启时间</w:t>
      </w:r>
    </w:p>
    <w:p w14:paraId="54BA258E">
      <w:pPr>
        <w:tabs>
          <w:tab w:val="left" w:pos="900"/>
        </w:tabs>
        <w:spacing w:line="360" w:lineRule="auto"/>
        <w:ind w:firstLine="420" w:firstLineChars="200"/>
        <w:rPr>
          <w:szCs w:val="21"/>
        </w:rPr>
      </w:pPr>
      <w:r>
        <w:rPr>
          <w:szCs w:val="21"/>
        </w:rPr>
        <w:t>2.1代理机构收到响应文件的时间不得迟于本磋商文件规定的响应文件接收截止时间。</w:t>
      </w:r>
    </w:p>
    <w:p w14:paraId="043F8EAF">
      <w:pPr>
        <w:tabs>
          <w:tab w:val="left" w:pos="900"/>
        </w:tabs>
        <w:spacing w:line="360" w:lineRule="auto"/>
        <w:ind w:firstLine="420" w:firstLineChars="200"/>
        <w:rPr>
          <w:szCs w:val="21"/>
        </w:rPr>
      </w:pPr>
      <w:r>
        <w:rPr>
          <w:szCs w:val="21"/>
        </w:rPr>
        <w:t>2.2代理机构有权通过修改磋商文件推迟响应文件接收截止时间，在此情况下，磋商供应商的所有权利和义务以及受制的响应文件接收截止时间均应以延长后新的响应文件接收截止时间为准。</w:t>
      </w:r>
    </w:p>
    <w:p w14:paraId="155177BD">
      <w:pPr>
        <w:tabs>
          <w:tab w:val="left" w:pos="900"/>
        </w:tabs>
        <w:spacing w:line="360" w:lineRule="auto"/>
        <w:ind w:firstLine="420" w:firstLineChars="200"/>
        <w:rPr>
          <w:szCs w:val="21"/>
        </w:rPr>
      </w:pPr>
      <w:bookmarkStart w:id="82" w:name="_Hlt26954860"/>
      <w:bookmarkEnd w:id="82"/>
      <w:bookmarkStart w:id="83" w:name="_Toc513029227"/>
      <w:bookmarkStart w:id="84" w:name="_Toc14577365"/>
      <w:bookmarkStart w:id="85" w:name="_Toc61149565"/>
      <w:r>
        <w:rPr>
          <w:szCs w:val="21"/>
        </w:rPr>
        <w:t>3、迟交的响应文件</w:t>
      </w:r>
      <w:bookmarkEnd w:id="83"/>
      <w:bookmarkEnd w:id="84"/>
      <w:bookmarkEnd w:id="85"/>
    </w:p>
    <w:p w14:paraId="716B4EEC">
      <w:pPr>
        <w:tabs>
          <w:tab w:val="left" w:pos="900"/>
        </w:tabs>
        <w:spacing w:line="360" w:lineRule="auto"/>
        <w:ind w:firstLine="420" w:firstLineChars="200"/>
        <w:rPr>
          <w:szCs w:val="21"/>
        </w:rPr>
      </w:pPr>
      <w:r>
        <w:rPr>
          <w:szCs w:val="21"/>
        </w:rPr>
        <w:t>3.1代理机构将拒绝在规定的响应文件接收截止时间后接收任何响应文件。</w:t>
      </w:r>
    </w:p>
    <w:p w14:paraId="3CBF9597">
      <w:pPr>
        <w:tabs>
          <w:tab w:val="left" w:pos="900"/>
        </w:tabs>
        <w:spacing w:line="360" w:lineRule="auto"/>
        <w:ind w:firstLine="420" w:firstLineChars="200"/>
        <w:rPr>
          <w:szCs w:val="21"/>
        </w:rPr>
      </w:pPr>
      <w:bookmarkStart w:id="86" w:name="_Hlt26954862"/>
      <w:bookmarkEnd w:id="86"/>
      <w:bookmarkStart w:id="87" w:name="_Hlt26954754"/>
      <w:bookmarkEnd w:id="87"/>
      <w:bookmarkStart w:id="88" w:name="_Toc14577366"/>
      <w:bookmarkStart w:id="89" w:name="_Toc61149566"/>
      <w:bookmarkStart w:id="90" w:name="_Toc513029228"/>
      <w:r>
        <w:rPr>
          <w:szCs w:val="21"/>
        </w:rPr>
        <w:t>4、响应文件</w:t>
      </w:r>
      <w:bookmarkStart w:id="91" w:name="_Hlt26670588"/>
      <w:r>
        <w:rPr>
          <w:szCs w:val="21"/>
        </w:rPr>
        <w:t>的修改</w:t>
      </w:r>
      <w:bookmarkEnd w:id="91"/>
      <w:r>
        <w:rPr>
          <w:szCs w:val="21"/>
        </w:rPr>
        <w:t>和撤回</w:t>
      </w:r>
      <w:bookmarkEnd w:id="88"/>
      <w:bookmarkEnd w:id="89"/>
      <w:bookmarkEnd w:id="90"/>
    </w:p>
    <w:p w14:paraId="1CDAA463">
      <w:pPr>
        <w:tabs>
          <w:tab w:val="left" w:pos="900"/>
        </w:tabs>
        <w:spacing w:line="360" w:lineRule="auto"/>
        <w:ind w:firstLine="420" w:firstLineChars="200"/>
        <w:rPr>
          <w:szCs w:val="21"/>
        </w:rPr>
      </w:pPr>
      <w:r>
        <w:rPr>
          <w:szCs w:val="21"/>
        </w:rPr>
        <w:t>4.1磋商供应商在递交响应文件后，可以修改或撤回其磋商响应文件，但这种修改和撤回，必须在规定的响应文件接收截止时间前，以书面形式送达指定地点。</w:t>
      </w:r>
    </w:p>
    <w:p w14:paraId="0AE13E56">
      <w:pPr>
        <w:tabs>
          <w:tab w:val="left" w:pos="900"/>
        </w:tabs>
        <w:spacing w:line="360" w:lineRule="auto"/>
        <w:ind w:firstLine="420" w:firstLineChars="200"/>
        <w:rPr>
          <w:szCs w:val="21"/>
        </w:rPr>
      </w:pPr>
      <w:r>
        <w:rPr>
          <w:szCs w:val="21"/>
        </w:rPr>
        <w:t>4.2磋商供应商的修改或撤回通知书，应按本文件规定进行编制、密封、标记和发送，并应在封套上加注“修改”和“撤回”字样。</w:t>
      </w:r>
    </w:p>
    <w:p w14:paraId="7E2130F2">
      <w:pPr>
        <w:tabs>
          <w:tab w:val="left" w:pos="900"/>
        </w:tabs>
        <w:spacing w:line="360" w:lineRule="auto"/>
        <w:ind w:firstLine="420" w:firstLineChars="200"/>
        <w:rPr>
          <w:szCs w:val="21"/>
        </w:rPr>
      </w:pPr>
      <w:r>
        <w:rPr>
          <w:szCs w:val="21"/>
        </w:rPr>
        <w:t>4.3 磋商供应商在提交最后报价之前，可以根据磋商情况退出磋商。</w:t>
      </w:r>
    </w:p>
    <w:p w14:paraId="5A5FAD99">
      <w:pPr>
        <w:tabs>
          <w:tab w:val="left" w:pos="900"/>
        </w:tabs>
        <w:spacing w:line="360" w:lineRule="auto"/>
        <w:ind w:firstLine="420" w:firstLineChars="200"/>
        <w:rPr>
          <w:szCs w:val="21"/>
        </w:rPr>
      </w:pPr>
      <w:r>
        <w:rPr>
          <w:szCs w:val="21"/>
        </w:rPr>
        <w:t>5、磋商响应有效期</w:t>
      </w:r>
    </w:p>
    <w:p w14:paraId="23939FD3">
      <w:pPr>
        <w:tabs>
          <w:tab w:val="left" w:pos="900"/>
        </w:tabs>
        <w:spacing w:line="360" w:lineRule="auto"/>
        <w:ind w:firstLine="420" w:firstLineChars="200"/>
        <w:rPr>
          <w:szCs w:val="21"/>
        </w:rPr>
      </w:pPr>
      <w:r>
        <w:rPr>
          <w:szCs w:val="21"/>
        </w:rPr>
        <w:t>5.1 磋商响应有效期为代理机构规定的响应文件接收截止时间后三十（30）天。磋商响应有效期比规定短的将被视为非实质性响应性而予以拒绝。</w:t>
      </w:r>
    </w:p>
    <w:p w14:paraId="716721F0">
      <w:pPr>
        <w:tabs>
          <w:tab w:val="left" w:pos="900"/>
        </w:tabs>
        <w:spacing w:line="360" w:lineRule="auto"/>
        <w:ind w:firstLine="420" w:firstLineChars="200"/>
        <w:rPr>
          <w:szCs w:val="21"/>
        </w:rPr>
      </w:pPr>
      <w:r>
        <w:rPr>
          <w:szCs w:val="21"/>
        </w:rPr>
        <w:t>5.2 在特殊情况下，代理机构于原磋商响应有效期满之前，可向磋商供应商提出延长磋商响应有效期的要求。这种要求与答复均应采用书面形式。磋商供应商可以拒绝代理机构的这一要求而放弃磋商响应。同意延长磋商响应有效期的磋商供应商既不能要求也不允许修改其响应文件。受磋商响应有效期约束的所有权利与义务均延长至新的有效期。</w:t>
      </w:r>
    </w:p>
    <w:p w14:paraId="1C8DEE8C">
      <w:pPr>
        <w:tabs>
          <w:tab w:val="left" w:pos="900"/>
        </w:tabs>
        <w:spacing w:line="360" w:lineRule="auto"/>
        <w:ind w:firstLine="422" w:firstLineChars="200"/>
        <w:rPr>
          <w:b/>
          <w:szCs w:val="21"/>
        </w:rPr>
      </w:pPr>
      <w:bookmarkStart w:id="92" w:name="_Hlt26670523"/>
      <w:bookmarkEnd w:id="92"/>
      <w:bookmarkStart w:id="93" w:name="_Hlt26954864"/>
      <w:bookmarkEnd w:id="93"/>
      <w:r>
        <w:rPr>
          <w:b/>
          <w:szCs w:val="21"/>
        </w:rPr>
        <w:t>四、磋商与评审</w:t>
      </w:r>
    </w:p>
    <w:p w14:paraId="0C053C2A">
      <w:pPr>
        <w:tabs>
          <w:tab w:val="left" w:pos="900"/>
        </w:tabs>
        <w:spacing w:line="360" w:lineRule="auto"/>
        <w:ind w:firstLine="420" w:firstLineChars="200"/>
        <w:rPr>
          <w:szCs w:val="21"/>
        </w:rPr>
      </w:pPr>
      <w:bookmarkStart w:id="94" w:name="_Toc20823302"/>
      <w:bookmarkStart w:id="95" w:name="_Toc513029230"/>
      <w:bookmarkStart w:id="96" w:name="_Toc16938546"/>
      <w:r>
        <w:rPr>
          <w:szCs w:val="21"/>
        </w:rPr>
        <w:t>1、</w:t>
      </w:r>
      <w:bookmarkEnd w:id="94"/>
      <w:bookmarkEnd w:id="95"/>
      <w:bookmarkEnd w:id="96"/>
      <w:r>
        <w:rPr>
          <w:szCs w:val="21"/>
        </w:rPr>
        <w:t>磋商仪式</w:t>
      </w:r>
    </w:p>
    <w:p w14:paraId="3FE1DFCA">
      <w:pPr>
        <w:tabs>
          <w:tab w:val="left" w:pos="900"/>
        </w:tabs>
        <w:spacing w:line="360" w:lineRule="auto"/>
        <w:ind w:firstLine="420" w:firstLineChars="200"/>
        <w:rPr>
          <w:szCs w:val="21"/>
        </w:rPr>
      </w:pPr>
      <w:r>
        <w:rPr>
          <w:szCs w:val="21"/>
        </w:rPr>
        <w:t>1.1代理机构将在采购邀请中规定的时间和地点组织磋商开始仪式，仪式由代理机构主持，磋商供应商应委派携带有效证件的代表准时参加，参加仪式的代表需签名以证明其出席。</w:t>
      </w:r>
    </w:p>
    <w:p w14:paraId="57531BA1">
      <w:pPr>
        <w:tabs>
          <w:tab w:val="left" w:pos="900"/>
        </w:tabs>
        <w:spacing w:line="360" w:lineRule="auto"/>
        <w:ind w:firstLine="420" w:firstLineChars="200"/>
        <w:rPr>
          <w:szCs w:val="21"/>
        </w:rPr>
      </w:pPr>
      <w:bookmarkStart w:id="97" w:name="_Toc513029231"/>
      <w:bookmarkStart w:id="98" w:name="_Toc20823303"/>
      <w:bookmarkStart w:id="99" w:name="_Toc16938547"/>
      <w:r>
        <w:rPr>
          <w:szCs w:val="21"/>
        </w:rPr>
        <w:t>2、磋商小组</w:t>
      </w:r>
    </w:p>
    <w:p w14:paraId="2A57C1C3">
      <w:pPr>
        <w:tabs>
          <w:tab w:val="left" w:pos="900"/>
        </w:tabs>
        <w:spacing w:line="360" w:lineRule="auto"/>
        <w:ind w:firstLine="420" w:firstLineChars="200"/>
        <w:rPr>
          <w:szCs w:val="21"/>
        </w:rPr>
      </w:pPr>
      <w:r>
        <w:rPr>
          <w:szCs w:val="21"/>
        </w:rPr>
        <w:t>2.1 磋商开始仪式结束后，代理机构将立即组织磋商小组进行评审。</w:t>
      </w:r>
    </w:p>
    <w:p w14:paraId="03B11A41">
      <w:pPr>
        <w:tabs>
          <w:tab w:val="left" w:pos="900"/>
        </w:tabs>
        <w:spacing w:line="360" w:lineRule="auto"/>
        <w:ind w:firstLine="420" w:firstLineChars="200"/>
        <w:rPr>
          <w:szCs w:val="21"/>
        </w:rPr>
      </w:pPr>
      <w:r>
        <w:rPr>
          <w:szCs w:val="21"/>
        </w:rPr>
        <w:t>2.2 磋商小组由采购评审专家、采购人代表组成，且人员构成符合采购有关规定。</w:t>
      </w:r>
    </w:p>
    <w:p w14:paraId="3C48DCDF">
      <w:pPr>
        <w:tabs>
          <w:tab w:val="left" w:pos="900"/>
        </w:tabs>
        <w:spacing w:line="360" w:lineRule="auto"/>
        <w:ind w:firstLine="420" w:firstLineChars="200"/>
        <w:rPr>
          <w:szCs w:val="21"/>
        </w:rPr>
      </w:pPr>
      <w:r>
        <w:rPr>
          <w:szCs w:val="21"/>
        </w:rPr>
        <w:t>3、磋商评审过程的保密</w:t>
      </w:r>
      <w:bookmarkEnd w:id="97"/>
      <w:bookmarkEnd w:id="98"/>
      <w:bookmarkEnd w:id="99"/>
      <w:r>
        <w:rPr>
          <w:szCs w:val="21"/>
        </w:rPr>
        <w:t>与公正</w:t>
      </w:r>
    </w:p>
    <w:p w14:paraId="524E25C3">
      <w:pPr>
        <w:tabs>
          <w:tab w:val="left" w:pos="900"/>
        </w:tabs>
        <w:spacing w:line="360" w:lineRule="auto"/>
        <w:ind w:firstLine="420" w:firstLineChars="200"/>
        <w:rPr>
          <w:szCs w:val="21"/>
        </w:rPr>
      </w:pPr>
      <w:r>
        <w:rPr>
          <w:szCs w:val="21"/>
        </w:rPr>
        <w:t>3.1磋商小组、采购人和代理机构工作人员、相关监督人员等与评审工作有关的人员，对评审情况以及在评审过程中获悉的国家秘密、商业秘密负有保密责任。</w:t>
      </w:r>
    </w:p>
    <w:p w14:paraId="1B0B8003">
      <w:pPr>
        <w:tabs>
          <w:tab w:val="left" w:pos="900"/>
        </w:tabs>
        <w:spacing w:line="360" w:lineRule="auto"/>
        <w:ind w:firstLine="420" w:firstLineChars="200"/>
        <w:rPr>
          <w:szCs w:val="21"/>
        </w:rPr>
      </w:pPr>
      <w:r>
        <w:rPr>
          <w:szCs w:val="21"/>
        </w:rPr>
        <w:t>3.2在磋商评审过程中，磋商供应商不得以任何行为影响磋商评审过程，否则其响应文件将被作为无效响应文件。</w:t>
      </w:r>
    </w:p>
    <w:p w14:paraId="233AA239">
      <w:pPr>
        <w:tabs>
          <w:tab w:val="left" w:pos="900"/>
        </w:tabs>
        <w:spacing w:line="360" w:lineRule="auto"/>
        <w:ind w:firstLine="420" w:firstLineChars="200"/>
        <w:rPr>
          <w:szCs w:val="21"/>
        </w:rPr>
      </w:pPr>
      <w:r>
        <w:rPr>
          <w:szCs w:val="21"/>
        </w:rPr>
        <w:t>3.3磋商小组成员应当按照客观、公正、审慎的原则，根据磋商文件规定的评审程序、评审方法和评审标准进行独立评审。未实质性响应磋商文件的响应文件按无效响应处理，磋商小组应当告知提交响应文件的供应商。</w:t>
      </w:r>
    </w:p>
    <w:p w14:paraId="1B6E21DA">
      <w:pPr>
        <w:tabs>
          <w:tab w:val="left" w:pos="900"/>
        </w:tabs>
        <w:spacing w:line="360" w:lineRule="auto"/>
        <w:ind w:firstLine="420" w:firstLineChars="200"/>
        <w:rPr>
          <w:szCs w:val="21"/>
        </w:rPr>
      </w:pPr>
      <w:bookmarkStart w:id="100" w:name="_Toc20823304"/>
      <w:bookmarkStart w:id="101" w:name="_Toc16938548"/>
      <w:bookmarkStart w:id="102" w:name="_Toc513029232"/>
      <w:r>
        <w:rPr>
          <w:szCs w:val="21"/>
        </w:rPr>
        <w:t>4、评审过程的澄清</w:t>
      </w:r>
      <w:bookmarkEnd w:id="100"/>
      <w:bookmarkEnd w:id="101"/>
      <w:bookmarkEnd w:id="102"/>
      <w:r>
        <w:rPr>
          <w:szCs w:val="21"/>
        </w:rPr>
        <w:t>、说明和更正</w:t>
      </w:r>
    </w:p>
    <w:p w14:paraId="6B156410">
      <w:pPr>
        <w:tabs>
          <w:tab w:val="left" w:pos="900"/>
        </w:tabs>
        <w:spacing w:line="360" w:lineRule="auto"/>
        <w:ind w:firstLine="420" w:firstLineChars="200"/>
        <w:rPr>
          <w:szCs w:val="21"/>
        </w:rPr>
      </w:pPr>
      <w:r>
        <w:rPr>
          <w:szCs w:val="21"/>
        </w:rPr>
        <w:t>4.1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EAC98AC">
      <w:pPr>
        <w:tabs>
          <w:tab w:val="left" w:pos="900"/>
        </w:tabs>
        <w:spacing w:line="360" w:lineRule="auto"/>
        <w:ind w:firstLine="420" w:firstLineChars="200"/>
        <w:rPr>
          <w:szCs w:val="21"/>
        </w:rPr>
      </w:pPr>
      <w:r>
        <w:rPr>
          <w:szCs w:val="21"/>
        </w:rPr>
        <w:t>4.2接到磋商小组要求的供应商应派人按磋商小组通知的时间和地点做出书面澄清、说明或更正。供应商的澄清、说明或者更正应当由法定代表人或授权代表签字或者加盖公章。由授权代表签字的，应当附法人授权书。供应商为自然人的，应当由本人签字并附身份证明。</w:t>
      </w:r>
    </w:p>
    <w:p w14:paraId="2E69D6D4">
      <w:pPr>
        <w:tabs>
          <w:tab w:val="left" w:pos="900"/>
        </w:tabs>
        <w:spacing w:line="360" w:lineRule="auto"/>
        <w:ind w:firstLine="420" w:firstLineChars="200"/>
        <w:rPr>
          <w:szCs w:val="21"/>
        </w:rPr>
      </w:pPr>
      <w:r>
        <w:rPr>
          <w:szCs w:val="21"/>
        </w:rPr>
        <w:t>4.3 接到磋商小组澄清要求的供应商如未按规定做出澄清，其风险由供应商自行承担。</w:t>
      </w:r>
    </w:p>
    <w:p w14:paraId="2D633C6A">
      <w:pPr>
        <w:tabs>
          <w:tab w:val="left" w:pos="900"/>
        </w:tabs>
        <w:spacing w:line="360" w:lineRule="auto"/>
        <w:ind w:firstLine="420" w:firstLineChars="200"/>
        <w:rPr>
          <w:szCs w:val="21"/>
        </w:rPr>
      </w:pPr>
      <w:bookmarkStart w:id="103" w:name="_Toc20823305"/>
      <w:bookmarkStart w:id="104" w:name="_Toc16938549"/>
      <w:bookmarkStart w:id="105" w:name="_Toc513029233"/>
      <w:r>
        <w:rPr>
          <w:szCs w:val="21"/>
        </w:rPr>
        <w:t>5、对响应文件的初审</w:t>
      </w:r>
      <w:bookmarkEnd w:id="103"/>
      <w:bookmarkEnd w:id="104"/>
      <w:bookmarkEnd w:id="105"/>
    </w:p>
    <w:p w14:paraId="5311673A">
      <w:pPr>
        <w:tabs>
          <w:tab w:val="left" w:pos="900"/>
        </w:tabs>
        <w:spacing w:line="360" w:lineRule="auto"/>
        <w:ind w:firstLine="420" w:firstLineChars="200"/>
        <w:rPr>
          <w:szCs w:val="21"/>
        </w:rPr>
      </w:pPr>
      <w:r>
        <w:rPr>
          <w:szCs w:val="21"/>
        </w:rPr>
        <w:t>5.1响应文件初审分为资格性检查和符合性检查。</w:t>
      </w:r>
    </w:p>
    <w:p w14:paraId="5DB2092A">
      <w:pPr>
        <w:tabs>
          <w:tab w:val="left" w:pos="900"/>
        </w:tabs>
        <w:spacing w:line="360" w:lineRule="auto"/>
        <w:ind w:firstLine="420" w:firstLineChars="200"/>
        <w:rPr>
          <w:szCs w:val="21"/>
        </w:rPr>
      </w:pPr>
      <w:r>
        <w:rPr>
          <w:szCs w:val="21"/>
        </w:rPr>
        <w:t>资格性检查：依据法律法规和磋商文件的规定，对响应文件中的资格证明文件等进行审查，以确定供应商是否具备参加磋商的资格。</w:t>
      </w:r>
    </w:p>
    <w:p w14:paraId="12167C15">
      <w:pPr>
        <w:spacing w:line="360" w:lineRule="auto"/>
        <w:ind w:firstLine="420" w:firstLineChars="200"/>
        <w:jc w:val="left"/>
        <w:rPr>
          <w:bCs/>
          <w:szCs w:val="21"/>
        </w:rPr>
      </w:pPr>
      <w:r>
        <w:rPr>
          <w:bCs/>
          <w:szCs w:val="21"/>
        </w:rPr>
        <w:t>采购人在进行资格性审查的同时，应根据查询结果对供应商的不良信用记录逐项甄别确认。以确定供应商是否具备磋商资格。查询结果将以网页打印的形式留存并归档。</w:t>
      </w:r>
    </w:p>
    <w:p w14:paraId="03A2F3B8">
      <w:pPr>
        <w:spacing w:line="360" w:lineRule="auto"/>
        <w:ind w:firstLine="420" w:firstLineChars="200"/>
        <w:jc w:val="left"/>
        <w:rPr>
          <w:bCs/>
          <w:szCs w:val="21"/>
        </w:rPr>
      </w:pPr>
      <w:r>
        <w:rPr>
          <w:bCs/>
          <w:szCs w:val="21"/>
        </w:rPr>
        <w:t>按照《中华人民共和国政府采购法》第二十二条规定，下列信用记录属于应依法拒绝供应商参加采购的失信信息：</w:t>
      </w:r>
      <w:r>
        <w:rPr>
          <w:bCs/>
          <w:szCs w:val="21"/>
        </w:rPr>
        <w:br w:type="textWrapping"/>
      </w:r>
      <w:r>
        <w:rPr>
          <w:bCs/>
          <w:szCs w:val="21"/>
        </w:rPr>
        <w:t xml:space="preserve">  （1）采购严重违法记录，即供应商被全国各级财政部门列入“政府采购严重违法失信行为记录名单”，且在处罚有效期内的。</w:t>
      </w:r>
      <w:r>
        <w:rPr>
          <w:bCs/>
          <w:szCs w:val="21"/>
        </w:rPr>
        <w:br w:type="textWrapping"/>
      </w:r>
      <w:r>
        <w:rPr>
          <w:bCs/>
          <w:szCs w:val="21"/>
        </w:rPr>
        <w:t xml:space="preserve">  （2）财政部门与法院、工商、税务等部门联合惩戒的失信信息，包括：</w:t>
      </w:r>
      <w:r>
        <w:rPr>
          <w:bCs/>
          <w:szCs w:val="21"/>
        </w:rPr>
        <w:br w:type="textWrapping"/>
      </w:r>
      <w:r>
        <w:rPr>
          <w:bCs/>
          <w:szCs w:val="21"/>
        </w:rPr>
        <w:t xml:space="preserve">  1）被列入失信被执行人名单；</w:t>
      </w:r>
      <w:r>
        <w:rPr>
          <w:bCs/>
          <w:szCs w:val="21"/>
        </w:rPr>
        <w:br w:type="textWrapping"/>
      </w:r>
      <w:r>
        <w:rPr>
          <w:bCs/>
          <w:szCs w:val="21"/>
        </w:rPr>
        <w:t xml:space="preserve">  2）被列入重大税收违法案件当事人名单；</w:t>
      </w:r>
      <w:r>
        <w:rPr>
          <w:bCs/>
          <w:szCs w:val="21"/>
        </w:rPr>
        <w:br w:type="textWrapping"/>
      </w:r>
      <w:r>
        <w:rPr>
          <w:bCs/>
          <w:szCs w:val="21"/>
        </w:rPr>
        <w:t xml:space="preserve">  3）企业经营异常名录中被责令停产停业、暂扣或者吊销许可证或者执照，或者对经营活动中的违法行为处以200万元以上数额罚款的信用记录。处罚生效日至递交响应文件日未满三年的。</w:t>
      </w:r>
    </w:p>
    <w:p w14:paraId="1D6C9544">
      <w:pPr>
        <w:tabs>
          <w:tab w:val="left" w:pos="900"/>
        </w:tabs>
        <w:spacing w:line="360" w:lineRule="auto"/>
        <w:ind w:firstLine="420" w:firstLineChars="200"/>
        <w:rPr>
          <w:szCs w:val="21"/>
        </w:rPr>
      </w:pPr>
      <w:r>
        <w:rPr>
          <w:szCs w:val="21"/>
        </w:rPr>
        <w:t>符合性检查：依据磋商文件的规定，从响应文件的有效性、完整性和对磋商文件的响应程度进行审查，以确定是否对磋商文件的实质性要求作出响应。</w:t>
      </w:r>
    </w:p>
    <w:p w14:paraId="69A706C0">
      <w:pPr>
        <w:tabs>
          <w:tab w:val="left" w:pos="900"/>
        </w:tabs>
        <w:spacing w:line="360" w:lineRule="auto"/>
        <w:ind w:firstLine="420" w:firstLineChars="200"/>
        <w:rPr>
          <w:szCs w:val="21"/>
        </w:rPr>
      </w:pPr>
      <w:r>
        <w:rPr>
          <w:szCs w:val="21"/>
        </w:rPr>
        <w:t>5.2在正式磋商之前，磋商小组将首先审查每份响应文件是否实质性响应了磋商文件的要求。实质性响应的响应文件应该是与磋商文件要求的条款、条件和规格相符，没有重大偏离或保留。</w:t>
      </w:r>
    </w:p>
    <w:p w14:paraId="47BAE4AB">
      <w:pPr>
        <w:tabs>
          <w:tab w:val="left" w:pos="900"/>
        </w:tabs>
        <w:spacing w:line="360" w:lineRule="auto"/>
        <w:ind w:firstLine="420" w:firstLineChars="200"/>
        <w:rPr>
          <w:szCs w:val="21"/>
        </w:rPr>
      </w:pPr>
      <w:r>
        <w:rPr>
          <w:szCs w:val="21"/>
        </w:rPr>
        <w:t>所谓重大偏离或保留是指与磋商文件规定的实质性要求存在负偏离，或者在实质上与磋商文件不一致，而且限制了合同中买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222A80DA">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3 </w:t>
      </w:r>
      <w:r>
        <w:rPr>
          <w:rFonts w:hint="eastAsia" w:ascii="宋体" w:hAnsi="宋体" w:eastAsia="宋体" w:cs="宋体"/>
          <w:color w:val="000000"/>
          <w:szCs w:val="21"/>
          <w:highlight w:val="none"/>
        </w:rPr>
        <w:t>对响应文件进行基础性数据分析和整理工作(清标)</w:t>
      </w:r>
    </w:p>
    <w:p w14:paraId="0C76F4E6">
      <w:pPr>
        <w:pageBreakBefore w:val="0"/>
        <w:tabs>
          <w:tab w:val="left" w:pos="900"/>
        </w:tabs>
        <w:spacing w:beforeAutospacing="0" w:afterAutospacing="0" w:line="360" w:lineRule="auto"/>
        <w:ind w:left="0" w:firstLine="42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在不改变</w:t>
      </w:r>
      <w:r>
        <w:rPr>
          <w:rFonts w:hint="eastAsia" w:ascii="宋体" w:hAnsi="宋体" w:eastAsia="宋体" w:cs="宋体"/>
          <w:color w:val="000000"/>
          <w:szCs w:val="21"/>
          <w:highlight w:val="none"/>
          <w:lang w:eastAsia="zh-CN"/>
        </w:rPr>
        <w:t>供应商响应</w:t>
      </w:r>
      <w:r>
        <w:rPr>
          <w:rFonts w:hint="eastAsia" w:ascii="宋体" w:hAnsi="宋体" w:eastAsia="宋体" w:cs="宋体"/>
          <w:color w:val="000000"/>
          <w:szCs w:val="21"/>
          <w:highlight w:val="none"/>
        </w:rPr>
        <w:t>文件实质性内容的前提下，</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应当通过对</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文件进行基础性数据分析和整理(本章中简称为“清标”)，从而发现并提取其中可能存在的工程量的偏差、</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资信、不良行为等方面的复核，</w:t>
      </w:r>
      <w:r>
        <w:rPr>
          <w:rFonts w:hint="eastAsia" w:ascii="宋体" w:hAnsi="宋体" w:eastAsia="宋体" w:cs="宋体"/>
          <w:color w:val="000000"/>
          <w:szCs w:val="21"/>
          <w:highlight w:val="none"/>
          <w:lang w:eastAsia="zh-CN"/>
        </w:rPr>
        <w:t>响应</w:t>
      </w:r>
      <w:r>
        <w:rPr>
          <w:rFonts w:hint="eastAsia" w:ascii="宋体" w:hAnsi="宋体" w:eastAsia="宋体" w:cs="宋体"/>
          <w:color w:val="000000"/>
          <w:szCs w:val="21"/>
          <w:highlight w:val="none"/>
        </w:rPr>
        <w:t>报价的算术性错误、错漏项、取费、投标报价构成不合理、不平衡报价等存在明显异常的问题，并就这些问题整理形成清标成果。</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会对清标成果审议后，本工程商务报价将利用辅助评标系统进行电子辅助清标，由清标软件对各单位的商务文件进行初步清理，如出现偏差时，</w:t>
      </w:r>
      <w:r>
        <w:rPr>
          <w:rFonts w:hint="eastAsia" w:ascii="宋体" w:hAnsi="宋体" w:eastAsia="宋体" w:cs="宋体"/>
          <w:color w:val="000000"/>
          <w:szCs w:val="21"/>
          <w:highlight w:val="none"/>
          <w:lang w:eastAsia="zh-CN"/>
        </w:rPr>
        <w:t>磋商小组</w:t>
      </w:r>
      <w:r>
        <w:rPr>
          <w:rFonts w:hint="eastAsia" w:ascii="宋体" w:hAnsi="宋体" w:eastAsia="宋体" w:cs="宋体"/>
          <w:color w:val="000000"/>
          <w:szCs w:val="21"/>
          <w:highlight w:val="none"/>
        </w:rPr>
        <w:t>应当进行核对并最终进行认定。需要</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进行书面澄清、说明或补正的问题，形成质疑问卷，向</w:t>
      </w:r>
      <w:r>
        <w:rPr>
          <w:rFonts w:hint="eastAsia" w:ascii="宋体" w:hAnsi="宋体" w:eastAsia="宋体" w:cs="宋体"/>
          <w:color w:val="000000"/>
          <w:szCs w:val="21"/>
          <w:highlight w:val="none"/>
          <w:lang w:eastAsia="zh-CN"/>
        </w:rPr>
        <w:t>供应商</w:t>
      </w:r>
      <w:r>
        <w:rPr>
          <w:rFonts w:hint="eastAsia" w:ascii="宋体" w:hAnsi="宋体" w:eastAsia="宋体" w:cs="宋体"/>
          <w:color w:val="000000"/>
          <w:szCs w:val="21"/>
          <w:highlight w:val="none"/>
        </w:rPr>
        <w:t>发出问题澄清通知(包括质疑问卷)。</w:t>
      </w:r>
    </w:p>
    <w:p w14:paraId="6F0A925E">
      <w:pPr>
        <w:tabs>
          <w:tab w:val="left" w:pos="900"/>
        </w:tabs>
        <w:spacing w:line="360" w:lineRule="auto"/>
        <w:ind w:firstLine="420" w:firstLineChars="200"/>
        <w:rPr>
          <w:szCs w:val="21"/>
          <w:highlight w:val="none"/>
        </w:rPr>
      </w:pPr>
      <w:r>
        <w:rPr>
          <w:rFonts w:hint="eastAsia" w:ascii="宋体" w:hAnsi="宋体" w:eastAsia="宋体" w:cs="宋体"/>
          <w:color w:val="000000"/>
          <w:szCs w:val="21"/>
          <w:highlight w:val="none"/>
          <w:lang w:val="en-US" w:eastAsia="zh-CN"/>
        </w:rPr>
        <w:t>5.</w:t>
      </w:r>
      <w:r>
        <w:rPr>
          <w:rFonts w:hint="eastAsia" w:ascii="宋体" w:hAnsi="宋体" w:cs="宋体"/>
          <w:color w:val="000000"/>
          <w:szCs w:val="21"/>
          <w:highlight w:val="none"/>
          <w:lang w:val="en-US" w:eastAsia="zh-CN"/>
        </w:rPr>
        <w:t xml:space="preserve">4 </w:t>
      </w:r>
      <w:r>
        <w:rPr>
          <w:rFonts w:hint="eastAsia" w:ascii="宋体" w:hAnsi="宋体" w:cs="宋体"/>
          <w:color w:val="000000"/>
          <w:szCs w:val="21"/>
          <w:highlight w:val="none"/>
        </w:rPr>
        <w:t>所谓重大偏离或保留是指与磋商文件规定的实质性要求存在负偏离，或者在实质上与磋商文件不一致，而且限制了合同中买方和见证方的权利或供应商的义务，纠正这些偏离或保留将会对其他实质性响应要求的供应商的竞争地位产生不公正的影响。是否属于重大偏离由磋商小组按照少数服从多数的原则作出结论。磋商小组决定响应文件的响应性只根据响应文件本身的内容，而不寻求外部的证据。</w:t>
      </w:r>
    </w:p>
    <w:p w14:paraId="67E343B1">
      <w:pPr>
        <w:tabs>
          <w:tab w:val="left" w:pos="900"/>
        </w:tabs>
        <w:spacing w:line="360" w:lineRule="auto"/>
        <w:ind w:firstLine="420" w:firstLineChars="200"/>
        <w:rPr>
          <w:szCs w:val="21"/>
        </w:rPr>
      </w:pPr>
      <w:r>
        <w:rPr>
          <w:szCs w:val="21"/>
        </w:rPr>
        <w:t>5.</w:t>
      </w:r>
      <w:r>
        <w:rPr>
          <w:rFonts w:hint="eastAsia"/>
          <w:szCs w:val="21"/>
          <w:lang w:val="en-US" w:eastAsia="zh-CN"/>
        </w:rPr>
        <w:t xml:space="preserve">5 </w:t>
      </w:r>
      <w:r>
        <w:rPr>
          <w:szCs w:val="21"/>
        </w:rPr>
        <w:t>被认定为未实质性响应磋商文件的响应文件的情形</w:t>
      </w:r>
    </w:p>
    <w:p w14:paraId="14A8D9C2">
      <w:pPr>
        <w:tabs>
          <w:tab w:val="left" w:pos="900"/>
        </w:tabs>
        <w:spacing w:line="360" w:lineRule="auto"/>
        <w:ind w:firstLine="420" w:firstLineChars="200"/>
        <w:rPr>
          <w:szCs w:val="21"/>
        </w:rPr>
      </w:pPr>
      <w:r>
        <w:rPr>
          <w:szCs w:val="21"/>
        </w:rPr>
        <w:t>（1）未按照磋商文件规定要求密封、签署、盖章的；</w:t>
      </w:r>
    </w:p>
    <w:p w14:paraId="2CB6B601">
      <w:pPr>
        <w:tabs>
          <w:tab w:val="left" w:pos="900"/>
        </w:tabs>
        <w:spacing w:line="360" w:lineRule="auto"/>
        <w:ind w:firstLine="420" w:firstLineChars="200"/>
        <w:rPr>
          <w:szCs w:val="21"/>
        </w:rPr>
      </w:pPr>
      <w:r>
        <w:rPr>
          <w:szCs w:val="21"/>
        </w:rPr>
        <w:t>（2）供应商在报价时采用选择性报价；</w:t>
      </w:r>
    </w:p>
    <w:p w14:paraId="7871059F">
      <w:pPr>
        <w:tabs>
          <w:tab w:val="left" w:pos="900"/>
        </w:tabs>
        <w:spacing w:line="360" w:lineRule="auto"/>
        <w:ind w:firstLine="420" w:firstLineChars="200"/>
        <w:rPr>
          <w:szCs w:val="21"/>
        </w:rPr>
      </w:pPr>
      <w:r>
        <w:rPr>
          <w:szCs w:val="21"/>
        </w:rPr>
        <w:t>（3）供应商不具备磋商文件中规定资格要求的；</w:t>
      </w:r>
    </w:p>
    <w:p w14:paraId="22F1ACFC">
      <w:pPr>
        <w:tabs>
          <w:tab w:val="left" w:pos="900"/>
        </w:tabs>
        <w:spacing w:line="360" w:lineRule="auto"/>
        <w:ind w:firstLine="420" w:firstLineChars="200"/>
        <w:rPr>
          <w:szCs w:val="21"/>
        </w:rPr>
      </w:pPr>
      <w:r>
        <w:rPr>
          <w:szCs w:val="21"/>
        </w:rPr>
        <w:t>（4）不符合法律、法规和磋商文件中规定的其他实质性要求和条件的（本磋商文件中斜体且有下划线部分为实质性要求和条件）；</w:t>
      </w:r>
    </w:p>
    <w:p w14:paraId="2C85FBB7">
      <w:pPr>
        <w:tabs>
          <w:tab w:val="left" w:pos="900"/>
        </w:tabs>
        <w:spacing w:line="360" w:lineRule="auto"/>
        <w:ind w:firstLine="420" w:firstLineChars="200"/>
        <w:rPr>
          <w:szCs w:val="21"/>
        </w:rPr>
      </w:pPr>
      <w:r>
        <w:rPr>
          <w:szCs w:val="21"/>
        </w:rPr>
        <w:t>（5）其他法律、法规及本磋商文件规定的属未实质性响应的响应文件的情形。</w:t>
      </w:r>
    </w:p>
    <w:p w14:paraId="2B166FDA">
      <w:pPr>
        <w:tabs>
          <w:tab w:val="left" w:pos="900"/>
        </w:tabs>
        <w:spacing w:line="360" w:lineRule="auto"/>
        <w:ind w:firstLine="420" w:firstLineChars="200"/>
        <w:rPr>
          <w:szCs w:val="21"/>
        </w:rPr>
      </w:pPr>
      <w:r>
        <w:rPr>
          <w:szCs w:val="21"/>
        </w:rPr>
        <w:t>5.</w:t>
      </w:r>
      <w:r>
        <w:rPr>
          <w:rFonts w:hint="eastAsia"/>
          <w:szCs w:val="21"/>
          <w:lang w:val="en-US" w:eastAsia="zh-CN"/>
        </w:rPr>
        <w:t>6</w:t>
      </w:r>
      <w:r>
        <w:rPr>
          <w:szCs w:val="21"/>
        </w:rPr>
        <w:t xml:space="preserve"> 未实质性响应磋商文件的响应文件按无效响应处理，磋商小组将予以拒绝，供应商不得通过修改或撤销不合要求的偏离或保留而使其响应文件成为实质性响应的文件。</w:t>
      </w:r>
    </w:p>
    <w:p w14:paraId="16CDC5E8">
      <w:pPr>
        <w:tabs>
          <w:tab w:val="left" w:pos="900"/>
        </w:tabs>
        <w:spacing w:line="360" w:lineRule="auto"/>
        <w:ind w:firstLine="420" w:firstLineChars="200"/>
        <w:rPr>
          <w:szCs w:val="21"/>
        </w:rPr>
      </w:pPr>
      <w:bookmarkStart w:id="106" w:name="_Toc20823306"/>
      <w:bookmarkStart w:id="107" w:name="_Toc513029234"/>
      <w:bookmarkStart w:id="108" w:name="_Toc16938550"/>
      <w:r>
        <w:rPr>
          <w:szCs w:val="21"/>
        </w:rPr>
        <w:t>6、</w:t>
      </w:r>
      <w:bookmarkEnd w:id="106"/>
      <w:bookmarkEnd w:id="107"/>
      <w:bookmarkEnd w:id="108"/>
      <w:r>
        <w:rPr>
          <w:szCs w:val="21"/>
        </w:rPr>
        <w:t>磋商程序及评审方法和标准</w:t>
      </w:r>
    </w:p>
    <w:p w14:paraId="6F2E023C">
      <w:pPr>
        <w:tabs>
          <w:tab w:val="left" w:pos="900"/>
        </w:tabs>
        <w:spacing w:line="360" w:lineRule="auto"/>
        <w:ind w:firstLine="420" w:firstLineChars="200"/>
        <w:rPr>
          <w:szCs w:val="21"/>
        </w:rPr>
      </w:pPr>
      <w:bookmarkStart w:id="109" w:name="_Toc20823307"/>
      <w:bookmarkStart w:id="110" w:name="_Toc16938551"/>
      <w:bookmarkStart w:id="111" w:name="_Toc513029235"/>
      <w:r>
        <w:rPr>
          <w:szCs w:val="21"/>
        </w:rPr>
        <w:t>6.1磋商程序</w:t>
      </w:r>
    </w:p>
    <w:p w14:paraId="5318B766">
      <w:pPr>
        <w:tabs>
          <w:tab w:val="left" w:pos="900"/>
        </w:tabs>
        <w:spacing w:line="360" w:lineRule="auto"/>
        <w:ind w:firstLine="420" w:firstLineChars="200"/>
        <w:rPr>
          <w:szCs w:val="21"/>
        </w:rPr>
      </w:pPr>
      <w:r>
        <w:rPr>
          <w:szCs w:val="21"/>
        </w:rPr>
        <w:t>6.1.1 对于通过资格性和符合性审查的供应商，磋商小组所有成员将集中与单一供应商分别进行磋商。</w:t>
      </w:r>
    </w:p>
    <w:p w14:paraId="7640AAC7">
      <w:pPr>
        <w:tabs>
          <w:tab w:val="left" w:pos="900"/>
        </w:tabs>
        <w:spacing w:line="360" w:lineRule="auto"/>
        <w:ind w:firstLine="420" w:firstLineChars="200"/>
        <w:rPr>
          <w:szCs w:val="21"/>
        </w:rPr>
      </w:pPr>
      <w:r>
        <w:rPr>
          <w:szCs w:val="21"/>
        </w:rPr>
        <w:t>在磋商过程中，磋商小组可能根据磋商文件和磋商情况实质性变动的内容有：采购需求中的技术、服务要求以及合同草案条款。对磋商文件作出的实质性变动是磋商文件的有效组成部分，磋商小组将以书面形式同时通知所有参加磋商的供应商。供应商应当按照磋商文件的变动情况和磋商小组的要求重新提交响应文件，并由其法定代表人或授权代表签字或者加盖公章。</w:t>
      </w:r>
    </w:p>
    <w:p w14:paraId="29E4959F">
      <w:pPr>
        <w:tabs>
          <w:tab w:val="left" w:pos="900"/>
        </w:tabs>
        <w:spacing w:line="360" w:lineRule="auto"/>
        <w:ind w:firstLine="420" w:firstLineChars="200"/>
        <w:rPr>
          <w:szCs w:val="21"/>
        </w:rPr>
      </w:pPr>
      <w:r>
        <w:rPr>
          <w:szCs w:val="21"/>
        </w:rPr>
        <w:t xml:space="preserve"> 6.1.2 磋商文件能够详细列明采购标的的技术、服务要求的，磋商结束后，磋商小组将要求所有实质性响应的供应商在规定时间内提交最后报价。</w:t>
      </w:r>
    </w:p>
    <w:p w14:paraId="414CBC05">
      <w:pPr>
        <w:tabs>
          <w:tab w:val="left" w:pos="900"/>
        </w:tabs>
        <w:spacing w:line="360" w:lineRule="auto"/>
        <w:ind w:firstLine="420" w:firstLineChars="200"/>
        <w:rPr>
          <w:szCs w:val="21"/>
        </w:rPr>
      </w:pPr>
      <w:r>
        <w:rPr>
          <w:szCs w:val="21"/>
        </w:rPr>
        <w:t>磋商文件不能详细列明采购标的的技术、服务要求，需经磋商由供应商提供最终设计方案或解决方案的，磋商结束后，磋商小组将按照少数服从多数的原则投票推荐3家以上供应商的设计方案或者解决方案，并要求其在规定时间内提交最后报价。</w:t>
      </w:r>
    </w:p>
    <w:p w14:paraId="37D5DBB1">
      <w:pPr>
        <w:tabs>
          <w:tab w:val="left" w:pos="900"/>
        </w:tabs>
        <w:spacing w:line="360" w:lineRule="auto"/>
        <w:ind w:firstLine="420" w:firstLineChars="200"/>
        <w:rPr>
          <w:szCs w:val="21"/>
        </w:rPr>
      </w:pPr>
      <w:r>
        <w:rPr>
          <w:szCs w:val="21"/>
        </w:rPr>
        <w:t>最后报价是供应商响应文件的有效组成部分。符合《政府采购竞争性磋商采购方式管理暂行办法》第三条第四项及《财政部关于竞争性磋商采购方式管理暂行办法有关问题的补充通知》（财库[2015]124号）规定情形的，提交最后报价的供应商可以为2家。</w:t>
      </w:r>
    </w:p>
    <w:p w14:paraId="2259E0E8">
      <w:pPr>
        <w:tabs>
          <w:tab w:val="left" w:pos="900"/>
        </w:tabs>
        <w:spacing w:line="360" w:lineRule="auto"/>
        <w:ind w:firstLine="420" w:firstLineChars="200"/>
        <w:rPr>
          <w:szCs w:val="21"/>
        </w:rPr>
      </w:pPr>
      <w:r>
        <w:rPr>
          <w:szCs w:val="21"/>
        </w:rPr>
        <w:t>6.1.3 磋商供应商未在磋商小组规定的时间内完成最后报价的视为放弃磋商，其磋商响应按无效响应处理。最后报价须由磋商供应商法定代表人或授权代表签字或者加盖公章。已提交响应文件的供应商，在提交最后报价之前，可以根据磋商情况退出磋商。</w:t>
      </w:r>
    </w:p>
    <w:p w14:paraId="6D15E252">
      <w:pPr>
        <w:tabs>
          <w:tab w:val="left" w:pos="900"/>
        </w:tabs>
        <w:spacing w:line="360" w:lineRule="auto"/>
        <w:ind w:firstLine="420" w:firstLineChars="200"/>
        <w:rPr>
          <w:szCs w:val="21"/>
        </w:rPr>
      </w:pPr>
      <w:r>
        <w:rPr>
          <w:szCs w:val="21"/>
        </w:rPr>
        <w:t>6.2 评审方法和标准</w:t>
      </w:r>
    </w:p>
    <w:p w14:paraId="7B984CE9">
      <w:pPr>
        <w:tabs>
          <w:tab w:val="left" w:pos="900"/>
        </w:tabs>
        <w:spacing w:line="360" w:lineRule="auto"/>
        <w:ind w:firstLine="420" w:firstLineChars="200"/>
        <w:rPr>
          <w:szCs w:val="21"/>
        </w:rPr>
      </w:pPr>
      <w:r>
        <w:rPr>
          <w:szCs w:val="21"/>
        </w:rPr>
        <w:t>6.2.1评审方法。经磋商确定最终采购需求和提交最后报价的供应商后，由磋商小组采用综合评分法对提交最后报价的供应商的响应文件和最后报价进行综合评分。</w:t>
      </w:r>
    </w:p>
    <w:p w14:paraId="1CCB80DB">
      <w:pPr>
        <w:tabs>
          <w:tab w:val="left" w:pos="900"/>
        </w:tabs>
        <w:spacing w:line="360" w:lineRule="auto"/>
        <w:ind w:firstLine="420" w:firstLineChars="200"/>
        <w:rPr>
          <w:szCs w:val="21"/>
        </w:rPr>
      </w:pPr>
      <w:r>
        <w:rPr>
          <w:szCs w:val="21"/>
        </w:rPr>
        <w:t>综合评分法，是指响应文件满足磋商文件全部实质性要求且按评审因素的量化指标评审得分最高的供应商为成交候选供应商的评审方法。评审时，磋商小组各成员独立对每个有效响应的文件进行评价、打分，然后汇总每个供应商每项评分因素的得分。</w:t>
      </w:r>
    </w:p>
    <w:p w14:paraId="461B0EED">
      <w:pPr>
        <w:tabs>
          <w:tab w:val="left" w:pos="900"/>
        </w:tabs>
        <w:spacing w:line="360" w:lineRule="auto"/>
        <w:ind w:firstLine="420" w:firstLineChars="200"/>
        <w:rPr>
          <w:szCs w:val="21"/>
        </w:rPr>
      </w:pPr>
      <w:r>
        <w:rPr>
          <w:szCs w:val="21"/>
        </w:rPr>
        <w:t>6.2.2评审标准</w:t>
      </w:r>
    </w:p>
    <w:p w14:paraId="17186AE0">
      <w:pPr>
        <w:tabs>
          <w:tab w:val="left" w:pos="900"/>
        </w:tabs>
        <w:spacing w:line="360" w:lineRule="auto"/>
        <w:ind w:firstLine="420" w:firstLineChars="200"/>
        <w:rPr>
          <w:szCs w:val="21"/>
        </w:rPr>
      </w:pPr>
      <w:r>
        <w:rPr>
          <w:szCs w:val="21"/>
        </w:rPr>
        <w:t>见本磋商文件第五章规定。</w:t>
      </w:r>
    </w:p>
    <w:p w14:paraId="1EC8BF83">
      <w:pPr>
        <w:tabs>
          <w:tab w:val="left" w:pos="900"/>
        </w:tabs>
        <w:spacing w:line="360" w:lineRule="auto"/>
        <w:ind w:firstLine="420" w:firstLineChars="200"/>
        <w:rPr>
          <w:szCs w:val="21"/>
        </w:rPr>
      </w:pPr>
      <w:r>
        <w:rPr>
          <w:szCs w:val="21"/>
        </w:rPr>
        <w:t>6.3采购活动终止的情况</w:t>
      </w:r>
    </w:p>
    <w:p w14:paraId="1667B78B">
      <w:pPr>
        <w:tabs>
          <w:tab w:val="left" w:pos="900"/>
        </w:tabs>
        <w:spacing w:line="360" w:lineRule="auto"/>
        <w:ind w:firstLine="420" w:firstLineChars="200"/>
        <w:rPr>
          <w:szCs w:val="21"/>
        </w:rPr>
      </w:pPr>
      <w:r>
        <w:rPr>
          <w:szCs w:val="21"/>
        </w:rPr>
        <w:t>出现下列情形之一的，本次竞争性磋商采购活动将被终止：</w:t>
      </w:r>
    </w:p>
    <w:p w14:paraId="23F916C1">
      <w:pPr>
        <w:tabs>
          <w:tab w:val="left" w:pos="900"/>
        </w:tabs>
        <w:spacing w:line="360" w:lineRule="auto"/>
        <w:ind w:firstLine="420" w:firstLineChars="200"/>
        <w:rPr>
          <w:szCs w:val="21"/>
        </w:rPr>
      </w:pPr>
      <w:r>
        <w:rPr>
          <w:szCs w:val="21"/>
        </w:rPr>
        <w:t>（1）因情况变化，不再符合规定的竞争性磋商采购方式适用情形的；</w:t>
      </w:r>
    </w:p>
    <w:p w14:paraId="25EAB9FD">
      <w:pPr>
        <w:tabs>
          <w:tab w:val="left" w:pos="900"/>
        </w:tabs>
        <w:spacing w:line="360" w:lineRule="auto"/>
        <w:ind w:firstLine="420" w:firstLineChars="200"/>
        <w:rPr>
          <w:szCs w:val="21"/>
        </w:rPr>
      </w:pPr>
      <w:r>
        <w:rPr>
          <w:szCs w:val="21"/>
        </w:rPr>
        <w:t>（2）出现影响采购公正的违法、违规行为的；</w:t>
      </w:r>
    </w:p>
    <w:bookmarkEnd w:id="109"/>
    <w:bookmarkEnd w:id="110"/>
    <w:bookmarkEnd w:id="111"/>
    <w:p w14:paraId="38EDEA83">
      <w:pPr>
        <w:tabs>
          <w:tab w:val="left" w:pos="900"/>
        </w:tabs>
        <w:spacing w:line="360" w:lineRule="auto"/>
        <w:ind w:firstLine="420" w:firstLineChars="200"/>
        <w:rPr>
          <w:szCs w:val="21"/>
          <w:highlight w:val="none"/>
        </w:rPr>
      </w:pPr>
      <w:r>
        <w:rPr>
          <w:szCs w:val="21"/>
        </w:rPr>
        <w:t>（3）除本磋商文件第6.1.2条第三款规定的情形外，在采购过程中符合要求的供应商或者报价未</w:t>
      </w:r>
      <w:r>
        <w:rPr>
          <w:szCs w:val="21"/>
          <w:highlight w:val="none"/>
        </w:rPr>
        <w:t>超过采购预算的供应商不足3家的。</w:t>
      </w:r>
    </w:p>
    <w:p w14:paraId="1A4A87FF">
      <w:pPr>
        <w:tabs>
          <w:tab w:val="left" w:pos="900"/>
        </w:tabs>
        <w:spacing w:line="360" w:lineRule="auto"/>
        <w:ind w:firstLine="422" w:firstLineChars="200"/>
        <w:rPr>
          <w:b/>
          <w:szCs w:val="21"/>
          <w:highlight w:val="none"/>
        </w:rPr>
      </w:pPr>
      <w:r>
        <w:rPr>
          <w:b/>
          <w:szCs w:val="21"/>
          <w:highlight w:val="none"/>
        </w:rPr>
        <w:t>五、成交</w:t>
      </w:r>
    </w:p>
    <w:p w14:paraId="38500466">
      <w:pPr>
        <w:tabs>
          <w:tab w:val="left" w:pos="900"/>
        </w:tabs>
        <w:spacing w:line="360" w:lineRule="auto"/>
        <w:ind w:firstLine="420" w:firstLineChars="200"/>
        <w:rPr>
          <w:szCs w:val="21"/>
          <w:highlight w:val="none"/>
        </w:rPr>
      </w:pPr>
      <w:bookmarkStart w:id="112" w:name="_Toc513029238"/>
      <w:bookmarkStart w:id="113" w:name="_Toc16938554"/>
      <w:bookmarkStart w:id="114" w:name="_Toc20823310"/>
      <w:r>
        <w:rPr>
          <w:szCs w:val="21"/>
          <w:highlight w:val="none"/>
        </w:rPr>
        <w:t>1、</w:t>
      </w:r>
      <w:bookmarkEnd w:id="112"/>
      <w:r>
        <w:rPr>
          <w:szCs w:val="21"/>
          <w:highlight w:val="none"/>
        </w:rPr>
        <w:t>确定</w:t>
      </w:r>
      <w:bookmarkEnd w:id="113"/>
      <w:bookmarkEnd w:id="114"/>
      <w:r>
        <w:rPr>
          <w:szCs w:val="21"/>
          <w:highlight w:val="none"/>
        </w:rPr>
        <w:t>成交单位</w:t>
      </w:r>
    </w:p>
    <w:p w14:paraId="70C590D2">
      <w:pPr>
        <w:tabs>
          <w:tab w:val="left" w:pos="900"/>
        </w:tabs>
        <w:spacing w:line="360" w:lineRule="auto"/>
        <w:ind w:firstLine="420" w:firstLineChars="200"/>
        <w:rPr>
          <w:szCs w:val="21"/>
          <w:highlight w:val="none"/>
        </w:rPr>
      </w:pPr>
      <w:r>
        <w:rPr>
          <w:szCs w:val="21"/>
          <w:highlight w:val="none"/>
        </w:rPr>
        <w:t>1.1磋商小组根据综合评分情况，按照评审得分由高到低顺序</w:t>
      </w:r>
      <w:r>
        <w:rPr>
          <w:rFonts w:hint="eastAsia"/>
          <w:szCs w:val="21"/>
          <w:highlight w:val="none"/>
          <w:lang w:eastAsia="zh-CN"/>
        </w:rPr>
        <w:t>，</w:t>
      </w:r>
      <w:r>
        <w:rPr>
          <w:rFonts w:hint="eastAsia"/>
          <w:szCs w:val="21"/>
          <w:highlight w:val="none"/>
          <w:lang w:val="en-US" w:eastAsia="zh-CN"/>
        </w:rPr>
        <w:t>得分最高者为成交候选供应商。</w:t>
      </w:r>
      <w:r>
        <w:rPr>
          <w:szCs w:val="21"/>
          <w:highlight w:val="none"/>
        </w:rPr>
        <w:t>评审得分且最后报价相同的，按照技术指标优劣顺序推荐。</w:t>
      </w:r>
    </w:p>
    <w:p w14:paraId="6651CB56">
      <w:pPr>
        <w:tabs>
          <w:tab w:val="left" w:pos="900"/>
        </w:tabs>
        <w:spacing w:line="360" w:lineRule="auto"/>
        <w:ind w:firstLine="420" w:firstLineChars="200"/>
        <w:rPr>
          <w:szCs w:val="21"/>
        </w:rPr>
      </w:pPr>
      <w:r>
        <w:rPr>
          <w:szCs w:val="21"/>
        </w:rPr>
        <w:t>1.2采购人根据磋商小组推荐的成交候选人确定成交人。采购人确定成交人后，代理机构将在</w:t>
      </w:r>
      <w:r>
        <w:rPr>
          <w:rFonts w:hint="eastAsia"/>
          <w:szCs w:val="21"/>
          <w:lang w:eastAsia="zh-CN"/>
        </w:rPr>
        <w:t>“扬州大学附属医院”、</w:t>
      </w:r>
      <w:r>
        <w:rPr>
          <w:rFonts w:hint="eastAsia" w:ascii="宋体" w:hAnsi="宋体" w:cs="宋体"/>
          <w:szCs w:val="21"/>
          <w:highlight w:val="none"/>
        </w:rPr>
        <w:t xml:space="preserve">“ </w:t>
      </w:r>
      <w:r>
        <w:rPr>
          <w:rFonts w:hint="eastAsia" w:ascii="宋体" w:hAnsi="宋体" w:cs="宋体"/>
          <w:szCs w:val="21"/>
          <w:highlight w:val="none"/>
          <w:lang w:eastAsia="zh-CN"/>
        </w:rPr>
        <w:t>江苏招标采购服务平台</w:t>
      </w:r>
      <w:r>
        <w:rPr>
          <w:rFonts w:hint="eastAsia" w:ascii="宋体" w:hAnsi="宋体" w:cs="宋体"/>
          <w:szCs w:val="21"/>
          <w:highlight w:val="none"/>
        </w:rPr>
        <w:t>”</w:t>
      </w:r>
      <w:r>
        <w:rPr>
          <w:rFonts w:hint="eastAsia"/>
          <w:szCs w:val="21"/>
        </w:rPr>
        <w:t>网站</w:t>
      </w:r>
      <w:r>
        <w:rPr>
          <w:szCs w:val="21"/>
        </w:rPr>
        <w:t>发布成交结果公告，公告期限为1个工作日。</w:t>
      </w:r>
    </w:p>
    <w:p w14:paraId="6AF2969B">
      <w:pPr>
        <w:tabs>
          <w:tab w:val="left" w:pos="900"/>
        </w:tabs>
        <w:spacing w:line="360" w:lineRule="auto"/>
        <w:ind w:firstLine="420" w:firstLineChars="200"/>
        <w:rPr>
          <w:szCs w:val="21"/>
        </w:rPr>
      </w:pPr>
      <w:r>
        <w:rPr>
          <w:szCs w:val="21"/>
        </w:rPr>
        <w:t>1.3若有充分证据证明，成交人出现下列情况之一的，一经查实，将被取消成交资格：</w:t>
      </w:r>
    </w:p>
    <w:p w14:paraId="77889584">
      <w:pPr>
        <w:tabs>
          <w:tab w:val="left" w:pos="900"/>
        </w:tabs>
        <w:spacing w:line="360" w:lineRule="auto"/>
        <w:ind w:firstLine="420" w:firstLineChars="200"/>
        <w:rPr>
          <w:szCs w:val="21"/>
        </w:rPr>
      </w:pPr>
      <w:r>
        <w:rPr>
          <w:szCs w:val="21"/>
        </w:rPr>
        <w:t>（1）提供虚假材料谋取成交的；</w:t>
      </w:r>
    </w:p>
    <w:p w14:paraId="4DDCE7A8">
      <w:pPr>
        <w:tabs>
          <w:tab w:val="left" w:pos="900"/>
        </w:tabs>
        <w:spacing w:line="360" w:lineRule="auto"/>
        <w:ind w:firstLine="420" w:firstLineChars="200"/>
        <w:rPr>
          <w:szCs w:val="21"/>
        </w:rPr>
      </w:pPr>
      <w:r>
        <w:rPr>
          <w:szCs w:val="21"/>
        </w:rPr>
        <w:t>（2）与评审专家、采购人、其他供应商或者代理机构工作人员恶意串通的；</w:t>
      </w:r>
    </w:p>
    <w:p w14:paraId="2EAFF7DE">
      <w:pPr>
        <w:tabs>
          <w:tab w:val="left" w:pos="900"/>
        </w:tabs>
        <w:spacing w:line="360" w:lineRule="auto"/>
        <w:ind w:firstLine="420" w:firstLineChars="200"/>
        <w:rPr>
          <w:szCs w:val="21"/>
        </w:rPr>
      </w:pPr>
      <w:r>
        <w:rPr>
          <w:szCs w:val="21"/>
        </w:rPr>
        <w:t>（3）向评审专家、采购人或代理机构工作人员行贿或者提供其他不正当利益的；</w:t>
      </w:r>
    </w:p>
    <w:p w14:paraId="2FC4BF57">
      <w:pPr>
        <w:tabs>
          <w:tab w:val="left" w:pos="900"/>
        </w:tabs>
        <w:spacing w:line="360" w:lineRule="auto"/>
        <w:ind w:firstLine="420" w:firstLineChars="200"/>
        <w:rPr>
          <w:szCs w:val="21"/>
        </w:rPr>
      </w:pPr>
      <w:r>
        <w:rPr>
          <w:szCs w:val="21"/>
        </w:rPr>
        <w:t>（4）恶意竞争，最终总报价明显低于其自身合理成本且又无法提供证明的；</w:t>
      </w:r>
    </w:p>
    <w:p w14:paraId="29ED2F38">
      <w:pPr>
        <w:tabs>
          <w:tab w:val="left" w:pos="900"/>
        </w:tabs>
        <w:spacing w:line="360" w:lineRule="auto"/>
        <w:ind w:firstLine="420" w:firstLineChars="200"/>
        <w:rPr>
          <w:szCs w:val="21"/>
        </w:rPr>
      </w:pPr>
      <w:r>
        <w:rPr>
          <w:szCs w:val="21"/>
        </w:rPr>
        <w:t>（5）不满足本磋商文件规定的实质性要求，但在评审过程中又未被磋商小组发现的；</w:t>
      </w:r>
    </w:p>
    <w:p w14:paraId="0B393D2E">
      <w:pPr>
        <w:tabs>
          <w:tab w:val="left" w:pos="900"/>
        </w:tabs>
        <w:spacing w:line="360" w:lineRule="auto"/>
        <w:ind w:firstLine="420" w:firstLineChars="200"/>
        <w:rPr>
          <w:szCs w:val="21"/>
        </w:rPr>
      </w:pPr>
      <w:r>
        <w:rPr>
          <w:szCs w:val="21"/>
        </w:rPr>
        <w:t>（6）成交后无正当理由拒不与采购人签订采购合同或者未按照磋商文件确定的事项签订采购合同；</w:t>
      </w:r>
    </w:p>
    <w:p w14:paraId="2DECCC47">
      <w:pPr>
        <w:tabs>
          <w:tab w:val="left" w:pos="900"/>
        </w:tabs>
        <w:spacing w:line="360" w:lineRule="auto"/>
        <w:ind w:firstLine="420" w:firstLineChars="200"/>
        <w:rPr>
          <w:szCs w:val="21"/>
        </w:rPr>
      </w:pPr>
      <w:r>
        <w:rPr>
          <w:szCs w:val="21"/>
        </w:rPr>
        <w:t>（7）将采购合同转包；</w:t>
      </w:r>
    </w:p>
    <w:p w14:paraId="70658CF7">
      <w:pPr>
        <w:tabs>
          <w:tab w:val="left" w:pos="900"/>
        </w:tabs>
        <w:spacing w:line="360" w:lineRule="auto"/>
        <w:ind w:firstLine="420" w:firstLineChars="200"/>
        <w:rPr>
          <w:szCs w:val="21"/>
        </w:rPr>
      </w:pPr>
      <w:r>
        <w:rPr>
          <w:szCs w:val="21"/>
        </w:rPr>
        <w:t>（8）法律、法规、规章规定的属于成交无效的其他情形。</w:t>
      </w:r>
    </w:p>
    <w:p w14:paraId="02DDE362">
      <w:pPr>
        <w:tabs>
          <w:tab w:val="left" w:pos="900"/>
        </w:tabs>
        <w:spacing w:line="360" w:lineRule="auto"/>
        <w:ind w:firstLine="420" w:firstLineChars="200"/>
        <w:rPr>
          <w:szCs w:val="21"/>
        </w:rPr>
      </w:pPr>
      <w:r>
        <w:rPr>
          <w:szCs w:val="21"/>
        </w:rPr>
        <w:t>2、质疑处理</w:t>
      </w:r>
    </w:p>
    <w:p w14:paraId="1568DFA0">
      <w:pPr>
        <w:spacing w:line="360" w:lineRule="auto"/>
        <w:ind w:firstLine="420" w:firstLineChars="200"/>
        <w:rPr>
          <w:snapToGrid w:val="0"/>
          <w:szCs w:val="21"/>
        </w:rPr>
      </w:pPr>
      <w:r>
        <w:rPr>
          <w:szCs w:val="21"/>
        </w:rPr>
        <w:t>2.1磋商供应商认为磋商文件、采购过程和采购结果使自己的权益受到损害的，可以在知道或应知其权益受到损害之日起七个工作日内，一次性以书面形式（原件送达）向代理机构提出质疑。</w:t>
      </w:r>
      <w:r>
        <w:rPr>
          <w:snapToGrid w:val="0"/>
          <w:szCs w:val="21"/>
        </w:rPr>
        <w:t>《质疑申请书》及《授权委托书》格式见网址：</w:t>
      </w:r>
    </w:p>
    <w:p w14:paraId="7CD178AC">
      <w:pPr>
        <w:spacing w:line="360" w:lineRule="auto"/>
        <w:ind w:firstLine="420" w:firstLineChars="200"/>
        <w:rPr>
          <w:rFonts w:hint="eastAsia"/>
          <w:snapToGrid w:val="0"/>
          <w:szCs w:val="21"/>
        </w:rPr>
      </w:pPr>
      <w:r>
        <w:rPr>
          <w:rFonts w:hint="eastAsia"/>
          <w:snapToGrid w:val="0"/>
          <w:szCs w:val="21"/>
        </w:rPr>
        <w:fldChar w:fldCharType="begin"/>
      </w:r>
      <w:r>
        <w:rPr>
          <w:rFonts w:hint="eastAsia"/>
          <w:snapToGrid w:val="0"/>
          <w:szCs w:val="21"/>
        </w:rPr>
        <w:instrText xml:space="preserve"> HYPERLINK "https://zfcg.yangzhou.gov.cn/xzzx/art/2018/art_11e6cbeb5d404fc4b98a49bd037c34b4.html" </w:instrText>
      </w:r>
      <w:r>
        <w:rPr>
          <w:rFonts w:hint="eastAsia"/>
          <w:snapToGrid w:val="0"/>
          <w:szCs w:val="21"/>
        </w:rPr>
        <w:fldChar w:fldCharType="separate"/>
      </w:r>
      <w:r>
        <w:rPr>
          <w:rStyle w:val="39"/>
          <w:rFonts w:hint="eastAsia"/>
          <w:snapToGrid w:val="0"/>
          <w:szCs w:val="21"/>
        </w:rPr>
        <w:t>https://zfcg.yangzhou.gov.cn/xzzx/art/2018/art_11e6cbeb5d404fc4b98a49bd037c34b4.html</w:t>
      </w:r>
      <w:r>
        <w:rPr>
          <w:rFonts w:hint="eastAsia"/>
          <w:snapToGrid w:val="0"/>
          <w:szCs w:val="21"/>
        </w:rPr>
        <w:fldChar w:fldCharType="end"/>
      </w:r>
    </w:p>
    <w:p w14:paraId="7357B95E">
      <w:pPr>
        <w:tabs>
          <w:tab w:val="left" w:pos="900"/>
        </w:tabs>
        <w:spacing w:line="360" w:lineRule="auto"/>
        <w:ind w:firstLine="420" w:firstLineChars="200"/>
        <w:rPr>
          <w:szCs w:val="21"/>
        </w:rPr>
      </w:pPr>
      <w:r>
        <w:rPr>
          <w:szCs w:val="21"/>
        </w:rPr>
        <w:t>2.1.1对采购文件提出质疑的，应当在获取采购文件之日或者采购文件公告期限届满之日起7个工作日内提出。</w:t>
      </w:r>
    </w:p>
    <w:p w14:paraId="076F3D7E">
      <w:pPr>
        <w:tabs>
          <w:tab w:val="left" w:pos="900"/>
        </w:tabs>
        <w:spacing w:line="360" w:lineRule="auto"/>
        <w:ind w:firstLine="420" w:firstLineChars="200"/>
        <w:rPr>
          <w:szCs w:val="21"/>
        </w:rPr>
      </w:pPr>
      <w:r>
        <w:rPr>
          <w:szCs w:val="21"/>
        </w:rPr>
        <w:t>2.1.2对采购过程提出质疑的，为各采购程序环节结束之日起7个工作日内提出。</w:t>
      </w:r>
      <w:r>
        <w:rPr>
          <w:szCs w:val="21"/>
        </w:rPr>
        <w:br w:type="textWrapping"/>
      </w:r>
      <w:r>
        <w:rPr>
          <w:szCs w:val="21"/>
        </w:rPr>
        <w:t>　　2.1.3对</w:t>
      </w:r>
      <w:r>
        <w:rPr>
          <w:rFonts w:hint="eastAsia"/>
          <w:szCs w:val="21"/>
        </w:rPr>
        <w:t>成交</w:t>
      </w:r>
      <w:r>
        <w:rPr>
          <w:szCs w:val="21"/>
        </w:rPr>
        <w:t>结果提出质疑的，为</w:t>
      </w:r>
      <w:r>
        <w:rPr>
          <w:rFonts w:hint="eastAsia"/>
          <w:szCs w:val="21"/>
        </w:rPr>
        <w:t>成交</w:t>
      </w:r>
      <w:r>
        <w:rPr>
          <w:szCs w:val="21"/>
        </w:rPr>
        <w:t>结果公告期限届满之日起7个工作日内提出。</w:t>
      </w:r>
    </w:p>
    <w:p w14:paraId="5196C571">
      <w:pPr>
        <w:spacing w:line="360" w:lineRule="auto"/>
        <w:ind w:firstLine="420" w:firstLineChars="200"/>
        <w:rPr>
          <w:snapToGrid w:val="0"/>
          <w:szCs w:val="21"/>
        </w:rPr>
      </w:pPr>
      <w:r>
        <w:rPr>
          <w:szCs w:val="21"/>
        </w:rPr>
        <w:t>2.2供应商应在法定质疑期内一次性提出针对同一采购程序环节的质疑。质疑必须按《政府采购法》、《政府采购法实施条例》及《政府采购质疑和投诉办法》等相关规定提交</w:t>
      </w:r>
      <w:r>
        <w:rPr>
          <w:spacing w:val="-20"/>
          <w:szCs w:val="21"/>
        </w:rPr>
        <w:t>。</w:t>
      </w:r>
    </w:p>
    <w:p w14:paraId="20216282">
      <w:pPr>
        <w:spacing w:line="360" w:lineRule="auto"/>
        <w:ind w:firstLine="409" w:firstLineChars="195"/>
        <w:rPr>
          <w:szCs w:val="21"/>
        </w:rPr>
      </w:pPr>
      <w:r>
        <w:rPr>
          <w:szCs w:val="21"/>
        </w:rPr>
        <w:t>2.3提出质疑的供应商（以下简称质疑供应商）应当是参与所质疑项目采购活动的供应商。</w:t>
      </w:r>
    </w:p>
    <w:p w14:paraId="3BCCE2A1">
      <w:pPr>
        <w:spacing w:line="360" w:lineRule="auto"/>
        <w:ind w:firstLine="409" w:firstLineChars="195"/>
        <w:rPr>
          <w:kern w:val="0"/>
          <w:szCs w:val="21"/>
        </w:rPr>
      </w:pPr>
      <w:r>
        <w:rPr>
          <w:szCs w:val="21"/>
        </w:rPr>
        <w:t>潜在供应商已依法获取其可质疑的采购文件的，可以对该文件提出质疑。对采购文件提出质疑的，应当在获取采购文件或者采购文件公告期限届满之日起7个工作日内提出。</w:t>
      </w:r>
    </w:p>
    <w:p w14:paraId="3E1F0651">
      <w:pPr>
        <w:spacing w:line="360" w:lineRule="auto"/>
        <w:ind w:firstLine="409" w:firstLineChars="195"/>
        <w:rPr>
          <w:szCs w:val="21"/>
        </w:rPr>
      </w:pPr>
      <w:r>
        <w:rPr>
          <w:szCs w:val="21"/>
        </w:rPr>
        <w:t>2.4供应商提出质疑应当提交质疑函和必要的证明材料。质疑函应当包括下列内容：</w:t>
      </w:r>
    </w:p>
    <w:p w14:paraId="4742245F">
      <w:pPr>
        <w:spacing w:line="360" w:lineRule="auto"/>
        <w:rPr>
          <w:szCs w:val="21"/>
        </w:rPr>
      </w:pPr>
      <w:r>
        <w:rPr>
          <w:szCs w:val="21"/>
        </w:rPr>
        <w:t>　　2.4.1供应商的姓名或者名称、地址、邮编、联系人及联系电话；</w:t>
      </w:r>
    </w:p>
    <w:p w14:paraId="4F7A2D46">
      <w:pPr>
        <w:spacing w:line="360" w:lineRule="auto"/>
        <w:rPr>
          <w:szCs w:val="21"/>
        </w:rPr>
      </w:pPr>
      <w:r>
        <w:rPr>
          <w:szCs w:val="21"/>
        </w:rPr>
        <w:t>　　2.4.2质疑项目的名称、编号；</w:t>
      </w:r>
    </w:p>
    <w:p w14:paraId="1D27AB53">
      <w:pPr>
        <w:spacing w:line="360" w:lineRule="auto"/>
        <w:rPr>
          <w:szCs w:val="21"/>
        </w:rPr>
      </w:pPr>
      <w:r>
        <w:rPr>
          <w:szCs w:val="21"/>
        </w:rPr>
        <w:t>　　2.4.3具体、明确的质疑事项和与质疑事项相关的请求；</w:t>
      </w:r>
    </w:p>
    <w:p w14:paraId="15E46147">
      <w:pPr>
        <w:spacing w:line="360" w:lineRule="auto"/>
        <w:rPr>
          <w:szCs w:val="21"/>
        </w:rPr>
      </w:pPr>
      <w:r>
        <w:rPr>
          <w:szCs w:val="21"/>
        </w:rPr>
        <w:t>　　2.4.4事实依据；</w:t>
      </w:r>
    </w:p>
    <w:p w14:paraId="75749743">
      <w:pPr>
        <w:spacing w:line="360" w:lineRule="auto"/>
        <w:rPr>
          <w:szCs w:val="21"/>
        </w:rPr>
      </w:pPr>
      <w:r>
        <w:rPr>
          <w:szCs w:val="21"/>
        </w:rPr>
        <w:t>　　2.4.5必要的法律依据；</w:t>
      </w:r>
    </w:p>
    <w:p w14:paraId="14DBE791">
      <w:pPr>
        <w:spacing w:line="360" w:lineRule="auto"/>
        <w:rPr>
          <w:szCs w:val="21"/>
        </w:rPr>
      </w:pPr>
      <w:r>
        <w:rPr>
          <w:szCs w:val="21"/>
        </w:rPr>
        <w:t>　　2.4.6提出质疑的日期。</w:t>
      </w:r>
    </w:p>
    <w:p w14:paraId="534F73D3">
      <w:pPr>
        <w:spacing w:line="360" w:lineRule="auto"/>
        <w:ind w:firstLine="409" w:firstLineChars="195"/>
        <w:rPr>
          <w:szCs w:val="21"/>
        </w:rPr>
      </w:pPr>
      <w:r>
        <w:rPr>
          <w:szCs w:val="21"/>
        </w:rPr>
        <w:t>供应商为自然人的，应当由本人签字；供应商为法人或者其他组织的，应当由法定代表人、主要负责人，或者其授权代表签字或者盖章，并加盖公章。</w:t>
      </w:r>
    </w:p>
    <w:p w14:paraId="2A1B50CD">
      <w:pPr>
        <w:tabs>
          <w:tab w:val="left" w:pos="900"/>
        </w:tabs>
        <w:spacing w:line="360" w:lineRule="auto"/>
        <w:ind w:firstLine="420" w:firstLineChars="200"/>
        <w:rPr>
          <w:szCs w:val="21"/>
        </w:rPr>
      </w:pPr>
      <w:r>
        <w:rPr>
          <w:szCs w:val="21"/>
        </w:rPr>
        <w:t>2.5代理机构收到质疑函后，将对质疑的形式和内容进行审查，如质疑函内容、格式不符合规定，代理机构将告知质疑人进行补正。</w:t>
      </w:r>
    </w:p>
    <w:p w14:paraId="74F79891">
      <w:pPr>
        <w:tabs>
          <w:tab w:val="left" w:pos="900"/>
        </w:tabs>
        <w:spacing w:line="360" w:lineRule="auto"/>
        <w:ind w:firstLine="420" w:firstLineChars="200"/>
        <w:rPr>
          <w:szCs w:val="21"/>
        </w:rPr>
      </w:pPr>
      <w:r>
        <w:rPr>
          <w:szCs w:val="21"/>
        </w:rPr>
        <w:t>2.6质疑人应当在法定质疑期限内进行补正并重新提交质疑函，拒不补正或者在法定期限内未重新提交质疑函的，为无效质疑，代理机构有权不予受理。</w:t>
      </w:r>
    </w:p>
    <w:p w14:paraId="59A4F98C">
      <w:pPr>
        <w:tabs>
          <w:tab w:val="left" w:pos="900"/>
        </w:tabs>
        <w:spacing w:line="360" w:lineRule="auto"/>
        <w:ind w:firstLine="420" w:firstLineChars="200"/>
        <w:rPr>
          <w:szCs w:val="21"/>
        </w:rPr>
      </w:pPr>
      <w:r>
        <w:rPr>
          <w:szCs w:val="21"/>
        </w:rPr>
        <w:t>2.7对于内容、格式符合规定的质疑函，代理机构将在收到参加磋商供应商的书面质疑后七个工作日内作出答复，并以书面形式通知质疑供应商和其他相关供应商，答复的内容不涉及商业秘密。</w:t>
      </w:r>
    </w:p>
    <w:p w14:paraId="290647E7">
      <w:pPr>
        <w:spacing w:line="360" w:lineRule="auto"/>
        <w:ind w:firstLine="409" w:firstLineChars="195"/>
        <w:rPr>
          <w:szCs w:val="21"/>
        </w:rPr>
      </w:pPr>
      <w:r>
        <w:rPr>
          <w:szCs w:val="21"/>
        </w:rPr>
        <w:t>2.8 诚实信用</w:t>
      </w:r>
    </w:p>
    <w:p w14:paraId="71012CCD">
      <w:pPr>
        <w:spacing w:line="360" w:lineRule="auto"/>
        <w:ind w:firstLine="409" w:firstLineChars="195"/>
        <w:rPr>
          <w:szCs w:val="21"/>
        </w:rPr>
      </w:pPr>
      <w:r>
        <w:rPr>
          <w:szCs w:val="21"/>
        </w:rPr>
        <w:t>2.8.1 供应商之间不得相互串通报价，不得妨碍其他供应商的公平竞争，不得损害采购人和其他供应商的合法权益。</w:t>
      </w:r>
    </w:p>
    <w:p w14:paraId="5520A40A">
      <w:pPr>
        <w:spacing w:line="360" w:lineRule="auto"/>
        <w:ind w:firstLine="409" w:firstLineChars="195"/>
        <w:rPr>
          <w:szCs w:val="21"/>
        </w:rPr>
      </w:pPr>
      <w:r>
        <w:rPr>
          <w:szCs w:val="21"/>
        </w:rPr>
        <w:t>2.8.2 供应商不得以向代理机构工作人员、评标委员会成员行贿或者采取其他不正当手段谋取中标。经查实供应商有此行为的，采购管理部门将供应商列入不良行为记录名单。</w:t>
      </w:r>
    </w:p>
    <w:p w14:paraId="6041FF4E">
      <w:pPr>
        <w:spacing w:line="360" w:lineRule="auto"/>
        <w:ind w:firstLine="409" w:firstLineChars="195"/>
        <w:rPr>
          <w:szCs w:val="21"/>
        </w:rPr>
      </w:pPr>
      <w:r>
        <w:rPr>
          <w:szCs w:val="21"/>
        </w:rPr>
        <w:t>2.8.3 供应商提出书面质疑必须有理、有据，不得虚假质疑和恶意质疑，并对质疑内容的真实性承担责任。一经查实，代理机构有权参照政府采购的有关规定，报请监管部门对该供应商进行相应的行政处罚并在网站上予以公示。如果供应商或者其他利害关系人通过捏造事实、伪造证明材料等方式提出质疑，干扰采购活动正常进行的，属于严重不良行为，将其列入不良行为记录名单。</w:t>
      </w:r>
    </w:p>
    <w:p w14:paraId="5EEC2DD9">
      <w:pPr>
        <w:spacing w:line="360" w:lineRule="auto"/>
        <w:ind w:firstLine="409" w:firstLineChars="195"/>
        <w:rPr>
          <w:szCs w:val="21"/>
        </w:rPr>
      </w:pPr>
      <w:r>
        <w:rPr>
          <w:szCs w:val="21"/>
        </w:rPr>
        <w:t>2.8.4 供应商不得虚假承诺，否则，按照提供虚假材料谋取</w:t>
      </w:r>
      <w:r>
        <w:rPr>
          <w:rFonts w:hint="eastAsia"/>
          <w:szCs w:val="21"/>
        </w:rPr>
        <w:t>中标</w:t>
      </w:r>
      <w:r>
        <w:rPr>
          <w:szCs w:val="21"/>
        </w:rPr>
        <w:t>处理。</w:t>
      </w:r>
    </w:p>
    <w:p w14:paraId="25A7C7DC">
      <w:pPr>
        <w:spacing w:line="360" w:lineRule="auto"/>
        <w:ind w:firstLine="409" w:firstLineChars="195"/>
        <w:rPr>
          <w:szCs w:val="21"/>
        </w:rPr>
      </w:pPr>
      <w:r>
        <w:rPr>
          <w:szCs w:val="21"/>
        </w:rPr>
        <w:t>2.8.5 供应商应自觉遵守开标、评标纪律，扰乱开标评标现场秩序的，属于失信行为，</w:t>
      </w:r>
    </w:p>
    <w:p w14:paraId="30AAF739">
      <w:pPr>
        <w:tabs>
          <w:tab w:val="left" w:pos="900"/>
        </w:tabs>
        <w:spacing w:line="360" w:lineRule="auto"/>
        <w:ind w:firstLine="422" w:firstLineChars="200"/>
        <w:rPr>
          <w:b/>
          <w:szCs w:val="21"/>
        </w:rPr>
      </w:pPr>
      <w:r>
        <w:rPr>
          <w:b/>
          <w:szCs w:val="21"/>
        </w:rPr>
        <w:t>六、合同签订相关事项</w:t>
      </w:r>
    </w:p>
    <w:p w14:paraId="29DB174E">
      <w:pPr>
        <w:tabs>
          <w:tab w:val="left" w:pos="900"/>
        </w:tabs>
        <w:spacing w:line="360" w:lineRule="auto"/>
        <w:ind w:firstLine="420" w:firstLineChars="200"/>
        <w:rPr>
          <w:szCs w:val="21"/>
        </w:rPr>
      </w:pPr>
      <w:r>
        <w:rPr>
          <w:szCs w:val="21"/>
        </w:rPr>
        <w:t>1、签订合同</w:t>
      </w:r>
    </w:p>
    <w:p w14:paraId="5519DDC2">
      <w:pPr>
        <w:tabs>
          <w:tab w:val="left" w:pos="900"/>
        </w:tabs>
        <w:spacing w:line="360" w:lineRule="auto"/>
        <w:ind w:firstLine="420" w:firstLineChars="200"/>
        <w:rPr>
          <w:szCs w:val="21"/>
        </w:rPr>
      </w:pPr>
      <w:r>
        <w:rPr>
          <w:szCs w:val="21"/>
        </w:rPr>
        <w:t>1.l成交人确定后，代理机构将向成交人发出成交通知书。成交人应按成交通知书规定的时间、地点,按照磋商文件确定的事项与采购人签订采购合同，且不得迟于成交通知书发出之日起</w:t>
      </w:r>
      <w:r>
        <w:rPr>
          <w:rFonts w:hint="eastAsia"/>
          <w:szCs w:val="21"/>
        </w:rPr>
        <w:t>三十</w:t>
      </w:r>
      <w:r>
        <w:rPr>
          <w:szCs w:val="21"/>
        </w:rPr>
        <w:t>日内，由此给采购人造成损失的，成交人还应承担赔偿责任。</w:t>
      </w:r>
    </w:p>
    <w:p w14:paraId="5C5D2DD2">
      <w:pPr>
        <w:tabs>
          <w:tab w:val="left" w:pos="900"/>
        </w:tabs>
        <w:spacing w:line="360" w:lineRule="auto"/>
        <w:ind w:firstLine="420" w:firstLineChars="200"/>
        <w:rPr>
          <w:szCs w:val="21"/>
        </w:rPr>
      </w:pPr>
      <w:r>
        <w:rPr>
          <w:szCs w:val="21"/>
        </w:rPr>
        <w:t>1.2 磋商文件、成交人的响应文件及磋商采购过程中有关澄清、承诺文件均应作为合同附件。</w:t>
      </w:r>
    </w:p>
    <w:p w14:paraId="7DB3C307">
      <w:pPr>
        <w:tabs>
          <w:tab w:val="left" w:pos="900"/>
        </w:tabs>
        <w:spacing w:line="360" w:lineRule="auto"/>
        <w:ind w:firstLine="420" w:firstLineChars="200"/>
        <w:rPr>
          <w:szCs w:val="21"/>
        </w:rPr>
      </w:pPr>
      <w:r>
        <w:rPr>
          <w:szCs w:val="21"/>
        </w:rPr>
        <w:t>1.3 签订合同后，</w:t>
      </w:r>
      <w:r>
        <w:rPr>
          <w:i/>
          <w:szCs w:val="21"/>
          <w:u w:val="single"/>
        </w:rPr>
        <w:t>成交人不得将</w:t>
      </w:r>
      <w:r>
        <w:rPr>
          <w:rFonts w:hint="eastAsia"/>
          <w:i/>
          <w:szCs w:val="21"/>
          <w:u w:val="single"/>
        </w:rPr>
        <w:t>工程</w:t>
      </w:r>
      <w:r>
        <w:rPr>
          <w:i/>
          <w:szCs w:val="21"/>
          <w:u w:val="single"/>
        </w:rPr>
        <w:t>进行转包，</w:t>
      </w:r>
      <w:r>
        <w:rPr>
          <w:szCs w:val="21"/>
        </w:rPr>
        <w:t>否则采购人有权终止合同。造成采购人损失的，成交人应承担相应赔偿责任。</w:t>
      </w:r>
    </w:p>
    <w:p w14:paraId="744DD967">
      <w:pPr>
        <w:tabs>
          <w:tab w:val="left" w:pos="900"/>
        </w:tabs>
        <w:spacing w:line="360" w:lineRule="auto"/>
        <w:ind w:firstLine="420" w:firstLineChars="200"/>
        <w:rPr>
          <w:szCs w:val="21"/>
          <w:highlight w:val="none"/>
        </w:rPr>
      </w:pPr>
      <w:r>
        <w:rPr>
          <w:szCs w:val="21"/>
          <w:highlight w:val="none"/>
        </w:rPr>
        <w:t>2、履约保证金</w:t>
      </w:r>
      <w:r>
        <w:rPr>
          <w:rFonts w:hint="eastAsia"/>
          <w:szCs w:val="21"/>
          <w:highlight w:val="none"/>
          <w:lang w:eastAsia="zh-CN"/>
        </w:rPr>
        <w:t>：</w:t>
      </w:r>
      <w:r>
        <w:rPr>
          <w:rFonts w:hint="eastAsia"/>
          <w:szCs w:val="21"/>
          <w:highlight w:val="none"/>
          <w:lang w:val="en-US" w:eastAsia="zh-CN"/>
        </w:rPr>
        <w:t>详见合同条款。</w:t>
      </w:r>
    </w:p>
    <w:p w14:paraId="699A39FA">
      <w:pPr>
        <w:pStyle w:val="2"/>
        <w:keepNext/>
        <w:keepLines/>
        <w:pageBreakBefore w:val="0"/>
        <w:widowControl w:val="0"/>
        <w:kinsoku/>
        <w:wordWrap/>
        <w:overflowPunct/>
        <w:topLinePunct w:val="0"/>
        <w:autoSpaceDE/>
        <w:autoSpaceDN/>
        <w:bidi w:val="0"/>
        <w:adjustRightInd/>
        <w:snapToGrid/>
        <w:spacing w:before="0" w:after="0" w:line="579" w:lineRule="auto"/>
        <w:jc w:val="center"/>
        <w:textAlignment w:val="auto"/>
        <w:rPr>
          <w:bCs w:val="0"/>
        </w:rPr>
      </w:pPr>
      <w:bookmarkStart w:id="115" w:name="_Toc497145841"/>
      <w:r>
        <w:rPr>
          <w:sz w:val="36"/>
        </w:rPr>
        <w:br w:type="page"/>
      </w:r>
      <w:bookmarkStart w:id="116" w:name="_Toc16389"/>
      <w:r>
        <w:rPr>
          <w:sz w:val="36"/>
        </w:rPr>
        <w:t>第三章 合同条款及格式</w:t>
      </w:r>
      <w:bookmarkEnd w:id="115"/>
      <w:bookmarkEnd w:id="116"/>
      <w:bookmarkStart w:id="117" w:name="_Toc497145842"/>
    </w:p>
    <w:p w14:paraId="1E58B647">
      <w:pPr>
        <w:pStyle w:val="114"/>
        <w:pageBreakBefore w:val="0"/>
        <w:spacing w:beforeAutospacing="0" w:afterAutospacing="0"/>
        <w:ind w:left="0"/>
        <w:jc w:val="center"/>
        <w:rPr>
          <w:rFonts w:hint="eastAsia" w:ascii="宋体" w:hAnsi="宋体" w:cs="宋体"/>
          <w:b/>
          <w:color w:val="000000"/>
          <w:sz w:val="72"/>
          <w:szCs w:val="52"/>
          <w:highlight w:val="none"/>
        </w:rPr>
      </w:pPr>
      <w:bookmarkStart w:id="118" w:name="_Toc22000611"/>
      <w:bookmarkStart w:id="119" w:name="_Toc92168040"/>
      <w:bookmarkStart w:id="120" w:name="_Toc16602"/>
      <w:bookmarkStart w:id="121" w:name="_Toc31575"/>
    </w:p>
    <w:p w14:paraId="2385A363">
      <w:pPr>
        <w:pStyle w:val="114"/>
        <w:pageBreakBefore w:val="0"/>
        <w:spacing w:beforeAutospacing="0" w:afterAutospacing="0"/>
        <w:ind w:left="0"/>
        <w:jc w:val="center"/>
        <w:rPr>
          <w:rFonts w:hint="eastAsia" w:ascii="宋体" w:hAnsi="宋体" w:cs="宋体"/>
          <w:b/>
          <w:color w:val="000000"/>
          <w:sz w:val="72"/>
          <w:szCs w:val="52"/>
          <w:highlight w:val="none"/>
        </w:rPr>
      </w:pPr>
    </w:p>
    <w:p w14:paraId="6862C9AD">
      <w:pPr>
        <w:pStyle w:val="114"/>
        <w:pageBreakBefore w:val="0"/>
        <w:spacing w:beforeAutospacing="0" w:afterAutospacing="0"/>
        <w:ind w:left="0"/>
        <w:jc w:val="center"/>
        <w:rPr>
          <w:rFonts w:hint="eastAsia" w:ascii="宋体" w:hAnsi="宋体" w:cs="宋体"/>
          <w:b/>
          <w:color w:val="000000"/>
          <w:sz w:val="72"/>
          <w:szCs w:val="52"/>
          <w:highlight w:val="none"/>
        </w:rPr>
      </w:pPr>
    </w:p>
    <w:p w14:paraId="55E96810">
      <w:pPr>
        <w:pStyle w:val="114"/>
        <w:pageBreakBefore w:val="0"/>
        <w:spacing w:beforeAutospacing="0" w:afterAutospacing="0"/>
        <w:ind w:left="0"/>
        <w:jc w:val="center"/>
        <w:rPr>
          <w:rFonts w:hint="eastAsia" w:ascii="宋体" w:hAnsi="宋体" w:cs="宋体"/>
          <w:b/>
          <w:color w:val="000000"/>
          <w:sz w:val="72"/>
          <w:szCs w:val="52"/>
          <w:highlight w:val="none"/>
        </w:rPr>
      </w:pPr>
    </w:p>
    <w:p w14:paraId="53405DA2">
      <w:pPr>
        <w:pStyle w:val="114"/>
        <w:pageBreakBefore w:val="0"/>
        <w:spacing w:beforeAutospacing="0" w:afterAutospacing="0"/>
        <w:ind w:left="0"/>
        <w:jc w:val="center"/>
        <w:rPr>
          <w:rFonts w:hint="eastAsia" w:ascii="宋体" w:hAnsi="宋体" w:cs="宋体"/>
          <w:b/>
          <w:color w:val="000000"/>
          <w:sz w:val="52"/>
          <w:szCs w:val="52"/>
          <w:highlight w:val="none"/>
        </w:rPr>
      </w:pPr>
      <w:r>
        <w:rPr>
          <w:rFonts w:hint="eastAsia" w:ascii="宋体" w:hAnsi="宋体" w:cs="宋体"/>
          <w:b/>
          <w:color w:val="000000"/>
          <w:sz w:val="72"/>
          <w:szCs w:val="52"/>
          <w:highlight w:val="none"/>
        </w:rPr>
        <w:t>建设工程施工合同</w:t>
      </w:r>
    </w:p>
    <w:p w14:paraId="3DFD47D3">
      <w:pPr>
        <w:spacing w:line="460" w:lineRule="exact"/>
        <w:ind w:firstLine="735" w:firstLineChars="350"/>
        <w:outlineLvl w:val="1"/>
        <w:rPr>
          <w:rFonts w:hint="eastAsia" w:ascii="宋体" w:hAnsi="宋体" w:cs="宋体"/>
          <w:szCs w:val="21"/>
          <w:u w:val="single"/>
        </w:rPr>
      </w:pPr>
    </w:p>
    <w:p w14:paraId="500B0FC8">
      <w:pPr>
        <w:spacing w:line="460" w:lineRule="exact"/>
        <w:ind w:firstLine="735" w:firstLineChars="350"/>
        <w:outlineLvl w:val="1"/>
        <w:rPr>
          <w:rFonts w:hint="eastAsia" w:ascii="宋体" w:hAnsi="宋体" w:cs="宋体"/>
          <w:szCs w:val="21"/>
          <w:u w:val="single"/>
        </w:rPr>
      </w:pPr>
    </w:p>
    <w:p w14:paraId="6C0E2257">
      <w:pPr>
        <w:spacing w:line="460" w:lineRule="exact"/>
        <w:ind w:firstLine="735" w:firstLineChars="350"/>
        <w:outlineLvl w:val="1"/>
        <w:rPr>
          <w:rFonts w:hint="eastAsia" w:ascii="宋体" w:hAnsi="宋体" w:cs="宋体"/>
          <w:szCs w:val="21"/>
          <w:u w:val="single"/>
        </w:rPr>
      </w:pPr>
    </w:p>
    <w:p w14:paraId="6BEC01A6">
      <w:pPr>
        <w:spacing w:line="460" w:lineRule="exact"/>
        <w:ind w:firstLine="735" w:firstLineChars="350"/>
        <w:outlineLvl w:val="1"/>
        <w:rPr>
          <w:rFonts w:hint="eastAsia" w:ascii="宋体" w:hAnsi="宋体" w:cs="宋体"/>
          <w:szCs w:val="21"/>
          <w:u w:val="single"/>
        </w:rPr>
      </w:pPr>
    </w:p>
    <w:p w14:paraId="652231E8">
      <w:pPr>
        <w:spacing w:line="460" w:lineRule="exact"/>
        <w:ind w:firstLine="735" w:firstLineChars="350"/>
        <w:outlineLvl w:val="1"/>
        <w:rPr>
          <w:rFonts w:hint="eastAsia" w:ascii="宋体" w:hAnsi="宋体" w:cs="宋体"/>
          <w:szCs w:val="21"/>
          <w:u w:val="single"/>
        </w:rPr>
      </w:pPr>
    </w:p>
    <w:p w14:paraId="1EEA74E9">
      <w:pPr>
        <w:spacing w:line="460" w:lineRule="exact"/>
        <w:ind w:firstLine="735" w:firstLineChars="350"/>
        <w:outlineLvl w:val="1"/>
        <w:rPr>
          <w:rFonts w:hint="eastAsia" w:ascii="宋体" w:hAnsi="宋体" w:cs="宋体"/>
          <w:szCs w:val="21"/>
          <w:u w:val="single"/>
        </w:rPr>
      </w:pPr>
    </w:p>
    <w:p w14:paraId="2AC41A29">
      <w:pPr>
        <w:spacing w:line="460" w:lineRule="exact"/>
        <w:ind w:firstLine="735" w:firstLineChars="350"/>
        <w:outlineLvl w:val="1"/>
        <w:rPr>
          <w:rFonts w:hint="eastAsia" w:ascii="宋体" w:hAnsi="宋体" w:cs="宋体"/>
          <w:szCs w:val="21"/>
          <w:u w:val="single"/>
        </w:rPr>
      </w:pPr>
    </w:p>
    <w:p w14:paraId="2A684969">
      <w:pPr>
        <w:spacing w:line="460" w:lineRule="exact"/>
        <w:ind w:firstLine="735" w:firstLineChars="350"/>
        <w:outlineLvl w:val="1"/>
        <w:rPr>
          <w:rFonts w:hint="eastAsia" w:ascii="宋体" w:hAnsi="宋体" w:cs="宋体"/>
          <w:szCs w:val="21"/>
          <w:u w:val="single"/>
        </w:rPr>
      </w:pPr>
    </w:p>
    <w:p w14:paraId="3E5E427F">
      <w:pPr>
        <w:spacing w:line="460" w:lineRule="exact"/>
        <w:ind w:firstLine="735" w:firstLineChars="350"/>
        <w:outlineLvl w:val="1"/>
        <w:rPr>
          <w:rFonts w:hint="eastAsia" w:ascii="宋体" w:hAnsi="宋体" w:cs="宋体"/>
          <w:szCs w:val="21"/>
          <w:u w:val="single"/>
        </w:rPr>
      </w:pPr>
    </w:p>
    <w:p w14:paraId="0D7DE2B6">
      <w:pPr>
        <w:spacing w:line="460" w:lineRule="exact"/>
        <w:ind w:firstLine="735" w:firstLineChars="350"/>
        <w:outlineLvl w:val="1"/>
        <w:rPr>
          <w:rFonts w:hint="eastAsia" w:ascii="宋体" w:hAnsi="宋体" w:cs="宋体"/>
          <w:szCs w:val="21"/>
          <w:u w:val="single"/>
        </w:rPr>
      </w:pPr>
    </w:p>
    <w:p w14:paraId="332A5F94">
      <w:pPr>
        <w:spacing w:line="460" w:lineRule="exact"/>
        <w:ind w:firstLine="735" w:firstLineChars="350"/>
        <w:outlineLvl w:val="1"/>
        <w:rPr>
          <w:rFonts w:hint="eastAsia" w:ascii="宋体" w:hAnsi="宋体" w:cs="宋体"/>
          <w:szCs w:val="21"/>
          <w:u w:val="single"/>
        </w:rPr>
      </w:pPr>
    </w:p>
    <w:p w14:paraId="74031E30">
      <w:pPr>
        <w:spacing w:line="460" w:lineRule="exact"/>
        <w:ind w:firstLine="735" w:firstLineChars="350"/>
        <w:outlineLvl w:val="1"/>
        <w:rPr>
          <w:rFonts w:hint="eastAsia" w:ascii="宋体" w:hAnsi="宋体" w:cs="宋体"/>
          <w:szCs w:val="21"/>
          <w:u w:val="single"/>
        </w:rPr>
      </w:pPr>
    </w:p>
    <w:p w14:paraId="6E5415AB">
      <w:pPr>
        <w:spacing w:line="460" w:lineRule="exact"/>
        <w:ind w:firstLine="735" w:firstLineChars="350"/>
        <w:outlineLvl w:val="1"/>
        <w:rPr>
          <w:rFonts w:hint="eastAsia" w:ascii="宋体" w:hAnsi="宋体" w:cs="宋体"/>
          <w:szCs w:val="21"/>
          <w:u w:val="single"/>
        </w:rPr>
      </w:pPr>
    </w:p>
    <w:p w14:paraId="34C3DCD9">
      <w:pPr>
        <w:spacing w:line="460" w:lineRule="exact"/>
        <w:ind w:firstLine="735" w:firstLineChars="350"/>
        <w:outlineLvl w:val="1"/>
        <w:rPr>
          <w:rFonts w:hint="eastAsia" w:ascii="宋体" w:hAnsi="宋体" w:cs="宋体"/>
          <w:szCs w:val="21"/>
          <w:u w:val="single"/>
        </w:rPr>
      </w:pPr>
    </w:p>
    <w:p w14:paraId="0018A760">
      <w:pPr>
        <w:spacing w:line="460" w:lineRule="exact"/>
        <w:ind w:firstLine="735" w:firstLineChars="350"/>
        <w:outlineLvl w:val="1"/>
        <w:rPr>
          <w:rFonts w:hint="eastAsia" w:ascii="宋体" w:hAnsi="宋体" w:cs="宋体"/>
          <w:szCs w:val="21"/>
          <w:u w:val="single"/>
        </w:rPr>
      </w:pPr>
    </w:p>
    <w:p w14:paraId="02781856">
      <w:pPr>
        <w:spacing w:line="460" w:lineRule="exact"/>
        <w:ind w:firstLine="735" w:firstLineChars="350"/>
        <w:outlineLvl w:val="1"/>
        <w:rPr>
          <w:rFonts w:hint="eastAsia" w:ascii="宋体" w:hAnsi="宋体" w:cs="宋体"/>
          <w:szCs w:val="21"/>
          <w:u w:val="single"/>
        </w:rPr>
      </w:pPr>
    </w:p>
    <w:p w14:paraId="0D4AAD43">
      <w:pPr>
        <w:spacing w:line="460" w:lineRule="exact"/>
        <w:ind w:firstLine="735" w:firstLineChars="350"/>
        <w:outlineLvl w:val="1"/>
        <w:rPr>
          <w:rFonts w:hint="eastAsia" w:ascii="宋体" w:hAnsi="宋体" w:cs="宋体"/>
          <w:szCs w:val="21"/>
          <w:u w:val="single"/>
        </w:rPr>
      </w:pPr>
    </w:p>
    <w:p w14:paraId="1F8FB2B6">
      <w:pPr>
        <w:spacing w:line="460" w:lineRule="exact"/>
        <w:ind w:firstLine="735" w:firstLineChars="350"/>
        <w:outlineLvl w:val="1"/>
        <w:rPr>
          <w:rFonts w:hint="eastAsia" w:ascii="宋体" w:hAnsi="宋体" w:cs="宋体"/>
          <w:szCs w:val="21"/>
          <w:u w:val="single"/>
        </w:rPr>
      </w:pPr>
    </w:p>
    <w:p w14:paraId="5D09590B">
      <w:pPr>
        <w:keepNext w:val="0"/>
        <w:keepLines w:val="0"/>
        <w:pageBreakBefore w:val="0"/>
        <w:widowControl w:val="0"/>
        <w:tabs>
          <w:tab w:val="left" w:pos="0"/>
          <w:tab w:val="left" w:pos="1134"/>
        </w:tabs>
        <w:spacing w:beforeAutospacing="0" w:afterAutospacing="0" w:line="360" w:lineRule="auto"/>
        <w:ind w:left="0" w:right="0" w:firstLine="723"/>
        <w:jc w:val="center"/>
        <w:outlineLvl w:val="0"/>
        <w:rPr>
          <w:rFonts w:hint="eastAsia" w:ascii="宋体" w:hAnsi="宋体" w:eastAsia="宋体" w:cs="宋体"/>
          <w:b/>
          <w:color w:val="000000"/>
          <w:sz w:val="28"/>
          <w:szCs w:val="28"/>
          <w:highlight w:val="none"/>
        </w:rPr>
      </w:pPr>
      <w:r>
        <w:rPr>
          <w:rFonts w:hint="eastAsia" w:ascii="宋体" w:hAnsi="宋体" w:eastAsia="宋体" w:cs="宋体"/>
          <w:b/>
          <w:bCs/>
          <w:color w:val="000000"/>
          <w:sz w:val="32"/>
          <w:szCs w:val="32"/>
          <w:highlight w:val="none"/>
          <w:lang w:val="en-US" w:eastAsia="zh-CN" w:bidi="ar-SA"/>
        </w:rPr>
        <w:t>第一部分协议书</w:t>
      </w:r>
    </w:p>
    <w:p w14:paraId="0F15A272">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合同编号:</w:t>
      </w:r>
    </w:p>
    <w:p w14:paraId="7E235025">
      <w:pPr>
        <w:keepNext w:val="0"/>
        <w:keepLines w:val="0"/>
        <w:pageBreakBefore w:val="0"/>
        <w:widowControl w:val="0"/>
        <w:tabs>
          <w:tab w:val="left" w:pos="426"/>
          <w:tab w:val="left" w:pos="1134"/>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color w:val="000000"/>
          <w:sz w:val="21"/>
          <w:szCs w:val="21"/>
          <w:highlight w:val="none"/>
          <w:lang w:eastAsia="zh-CN"/>
        </w:rPr>
        <w:t>扬州大学附属医院</w:t>
      </w:r>
    </w:p>
    <w:p w14:paraId="18391F69">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承包人：</w:t>
      </w:r>
    </w:p>
    <w:p w14:paraId="56CB74D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发包人承包人双方根据《中华人民共和国民法典》等相关法律法规，遵循平等、自愿、公平、诚实信用的原则</w:t>
      </w:r>
      <w:r>
        <w:rPr>
          <w:rFonts w:hint="eastAsia" w:ascii="宋体" w:hAnsi="宋体" w:eastAsia="宋体" w:cs="宋体"/>
          <w:b w:val="0"/>
          <w:bCs w:val="0"/>
          <w:color w:val="000000"/>
          <w:sz w:val="21"/>
          <w:szCs w:val="21"/>
          <w:highlight w:val="none"/>
        </w:rPr>
        <w:t>，就</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cs="宋体"/>
          <w:b w:val="0"/>
          <w:bCs w:val="0"/>
          <w:color w:val="000000"/>
          <w:sz w:val="21"/>
          <w:szCs w:val="21"/>
          <w:highlight w:val="none"/>
          <w:u w:val="single"/>
          <w:lang w:val="en-US" w:eastAsia="zh-CN"/>
        </w:rPr>
        <w:t>扬州大学附属医院东西区防坠网安装（二次）</w:t>
      </w:r>
      <w:r>
        <w:rPr>
          <w:rFonts w:hint="eastAsia" w:ascii="宋体" w:hAnsi="宋体" w:eastAsia="宋体" w:cs="宋体"/>
          <w:b w:val="0"/>
          <w:bCs w:val="0"/>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，经发包人承包人双方友好协商签订以下合同：</w:t>
      </w:r>
    </w:p>
    <w:p w14:paraId="320DBF1A">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一、工程概况</w:t>
      </w:r>
    </w:p>
    <w:p w14:paraId="56609C67">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bCs/>
          <w:color w:val="000000"/>
          <w:sz w:val="21"/>
          <w:szCs w:val="21"/>
          <w:highlight w:val="none"/>
          <w:lang w:eastAsia="zh-CN"/>
        </w:rPr>
      </w:pPr>
      <w:r>
        <w:rPr>
          <w:rFonts w:hint="eastAsia" w:ascii="宋体" w:hAnsi="宋体" w:eastAsia="宋体" w:cs="宋体"/>
          <w:color w:val="000000"/>
          <w:sz w:val="21"/>
          <w:szCs w:val="21"/>
          <w:highlight w:val="none"/>
        </w:rPr>
        <w:t>1.1工程名称：</w:t>
      </w:r>
      <w:r>
        <w:rPr>
          <w:rFonts w:hint="eastAsia" w:ascii="宋体" w:hAnsi="宋体" w:cs="宋体"/>
          <w:color w:val="000000"/>
          <w:sz w:val="21"/>
          <w:szCs w:val="21"/>
          <w:highlight w:val="none"/>
          <w:lang w:eastAsia="zh-CN"/>
        </w:rPr>
        <w:t>扬州大学附属医院东西区防坠网安装（二次）</w:t>
      </w:r>
    </w:p>
    <w:p w14:paraId="2CF5B0E2">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1.2工程地点：扬州大学附属医院附属医院西区7、8号楼、东区医院1、5、6、7号楼</w:t>
      </w:r>
    </w:p>
    <w:p w14:paraId="2726D630">
      <w:pPr>
        <w:keepNext w:val="0"/>
        <w:keepLines w:val="0"/>
        <w:pageBreakBefore w:val="0"/>
        <w:widowControl w:val="0"/>
        <w:tabs>
          <w:tab w:val="left" w:pos="426"/>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1.3主要工程项目和内容： </w:t>
      </w:r>
    </w:p>
    <w:p w14:paraId="08F4D1E7">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color w:val="000000"/>
          <w:sz w:val="21"/>
          <w:szCs w:val="21"/>
          <w:highlight w:val="none"/>
          <w:lang w:val="en-US" w:eastAsia="zh-CN"/>
        </w:rPr>
      </w:pPr>
      <w:r>
        <w:rPr>
          <w:rFonts w:hint="eastAsia" w:ascii="宋体" w:hAnsi="宋体" w:eastAsia="宋体" w:cs="宋体"/>
          <w:b/>
          <w:color w:val="auto"/>
          <w:sz w:val="21"/>
          <w:szCs w:val="21"/>
          <w:highlight w:val="none"/>
        </w:rPr>
        <w:t>详见</w:t>
      </w:r>
      <w:r>
        <w:rPr>
          <w:rFonts w:hint="eastAsia" w:ascii="宋体" w:hAnsi="宋体" w:cs="宋体"/>
          <w:b/>
          <w:color w:val="auto"/>
          <w:sz w:val="21"/>
          <w:szCs w:val="21"/>
          <w:highlight w:val="none"/>
          <w:lang w:val="en-US" w:eastAsia="zh-CN"/>
        </w:rPr>
        <w:t>工程量清单、</w:t>
      </w:r>
      <w:r>
        <w:rPr>
          <w:rFonts w:hint="eastAsia" w:ascii="宋体" w:hAnsi="宋体" w:eastAsia="宋体" w:cs="宋体"/>
          <w:b/>
          <w:color w:val="auto"/>
          <w:sz w:val="21"/>
          <w:szCs w:val="21"/>
          <w:highlight w:val="none"/>
        </w:rPr>
        <w:t>图纸及本施工要求</w:t>
      </w:r>
      <w:r>
        <w:rPr>
          <w:rFonts w:hint="eastAsia" w:ascii="宋体" w:hAnsi="宋体" w:eastAsia="宋体" w:cs="宋体"/>
          <w:b/>
          <w:color w:val="000000"/>
          <w:sz w:val="21"/>
          <w:szCs w:val="21"/>
          <w:highlight w:val="none"/>
        </w:rPr>
        <w:t>。</w:t>
      </w:r>
      <w:r>
        <w:rPr>
          <w:rFonts w:hint="eastAsia" w:ascii="宋体" w:hAnsi="宋体" w:eastAsia="宋体" w:cs="宋体"/>
          <w:color w:val="000000"/>
          <w:sz w:val="21"/>
          <w:szCs w:val="21"/>
          <w:highlight w:val="none"/>
        </w:rPr>
        <w:t>按照图纸所示内容施工，若因发包人要求增加，增加部分的工程量按实际增加工作量签证另行计算。</w:t>
      </w:r>
    </w:p>
    <w:p w14:paraId="4AE27EB7">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1.4资金来源</w:t>
      </w:r>
      <w:r>
        <w:rPr>
          <w:rFonts w:hint="eastAsia" w:ascii="宋体" w:hAnsi="宋体" w:eastAsia="宋体" w:cs="宋体"/>
          <w:color w:val="auto"/>
          <w:sz w:val="21"/>
          <w:szCs w:val="21"/>
          <w:highlight w:val="none"/>
        </w:rPr>
        <w:t>：自筹。</w:t>
      </w:r>
    </w:p>
    <w:p w14:paraId="703C0AD4">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二、合同工期</w:t>
      </w:r>
    </w:p>
    <w:p w14:paraId="3BCD238D">
      <w:pPr>
        <w:pStyle w:val="115"/>
        <w:keepNext w:val="0"/>
        <w:keepLines w:val="0"/>
        <w:pageBreakBefore w:val="0"/>
        <w:widowControl w:val="0"/>
        <w:tabs>
          <w:tab w:val="left" w:pos="426"/>
        </w:tabs>
        <w:spacing w:beforeAutospacing="0" w:afterAutospacing="0" w:line="360" w:lineRule="auto"/>
        <w:ind w:left="0" w:right="0" w:firstLine="420"/>
        <w:contextualSpacing/>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45日历天。成交单位施工期间，不得以材料设备等订货周期不够等借口要求延长工期，必须采取各种措施保质保量坚决完成本次项目</w:t>
      </w:r>
      <w:r>
        <w:rPr>
          <w:rFonts w:hint="eastAsia" w:ascii="宋体" w:hAnsi="宋体" w:eastAsia="宋体" w:cs="宋体"/>
          <w:color w:val="auto"/>
          <w:sz w:val="21"/>
          <w:szCs w:val="21"/>
          <w:highlight w:val="none"/>
          <w:lang w:eastAsia="zh-CN"/>
        </w:rPr>
        <w:t>。</w:t>
      </w:r>
    </w:p>
    <w:p w14:paraId="3FA0BA5B">
      <w:pPr>
        <w:pStyle w:val="115"/>
        <w:keepNext w:val="0"/>
        <w:keepLines w:val="0"/>
        <w:pageBreakBefore w:val="0"/>
        <w:widowControl w:val="0"/>
        <w:tabs>
          <w:tab w:val="left" w:pos="426"/>
        </w:tabs>
        <w:spacing w:beforeAutospacing="0" w:afterAutospacing="0" w:line="360" w:lineRule="auto"/>
        <w:ind w:left="0" w:right="0" w:firstLine="452"/>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pacing w:val="8"/>
          <w:sz w:val="21"/>
          <w:szCs w:val="21"/>
          <w:highlight w:val="none"/>
        </w:rPr>
        <w:t>2.2开工日期为</w:t>
      </w:r>
      <w:r>
        <w:rPr>
          <w:rFonts w:hint="eastAsia" w:ascii="宋体" w:hAnsi="宋体" w:eastAsia="宋体" w:cs="宋体"/>
          <w:color w:val="000000"/>
          <w:spacing w:val="8"/>
          <w:sz w:val="21"/>
          <w:szCs w:val="21"/>
          <w:highlight w:val="none"/>
          <w:lang w:eastAsia="zh-CN"/>
        </w:rPr>
        <w:t>：</w:t>
      </w:r>
      <w:r>
        <w:rPr>
          <w:rFonts w:hint="eastAsia" w:ascii="宋体" w:hAnsi="宋体" w:eastAsia="宋体" w:cs="宋体"/>
          <w:color w:val="000000"/>
          <w:spacing w:val="8"/>
          <w:sz w:val="21"/>
          <w:szCs w:val="21"/>
          <w:highlight w:val="none"/>
        </w:rPr>
        <w:t>20</w:t>
      </w:r>
      <w:r>
        <w:rPr>
          <w:rFonts w:hint="eastAsia" w:ascii="宋体" w:hAnsi="宋体" w:eastAsia="宋体" w:cs="宋体"/>
          <w:color w:val="000000"/>
          <w:spacing w:val="8"/>
          <w:sz w:val="21"/>
          <w:szCs w:val="21"/>
          <w:highlight w:val="none"/>
          <w:lang w:val="en-US" w:eastAsia="zh-CN"/>
        </w:rPr>
        <w:t>2</w:t>
      </w:r>
      <w:r>
        <w:rPr>
          <w:rFonts w:hint="eastAsia" w:ascii="宋体" w:hAnsi="宋体" w:eastAsia="宋体" w:cs="宋体"/>
          <w:color w:val="000000"/>
          <w:spacing w:val="8"/>
          <w:sz w:val="21"/>
          <w:szCs w:val="21"/>
          <w:highlight w:val="none"/>
          <w:u w:val="single"/>
          <w:lang w:val="en-US" w:eastAsia="zh-CN"/>
        </w:rPr>
        <w:t xml:space="preserve">   </w:t>
      </w:r>
      <w:r>
        <w:rPr>
          <w:rFonts w:hint="eastAsia" w:ascii="宋体" w:hAnsi="宋体" w:eastAsia="宋体" w:cs="宋体"/>
          <w:color w:val="000000"/>
          <w:spacing w:val="8"/>
          <w:sz w:val="21"/>
          <w:szCs w:val="21"/>
          <w:highlight w:val="none"/>
        </w:rPr>
        <w:t>年</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月</w:t>
      </w:r>
      <w:r>
        <w:rPr>
          <w:rFonts w:hint="eastAsia" w:ascii="宋体" w:hAnsi="宋体" w:eastAsia="宋体" w:cs="宋体"/>
          <w:color w:val="000000"/>
          <w:spacing w:val="8"/>
          <w:sz w:val="21"/>
          <w:szCs w:val="21"/>
          <w:highlight w:val="none"/>
          <w:lang w:val="en-US" w:eastAsia="zh-CN"/>
        </w:rPr>
        <w:t xml:space="preserve">  </w:t>
      </w:r>
      <w:r>
        <w:rPr>
          <w:rFonts w:hint="eastAsia" w:ascii="宋体" w:hAnsi="宋体" w:eastAsia="宋体" w:cs="宋体"/>
          <w:color w:val="000000"/>
          <w:spacing w:val="8"/>
          <w:sz w:val="21"/>
          <w:szCs w:val="21"/>
          <w:highlight w:val="none"/>
        </w:rPr>
        <w:t>日（以发包人开工令为准）。</w:t>
      </w:r>
    </w:p>
    <w:p w14:paraId="7A48A78F">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三、质量标准</w:t>
      </w:r>
    </w:p>
    <w:p w14:paraId="11B14214">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3.1质量要求：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CAC8301">
      <w:pPr>
        <w:pStyle w:val="78"/>
        <w:keepNext w:val="0"/>
        <w:keepLines w:val="0"/>
        <w:pageBreakBefore w:val="0"/>
        <w:widowControl w:val="0"/>
        <w:tabs>
          <w:tab w:val="left" w:pos="426"/>
        </w:tabs>
        <w:spacing w:before="0" w:beforeAutospacing="0" w:after="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四、合同价款</w:t>
      </w:r>
    </w:p>
    <w:p w14:paraId="50AFB43F">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4.1合同价为：人民币（大写）: </w:t>
      </w:r>
      <w:r>
        <w:rPr>
          <w:rFonts w:hint="eastAsia" w:ascii="宋体" w:hAnsi="宋体" w:cs="宋体"/>
          <w:b/>
          <w:color w:val="000000"/>
          <w:sz w:val="21"/>
          <w:szCs w:val="21"/>
          <w:highlight w:val="none"/>
          <w:u w:val="single"/>
          <w:lang w:val="en-US" w:eastAsia="zh-CN"/>
        </w:rPr>
        <w:t xml:space="preserve">                   </w:t>
      </w:r>
    </w:p>
    <w:p w14:paraId="3BC602C9">
      <w:pPr>
        <w:keepNext w:val="0"/>
        <w:keepLines w:val="0"/>
        <w:pageBreakBefore w:val="0"/>
        <w:widowControl w:val="0"/>
        <w:tabs>
          <w:tab w:val="left" w:pos="426"/>
        </w:tabs>
        <w:spacing w:beforeAutospacing="0" w:afterAutospacing="0" w:line="360" w:lineRule="auto"/>
        <w:ind w:left="0" w:right="0" w:firstLine="422"/>
        <w:contextualSpacing/>
        <w:rPr>
          <w:rFonts w:hint="default" w:ascii="宋体" w:hAnsi="宋体" w:eastAsia="宋体" w:cs="宋体"/>
          <w:b/>
          <w:color w:val="000000"/>
          <w:sz w:val="21"/>
          <w:szCs w:val="21"/>
          <w:highlight w:val="none"/>
          <w:u w:val="single"/>
          <w:lang w:val="en-US" w:eastAsia="zh-CN"/>
        </w:rPr>
      </w:pPr>
      <w:r>
        <w:rPr>
          <w:rFonts w:hint="eastAsia" w:ascii="宋体" w:hAnsi="宋体" w:eastAsia="宋体" w:cs="宋体"/>
          <w:b/>
          <w:color w:val="000000"/>
          <w:sz w:val="21"/>
          <w:szCs w:val="21"/>
          <w:highlight w:val="none"/>
        </w:rPr>
        <w:t xml:space="preserve">                     (小写)：</w:t>
      </w:r>
      <w:r>
        <w:rPr>
          <w:rFonts w:hint="eastAsia" w:ascii="宋体" w:hAnsi="宋体" w:eastAsia="宋体" w:cs="宋体"/>
          <w:b/>
          <w:color w:val="000000"/>
          <w:sz w:val="21"/>
          <w:szCs w:val="21"/>
          <w:highlight w:val="none"/>
          <w:u w:val="single"/>
        </w:rPr>
        <w:t xml:space="preserve"> </w:t>
      </w:r>
      <w:r>
        <w:rPr>
          <w:rFonts w:hint="eastAsia" w:ascii="宋体" w:hAnsi="宋体" w:cs="宋体"/>
          <w:b/>
          <w:color w:val="000000"/>
          <w:sz w:val="21"/>
          <w:szCs w:val="21"/>
          <w:highlight w:val="none"/>
          <w:u w:val="single"/>
          <w:lang w:val="en-US" w:eastAsia="zh-CN"/>
        </w:rPr>
        <w:t xml:space="preserve">                  </w:t>
      </w:r>
    </w:p>
    <w:p w14:paraId="20ABA541">
      <w:pPr>
        <w:keepNext w:val="0"/>
        <w:keepLines w:val="0"/>
        <w:pageBreakBefore w:val="0"/>
        <w:widowControl w:val="0"/>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（最终造价按审计部门审计造价进行结算。）</w:t>
      </w:r>
    </w:p>
    <w:p w14:paraId="3B8C34AC">
      <w:pPr>
        <w:keepNext w:val="0"/>
        <w:keepLines w:val="0"/>
        <w:pageBreakBefore w:val="0"/>
        <w:widowControl w:val="0"/>
        <w:numPr>
          <w:ilvl w:val="0"/>
          <w:numId w:val="4"/>
        </w:numPr>
        <w:tabs>
          <w:tab w:val="left" w:pos="426"/>
        </w:tabs>
        <w:spacing w:beforeAutospacing="0" w:afterAutospacing="0" w:line="360" w:lineRule="auto"/>
        <w:ind w:left="0" w:right="0" w:firstLine="422"/>
        <w:contextualSpacing/>
        <w:rPr>
          <w:rFonts w:hint="eastAsia" w:ascii="宋体" w:hAnsi="宋体" w:eastAsia="宋体" w:cs="宋体"/>
          <w:b/>
          <w:color w:val="000000"/>
          <w:sz w:val="21"/>
          <w:szCs w:val="21"/>
          <w:highlight w:val="none"/>
          <w:lang w:val="en-US" w:eastAsia="zh-CN"/>
        </w:rPr>
      </w:pPr>
      <w:r>
        <w:rPr>
          <w:rFonts w:hint="eastAsia" w:ascii="宋体" w:hAnsi="宋体" w:eastAsia="宋体" w:cs="宋体"/>
          <w:b/>
          <w:color w:val="000000"/>
          <w:sz w:val="21"/>
          <w:szCs w:val="21"/>
          <w:highlight w:val="none"/>
          <w:lang w:val="en-US" w:eastAsia="zh-CN"/>
        </w:rPr>
        <w:t>付款方式</w:t>
      </w:r>
    </w:p>
    <w:p w14:paraId="2D10E1F2">
      <w:pPr>
        <w:keepNext w:val="0"/>
        <w:keepLines w:val="0"/>
        <w:pageBreakBefore w:val="0"/>
        <w:widowControl w:val="0"/>
        <w:numPr>
          <w:ilvl w:val="0"/>
          <w:numId w:val="0"/>
        </w:numPr>
        <w:tabs>
          <w:tab w:val="left" w:pos="426"/>
        </w:tabs>
        <w:spacing w:beforeAutospacing="0" w:afterAutospacing="0" w:line="360" w:lineRule="auto"/>
        <w:ind w:left="0" w:right="0" w:firstLine="422"/>
        <w:contextualSpacing/>
        <w:rPr>
          <w:rFonts w:hint="eastAsia" w:ascii="宋体" w:hAnsi="宋体" w:eastAsia="宋体" w:cs="宋体"/>
          <w:b/>
          <w:color w:val="auto"/>
          <w:sz w:val="21"/>
          <w:szCs w:val="21"/>
          <w:highlight w:val="none"/>
          <w:lang w:val="en-US" w:eastAsia="zh-CN"/>
        </w:rPr>
      </w:pPr>
      <w:r>
        <w:rPr>
          <w:rFonts w:hint="eastAsia"/>
          <w:color w:val="auto"/>
          <w:szCs w:val="21"/>
          <w:highlight w:val="none"/>
        </w:rPr>
        <w:t>双方约定的工程款(进度款)支付的方式和时间:进场施工一周后付合同价10%，工程量施工过半付合同价30%，工程量全部结束付至合同价的60%，工程竣工验收合格并报送符合要求的工程结算审计资料且通过发包人初审、工程档案资料后付至合同价80％，工程结算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16EA88C6">
      <w:pPr>
        <w:keepNext w:val="0"/>
        <w:keepLines w:val="0"/>
        <w:pageBreakBefore w:val="0"/>
        <w:widowControl w:val="0"/>
        <w:tabs>
          <w:tab w:val="left" w:pos="426"/>
        </w:tabs>
        <w:spacing w:beforeAutospacing="0" w:afterAutospacing="0" w:line="360" w:lineRule="auto"/>
        <w:ind w:left="0" w:right="0" w:firstLine="422"/>
        <w:contextualSpacing/>
        <w:outlineLvl w:val="1"/>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lang w:val="en-US" w:eastAsia="zh-CN"/>
        </w:rPr>
        <w:t>六</w:t>
      </w:r>
      <w:r>
        <w:rPr>
          <w:rFonts w:hint="eastAsia" w:ascii="宋体" w:hAnsi="宋体" w:eastAsia="宋体" w:cs="宋体"/>
          <w:b/>
          <w:color w:val="000000"/>
          <w:sz w:val="21"/>
          <w:szCs w:val="21"/>
          <w:highlight w:val="none"/>
        </w:rPr>
        <w:t>、组成本合同的文件包括：</w:t>
      </w:r>
      <w:r>
        <w:rPr>
          <w:rFonts w:hint="eastAsia" w:ascii="宋体" w:hAnsi="宋体" w:eastAsia="宋体" w:cs="宋体"/>
          <w:color w:val="000000"/>
          <w:sz w:val="21"/>
          <w:szCs w:val="21"/>
          <w:highlight w:val="none"/>
        </w:rPr>
        <w:t>是合同不可分割的组成部分，与合同具有同样的法律效力。</w:t>
      </w:r>
    </w:p>
    <w:p w14:paraId="5C562A87">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.1合同协议书；</w:t>
      </w:r>
    </w:p>
    <w:p w14:paraId="21AB6060">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.2合同专用条款；</w:t>
      </w:r>
    </w:p>
    <w:p w14:paraId="4F198F0F">
      <w:pPr>
        <w:keepNext w:val="0"/>
        <w:keepLines w:val="0"/>
        <w:pageBreakBefore w:val="0"/>
        <w:widowControl w:val="0"/>
        <w:tabs>
          <w:tab w:val="left" w:pos="426"/>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.3合同通用条款；</w:t>
      </w:r>
    </w:p>
    <w:p w14:paraId="36A945C5">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.4</w:t>
      </w:r>
      <w:r>
        <w:rPr>
          <w:rFonts w:hint="eastAsia" w:ascii="宋体" w:hAnsi="宋体" w:cs="宋体"/>
          <w:color w:val="000000"/>
          <w:sz w:val="21"/>
          <w:szCs w:val="21"/>
          <w:highlight w:val="none"/>
          <w:lang w:val="en-US" w:eastAsia="zh-CN"/>
        </w:rPr>
        <w:t>采购</w:t>
      </w:r>
      <w:r>
        <w:rPr>
          <w:rFonts w:hint="eastAsia" w:ascii="宋体" w:hAnsi="宋体" w:eastAsia="宋体" w:cs="宋体"/>
          <w:color w:val="000000"/>
          <w:sz w:val="21"/>
          <w:szCs w:val="21"/>
          <w:highlight w:val="none"/>
        </w:rPr>
        <w:t>文件及补遗书及澄清答疑文件；</w:t>
      </w:r>
    </w:p>
    <w:p w14:paraId="7D8671B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.5</w:t>
      </w:r>
      <w:r>
        <w:rPr>
          <w:rFonts w:hint="eastAsia" w:ascii="宋体" w:hAnsi="宋体" w:cs="宋体"/>
          <w:color w:val="000000"/>
          <w:sz w:val="21"/>
          <w:szCs w:val="21"/>
          <w:highlight w:val="none"/>
          <w:lang w:val="en-US" w:eastAsia="zh-CN"/>
        </w:rPr>
        <w:t>响应</w:t>
      </w:r>
      <w:r>
        <w:rPr>
          <w:rFonts w:hint="eastAsia" w:ascii="宋体" w:hAnsi="宋体" w:eastAsia="宋体" w:cs="宋体"/>
          <w:color w:val="000000"/>
          <w:sz w:val="21"/>
          <w:szCs w:val="21"/>
          <w:highlight w:val="none"/>
        </w:rPr>
        <w:t>文件；</w:t>
      </w:r>
    </w:p>
    <w:p w14:paraId="399E67E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.6投标人投标时所作的申明、承诺、澄清及答复资料等；</w:t>
      </w:r>
    </w:p>
    <w:p w14:paraId="4C995BA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.7国家及行业规范标准、有关技术文件；</w:t>
      </w:r>
    </w:p>
    <w:p w14:paraId="74BCAB72">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8施工图纸；</w:t>
      </w:r>
    </w:p>
    <w:p w14:paraId="12DF509F">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.9工程报价单及预算书；</w:t>
      </w:r>
    </w:p>
    <w:p w14:paraId="5FB59711">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.10经双方确认的工程量清单；</w:t>
      </w:r>
    </w:p>
    <w:p w14:paraId="744C2DC6">
      <w:pPr>
        <w:keepNext w:val="0"/>
        <w:keepLines w:val="0"/>
        <w:pageBreakBefore w:val="0"/>
        <w:widowControl w:val="0"/>
        <w:tabs>
          <w:tab w:val="left" w:pos="3420"/>
        </w:tabs>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.11投标报价；</w:t>
      </w:r>
    </w:p>
    <w:p w14:paraId="3EAA35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合同履行中，双方有关工程的洽商、变更等书面协议或文件视为本合同的组成部分。</w:t>
      </w:r>
    </w:p>
    <w:p w14:paraId="65DB6B7E">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七</w:t>
      </w:r>
      <w:r>
        <w:rPr>
          <w:rFonts w:hint="eastAsia" w:ascii="宋体" w:hAnsi="宋体" w:eastAsia="宋体" w:cs="宋体"/>
          <w:b/>
          <w:color w:val="000000"/>
          <w:sz w:val="21"/>
          <w:szCs w:val="21"/>
          <w:highlight w:val="none"/>
        </w:rPr>
        <w:t>、本合同书中有关词语含义与本合同《通用条款》中分别赋予它们的定义相同。</w:t>
      </w:r>
    </w:p>
    <w:p w14:paraId="67E24C13">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八</w:t>
      </w:r>
      <w:r>
        <w:rPr>
          <w:rFonts w:hint="eastAsia" w:ascii="宋体" w:hAnsi="宋体" w:eastAsia="宋体" w:cs="宋体"/>
          <w:b/>
          <w:color w:val="000000"/>
          <w:sz w:val="21"/>
          <w:szCs w:val="21"/>
          <w:highlight w:val="none"/>
        </w:rPr>
        <w:t>、承包人向发包人承诺按照合同约定进行施工，并在质量保修期内承担工程质量的保修责任。</w:t>
      </w:r>
    </w:p>
    <w:p w14:paraId="1A56236C">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九</w:t>
      </w:r>
      <w:r>
        <w:rPr>
          <w:rFonts w:hint="eastAsia" w:ascii="宋体" w:hAnsi="宋体" w:eastAsia="宋体" w:cs="宋体"/>
          <w:b/>
          <w:color w:val="000000"/>
          <w:sz w:val="21"/>
          <w:szCs w:val="21"/>
          <w:highlight w:val="none"/>
        </w:rPr>
        <w:t>、发包人向承包人承诺按照合同约定的期限和方式支付合同价款及其他应当支付的款项。</w:t>
      </w:r>
    </w:p>
    <w:p w14:paraId="7096A19A">
      <w:pPr>
        <w:keepNext w:val="0"/>
        <w:keepLines w:val="0"/>
        <w:pageBreakBefore w:val="0"/>
        <w:widowControl w:val="0"/>
        <w:spacing w:beforeAutospacing="0" w:afterAutospacing="0" w:line="360" w:lineRule="auto"/>
        <w:ind w:left="0" w:right="0" w:firstLine="422"/>
        <w:contextualSpacing/>
        <w:outlineLvl w:val="1"/>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十</w:t>
      </w:r>
      <w:r>
        <w:rPr>
          <w:rFonts w:hint="eastAsia" w:ascii="宋体" w:hAnsi="宋体" w:eastAsia="宋体" w:cs="宋体"/>
          <w:b/>
          <w:color w:val="000000"/>
          <w:sz w:val="21"/>
          <w:szCs w:val="21"/>
          <w:highlight w:val="none"/>
        </w:rPr>
        <w:t>、合同生效</w:t>
      </w:r>
    </w:p>
    <w:p w14:paraId="142BF0E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.1合同订立时间：20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年</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月</w:t>
      </w:r>
      <w:r>
        <w:rPr>
          <w:rFonts w:hint="eastAsia" w:ascii="宋体" w:hAnsi="宋体" w:eastAsia="宋体" w:cs="宋体"/>
          <w:color w:val="000000"/>
          <w:sz w:val="21"/>
          <w:szCs w:val="21"/>
          <w:highlight w:val="none"/>
          <w:u w:val="single"/>
        </w:rPr>
        <w:t xml:space="preserve">    </w:t>
      </w:r>
      <w:r>
        <w:rPr>
          <w:rFonts w:hint="eastAsia" w:ascii="宋体" w:hAnsi="宋体" w:eastAsia="宋体" w:cs="宋体"/>
          <w:color w:val="000000"/>
          <w:sz w:val="21"/>
          <w:szCs w:val="21"/>
          <w:highlight w:val="none"/>
        </w:rPr>
        <w:t>日。</w:t>
      </w:r>
    </w:p>
    <w:p w14:paraId="55B2FA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.2合同订立地点：扬州大学附属医院。</w:t>
      </w:r>
    </w:p>
    <w:p w14:paraId="70AF71F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rPr>
        <w:t>.3本合同双方约定双方签字盖章后生效。</w:t>
      </w:r>
    </w:p>
    <w:p w14:paraId="3A74DA0D">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lang w:val="en-US" w:eastAsia="zh-CN"/>
        </w:rPr>
        <w:t>10</w:t>
      </w:r>
      <w:r>
        <w:rPr>
          <w:rFonts w:hint="eastAsia" w:ascii="宋体" w:hAnsi="宋体" w:eastAsia="宋体" w:cs="宋体"/>
          <w:bCs/>
          <w:color w:val="000000"/>
          <w:sz w:val="21"/>
          <w:szCs w:val="21"/>
          <w:highlight w:val="none"/>
        </w:rPr>
        <w:t>.4</w:t>
      </w:r>
      <w:r>
        <w:rPr>
          <w:rFonts w:hint="eastAsia" w:ascii="宋体" w:hAnsi="宋体" w:eastAsia="宋体" w:cs="宋体"/>
          <w:color w:val="000000"/>
          <w:sz w:val="21"/>
          <w:szCs w:val="21"/>
          <w:highlight w:val="none"/>
        </w:rPr>
        <w:t>本合同一式</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伍</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份，发包人方执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叁</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份，承包人方执</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b/>
          <w:bCs/>
          <w:color w:val="000000"/>
          <w:sz w:val="21"/>
          <w:szCs w:val="21"/>
          <w:highlight w:val="none"/>
          <w:u w:val="single"/>
        </w:rPr>
        <w:t>贰</w:t>
      </w:r>
      <w:r>
        <w:rPr>
          <w:rFonts w:hint="eastAsia" w:ascii="宋体" w:hAnsi="宋体" w:cs="宋体"/>
          <w:b/>
          <w:bCs/>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份。</w:t>
      </w:r>
    </w:p>
    <w:p w14:paraId="2E537D54">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Cs/>
          <w:color w:val="000000"/>
          <w:sz w:val="21"/>
          <w:szCs w:val="21"/>
          <w:highlight w:val="none"/>
        </w:rPr>
      </w:pPr>
    </w:p>
    <w:p w14:paraId="22FDD1FA">
      <w:pPr>
        <w:keepNext w:val="0"/>
        <w:keepLines w:val="0"/>
        <w:pageBreakBefore w:val="0"/>
        <w:widowControl w:val="0"/>
        <w:tabs>
          <w:tab w:val="left" w:pos="567"/>
        </w:tabs>
        <w:spacing w:beforeAutospacing="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bCs/>
          <w:color w:val="000000"/>
          <w:sz w:val="21"/>
          <w:szCs w:val="21"/>
          <w:highlight w:val="none"/>
        </w:rPr>
        <w:t>发包人：</w:t>
      </w:r>
      <w:r>
        <w:rPr>
          <w:rFonts w:hint="eastAsia" w:ascii="宋体" w:hAnsi="宋体" w:eastAsia="宋体" w:cs="宋体"/>
          <w:b/>
          <w:bCs/>
          <w:color w:val="000000"/>
          <w:sz w:val="21"/>
          <w:szCs w:val="21"/>
          <w:highlight w:val="none"/>
        </w:rPr>
        <w:t xml:space="preserve">扬州大学附属医院                </w:t>
      </w:r>
      <w:r>
        <w:rPr>
          <w:rFonts w:hint="eastAsia" w:ascii="宋体" w:hAnsi="宋体" w:eastAsia="宋体" w:cs="宋体"/>
          <w:bCs/>
          <w:color w:val="000000"/>
          <w:sz w:val="21"/>
          <w:szCs w:val="21"/>
          <w:highlight w:val="none"/>
        </w:rPr>
        <w:t>承包人：</w:t>
      </w:r>
      <w:r>
        <w:rPr>
          <w:rFonts w:hint="eastAsia" w:ascii="宋体" w:hAnsi="宋体" w:eastAsia="宋体" w:cs="宋体"/>
          <w:b/>
          <w:color w:val="000000"/>
          <w:sz w:val="21"/>
          <w:szCs w:val="21"/>
          <w:highlight w:val="none"/>
        </w:rPr>
        <w:t xml:space="preserve"> </w:t>
      </w:r>
    </w:p>
    <w:p w14:paraId="59DEEF3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 xml:space="preserve">            （盖章）                                （盖章）</w:t>
      </w:r>
    </w:p>
    <w:p w14:paraId="3409F75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法定代表人：                            法定代表人：</w:t>
      </w:r>
    </w:p>
    <w:p w14:paraId="7F9360CA">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（或授权签约人）：                      （或授权签约人）：</w:t>
      </w:r>
    </w:p>
    <w:p w14:paraId="40652AA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电话：                                  电话：</w:t>
      </w:r>
    </w:p>
    <w:p w14:paraId="7905C6CD">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传真：                                  传真：</w:t>
      </w:r>
    </w:p>
    <w:p w14:paraId="73335768">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地址：                                  地址：</w:t>
      </w:r>
    </w:p>
    <w:p w14:paraId="4890EBAF">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开户银行：                              开户银行：</w:t>
      </w:r>
    </w:p>
    <w:p w14:paraId="5C60604B">
      <w:pPr>
        <w:keepNext w:val="0"/>
        <w:keepLines w:val="0"/>
        <w:pageBreakBefore w:val="0"/>
        <w:widowControl w:val="0"/>
        <w:tabs>
          <w:tab w:val="left" w:pos="-235"/>
        </w:tabs>
        <w:spacing w:beforeAutospacing="0" w:afterAutospacing="0" w:line="360" w:lineRule="auto"/>
        <w:ind w:left="0" w:right="0" w:firstLine="420"/>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账号：                                  账号：</w:t>
      </w:r>
    </w:p>
    <w:p w14:paraId="73ACEE72">
      <w:pPr>
        <w:keepNext w:val="0"/>
        <w:keepLines w:val="0"/>
        <w:pageBreakBefore w:val="0"/>
        <w:widowControl w:val="0"/>
        <w:tabs>
          <w:tab w:val="left" w:pos="0"/>
          <w:tab w:val="left" w:pos="1134"/>
        </w:tabs>
        <w:spacing w:beforeAutospacing="0" w:afterAutospacing="0" w:line="360" w:lineRule="auto"/>
        <w:ind w:left="0" w:right="0" w:firstLine="422"/>
        <w:jc w:val="center"/>
        <w:outlineLvl w:val="0"/>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color w:val="000000"/>
          <w:sz w:val="21"/>
          <w:szCs w:val="21"/>
          <w:highlight w:val="none"/>
        </w:rPr>
        <w:br w:type="page" w:clear="all"/>
      </w:r>
      <w:r>
        <w:rPr>
          <w:rFonts w:hint="eastAsia" w:ascii="宋体" w:hAnsi="宋体" w:eastAsia="宋体" w:cs="宋体"/>
          <w:b/>
          <w:bCs/>
          <w:color w:val="000000"/>
          <w:sz w:val="32"/>
          <w:szCs w:val="32"/>
          <w:highlight w:val="none"/>
          <w:lang w:val="en-US" w:eastAsia="zh-CN" w:bidi="ar-SA"/>
        </w:rPr>
        <w:t>第二部分  通用条款</w:t>
      </w:r>
    </w:p>
    <w:p w14:paraId="2CBC7603">
      <w:pPr>
        <w:pStyle w:val="78"/>
        <w:keepNext w:val="0"/>
        <w:keepLines w:val="0"/>
        <w:pageBreakBefore w:val="0"/>
        <w:widowControl w:val="0"/>
        <w:spacing w:before="0" w:beforeAutospacing="0" w:after="0" w:afterAutospacing="0" w:line="360" w:lineRule="auto"/>
        <w:ind w:left="0" w:right="0" w:firstLine="643"/>
        <w:jc w:val="center"/>
        <w:rPr>
          <w:rFonts w:hint="eastAsia" w:ascii="宋体" w:hAnsi="宋体" w:eastAsia="宋体" w:cs="宋体"/>
          <w:b/>
          <w:bCs/>
          <w:color w:val="000000"/>
          <w:sz w:val="32"/>
          <w:szCs w:val="32"/>
          <w:highlight w:val="none"/>
          <w:lang w:val="en-US" w:eastAsia="zh-CN" w:bidi="ar-SA"/>
        </w:rPr>
      </w:pPr>
      <w:r>
        <w:rPr>
          <w:rFonts w:hint="eastAsia" w:ascii="宋体" w:hAnsi="宋体" w:eastAsia="宋体" w:cs="宋体"/>
          <w:b/>
          <w:bCs/>
          <w:color w:val="000000"/>
          <w:sz w:val="32"/>
          <w:szCs w:val="32"/>
          <w:highlight w:val="none"/>
          <w:lang w:val="en-US" w:eastAsia="zh-CN" w:bidi="ar-SA"/>
        </w:rPr>
        <w:t>【按照建设工程施工合同（GF-2017-0201）】</w:t>
      </w:r>
    </w:p>
    <w:p w14:paraId="318E9FB5">
      <w:pPr>
        <w:pStyle w:val="78"/>
        <w:keepNext w:val="0"/>
        <w:keepLines w:val="0"/>
        <w:pageBreakBefore w:val="0"/>
        <w:widowControl w:val="0"/>
        <w:spacing w:before="0" w:beforeAutospacing="0" w:after="0" w:afterAutospacing="0" w:line="360" w:lineRule="auto"/>
        <w:ind w:left="0" w:right="0" w:firstLine="723"/>
        <w:jc w:val="center"/>
        <w:outlineLvl w:val="0"/>
        <w:rPr>
          <w:rFonts w:hint="eastAsia" w:ascii="宋体" w:hAnsi="宋体" w:eastAsia="宋体" w:cs="宋体"/>
          <w:b/>
          <w:color w:val="000000"/>
          <w:sz w:val="36"/>
          <w:szCs w:val="36"/>
          <w:highlight w:val="none"/>
        </w:rPr>
      </w:pPr>
      <w:r>
        <w:rPr>
          <w:rFonts w:hint="eastAsia" w:ascii="宋体" w:hAnsi="宋体" w:eastAsia="宋体" w:cs="宋体"/>
          <w:b/>
          <w:color w:val="000000"/>
          <w:sz w:val="36"/>
          <w:szCs w:val="36"/>
          <w:highlight w:val="none"/>
        </w:rPr>
        <w:br w:type="page" w:clear="all"/>
      </w:r>
      <w:r>
        <w:rPr>
          <w:rFonts w:hint="eastAsia" w:ascii="宋体" w:hAnsi="宋体" w:eastAsia="宋体" w:cs="宋体"/>
          <w:b/>
          <w:bCs/>
          <w:color w:val="000000"/>
          <w:sz w:val="32"/>
          <w:szCs w:val="32"/>
          <w:highlight w:val="none"/>
          <w:lang w:val="en-US" w:eastAsia="zh-CN" w:bidi="ar-SA"/>
        </w:rPr>
        <w:t>第三部分专用条款</w:t>
      </w:r>
    </w:p>
    <w:p w14:paraId="776D97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一、词语定义及合同文件</w:t>
      </w:r>
    </w:p>
    <w:p w14:paraId="7DD9AC4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1.合同文件及解释顺序</w:t>
      </w:r>
    </w:p>
    <w:p w14:paraId="37A463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合同履行中，发包人承包人有关工程的洽商、变更等书面协议或文件视为本合同的组成部分。合同文件组成及解释顺序：(1).本合同协议书；(2).中标通知书；(3).投标书及其附件；(4).本合同专用条款；(5).本合同通用条款；(6).标准规范及有关技术文件；(7).图纸；(8).招标文件及答疑文书、工程量清单；(9).工程报价单及预算书；（10）.合同履行中，发包人承包人有关工程的洽商、变更等书面协议或文件视为本合同的组成部分；</w:t>
      </w:r>
    </w:p>
    <w:p w14:paraId="2B4B7F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2.语言文字和适用法律、标准及规范</w:t>
      </w:r>
    </w:p>
    <w:p w14:paraId="167D99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2.1本合同除使用汉语外，还使用</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语言文字。</w:t>
      </w:r>
    </w:p>
    <w:p w14:paraId="52CA98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2.2适用法律和法规</w:t>
      </w:r>
    </w:p>
    <w:p w14:paraId="66785D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需要明示的法律、行政法规：</w:t>
      </w:r>
      <w:r>
        <w:rPr>
          <w:rFonts w:hint="eastAsia" w:ascii="宋体" w:hAnsi="宋体" w:eastAsia="宋体" w:cs="宋体"/>
          <w:color w:val="000000"/>
          <w:sz w:val="21"/>
          <w:szCs w:val="21"/>
          <w:highlight w:val="none"/>
          <w:u w:val="single"/>
        </w:rPr>
        <w:t>《中华人民共和国民法典》、《中华人民共和国建筑法》、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lang w:val="en-US" w:eastAsia="zh-CN"/>
        </w:rPr>
        <w:t>中华人民共和国政府采购法</w:t>
      </w:r>
      <w:r>
        <w:rPr>
          <w:rFonts w:hint="eastAsia" w:ascii="宋体" w:hAnsi="宋体" w:eastAsia="宋体" w:cs="宋体"/>
          <w:color w:val="000000"/>
          <w:sz w:val="21"/>
          <w:szCs w:val="21"/>
          <w:highlight w:val="none"/>
          <w:u w:val="single"/>
          <w:lang w:eastAsia="zh-CN"/>
        </w:rPr>
        <w:t>》、</w:t>
      </w:r>
      <w:r>
        <w:rPr>
          <w:rFonts w:hint="eastAsia" w:ascii="宋体" w:hAnsi="宋体" w:eastAsia="宋体" w:cs="宋体"/>
          <w:color w:val="000000"/>
          <w:sz w:val="21"/>
          <w:szCs w:val="21"/>
          <w:highlight w:val="none"/>
          <w:u w:val="single"/>
        </w:rPr>
        <w:t>《中华人民共和国招标投标法》、《建设工程质量管理条例》、《建设工程价款结算暂行办法》等以及江苏省、扬州市现行相关法律法规</w:t>
      </w:r>
      <w:r>
        <w:rPr>
          <w:rFonts w:hint="eastAsia" w:ascii="宋体" w:hAnsi="宋体" w:eastAsia="宋体" w:cs="宋体"/>
          <w:color w:val="000000"/>
          <w:sz w:val="21"/>
          <w:szCs w:val="21"/>
          <w:highlight w:val="none"/>
        </w:rPr>
        <w:t>。</w:t>
      </w:r>
    </w:p>
    <w:p w14:paraId="793E35E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2.3适用标准、规范</w:t>
      </w:r>
    </w:p>
    <w:p w14:paraId="68E889F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适用标准、规范的名称：</w:t>
      </w:r>
      <w:r>
        <w:rPr>
          <w:rFonts w:hint="eastAsia" w:ascii="宋体" w:hAnsi="宋体" w:eastAsia="宋体" w:cs="宋体"/>
          <w:color w:val="000000"/>
          <w:sz w:val="21"/>
          <w:szCs w:val="21"/>
          <w:highlight w:val="none"/>
          <w:u w:val="single"/>
        </w:rPr>
        <w:t>（1）与工程相关的现行图集、施工说明；（2）现行国家施工规范及验收标准</w:t>
      </w:r>
      <w:r>
        <w:rPr>
          <w:rFonts w:hint="eastAsia" w:ascii="宋体" w:hAnsi="宋体" w:eastAsia="宋体" w:cs="宋体"/>
          <w:color w:val="000000"/>
          <w:sz w:val="21"/>
          <w:szCs w:val="21"/>
          <w:highlight w:val="none"/>
        </w:rPr>
        <w:t>。</w:t>
      </w:r>
    </w:p>
    <w:p w14:paraId="7C30A0E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发包人提供标准、规范的时间：</w:t>
      </w:r>
      <w:r>
        <w:rPr>
          <w:rFonts w:hint="eastAsia" w:ascii="宋体" w:hAnsi="宋体" w:eastAsia="宋体" w:cs="宋体"/>
          <w:color w:val="000000"/>
          <w:sz w:val="21"/>
          <w:szCs w:val="21"/>
          <w:highlight w:val="none"/>
          <w:u w:val="single"/>
        </w:rPr>
        <w:t>发包人不提供，凡涉及到的相关技术标准、规范均由承包人自备</w:t>
      </w:r>
      <w:r>
        <w:rPr>
          <w:rFonts w:hint="eastAsia" w:ascii="宋体" w:hAnsi="宋体" w:eastAsia="宋体" w:cs="宋体"/>
          <w:color w:val="000000"/>
          <w:sz w:val="21"/>
          <w:szCs w:val="21"/>
          <w:highlight w:val="none"/>
        </w:rPr>
        <w:t>。</w:t>
      </w:r>
    </w:p>
    <w:p w14:paraId="403A536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3.图纸</w:t>
      </w:r>
    </w:p>
    <w:p w14:paraId="109113F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jc w:val="left"/>
        <w:rPr>
          <w:rFonts w:hint="eastAsia" w:ascii="宋体" w:hAnsi="宋体" w:eastAsia="宋体" w:cs="宋体"/>
          <w:color w:val="000000"/>
          <w:sz w:val="21"/>
          <w:szCs w:val="21"/>
          <w:highlight w:val="none"/>
        </w:rPr>
      </w:pPr>
      <w:r>
        <w:rPr>
          <w:rFonts w:hint="eastAsia" w:ascii="宋体" w:hAnsi="宋体" w:eastAsia="宋体" w:cs="宋体"/>
          <w:b/>
          <w:color w:val="000000"/>
          <w:sz w:val="21"/>
          <w:szCs w:val="21"/>
          <w:highlight w:val="none"/>
        </w:rPr>
        <w:t>发包人向承包人</w:t>
      </w:r>
      <w:r>
        <w:rPr>
          <w:rFonts w:hint="eastAsia" w:ascii="宋体" w:hAnsi="宋体" w:eastAsia="宋体" w:cs="宋体"/>
          <w:color w:val="000000"/>
          <w:sz w:val="21"/>
          <w:szCs w:val="21"/>
          <w:highlight w:val="none"/>
        </w:rPr>
        <w:t>提供图纸日期和套数：</w:t>
      </w:r>
      <w:r>
        <w:rPr>
          <w:rFonts w:hint="eastAsia" w:ascii="宋体" w:hAnsi="宋体" w:eastAsia="宋体" w:cs="宋体"/>
          <w:color w:val="000000"/>
          <w:sz w:val="21"/>
          <w:szCs w:val="21"/>
          <w:highlight w:val="none"/>
          <w:u w:val="single"/>
        </w:rPr>
        <w:t>签订合同后叁天内提供施工图纸贰套</w:t>
      </w:r>
      <w:r>
        <w:rPr>
          <w:rFonts w:hint="eastAsia" w:ascii="宋体" w:hAnsi="宋体" w:eastAsia="宋体" w:cs="宋体"/>
          <w:color w:val="000000"/>
          <w:sz w:val="21"/>
          <w:szCs w:val="21"/>
          <w:highlight w:val="none"/>
        </w:rPr>
        <w:t>；</w:t>
      </w:r>
    </w:p>
    <w:p w14:paraId="6D204A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发包人对图纸的保密要求: 施工图纸要求承包人保密，保密费用承包人自行承担。</w:t>
      </w:r>
    </w:p>
    <w:p w14:paraId="5D2ABE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二、双方一般权利和义务</w:t>
      </w:r>
    </w:p>
    <w:p w14:paraId="076012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4.工程师</w:t>
      </w:r>
    </w:p>
    <w:p w14:paraId="12BAA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4.1监理单位委派的工程师</w:t>
      </w:r>
    </w:p>
    <w:p w14:paraId="6629944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职务:总监理工程师</w:t>
      </w:r>
    </w:p>
    <w:p w14:paraId="46A519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委托的职权:工程变更、经济签证、工程延误、暂定价材料验收批准等。对该工程质量、进度、投资、安全进行控制以及合同管理、信息管理和监理合同中明确的相关工作。需要取得发包人批准才能行使的职权：工程变更、经济签证、工期延误等。</w:t>
      </w:r>
    </w:p>
    <w:p w14:paraId="386658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4.2发包人派驻的工程师</w:t>
      </w:r>
    </w:p>
    <w:p w14:paraId="03F742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姓名:                   职务:现场代表         </w:t>
      </w:r>
    </w:p>
    <w:p w14:paraId="5962D93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职权:（1）监督检查承包人、监理执行合同情况，（2）协同监理做好工程质量控制、进度控制、安全生产等工作；（3）发出经发包人同意的工程指令；（4）对支付工程款进行审核等。</w:t>
      </w:r>
    </w:p>
    <w:p w14:paraId="50C381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5.项目经理</w:t>
      </w:r>
    </w:p>
    <w:p w14:paraId="1493E6F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姓名:                   职务:项目经理</w:t>
      </w:r>
    </w:p>
    <w:p w14:paraId="0BC10F2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职权：按照国家相关规定和合同约定，作为承包方施工现场负责人，全面负责本工地施工现场进度、质量、安全工作，负责本合同的全面履行。</w:t>
      </w:r>
    </w:p>
    <w:p w14:paraId="2C1FB6A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6.发包人工作</w:t>
      </w:r>
    </w:p>
    <w:p w14:paraId="4217E9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6.1发包人应按约定的时间和要求及完成以下工作:</w:t>
      </w:r>
    </w:p>
    <w:p w14:paraId="43E477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施工场地具备施工条件的要求及完成时间:施工期间医院正常运行；现场具备施工条件，承包人在踏勘现场时确认，场地不利因素，施工降效等因素承包人已在投标报价时充分考虑，发包人不再因此支付任何费用。</w:t>
      </w:r>
    </w:p>
    <w:p w14:paraId="1B3A936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（2）将施工所需的水、电、电讯线路接至施工场地的时间、地点和供应要求：水电接口已提供至施工现场，其位置承包人在踏勘现场时确认，水电在场内接线一切费用包含在总报价中，发包人不再另外支付。</w:t>
      </w:r>
    </w:p>
    <w:p w14:paraId="0925CE7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（3）施工场地与公共道路的通道开通时间和要求：主要公共道路开通，施工区道路由承包人承担。</w:t>
      </w:r>
    </w:p>
    <w:p w14:paraId="55AD88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（4）工程地质和地下管线资料的提供时间：</w:t>
      </w:r>
      <w:r>
        <w:rPr>
          <w:rFonts w:hint="eastAsia" w:ascii="宋体" w:hAnsi="宋体" w:eastAsia="宋体" w:cs="宋体"/>
          <w:color w:val="000000"/>
          <w:sz w:val="21"/>
          <w:szCs w:val="21"/>
          <w:highlight w:val="none"/>
          <w:u w:val="single"/>
        </w:rPr>
        <w:t>开工前5天提供</w:t>
      </w:r>
      <w:r>
        <w:rPr>
          <w:rFonts w:hint="eastAsia" w:ascii="宋体" w:hAnsi="宋体" w:eastAsia="宋体" w:cs="宋体"/>
          <w:color w:val="000000"/>
          <w:sz w:val="21"/>
          <w:szCs w:val="21"/>
          <w:highlight w:val="none"/>
        </w:rPr>
        <w:t>。</w:t>
      </w:r>
    </w:p>
    <w:p w14:paraId="2D55CD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（5）由发包人办理的施工所需证件、批件的名称和完成时间：</w:t>
      </w:r>
      <w:r>
        <w:rPr>
          <w:rFonts w:hint="eastAsia" w:ascii="宋体" w:hAnsi="宋体" w:eastAsia="宋体" w:cs="宋体"/>
          <w:color w:val="000000"/>
          <w:sz w:val="21"/>
          <w:szCs w:val="21"/>
          <w:highlight w:val="none"/>
          <w:u w:val="single"/>
        </w:rPr>
        <w:t>开工前由承包人协助发包人办理，不能影响开工</w:t>
      </w:r>
      <w:r>
        <w:rPr>
          <w:rFonts w:hint="eastAsia" w:ascii="宋体" w:hAnsi="宋体" w:eastAsia="宋体" w:cs="宋体"/>
          <w:color w:val="000000"/>
          <w:sz w:val="21"/>
          <w:szCs w:val="21"/>
          <w:highlight w:val="none"/>
        </w:rPr>
        <w:t>。</w:t>
      </w:r>
    </w:p>
    <w:p w14:paraId="32948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（6）水准点与坐标控制点交验要求：</w:t>
      </w:r>
      <w:r>
        <w:rPr>
          <w:rFonts w:hint="eastAsia" w:ascii="宋体" w:hAnsi="宋体" w:eastAsia="宋体" w:cs="宋体"/>
          <w:color w:val="000000"/>
          <w:sz w:val="21"/>
          <w:szCs w:val="21"/>
          <w:highlight w:val="none"/>
          <w:u w:val="single"/>
        </w:rPr>
        <w:t>开工前现场交验，承包人负责做好保护工作。施工过程中若水准基点出现遗失或损坏，承包人应立即汇报工程师，重新布点的费用由承包人承担</w:t>
      </w:r>
      <w:r>
        <w:rPr>
          <w:rFonts w:hint="eastAsia" w:ascii="宋体" w:hAnsi="宋体" w:eastAsia="宋体" w:cs="宋体"/>
          <w:color w:val="000000"/>
          <w:sz w:val="21"/>
          <w:szCs w:val="21"/>
          <w:highlight w:val="none"/>
        </w:rPr>
        <w:t>。</w:t>
      </w:r>
    </w:p>
    <w:p w14:paraId="2AC74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（7）图纸会审和设计交底时间：</w:t>
      </w:r>
      <w:r>
        <w:rPr>
          <w:rFonts w:hint="eastAsia" w:ascii="宋体" w:hAnsi="宋体" w:eastAsia="宋体" w:cs="宋体"/>
          <w:color w:val="000000"/>
          <w:sz w:val="21"/>
          <w:szCs w:val="21"/>
          <w:highlight w:val="none"/>
          <w:u w:val="single"/>
        </w:rPr>
        <w:t>双方约定时间</w:t>
      </w:r>
      <w:r>
        <w:rPr>
          <w:rFonts w:hint="eastAsia" w:ascii="宋体" w:hAnsi="宋体" w:eastAsia="宋体" w:cs="宋体"/>
          <w:color w:val="000000"/>
          <w:sz w:val="21"/>
          <w:szCs w:val="21"/>
          <w:highlight w:val="none"/>
        </w:rPr>
        <w:t>。</w:t>
      </w:r>
    </w:p>
    <w:p w14:paraId="18CD072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（8）协调处理施工场地周围地下管线和邻近建筑、构筑物（含文物保护建筑）、古树名木的保护工作：</w:t>
      </w:r>
      <w:r>
        <w:rPr>
          <w:rFonts w:hint="eastAsia" w:ascii="宋体" w:hAnsi="宋体" w:eastAsia="宋体" w:cs="宋体"/>
          <w:color w:val="000000"/>
          <w:sz w:val="21"/>
          <w:szCs w:val="21"/>
          <w:highlight w:val="none"/>
          <w:u w:val="single"/>
        </w:rPr>
        <w:t>执行通用条款</w:t>
      </w:r>
      <w:r>
        <w:rPr>
          <w:rFonts w:hint="eastAsia" w:ascii="宋体" w:hAnsi="宋体" w:eastAsia="宋体" w:cs="宋体"/>
          <w:color w:val="000000"/>
          <w:sz w:val="21"/>
          <w:szCs w:val="21"/>
          <w:highlight w:val="none"/>
        </w:rPr>
        <w:t>。</w:t>
      </w:r>
    </w:p>
    <w:p w14:paraId="0010BE5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（9）双方约定发包人做的其他工作：</w:t>
      </w:r>
      <w:r>
        <w:rPr>
          <w:rFonts w:hint="eastAsia" w:ascii="宋体" w:hAnsi="宋体" w:eastAsia="宋体" w:cs="宋体"/>
          <w:color w:val="000000"/>
          <w:sz w:val="21"/>
          <w:szCs w:val="21"/>
          <w:highlight w:val="none"/>
          <w:u w:val="single"/>
        </w:rPr>
        <w:t xml:space="preserve">  /</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042D323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（10）发包人委托承包人办理的工作：按发包人的布置要求，承包人有配合与该工程建设有关工作的义务，包括协助办理有关施工所需证件、批件等手续。</w:t>
      </w:r>
    </w:p>
    <w:p w14:paraId="1C3429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7.承包人工作</w:t>
      </w:r>
    </w:p>
    <w:p w14:paraId="3E9E91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7.1承包人应按约定时间和要求,完成以下工作:</w:t>
      </w:r>
    </w:p>
    <w:p w14:paraId="075445F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（1）需由设计资质等级和业务范围允许的承包人完成的设计文件提交时间:</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4876ED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（2）应提供计划、报表的名称及完成时间：</w:t>
      </w:r>
      <w:r>
        <w:rPr>
          <w:rFonts w:hint="eastAsia" w:ascii="宋体" w:hAnsi="宋体" w:eastAsia="宋体" w:cs="宋体"/>
          <w:color w:val="000000"/>
          <w:sz w:val="21"/>
          <w:szCs w:val="21"/>
          <w:highlight w:val="none"/>
          <w:u w:val="single"/>
        </w:rPr>
        <w:t>开工前5天内提供切实可行的进度表以及相对应的人机配置情况、材料供应情况</w:t>
      </w:r>
      <w:r>
        <w:rPr>
          <w:rFonts w:hint="eastAsia" w:ascii="宋体" w:hAnsi="宋体" w:eastAsia="宋体" w:cs="宋体"/>
          <w:color w:val="000000"/>
          <w:sz w:val="21"/>
          <w:szCs w:val="21"/>
          <w:highlight w:val="none"/>
        </w:rPr>
        <w:t>；</w:t>
      </w:r>
    </w:p>
    <w:p w14:paraId="074EFBD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（3）承担施工安全保卫工作及非夜间施工照明的责任和要求：</w:t>
      </w:r>
    </w:p>
    <w:p w14:paraId="7E3CEF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承包人承担现场的安全、保卫、照明等责任和费用；在施工前，必须对施工现场进行封闭并按实际现场需要，提供施工安全保卫工作及施工照明等，施工期间，所造成的一切安全责任均由承包人负责</w:t>
      </w:r>
      <w:r>
        <w:rPr>
          <w:rFonts w:hint="eastAsia" w:ascii="宋体" w:hAnsi="宋体" w:eastAsia="宋体" w:cs="宋体"/>
          <w:color w:val="000000"/>
          <w:sz w:val="21"/>
          <w:szCs w:val="21"/>
          <w:highlight w:val="none"/>
        </w:rPr>
        <w:t>；</w:t>
      </w:r>
    </w:p>
    <w:p w14:paraId="2B3A3E8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（4）向发包人提供的办公和生活房屋及设施和要求：</w:t>
      </w:r>
      <w:r>
        <w:rPr>
          <w:rFonts w:hint="eastAsia" w:ascii="宋体" w:hAnsi="宋体" w:eastAsia="宋体" w:cs="宋体"/>
          <w:color w:val="000000"/>
          <w:sz w:val="21"/>
          <w:szCs w:val="21"/>
          <w:highlight w:val="none"/>
          <w:u w:val="single"/>
        </w:rPr>
        <w:t>∕</w:t>
      </w:r>
      <w:r>
        <w:rPr>
          <w:rFonts w:hint="eastAsia" w:ascii="宋体" w:hAnsi="宋体" w:eastAsia="宋体" w:cs="宋体"/>
          <w:color w:val="000000"/>
          <w:sz w:val="21"/>
          <w:szCs w:val="21"/>
          <w:highlight w:val="none"/>
        </w:rPr>
        <w:t>；</w:t>
      </w:r>
    </w:p>
    <w:p w14:paraId="73EF5B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（5）需承包人办理的有关施工场地交通、环卫和施工噪音管理等手续：</w:t>
      </w:r>
    </w:p>
    <w:p w14:paraId="7117919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承包人自行办理有关施工场地交通、城管、环卫和施工噪音管理等手续，不得影响施工工期，并严格按照扬州市城市管理的有关规定以及安全文明施工要求进行施工</w:t>
      </w:r>
      <w:r>
        <w:rPr>
          <w:rFonts w:hint="eastAsia" w:ascii="宋体" w:hAnsi="宋体" w:eastAsia="宋体" w:cs="宋体"/>
          <w:color w:val="000000"/>
          <w:sz w:val="21"/>
          <w:szCs w:val="21"/>
          <w:highlight w:val="none"/>
        </w:rPr>
        <w:t>；</w:t>
      </w:r>
    </w:p>
    <w:p w14:paraId="5B3ACC7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（6）已完成工程成品保护的特殊要求及费用承担：</w:t>
      </w:r>
    </w:p>
    <w:p w14:paraId="4D92D4B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工程交付使用前承包人自己发生的损坏或因承包人保护实施不当而产生的第三方对成品（半成品）的损坏均由承包人自己负责</w:t>
      </w:r>
      <w:r>
        <w:rPr>
          <w:rFonts w:hint="eastAsia" w:ascii="宋体" w:hAnsi="宋体" w:eastAsia="宋体" w:cs="宋体"/>
          <w:color w:val="000000"/>
          <w:sz w:val="21"/>
          <w:szCs w:val="21"/>
          <w:highlight w:val="none"/>
        </w:rPr>
        <w:t>；</w:t>
      </w:r>
    </w:p>
    <w:p w14:paraId="3179E48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（7）施工场地周围地下管线和邻近建筑物、构筑物（含文物保护建筑）、古树名木的保护要求及费用承担：</w:t>
      </w:r>
      <w:r>
        <w:rPr>
          <w:rFonts w:hint="eastAsia" w:ascii="宋体" w:hAnsi="宋体" w:eastAsia="宋体" w:cs="宋体"/>
          <w:color w:val="000000"/>
          <w:sz w:val="21"/>
          <w:szCs w:val="21"/>
          <w:highlight w:val="none"/>
          <w:u w:val="single"/>
        </w:rPr>
        <w:t>承包人自行负责承担施工场地周围地下管线和邻近建筑物、构筑物（含文物保护建筑）、古树名木的保护要求及费用</w:t>
      </w:r>
      <w:r>
        <w:rPr>
          <w:rFonts w:hint="eastAsia" w:ascii="宋体" w:hAnsi="宋体" w:eastAsia="宋体" w:cs="宋体"/>
          <w:color w:val="000000"/>
          <w:sz w:val="21"/>
          <w:szCs w:val="21"/>
          <w:highlight w:val="none"/>
        </w:rPr>
        <w:t>；</w:t>
      </w:r>
    </w:p>
    <w:p w14:paraId="01F9B8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（8）施工场地清洁卫生的要求：</w:t>
      </w:r>
      <w:r>
        <w:rPr>
          <w:rFonts w:hint="eastAsia" w:ascii="宋体" w:hAnsi="宋体" w:eastAsia="宋体" w:cs="宋体"/>
          <w:color w:val="000000"/>
          <w:sz w:val="21"/>
          <w:szCs w:val="21"/>
          <w:highlight w:val="none"/>
          <w:u w:val="single"/>
        </w:rPr>
        <w:t>施工过程中，要求现场工完料清，承包人应及时清除现场的所有不需要的障碍物，并应根据发包人要求转移剩余材料，清除现场残物、垃圾或转移临时工作用具以及工程不再需要的施工设备。如果承包人清除现场垃圾不及时，发包人有权委派他人清除现场垃圾，由此发生的费用从承包人工程款中扣除。工程竣工验收后5日内，承包人需自行拆除临时设施及附属物，完成所有的人、材、机全部退场，并将其运出施工现场，放置于合适的场所。所发生的费用由承包人自行承担</w:t>
      </w:r>
      <w:r>
        <w:rPr>
          <w:rFonts w:hint="eastAsia" w:ascii="宋体" w:hAnsi="宋体" w:eastAsia="宋体" w:cs="宋体"/>
          <w:color w:val="000000"/>
          <w:sz w:val="21"/>
          <w:szCs w:val="21"/>
          <w:highlight w:val="none"/>
        </w:rPr>
        <w:t>；</w:t>
      </w:r>
    </w:p>
    <w:p w14:paraId="4F0045B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w:t>
      </w:r>
      <w:r>
        <w:rPr>
          <w:rFonts w:hint="eastAsia" w:ascii="宋体" w:hAnsi="宋体" w:eastAsia="宋体" w:cs="宋体"/>
          <w:color w:val="000000"/>
          <w:sz w:val="21"/>
          <w:szCs w:val="21"/>
          <w:highlight w:val="none"/>
          <w:u w:val="single"/>
        </w:rPr>
        <w:t>施工过程中承包人应服从现场统一管理，做到安全、文明、有序施工，一切安全责任自行负责</w:t>
      </w:r>
      <w:r>
        <w:rPr>
          <w:rFonts w:hint="eastAsia" w:ascii="宋体" w:hAnsi="宋体" w:eastAsia="宋体" w:cs="宋体"/>
          <w:color w:val="000000"/>
          <w:sz w:val="21"/>
          <w:szCs w:val="21"/>
          <w:highlight w:val="none"/>
        </w:rPr>
        <w:t>；</w:t>
      </w:r>
    </w:p>
    <w:p w14:paraId="41D1ED8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（10）施工过程中，</w:t>
      </w:r>
      <w:r>
        <w:rPr>
          <w:rFonts w:hint="eastAsia" w:ascii="宋体" w:hAnsi="宋体" w:eastAsia="宋体" w:cs="宋体"/>
          <w:color w:val="000000"/>
          <w:sz w:val="21"/>
          <w:szCs w:val="21"/>
          <w:highlight w:val="none"/>
          <w:u w:val="single"/>
        </w:rPr>
        <w:t>承包人应主动与上、下工序相关单位进行协调对接，避免产生矛盾，做到有序科学衔接，配合其他相关单位，费用已在投标报价中考虑发包人不再另行支付</w:t>
      </w:r>
      <w:r>
        <w:rPr>
          <w:rFonts w:hint="eastAsia" w:ascii="宋体" w:hAnsi="宋体" w:eastAsia="宋体" w:cs="宋体"/>
          <w:color w:val="000000"/>
          <w:sz w:val="21"/>
          <w:szCs w:val="21"/>
          <w:highlight w:val="none"/>
        </w:rPr>
        <w:t>；</w:t>
      </w:r>
    </w:p>
    <w:p w14:paraId="7D8426C5">
      <w:pPr>
        <w:pStyle w:val="116"/>
        <w:keepNext w:val="0"/>
        <w:keepLines w:val="0"/>
        <w:pageBreakBefore w:val="0"/>
        <w:widowControl w:val="0"/>
        <w:tabs>
          <w:tab w:val="left" w:pos="0"/>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（11）双方约定承包人应做的其他工作：</w:t>
      </w:r>
    </w:p>
    <w:p w14:paraId="7652543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a安排足够的工程管理人员，各工种合格的技术人员和工人，按劳动管理部门的要求，特种施工人员必须持有上岗证；b开工前向建设方和监理方提供月进度计划和月完成工程量报表；c保证工地的管理井然有序，无打架斗殴等不良现象；d加强卫生管理，无传染病、食物中毒等现象；e其他事项双方约定</w:t>
      </w:r>
      <w:r>
        <w:rPr>
          <w:rFonts w:hint="eastAsia" w:ascii="宋体" w:hAnsi="宋体" w:eastAsia="宋体" w:cs="宋体"/>
          <w:color w:val="000000"/>
          <w:sz w:val="21"/>
          <w:szCs w:val="21"/>
          <w:highlight w:val="none"/>
        </w:rPr>
        <w:t>；</w:t>
      </w:r>
    </w:p>
    <w:p w14:paraId="26272B2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三、施工组织设计和工期</w:t>
      </w:r>
    </w:p>
    <w:p w14:paraId="32201E1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8.进度计划</w:t>
      </w:r>
    </w:p>
    <w:p w14:paraId="05E2A3B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8.1承包人提供施工组织设计(施工方案)和进度计划的时间:</w:t>
      </w:r>
    </w:p>
    <w:p w14:paraId="75AEE9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u w:val="single"/>
        </w:rPr>
        <w:t>开工前5天以书面形式向发包人和监理提交施工组织设计和进度计划，经发包人和监理方审核同意后的施工组织设计作为施工中发包人与监理方进行监督受理的依据</w:t>
      </w:r>
      <w:r>
        <w:rPr>
          <w:rFonts w:hint="eastAsia" w:ascii="宋体" w:hAnsi="宋体" w:eastAsia="宋体" w:cs="宋体"/>
          <w:color w:val="000000"/>
          <w:sz w:val="21"/>
          <w:szCs w:val="21"/>
          <w:highlight w:val="none"/>
        </w:rPr>
        <w:t>；</w:t>
      </w:r>
    </w:p>
    <w:p w14:paraId="10C26E0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工程师确认的时间:</w:t>
      </w:r>
      <w:r>
        <w:rPr>
          <w:rFonts w:hint="eastAsia" w:ascii="宋体" w:hAnsi="宋体" w:eastAsia="宋体" w:cs="宋体"/>
          <w:color w:val="000000"/>
          <w:sz w:val="21"/>
          <w:szCs w:val="21"/>
          <w:highlight w:val="none"/>
          <w:u w:val="single"/>
        </w:rPr>
        <w:t>送达后7日历天内</w:t>
      </w:r>
      <w:r>
        <w:rPr>
          <w:rFonts w:hint="eastAsia" w:ascii="宋体" w:hAnsi="宋体" w:eastAsia="宋体" w:cs="宋体"/>
          <w:color w:val="000000"/>
          <w:sz w:val="21"/>
          <w:szCs w:val="21"/>
          <w:highlight w:val="none"/>
        </w:rPr>
        <w:t>。</w:t>
      </w:r>
    </w:p>
    <w:p w14:paraId="140170F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9、工期延误</w:t>
      </w:r>
    </w:p>
    <w:p w14:paraId="2219A2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9.1合同工期按承包人中标工期执行，如因承包人原因延误工期的，承包人应承担违约责任，详见第21.2条款。</w:t>
      </w:r>
    </w:p>
    <w:p w14:paraId="007D21E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9.2双方约定工期顺延的其他情况:</w:t>
      </w:r>
    </w:p>
    <w:p w14:paraId="4035A45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若出现以下情况造成工期延误的发包人不承担费用，只认可工期顺延，顺延时间双方另行协商。</w:t>
      </w:r>
    </w:p>
    <w:p w14:paraId="6B5706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（1）不可抗力（战争以及地震、水灾、暴风雪等严重自然灾害）；</w:t>
      </w:r>
    </w:p>
    <w:p w14:paraId="5AD705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（2）因发包人设计变更在结构形式、设计标准作重大调整，增加的工程量使承包人工程进度无法按原计划实施进行的；</w:t>
      </w:r>
    </w:p>
    <w:p w14:paraId="1787FA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（3）非因承包人原因停水、停电连续24小时以上的；</w:t>
      </w:r>
    </w:p>
    <w:p w14:paraId="20C275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（4）政府行为：政府强制要求停工（非承包人原因引起，如全市性的安全整顿，要求建设工地停工等）。</w:t>
      </w:r>
    </w:p>
    <w:p w14:paraId="7507C0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9.3承包人不得以任何理由停工，包括由于变更引起价格改变，发生分歧等，如有争议应协商解决，如因停工造成工期延误，承包人承担违约责任。</w:t>
      </w:r>
    </w:p>
    <w:p w14:paraId="76A3B1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四、质量与验收</w:t>
      </w:r>
    </w:p>
    <w:p w14:paraId="0E6B14F0">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质量要求：符合合格标准。</w:t>
      </w:r>
    </w:p>
    <w:p w14:paraId="42885C4F">
      <w:pPr>
        <w:pStyle w:val="78"/>
        <w:keepNext w:val="0"/>
        <w:keepLines w:val="0"/>
        <w:pageBreakBefore w:val="0"/>
        <w:widowControl w:val="0"/>
        <w:tabs>
          <w:tab w:val="left" w:pos="426"/>
        </w:tabs>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工程必须一次性验收达到合格。因承包人原因达不到合同约定质量要求，除合同价5%的违约金外，承包人必须保证整改后工程质量达到合格标准，由于承包人原因出现质量问题所造成的一切经济损失由承包人负责。</w:t>
      </w:r>
    </w:p>
    <w:p w14:paraId="69CBD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10.隐蔽工程和中间验收</w:t>
      </w:r>
    </w:p>
    <w:p w14:paraId="6CDA27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10.1双方约定中间验收部位: 按规定及监理认为确有必要进行验收的分部。</w:t>
      </w:r>
    </w:p>
    <w:p w14:paraId="64DDB66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10.2验收前承包人首先进行自检，在隐蔽工程验收和中间验收前应提前24小时通知发包人、监理方，并提供相关资料。不论发包人、监理方是否参与验收，当发包人或工程师提出对隐蔽工程需进行重新验收时，承包人必须配合工作且在检验后重新覆盖，若验收合格，发包人承担此项费用，并相应顺延工期，若验收不合格，承包人承担所有损失，且工期不顺延。</w:t>
      </w:r>
    </w:p>
    <w:p w14:paraId="288E14C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10.3达不到约定条件的部分，监理方或发包人一经发现，可要求承包人返工，承包人应按监理方或发包人的要求返工，直到符合约定条件，因承包人原因达不到约定条件，由承包人承担返工费用，工期不予顺延。返工后仍不能达到约定条件，承包人承担违约责任。因发包人原因达不到约定条件的，发包人承担经济损失，工期相应顺延。</w:t>
      </w:r>
    </w:p>
    <w:p w14:paraId="03B17C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10.4监理方或发包人发现工程质量问题，可下达停工令，承包人在3天内提出书面整改措施，经报项目总监和发包人代表审批同意后，实施整改达到合格，由此所产生的工期延误和整改费用，由承包人承担，否则发包人有权停止拨付工程款。</w:t>
      </w:r>
    </w:p>
    <w:p w14:paraId="79F667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10.5验收时间：除质检站、设计院等其他部门参加验收，承包人需提前72小时书面报告以便及时联系和安排外，其余均提前24小时即可。</w:t>
      </w:r>
    </w:p>
    <w:p w14:paraId="443DFE2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11工程试车</w:t>
      </w:r>
    </w:p>
    <w:p w14:paraId="0F9AA4F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11.1试车费用的承担:安排相关的技术人员无条件配合联合试车工作。</w:t>
      </w:r>
    </w:p>
    <w:p w14:paraId="697881E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五、安全文明施工要求</w:t>
      </w:r>
    </w:p>
    <w:p w14:paraId="69456FA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（1）承包人对现场作业和现有施工方法的安全承担全部责任，执行通用条款第20条规定，并赔偿因承包人责任给发包人造成的一切损失；</w:t>
      </w:r>
    </w:p>
    <w:p w14:paraId="64D0528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（2）承包人应采取控制措施使施工现场达到市环保和政府其它部门对建筑工地的要求，避免伤害或妨碍公众及周围环境。如因妨碍或伤害造成的行政处罚等其它赔偿均由承包人承担；</w:t>
      </w:r>
    </w:p>
    <w:p w14:paraId="2EBF9B4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（3）承包人负责现场保卫和管理；</w:t>
      </w:r>
    </w:p>
    <w:p w14:paraId="30C0DA5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遵守工程建设安全生产有关管理规定，严格按安全标准组织施工，随时接受行业、监理方的安全检查和监督，并针对该工程特点,采取一切必要的安全防护措施，消除事故隐患，承担施工中的全部安全责任及费用（包括承包人和承包人原因造成的第三方）；</w:t>
      </w:r>
    </w:p>
    <w:p w14:paraId="1163D2B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施工单位进场后必须签署《建设工程安全责任协议书》，并遵守《工程施工现场管理规定》、《建设工程施工安全管理规定》以及《建设工程文明施工管理规定》，不得影响发包人单位正常工作运行，并达到市级安全文明工地要求；</w:t>
      </w:r>
    </w:p>
    <w:p w14:paraId="66BEAB5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（6）严格遵守施工现场总平面的规划，服从监理与发包人统一指挥，发包人与监理将组织定期检查，对于出现的问题，发包人及监理有权要求总包单位进行整改，否则视承包人为违约；</w:t>
      </w:r>
    </w:p>
    <w:p w14:paraId="3820181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（7）若发生安全事故，承包人承担全部责任，与发包人无关。承包人应按规定立即报告建设主管部门并通知发包人和监理。如因此造成发包人承担责任的，发包人有权向承包人索赔；</w:t>
      </w:r>
    </w:p>
    <w:p w14:paraId="4D67315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六、合同价款与支付</w:t>
      </w:r>
    </w:p>
    <w:p w14:paraId="6BB2B9E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12.合同价款及调整</w:t>
      </w:r>
    </w:p>
    <w:p w14:paraId="636E22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12.1本合同价款采用</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固定单价</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rPr>
        <w:t>方式确定。</w:t>
      </w:r>
    </w:p>
    <w:p w14:paraId="5EB2A9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（1）采用固定单价合同，合同价款中包括的风险范围：全部风险已包含在投标报价中，承包人投标时已充分考虑风险范围，并计算风险系数。</w:t>
      </w:r>
    </w:p>
    <w:p w14:paraId="4A47EE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（2）风险范围以外合同价款调整方法：</w:t>
      </w:r>
    </w:p>
    <w:p w14:paraId="2E0F643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12.1由设计变更或发包人要求变动的内容引起的工程量清单已有项目的工程量的增加和减少，其相应综合单价不变，工程量据实增减，其措施项目费用同时进行相应调整；若该部分项工程量变更超过15%，则综合单价由承包人、发包人另行商定。</w:t>
      </w:r>
    </w:p>
    <w:p w14:paraId="4186DAC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12.2由于设计变更或发包人要求变动的内容引起的新的工程量清单项目，如发生了清单中没有相同的工作内容时，由承包人执行工程量清单、工程预算书编制依据提出相应综合单价，同时按投标报价时的优惠幅度（即招标人控制价与中标人报价的差额跟招标人控制价的比值）进行让利，经发包人认可后作为结算的依据。</w:t>
      </w:r>
    </w:p>
    <w:p w14:paraId="0CB04B7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12.3如清单项目中工作内容，实际施工中并未发生，应在“综合单价分析表”中相应的扣减该部分工作内容所含综合单价后形成的新的综合单价作为结算综合单价。</w:t>
      </w:r>
    </w:p>
    <w:p w14:paraId="782D52C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12.4投标人依据招标文件、工程量清单、施工图纸及设计文件、施工现场情况等资料并自行考虑包括以上各种风险因素在内的所有风险后进行投标报价，一旦中标，投标报价将不会得到调整（工程变更、招标人要求变动的内容、合同约定内容除外）。</w:t>
      </w:r>
    </w:p>
    <w:p w14:paraId="0D2B29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 xml:space="preserve">13.工程预付款、发包人向承包人预付工程款的时间和金额或占合同价款总额的比例: </w:t>
      </w:r>
      <w:r>
        <w:rPr>
          <w:rFonts w:hint="eastAsia" w:ascii="宋体" w:hAnsi="宋体" w:eastAsia="宋体" w:cs="宋体"/>
          <w:color w:val="000000"/>
          <w:sz w:val="21"/>
          <w:szCs w:val="21"/>
          <w:highlight w:val="none"/>
          <w:u w:val="single"/>
        </w:rPr>
        <w:t xml:space="preserve"> / </w:t>
      </w:r>
    </w:p>
    <w:p w14:paraId="6724119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14.工程量确认</w:t>
      </w:r>
    </w:p>
    <w:p w14:paraId="5C3EA15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14.1承包人向工程师提交已完成工程量报告的时间:承包人应在每周监理例会前向现场工程师及发包人提供本月完成工程量情况。</w:t>
      </w:r>
    </w:p>
    <w:p w14:paraId="2964BFD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工程款(进度款)支付：进场施工一周后付合同价（扣除暂列金额）10%，工程量施工过半付合同价（扣除暂列金额）30%，工程量全部结束付至合同价（扣除暂列金额）的60%，工程竣工验收合格并报送符合要求的工程结算审计资料且通过发包人初审、工程档案资料后付至合同价（扣除暂列金额）80％，工程</w:t>
      </w:r>
      <w:r>
        <w:rPr>
          <w:rFonts w:hint="eastAsia" w:ascii="宋体" w:hAnsi="宋体" w:eastAsia="宋体" w:cs="宋体"/>
          <w:color w:val="000000"/>
          <w:sz w:val="21"/>
          <w:szCs w:val="21"/>
          <w:highlight w:val="none"/>
          <w:lang w:val="en-US" w:eastAsia="zh-CN"/>
        </w:rPr>
        <w:t>结算</w:t>
      </w:r>
      <w:r>
        <w:rPr>
          <w:rFonts w:hint="eastAsia" w:ascii="宋体" w:hAnsi="宋体" w:eastAsia="宋体" w:cs="宋体"/>
          <w:color w:val="000000"/>
          <w:sz w:val="21"/>
          <w:szCs w:val="21"/>
          <w:highlight w:val="none"/>
        </w:rPr>
        <w:t>经审计后付至审计价的97％，余款审计价的3%作为质量保证金待保修期满后且无违约行为扣除维修金后返还（以上均不计息）。（施工过程中严格控制变更，最终工程结算价不得超出合同价的10%，超出部分由施工单位自行承担）</w:t>
      </w:r>
    </w:p>
    <w:p w14:paraId="2E6325A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七、材料设备供应</w:t>
      </w:r>
    </w:p>
    <w:p w14:paraId="01E5E84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16.发包人供应材料设备：</w:t>
      </w:r>
    </w:p>
    <w:p w14:paraId="050D38C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16.1发包人供应的材料设备与一览表不符时,双方约定发包人承担责任如下:</w:t>
      </w:r>
    </w:p>
    <w:p w14:paraId="54F62DB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（1）材料设备单价与一览表不符:</w:t>
      </w:r>
      <w:r>
        <w:rPr>
          <w:rFonts w:hint="eastAsia" w:ascii="宋体" w:hAnsi="宋体" w:eastAsia="宋体" w:cs="宋体"/>
          <w:color w:val="000000"/>
          <w:sz w:val="21"/>
          <w:szCs w:val="21"/>
          <w:highlight w:val="none"/>
          <w:u w:val="single"/>
        </w:rPr>
        <w:t xml:space="preserve">   /  </w:t>
      </w:r>
    </w:p>
    <w:p w14:paraId="1F4A9D8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（2）材料设备的品种、规格、型号、质量等级与一览表不符：承包人有权拒收，发包人负责调换，承包人可代为调剂串换的材料：设计院批准，监理认可，并报发包人同意后方可串换；</w:t>
      </w:r>
    </w:p>
    <w:p w14:paraId="17D3B60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（3）到货地点与一览表不符：发包人运至规定的供货地点，承包人应予积极配合；</w:t>
      </w:r>
    </w:p>
    <w:p w14:paraId="7FEF15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（4）供货数量与一览表不符：发包人补足；</w:t>
      </w:r>
    </w:p>
    <w:p w14:paraId="3D904AF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（5）到货时间与一览表不符；</w:t>
      </w:r>
    </w:p>
    <w:p w14:paraId="4A8B83C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开工前承包人须书面通知发包人，因发包人原因延迟供货的，可以延期；如承包人未在开工前书面通知的，发包人不承担相应责任。</w:t>
      </w:r>
    </w:p>
    <w:p w14:paraId="78E8BA7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16.2发包人供应材料设备的结算方法:/</w:t>
      </w:r>
    </w:p>
    <w:p w14:paraId="775222F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17．承包人采购材料设备</w:t>
      </w:r>
    </w:p>
    <w:p w14:paraId="2F199CA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17.1购材料设备的约定：</w:t>
      </w:r>
    </w:p>
    <w:p w14:paraId="2EBE761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承包人采购的材料设备，必须在发包人认可的产品质量等级及价格范围内，发包人供应的材料、设备、承包人应在材料设备验收后及时开出收料单，以便发包人执行供应合同，承包人无故推迟或不开收料单，影响发包人执行合同或工程结算，发包人有权处罚承包人，承包人对进场材料设备安全保管负责，如有受损承包人承担赔偿责任。承包人应按约定及设计和有关标准要求采购，并提供产品合格证明，对材料设备质量负责。承包人进场材料的样品必须经发包人和监理验收认可，经验收合格的材料方可批量进场（样品由发包人封存，承包人必须保证施工中材料设备质量与样品一致），否则，造成的损失由承包人承担；承包人在材料设备到货前24小时通知发包人和监理工程师验收。</w:t>
      </w:r>
    </w:p>
    <w:p w14:paraId="29303B6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（2）设备与设计标准不符时，承包人应按工程师要求的时间运出施工场地，重新采购符合要求的产品，承担由此产生的费用，由此延误的工期不予顺延。</w:t>
      </w:r>
    </w:p>
    <w:p w14:paraId="2128ADD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承包人采购的全部材料和设备在使用前，承包人应当根据国家有关法律、法规、工程建设强制性标准和设计文件，按监理人或工程师要求，对建设工程的材料、构配件、设备，以及工程实体质量、使用功能等进行见证取样检验或试验。所有上述建设工程质量检测（初试及复试）的全部费用，其中包括室内环境监测费，均由承包人承担，不合格的不得使用。</w:t>
      </w:r>
    </w:p>
    <w:p w14:paraId="2EEFD2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2"/>
        <w:contextualSpacing/>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除国家有关法律、法规、工程建设强制性标准和设计文件规定之外，如发包人或监理人或工程师对其材料和设备有异议的，承包人需无条件配合检测。若材料或设备检测合格，检测费由发包人承担。若材料或设备检测不合格，检测费由承包人承担，并配合进行复检，复检费用也由承包人承担。</w:t>
      </w:r>
    </w:p>
    <w:p w14:paraId="27A3C0E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供应的材料设备必须保证质量，使用中如发现有质量问题，承包人承担返工的全部损失并赔偿由此给发包人带来的损失。工程师发现承包人采购并使用不符合设计和标准要求的材料设备时，应要求承包人负责修复、拆除或重新采购，由承包人承担发生的费用，由此延误的工期不予顺延。</w:t>
      </w:r>
    </w:p>
    <w:p w14:paraId="6105464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由承包人供应的材料、设备其品牌、生产厂家、质量等级等均需与投标书相同，除因市场无供应外，需提前5天书面申请和递交替换材料和资料，在得到发包人和监理方的认可，并且出具的各种生产许可证、质量认证、安全认证、试验报告、试验证明等全套的质保资料等也得到发包人和监理方的认可后方能供货，未经许可其后果及损失均由承包人承担，直至终止承包合同、更换承包人。</w:t>
      </w:r>
    </w:p>
    <w:p w14:paraId="1D9B57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承包人供应的材料设备其品牌、生产厂家、质量等级等如与投标书相同时，其质量及质保资料均需发包人和监理方的认可后方能供货，发包人对该部分材料质量具有检查监督权利，对材料的使用具有否决权，如遇到材料涨价，承包人不能以降低材料品质、档次来抵消风险，也不能要求由发包人供应。</w:t>
      </w:r>
    </w:p>
    <w:p w14:paraId="3CB271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由承包人供应的材料设备其品牌、生产厂家、质量等级等如与投标书不同时，必须得到发包人和监理方的认可，并且出具的各种生产许可证、质量认证、安全认证、试验报告、试验证明等全套的质保资料等也必须得到发包人和监理方的认可后方能供货，未经许可其后果及损失均由承包人承担，直至终止承包合同、更换承包人。</w:t>
      </w:r>
    </w:p>
    <w:p w14:paraId="74367A1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（9）当发包人和监理人要求对强制性检测要求范围外的材料进行检测时，承包人应按照要求进行检测，检测试验合格由发包人承担费用，测试不合格的检测费用由承包人承担。承包人承担的检验费用包括：</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\o\ac(○,1)</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 xml:space="preserve">承包人采取新工艺或特殊施工措施造成的检验、试验费用 </w:t>
      </w:r>
      <w:r>
        <w:rPr>
          <w:rFonts w:hint="eastAsia" w:ascii="宋体" w:hAnsi="宋体" w:eastAsia="宋体" w:cs="宋体"/>
          <w:color w:val="000000"/>
          <w:sz w:val="21"/>
          <w:szCs w:val="21"/>
          <w:highlight w:val="none"/>
        </w:rPr>
        <w:fldChar w:fldCharType="begin"/>
      </w:r>
      <w:r>
        <w:rPr>
          <w:rFonts w:hint="eastAsia" w:ascii="宋体" w:hAnsi="宋体" w:eastAsia="宋体" w:cs="宋体"/>
          <w:color w:val="000000"/>
          <w:sz w:val="21"/>
          <w:szCs w:val="21"/>
          <w:highlight w:val="none"/>
        </w:rPr>
        <w:instrText xml:space="preserve"> eq \o\ac(○,2)</w:instrText>
      </w:r>
      <w:r>
        <w:rPr>
          <w:rFonts w:hint="eastAsia" w:ascii="宋体" w:hAnsi="宋体" w:eastAsia="宋体" w:cs="宋体"/>
          <w:color w:val="000000"/>
          <w:sz w:val="21"/>
          <w:szCs w:val="21"/>
          <w:highlight w:val="none"/>
        </w:rPr>
        <w:fldChar w:fldCharType="end"/>
      </w:r>
      <w:r>
        <w:rPr>
          <w:rFonts w:hint="eastAsia" w:ascii="宋体" w:hAnsi="宋体" w:eastAsia="宋体" w:cs="宋体"/>
          <w:color w:val="000000"/>
          <w:sz w:val="21"/>
          <w:szCs w:val="21"/>
          <w:highlight w:val="none"/>
        </w:rPr>
        <w:t>不在“由发包人承担检验试验费用”之列的其它检验试验费。</w:t>
      </w:r>
    </w:p>
    <w:p w14:paraId="5D2FD79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（10）需送检的材料必须检验合格后方能投入使用。</w:t>
      </w:r>
    </w:p>
    <w:p w14:paraId="76BF788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（11）承包人供应的材料设备必须保证质量，使用中如发现有质量问题、有毒、污染等不符合环保、安全、卫生要求的，承包人承担返工的全部损失并赔偿由此给发包人带来的损失。</w:t>
      </w:r>
    </w:p>
    <w:p w14:paraId="12B4164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（12）如需发包人认定质价后购买的材料，或者必须代换材料时，承包人必须提前10天书面报告，经发包人批准后实施，否则一切后果均由承包人自己负责。</w:t>
      </w:r>
    </w:p>
    <w:p w14:paraId="25C1C40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八、工程变更</w:t>
      </w:r>
    </w:p>
    <w:p w14:paraId="089D37C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（1）工程变更通知是合同及施工设计图纸的补充和完善，承包人不得拒绝，不能因变更延误工期。</w:t>
      </w:r>
    </w:p>
    <w:p w14:paraId="5CEBAD1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（2）由于工程设计变更导致本合同工程量增减变化时，是对合同价款增减调整的依据，承包人不能因变更提出不合理的造价要求，造价变化按上述约定执行，结算审核时按实调整。</w:t>
      </w:r>
    </w:p>
    <w:p w14:paraId="596BAB6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（3）承包人不得以设计变更或工程量的变化为理由，解除或修改合同对其规定的责任和义务。</w:t>
      </w:r>
    </w:p>
    <w:p w14:paraId="325E3E5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（4）施工中承包人不得对原工程设计进行变更，因承包人擅自变更设计发生的费用和由此导致发包人的直接损失由承包人承担，延误的工期不予顺延。</w:t>
      </w:r>
    </w:p>
    <w:p w14:paraId="36E667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18.竣工验收</w:t>
      </w:r>
    </w:p>
    <w:p w14:paraId="340EFD9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18.1.承包人负责工程验收，并有义务参加配合相关单位验收工作。</w:t>
      </w:r>
    </w:p>
    <w:p w14:paraId="4C4E176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18.2.工程具备竣工验收条件，承包人按国家工程竣工验收有关规定，向发包人提供竣工验收报告。</w:t>
      </w:r>
    </w:p>
    <w:p w14:paraId="5E8574A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18.3.工程竣工验收通过，承包人送交竣工验收报告的日期为实际竣工日期。工程按发包人要求修改后通过竣工验收的，实际竣工日期为承包人修改后提请发包人验收的日期。发包人接到竣工验收报告后28天内组织有关单位验收，并在验收后14天内给予认可或提出修改意见。承包人按要求修改，并承担由自身原因造成修改的费用。</w:t>
      </w:r>
    </w:p>
    <w:p w14:paraId="6E98DC6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18.4.承包人提供竣工图的约定：竣工验收后三十日内承包人提供自己绘制的与实物相符并符合城建档案馆要求的竣工图叁套(医院不提供图纸),竣工资料三套（原件资料）其中一套原件交城建档案馆，并确保资料准确，否则每迟一天，每日向发包人支付违约金500元。</w:t>
      </w:r>
    </w:p>
    <w:p w14:paraId="70B59A9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19.竣工结算</w:t>
      </w:r>
    </w:p>
    <w:p w14:paraId="218E147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19.1工程竣工验收合格后60天内承包人向发包人提供完整的工程结算资料。由发包人接收（一式两份）。结算资料提交应按时完成，否则每迟一天，除每日向发包人支付违约金500元，工程款相应延期支付。</w:t>
      </w:r>
    </w:p>
    <w:p w14:paraId="212ED87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19.2发包人收到竣工结算资料后，由发包人和监理方分别进行审查确认后送给有关造价咨询部门进行工程价款的审核。</w:t>
      </w:r>
    </w:p>
    <w:p w14:paraId="062E882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20、工程保修</w:t>
      </w:r>
    </w:p>
    <w:p w14:paraId="30D034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20.1工程保修内容及期限按《建设工程质量管理条例》（中华人民共和国国务院令2000年第279号）、《房屋建筑工程质量保修办法》（中华人民共和国建设部令第８０号）等有关规定执行,保修金预留的比例为工程结算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w:t>
      </w:r>
    </w:p>
    <w:p w14:paraId="628A77C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20.2工程保修期在工程竣工验收合格之日起计算。</w:t>
      </w:r>
    </w:p>
    <w:p w14:paraId="50FA562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20.3在承包人对质量保证期内出现的质量问题进行维修时，承包人应相应延长维修或更换部分的质量保证期。维修或更换部分的质保期从维修或更换合格之日起重新计算。</w:t>
      </w:r>
    </w:p>
    <w:p w14:paraId="598F510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20.4承包人有责任和义务及时进行承包工程的维修工作，若不能及时履行保修约定，发包人可以委托他人修理，其相应维修费用在保修预留金中扣除，扣完为止。如预留金不够支付因质量问题返修的费用，承包人应补全所缺部分的返修费用。</w:t>
      </w:r>
    </w:p>
    <w:p w14:paraId="48A926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九、违约、索赔和争议</w:t>
      </w:r>
    </w:p>
    <w:p w14:paraId="24BD54E9">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21.违约</w:t>
      </w:r>
    </w:p>
    <w:p w14:paraId="16359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21.1本合同中关于发包人违约的具体责任如下:</w:t>
      </w:r>
    </w:p>
    <w:p w14:paraId="56A69DB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本合同通用条款第24条约定发包人违约应承担的违约责任:</w:t>
      </w:r>
      <w:r>
        <w:rPr>
          <w:rFonts w:hint="eastAsia" w:ascii="宋体" w:hAnsi="宋体" w:eastAsia="宋体" w:cs="宋体"/>
          <w:color w:val="000000"/>
          <w:sz w:val="21"/>
          <w:szCs w:val="21"/>
          <w:highlight w:val="none"/>
          <w:u w:val="single"/>
        </w:rPr>
        <w:t xml:space="preserve">    /    </w:t>
      </w:r>
    </w:p>
    <w:p w14:paraId="5BA95EF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本合同通用条款第26.4款约定发包人违约应承担的违约责任:</w:t>
      </w:r>
      <w:r>
        <w:rPr>
          <w:rFonts w:hint="eastAsia" w:ascii="宋体" w:hAnsi="宋体" w:eastAsia="宋体" w:cs="宋体"/>
          <w:color w:val="000000"/>
          <w:sz w:val="21"/>
          <w:szCs w:val="21"/>
          <w:highlight w:val="none"/>
          <w:u w:val="single"/>
        </w:rPr>
        <w:t xml:space="preserve">    /  </w:t>
      </w:r>
    </w:p>
    <w:p w14:paraId="0B6678E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本合同通用条款第33.3款约定发包人违约应承担的违约责任:</w:t>
      </w:r>
      <w:r>
        <w:rPr>
          <w:rFonts w:hint="eastAsia" w:ascii="宋体" w:hAnsi="宋体" w:eastAsia="宋体" w:cs="宋体"/>
          <w:color w:val="000000"/>
          <w:sz w:val="21"/>
          <w:szCs w:val="21"/>
          <w:highlight w:val="none"/>
          <w:u w:val="single"/>
        </w:rPr>
        <w:t xml:space="preserve">   /   </w:t>
      </w:r>
    </w:p>
    <w:p w14:paraId="2C5991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双方约定的发包人其他违约责任:执行合同约定、招标文件</w:t>
      </w:r>
    </w:p>
    <w:p w14:paraId="10AB78C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21.2本合同中关于承包人违约的具体责任如下:</w:t>
      </w:r>
    </w:p>
    <w:p w14:paraId="4BBD4314">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本合同通用条款第14.2款约定承包人违约应承担的违约责任:</w:t>
      </w:r>
    </w:p>
    <w:p w14:paraId="63F2647A">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（1）延误工期。在十天内（含十天）的承包人按</w:t>
      </w:r>
      <w:r>
        <w:rPr>
          <w:rFonts w:hint="eastAsia" w:ascii="宋体" w:hAnsi="宋体" w:eastAsia="宋体" w:cs="宋体"/>
          <w:color w:val="000000"/>
          <w:sz w:val="21"/>
          <w:szCs w:val="21"/>
          <w:highlight w:val="none"/>
          <w:lang w:val="en-US" w:eastAsia="zh-CN"/>
        </w:rPr>
        <w:t>1000</w:t>
      </w:r>
      <w:r>
        <w:rPr>
          <w:rFonts w:hint="eastAsia" w:ascii="宋体" w:hAnsi="宋体" w:eastAsia="宋体" w:cs="宋体"/>
          <w:color w:val="000000"/>
          <w:sz w:val="21"/>
          <w:szCs w:val="21"/>
          <w:highlight w:val="none"/>
        </w:rPr>
        <w:t>元/天赔偿，逾期在20天内（含20天）的承包人按2000元/天赔偿，逾期在30天（含30天）的承包人按5000元/天赔偿，如竣工时间超过合同工期一个月以上，发包人有权终止合同，承包人除按本工程结算价的5%支付违约金外，还应赔偿因工期违约给发包人造成的损失。</w:t>
      </w:r>
    </w:p>
    <w:p w14:paraId="03ADFF31">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21.3本合同通用条款第15.1款约定承包人违约应承担的违约责任:</w:t>
      </w:r>
    </w:p>
    <w:p w14:paraId="3753943B">
      <w:pPr>
        <w:pStyle w:val="116"/>
        <w:keepNext w:val="0"/>
        <w:keepLines w:val="0"/>
        <w:pageBreakBefore w:val="0"/>
        <w:widowControl w:val="0"/>
        <w:shd w:val="clear"/>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因承包人原因达不到约定的质量标准，承包人按合同总价的5%向发包人支付违约金的同时，承包人必须保证整改后工程达到约定的质量标准并承担所有发生的费用，出现质量问题所造成的一切经济损失由承包人承担。</w:t>
      </w:r>
    </w:p>
    <w:p w14:paraId="6ACD122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21.4双方约定的承包人其他违约责任:</w:t>
      </w:r>
    </w:p>
    <w:p w14:paraId="4409F83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21.4.1.遵守政府和发包人对施工现场的一切规定和要求，承担因自身原因违反有关规定造成的损失和罚款。</w:t>
      </w:r>
    </w:p>
    <w:p w14:paraId="62C4B1DF">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21.4.2承包人在施工过程中，项目经理及主要施工人员应与投标文件中相一致，如承包人擅自变换项目经理及主要施工人员，发包人有权终止合同，承包人无条件退场且工程款不予结算，项目经理必须长驻施工现场，负责该项目施工，如需离开施工现场，必须向发包人请假，在征得发包人同意后，才能离开现场，未经批准离开现场，一经发现按每天1000元进行处罚，处罚款上不封顶，结算时在工程款中扣除，如发现项目经理三次擅自离开现场，发包人有权终止合同，承包人无条件退场且工程款不予支付并扣除履约保证金，同时报相应的建设主管部门处理。</w:t>
      </w:r>
    </w:p>
    <w:p w14:paraId="0BE873A3">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21.4.3承包人应服从发包人的制度、会议、通知等形式的管理，以整个项目全局为重，除履行合同义务外应积极配合发包人及其他参建单位完成项目目标。</w:t>
      </w:r>
    </w:p>
    <w:p w14:paraId="147762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21.4.4由于承包人原因无故连续停工一周，且又未向监理及发包人书面说明原因并取得发包人书面认可，发包人有权终止合同，承包人将承担一切损失。</w:t>
      </w:r>
    </w:p>
    <w:p w14:paraId="10A1818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21.4.5承包人擅自将工程全部或其中的一部分转包或违法分包给其它单位，发包人有权终止合同，并没收履约保证金，由此造成的一切损失由承包人承担。</w:t>
      </w:r>
    </w:p>
    <w:p w14:paraId="7A5EA91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21.4.6施工期间由于承包人原因出现重大质量问题，且又无法弥补，给发包人造成重大损失，发包人有权终止合同，承包人负责赔偿发包人由此造成的一切损失。</w:t>
      </w:r>
    </w:p>
    <w:p w14:paraId="3218531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21.4.7承包人使用劣质材料，无论使用量多少，一经发现，发包人有权终止合同，承包人除承担责任和赔偿损失外，并无条件退出施工现场。</w:t>
      </w:r>
    </w:p>
    <w:p w14:paraId="35082EA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22.争议</w:t>
      </w:r>
    </w:p>
    <w:p w14:paraId="588BE35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22.1双方约定,在履行合同过程中产生争议时:</w:t>
      </w:r>
    </w:p>
    <w:p w14:paraId="04B46ED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(1)请有关</w:t>
      </w:r>
      <w:r>
        <w:rPr>
          <w:rFonts w:hint="eastAsia" w:ascii="宋体" w:hAnsi="宋体" w:eastAsia="宋体" w:cs="宋体"/>
          <w:color w:val="000000"/>
          <w:sz w:val="21"/>
          <w:szCs w:val="21"/>
          <w:highlight w:val="none"/>
          <w:u w:val="single"/>
        </w:rPr>
        <w:t>建设行政主管部门</w:t>
      </w:r>
      <w:r>
        <w:rPr>
          <w:rFonts w:hint="eastAsia" w:ascii="宋体" w:hAnsi="宋体" w:eastAsia="宋体" w:cs="宋体"/>
          <w:color w:val="000000"/>
          <w:sz w:val="21"/>
          <w:szCs w:val="21"/>
          <w:highlight w:val="none"/>
        </w:rPr>
        <w:t>调解;</w:t>
      </w:r>
    </w:p>
    <w:p w14:paraId="311D76DE">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(2)调解不成，双方约定向</w:t>
      </w:r>
      <w:r>
        <w:rPr>
          <w:rFonts w:hint="eastAsia" w:ascii="宋体" w:hAnsi="宋体" w:eastAsia="宋体" w:cs="宋体"/>
          <w:color w:val="000000"/>
          <w:sz w:val="21"/>
          <w:szCs w:val="21"/>
          <w:highlight w:val="none"/>
          <w:u w:val="single"/>
        </w:rPr>
        <w:t>发包人所在地人民法院</w:t>
      </w:r>
      <w:r>
        <w:rPr>
          <w:rFonts w:hint="eastAsia" w:ascii="宋体" w:hAnsi="宋体" w:eastAsia="宋体" w:cs="宋体"/>
          <w:color w:val="000000"/>
          <w:sz w:val="21"/>
          <w:szCs w:val="21"/>
          <w:highlight w:val="none"/>
        </w:rPr>
        <w:t>提起诉讼。</w:t>
      </w:r>
    </w:p>
    <w:p w14:paraId="7E87AD1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outlineLvl w:val="1"/>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十、其他</w:t>
      </w:r>
    </w:p>
    <w:p w14:paraId="4B487F3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23.工程分包</w:t>
      </w:r>
    </w:p>
    <w:p w14:paraId="1FD654B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本工程除渣土外运工程外，其他项目不允许转包和违法分包。渣土外运必须发包给具备《渣土运输车辆许可证》、《渣土运输车辆交通安全证》和《渣土运输车辆通行证》的渣土运输企业作业。</w:t>
      </w:r>
    </w:p>
    <w:p w14:paraId="661C6ACD">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24.不可抗力</w:t>
      </w:r>
    </w:p>
    <w:p w14:paraId="157BEA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24.1双方关于不可抗力的约定:</w:t>
      </w:r>
      <w:r>
        <w:rPr>
          <w:rFonts w:hint="eastAsia" w:ascii="宋体" w:hAnsi="宋体" w:eastAsia="宋体" w:cs="宋体"/>
          <w:color w:val="000000"/>
          <w:sz w:val="21"/>
          <w:szCs w:val="21"/>
          <w:highlight w:val="none"/>
          <w:u w:val="single"/>
        </w:rPr>
        <w:t>执行通用条款</w:t>
      </w:r>
    </w:p>
    <w:p w14:paraId="73A4179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25.担保</w:t>
      </w:r>
    </w:p>
    <w:p w14:paraId="0A024AA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25.1本工程双方约定担保事项如下:</w:t>
      </w:r>
    </w:p>
    <w:p w14:paraId="4B41A29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 xml:space="preserve">25.2发包人向承包人提供履约担保,担保方式为: </w:t>
      </w:r>
      <w:r>
        <w:rPr>
          <w:rFonts w:hint="eastAsia" w:ascii="宋体" w:hAnsi="宋体" w:eastAsia="宋体" w:cs="宋体"/>
          <w:color w:val="000000"/>
          <w:sz w:val="21"/>
          <w:szCs w:val="21"/>
          <w:highlight w:val="none"/>
          <w:u w:val="single"/>
        </w:rPr>
        <w:t xml:space="preserve">  / </w:t>
      </w:r>
    </w:p>
    <w:p w14:paraId="36E2AC15">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25.3承包人向发包人提供履约担保,担保方式为:</w:t>
      </w:r>
      <w:r>
        <w:rPr>
          <w:rFonts w:hint="eastAsia" w:ascii="宋体" w:hAnsi="宋体" w:eastAsia="宋体" w:cs="宋体"/>
          <w:color w:val="000000"/>
          <w:sz w:val="21"/>
          <w:szCs w:val="21"/>
          <w:highlight w:val="none"/>
          <w:u w:val="single"/>
        </w:rPr>
        <w:t>合同签订前承包人向发包人提交合同价的10%履约保证金，合同履行完毕无遗留问题退还履约保证金。如果承包人</w:t>
      </w:r>
      <w:r>
        <w:rPr>
          <w:rFonts w:hint="eastAsia" w:ascii="宋体" w:hAnsi="宋体" w:eastAsia="宋体" w:cs="宋体"/>
          <w:b/>
          <w:color w:val="000000"/>
          <w:sz w:val="21"/>
          <w:szCs w:val="21"/>
          <w:highlight w:val="none"/>
          <w:u w:val="single"/>
        </w:rPr>
        <w:t>在规定时间内</w:t>
      </w:r>
      <w:r>
        <w:rPr>
          <w:rFonts w:hint="eastAsia" w:ascii="宋体" w:hAnsi="宋体" w:eastAsia="宋体" w:cs="宋体"/>
          <w:color w:val="000000"/>
          <w:sz w:val="21"/>
          <w:szCs w:val="21"/>
          <w:highlight w:val="none"/>
          <w:u w:val="single"/>
        </w:rPr>
        <w:t>未能提交履约保证金，将被视为放弃中标资格，由此给发包人造成的损失，应予以赔偿</w:t>
      </w:r>
      <w:r>
        <w:rPr>
          <w:rFonts w:hint="eastAsia" w:ascii="宋体" w:hAnsi="宋体" w:eastAsia="宋体" w:cs="宋体"/>
          <w:color w:val="000000"/>
          <w:sz w:val="21"/>
          <w:szCs w:val="21"/>
          <w:highlight w:val="none"/>
        </w:rPr>
        <w:t>。（以上均不计息）</w:t>
      </w:r>
    </w:p>
    <w:p w14:paraId="411BCC76">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26.合同份数</w:t>
      </w:r>
    </w:p>
    <w:p w14:paraId="11DE7F7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26.1双方约定在合同份数：</w:t>
      </w:r>
    </w:p>
    <w:p w14:paraId="60C10A42">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本合同</w:t>
      </w:r>
      <w:r>
        <w:rPr>
          <w:rFonts w:hint="eastAsia" w:ascii="宋体" w:hAnsi="宋体" w:eastAsia="宋体" w:cs="宋体"/>
          <w:b/>
          <w:color w:val="000000"/>
          <w:sz w:val="21"/>
          <w:szCs w:val="21"/>
          <w:highlight w:val="none"/>
          <w:u w:val="single"/>
        </w:rPr>
        <w:t>伍</w:t>
      </w:r>
      <w:r>
        <w:rPr>
          <w:rFonts w:hint="eastAsia" w:ascii="宋体" w:hAnsi="宋体" w:eastAsia="宋体" w:cs="宋体"/>
          <w:color w:val="000000"/>
          <w:sz w:val="21"/>
          <w:szCs w:val="21"/>
          <w:highlight w:val="none"/>
        </w:rPr>
        <w:t>份，其中正本</w:t>
      </w:r>
      <w:r>
        <w:rPr>
          <w:rFonts w:hint="eastAsia" w:ascii="宋体" w:hAnsi="宋体" w:eastAsia="宋体" w:cs="宋体"/>
          <w:b/>
          <w:color w:val="000000"/>
          <w:sz w:val="21"/>
          <w:szCs w:val="21"/>
          <w:highlight w:val="none"/>
          <w:u w:val="single"/>
        </w:rPr>
        <w:t>叁</w:t>
      </w:r>
      <w:r>
        <w:rPr>
          <w:rFonts w:hint="eastAsia" w:ascii="宋体" w:hAnsi="宋体" w:eastAsia="宋体" w:cs="宋体"/>
          <w:color w:val="000000"/>
          <w:sz w:val="21"/>
          <w:szCs w:val="21"/>
          <w:highlight w:val="none"/>
        </w:rPr>
        <w:t>份，副本</w:t>
      </w:r>
      <w:r>
        <w:rPr>
          <w:rFonts w:hint="eastAsia" w:ascii="宋体" w:hAnsi="宋体" w:eastAsia="宋体" w:cs="宋体"/>
          <w:b/>
          <w:color w:val="000000"/>
          <w:sz w:val="21"/>
          <w:szCs w:val="21"/>
          <w:highlight w:val="none"/>
          <w:u w:val="single"/>
        </w:rPr>
        <w:t>贰</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w:t>
      </w:r>
    </w:p>
    <w:p w14:paraId="0FCF905B">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27.其他</w:t>
      </w:r>
    </w:p>
    <w:p w14:paraId="63F6764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b/>
          <w:color w:val="000000"/>
          <w:sz w:val="21"/>
          <w:szCs w:val="21"/>
          <w:highlight w:val="none"/>
        </w:rPr>
        <w:t>施工水、电费用工程决算时在定额中按规定扣除。</w:t>
      </w:r>
    </w:p>
    <w:p w14:paraId="7D296BAA">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（2）</w:t>
      </w:r>
      <w:r>
        <w:rPr>
          <w:rFonts w:hint="eastAsia" w:ascii="宋体" w:hAnsi="宋体" w:eastAsia="宋体" w:cs="宋体"/>
          <w:b/>
          <w:bCs/>
          <w:color w:val="000000"/>
          <w:sz w:val="21"/>
          <w:szCs w:val="21"/>
          <w:highlight w:val="none"/>
        </w:rPr>
        <w:t>本工程经审计后核减率超过10%(含10%)的，其审计费用全部由承包人承担（比例为净核减金额的5%）；本工程经审计后核减率在10%以下的，其审计费用由发包人承包人各承担50%。以上承包人应承担的审计费用，承包人交至医院财务处，由发包人代为支付给审计单位</w:t>
      </w:r>
      <w:r>
        <w:rPr>
          <w:rFonts w:hint="eastAsia" w:ascii="宋体" w:hAnsi="宋体" w:eastAsia="宋体" w:cs="宋体"/>
          <w:b/>
          <w:bCs/>
          <w:color w:val="000000"/>
          <w:sz w:val="21"/>
          <w:szCs w:val="21"/>
          <w:highlight w:val="none"/>
          <w:lang w:eastAsia="zh-CN"/>
        </w:rPr>
        <w:t>。</w:t>
      </w:r>
    </w:p>
    <w:p w14:paraId="7A6BA36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(3）施工过程中发生的变更签证，承包人必须在变更发生后5日内申报，逾期对增加费用的签证申报，发包人有权不予承认，但发包人保留对减少费用的签证追溯权；</w:t>
      </w:r>
    </w:p>
    <w:p w14:paraId="0F462B71">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承包人应加强工作人员的管理，禁止承包人以各种手段腐蚀、贿赂发包人单位工作人员，如有违反，发包人将停止履行合同，将诚信档案记录的工作人员违规不良行为纳入违约行为，并追究承包人违约责任；</w:t>
      </w:r>
    </w:p>
    <w:p w14:paraId="449FFFA4">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承包人应按《建筑工程安全管理条例》以及国家、省市有关规定安全施工对于存在的安全隐患应及时整改到位。安全责任由承包人自行承担。承包人应按照国家和省市的有关规定文明施工。接受发包人、监理方及有关部门的管理、检查和监督，并有义务与施工现场各单位协调配合，自觉遵守《建设工程施工场地管理规定》（见附件1），违者按以上规定条款处罚；</w:t>
      </w:r>
    </w:p>
    <w:p w14:paraId="08A6C5F0">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（6）在工程竣工后在进行竣工验收前，对施工范围内进行打扫和清理，达到发包人提出的清洁要求，如达不到上述要求发包人将委托其他单位进行清理，其费用由承包人承担；</w:t>
      </w:r>
    </w:p>
    <w:p w14:paraId="06508CDC">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（7）在工程未交付前，承包人负责做好成品保护，如有损坏应负责维修，直至合格，其维修看护费用由承包人承担。</w:t>
      </w:r>
    </w:p>
    <w:p w14:paraId="262CE597">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（8）在施工期间医院正常运行，承包人在施工中应做好环境保护及环境安全的防护，部分区域需封闭施工，相关费用视为包含在投标报价中，不再另行支付；</w:t>
      </w:r>
    </w:p>
    <w:p w14:paraId="03902C18">
      <w:pPr>
        <w:pStyle w:val="116"/>
        <w:keepNext w:val="0"/>
        <w:keepLines w:val="0"/>
        <w:pageBreakBefore w:val="0"/>
        <w:widowControl w:val="0"/>
        <w:tabs>
          <w:tab w:val="left" w:pos="284"/>
          <w:tab w:val="left" w:pos="993"/>
          <w:tab w:val="left" w:pos="1134"/>
        </w:tabs>
        <w:spacing w:beforeAutospacing="0" w:afterAutospacing="0" w:line="360" w:lineRule="auto"/>
        <w:ind w:left="0" w:right="0" w:firstLine="420"/>
        <w:contextualSpacing/>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（9）各个施工环节，需发包人施工质量管理员现场验收确认后方可进行下一环节施工；</w:t>
      </w:r>
    </w:p>
    <w:p w14:paraId="694926E6">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本工程在施工期间医院运行不停止，承包单位进场施工时必须在不影响医院正常运行情况下进行，在施工过程中要注意保护环境卫生、文明施工、污水、杂物严谨乱扔乱抛，施工严控噪声和粉尘，以防影响病人治疗，违者按《建设工程安全文明施工管理办法》规定处罚；（见附件2）</w:t>
      </w:r>
    </w:p>
    <w:p w14:paraId="54AAD27A">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（11）承包人在中标公示结束后30天内与发包人签订施工合同并交纳履约保证金；</w:t>
      </w:r>
    </w:p>
    <w:p w14:paraId="5E9DB1D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施工期间，将对承包人实行考核，考核结果与奖惩挂钩。如承包人不加强管理造成施工场地混乱，又不服从发包人及现场监理管理，以致影响工程质量和进度，经发包人三次警告，仍然整改不到位发包人有权终止合同，承包人应无条件退出施工现场并将承担一切损失；</w:t>
      </w:r>
    </w:p>
    <w:p w14:paraId="6720F07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（13）承包人擅自将工程全部或其中的一部分转包或违法分包给其他单位，发包人有权终止合同，并没收履约保证金，由此造成的一切损失由承包人承担；</w:t>
      </w:r>
    </w:p>
    <w:p w14:paraId="3062A32F">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（14）施工方对施工材料运送要统筹考虑,不得影响院区内的道路交通,对施工场地周边的道路、树木、建筑等设施做好保护；</w:t>
      </w:r>
    </w:p>
    <w:p w14:paraId="2BC7C7A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28、施工期间相关要求：（以下规定与政府部门有冲突的部分依照政府文件规定执行）</w:t>
      </w:r>
    </w:p>
    <w:p w14:paraId="2974332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（1）严格按国家强制性标准、施工组织设计或拆除方案实施相关部位拆除施工作业；</w:t>
      </w:r>
    </w:p>
    <w:p w14:paraId="16BB461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（2）做好拆除工程施工现场的防护。在现场醒目位置设置施工标志牌、安全警示牌，人员通道设置防护通道，非施工人员不得进入施工区；</w:t>
      </w:r>
    </w:p>
    <w:p w14:paraId="0F2AE5E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（3）制定安全事故应急救援预案，做好防火、防盗工作；</w:t>
      </w:r>
    </w:p>
    <w:p w14:paraId="385DAAC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（4）对拆除施工人员进行安全技术交底，施工作业人员必须穿戴安全帽等劳动保护用品，高处作业应系好安全带，不得冒险作业；</w:t>
      </w:r>
    </w:p>
    <w:p w14:paraId="51E1B318">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（5）由施工方、监理、承包人方共同对拆除的部位进行标记，由施工方检查建筑内各类管线情况，确认必须切断的应全部切断后方可施工；</w:t>
      </w:r>
    </w:p>
    <w:p w14:paraId="3B200C2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（6）拆除施工时应有防止扬尘和降低噪声的措施，拆除前洒水，过程中喷水，采用轻型风镐，严禁超负荷或带故障运转；</w:t>
      </w:r>
    </w:p>
    <w:p w14:paraId="165D53E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拆除作业时楼板上严禁人员聚集或堆放材料，作业人员应站在稳定结构或专用脚手架上操作，不得垂直交叉作业，对拆除物应采取有效的下落控制措施，不得直接砸落在楼板面上，构件应有安全的放置场所。水平作业时，操作人员应保持安全距离；</w:t>
      </w:r>
    </w:p>
    <w:p w14:paraId="2BEEC4D4">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（8）楼层内的施工垃圾应采用垃圾袋运下，不得向下抛掷；</w:t>
      </w:r>
    </w:p>
    <w:p w14:paraId="45398A0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（9）对原有梁、柱、楼板面等建筑结构要进行有效防护，拆除部位的地面必须用模板铺垫；</w:t>
      </w:r>
    </w:p>
    <w:p w14:paraId="4B67747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（10）室内墙体在拆除时，顶部应拆除至梁体或楼板混凝土结构面，将砂浆连接层彻底清理干净，便于下道工序直接施工包含柱面；</w:t>
      </w:r>
    </w:p>
    <w:p w14:paraId="29D0099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(11)现场用电应符合施工现场临时用电安全技术规范要求；</w:t>
      </w:r>
    </w:p>
    <w:p w14:paraId="3D8550F7">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(12)根据拆除现场作业环境，制定相应的消防安全措施；</w:t>
      </w:r>
    </w:p>
    <w:p w14:paraId="6C76988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(13)拆除后形成的临边洞口及时维护完成；</w:t>
      </w:r>
    </w:p>
    <w:p w14:paraId="2BA44D35">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(14)清运渣土的车辆应封闭或覆盖，出入现场应有专人指挥，作业时间、作业方式应遵守扬州市有关管理规定。要求拆除的垃圾袋装化处理，并及时拆及时清运；</w:t>
      </w:r>
    </w:p>
    <w:p w14:paraId="4B15AC8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(15)使用建设单位提供运输等设备、设施要服从管理安排，爱护设备，损坏赔偿；</w:t>
      </w:r>
    </w:p>
    <w:p w14:paraId="5685CDF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(16)编制切实可行的施工准备计划，科学、合理安排组织施工工序，对准备工作建立严格的责任制和检查制度，做到有计划、有分工、有布置、有检查，各分部分项工程必须按计划完成；</w:t>
      </w:r>
    </w:p>
    <w:p w14:paraId="10EFC8E9">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(17)根据总进度计划的要求，制定详细的天计划。加强计划的科学性、严肃性，在编制天计划时要考虑各种不利因素的影响，以保证计划的有效性、可行性，一旦发现天计划与总进度计划相比有滞后现象时，要及时调整，采取相应的补救措施，制定可行的计划，以保证总进度计划的实现；</w:t>
      </w:r>
    </w:p>
    <w:p w14:paraId="4943190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(18)若有后续工作跟进施工应与配合，及时提供工作面，确保后续工作顺利实施；</w:t>
      </w:r>
    </w:p>
    <w:p w14:paraId="0FCAACAE">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(19)本工程不包含任何可回收材料，可回收材料均属发包人所有；</w:t>
      </w:r>
    </w:p>
    <w:p w14:paraId="2C25A46B">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（20）保险</w:t>
      </w:r>
    </w:p>
    <w:p w14:paraId="5AFE1C1C">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工程保险：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366965ED">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其他保险：</w:t>
      </w:r>
      <w:r>
        <w:rPr>
          <w:rFonts w:hint="eastAsia" w:ascii="宋体" w:hAnsi="宋体" w:eastAsia="宋体" w:cs="宋体"/>
          <w:color w:val="000000"/>
          <w:szCs w:val="21"/>
          <w:highlight w:val="none"/>
          <w:u w:val="single"/>
        </w:rPr>
        <w:t>按相关规定，应由承包人缴纳的保险必须按时依法办理</w:t>
      </w:r>
      <w:r>
        <w:rPr>
          <w:rFonts w:hint="eastAsia" w:ascii="宋体" w:hAnsi="宋体" w:eastAsia="宋体" w:cs="宋体"/>
          <w:color w:val="000000"/>
          <w:szCs w:val="21"/>
          <w:highlight w:val="none"/>
        </w:rPr>
        <w:t>。</w:t>
      </w:r>
    </w:p>
    <w:p w14:paraId="0DF7A3D3">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Cs w:val="21"/>
          <w:highlight w:val="none"/>
          <w:u w:val="single"/>
        </w:rPr>
      </w:pPr>
      <w:r>
        <w:rPr>
          <w:rFonts w:hint="eastAsia" w:ascii="宋体" w:hAnsi="宋体" w:eastAsia="宋体" w:cs="宋体"/>
          <w:color w:val="000000"/>
          <w:szCs w:val="21"/>
          <w:highlight w:val="none"/>
        </w:rPr>
        <w:t>承包人是否应为其施工设备等办理财产保险：</w:t>
      </w:r>
      <w:r>
        <w:rPr>
          <w:rFonts w:hint="eastAsia" w:ascii="宋体" w:hAnsi="宋体" w:eastAsia="宋体" w:cs="宋体"/>
          <w:color w:val="000000"/>
          <w:szCs w:val="21"/>
          <w:highlight w:val="none"/>
          <w:u w:val="single"/>
        </w:rPr>
        <w:t>应该办理</w:t>
      </w:r>
    </w:p>
    <w:p w14:paraId="31718200">
      <w:pPr>
        <w:pStyle w:val="93"/>
        <w:keepNext w:val="0"/>
        <w:keepLines w:val="0"/>
        <w:pageBreakBefore w:val="0"/>
        <w:widowControl w:val="0"/>
        <w:tabs>
          <w:tab w:val="left" w:pos="284"/>
        </w:tabs>
        <w:spacing w:beforeAutospacing="0" w:afterAutospacing="0" w:line="360" w:lineRule="auto"/>
        <w:ind w:left="0" w:right="0" w:firstLine="420"/>
        <w:contextualSpacing/>
        <w:jc w:val="left"/>
        <w:rPr>
          <w:rFonts w:hint="eastAsia" w:ascii="宋体" w:hAnsi="宋体" w:eastAsia="宋体" w:cs="宋体"/>
          <w:color w:val="000000"/>
          <w:sz w:val="24"/>
          <w:szCs w:val="24"/>
          <w:highlight w:val="none"/>
        </w:rPr>
      </w:pPr>
      <w:r>
        <w:rPr>
          <w:rFonts w:hint="eastAsia" w:ascii="宋体" w:hAnsi="宋体" w:eastAsia="宋体" w:cs="宋体"/>
          <w:color w:val="000000"/>
          <w:szCs w:val="21"/>
          <w:highlight w:val="none"/>
        </w:rPr>
        <w:t>关于变更保险合同时的通知义务的约定：</w:t>
      </w:r>
      <w:r>
        <w:rPr>
          <w:rFonts w:hint="eastAsia" w:ascii="宋体" w:hAnsi="宋体" w:eastAsia="宋体" w:cs="宋体"/>
          <w:color w:val="000000"/>
          <w:szCs w:val="21"/>
          <w:highlight w:val="none"/>
          <w:u w:val="single"/>
        </w:rPr>
        <w:t>执行通用条款</w:t>
      </w:r>
    </w:p>
    <w:p w14:paraId="41E681C1">
      <w:pPr>
        <w:keepNext w:val="0"/>
        <w:keepLines w:val="0"/>
        <w:pageBreakBefore w:val="0"/>
        <w:widowControl w:val="0"/>
        <w:spacing w:beforeAutospacing="0" w:afterAutospacing="0" w:line="360" w:lineRule="auto"/>
        <w:ind w:left="0" w:right="0" w:firstLine="56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8"/>
          <w:szCs w:val="28"/>
          <w:highlight w:val="none"/>
        </w:rPr>
        <w:br w:type="page" w:clear="all"/>
      </w:r>
      <w:r>
        <w:rPr>
          <w:rFonts w:hint="eastAsia" w:ascii="宋体" w:hAnsi="宋体" w:eastAsia="宋体" w:cs="宋体"/>
          <w:b/>
          <w:color w:val="000000"/>
          <w:sz w:val="28"/>
          <w:szCs w:val="28"/>
          <w:highlight w:val="none"/>
        </w:rPr>
        <w:t>附件1</w:t>
      </w:r>
    </w:p>
    <w:p w14:paraId="3099D21E">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建设工程施工场地管理规定</w:t>
      </w:r>
    </w:p>
    <w:p w14:paraId="15D144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为了保证建设工程质量、进度达到预定目标,确保在施工中不出现质量、安全责任事故,同时能给各施工单位创造良好的文明施工环境、合作条件,经研究特制订本工程施工场地管理规定。</w:t>
      </w:r>
    </w:p>
    <w:p w14:paraId="27A405F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一、施工场地管理要求:</w:t>
      </w:r>
    </w:p>
    <w:p w14:paraId="6D23E1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1、所有进场的施工单位必须建立健全项目管理机构,项目部全体人员一览表应公布上墙。</w:t>
      </w:r>
    </w:p>
    <w:p w14:paraId="5F3D37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2、各项目部应根据国家和省、市有关法律、法规、标准、规范,按照项目部的工作要求建立如下规章制度。</w:t>
      </w:r>
    </w:p>
    <w:p w14:paraId="006358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(1)安全生产责任制度、安全教育制度</w:t>
      </w:r>
    </w:p>
    <w:p w14:paraId="6D9FE1C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(2)质量、进度目标管理制度</w:t>
      </w:r>
    </w:p>
    <w:p w14:paraId="4E5238C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(3)文明施工及场地清洁卫生管理制度</w:t>
      </w:r>
    </w:p>
    <w:p w14:paraId="6E0A330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(4)施工用电管理制度</w:t>
      </w:r>
    </w:p>
    <w:p w14:paraId="34A8FE3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(5)“三宝”、“四口”“五临边”防护制度</w:t>
      </w:r>
    </w:p>
    <w:p w14:paraId="575654E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(6)成品保护制度</w:t>
      </w:r>
    </w:p>
    <w:p w14:paraId="5CC03DC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(7)动火管理制度</w:t>
      </w:r>
    </w:p>
    <w:p w14:paraId="4070EA5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(8)其它规章制度</w:t>
      </w:r>
    </w:p>
    <w:p w14:paraId="2F27DE0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3、各项目部应认真执行如下规定。</w:t>
      </w:r>
    </w:p>
    <w:p w14:paraId="1BC342E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(1)各施工单位的项目经理必须坚守工作岗位,遇有特殊情况需要离开施工现场必须向承包人、监理请假,经同意后才能离开。</w:t>
      </w:r>
    </w:p>
    <w:p w14:paraId="2A6529A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(2)各项目部的质量和安全管理人员应认真履行工作职责,上述人员如有变动必须报发包人、监理同意。</w:t>
      </w:r>
    </w:p>
    <w:p w14:paraId="2C40A1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(3)各项目部在施工前应认真编制施工方案,并上报监理、发包人审核,经审核同意后严格按方案实施,对重点部位应按要求编制专项施工方案。</w:t>
      </w:r>
    </w:p>
    <w:p w14:paraId="179A7C0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(4)隐蔽工程应先进行自检,自检合格后报监理及发包人进行隐蔽部位验收隐蔽工程在封闭前要求各施工单位执行会签制度。未经验收、会签不得擅自封闭。</w:t>
      </w:r>
    </w:p>
    <w:p w14:paraId="014C01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所有进场施工材料必须经监理、发包人验收合格后才能使用,材料如需复试,必须待试验合格后方可使用。同时不合格的进场材料要求立即退场,若已使用必须拆除。工程材料需及时提供样品,征得业主、监理确认同意后,按样品进行验收。</w:t>
      </w:r>
    </w:p>
    <w:p w14:paraId="3F7C72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(6)加强现场安全保卫工作,所有施工单位进场人员必须佩带胸牌上岗,进入施工现场必须配戴安全帽。</w:t>
      </w:r>
    </w:p>
    <w:p w14:paraId="7991E0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(7)未施工的材料应要善保管,已施工完毕的成品必须加强保护(附件:成品地面、门窗成品保护要求),同时要求做好防火、防盗和用电安全管理等工作。</w:t>
      </w:r>
    </w:p>
    <w:p w14:paraId="40446EE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(8)保持施工现场环境卫生整洁。建筑垃圾、生活垃圾及时清理,按指定地点堆放。</w:t>
      </w:r>
    </w:p>
    <w:p w14:paraId="447C116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(9)施工单位必须按照图纸施工,施工中如需调整与变更应及时办理变更手续,并严格执行。</w:t>
      </w:r>
    </w:p>
    <w:p w14:paraId="342E55C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(10)对监理、业主发现的工程施工质量、安全问题,各施工单位应按发包人、监理意见积极整改到位。</w:t>
      </w:r>
    </w:p>
    <w:p w14:paraId="25D8F97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(11)各施工单位应树立全局观念,主动积极做好协调、配合工作,不得故意刁难,相互扯皮。</w:t>
      </w:r>
    </w:p>
    <w:p w14:paraId="35EB2A0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(12)各施工单位必须对照施工合同,严格履行合同承诺。</w:t>
      </w:r>
    </w:p>
    <w:p w14:paraId="3CF1229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二、施工管理处罚规定:</w:t>
      </w:r>
    </w:p>
    <w:p w14:paraId="75AE146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凡出现下列情况者给予处罚如下:</w:t>
      </w:r>
    </w:p>
    <w:p w14:paraId="3BFC3BB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1、文明施工方面:</w:t>
      </w:r>
    </w:p>
    <w:p w14:paraId="32AFB3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(1)各单位人员进入现场施工必须佩戴工作卡,发现无卡人员每人次处罚50元。</w:t>
      </w:r>
    </w:p>
    <w:p w14:paraId="64861D4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(2)施工作业人员不准穿拖鞋、高跟鞋、赤膊,发现一人次处罚50元。严禁酒后进入施工区作业,发现一人次罚款50元。严禁家眷、小孩进入施工区,每发现一人次处罚50元。</w:t>
      </w:r>
    </w:p>
    <w:p w14:paraId="719764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仓库易燃、易爆品及其它物品必须分开堆放,严禁混放,发现一处罚款200元。现场灭火器材、消防通道焊接接火斗等消防设施未设置到位,发现一处罚款20O元。仓库严禁烟火,施工现场严禁吸烟,每发现一次处罚50元。</w:t>
      </w:r>
    </w:p>
    <w:p w14:paraId="344F7A0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(4)在建建筑物内除仓库保管员及保卫人员外,其余人员严禁入住,发现一次处罚200元。</w:t>
      </w:r>
    </w:p>
    <w:p w14:paraId="442A99B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(5)现场施工人员盗窃发现一次立即开除,按造成直接损失的3倍进行赔偿。情节严重者送当地公安部门处理。</w:t>
      </w:r>
    </w:p>
    <w:p w14:paraId="1372A52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(6)施工现场严禁赌博、打架斗殴,每发现一次处罚500元,情节严重者送当地公安部门处理。</w:t>
      </w:r>
    </w:p>
    <w:p w14:paraId="6A32951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(7)夜间施工必须有足够的照明设施,楼梯通道必须设置安全照明灯。每发现一处不合格处罚200元。</w:t>
      </w:r>
    </w:p>
    <w:p w14:paraId="48FA9DF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(8)发现施工现场环境脏、乱、差每次处罚200元。监理通知后仍不积极整改,汇报业主派人清理,费用从相关施工单位工程款中扣除。</w:t>
      </w:r>
    </w:p>
    <w:p w14:paraId="0D772C9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(9)建筑物内各标段应设置临时厕所，严禁随地大小便,每发现一次处罚50元。</w:t>
      </w:r>
    </w:p>
    <w:p w14:paraId="154AEA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(10)自行车、电动车、摩托车按指定地点停放,不得进入建筑物施工现场内，每发现一辆处罚50元。</w:t>
      </w:r>
    </w:p>
    <w:p w14:paraId="1FBA682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2、现场管理方面:</w:t>
      </w:r>
    </w:p>
    <w:p w14:paraId="022F041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(I)各施工单位在施工中相互扯皮不协调配合,造成返工或浪费所产生的费用由业主、监理按实进行核算,在工程款中予以扣除。</w:t>
      </w:r>
    </w:p>
    <w:p w14:paraId="3D6718A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(2)各施工单位未按业主、监理要求时间完成配合工作,造成其它施工单位工期延误,出现一次处罚1000元,为不影响总体进度,业主、监理有权另请其它单位进行施工,费用从施工单位工程款中扣除。</w:t>
      </w:r>
    </w:p>
    <w:p w14:paraId="4C4479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(3)因施工方原因影响群众利益,造成负面影晌,导致群众堵工上访或新闻媒体曝光的,每发生一次罚款10000元。</w:t>
      </w:r>
    </w:p>
    <w:p w14:paraId="64D56A8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发现管理人员值班不在岗,每人次处罚100元。现场有人施工作业时专职安全员不在岗,每发现一次处罚100元。工序质量验收时,专职质检员不在岗,每发现一次处罚100元。特殊工种无上岗证违规操作者,每人次处罚100元。</w:t>
      </w:r>
    </w:p>
    <w:p w14:paraId="41EF2D1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(5)现场项目经理、主要负责人必须每天在现场6小时以上,召开工程例会有关人员无故缺席的,有特殊情况需提前请假。违反规定,每人次每天处罚1000元。</w:t>
      </w:r>
    </w:p>
    <w:p w14:paraId="38352A3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(6)施工单位需对进场材料及时报验,未经业主、监理单位验收合格擅自使用,处罚责任单位1000元。工程材料便用劣质、冒牌材料,发现一次除按合同有关条款处罚外,再处罚责任单位3000元。</w:t>
      </w:r>
    </w:p>
    <w:p w14:paraId="4F97AC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(7)施工方如果发现现场实物与图纸内容不符,需及时上报监理、业主,严禁盲目施工,发现一次处罚责任单位2000元。</w:t>
      </w:r>
    </w:p>
    <w:p w14:paraId="6EC9B13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(8)各单位做好现场成品保护工作,保护好自己和他人的工程成品,一经查实损害他人成品,按实价赔偿。若发现恶意破坏他人成品现象,发现一次按造成直接损失的3倍进行赔偿。</w:t>
      </w:r>
    </w:p>
    <w:p w14:paraId="69B1702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(9)现场材料堆放严禁超过设计荷载值,发现一次处罚责任单位1000元。</w:t>
      </w:r>
    </w:p>
    <w:p w14:paraId="19DD5D7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(10)若工程被质量监督部门、安全监督部门或其它建筑主管部门通报批评,出现一次处罚责任单位5000元。</w:t>
      </w:r>
    </w:p>
    <w:p w14:paraId="18EA51E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(11)各施工单位应积极主动配合各类检查、观摩活动,由于现场工作未做到位导致不良后果,视情节严重情况,出现一次处罚责任单位200―500元。</w:t>
      </w:r>
    </w:p>
    <w:p w14:paraId="2A3154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(12)不服从业主、监理人员管理,出现漫骂、侮辱、殴打现场业主、监理人员,发现一次处罚1000元,责任人员限期退场。</w:t>
      </w:r>
    </w:p>
    <w:p w14:paraId="3DE9461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(13)上道工序未经业主、监理验收合格,擅自进入下道工序施工,隐蔽工程未经业主、监理检查合格擅白隐蔽,进行剥露检验,质量不符合要求,返工费用由施工单位承担,出现一次处罚1000元。</w:t>
      </w:r>
    </w:p>
    <w:p w14:paraId="2EB7A54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(14)监理、业主如发现的工程施工质量、安全问题,第一次以书面形式告知并限期整改,在期限内未能及时整改到位,发现一次处罚200元,第二次告知仍不积极整改,发现一次处罚500元。</w:t>
      </w:r>
    </w:p>
    <w:p w14:paraId="44A469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(15)各施工单位在施工时,未经业主、监理同意,不得擅自停水、停电、开挖道路、阻碍交通等影响其它单位施工行为。如出现上述问题,每发现一次罚款1000元,另再追究造成的停工间接损失。</w:t>
      </w:r>
    </w:p>
    <w:p w14:paraId="6D6BD76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3、安全检查方面:</w:t>
      </w:r>
    </w:p>
    <w:p w14:paraId="214D0D9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(1)在危险部位未设置明显的安全警示标志及防范措施,发现一处罚款50元。</w:t>
      </w:r>
    </w:p>
    <w:p w14:paraId="4FD7916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(2)对危险性较大的部位,施工前未编制专项施工方案或方案未经施工单位技术负责人及总监审批擅自施工,每发现一次处罚500元。</w:t>
      </w:r>
    </w:p>
    <w:p w14:paraId="5F40F4F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(3)分部分项工程施工前未对施工班组、作业人员进行安全技术交底,发现一次处罚200元。</w:t>
      </w:r>
    </w:p>
    <w:p w14:paraId="3D7568C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(4)施工负责人对工地现场安全未执行定期检查制度或检查无记录,发现一次处罚200元。</w:t>
      </w:r>
    </w:p>
    <w:p w14:paraId="4AB8712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(5)无安全教育制度，新进场人员未进行三级安全教育，发现一次处罚100元。</w:t>
      </w:r>
    </w:p>
    <w:p w14:paraId="57F6F78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(6)发现违章操作、野蛮施工或强令冒险作业,每发现一次处罚500元。</w:t>
      </w:r>
    </w:p>
    <w:p w14:paraId="2F28F51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(7)严禁高空向下抛物、倾倒垃圾,每发现一次处罚200—500元，若造成人员伤害及财产损失,由当事人承担相关责任。</w:t>
      </w:r>
    </w:p>
    <w:p w14:paraId="785F2D5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(8)“三宝”使用不当，口”“五临边”防护不到位，每发现一次处罚100元(其中不戴安全帽,发现一人次处罚50元)。</w:t>
      </w:r>
    </w:p>
    <w:p w14:paraId="571BE5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(9)如发现违反用电安全情况时每次处罚100元。由于安全用电措施不落实、用电不规范导致不良后果,除按相关规定追究责任外,视情节轻重罚款200—2000元。</w:t>
      </w:r>
    </w:p>
    <w:p w14:paraId="4174079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(10)脚手架搭设必须进行设计计算，编制搭拆方案，满足规范要求。严禁施工荷载超过规定要求。每发现一处不合格处罚500元。</w:t>
      </w:r>
    </w:p>
    <w:p w14:paraId="498E659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(11)电梯应指定专人进行操作,严禁电梯超荷载运行,按规定做好交接班。违反电梯使用规定,每发现一处不合格处罚200—500元。谁损坏谁赔偿。</w:t>
      </w:r>
    </w:p>
    <w:p w14:paraId="1C41724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(12)由于焊接火花、明火、吸烟、电火花等造成施工现场失火事件，除追究当事人责任外,再视情节轻重罚款500—2000元，并按造成直接损失进行赔偿。</w:t>
      </w:r>
    </w:p>
    <w:p w14:paraId="4178BC3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(13)因违反其它安全规定造成不良后果，由违反单位及责任者承担全部责任。</w:t>
      </w:r>
    </w:p>
    <w:p w14:paraId="39CD87C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由业主、监理在日常工作中进行监督检查，同时业主、监理不定期组织施工单位检查，一经发现上述情况由业主、监理按规定进行处罚,所有罚款在施工单位履约保证金或工程款中扣除。(本规定自公布之日起执行)</w:t>
      </w:r>
    </w:p>
    <w:p w14:paraId="1D56C6C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附件：</w:t>
      </w:r>
    </w:p>
    <w:p w14:paraId="33EC72D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成品地面、门窗成品保护要求：</w:t>
      </w:r>
    </w:p>
    <w:p w14:paraId="15EBC17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要求地面开槽、凿洞须经业主、监理同意方可施工。</w:t>
      </w:r>
    </w:p>
    <w:p w14:paraId="21EE2F3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成品地面必须有覆盖物保护措施。</w:t>
      </w:r>
    </w:p>
    <w:p w14:paraId="2810360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在成品地面上不允许进行切割、焊接、绞丝等施工作业。</w:t>
      </w:r>
    </w:p>
    <w:p w14:paraId="46D19C8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铁梯、脚手架等必须包护脚。</w:t>
      </w:r>
    </w:p>
    <w:p w14:paraId="7359211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地面防止被油污浸入污染。</w:t>
      </w:r>
    </w:p>
    <w:p w14:paraId="17A571F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地面、门窗不准硬物、重物撞击及利物损伤，造成损坏或变形。</w:t>
      </w:r>
    </w:p>
    <w:p w14:paraId="213F816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窗框上不允许搁置重物。</w:t>
      </w:r>
    </w:p>
    <w:p w14:paraId="17DA324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幕墙及窗框防止被污染，必须有保护措施。</w:t>
      </w:r>
    </w:p>
    <w:p w14:paraId="1515205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玻璃及易碎品防止损坏。</w:t>
      </w:r>
    </w:p>
    <w:p w14:paraId="32BA60A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防止玻璃被火花烧伤。</w:t>
      </w:r>
    </w:p>
    <w:p w14:paraId="300B76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4"/>
          <w:szCs w:val="24"/>
          <w:highlight w:val="none"/>
        </w:rPr>
      </w:pPr>
      <w:r>
        <w:rPr>
          <w:rFonts w:hint="eastAsia" w:ascii="宋体" w:hAnsi="宋体" w:eastAsia="宋体" w:cs="宋体"/>
          <w:color w:val="000000"/>
          <w:sz w:val="21"/>
          <w:szCs w:val="21"/>
          <w:highlight w:val="none"/>
        </w:rPr>
        <w:t>地面、门窗成品保护不到位，执行《施工场地管理规定》2、（8）条。</w:t>
      </w:r>
    </w:p>
    <w:p w14:paraId="75CD2562">
      <w:pPr>
        <w:keepNext w:val="0"/>
        <w:keepLines w:val="0"/>
        <w:pageBreakBefore w:val="0"/>
        <w:widowControl w:val="0"/>
        <w:spacing w:beforeAutospacing="0" w:afterAutospacing="0" w:line="360" w:lineRule="auto"/>
        <w:ind w:left="0" w:right="0" w:firstLine="482"/>
        <w:contextualSpacing/>
        <w:jc w:val="center"/>
        <w:rPr>
          <w:rFonts w:hint="eastAsia" w:ascii="宋体" w:hAnsi="宋体" w:eastAsia="宋体" w:cs="宋体"/>
          <w:b/>
          <w:color w:val="000000"/>
          <w:sz w:val="24"/>
          <w:szCs w:val="24"/>
          <w:highlight w:val="none"/>
        </w:rPr>
      </w:pPr>
    </w:p>
    <w:p w14:paraId="212EF3E4">
      <w:pPr>
        <w:keepNext w:val="0"/>
        <w:keepLines w:val="0"/>
        <w:pageBreakBefore w:val="0"/>
        <w:widowControl w:val="0"/>
        <w:spacing w:beforeAutospacing="0" w:afterAutospacing="0" w:line="360" w:lineRule="auto"/>
        <w:ind w:left="0" w:right="0" w:firstLine="482"/>
        <w:contextualSpacing/>
        <w:outlineLvl w:val="1"/>
        <w:rPr>
          <w:rFonts w:hint="eastAsia" w:ascii="宋体" w:hAnsi="宋体" w:eastAsia="宋体" w:cs="宋体"/>
          <w:b/>
          <w:color w:val="000000"/>
          <w:sz w:val="28"/>
          <w:szCs w:val="28"/>
          <w:highlight w:val="none"/>
        </w:rPr>
      </w:pPr>
      <w:r>
        <w:rPr>
          <w:rFonts w:hint="eastAsia" w:ascii="宋体" w:hAnsi="宋体" w:eastAsia="宋体" w:cs="宋体"/>
          <w:b/>
          <w:color w:val="000000"/>
          <w:sz w:val="24"/>
          <w:szCs w:val="24"/>
          <w:highlight w:val="none"/>
        </w:rPr>
        <w:br w:type="page" w:clear="all"/>
      </w:r>
      <w:r>
        <w:rPr>
          <w:rFonts w:hint="eastAsia" w:ascii="宋体" w:hAnsi="宋体" w:eastAsia="宋体" w:cs="宋体"/>
          <w:b/>
          <w:color w:val="000000"/>
          <w:sz w:val="28"/>
          <w:szCs w:val="28"/>
          <w:highlight w:val="none"/>
        </w:rPr>
        <w:t>附件2</w:t>
      </w:r>
    </w:p>
    <w:p w14:paraId="508B368C">
      <w:pPr>
        <w:pageBreakBefore w:val="0"/>
        <w:spacing w:beforeAutospacing="0" w:afterAutospacing="0" w:line="440" w:lineRule="exact"/>
        <w:ind w:left="0"/>
        <w:contextualSpacing/>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建设工程安全文明施工管理办法</w:t>
      </w:r>
    </w:p>
    <w:p w14:paraId="104048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第一章总则</w:t>
      </w:r>
    </w:p>
    <w:p w14:paraId="03849DD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第一条为了切实加强医院基本建设安全文明施工管理,根据建设部有关安全文明施工的规定,结合我院实际,制定本管理办法。</w:t>
      </w:r>
    </w:p>
    <w:p w14:paraId="5B06DDC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第二条凡在院区范围内从事有基建办负责管理的基本建设、改扩建及维修工程的施工单位,必须遵守本办法。</w:t>
      </w:r>
    </w:p>
    <w:p w14:paraId="1CDFFD7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第三条施工单位、监理单位是安全文明施工的责任主体,对其施工、监理范围内工程的安全文明施工负责。基建办有关管理人员负协助管理责任。</w:t>
      </w:r>
    </w:p>
    <w:p w14:paraId="2E2DA64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条施工单位、监理单位及基建办指派的现场管理人员要对安全文明施工采取切实可行的措施,严格按照建设部有关安全文明施工的规定组织施工,防止安全事故和不文明行为的发生。具体条款参照建设部最新规定相关条款执行。</w:t>
      </w:r>
    </w:p>
    <w:p w14:paraId="173F9F2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第二章施工现场安全文明管理</w:t>
      </w:r>
    </w:p>
    <w:p w14:paraId="4CE30038">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第五条施工场地四周围墙设置高度应不低于1.8米,在主要路段工地施工的围墙设置应不低于2.5米。围墙须沿工地四周连续设置,并建有门楼和值班室。围墙及门楼材料要坚固,做到稳定、整洁、美观。</w:t>
      </w:r>
    </w:p>
    <w:p w14:paraId="7DB124E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第六条施工门楼前必须设置企业标志,新建或改扩建项目平面布置图、效果图,以及工程概况、组织管理网络、文明施工管理、安全生产牌。十项安全技术措施，消防须知牌等各种现场管理制度。</w:t>
      </w:r>
    </w:p>
    <w:p w14:paraId="746F37F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第七条施工现场必须配备责任心强的值班人员,实行封闭式管理。施工作业人员和工作人员进出施工现场必须佩戴工作卡,非现场工作人员未经批准不得擅自进入施工现场。</w:t>
      </w:r>
    </w:p>
    <w:p w14:paraId="1C314A2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第八条现场施工人员及其工作人员必须佩戴安全帽。同时现场应配备一定数量的安全帽,以便供外来参观和检查人员使用。</w:t>
      </w:r>
    </w:p>
    <w:p w14:paraId="6D67064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第九条主要出入口和通道口应设置有顶盖的安全防护,临近道路和其它建筑物的外墙立面或有其它要求的外墙立面应采取封闭施工。</w:t>
      </w:r>
    </w:p>
    <w:p w14:paraId="1EF083F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第十条现场施工必须严格遵守国家有关安全文明施工的规定和规范要求，严禁违规操作。</w:t>
      </w:r>
    </w:p>
    <w:p w14:paraId="551618E3">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第十一条加强现场成品保护和周边环境保护。施工单位是施工现场成品的安全责任主体,要派专人看守,基建办应予以协助。施工单位的施工人员在施工过程中不得破坏和损坏周边环境。包括道路和树木。</w:t>
      </w:r>
    </w:p>
    <w:p w14:paraId="6A617429">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第十二条施工现场道路和材料堆放场地必须硬化,排水通畅,保证施工现场无积水。</w:t>
      </w:r>
    </w:p>
    <w:p w14:paraId="5712E4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三条施工材料、机具及设备应按平面布置图合理摆放在施工现场内,不得混合堆放,且标识正确、清楚。易燃易爆及危险品要严格按规定分类入库管理。无论是施工材料还是施工用机具与设备,均不得随意摆放在场外。</w:t>
      </w:r>
    </w:p>
    <w:p w14:paraId="43A82A2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四条对于单体建筑工程的施工现场,其道路必须畅通无阻,现场出入口处道路必须设置车辆冲洗槽、沉淀池,配备冲洗设备。出入车辆必须冲洗干净,保证车辆不带泥土上路。对于难以保证车辆不带泥土上路的工程,施工单位在施工过程中要派专人及时清扫路面,保持路面整洁、干净。</w:t>
      </w:r>
    </w:p>
    <w:p w14:paraId="6251007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第十五条施工现场的建筑废料和垃圾要及时清理外运,做到工完料尽场清。严格按要求运至基建办指定地点。严禁未经批准随处乱倒建筑废料和垃圾。</w:t>
      </w:r>
    </w:p>
    <w:p w14:paraId="51F0341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第十六条生活区必须与施工作业区分开。正在施工的工程不得用作施工单位职工宿舍、项目部办公室。生活临时用房要按基建办指定地点新建,工程完工后应将其场地清理干净。</w:t>
      </w:r>
    </w:p>
    <w:p w14:paraId="649BB30E">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七条施工现场要采取防粉尘、防噪音、防灯光措施,严禁在施工现场焚烧有毒有害物质,一般不得在晚上6点至次日凌晨6点时段内施工，中午避让病人休息时间。特殊情况须经基建办领导批准后，向环保部门办理夜间施工相关手续。</w:t>
      </w:r>
    </w:p>
    <w:p w14:paraId="6D3D3BB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第十八条施工现场应制定防火制度,落实防火责任人。施工单位要认真贯彻“以防为主,防消结合”的方针。现场要配足必备的灭火器材,提供充足的消防水源,并建有临时休息室,严禁作业人员乱扔烟头。</w:t>
      </w:r>
    </w:p>
    <w:p w14:paraId="684771EF">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第十九条施工现场应设置自冲式男、女厕所,严禁作业人员随地大小便。</w:t>
      </w:r>
    </w:p>
    <w:p w14:paraId="0C83D6B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第三章安全文明综合治理</w:t>
      </w:r>
    </w:p>
    <w:p w14:paraId="4E0D3FE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第二十条施工单位的所有人员必须遵守国家的法律法规。各施工单位应定期对其职工加强安全文明教育和遵纪守法教育。</w:t>
      </w:r>
    </w:p>
    <w:p w14:paraId="4076644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第二十一条施工单位应建立安全文明管理制度,采取切实可行的安全保卫和文明管理措施,落实责任人,坚决杜绝不安全和不文明行为的发生,严禁打架斗殴、赌博、行窃等违法违纪行为。</w:t>
      </w:r>
    </w:p>
    <w:p w14:paraId="5DDD2DB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第二十二条加强施工人员生活区管理。生活区的食堂、厕所与垃圾箱应保持一定的距离。生活区与现场作业区相邻时,场内须设置带盖的垃圾桶。生活垃圾与建筑垃圾应分开堆放和处置。</w:t>
      </w:r>
    </w:p>
    <w:p w14:paraId="3657B4DA">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第二十三条加强施工人员宿舍内用电管理，宿舍内严禁使用大功率电器。</w:t>
      </w:r>
    </w:p>
    <w:p w14:paraId="7066CE4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第二十四条施工单位所有车辆不得在院区内高速行驶和鸣号,所有建筑材料运输车辆不得在院区路道路上行驶,因施工需要,须经基建办领导批准。</w:t>
      </w:r>
    </w:p>
    <w:p w14:paraId="1295E374">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第四章处罚措施</w:t>
      </w:r>
    </w:p>
    <w:p w14:paraId="180090F1">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第二十五条监理单位和基建办指派现场的管理人员要加强施工现场安全文明施工的管理和监督,对施工单位违反本办法的规定和不安全、不文明的行为应提出处理处罚建议,经基建办主管领导批准执行。</w:t>
      </w:r>
    </w:p>
    <w:p w14:paraId="7DB75890">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六条对于任何处理处罚决定,基建办应出据处理处罚通知书。通知书一式五份,施工单位、处办公室、现场管理人员、监理公司、基建办主管领导各一份。对于经济处罚决定,其处理处罚通知书应另加一份送校基建财务科,由校基建财务科从被处罚单位工程款项中扣减其处罚款。</w:t>
      </w:r>
    </w:p>
    <w:p w14:paraId="2D32E3FB">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第二十七条有下列行为之一者,应给予告诫整改、责令停工整顿、罚款等处理处罚。情节严重者送交司法机关,追究刑事责任。</w:t>
      </w:r>
    </w:p>
    <w:p w14:paraId="2788279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(一)施工现场围墙及安全保护设施不符合本管理办法规定的规范要求,进行告诫整改或责令停工整顿,必要时应进行经济处罚。</w:t>
      </w:r>
    </w:p>
    <w:p w14:paraId="665C4665">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(二)现场施工人员违反施工管理规定和施工操作规范,在告诫整改不听的情况下,处以100—500元的罚款。</w:t>
      </w:r>
    </w:p>
    <w:p w14:paraId="3F6ADC3C">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(三)施工人员在施工过程中破坏或损坏周边环境、应保护成品,除赔偿损失外,处以200—600元的罚款。</w:t>
      </w:r>
    </w:p>
    <w:p w14:paraId="2D667CD2">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(四)施工车辆未经清洗上路行驶,污染路面而未及时清扫干净,除接受城管部门处罚外，来院再处以1000—5000元的罚款。</w:t>
      </w:r>
    </w:p>
    <w:p w14:paraId="1D62EC86">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(五)施工单位对职工管理不严,出现打架斗殴、盗窃、赌博等违纪违法行为,轻则告诫整改和进行经济处罚,发现一起可处以500—1000元的罚款。重则移交司法机关追究刑事责任。</w:t>
      </w:r>
    </w:p>
    <w:p w14:paraId="35516CC7">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(六)未经批准,其建筑材料运输车辆和施工车辆擅自进入院区道路行驶,处以500—1000元的罚款。</w:t>
      </w:r>
    </w:p>
    <w:p w14:paraId="31A7393D">
      <w:pPr>
        <w:keepNext w:val="0"/>
        <w:keepLines w:val="0"/>
        <w:pageBreakBefore w:val="0"/>
        <w:widowControl w:val="0"/>
        <w:spacing w:beforeAutospacing="0" w:afterAutospacing="0" w:line="360" w:lineRule="auto"/>
        <w:ind w:left="0" w:righ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(七)违反本办法的其它规定,经教育不改者,可处以200—1000元的罚款。</w:t>
      </w:r>
    </w:p>
    <w:p w14:paraId="25A8B82E">
      <w:pPr>
        <w:pStyle w:val="116"/>
        <w:pageBreakBefore w:val="0"/>
        <w:tabs>
          <w:tab w:val="left" w:pos="0"/>
          <w:tab w:val="left" w:pos="993"/>
          <w:tab w:val="left" w:pos="1134"/>
        </w:tabs>
        <w:spacing w:beforeAutospacing="0" w:afterAutospacing="0" w:line="360" w:lineRule="auto"/>
        <w:ind w:left="0" w:firstLine="420"/>
        <w:jc w:val="left"/>
        <w:rPr>
          <w:rFonts w:hAnsi="宋体" w:cs="仿宋"/>
          <w:color w:val="000000"/>
          <w:sz w:val="21"/>
          <w:szCs w:val="21"/>
          <w:highlight w:val="none"/>
        </w:rPr>
      </w:pPr>
    </w:p>
    <w:p w14:paraId="28B0698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7D3F43D0">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69C20DED">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09FF7D0B">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5C45DF1A">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4F9E747">
      <w:pPr>
        <w:pageBreakBefore w:val="0"/>
        <w:tabs>
          <w:tab w:val="left" w:pos="0"/>
          <w:tab w:val="left" w:pos="993"/>
          <w:tab w:val="left" w:pos="1134"/>
        </w:tabs>
        <w:spacing w:beforeAutospacing="0" w:afterAutospacing="0" w:line="360" w:lineRule="auto"/>
        <w:ind w:left="0"/>
        <w:rPr>
          <w:rFonts w:eastAsia="黑体"/>
          <w:b/>
          <w:color w:val="000000"/>
          <w:sz w:val="32"/>
          <w:highlight w:val="none"/>
        </w:rPr>
      </w:pPr>
    </w:p>
    <w:p w14:paraId="2970F5F5">
      <w:pPr>
        <w:keepNext w:val="0"/>
        <w:keepLines w:val="0"/>
        <w:pageBreakBefore w:val="0"/>
        <w:tabs>
          <w:tab w:val="left" w:pos="0"/>
          <w:tab w:val="left" w:pos="993"/>
          <w:tab w:val="left" w:pos="1134"/>
        </w:tabs>
        <w:spacing w:beforeAutospacing="0" w:afterAutospacing="0" w:line="360" w:lineRule="auto"/>
        <w:ind w:left="0" w:firstLine="643"/>
        <w:jc w:val="center"/>
        <w:outlineLvl w:val="1"/>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工程质量保修书</w:t>
      </w:r>
    </w:p>
    <w:p w14:paraId="09D075EE">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w:t>
      </w:r>
      <w:r>
        <w:rPr>
          <w:rFonts w:hint="eastAsia" w:ascii="宋体" w:hAnsi="宋体" w:eastAsia="宋体" w:cs="宋体"/>
          <w:b/>
          <w:color w:val="000000"/>
          <w:sz w:val="21"/>
          <w:szCs w:val="21"/>
          <w:highlight w:val="none"/>
        </w:rPr>
        <w:t>扬州大学附属医院</w:t>
      </w:r>
    </w:p>
    <w:p w14:paraId="47472417">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w:t>
      </w:r>
      <w:r>
        <w:rPr>
          <w:rFonts w:hint="eastAsia" w:ascii="宋体" w:hAnsi="宋体" w:eastAsia="宋体" w:cs="宋体"/>
          <w:b/>
          <w:color w:val="000000"/>
          <w:sz w:val="21"/>
          <w:szCs w:val="21"/>
          <w:highlight w:val="none"/>
        </w:rPr>
        <w:t xml:space="preserve"> </w:t>
      </w:r>
    </w:p>
    <w:p w14:paraId="6F82B227">
      <w:pPr>
        <w:keepNext w:val="0"/>
        <w:keepLines w:val="0"/>
        <w:pageBreakBefore w:val="0"/>
        <w:spacing w:beforeAutospacing="0" w:afterAutospacing="0" w:line="360" w:lineRule="auto"/>
        <w:ind w:left="0" w:firstLine="420"/>
        <w:contextualSpacing/>
        <w:rPr>
          <w:rFonts w:hint="eastAsia" w:ascii="宋体" w:hAnsi="宋体" w:eastAsia="宋体" w:cs="宋体"/>
          <w:b/>
          <w:bCs/>
          <w:color w:val="000000"/>
          <w:sz w:val="21"/>
          <w:szCs w:val="21"/>
          <w:highlight w:val="none"/>
        </w:rPr>
      </w:pPr>
      <w:r>
        <w:rPr>
          <w:rFonts w:hint="eastAsia" w:ascii="宋体" w:hAnsi="宋体" w:eastAsia="宋体" w:cs="宋体"/>
          <w:color w:val="000000"/>
          <w:sz w:val="21"/>
          <w:szCs w:val="21"/>
          <w:highlight w:val="none"/>
        </w:rPr>
        <w:t>发包人承包人双方根据《中华人民共和国建筑法》、《建设工程质量管理条例》和《房屋建筑工程质量保修办法》，经协商一致，对</w:t>
      </w:r>
      <w:r>
        <w:rPr>
          <w:rFonts w:hint="eastAsia" w:ascii="宋体" w:hAnsi="宋体" w:eastAsia="宋体" w:cs="宋体"/>
          <w:b/>
          <w:bCs/>
          <w:color w:val="000000"/>
          <w:sz w:val="21"/>
          <w:szCs w:val="21"/>
          <w:highlight w:val="none"/>
          <w:u w:val="single"/>
        </w:rPr>
        <w:t xml:space="preserve">                           </w:t>
      </w:r>
      <w:r>
        <w:rPr>
          <w:rFonts w:hint="eastAsia" w:ascii="宋体" w:hAnsi="宋体" w:eastAsia="宋体" w:cs="宋体"/>
          <w:bCs/>
          <w:color w:val="000000"/>
          <w:sz w:val="21"/>
          <w:szCs w:val="21"/>
          <w:highlight w:val="none"/>
        </w:rPr>
        <w:t>项目</w:t>
      </w:r>
      <w:r>
        <w:rPr>
          <w:rFonts w:hint="eastAsia" w:ascii="宋体" w:hAnsi="宋体" w:eastAsia="宋体" w:cs="宋体"/>
          <w:color w:val="000000"/>
          <w:sz w:val="21"/>
          <w:szCs w:val="21"/>
          <w:highlight w:val="none"/>
        </w:rPr>
        <w:t>签订工程质量保修书。</w:t>
      </w:r>
    </w:p>
    <w:p w14:paraId="48BA24C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一、工程质量保修范围和内容</w:t>
      </w:r>
    </w:p>
    <w:p w14:paraId="3EF37EC3">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u w:val="single"/>
        </w:rPr>
      </w:pPr>
      <w:r>
        <w:rPr>
          <w:rFonts w:hint="eastAsia" w:ascii="宋体" w:hAnsi="宋体" w:eastAsia="宋体" w:cs="宋体"/>
          <w:color w:val="000000"/>
          <w:sz w:val="21"/>
          <w:szCs w:val="21"/>
          <w:highlight w:val="none"/>
        </w:rPr>
        <w:t>1、承包人在质量保修期内，按照有关法律、法规、规章的管理规定和双方约定，承担本工程质量保修责任。质量保修范围内包括合同约定的全部承包项目。具体质量保修内容双方约定如下：</w:t>
      </w:r>
      <w:r>
        <w:rPr>
          <w:rFonts w:hint="eastAsia" w:ascii="宋体" w:hAnsi="宋体" w:eastAsia="宋体" w:cs="宋体"/>
          <w:b/>
          <w:color w:val="000000"/>
          <w:sz w:val="21"/>
          <w:szCs w:val="21"/>
          <w:highlight w:val="none"/>
          <w:u w:val="single"/>
        </w:rPr>
        <w:t>凡属承包人加工及施工工艺、施工方法及材料质量等质量问题造成的需返工修补的情况。</w:t>
      </w:r>
    </w:p>
    <w:p w14:paraId="14E3268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二、质量保修期</w:t>
      </w:r>
    </w:p>
    <w:p w14:paraId="2F8C3A89">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1、质量保修期从工程实际竣工之日起开始计算。分单项竣工验收的工程，按单项工程分别计算质量保修期。双方根据《建设工程质量管理条例》及有关规定，约定本工程的质量保修期如下：</w:t>
      </w:r>
    </w:p>
    <w:p w14:paraId="1382D35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本工程质量保修期为</w:t>
      </w:r>
      <w:r>
        <w:rPr>
          <w:rFonts w:hint="eastAsia" w:ascii="宋体" w:hAnsi="宋体" w:eastAsia="宋体" w:cs="宋体"/>
          <w:b/>
          <w:color w:val="000000"/>
          <w:sz w:val="21"/>
          <w:szCs w:val="21"/>
          <w:highlight w:val="none"/>
          <w:u w:val="single"/>
        </w:rPr>
        <w:t>2年</w:t>
      </w:r>
      <w:r>
        <w:rPr>
          <w:rFonts w:hint="eastAsia" w:ascii="宋体" w:hAnsi="宋体" w:eastAsia="宋体" w:cs="宋体"/>
          <w:color w:val="000000"/>
          <w:sz w:val="21"/>
          <w:szCs w:val="21"/>
          <w:highlight w:val="none"/>
        </w:rPr>
        <w:t>，从工程竣工验收合格之日起，2年内因工程质量问题所发生的材料费、保修人工费等均由承包人负责免费维修和更换。</w:t>
      </w:r>
    </w:p>
    <w:p w14:paraId="2D353F3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2、在承包人对质量保证期内出现的质量问题进行维修时，承包人应相应延长维修或更换部分的质量保证期。</w:t>
      </w:r>
    </w:p>
    <w:p w14:paraId="0096634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3、质量保证期内因发包人原因或自然灾害而造成的损坏，承包人不承担保修责任，但承包人有义务对此进行维修，维修发生的材料和人工费用由发包人承担。</w:t>
      </w:r>
    </w:p>
    <w:p w14:paraId="075589E4">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三、质量保修责任</w:t>
      </w:r>
    </w:p>
    <w:p w14:paraId="1D46E48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1、属于保修范围、内容的项目，承包人应当在接到保修通知之曰起7天内派人保修。承包人不在约定期限内派人保修的，发包人可以委托他人修理，保修费用从质量保修金内扣除。</w:t>
      </w:r>
    </w:p>
    <w:p w14:paraId="0FBF104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2、发生紧急抢修事故的，承包人在接到事故通知后，应当立即到达事故现场抢修。非承包人施工质量引起的事故，费用由发包人承担。</w:t>
      </w:r>
    </w:p>
    <w:p w14:paraId="2C99A502">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3、在国家规定的工程合理使用年限内，承包人要确保工程质量。因承包人原因致使工程在合理使用年限内造成人身和财产损害的，承包人应承担损害赔偿责任。</w:t>
      </w:r>
    </w:p>
    <w:p w14:paraId="548E1420">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四、保修费用</w:t>
      </w:r>
    </w:p>
    <w:p w14:paraId="37DC0F4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u w:val="single"/>
        </w:rPr>
      </w:pPr>
      <w:r>
        <w:rPr>
          <w:rFonts w:hint="eastAsia" w:ascii="宋体" w:hAnsi="宋体" w:eastAsia="宋体" w:cs="宋体"/>
          <w:color w:val="000000"/>
          <w:sz w:val="21"/>
          <w:szCs w:val="21"/>
          <w:highlight w:val="none"/>
        </w:rPr>
        <w:t>保修费用由造成质量缺陷的责任方承担。本工程约定的工程质量保修金为施工合同价的</w:t>
      </w:r>
      <w:r>
        <w:rPr>
          <w:rFonts w:hint="eastAsia" w:ascii="宋体" w:hAnsi="宋体"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%。本工程双方约定的工程质量保修金的金额为人民币（大写）：</w:t>
      </w:r>
      <w:r>
        <w:rPr>
          <w:rFonts w:hint="eastAsia" w:ascii="宋体" w:hAnsi="宋体" w:eastAsia="宋体" w:cs="宋体"/>
          <w:color w:val="000000"/>
          <w:sz w:val="21"/>
          <w:szCs w:val="21"/>
          <w:highlight w:val="none"/>
          <w:u w:val="single"/>
        </w:rPr>
        <w:t xml:space="preserve">  </w:t>
      </w:r>
      <w:r>
        <w:rPr>
          <w:rFonts w:hint="eastAsia" w:cs="宋体"/>
          <w:color w:val="000000"/>
          <w:sz w:val="21"/>
          <w:szCs w:val="21"/>
          <w:highlight w:val="none"/>
          <w:u w:val="single"/>
          <w:lang w:val="en-US" w:eastAsia="zh-CN"/>
        </w:rPr>
        <w:t xml:space="preserve">    </w:t>
      </w:r>
      <w:r>
        <w:rPr>
          <w:rFonts w:hint="eastAsia" w:ascii="宋体" w:hAnsi="宋体" w:eastAsia="宋体" w:cs="宋体"/>
          <w:color w:val="000000"/>
          <w:sz w:val="21"/>
          <w:szCs w:val="21"/>
          <w:highlight w:val="none"/>
          <w:u w:val="single"/>
        </w:rPr>
        <w:t xml:space="preserve">   </w:t>
      </w:r>
    </w:p>
    <w:p w14:paraId="69B87D3C">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五、质量保修金的退还</w:t>
      </w:r>
    </w:p>
    <w:p w14:paraId="64A2B67B">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发包人在质量保修期满后21天内，将剩余保修金（不计利息）返还承包人。</w:t>
      </w:r>
    </w:p>
    <w:p w14:paraId="1A8C268F">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六、其他</w:t>
      </w:r>
    </w:p>
    <w:p w14:paraId="311D7427">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双方约定的其他工程质量保修事项：</w:t>
      </w:r>
      <w:r>
        <w:rPr>
          <w:rFonts w:hint="eastAsia" w:ascii="宋体" w:hAnsi="宋体" w:eastAsia="宋体" w:cs="宋体"/>
          <w:b/>
          <w:color w:val="000000"/>
          <w:sz w:val="21"/>
          <w:szCs w:val="21"/>
          <w:highlight w:val="none"/>
          <w:u w:val="single"/>
        </w:rPr>
        <w:t xml:space="preserve">       /       </w:t>
      </w:r>
      <w:r>
        <w:rPr>
          <w:rFonts w:hint="eastAsia" w:ascii="宋体" w:hAnsi="宋体" w:eastAsia="宋体" w:cs="宋体"/>
          <w:b/>
          <w:color w:val="000000"/>
          <w:sz w:val="21"/>
          <w:szCs w:val="21"/>
          <w:highlight w:val="none"/>
        </w:rPr>
        <w:t>。</w:t>
      </w:r>
    </w:p>
    <w:p w14:paraId="5CA71CAA">
      <w:pPr>
        <w:pStyle w:val="101"/>
        <w:keepNext w:val="0"/>
        <w:keepLines w:val="0"/>
        <w:pageBreakBefore w:val="0"/>
        <w:spacing w:before="0" w:beforeAutospacing="0" w:after="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本工程质量保修书，由施工合同发包人、承包人双方在竣工验收前共同签署，作为施工合同附件其有效期限至保修期满。</w:t>
      </w:r>
    </w:p>
    <w:p w14:paraId="65EE433D">
      <w:pPr>
        <w:keepNext w:val="0"/>
        <w:keepLines w:val="0"/>
        <w:pageBreakBefore w:val="0"/>
        <w:spacing w:beforeAutospacing="0" w:afterAutospacing="0" w:line="360" w:lineRule="auto"/>
        <w:ind w:left="0"/>
        <w:contextualSpacing/>
        <w:rPr>
          <w:rFonts w:hint="eastAsia" w:ascii="宋体" w:hAnsi="宋体" w:eastAsia="宋体" w:cs="宋体"/>
          <w:color w:val="000000"/>
          <w:sz w:val="21"/>
          <w:szCs w:val="21"/>
          <w:highlight w:val="none"/>
        </w:rPr>
      </w:pPr>
    </w:p>
    <w:p w14:paraId="29EE97E5">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304C7A0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00B47F6C">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0329637E">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0B92DB4A">
      <w:pPr>
        <w:keepNext w:val="0"/>
        <w:keepLines w:val="0"/>
        <w:pageBreakBefore w:val="0"/>
        <w:spacing w:beforeAutospacing="0" w:afterAutospacing="0" w:line="360" w:lineRule="auto"/>
        <w:ind w:left="0" w:firstLine="420"/>
        <w:contextualSpacing/>
        <w:rPr>
          <w:rFonts w:hint="eastAsia" w:ascii="宋体" w:hAnsi="宋体" w:eastAsia="宋体" w:cs="宋体"/>
          <w:color w:val="000000"/>
          <w:sz w:val="21"/>
          <w:szCs w:val="21"/>
          <w:highlight w:val="none"/>
        </w:rPr>
      </w:pPr>
    </w:p>
    <w:p w14:paraId="101ECB2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p>
    <w:p w14:paraId="042E8E53">
      <w:pPr>
        <w:keepNext w:val="0"/>
        <w:keepLines w:val="0"/>
        <w:pageBreakBefore w:val="0"/>
        <w:spacing w:beforeAutospacing="0" w:afterAutospacing="0" w:line="360" w:lineRule="auto"/>
        <w:rPr>
          <w:rFonts w:hint="default" w:ascii="宋体" w:hAnsi="宋体" w:eastAsia="宋体" w:cs="宋体"/>
          <w:color w:val="000000"/>
          <w:sz w:val="36"/>
          <w:highlight w:val="none"/>
          <w:lang w:val="en-US" w:eastAsia="zh-CN"/>
        </w:rPr>
      </w:pPr>
      <w:r>
        <w:rPr>
          <w:rFonts w:hint="eastAsia" w:ascii="宋体" w:hAnsi="宋体" w:cs="宋体"/>
          <w:color w:val="000000"/>
          <w:sz w:val="36"/>
          <w:highlight w:val="none"/>
          <w:lang w:val="en-US" w:eastAsia="zh-CN"/>
        </w:rPr>
        <w:t xml:space="preserve">  </w:t>
      </w:r>
    </w:p>
    <w:p w14:paraId="513DEB6B">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357FCE1">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4DAD5333">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5F004128">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772AD90D">
      <w:pPr>
        <w:keepNext w:val="0"/>
        <w:keepLines w:val="0"/>
        <w:pageBreakBefore w:val="0"/>
        <w:spacing w:beforeAutospacing="0" w:afterAutospacing="0" w:line="360" w:lineRule="auto"/>
        <w:ind w:left="0" w:firstLine="422"/>
        <w:rPr>
          <w:rFonts w:hint="eastAsia" w:ascii="宋体" w:hAnsi="宋体" w:eastAsia="宋体" w:cs="宋体"/>
          <w:b/>
          <w:bCs/>
          <w:color w:val="000000"/>
          <w:szCs w:val="21"/>
          <w:highlight w:val="none"/>
        </w:rPr>
      </w:pPr>
    </w:p>
    <w:p w14:paraId="3548AE58">
      <w:pPr>
        <w:keepNext w:val="0"/>
        <w:keepLines w:val="0"/>
        <w:pageBreakBefore w:val="0"/>
        <w:spacing w:beforeAutospacing="0" w:afterAutospacing="0" w:line="360" w:lineRule="auto"/>
        <w:ind w:left="0" w:firstLine="422"/>
        <w:jc w:val="center"/>
        <w:rPr>
          <w:rFonts w:hint="eastAsia" w:ascii="宋体" w:hAnsi="宋体" w:eastAsia="宋体" w:cs="宋体"/>
          <w:b/>
          <w:bCs/>
          <w:color w:val="000000"/>
          <w:sz w:val="36"/>
          <w:szCs w:val="36"/>
          <w:highlight w:val="none"/>
        </w:rPr>
      </w:pPr>
      <w:r>
        <w:rPr>
          <w:rFonts w:hint="eastAsia" w:ascii="宋体" w:hAnsi="宋体" w:eastAsia="宋体" w:cs="宋体"/>
          <w:b/>
          <w:bCs/>
          <w:color w:val="000000"/>
          <w:szCs w:val="21"/>
          <w:highlight w:val="none"/>
        </w:rPr>
        <w:br w:type="page" w:clear="all"/>
      </w:r>
      <w:r>
        <w:rPr>
          <w:rFonts w:hint="eastAsia" w:ascii="宋体" w:hAnsi="宋体" w:eastAsia="宋体" w:cs="宋体"/>
          <w:b/>
          <w:bCs/>
          <w:color w:val="000000"/>
          <w:sz w:val="32"/>
          <w:szCs w:val="32"/>
          <w:highlight w:val="none"/>
        </w:rPr>
        <w:t>廉洁协议书</w:t>
      </w:r>
    </w:p>
    <w:p w14:paraId="6E292857">
      <w:pPr>
        <w:keepNext w:val="0"/>
        <w:keepLines w:val="0"/>
        <w:pageBreakBefore w:val="0"/>
        <w:spacing w:beforeAutospacing="0" w:afterAutospacing="0" w:line="360" w:lineRule="auto"/>
        <w:ind w:left="0" w:firstLine="420"/>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发包人名称:</w:t>
      </w:r>
      <w:r>
        <w:rPr>
          <w:rFonts w:hint="eastAsia" w:ascii="宋体" w:hAnsi="宋体" w:eastAsia="宋体" w:cs="宋体"/>
          <w:b/>
          <w:color w:val="000000"/>
          <w:sz w:val="21"/>
          <w:szCs w:val="21"/>
          <w:highlight w:val="none"/>
        </w:rPr>
        <w:t>扬州大学附属医院</w:t>
      </w:r>
    </w:p>
    <w:p w14:paraId="5FA4F1CE">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承包人名称:</w:t>
      </w:r>
    </w:p>
    <w:p w14:paraId="62C6EFF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在发包人承包人双方订立、履行合同过程中，为保持廉洁自律的工作作风，防止各种不正当行为的发生，发包人承包人双方订立协议如下：</w:t>
      </w:r>
    </w:p>
    <w:p w14:paraId="10912DE6">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一、发包人承包人双方应当自觉遵守国家、地方法律法规以及本协议的约定，在合同的订立、履行过程中廉洁自律。</w:t>
      </w:r>
    </w:p>
    <w:p w14:paraId="5C0CBC9B">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二、发包人工作人员严禁进行商业目的的统方，不得以任何形式向承包人索要和收受个人回扣等好处费。</w:t>
      </w:r>
    </w:p>
    <w:p w14:paraId="33F5FFCE">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三、发包人工作人员应当保持与承包人的正常业务交往，不得接受承包人的礼金、有价证券和贵重物品，不得在承包人报销任何应由其个人承担的费用。</w:t>
      </w:r>
    </w:p>
    <w:p w14:paraId="79F71FE8">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四、发包人工作人员不得参加可能对公正开展业务有影响的宴请和娱乐活动。如发包人工作人员确因实际情况须参加宴请、进行娱乐活动的，须事先报上一级批准。</w:t>
      </w:r>
    </w:p>
    <w:p w14:paraId="317DFFC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五、发包人工作人员不得要求或者接受承包人为其住房装修、婚丧嫁娶、家属和子女的工作安排以及出国等提供方便。</w:t>
      </w:r>
    </w:p>
    <w:p w14:paraId="50215792">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六、承包人不得接受发包人工作人员介绍的家属或者亲友从事与合同相关的业务。</w:t>
      </w:r>
    </w:p>
    <w:p w14:paraId="7BD99514">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七、承包人应当通过正常途径开展相关业务，不得为获取某些不正当利益而向发包人工作人员赠送礼金、有价证券和贵重物品等，或给发包人工作人员报销其个人费用，或邀请发包人工作人员外出旅游和进入营业性娱乐场所，或为发包人工作人员住房装修、婚丧嫁娶、家属和子女的工作安排以及出国等提供方便。</w:t>
      </w:r>
    </w:p>
    <w:p w14:paraId="0C5B9BF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八、承包人如发现发包人工作人员有违反上述协议者，应向发包人举报（发包人举报接待部门：纪委办公室；举报电话：87907263）。发包人不得找任何借口对承包人进行报复。发包人对举报属实和严格遵守廉洁协议的承包人，在同等条件下优先考虑与承包人继续合作。</w:t>
      </w:r>
    </w:p>
    <w:p w14:paraId="683B8F1C">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九、发包人发现承包人有违反本协议或者采用不正当的手段行贿发包人工作人员等不正当竞争行为的，发包人有权解除合同。</w:t>
      </w:r>
    </w:p>
    <w:p w14:paraId="0A9B9F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十、本廉洁协议作为合同的附件，与合同具有同等法律效力。经协议双方签署后立即生效。</w:t>
      </w:r>
    </w:p>
    <w:p w14:paraId="4D3BFD25">
      <w:pPr>
        <w:keepNext w:val="0"/>
        <w:keepLines w:val="0"/>
        <w:pageBreakBefore w:val="0"/>
        <w:spacing w:beforeAutospacing="0" w:afterAutospacing="0" w:line="360" w:lineRule="auto"/>
        <w:ind w:left="0" w:firstLine="42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十一、本协议一式</w:t>
      </w:r>
      <w:r>
        <w:rPr>
          <w:rFonts w:hint="eastAsia" w:ascii="宋体" w:hAnsi="宋体" w:eastAsia="宋体" w:cs="宋体"/>
          <w:b/>
          <w:bCs/>
          <w:color w:val="000000"/>
          <w:sz w:val="21"/>
          <w:szCs w:val="21"/>
          <w:highlight w:val="none"/>
          <w:u w:val="single"/>
        </w:rPr>
        <w:t>伍</w:t>
      </w:r>
      <w:r>
        <w:rPr>
          <w:rFonts w:hint="eastAsia" w:ascii="宋体" w:hAnsi="宋体" w:eastAsia="宋体" w:cs="宋体"/>
          <w:color w:val="000000"/>
          <w:sz w:val="21"/>
          <w:szCs w:val="21"/>
          <w:highlight w:val="none"/>
        </w:rPr>
        <w:t>份，发包人方执</w:t>
      </w:r>
      <w:r>
        <w:rPr>
          <w:rFonts w:hint="eastAsia" w:ascii="宋体" w:hAnsi="宋体" w:eastAsia="宋体" w:cs="宋体"/>
          <w:b/>
          <w:bCs/>
          <w:color w:val="000000"/>
          <w:sz w:val="21"/>
          <w:szCs w:val="21"/>
          <w:highlight w:val="none"/>
          <w:u w:val="single"/>
        </w:rPr>
        <w:t>叁</w:t>
      </w:r>
      <w:r>
        <w:rPr>
          <w:rFonts w:hint="eastAsia" w:ascii="宋体" w:hAnsi="宋体" w:eastAsia="宋体" w:cs="宋体"/>
          <w:color w:val="000000"/>
          <w:sz w:val="21"/>
          <w:szCs w:val="21"/>
          <w:highlight w:val="none"/>
        </w:rPr>
        <w:t>份，承包人方执</w:t>
      </w:r>
      <w:r>
        <w:rPr>
          <w:rFonts w:hint="eastAsia" w:ascii="宋体" w:hAnsi="宋体" w:eastAsia="宋体" w:cs="宋体"/>
          <w:b/>
          <w:bCs/>
          <w:color w:val="000000"/>
          <w:sz w:val="21"/>
          <w:szCs w:val="21"/>
          <w:highlight w:val="none"/>
          <w:u w:val="single"/>
        </w:rPr>
        <w:t>贰</w:t>
      </w:r>
      <w:r>
        <w:rPr>
          <w:rFonts w:hint="eastAsia" w:ascii="宋体" w:hAnsi="宋体" w:eastAsia="宋体" w:cs="宋体"/>
          <w:color w:val="000000"/>
          <w:sz w:val="21"/>
          <w:szCs w:val="21"/>
          <w:highlight w:val="none"/>
        </w:rPr>
        <w:t>份，并从签订之日起生效。</w:t>
      </w:r>
    </w:p>
    <w:p w14:paraId="7EED2B8C">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color w:val="000000"/>
          <w:sz w:val="21"/>
          <w:szCs w:val="21"/>
          <w:highlight w:val="none"/>
        </w:rPr>
      </w:pPr>
    </w:p>
    <w:p w14:paraId="291EF963">
      <w:pPr>
        <w:pStyle w:val="78"/>
        <w:keepNext w:val="0"/>
        <w:keepLines w:val="0"/>
        <w:pageBreakBefore w:val="0"/>
        <w:spacing w:before="0" w:beforeAutospacing="0" w:after="0" w:afterAutospacing="0" w:line="360" w:lineRule="auto"/>
        <w:ind w:left="0" w:right="0" w:firstLine="420"/>
        <w:contextualSpacing/>
        <w:rPr>
          <w:rFonts w:hint="eastAsia" w:ascii="宋体" w:hAnsi="宋体" w:eastAsia="宋体" w:cs="宋体"/>
          <w:b/>
          <w:color w:val="000000"/>
          <w:sz w:val="21"/>
          <w:szCs w:val="21"/>
          <w:highlight w:val="none"/>
        </w:rPr>
      </w:pPr>
      <w:r>
        <w:rPr>
          <w:rFonts w:hint="eastAsia" w:ascii="宋体" w:hAnsi="宋体" w:eastAsia="宋体" w:cs="宋体"/>
          <w:color w:val="000000"/>
          <w:sz w:val="21"/>
          <w:szCs w:val="21"/>
          <w:highlight w:val="none"/>
        </w:rPr>
        <w:t>发包人：（盖章）</w:t>
      </w:r>
      <w:r>
        <w:rPr>
          <w:rFonts w:hint="eastAsia" w:ascii="宋体" w:hAnsi="宋体" w:eastAsia="宋体" w:cs="宋体"/>
          <w:b/>
          <w:color w:val="000000"/>
          <w:sz w:val="21"/>
          <w:szCs w:val="21"/>
          <w:highlight w:val="none"/>
        </w:rPr>
        <w:t xml:space="preserve">扬州大学附属医院        </w:t>
      </w:r>
      <w:r>
        <w:rPr>
          <w:rFonts w:hint="eastAsia" w:ascii="宋体" w:hAnsi="宋体" w:eastAsia="宋体" w:cs="宋体"/>
          <w:color w:val="000000"/>
          <w:sz w:val="21"/>
          <w:szCs w:val="21"/>
          <w:highlight w:val="none"/>
        </w:rPr>
        <w:t>承包人：（盖章）</w:t>
      </w:r>
    </w:p>
    <w:p w14:paraId="70A9F973">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法定代表人：                            法定代表人：</w:t>
      </w:r>
    </w:p>
    <w:p w14:paraId="34253312">
      <w:pPr>
        <w:keepNext w:val="0"/>
        <w:keepLines w:val="0"/>
        <w:pageBreakBefore w:val="0"/>
        <w:spacing w:beforeAutospacing="0" w:afterAutospacing="0" w:line="360" w:lineRule="auto"/>
        <w:ind w:left="0" w:firstLine="420"/>
        <w:contextualSpacing/>
        <w:rPr>
          <w:rFonts w:hint="eastAsia" w:ascii="宋体" w:hAnsi="宋体" w:eastAsia="宋体" w:cs="宋体"/>
          <w:bCs/>
          <w:color w:val="000000"/>
          <w:sz w:val="21"/>
          <w:szCs w:val="21"/>
          <w:highlight w:val="none"/>
        </w:rPr>
      </w:pPr>
      <w:r>
        <w:rPr>
          <w:rFonts w:hint="eastAsia" w:ascii="宋体" w:hAnsi="宋体" w:eastAsia="宋体" w:cs="宋体"/>
          <w:color w:val="000000"/>
          <w:sz w:val="21"/>
          <w:szCs w:val="21"/>
          <w:highlight w:val="none"/>
        </w:rPr>
        <w:t>（或授权签约人）：                      （或授权签约人）：</w:t>
      </w:r>
    </w:p>
    <w:p w14:paraId="5AF37C6F">
      <w:pPr>
        <w:keepNext w:val="0"/>
        <w:keepLines w:val="0"/>
        <w:pageBreakBefore w:val="0"/>
        <w:spacing w:beforeAutospacing="0" w:afterAutospacing="0" w:line="360" w:lineRule="auto"/>
        <w:ind w:left="0" w:firstLine="420"/>
        <w:contextualSpacing/>
        <w:rPr>
          <w:rFonts w:hint="eastAsia" w:ascii="宋体" w:hAnsi="宋体" w:eastAsia="宋体" w:cs="宋体"/>
          <w:b/>
          <w:color w:val="000000"/>
          <w:sz w:val="36"/>
          <w:szCs w:val="36"/>
          <w:highlight w:val="none"/>
        </w:rPr>
      </w:pPr>
      <w:r>
        <w:rPr>
          <w:rFonts w:hint="eastAsia" w:ascii="宋体" w:hAnsi="宋体" w:eastAsia="宋体" w:cs="宋体"/>
          <w:color w:val="000000"/>
          <w:sz w:val="21"/>
          <w:szCs w:val="21"/>
          <w:highlight w:val="none"/>
        </w:rPr>
        <w:t>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                  日</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期：20</w:t>
      </w:r>
      <w:r>
        <w:rPr>
          <w:rFonts w:hint="eastAsia" w:ascii="宋体" w:hAnsi="宋体" w:eastAsia="宋体" w:cs="宋体"/>
          <w:color w:val="000000"/>
          <w:sz w:val="21"/>
          <w:szCs w:val="21"/>
          <w:highlight w:val="none"/>
          <w:lang w:val="en-US" w:eastAsia="zh-CN"/>
        </w:rPr>
        <w:t>2</w:t>
      </w:r>
      <w:r>
        <w:rPr>
          <w:rFonts w:hint="eastAsia" w:ascii="宋体" w:hAnsi="宋体" w:cs="宋体"/>
          <w:color w:val="000000"/>
          <w:sz w:val="21"/>
          <w:szCs w:val="21"/>
          <w:highlight w:val="none"/>
          <w:lang w:val="en-US" w:eastAsia="zh-CN"/>
        </w:rPr>
        <w:t xml:space="preserve">  </w:t>
      </w:r>
      <w:r>
        <w:rPr>
          <w:rFonts w:hint="eastAsia" w:ascii="宋体" w:hAnsi="宋体" w:eastAsia="宋体" w:cs="宋体"/>
          <w:color w:val="000000"/>
          <w:sz w:val="21"/>
          <w:szCs w:val="21"/>
          <w:highlight w:val="none"/>
        </w:rPr>
        <w:t>年   月     日</w:t>
      </w:r>
    </w:p>
    <w:p w14:paraId="17B7B419">
      <w:pPr>
        <w:pageBreakBefore w:val="0"/>
        <w:spacing w:beforeAutospacing="0" w:afterAutospacing="0" w:line="440" w:lineRule="exact"/>
        <w:ind w:left="0"/>
        <w:contextualSpacing/>
        <w:jc w:val="center"/>
        <w:rPr>
          <w:rFonts w:hint="eastAsia" w:ascii="宋体" w:hAnsi="宋体" w:eastAsia="宋体" w:cs="宋体"/>
          <w:bCs/>
          <w:color w:val="000000"/>
          <w:highlight w:val="none"/>
        </w:rPr>
      </w:pPr>
      <w:r>
        <w:rPr>
          <w:rFonts w:hint="eastAsia" w:ascii="宋体" w:hAnsi="宋体" w:cs="宋体"/>
          <w:b/>
          <w:bCs/>
          <w:color w:val="000000"/>
          <w:szCs w:val="21"/>
          <w:highlight w:val="none"/>
        </w:rPr>
        <w:br w:type="page" w:clear="all"/>
      </w:r>
      <w:r>
        <w:rPr>
          <w:rFonts w:hint="eastAsia" w:ascii="宋体" w:hAnsi="宋体" w:eastAsia="宋体" w:cs="宋体"/>
          <w:b/>
          <w:bCs/>
          <w:color w:val="000000"/>
          <w:sz w:val="32"/>
          <w:szCs w:val="32"/>
          <w:highlight w:val="none"/>
        </w:rPr>
        <w:t>施工单位安全施工承诺书</w:t>
      </w:r>
    </w:p>
    <w:p w14:paraId="7C2033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本单位郑重承诺∶在___________工程施工过程中，严格遵守《中华人民共和国建筑法》、《中华人民共和国安全生产法》、《建设工程安全生产管理条例》、《安全生产许可证条例》、《施工企业安全生产评价标准》、《建筑施工安全检查标准》、《危险性较大的分部分项工程安全管理规定》《建筑工程施工发包与承包违法行为认定查处管理办法》等法律法规规章、规范标准和各项规定。</w:t>
      </w:r>
    </w:p>
    <w:p w14:paraId="2DA5B61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建立健全各项安全生产管理体系和安全生产管理责任制，按要求设置安全生产管理机构和配备专职安全管理人员，落实各项安全生产管理制度，保证安全文明施工措施费的投入和使用，编制、审核及实施施工组织设计和专项施工方案，制定和实施安全生产教育培训计划，开展安全生产检查和落实事故隐患整改措施，确保工程建设施工过程中安全生产，依法承担和落实建设工程安全生产主体责任。切实履行总承包单位对施工现场的安全生产负总责的法定义务，决不以包代管，决不违法分包、转包和挂靠，确保工程质量和施工安全。</w:t>
      </w:r>
    </w:p>
    <w:p w14:paraId="0BB958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单位法定代表人</w:t>
      </w:r>
      <w:r>
        <w:rPr>
          <w:rFonts w:hint="eastAsia" w:ascii="宋体" w:hAnsi="宋体" w:eastAsia="宋体" w:cs="宋体"/>
          <w:bCs/>
          <w:color w:val="000000"/>
          <w:highlight w:val="none"/>
          <w:u w:val="single"/>
        </w:rPr>
        <w:t xml:space="preserve">_         </w:t>
      </w:r>
      <w:r>
        <w:rPr>
          <w:rFonts w:hint="eastAsia" w:ascii="宋体" w:hAnsi="宋体" w:eastAsia="宋体" w:cs="宋体"/>
          <w:bCs/>
          <w:color w:val="000000"/>
          <w:highlight w:val="none"/>
        </w:rPr>
        <w:t>授权</w:t>
      </w:r>
      <w:r>
        <w:rPr>
          <w:rFonts w:hint="eastAsia" w:ascii="宋体" w:hAnsi="宋体" w:eastAsia="宋体" w:cs="宋体"/>
          <w:bCs/>
          <w:color w:val="000000"/>
          <w:highlight w:val="none"/>
          <w:u w:val="single"/>
        </w:rPr>
        <w:t xml:space="preserve">            </w:t>
      </w:r>
      <w:r>
        <w:rPr>
          <w:rFonts w:hint="eastAsia" w:ascii="宋体" w:hAnsi="宋体" w:eastAsia="宋体" w:cs="宋体"/>
          <w:bCs/>
          <w:color w:val="000000"/>
          <w:highlight w:val="none"/>
        </w:rPr>
        <w:t>为本工程项目经理。</w:t>
      </w:r>
    </w:p>
    <w:p w14:paraId="2334101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承诺期内，若违反上述承诺内容，本企业和承诺人愿意接受建设行政主管部门及其他有关部门依据有关法律法规给予的处罚。</w:t>
      </w:r>
    </w:p>
    <w:tbl>
      <w:tblPr>
        <w:tblStyle w:val="30"/>
        <w:tblW w:w="9310" w:type="dxa"/>
        <w:tblInd w:w="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2"/>
        <w:gridCol w:w="2200"/>
        <w:gridCol w:w="1734"/>
        <w:gridCol w:w="2754"/>
      </w:tblGrid>
      <w:tr w14:paraId="6D56A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550CBDF">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法定代表人（签名）</w:t>
            </w:r>
          </w:p>
        </w:tc>
        <w:tc>
          <w:tcPr>
            <w:tcW w:w="2200" w:type="dxa"/>
            <w:noWrap w:val="0"/>
            <w:vAlign w:val="top"/>
          </w:tcPr>
          <w:p w14:paraId="77A24152">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1D54D481">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2C8EE467">
            <w:pPr>
              <w:pStyle w:val="59"/>
              <w:pageBreakBefore w:val="0"/>
              <w:spacing w:beforeAutospacing="0" w:afterAutospacing="0"/>
              <w:ind w:left="0"/>
              <w:jc w:val="center"/>
              <w:rPr>
                <w:rFonts w:hint="eastAsia" w:ascii="宋体" w:hAnsi="宋体" w:eastAsia="宋体" w:cs="宋体"/>
                <w:color w:val="000000"/>
                <w:highlight w:val="none"/>
              </w:rPr>
            </w:pPr>
          </w:p>
        </w:tc>
      </w:tr>
      <w:tr w14:paraId="2ED22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0724FC67">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700A4264">
            <w:pPr>
              <w:pStyle w:val="59"/>
              <w:pageBreakBefore w:val="0"/>
              <w:spacing w:beforeAutospacing="0" w:afterAutospacing="0"/>
              <w:ind w:left="0"/>
              <w:jc w:val="center"/>
              <w:rPr>
                <w:rFonts w:hint="eastAsia" w:ascii="宋体" w:hAnsi="宋体" w:eastAsia="宋体" w:cs="宋体"/>
                <w:color w:val="000000"/>
                <w:highlight w:val="none"/>
              </w:rPr>
            </w:pPr>
          </w:p>
        </w:tc>
      </w:tr>
      <w:tr w14:paraId="220CB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1B58074">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项目经理（签名）</w:t>
            </w:r>
          </w:p>
        </w:tc>
        <w:tc>
          <w:tcPr>
            <w:tcW w:w="2200" w:type="dxa"/>
            <w:noWrap w:val="0"/>
            <w:vAlign w:val="top"/>
          </w:tcPr>
          <w:p w14:paraId="7D89DB11">
            <w:pPr>
              <w:pStyle w:val="59"/>
              <w:pageBreakBefore w:val="0"/>
              <w:spacing w:beforeAutospacing="0" w:afterAutospacing="0"/>
              <w:ind w:left="0"/>
              <w:jc w:val="center"/>
              <w:rPr>
                <w:rFonts w:hint="eastAsia" w:ascii="宋体" w:hAnsi="宋体" w:eastAsia="宋体" w:cs="宋体"/>
                <w:color w:val="000000"/>
                <w:highlight w:val="none"/>
              </w:rPr>
            </w:pPr>
          </w:p>
        </w:tc>
        <w:tc>
          <w:tcPr>
            <w:tcW w:w="1734" w:type="dxa"/>
            <w:noWrap w:val="0"/>
            <w:vAlign w:val="top"/>
          </w:tcPr>
          <w:p w14:paraId="0E18CAE6">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承诺日期</w:t>
            </w:r>
          </w:p>
        </w:tc>
        <w:tc>
          <w:tcPr>
            <w:tcW w:w="2754" w:type="dxa"/>
            <w:noWrap w:val="0"/>
            <w:vAlign w:val="top"/>
          </w:tcPr>
          <w:p w14:paraId="18F87E5F">
            <w:pPr>
              <w:pStyle w:val="59"/>
              <w:pageBreakBefore w:val="0"/>
              <w:spacing w:beforeAutospacing="0" w:afterAutospacing="0"/>
              <w:ind w:left="0"/>
              <w:jc w:val="center"/>
              <w:rPr>
                <w:rFonts w:hint="eastAsia" w:ascii="宋体" w:hAnsi="宋体" w:eastAsia="宋体" w:cs="宋体"/>
                <w:color w:val="000000"/>
                <w:highlight w:val="none"/>
              </w:rPr>
            </w:pPr>
          </w:p>
        </w:tc>
      </w:tr>
      <w:tr w14:paraId="76002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622" w:type="dxa"/>
            <w:noWrap w:val="0"/>
            <w:vAlign w:val="top"/>
          </w:tcPr>
          <w:p w14:paraId="5DB6903D">
            <w:pPr>
              <w:pStyle w:val="59"/>
              <w:pageBreakBefore w:val="0"/>
              <w:spacing w:beforeAutospacing="0" w:afterAutospacing="0"/>
              <w:ind w:left="0"/>
              <w:jc w:val="center"/>
              <w:rPr>
                <w:rFonts w:hint="eastAsia" w:ascii="宋体" w:hAnsi="宋体" w:eastAsia="宋体" w:cs="宋体"/>
                <w:color w:val="000000"/>
                <w:highlight w:val="none"/>
              </w:rPr>
            </w:pPr>
            <w:r>
              <w:rPr>
                <w:rFonts w:hint="eastAsia" w:ascii="宋体" w:hAnsi="宋体" w:eastAsia="宋体" w:cs="宋体"/>
                <w:color w:val="000000"/>
                <w:highlight w:val="none"/>
              </w:rPr>
              <w:t>联系方式</w:t>
            </w:r>
          </w:p>
        </w:tc>
        <w:tc>
          <w:tcPr>
            <w:tcW w:w="6688" w:type="dxa"/>
            <w:gridSpan w:val="3"/>
            <w:noWrap w:val="0"/>
            <w:vAlign w:val="top"/>
          </w:tcPr>
          <w:p w14:paraId="47FFDEBA">
            <w:pPr>
              <w:pStyle w:val="59"/>
              <w:pageBreakBefore w:val="0"/>
              <w:spacing w:beforeAutospacing="0" w:afterAutospacing="0"/>
              <w:ind w:left="0"/>
              <w:jc w:val="center"/>
              <w:rPr>
                <w:rFonts w:hint="eastAsia" w:ascii="宋体" w:hAnsi="宋体" w:eastAsia="宋体" w:cs="宋体"/>
                <w:color w:val="000000"/>
                <w:highlight w:val="none"/>
              </w:rPr>
            </w:pPr>
          </w:p>
        </w:tc>
      </w:tr>
    </w:tbl>
    <w:p w14:paraId="392829C7">
      <w:pPr>
        <w:spacing w:line="460" w:lineRule="exact"/>
        <w:ind w:firstLine="735" w:firstLineChars="350"/>
        <w:jc w:val="right"/>
        <w:outlineLvl w:val="1"/>
        <w:rPr>
          <w:rFonts w:hint="eastAsia" w:ascii="宋体" w:hAnsi="宋体" w:cs="宋体"/>
          <w:szCs w:val="21"/>
          <w:u w:val="single"/>
        </w:rPr>
      </w:pPr>
      <w:r>
        <w:rPr>
          <w:rFonts w:hint="eastAsia" w:ascii="宋体" w:hAnsi="宋体" w:eastAsia="宋体" w:cs="宋体"/>
          <w:color w:val="000000"/>
          <w:highlight w:val="none"/>
        </w:rPr>
        <w:t>（单位公章）</w:t>
      </w:r>
    </w:p>
    <w:p w14:paraId="46658AE7">
      <w:pPr>
        <w:spacing w:line="460" w:lineRule="exact"/>
        <w:ind w:firstLine="735" w:firstLineChars="350"/>
        <w:outlineLvl w:val="1"/>
        <w:rPr>
          <w:rFonts w:hint="eastAsia" w:ascii="宋体" w:hAnsi="宋体" w:cs="宋体"/>
          <w:szCs w:val="21"/>
          <w:u w:val="single"/>
        </w:rPr>
      </w:pPr>
    </w:p>
    <w:p w14:paraId="3E1DB1BB">
      <w:pPr>
        <w:spacing w:line="460" w:lineRule="exact"/>
        <w:ind w:firstLine="735" w:firstLineChars="350"/>
        <w:outlineLvl w:val="1"/>
        <w:rPr>
          <w:rFonts w:hint="eastAsia" w:ascii="宋体" w:hAnsi="宋体" w:cs="宋体"/>
          <w:szCs w:val="21"/>
          <w:u w:val="single"/>
        </w:rPr>
      </w:pPr>
    </w:p>
    <w:p w14:paraId="67FB9D0C">
      <w:pPr>
        <w:spacing w:line="460" w:lineRule="exact"/>
        <w:ind w:firstLine="735" w:firstLineChars="350"/>
        <w:outlineLvl w:val="1"/>
        <w:rPr>
          <w:rFonts w:hint="eastAsia" w:ascii="宋体" w:hAnsi="宋体" w:cs="宋体"/>
          <w:szCs w:val="21"/>
          <w:u w:val="single"/>
        </w:rPr>
      </w:pPr>
    </w:p>
    <w:p w14:paraId="7FB2AB16">
      <w:pPr>
        <w:spacing w:line="460" w:lineRule="exact"/>
        <w:ind w:firstLine="735" w:firstLineChars="350"/>
        <w:outlineLvl w:val="1"/>
        <w:rPr>
          <w:rFonts w:hint="eastAsia" w:ascii="宋体" w:hAnsi="宋体" w:cs="宋体"/>
          <w:szCs w:val="21"/>
          <w:u w:val="single"/>
        </w:rPr>
      </w:pPr>
    </w:p>
    <w:p w14:paraId="49EAB556">
      <w:pPr>
        <w:spacing w:line="460" w:lineRule="exact"/>
        <w:ind w:firstLine="735" w:firstLineChars="350"/>
        <w:outlineLvl w:val="1"/>
        <w:rPr>
          <w:rFonts w:hint="eastAsia" w:ascii="宋体" w:hAnsi="宋体" w:cs="宋体"/>
          <w:szCs w:val="21"/>
          <w:u w:val="single"/>
        </w:rPr>
      </w:pPr>
    </w:p>
    <w:p w14:paraId="5A924B7D">
      <w:pPr>
        <w:spacing w:line="460" w:lineRule="exact"/>
        <w:ind w:firstLine="735" w:firstLineChars="350"/>
        <w:outlineLvl w:val="1"/>
        <w:rPr>
          <w:rFonts w:hint="eastAsia" w:ascii="宋体" w:hAnsi="宋体" w:cs="宋体"/>
          <w:szCs w:val="21"/>
          <w:u w:val="single"/>
        </w:rPr>
      </w:pPr>
    </w:p>
    <w:p w14:paraId="02821844">
      <w:pPr>
        <w:spacing w:line="460" w:lineRule="exact"/>
        <w:ind w:firstLine="735" w:firstLineChars="350"/>
        <w:outlineLvl w:val="1"/>
        <w:rPr>
          <w:rFonts w:hint="eastAsia" w:ascii="宋体" w:hAnsi="宋体" w:cs="宋体"/>
          <w:szCs w:val="21"/>
          <w:u w:val="single"/>
        </w:rPr>
      </w:pPr>
    </w:p>
    <w:bookmarkEnd w:id="118"/>
    <w:bookmarkEnd w:id="119"/>
    <w:p w14:paraId="5147F7F5">
      <w:pPr>
        <w:spacing w:line="360" w:lineRule="auto"/>
        <w:rPr>
          <w:sz w:val="28"/>
          <w:szCs w:val="28"/>
        </w:rPr>
      </w:pPr>
    </w:p>
    <w:bookmarkEnd w:id="120"/>
    <w:bookmarkEnd w:id="121"/>
    <w:p w14:paraId="45967E26">
      <w:pPr>
        <w:pStyle w:val="2"/>
        <w:jc w:val="center"/>
      </w:pPr>
      <w:bookmarkStart w:id="122" w:name="_Toc2329"/>
      <w:r>
        <w:t>第四章 项目需求</w:t>
      </w:r>
      <w:bookmarkEnd w:id="117"/>
      <w:bookmarkEnd w:id="122"/>
    </w:p>
    <w:p w14:paraId="1B481F41">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firstLine="422" w:firstLineChars="200"/>
        <w:textAlignment w:val="auto"/>
      </w:pPr>
      <w:r>
        <w:rPr>
          <w:rFonts w:hint="eastAsia" w:ascii="宋体" w:hAnsi="宋体" w:eastAsia="宋体" w:cs="宋体"/>
          <w:b/>
          <w:bCs/>
          <w:i/>
          <w:iCs/>
          <w:color w:val="auto"/>
          <w:szCs w:val="21"/>
          <w:highlight w:val="none"/>
          <w:u w:val="single"/>
        </w:rPr>
        <w:t>本磋商文件中斜体下划线部分为实质性响应条件，为必须遵守的条件，如不满足将作无效响应文件处理。</w:t>
      </w:r>
    </w:p>
    <w:p w14:paraId="0DE30EDD">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一、项目概况</w:t>
      </w:r>
    </w:p>
    <w:p w14:paraId="5ABDE80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1、项目名称：</w:t>
      </w:r>
      <w:r>
        <w:rPr>
          <w:rFonts w:hint="eastAsia" w:ascii="宋体" w:hAnsi="宋体" w:cs="宋体"/>
          <w:bCs/>
          <w:color w:val="000000"/>
          <w:highlight w:val="none"/>
          <w:lang w:eastAsia="zh-CN"/>
        </w:rPr>
        <w:t>扬州大学附属医院东西区防坠网安装（二次）</w:t>
      </w:r>
      <w:r>
        <w:rPr>
          <w:rFonts w:hint="eastAsia" w:ascii="宋体" w:hAnsi="宋体" w:eastAsia="宋体" w:cs="宋体"/>
          <w:bCs/>
          <w:color w:val="000000"/>
          <w:highlight w:val="none"/>
        </w:rPr>
        <w:t>；</w:t>
      </w:r>
    </w:p>
    <w:p w14:paraId="427C74F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2、建设地点：扬州大学附属医院附属医院西区7、8号楼、东区医院1、5、6、7号楼；</w:t>
      </w:r>
    </w:p>
    <w:p w14:paraId="3BA1238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3、建筑规模：详见磋商文件、工程量清单及图纸等内容；</w:t>
      </w:r>
    </w:p>
    <w:p w14:paraId="2FDD5B3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4、合同期限：45日历天。成交单位施工期间，不得以材料设备等订货周期不够等借口要求延长工期，必须采取各种措施保质保量坚决完成本次项目；</w:t>
      </w:r>
    </w:p>
    <w:p w14:paraId="5A01575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5、施工现场实际情况：供应商自行考虑施工现场施工条件；</w:t>
      </w:r>
    </w:p>
    <w:p w14:paraId="0081C42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6、交通条件：交通便利，有道路通入施工现场；</w:t>
      </w:r>
    </w:p>
    <w:p w14:paraId="0D4F1AE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7、环境保护要求：必须符合当地环保部门对噪音、粉尘、污水、垃圾的限制或处理的要求。</w:t>
      </w:r>
    </w:p>
    <w:p w14:paraId="2EC8111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8、因施工场地的特殊性，施工要严格控制噪音防止干扰住院病人，施工期间严格按照监理管理要求。</w:t>
      </w:r>
    </w:p>
    <w:p w14:paraId="39084090">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二、工程量清单编制说明</w:t>
      </w:r>
    </w:p>
    <w:p w14:paraId="589E4324">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1</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编制依据</w:t>
      </w:r>
    </w:p>
    <w:p w14:paraId="65407A51">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1.委托方提供的本项目图纸及设计答复；</w:t>
      </w:r>
    </w:p>
    <w:p w14:paraId="19A10A4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2.《建设工程工程量清单计价规范》(GB50500-2013)；</w:t>
      </w:r>
    </w:p>
    <w:p w14:paraId="01B5819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3.《江苏省建筑与装饰工程计价定额》（2014）；《江苏省安装工程计价定额》（2014）；《江苏修缮定额(土建)》（2009）；</w:t>
      </w:r>
    </w:p>
    <w:p w14:paraId="147E9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4.《江苏省建设工程费用定额》(2014版)；</w:t>
      </w:r>
    </w:p>
    <w:p w14:paraId="7A52798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5.《江苏省住房城乡建设厅关于发布建设工程人工工资指导价的通知》（苏建函价(2025）273号文)；</w:t>
      </w:r>
    </w:p>
    <w:p w14:paraId="4D5D6575">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6.《省住房城乡建设厅关于建筑业实施营改增后江苏省建设工程计价依据调整的通知》苏建价（2016）761号文；</w:t>
      </w:r>
    </w:p>
    <w:p w14:paraId="6378EA6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7.《省住房城乡建设厅关于建筑业增值税计价政策调整的通知》苏建函价〔2019〕178号文；</w:t>
      </w:r>
    </w:p>
    <w:p w14:paraId="58E8A4C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8.《省住房城乡建设厅关于建筑工人实名制费用计取方法的公告》〔2019〕第19号；</w:t>
      </w:r>
    </w:p>
    <w:p w14:paraId="2BF323BB">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9.材料价格执行《扬州工程造价管理》（2025年第10期）；缺项材料按市场询价；</w:t>
      </w:r>
    </w:p>
    <w:p w14:paraId="2465ADE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10.与本工程相关的现行设计、施工规范和标准图集、文件等。</w:t>
      </w:r>
    </w:p>
    <w:p w14:paraId="4BA3516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cs="宋体"/>
          <w:bCs/>
          <w:color w:val="000000"/>
          <w:highlight w:val="none"/>
          <w:lang w:eastAsia="zh-CN"/>
        </w:rPr>
        <w:t>（</w:t>
      </w:r>
      <w:r>
        <w:rPr>
          <w:rFonts w:hint="eastAsia" w:ascii="宋体" w:hAnsi="宋体" w:cs="宋体"/>
          <w:bCs/>
          <w:color w:val="000000"/>
          <w:highlight w:val="none"/>
          <w:lang w:val="en-US" w:eastAsia="zh-CN"/>
        </w:rPr>
        <w:t>2</w:t>
      </w:r>
      <w:r>
        <w:rPr>
          <w:rFonts w:hint="eastAsia" w:ascii="宋体" w:hAnsi="宋体" w:cs="宋体"/>
          <w:bCs/>
          <w:color w:val="000000"/>
          <w:highlight w:val="none"/>
          <w:lang w:eastAsia="zh-CN"/>
        </w:rPr>
        <w:t>）</w:t>
      </w:r>
      <w:r>
        <w:rPr>
          <w:rFonts w:hint="eastAsia" w:ascii="宋体" w:hAnsi="宋体" w:eastAsia="宋体" w:cs="宋体"/>
          <w:bCs/>
          <w:color w:val="000000"/>
          <w:highlight w:val="none"/>
        </w:rPr>
        <w:t>、编制说明</w:t>
      </w:r>
    </w:p>
    <w:p w14:paraId="761F239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（一）一般说明</w:t>
      </w:r>
    </w:p>
    <w:p w14:paraId="63603A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1.施工现场情况：以现场踏勘情况为准。</w:t>
      </w:r>
    </w:p>
    <w:p w14:paraId="4DF0915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2.交通运输情况：以现场踏勘情况为准。</w:t>
      </w:r>
    </w:p>
    <w:p w14:paraId="2A84A217">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3.环境保护要求：满足省、市及当地政府对环境保护的相关要求和规定。</w:t>
      </w:r>
    </w:p>
    <w:p w14:paraId="1E18755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4.本工程投标报价按《建设工程工程量清单计价规范》和相应计算规范的规定及要求，使用表格及格式按《建设工程工程量清单计价规范》要求执行。</w:t>
      </w:r>
    </w:p>
    <w:p w14:paraId="7303F2A3">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5.工程量清单中的每一个项目，都需填入综合单价及合价；不同单项及单位工程中的分部分项工程量清单中相同项目（项目特征及工作内容相同）的报价应统一，如有差异，按最低一个报价进行结算。</w:t>
      </w:r>
    </w:p>
    <w:p w14:paraId="06E307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6.本工程量清单中的分部分项工程量及措施项目工程量为委托方提供及现场测量，仅作为施工企业投标报价的共同基础，不能作为最终结算与支付价款的依据；</w:t>
      </w:r>
    </w:p>
    <w:p w14:paraId="345A2BD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7.工程量清单及其计价格式中的任何内容不得随意删除或涂改，若有错误，在招标答疑时及时提出，以“补遗”资料为准；</w:t>
      </w:r>
    </w:p>
    <w:p w14:paraId="1BEC740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8.分部分项工程量清单中对工程项目的项目特征及具体做法制作重点描述。组价时应结合投标人现场勘查情况包括完成所有工序工作内容的全部费用；</w:t>
      </w:r>
    </w:p>
    <w:p w14:paraId="47C84226">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9.本工程按增值税一般计价方式计价。</w:t>
      </w:r>
    </w:p>
    <w:p w14:paraId="572A810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（二）特殊说明</w:t>
      </w:r>
    </w:p>
    <w:p w14:paraId="762C99D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本工程采用一般计税方法进行计价，安全文明施工措施费计取基本费、扬尘污染防治增加费；增加费、规费内的环境保护税不计取，竣工结算时按造价管理部门核定费率进行调整；临时设施费、夜间施工、冬雨季施工、已完工程及设备保护费用，按现行费用定额中各专业的中间值计取。智慧工地、按质论价费不计取；</w:t>
      </w:r>
    </w:p>
    <w:p w14:paraId="7F46291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2.依据编标要求与说明本工程暂列金额暂按或不计取；</w:t>
      </w:r>
    </w:p>
    <w:p w14:paraId="4B6B8F4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3.本工程按建筑工程取费；</w:t>
      </w:r>
    </w:p>
    <w:p w14:paraId="5129BD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4.根据现场实际及甲方要求，因东区1.5.7号楼没有办法用脚手架施工，需要改成吊车施工，西区7号楼铝板安装需要用吊车，下面2层的防坠网用脚手架施工，东1、5吊车台班数量暂按1个台班考虑，7号楼按20个台班考虑，西区7号楼按10个台班考虑，结算时按实调整；</w:t>
      </w:r>
    </w:p>
    <w:p w14:paraId="3E2431B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5.瓦屋面的防坠网工程量按展开面积计算，结算时按实调整；</w:t>
      </w:r>
    </w:p>
    <w:p w14:paraId="023DB4F2">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6.其他不详处，详见清单特征描述，实际发生不一致，按实际发生结算（或按招标文件相关条款约定）。</w:t>
      </w:r>
    </w:p>
    <w:p w14:paraId="14535506">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000000"/>
          <w:highlight w:val="none"/>
        </w:rPr>
      </w:pPr>
      <w:r>
        <w:rPr>
          <w:rFonts w:hint="eastAsia" w:ascii="宋体" w:hAnsi="宋体" w:eastAsia="宋体" w:cs="宋体"/>
          <w:b/>
          <w:bCs w:val="0"/>
          <w:color w:val="000000"/>
          <w:highlight w:val="none"/>
        </w:rPr>
        <w:t>三、施工要求：</w:t>
      </w:r>
    </w:p>
    <w:p w14:paraId="5BF187FE">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1、材料要求</w:t>
      </w:r>
    </w:p>
    <w:p w14:paraId="5BFB10AF">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1.1 瓦屋面固定用钢丝绳、钢丝绳网为304不锈钢材质；</w:t>
      </w:r>
    </w:p>
    <w:p w14:paraId="49BBFB9D">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1.2 供应商需提供铝板、外墙弹性涂料样品经院方确认后方可使用；</w:t>
      </w:r>
    </w:p>
    <w:p w14:paraId="4BB0A168">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1.3 其余材料需符合国家标注且满足项目需求。</w:t>
      </w:r>
    </w:p>
    <w:p w14:paraId="522CF7C9">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2、施工工艺</w:t>
      </w:r>
    </w:p>
    <w:p w14:paraId="5A685A6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2.1 不锈钢防坠网:为防止建筑瓦屋面瓦片松动坠落，采用304不锈钢丝绳网进行整体覆盖固定，网格尺寸不大于30mm×30mm，钢丝绳直径不小于1.2mm；固定边绳直径不小于4mm，固定件采用膨胀螺栓锚固于现有混凝土结构中，确保边绳受力均匀、安装牢固。</w:t>
      </w:r>
    </w:p>
    <w:p w14:paraId="7061C0EA">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2.2 带骨架铝板幕墙：骨架采用Q235B热镀锌矩形钢管100*50*4、Q235B热镀锌角钢L50*4，骨架连接件均采用热镀锌防腐处理，焊缝部位须二次补漆防锈；面层材料2.5mm厚单层铝板（氟碳喷涂），铝板与龙骨采用不锈钢螺丝连接，铝板接缝处打耐候胶密封，确保防水防渗；安装须平整顺直，允许偏差符合规范要求。骨架与主体结构锚固采用热镀锌化学锚栓，连接牢固可靠，承载力满足设计要求。</w:t>
      </w:r>
    </w:p>
    <w:p w14:paraId="7132CF7C">
      <w:pPr>
        <w:keepNext w:val="0"/>
        <w:keepLines w:val="0"/>
        <w:pageBreakBefore w:val="0"/>
        <w:widowControl w:val="0"/>
        <w:spacing w:beforeAutospacing="0" w:afterAutospacing="0" w:line="360" w:lineRule="auto"/>
        <w:ind w:left="0" w:firstLine="420"/>
        <w:rPr>
          <w:rFonts w:hint="eastAsia" w:ascii="宋体" w:hAnsi="宋体" w:eastAsia="宋体" w:cs="宋体"/>
          <w:bCs/>
          <w:color w:val="000000"/>
          <w:highlight w:val="none"/>
        </w:rPr>
      </w:pPr>
      <w:r>
        <w:rPr>
          <w:rFonts w:hint="eastAsia" w:ascii="宋体" w:hAnsi="宋体" w:eastAsia="宋体" w:cs="宋体"/>
          <w:bCs/>
          <w:color w:val="000000"/>
          <w:highlight w:val="none"/>
        </w:rPr>
        <w:t>2.3 外墙弹性乳胶漆：施工前基层应清理干净，腻子批刮平整，乳胶漆涂刷均匀，涂膜厚度符合设计要求，阴阳角顺直，表面无刷纹、流坠、起皮等缺陷；涂料颜色一致。施工环境温度宜在5℃以上，避免雨天或高湿度条件下作业。</w:t>
      </w:r>
    </w:p>
    <w:p w14:paraId="59630AA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3、作业人员要求​</w:t>
      </w:r>
    </w:p>
    <w:p w14:paraId="693682D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3.1安装、拆除人员必须持有有效的建筑施工特种作业操作证（高处作业类）。</w:t>
      </w:r>
    </w:p>
    <w:p w14:paraId="4DFACCA6">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3.2现场作业须配备一名安全员（C证），负责现场安全监督与记录。​</w:t>
      </w:r>
    </w:p>
    <w:p w14:paraId="037B9DD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3.3作业前需接受三级安全教育及安全技术交底，明确安装方案、危险点及应急措施，并签字确认。​</w:t>
      </w:r>
    </w:p>
    <w:p w14:paraId="597958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3.4高处作业人员无疾病（如高血压、恐高症），年满18周岁且不超过法定退休年龄。</w:t>
      </w:r>
    </w:p>
    <w:p w14:paraId="454EB943">
      <w:pPr>
        <w:keepNext w:val="0"/>
        <w:keepLines w:val="0"/>
        <w:pageBreakBefore w:val="0"/>
        <w:widowControl w:val="0"/>
        <w:spacing w:beforeAutospacing="0" w:afterAutospacing="0" w:line="360" w:lineRule="auto"/>
        <w:ind w:left="0" w:firstLine="420"/>
        <w:rPr>
          <w:rFonts w:hint="eastAsia" w:ascii="宋体" w:hAnsi="宋体" w:eastAsia="宋体" w:cs="宋体"/>
          <w:b/>
          <w:bCs w:val="0"/>
          <w:color w:val="auto"/>
          <w:highlight w:val="none"/>
        </w:rPr>
      </w:pPr>
      <w:r>
        <w:rPr>
          <w:rFonts w:hint="eastAsia" w:ascii="宋体" w:hAnsi="宋体" w:eastAsia="宋体" w:cs="宋体"/>
          <w:b/>
          <w:bCs w:val="0"/>
          <w:color w:val="auto"/>
          <w:highlight w:val="none"/>
        </w:rPr>
        <w:t>四、施工注意事项</w:t>
      </w:r>
    </w:p>
    <w:p w14:paraId="78262A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1、实际施工前，具体细节必须现场再次复核，与院方商议达成一致意见。</w:t>
      </w:r>
    </w:p>
    <w:p w14:paraId="6B472C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2、为保护医院职工、患者、员工人身及财物的安全，施工单位必须服从医院相关部门的管理及施工时间的安排，合理制定施工组织措施及安全措施。</w:t>
      </w:r>
    </w:p>
    <w:p w14:paraId="2490E65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3、本项目涉及高空作业，施工时应着重考虑采取相关的安全文明措辞，如施工场地四周必须设置安全围档，警示红灯等，不得随意堆放材料及垃圾，并及时清扫地面，其它如注意防尘、防噪等，以减少对周边环境的影响。</w:t>
      </w:r>
    </w:p>
    <w:p w14:paraId="65E1592A">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4、施工现场必须配置相应的消防灭火器材。</w:t>
      </w:r>
    </w:p>
    <w:p w14:paraId="11269DFE">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5、拆除时不得野蛮施工，不得破坏墙体结构。</w:t>
      </w:r>
    </w:p>
    <w:p w14:paraId="1187C4CF">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6、供应商须完全承担项目实施全过程中的施工人员及其他可能涉及到的人员的一切的安全责任，在施工过程中如引起人身伤害和其它财产安全事故，由供应商全权负责处理，并承担全部责任。</w:t>
      </w:r>
    </w:p>
    <w:p w14:paraId="20960122">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7、因医院项目的特殊性，供应商在施工过程不得影响施工区域以外正常使用，包括水、电、空调、消防、监控、氧气等系统，不得影响其他病区运营，施工过程中若施工原因导致施工区域外一切问题，一切维修及费用由施工单位承担，由于噪音引起患者投诉等工期都算在总工期内，施工单位自行考虑。</w:t>
      </w:r>
    </w:p>
    <w:p w14:paraId="35B63737">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8、本项目是在医院施工，施工附近存在病房内有重症病人的情况，需要有针对性的应急预案以保障一些突发事件得到有效的处理。</w:t>
      </w:r>
    </w:p>
    <w:p w14:paraId="2A7105DC">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9、可提供施工用水电接入点，但需交纳水电费，定额扣除。</w:t>
      </w:r>
    </w:p>
    <w:p w14:paraId="4CFA8A55">
      <w:pPr>
        <w:keepNext w:val="0"/>
        <w:keepLines w:val="0"/>
        <w:pageBreakBefore w:val="0"/>
        <w:widowControl w:val="0"/>
        <w:spacing w:beforeAutospacing="0" w:afterAutospacing="0" w:line="360" w:lineRule="auto"/>
        <w:ind w:left="0" w:firstLine="420"/>
        <w:rPr>
          <w:rFonts w:hint="eastAsia" w:ascii="宋体" w:hAnsi="宋体" w:eastAsia="宋体" w:cs="宋体"/>
          <w:bCs/>
          <w:color w:val="auto"/>
          <w:highlight w:val="none"/>
        </w:rPr>
      </w:pPr>
      <w:r>
        <w:rPr>
          <w:rFonts w:hint="eastAsia" w:ascii="宋体" w:hAnsi="宋体" w:eastAsia="宋体" w:cs="宋体"/>
          <w:bCs/>
          <w:color w:val="auto"/>
          <w:highlight w:val="none"/>
        </w:rPr>
        <w:t>10、竣工验收必须提供详细的竣工图纸、检测资料、材料的合格资料及其它相关的资料，施工全程应有照片记录并附文字说明。其中变更签证、隐蔽工程必须有可靠的照片或视频。</w:t>
      </w:r>
    </w:p>
    <w:p w14:paraId="42E680AD">
      <w:pPr>
        <w:spacing w:line="360" w:lineRule="auto"/>
        <w:ind w:firstLine="420" w:firstLineChars="200"/>
        <w:rPr>
          <w:rFonts w:hint="eastAsia"/>
          <w:b/>
          <w:color w:val="auto"/>
          <w:szCs w:val="21"/>
          <w:highlight w:val="none"/>
          <w:lang w:val="en-US" w:eastAsia="zh-CN"/>
        </w:rPr>
      </w:pPr>
      <w:r>
        <w:rPr>
          <w:rFonts w:hint="eastAsia" w:ascii="宋体" w:hAnsi="宋体" w:eastAsia="宋体" w:cs="宋体"/>
          <w:bCs/>
          <w:color w:val="auto"/>
          <w:highlight w:val="none"/>
        </w:rPr>
        <w:t>11、施工产生的垃圾及时自行清运出医院并做好卫生保洁工作，垃圾一日一清，保证路边畅通。</w:t>
      </w:r>
    </w:p>
    <w:p w14:paraId="3EA00B70">
      <w:pPr>
        <w:pStyle w:val="58"/>
        <w:spacing w:before="0" w:line="360" w:lineRule="auto"/>
        <w:ind w:firstLine="422"/>
        <w:rPr>
          <w:rFonts w:hint="default" w:ascii="宋体" w:hAnsi="宋体"/>
          <w:b/>
          <w:bCs/>
          <w:color w:val="auto"/>
          <w:szCs w:val="21"/>
          <w:highlight w:val="none"/>
          <w:lang w:val="en-US" w:eastAsia="zh-CN"/>
        </w:rPr>
      </w:pPr>
      <w:r>
        <w:rPr>
          <w:rFonts w:hint="eastAsia" w:ascii="宋体" w:hAnsi="宋体"/>
          <w:b/>
          <w:bCs/>
          <w:color w:val="auto"/>
          <w:szCs w:val="21"/>
          <w:highlight w:val="none"/>
          <w:lang w:val="en-US" w:eastAsia="zh-CN"/>
        </w:rPr>
        <w:t>五、材料要求：</w:t>
      </w:r>
    </w:p>
    <w:p w14:paraId="68397CA7">
      <w:pPr>
        <w:keepNext w:val="0"/>
        <w:keepLines w:val="0"/>
        <w:pageBreakBefore w:val="0"/>
        <w:widowControl w:val="0"/>
        <w:tabs>
          <w:tab w:val="left" w:pos="0"/>
        </w:tabs>
        <w:spacing w:beforeAutospacing="0" w:afterAutospacing="0" w:line="360" w:lineRule="auto"/>
        <w:ind w:left="0" w:firstLine="420"/>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sz w:val="21"/>
          <w:szCs w:val="21"/>
          <w:highlight w:val="none"/>
        </w:rPr>
        <w:t>1</w:t>
      </w:r>
      <w:r>
        <w:rPr>
          <w:rFonts w:hint="eastAsia" w:ascii="宋体" w:hAnsi="宋体" w:eastAsia="宋体" w:cs="宋体"/>
          <w:b w:val="0"/>
          <w:bCs w:val="0"/>
          <w:i w:val="0"/>
          <w:iCs w:val="0"/>
          <w:color w:val="auto"/>
          <w:sz w:val="21"/>
          <w:szCs w:val="21"/>
          <w:highlight w:val="none"/>
          <w:lang w:eastAsia="zh-CN"/>
        </w:rPr>
        <w:t>、</w:t>
      </w:r>
      <w:r>
        <w:rPr>
          <w:rFonts w:hint="eastAsia" w:ascii="宋体" w:hAnsi="宋体" w:eastAsia="宋体" w:cs="宋体"/>
          <w:b w:val="0"/>
          <w:bCs w:val="0"/>
          <w:i w:val="0"/>
          <w:iCs w:val="0"/>
          <w:color w:val="auto"/>
          <w:sz w:val="21"/>
          <w:szCs w:val="21"/>
          <w:highlight w:val="none"/>
        </w:rPr>
        <w:t>所有材料均应符合国家标准与环保要求。</w:t>
      </w:r>
    </w:p>
    <w:p w14:paraId="57B49835">
      <w:pPr>
        <w:pStyle w:val="58"/>
        <w:spacing w:before="0" w:line="360" w:lineRule="auto"/>
        <w:ind w:firstLine="422"/>
        <w:rPr>
          <w:rFonts w:hint="eastAsia" w:ascii="宋体" w:hAnsi="宋体"/>
          <w:b/>
          <w:bCs/>
          <w:color w:val="auto"/>
          <w:szCs w:val="21"/>
          <w:highlight w:val="none"/>
          <w:lang w:val="en-US" w:eastAsia="zh-CN"/>
        </w:rPr>
      </w:pPr>
      <w:r>
        <w:rPr>
          <w:rFonts w:hint="eastAsia" w:ascii="宋体" w:hAnsi="宋体"/>
          <w:b/>
          <w:bCs/>
          <w:color w:val="auto"/>
          <w:szCs w:val="21"/>
          <w:highlight w:val="none"/>
          <w:lang w:val="en-US" w:eastAsia="zh-CN"/>
        </w:rPr>
        <w:t>六</w:t>
      </w:r>
      <w:r>
        <w:rPr>
          <w:rFonts w:hint="eastAsia" w:ascii="宋体" w:hAnsi="宋体"/>
          <w:b/>
          <w:bCs/>
          <w:color w:val="auto"/>
          <w:szCs w:val="21"/>
          <w:highlight w:val="none"/>
        </w:rPr>
        <w:t>、</w:t>
      </w:r>
      <w:r>
        <w:rPr>
          <w:rFonts w:hint="eastAsia" w:ascii="宋体" w:hAnsi="宋体"/>
          <w:b/>
          <w:bCs/>
          <w:color w:val="auto"/>
          <w:szCs w:val="21"/>
          <w:highlight w:val="none"/>
          <w:lang w:val="en-US" w:eastAsia="zh-CN"/>
        </w:rPr>
        <w:t>磋商须知</w:t>
      </w:r>
    </w:p>
    <w:p w14:paraId="3CED1B1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供应商的报价，应当包括完成提供的工程量清单和设计图纸内的所有项目所需的全部费用，供应商已标价工程量清单中如果出现少算、漏算费用或未填单价和合价的工程项目，其费用视为已分摊在工程量清单中其他已标价的相关子目的单价或价格之中。除本采购文件或合同另有约定外，结算时不得调整。</w:t>
      </w:r>
    </w:p>
    <w:p w14:paraId="43EF6443">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投标报价汇总表”中的投标总价由分部分项工程费、措施项目费、其他项目费、规费和税金组成，并且“投标报价汇总表”中的总价应当与构成已标价工程量清单的分部分项工程费、措施项目费、其他项目费、规费、税金的合计金额一致。</w:t>
      </w:r>
    </w:p>
    <w:p w14:paraId="5BA54FB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3、报价应按照采购人提供的工程量清单的格式，不得改变工程量清单，不可竞争费用不得让利。供应商首轮报价应有详细的报价组成，其中安全文明施工措施费、规费</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税金、暂列金额</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暂估价</w:t>
      </w:r>
      <w:r>
        <w:rPr>
          <w:rFonts w:hint="eastAsia" w:ascii="宋体" w:hAnsi="宋体" w:eastAsia="宋体" w:cs="宋体"/>
          <w:color w:val="auto"/>
          <w:kern w:val="0"/>
          <w:szCs w:val="21"/>
          <w:highlight w:val="none"/>
        </w:rPr>
        <w:t>为不可竞争费，应按采购人提供的工程量清单及相关费用、费率报价。</w:t>
      </w:r>
    </w:p>
    <w:p w14:paraId="20E0F581">
      <w:pPr>
        <w:spacing w:line="360" w:lineRule="auto"/>
        <w:ind w:firstLine="422" w:firstLineChars="200"/>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4、供应商应彻底自行踏勘现场，以充分了解项目位置、交通状况以及工作范围等任何足以影响其报价的情况。任何忽视或误解项目基本情况，而使采购人在项目实施过程中蒙受的损失，将由供应商进行赔偿。</w:t>
      </w:r>
    </w:p>
    <w:p w14:paraId="31E54F0A">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5、施工过程中产生的垃圾及时清运，费用由成交供应商承担；建设工程不能影响整体美观，不能影响其他设施、设备的使用及功能，不能影响采购人正常工作开展。</w:t>
      </w:r>
    </w:p>
    <w:p w14:paraId="1C44DBEF">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施工过程中，成交供应商需采取措施保护现场及周边相关物品、设施等，因成交供应商的不规范操作、误操作等原因造成相关设施的损坏、设备的停用等后果均由成交供应商承担，由成交供应商原样修复并自行承担相关费用。</w:t>
      </w:r>
    </w:p>
    <w:p w14:paraId="1B9741A0">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7、工程量清单报价中的项目单价与其数量相乘的总和，应与投标报价汇总表总价及磋商响应函中的总价相符，不符时以单价数量的总和为准。</w:t>
      </w:r>
    </w:p>
    <w:p w14:paraId="372BF266">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报价中单价、合价均采用人民币表示。已标价的工程量清单必须按照磋商文件所提供的格式填入，工程量清单中的每一子目须填入单价或价格，且只允许有一个报价。供应商在按照工程量清单进行报价时，除供应商根据工程实际情况结合施工组织设计要求对采购人提供的措施项目清单的内容进行细化或增减外，不得改变(包括对工程量清单子目的子目名称、子目特征描述、计量单位以及工程量的任何修改、增加或减少)采购人提供的工程量清单和其他项目清单。即使按照图纸和采购范围的约定并不存在的子目，只要在采购人提供的工程量清单中已经列明，供应商都需要对其报价，并纳入磋商总价的计算。</w:t>
      </w:r>
    </w:p>
    <w:p w14:paraId="0FD75CE1">
      <w:pPr>
        <w:spacing w:line="36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9、供应商应将下列不可竞争费用按照规定的标准计取，不得让利或降低标准计取：（1）现场安全文明施工措施费；（2）社会保障费、</w:t>
      </w:r>
      <w:r>
        <w:rPr>
          <w:rFonts w:hint="eastAsia" w:ascii="宋体" w:hAnsi="宋体" w:cs="宋体"/>
          <w:color w:val="auto"/>
          <w:kern w:val="0"/>
          <w:szCs w:val="21"/>
          <w:highlight w:val="none"/>
          <w:lang w:val="en-US" w:eastAsia="zh-CN"/>
        </w:rPr>
        <w:t>住房</w:t>
      </w:r>
      <w:r>
        <w:rPr>
          <w:rFonts w:hint="eastAsia" w:ascii="宋体" w:hAnsi="宋体" w:eastAsia="宋体" w:cs="宋体"/>
          <w:color w:val="auto"/>
          <w:kern w:val="0"/>
          <w:szCs w:val="21"/>
          <w:highlight w:val="none"/>
        </w:rPr>
        <w:t>公积金；（3）省级以上财政、税收、物价等部门批准的税金及行政性规费；（4）其他按照法律、法规规定的不可竞争费用；（5）暂估价</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（6）暂列金额</w:t>
      </w:r>
      <w:r>
        <w:rPr>
          <w:rFonts w:hint="eastAsia" w:ascii="宋体" w:hAnsi="宋体" w:eastAsia="宋体" w:cs="宋体"/>
          <w:color w:val="auto"/>
          <w:kern w:val="0"/>
          <w:szCs w:val="21"/>
          <w:highlight w:val="none"/>
          <w:lang w:eastAsia="zh-CN"/>
        </w:rPr>
        <w:t>。</w:t>
      </w:r>
    </w:p>
    <w:p w14:paraId="33D0B90E">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属可竞争费用由供应商自主报价的，须满足下列要求：供应商根据企业定额报价的项目，其人工、材料、机械消耗量远低于市场平均水平时，应附有详细分析资料；工程主要材料单价远低于同期扬州市造价管理部门发布的市场信息价的最低价格时，应附有材料供货单位的书面供应承诺。书面材料中要列出供货单位对材料的品牌、规格、质量等级、单价、数量等内容的承诺，并提供相关票据文件等证明材料；施工组织措施费用、管理费、利润远低于计国家及省计价规范标准时，应提供详细的分析资料。</w:t>
      </w:r>
    </w:p>
    <w:p w14:paraId="28FDC4FF">
      <w:pPr>
        <w:spacing w:line="360" w:lineRule="auto"/>
        <w:ind w:firstLine="422" w:firstLineChars="200"/>
        <w:rPr>
          <w:rFonts w:hint="eastAsia" w:ascii="宋体" w:hAnsi="宋体" w:cs="宋体"/>
          <w:b/>
          <w:bCs/>
          <w:i/>
          <w:iCs/>
          <w:color w:val="auto"/>
          <w:kern w:val="0"/>
          <w:szCs w:val="21"/>
          <w:highlight w:val="none"/>
          <w:u w:val="single"/>
          <w:lang w:val="en-US" w:eastAsia="zh-CN"/>
        </w:rPr>
      </w:pPr>
      <w:r>
        <w:rPr>
          <w:rFonts w:hint="eastAsia" w:ascii="宋体" w:hAnsi="宋体" w:cs="宋体"/>
          <w:b/>
          <w:bCs/>
          <w:i/>
          <w:iCs/>
          <w:color w:val="auto"/>
          <w:kern w:val="0"/>
          <w:szCs w:val="21"/>
          <w:highlight w:val="none"/>
          <w:u w:val="single"/>
          <w:lang w:val="en-US" w:eastAsia="zh-CN"/>
        </w:rPr>
        <w:t>11、供应商成交后根据本单位的最后响应报价和首轮明细报价，自行调整各明细单价（原则上除不可竞争费外，其他各分项报价同比例下浮）直至和最后响应报价（以万元为单位，保留两位小数）相符，报采购人和预算编制单位审核，审核通过后，后期根据审核后的明细报价,按实结算。（提供针对本条上述所有内容的承诺书，格式自拟，原件加盖供应商公章）</w:t>
      </w:r>
    </w:p>
    <w:p w14:paraId="7E0525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422" w:firstLineChars="200"/>
        <w:textAlignment w:val="auto"/>
        <w:rPr>
          <w:rFonts w:hint="default" w:ascii="宋体" w:hAnsi="宋体" w:eastAsia="宋体" w:cs="宋体"/>
          <w:color w:val="auto"/>
          <w:kern w:val="0"/>
          <w:szCs w:val="21"/>
          <w:highlight w:val="none"/>
          <w:lang w:val="en-US" w:eastAsia="zh-CN"/>
        </w:rPr>
      </w:pPr>
      <w:r>
        <w:rPr>
          <w:rFonts w:hint="eastAsia" w:ascii="宋体" w:hAnsi="宋体" w:cs="宋体"/>
          <w:b/>
          <w:bCs/>
          <w:i/>
          <w:iCs/>
          <w:color w:val="auto"/>
          <w:sz w:val="21"/>
          <w:szCs w:val="21"/>
          <w:highlight w:val="none"/>
          <w:u w:val="single"/>
          <w:lang w:val="en-US" w:eastAsia="zh-CN"/>
        </w:rPr>
        <w:t>12</w:t>
      </w:r>
      <w:r>
        <w:rPr>
          <w:rFonts w:hint="eastAsia" w:ascii="宋体" w:hAnsi="宋体" w:eastAsia="宋体" w:cs="宋体"/>
          <w:b/>
          <w:bCs/>
          <w:i/>
          <w:iCs/>
          <w:color w:val="auto"/>
          <w:sz w:val="21"/>
          <w:szCs w:val="21"/>
          <w:highlight w:val="none"/>
          <w:u w:val="single"/>
          <w:lang w:val="en-US" w:eastAsia="zh-CN"/>
        </w:rPr>
        <w:t>、供应商</w:t>
      </w:r>
      <w:r>
        <w:rPr>
          <w:rFonts w:hint="eastAsia" w:ascii="宋体" w:hAnsi="宋体" w:eastAsia="宋体" w:cs="宋体"/>
          <w:b/>
          <w:bCs/>
          <w:i/>
          <w:iCs/>
          <w:color w:val="auto"/>
          <w:sz w:val="21"/>
          <w:szCs w:val="21"/>
          <w:highlight w:val="none"/>
          <w:u w:val="single"/>
        </w:rPr>
        <w:t>在</w:t>
      </w:r>
      <w:r>
        <w:rPr>
          <w:rFonts w:hint="eastAsia" w:ascii="宋体" w:hAnsi="宋体" w:eastAsia="宋体" w:cs="宋体"/>
          <w:b/>
          <w:bCs/>
          <w:i/>
          <w:iCs/>
          <w:color w:val="auto"/>
          <w:sz w:val="21"/>
          <w:szCs w:val="21"/>
          <w:highlight w:val="none"/>
          <w:u w:val="single"/>
          <w:lang w:val="en-US" w:eastAsia="zh-CN"/>
        </w:rPr>
        <w:t>磋商响应</w:t>
      </w:r>
      <w:r>
        <w:rPr>
          <w:rFonts w:hint="eastAsia" w:ascii="宋体" w:hAnsi="宋体" w:eastAsia="宋体" w:cs="宋体"/>
          <w:b/>
          <w:bCs/>
          <w:i/>
          <w:iCs/>
          <w:color w:val="auto"/>
          <w:sz w:val="21"/>
          <w:szCs w:val="21"/>
          <w:highlight w:val="none"/>
          <w:u w:val="single"/>
        </w:rPr>
        <w:t>文件递交截止时间当日，建筑业企业资质动态监管结果</w:t>
      </w:r>
      <w:r>
        <w:rPr>
          <w:rFonts w:hint="eastAsia" w:ascii="宋体" w:hAnsi="宋体" w:eastAsia="宋体" w:cs="宋体"/>
          <w:b/>
          <w:bCs/>
          <w:i/>
          <w:iCs/>
          <w:color w:val="auto"/>
          <w:sz w:val="21"/>
          <w:szCs w:val="21"/>
          <w:highlight w:val="none"/>
          <w:u w:val="single"/>
          <w:lang w:val="en-US" w:eastAsia="zh-CN"/>
        </w:rPr>
        <w:t>不得</w:t>
      </w:r>
      <w:r>
        <w:rPr>
          <w:rFonts w:hint="eastAsia" w:ascii="宋体" w:hAnsi="宋体" w:eastAsia="宋体" w:cs="宋体"/>
          <w:b/>
          <w:bCs/>
          <w:i/>
          <w:iCs/>
          <w:color w:val="auto"/>
          <w:sz w:val="21"/>
          <w:szCs w:val="21"/>
          <w:highlight w:val="none"/>
          <w:u w:val="single"/>
        </w:rPr>
        <w:t>处于不合格状态</w:t>
      </w:r>
      <w:r>
        <w:rPr>
          <w:rFonts w:hint="eastAsia" w:ascii="宋体" w:hAnsi="宋体" w:eastAsia="宋体" w:cs="宋体"/>
          <w:b/>
          <w:bCs/>
          <w:i/>
          <w:iCs/>
          <w:color w:val="auto"/>
          <w:sz w:val="21"/>
          <w:szCs w:val="21"/>
          <w:highlight w:val="none"/>
          <w:u w:val="single"/>
          <w:lang w:eastAsia="zh-CN"/>
        </w:rPr>
        <w:t>。（</w:t>
      </w:r>
      <w:r>
        <w:rPr>
          <w:rFonts w:hint="eastAsia" w:ascii="宋体" w:hAnsi="宋体" w:eastAsia="宋体" w:cs="宋体"/>
          <w:b/>
          <w:bCs/>
          <w:i/>
          <w:iCs/>
          <w:color w:val="auto"/>
          <w:sz w:val="21"/>
          <w:szCs w:val="21"/>
          <w:highlight w:val="none"/>
          <w:u w:val="single"/>
          <w:lang w:val="en-US" w:eastAsia="zh-CN"/>
        </w:rPr>
        <w:t>提供针对本条上述所有内容的承诺书，格式自拟，加盖供应商公章）</w:t>
      </w:r>
    </w:p>
    <w:p w14:paraId="63EE7597">
      <w:pPr>
        <w:pStyle w:val="58"/>
        <w:numPr>
          <w:ilvl w:val="0"/>
          <w:numId w:val="0"/>
        </w:numPr>
        <w:spacing w:before="0" w:line="360" w:lineRule="auto"/>
        <w:ind w:left="420" w:leftChars="0"/>
        <w:rPr>
          <w:rFonts w:hint="eastAsia" w:ascii="宋体" w:hAnsi="宋体" w:eastAsia="宋体"/>
          <w:b/>
          <w:bCs/>
          <w:color w:val="auto"/>
          <w:szCs w:val="21"/>
          <w:lang w:val="en-US" w:eastAsia="zh-CN"/>
        </w:rPr>
      </w:pPr>
      <w:r>
        <w:rPr>
          <w:rFonts w:hint="eastAsia" w:ascii="宋体" w:hAnsi="宋体"/>
          <w:b/>
          <w:bCs/>
          <w:color w:val="auto"/>
          <w:szCs w:val="21"/>
          <w:lang w:val="en-US" w:eastAsia="zh-CN"/>
        </w:rPr>
        <w:t>七、</w:t>
      </w:r>
      <w:r>
        <w:rPr>
          <w:rFonts w:hint="eastAsia" w:ascii="宋体" w:hAnsi="宋体" w:eastAsia="宋体"/>
          <w:b/>
          <w:bCs/>
          <w:color w:val="auto"/>
          <w:szCs w:val="21"/>
          <w:lang w:val="en-US" w:eastAsia="zh-CN"/>
        </w:rPr>
        <w:t>其他须知</w:t>
      </w:r>
    </w:p>
    <w:p w14:paraId="4395840C">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1、供应商自行踏勘现场，应充分了解项目位置、交通状况以及工作范围等任何足以影响其报价的情况。任何忽视或误解项目基本情况，而使采购人在项目实施过程中蒙受的损失，将由成交单位进行赔偿。</w:t>
      </w:r>
    </w:p>
    <w:p w14:paraId="09FBFF98">
      <w:pPr>
        <w:spacing w:line="360" w:lineRule="auto"/>
        <w:ind w:firstLine="420" w:firstLineChars="200"/>
        <w:rPr>
          <w:rFonts w:hint="eastAsia" w:ascii="宋体" w:hAnsi="宋体" w:eastAsia="宋体" w:cs="宋体"/>
          <w:color w:val="auto"/>
          <w:kern w:val="0"/>
          <w:szCs w:val="21"/>
          <w:lang w:val="en-US" w:eastAsia="zh-CN"/>
        </w:rPr>
      </w:pPr>
      <w:r>
        <w:rPr>
          <w:rFonts w:hint="eastAsia" w:ascii="宋体" w:hAnsi="宋体" w:eastAsia="宋体" w:cs="宋体"/>
          <w:color w:val="auto"/>
          <w:kern w:val="0"/>
          <w:szCs w:val="21"/>
          <w:lang w:val="en-US" w:eastAsia="zh-CN"/>
        </w:rPr>
        <w:t>2、承包范围为采购文件、工程量清单及图纸范围内的全部工作内容。供应商应根据附件内容（图纸）仔细核对工程量清单，核对内容包括清单数量、清单特征、计量单位等，并将疑问在提问截止时间前提出，采购人将按规定进行澄清和答复。</w:t>
      </w:r>
    </w:p>
    <w:p w14:paraId="3FABEDDE">
      <w:pPr>
        <w:pStyle w:val="58"/>
        <w:spacing w:before="0" w:line="360" w:lineRule="auto"/>
        <w:ind w:firstLine="422"/>
        <w:rPr>
          <w:rFonts w:hint="default" w:ascii="宋体" w:hAnsi="宋体" w:eastAsia="宋体"/>
          <w:b/>
          <w:bCs/>
          <w:color w:val="auto"/>
          <w:szCs w:val="21"/>
          <w:highlight w:val="none"/>
          <w:lang w:val="en-US" w:eastAsia="zh-CN"/>
        </w:rPr>
      </w:pPr>
      <w:r>
        <w:rPr>
          <w:rFonts w:hint="eastAsia" w:ascii="宋体" w:hAnsi="宋体"/>
          <w:b/>
          <w:bCs/>
          <w:color w:val="auto"/>
          <w:szCs w:val="21"/>
          <w:highlight w:val="none"/>
          <w:lang w:val="en-US" w:eastAsia="zh-CN"/>
        </w:rPr>
        <w:t>八</w:t>
      </w:r>
      <w:r>
        <w:rPr>
          <w:rFonts w:hint="eastAsia" w:ascii="宋体" w:hAnsi="宋体" w:eastAsia="宋体"/>
          <w:b/>
          <w:bCs/>
          <w:color w:val="auto"/>
          <w:szCs w:val="21"/>
          <w:highlight w:val="none"/>
          <w:lang w:val="en-US" w:eastAsia="zh-CN"/>
        </w:rPr>
        <w:t>、附件：</w:t>
      </w:r>
      <w:r>
        <w:rPr>
          <w:rFonts w:hint="eastAsia" w:ascii="宋体" w:hAnsi="宋体"/>
          <w:b/>
          <w:bCs/>
          <w:color w:val="auto"/>
          <w:szCs w:val="21"/>
          <w:highlight w:val="none"/>
          <w:lang w:val="en-US" w:eastAsia="zh-CN"/>
        </w:rPr>
        <w:t>图纸及招标</w:t>
      </w:r>
      <w:r>
        <w:rPr>
          <w:rFonts w:hint="eastAsia" w:ascii="宋体" w:hAnsi="宋体" w:eastAsia="宋体"/>
          <w:b/>
          <w:bCs/>
          <w:color w:val="auto"/>
          <w:szCs w:val="21"/>
          <w:highlight w:val="none"/>
          <w:lang w:val="en-US" w:eastAsia="zh-CN"/>
        </w:rPr>
        <w:t>工程量清单</w:t>
      </w:r>
    </w:p>
    <w:p w14:paraId="6FF2D57E">
      <w:pPr>
        <w:spacing w:line="360" w:lineRule="auto"/>
        <w:ind w:firstLine="420" w:firstLineChars="200"/>
        <w:rPr>
          <w:rFonts w:hint="eastAsia" w:ascii="宋体" w:hAnsi="宋体" w:eastAsia="宋体" w:cs="宋体"/>
          <w:kern w:val="0"/>
          <w:szCs w:val="21"/>
        </w:rPr>
      </w:pPr>
    </w:p>
    <w:p w14:paraId="3CB05064">
      <w:pPr>
        <w:spacing w:line="360" w:lineRule="auto"/>
        <w:ind w:firstLine="420" w:firstLineChars="200"/>
        <w:rPr>
          <w:rFonts w:hint="eastAsia" w:ascii="宋体" w:hAnsi="宋体" w:eastAsia="宋体" w:cs="宋体"/>
          <w:kern w:val="0"/>
          <w:szCs w:val="21"/>
        </w:rPr>
      </w:pPr>
    </w:p>
    <w:p w14:paraId="4EE0B2BE">
      <w:pPr>
        <w:spacing w:line="360" w:lineRule="auto"/>
        <w:ind w:firstLine="420" w:firstLineChars="200"/>
        <w:rPr>
          <w:rFonts w:hint="eastAsia" w:ascii="宋体" w:hAnsi="宋体" w:eastAsia="宋体" w:cs="宋体"/>
          <w:kern w:val="0"/>
          <w:szCs w:val="21"/>
        </w:rPr>
      </w:pPr>
    </w:p>
    <w:p w14:paraId="12D640D3">
      <w:pPr>
        <w:spacing w:line="360" w:lineRule="auto"/>
        <w:ind w:firstLine="420" w:firstLineChars="200"/>
        <w:rPr>
          <w:rFonts w:hint="eastAsia" w:ascii="宋体" w:hAnsi="宋体" w:eastAsia="宋体" w:cs="宋体"/>
          <w:kern w:val="0"/>
          <w:szCs w:val="21"/>
        </w:rPr>
      </w:pPr>
    </w:p>
    <w:p w14:paraId="3A7A28E0">
      <w:pPr>
        <w:spacing w:line="360" w:lineRule="auto"/>
        <w:ind w:firstLine="420" w:firstLineChars="200"/>
        <w:rPr>
          <w:rFonts w:hint="eastAsia" w:ascii="宋体" w:hAnsi="宋体" w:eastAsia="宋体" w:cs="宋体"/>
          <w:kern w:val="0"/>
          <w:szCs w:val="21"/>
        </w:rPr>
      </w:pPr>
    </w:p>
    <w:p w14:paraId="5D36F413">
      <w:pPr>
        <w:spacing w:line="360" w:lineRule="auto"/>
        <w:ind w:firstLine="420" w:firstLineChars="200"/>
        <w:rPr>
          <w:rFonts w:hint="eastAsia" w:ascii="宋体" w:hAnsi="宋体" w:eastAsia="宋体" w:cs="宋体"/>
          <w:kern w:val="0"/>
          <w:szCs w:val="21"/>
        </w:rPr>
      </w:pPr>
    </w:p>
    <w:p w14:paraId="05621A67">
      <w:pPr>
        <w:adjustRightInd w:val="0"/>
        <w:snapToGrid w:val="0"/>
        <w:spacing w:line="360" w:lineRule="auto"/>
      </w:pPr>
    </w:p>
    <w:p w14:paraId="46372D8B">
      <w:pPr>
        <w:pStyle w:val="14"/>
        <w:widowControl w:val="0"/>
        <w:numPr>
          <w:ilvl w:val="0"/>
          <w:numId w:val="0"/>
        </w:numPr>
        <w:jc w:val="both"/>
      </w:pPr>
    </w:p>
    <w:p w14:paraId="6860468B">
      <w:r>
        <w:br w:type="page"/>
      </w:r>
    </w:p>
    <w:p w14:paraId="276B2BF0">
      <w:pPr>
        <w:pStyle w:val="14"/>
        <w:widowControl w:val="0"/>
        <w:numPr>
          <w:ilvl w:val="0"/>
          <w:numId w:val="0"/>
        </w:numPr>
        <w:jc w:val="both"/>
      </w:pPr>
    </w:p>
    <w:p w14:paraId="1F9B9280">
      <w:pPr>
        <w:pStyle w:val="2"/>
        <w:numPr>
          <w:ilvl w:val="0"/>
          <w:numId w:val="5"/>
        </w:numPr>
        <w:jc w:val="center"/>
      </w:pPr>
      <w:bookmarkStart w:id="123" w:name="_Toc497145843"/>
      <w:bookmarkStart w:id="124" w:name="_Toc7715"/>
      <w:r>
        <w:t>评审方法和评审标准</w:t>
      </w:r>
      <w:bookmarkEnd w:id="123"/>
      <w:bookmarkEnd w:id="124"/>
    </w:p>
    <w:p w14:paraId="2E4FEB01">
      <w:pPr>
        <w:pStyle w:val="89"/>
        <w:ind w:firstLine="422" w:firstLineChars="200"/>
        <w:rPr>
          <w:rFonts w:ascii="Times New Roman" w:hAnsi="Times New Roman"/>
          <w:b/>
          <w:kern w:val="2"/>
          <w:sz w:val="21"/>
          <w:szCs w:val="21"/>
        </w:rPr>
      </w:pPr>
      <w:r>
        <w:rPr>
          <w:rFonts w:ascii="Times New Roman" w:hAnsi="Times New Roman"/>
          <w:b/>
          <w:kern w:val="2"/>
          <w:sz w:val="21"/>
          <w:szCs w:val="21"/>
        </w:rPr>
        <w:t>一、评标方法</w:t>
      </w:r>
    </w:p>
    <w:p w14:paraId="4AF7492C">
      <w:pPr>
        <w:spacing w:line="360" w:lineRule="auto"/>
        <w:ind w:firstLine="420" w:firstLineChars="200"/>
      </w:pPr>
      <w:r>
        <w:t>本项目采用综合评分法，评委会将对确定为实质性响应磋商文件要求的响应文件进行评价和比较。评标结果按评审后得分由高到低顺序排列。得分相同的，按响应报价由低到高顺序排列。</w:t>
      </w:r>
      <w:r>
        <w:rPr>
          <w:rFonts w:hint="eastAsia"/>
          <w:lang w:val="en-US" w:eastAsia="zh-CN"/>
        </w:rPr>
        <w:t>评审得分且最后报价相同的，按照技术指标优劣顺序推荐。</w:t>
      </w:r>
      <w:r>
        <w:t>响应文件满足磋商文件全部实质性要求，且按照评审因素的量化指标评审得分最高的供应商为排名第一的成交候选人。</w:t>
      </w:r>
    </w:p>
    <w:p w14:paraId="0C18ED49">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《关于推动解决政府采购异常低价问题相关工作的通知》苏财购〔2025〕62号文规定：评审过程中出现下列情形之一的，评审委员会应当启动异常低价投标（响应）审查程序：</w:t>
      </w:r>
    </w:p>
    <w:p w14:paraId="3BA888B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（1）投标（响应）报价低于采购项目预算 50% 的，即投标（响应）报价&lt;采购项目预算×50% ；</w:t>
      </w:r>
    </w:p>
    <w:p w14:paraId="3FDB5B17">
      <w:pPr>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（2）投标（响应）报价低于采购项目最高限价 45% 的，即投标（响应）报价&lt;采购项目最高限价×45% ；</w:t>
      </w:r>
    </w:p>
    <w:p w14:paraId="726E47F2">
      <w:pPr>
        <w:spacing w:line="360" w:lineRule="auto"/>
        <w:ind w:firstLine="420" w:firstLineChars="200"/>
      </w:pPr>
      <w:r>
        <w:rPr>
          <w:rFonts w:hint="eastAsia" w:ascii="Times New Roman" w:hAnsi="Times New Roman" w:eastAsia="宋体" w:cs="Times New Roman"/>
          <w:lang w:val="en-US" w:eastAsia="zh-CN"/>
        </w:rPr>
        <w:t>（3）评审委员会认定的供应商报价过低、有可能影响产品质量或者不能诚信履约的其他情形。</w:t>
      </w:r>
    </w:p>
    <w:p w14:paraId="0BBF0596">
      <w:pPr>
        <w:pStyle w:val="89"/>
        <w:ind w:firstLine="422" w:firstLineChars="200"/>
        <w:rPr>
          <w:rFonts w:ascii="Times New Roman" w:hAnsi="Times New Roman"/>
          <w:b/>
          <w:kern w:val="2"/>
          <w:sz w:val="21"/>
          <w:szCs w:val="21"/>
        </w:rPr>
      </w:pPr>
      <w:r>
        <w:rPr>
          <w:rFonts w:hint="eastAsia" w:ascii="Times New Roman" w:hAnsi="Times New Roman"/>
          <w:b/>
          <w:kern w:val="2"/>
          <w:sz w:val="21"/>
          <w:szCs w:val="21"/>
        </w:rPr>
        <w:t>二</w:t>
      </w:r>
      <w:r>
        <w:rPr>
          <w:rFonts w:ascii="Times New Roman" w:hAnsi="Times New Roman"/>
          <w:b/>
          <w:kern w:val="2"/>
          <w:sz w:val="21"/>
          <w:szCs w:val="21"/>
        </w:rPr>
        <w:t>、评分标准</w:t>
      </w:r>
    </w:p>
    <w:tbl>
      <w:tblPr>
        <w:tblStyle w:val="30"/>
        <w:tblW w:w="513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76"/>
        <w:gridCol w:w="1526"/>
        <w:gridCol w:w="6539"/>
      </w:tblGrid>
      <w:tr w14:paraId="7EDA2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6" w:hRule="atLeast"/>
          <w:tblHeader/>
          <w:jc w:val="center"/>
        </w:trPr>
        <w:tc>
          <w:tcPr>
            <w:tcW w:w="1354" w:type="dxa"/>
            <w:vAlign w:val="center"/>
          </w:tcPr>
          <w:p w14:paraId="5924A9C8">
            <w:pPr>
              <w:jc w:val="center"/>
              <w:rPr>
                <w:rFonts w:hint="eastAsia" w:ascii="宋体" w:hAnsi="宋体" w:cs="宋体"/>
                <w:b/>
                <w:bCs/>
                <w:color w:val="000000"/>
                <w:kern w:val="2"/>
                <w:szCs w:val="21"/>
              </w:rPr>
            </w:pPr>
            <w:bookmarkStart w:id="125" w:name="OLE_LINK2"/>
            <w:bookmarkStart w:id="126" w:name="OLE_LINK1"/>
            <w:r>
              <w:rPr>
                <w:rFonts w:hint="eastAsia" w:ascii="宋体" w:hAnsi="宋体" w:cs="宋体"/>
                <w:b/>
                <w:bCs/>
                <w:color w:val="000000"/>
                <w:kern w:val="2"/>
                <w:szCs w:val="21"/>
              </w:rPr>
              <w:t>评分标准</w:t>
            </w:r>
          </w:p>
        </w:tc>
        <w:tc>
          <w:tcPr>
            <w:tcW w:w="7400" w:type="dxa"/>
            <w:gridSpan w:val="2"/>
            <w:vAlign w:val="center"/>
          </w:tcPr>
          <w:p w14:paraId="6E92552A">
            <w:pPr>
              <w:jc w:val="center"/>
              <w:rPr>
                <w:rFonts w:hint="eastAsia" w:ascii="宋体" w:hAnsi="宋体" w:cs="宋体"/>
                <w:b/>
                <w:bCs/>
                <w:color w:val="000000"/>
                <w:kern w:val="2"/>
                <w:szCs w:val="21"/>
              </w:rPr>
            </w:pPr>
            <w:r>
              <w:rPr>
                <w:rFonts w:hint="eastAsia" w:ascii="宋体" w:hAnsi="宋体" w:cs="宋体"/>
                <w:b/>
                <w:bCs/>
                <w:color w:val="000000"/>
                <w:kern w:val="2"/>
                <w:szCs w:val="21"/>
              </w:rPr>
              <w:t>评分细则</w:t>
            </w:r>
          </w:p>
        </w:tc>
      </w:tr>
      <w:tr w14:paraId="553EA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1147AF72">
            <w:pPr>
              <w:jc w:val="center"/>
              <w:rPr>
                <w:rFonts w:hint="eastAsia" w:ascii="宋体" w:hAnsi="宋体" w:cs="宋体"/>
                <w:color w:val="000000"/>
                <w:kern w:val="2"/>
                <w:szCs w:val="21"/>
              </w:rPr>
            </w:pPr>
            <w:r>
              <w:rPr>
                <w:rFonts w:hint="eastAsia" w:ascii="宋体" w:hAnsi="宋体" w:cs="宋体"/>
                <w:color w:val="000000"/>
                <w:kern w:val="2"/>
                <w:szCs w:val="21"/>
              </w:rPr>
              <w:t>价格</w:t>
            </w:r>
          </w:p>
          <w:p w14:paraId="06225932">
            <w:pPr>
              <w:jc w:val="center"/>
              <w:rPr>
                <w:rFonts w:hint="eastAsia" w:ascii="宋体" w:hAnsi="宋体" w:cs="宋体"/>
                <w:color w:val="000000"/>
                <w:kern w:val="2"/>
                <w:szCs w:val="21"/>
              </w:rPr>
            </w:pPr>
            <w:r>
              <w:rPr>
                <w:rFonts w:hint="eastAsia" w:ascii="宋体" w:hAnsi="宋体" w:cs="宋体"/>
                <w:color w:val="000000"/>
                <w:kern w:val="2"/>
                <w:szCs w:val="21"/>
              </w:rPr>
              <w:t>（60分）</w:t>
            </w:r>
          </w:p>
        </w:tc>
        <w:tc>
          <w:tcPr>
            <w:tcW w:w="7400" w:type="dxa"/>
            <w:gridSpan w:val="2"/>
            <w:vAlign w:val="center"/>
          </w:tcPr>
          <w:p w14:paraId="6EC49027">
            <w:pPr>
              <w:rPr>
                <w:rFonts w:hint="eastAsia" w:ascii="宋体" w:hAnsi="宋体" w:cs="宋体"/>
                <w:color w:val="000000"/>
                <w:kern w:val="2"/>
                <w:szCs w:val="21"/>
              </w:rPr>
            </w:pPr>
            <w:r>
              <w:rPr>
                <w:rFonts w:hint="eastAsia" w:ascii="宋体" w:hAnsi="宋体" w:cs="宋体"/>
                <w:color w:val="000000"/>
                <w:kern w:val="2"/>
                <w:szCs w:val="21"/>
              </w:rPr>
              <w:t>以满足磋商文件要求且最终报价最低的供应商的价格为磋商基准价，其价格分得满分。其他供应商价格得分统一按下列公式计算：</w:t>
            </w:r>
          </w:p>
          <w:p w14:paraId="05DB22D4">
            <w:pPr>
              <w:rPr>
                <w:rFonts w:hint="eastAsia" w:ascii="宋体" w:hAnsi="宋体" w:cs="宋体"/>
                <w:color w:val="000000"/>
                <w:kern w:val="2"/>
                <w:szCs w:val="21"/>
              </w:rPr>
            </w:pPr>
            <w:r>
              <w:rPr>
                <w:rFonts w:hint="eastAsia" w:ascii="宋体" w:hAnsi="宋体" w:cs="宋体"/>
                <w:color w:val="000000"/>
                <w:kern w:val="2"/>
                <w:szCs w:val="21"/>
              </w:rPr>
              <w:t>磋商报价得分=（磋商基准价/其他最后磋商报价）×60×100%（</w:t>
            </w:r>
            <w:r>
              <w:rPr>
                <w:rFonts w:hint="eastAsia" w:ascii="宋体" w:hAnsi="宋体" w:cs="宋体"/>
                <w:color w:val="000000"/>
                <w:kern w:val="2"/>
                <w:szCs w:val="21"/>
                <w:lang w:val="en-US" w:eastAsia="zh-CN"/>
              </w:rPr>
              <w:t>四舍五入，</w:t>
            </w:r>
            <w:r>
              <w:rPr>
                <w:rFonts w:hint="eastAsia" w:ascii="宋体" w:hAnsi="宋体" w:cs="宋体"/>
                <w:color w:val="000000"/>
                <w:kern w:val="2"/>
                <w:szCs w:val="21"/>
              </w:rPr>
              <w:t>保留两位有效小数）</w:t>
            </w:r>
          </w:p>
          <w:p w14:paraId="42D3DFD4">
            <w:pPr>
              <w:rPr>
                <w:rFonts w:hint="eastAsia" w:ascii="宋体" w:hAnsi="宋体" w:cs="宋体"/>
                <w:color w:val="000000"/>
                <w:kern w:val="2"/>
                <w:szCs w:val="21"/>
              </w:rPr>
            </w:pPr>
            <w:r>
              <w:rPr>
                <w:rFonts w:hint="eastAsia" w:ascii="宋体" w:hAnsi="宋体" w:cs="宋体"/>
                <w:b/>
                <w:bCs/>
                <w:color w:val="000000"/>
                <w:kern w:val="2"/>
                <w:szCs w:val="21"/>
              </w:rPr>
              <w:t>注：磋商小组认为供应商的报价明显低于其他通过符合性审查供应商的报价，有可能影响工程质量或者不能诚信履约的，且供应商不能在评审合理的时间内证明其报价合理性的，磋商小组有权将其作为无效响应处理。</w:t>
            </w:r>
          </w:p>
        </w:tc>
      </w:tr>
      <w:tr w14:paraId="7A824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restart"/>
            <w:vAlign w:val="center"/>
          </w:tcPr>
          <w:p w14:paraId="5F837857">
            <w:pPr>
              <w:jc w:val="center"/>
              <w:rPr>
                <w:rFonts w:hint="eastAsia" w:ascii="宋体" w:hAnsi="宋体" w:cs="宋体"/>
                <w:color w:val="000000"/>
                <w:kern w:val="2"/>
                <w:szCs w:val="21"/>
              </w:rPr>
            </w:pPr>
            <w:r>
              <w:rPr>
                <w:rFonts w:hint="eastAsia" w:ascii="宋体" w:hAnsi="宋体" w:cs="宋体"/>
                <w:color w:val="000000"/>
                <w:kern w:val="2"/>
                <w:szCs w:val="21"/>
              </w:rPr>
              <w:t>项目实施</w:t>
            </w:r>
          </w:p>
          <w:p w14:paraId="51AC8C27">
            <w:pPr>
              <w:jc w:val="center"/>
              <w:rPr>
                <w:rFonts w:hint="eastAsia" w:ascii="宋体" w:hAnsi="宋体" w:cs="宋体"/>
                <w:color w:val="000000"/>
                <w:kern w:val="2"/>
                <w:szCs w:val="21"/>
              </w:rPr>
            </w:pPr>
            <w:r>
              <w:rPr>
                <w:rFonts w:hint="eastAsia" w:ascii="宋体" w:hAnsi="宋体" w:cs="宋体"/>
                <w:color w:val="000000"/>
                <w:kern w:val="2"/>
                <w:szCs w:val="21"/>
              </w:rPr>
              <w:t>方案</w:t>
            </w:r>
          </w:p>
          <w:p w14:paraId="6389993F">
            <w:pPr>
              <w:jc w:val="center"/>
              <w:rPr>
                <w:rFonts w:hint="eastAsia" w:ascii="宋体" w:hAnsi="宋体" w:cs="宋体"/>
                <w:color w:val="000000"/>
                <w:kern w:val="2"/>
                <w:szCs w:val="21"/>
              </w:rPr>
            </w:pPr>
            <w:r>
              <w:rPr>
                <w:rFonts w:hint="eastAsia" w:ascii="宋体" w:hAnsi="宋体" w:cs="宋体"/>
                <w:color w:val="000000"/>
                <w:kern w:val="2"/>
                <w:szCs w:val="21"/>
              </w:rPr>
              <w:t>（28分）</w:t>
            </w:r>
          </w:p>
        </w:tc>
        <w:tc>
          <w:tcPr>
            <w:tcW w:w="1400" w:type="dxa"/>
            <w:vAlign w:val="center"/>
          </w:tcPr>
          <w:p w14:paraId="30C8E100">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施工总体部署</w:t>
            </w:r>
          </w:p>
          <w:p w14:paraId="256C920C">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512B900E">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工程概述、总体安排、施工部署及施工段划分科学、严密、合理，有针对医院特殊场所施工和减少影响医院业务开展详细措施，描述详细具体的，得4分；</w:t>
            </w:r>
          </w:p>
          <w:p w14:paraId="0F423DAF">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工程概述、总体安排、施工部署及施工段划分基本科学、严密、合理，考虑医院特殊场所安拆和医院临床业务开展特殊性，但措施不够具体详实的，得3分；</w:t>
            </w:r>
          </w:p>
          <w:p w14:paraId="7B4518D2">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工程概述、总体安排、施工部署及施工段划分一般，未考虑医院特殊场所安拆和医院临床业务开展特殊性的，得2分；</w:t>
            </w:r>
          </w:p>
          <w:p w14:paraId="24D61D9D">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工程概述、总体安排、施工部署及施工段划分存在不合理、描述欠缺、存在一定的实施难度的，得1分；</w:t>
            </w:r>
          </w:p>
          <w:p w14:paraId="453AC41C">
            <w:pPr>
              <w:rPr>
                <w:rFonts w:hint="eastAsia" w:ascii="宋体" w:hAnsi="宋体" w:cs="宋体"/>
                <w:color w:val="000000"/>
                <w:kern w:val="2"/>
                <w:szCs w:val="21"/>
              </w:rPr>
            </w:pPr>
            <w:r>
              <w:rPr>
                <w:rFonts w:hint="eastAsia" w:ascii="宋体" w:hAnsi="宋体" w:cs="宋体"/>
                <w:color w:val="000000"/>
                <w:kern w:val="2"/>
                <w:szCs w:val="21"/>
              </w:rPr>
              <w:t>工程概述、总体安排、施工部署及施工段划分严重不合理或未提供不得分。</w:t>
            </w:r>
          </w:p>
        </w:tc>
      </w:tr>
      <w:tr w14:paraId="0473D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734014DA">
            <w:pPr>
              <w:jc w:val="center"/>
              <w:rPr>
                <w:rFonts w:hint="eastAsia" w:ascii="宋体" w:hAnsi="宋体" w:cs="宋体"/>
                <w:color w:val="000000"/>
                <w:kern w:val="2"/>
                <w:szCs w:val="21"/>
              </w:rPr>
            </w:pPr>
          </w:p>
        </w:tc>
        <w:tc>
          <w:tcPr>
            <w:tcW w:w="1400" w:type="dxa"/>
            <w:vAlign w:val="center"/>
          </w:tcPr>
          <w:p w14:paraId="7C6CE6DA">
            <w:pPr>
              <w:jc w:val="center"/>
              <w:rPr>
                <w:rFonts w:hint="eastAsia" w:ascii="宋体" w:hAnsi="宋体" w:cs="宋体"/>
                <w:color w:val="000000"/>
                <w:kern w:val="2"/>
                <w:szCs w:val="21"/>
              </w:rPr>
            </w:pPr>
            <w:r>
              <w:rPr>
                <w:rFonts w:hint="eastAsia" w:ascii="宋体" w:hAnsi="宋体" w:cs="宋体"/>
                <w:color w:val="000000"/>
                <w:kern w:val="2"/>
                <w:szCs w:val="21"/>
              </w:rPr>
              <w:t>关键施工技术、工艺及工程项目实施的重点、难点和解决方案</w:t>
            </w:r>
          </w:p>
          <w:p w14:paraId="78E13C8B">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3DC8A5E">
            <w:pPr>
              <w:rPr>
                <w:rFonts w:hint="eastAsia" w:ascii="宋体" w:hAnsi="宋体" w:cs="宋体"/>
                <w:color w:val="000000"/>
                <w:kern w:val="2"/>
                <w:szCs w:val="21"/>
              </w:rPr>
            </w:pPr>
            <w:r>
              <w:rPr>
                <w:rFonts w:hint="eastAsia" w:ascii="宋体" w:hAnsi="宋体" w:cs="宋体"/>
                <w:color w:val="000000"/>
                <w:kern w:val="2"/>
                <w:szCs w:val="21"/>
              </w:rPr>
              <w:t>主要分部、分项施工方案科学、严密、合理，有针对特殊区域的施工方案，且切实可行，描述详细的得4分；</w:t>
            </w:r>
          </w:p>
          <w:p w14:paraId="6EB52B50">
            <w:pPr>
              <w:rPr>
                <w:rFonts w:hint="eastAsia" w:ascii="宋体" w:hAnsi="宋体" w:cs="宋体"/>
                <w:color w:val="000000"/>
                <w:kern w:val="2"/>
                <w:szCs w:val="21"/>
              </w:rPr>
            </w:pPr>
            <w:r>
              <w:rPr>
                <w:rFonts w:hint="eastAsia" w:ascii="宋体" w:hAnsi="宋体" w:cs="宋体"/>
                <w:color w:val="000000"/>
                <w:kern w:val="2"/>
                <w:szCs w:val="21"/>
              </w:rPr>
              <w:t>主要分部、分项施工方案较科学、严密、合理，有针对特殊区域的施工方案，但存在一定施工难度，描述详细得3分；</w:t>
            </w:r>
          </w:p>
          <w:p w14:paraId="374B7CF2">
            <w:pPr>
              <w:rPr>
                <w:rFonts w:hint="eastAsia" w:ascii="宋体" w:hAnsi="宋体" w:cs="宋体"/>
                <w:color w:val="000000"/>
                <w:kern w:val="2"/>
                <w:szCs w:val="21"/>
              </w:rPr>
            </w:pPr>
            <w:r>
              <w:rPr>
                <w:rFonts w:hint="eastAsia" w:ascii="宋体" w:hAnsi="宋体" w:cs="宋体"/>
                <w:color w:val="000000"/>
                <w:kern w:val="2"/>
                <w:szCs w:val="21"/>
              </w:rPr>
              <w:t>主要分部、分项施工方案基本合理、描述一般、存在可操作性，有针对特殊区域单独的施工方案，描述详细得2分；</w:t>
            </w:r>
          </w:p>
          <w:p w14:paraId="66052482">
            <w:pPr>
              <w:rPr>
                <w:rFonts w:hint="eastAsia" w:ascii="宋体" w:hAnsi="宋体" w:cs="宋体"/>
                <w:color w:val="000000"/>
                <w:kern w:val="2"/>
                <w:szCs w:val="21"/>
              </w:rPr>
            </w:pPr>
            <w:r>
              <w:rPr>
                <w:rFonts w:hint="eastAsia" w:ascii="宋体" w:hAnsi="宋体" w:cs="宋体"/>
                <w:color w:val="000000"/>
                <w:kern w:val="2"/>
                <w:szCs w:val="21"/>
              </w:rPr>
              <w:t>主要分部、分项施工方案具有不合理项、描述略欠缺、存在一定的实施难度得1分；</w:t>
            </w:r>
          </w:p>
          <w:p w14:paraId="6E566BD6">
            <w:pPr>
              <w:rPr>
                <w:rFonts w:hint="eastAsia" w:ascii="宋体" w:hAnsi="宋体" w:cs="宋体"/>
                <w:color w:val="000000"/>
                <w:kern w:val="2"/>
                <w:szCs w:val="21"/>
              </w:rPr>
            </w:pPr>
            <w:r>
              <w:rPr>
                <w:rFonts w:hint="eastAsia" w:ascii="宋体" w:hAnsi="宋体" w:cs="宋体"/>
                <w:color w:val="000000"/>
                <w:kern w:val="2"/>
                <w:szCs w:val="21"/>
              </w:rPr>
              <w:t>方案存在严重不合理或未提供不得分。</w:t>
            </w:r>
          </w:p>
        </w:tc>
      </w:tr>
      <w:tr w14:paraId="5D4CC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C1AE640">
            <w:pPr>
              <w:jc w:val="center"/>
              <w:rPr>
                <w:rFonts w:hint="eastAsia" w:ascii="宋体" w:hAnsi="宋体" w:cs="宋体"/>
                <w:color w:val="000000"/>
                <w:kern w:val="2"/>
                <w:szCs w:val="21"/>
              </w:rPr>
            </w:pPr>
          </w:p>
        </w:tc>
        <w:tc>
          <w:tcPr>
            <w:tcW w:w="1400" w:type="dxa"/>
            <w:vAlign w:val="center"/>
          </w:tcPr>
          <w:p w14:paraId="5F00084E">
            <w:pPr>
              <w:ind w:firstLine="210" w:firstLineChars="100"/>
              <w:rPr>
                <w:rFonts w:hint="eastAsia" w:ascii="宋体" w:hAnsi="宋体" w:cs="宋体"/>
                <w:color w:val="000000"/>
                <w:kern w:val="2"/>
                <w:szCs w:val="21"/>
              </w:rPr>
            </w:pPr>
            <w:r>
              <w:rPr>
                <w:rFonts w:hint="eastAsia" w:ascii="宋体" w:hAnsi="宋体" w:cs="宋体"/>
                <w:color w:val="000000"/>
                <w:kern w:val="2"/>
                <w:szCs w:val="21"/>
              </w:rPr>
              <w:t>安全文明</w:t>
            </w:r>
          </w:p>
          <w:p w14:paraId="1F4B7746">
            <w:pPr>
              <w:jc w:val="center"/>
              <w:rPr>
                <w:rFonts w:hint="eastAsia" w:ascii="宋体" w:hAnsi="宋体" w:cs="宋体"/>
                <w:color w:val="000000"/>
                <w:kern w:val="2"/>
                <w:szCs w:val="21"/>
              </w:rPr>
            </w:pPr>
            <w:r>
              <w:rPr>
                <w:rFonts w:hint="eastAsia" w:ascii="宋体" w:hAnsi="宋体" w:cs="宋体"/>
                <w:color w:val="000000"/>
                <w:kern w:val="2"/>
                <w:szCs w:val="21"/>
              </w:rPr>
              <w:t>施工</w:t>
            </w:r>
          </w:p>
          <w:p w14:paraId="2D2B713A">
            <w:pPr>
              <w:jc w:val="center"/>
              <w:rPr>
                <w:rFonts w:hint="eastAsia" w:ascii="宋体" w:hAnsi="宋体" w:cs="宋体"/>
                <w:color w:val="000000"/>
                <w:kern w:val="2"/>
                <w:szCs w:val="21"/>
              </w:rPr>
            </w:pPr>
            <w:r>
              <w:rPr>
                <w:rFonts w:hint="eastAsia" w:ascii="宋体" w:hAnsi="宋体" w:cs="宋体"/>
                <w:color w:val="000000"/>
                <w:kern w:val="2"/>
                <w:szCs w:val="21"/>
              </w:rPr>
              <w:t>（4分）</w:t>
            </w:r>
          </w:p>
        </w:tc>
        <w:tc>
          <w:tcPr>
            <w:tcW w:w="6000" w:type="dxa"/>
            <w:vAlign w:val="center"/>
          </w:tcPr>
          <w:p w14:paraId="76A38BC5">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安全文明施工措施科学、严密、合理，有针对医院特殊场所施工降噪、减少气味、确保施工措施切实有效可行，描述详细且具有针对性的，得4分；</w:t>
            </w:r>
          </w:p>
          <w:p w14:paraId="7B35EC44">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安全文明施工措施科学、严密、合理，有针对医院特殊场所施工降噪、减少气味、施工安全的措施具备一定可行性，得3分；</w:t>
            </w:r>
          </w:p>
          <w:p w14:paraId="5EB5D587">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安全文明施工措施基本合理、描述较详细、存在可操作性，有针对医院特殊场所施工降噪、减少气味、确保施工安全的基本措施，得2分；</w:t>
            </w:r>
          </w:p>
          <w:p w14:paraId="00CD7A62">
            <w:pPr>
              <w:rPr>
                <w:rFonts w:hint="eastAsia" w:ascii="宋体" w:hAnsi="宋体" w:cs="宋体"/>
                <w:color w:val="000000"/>
                <w:spacing w:val="-6"/>
                <w:kern w:val="2"/>
                <w:szCs w:val="21"/>
              </w:rPr>
            </w:pPr>
            <w:r>
              <w:rPr>
                <w:rFonts w:hint="eastAsia" w:ascii="宋体" w:hAnsi="宋体" w:cs="宋体"/>
                <w:color w:val="000000"/>
                <w:spacing w:val="-6"/>
                <w:kern w:val="2"/>
                <w:szCs w:val="21"/>
              </w:rPr>
              <w:t>安全文明施工措施基本合理、描述欠缺、可操作性一般，针对医院特殊场所施工降噪、减少气味得措施内容简单，确保施工安全的基本措施欠缺，得1分；</w:t>
            </w:r>
          </w:p>
          <w:p w14:paraId="65DCA903">
            <w:pPr>
              <w:rPr>
                <w:rFonts w:hint="eastAsia" w:ascii="宋体" w:hAnsi="宋体" w:cs="宋体"/>
                <w:color w:val="000000"/>
                <w:kern w:val="2"/>
                <w:szCs w:val="21"/>
              </w:rPr>
            </w:pPr>
            <w:r>
              <w:rPr>
                <w:rFonts w:hint="eastAsia" w:ascii="宋体" w:hAnsi="宋体" w:cs="宋体"/>
                <w:color w:val="000000"/>
                <w:spacing w:val="-6"/>
                <w:kern w:val="2"/>
                <w:szCs w:val="21"/>
              </w:rPr>
              <w:t>安全文明施工措施具有部分不合理项、描述一般、存在一定的实施难度</w:t>
            </w:r>
            <w:r>
              <w:rPr>
                <w:rFonts w:hint="eastAsia" w:ascii="宋体" w:hAnsi="宋体" w:cs="宋体"/>
                <w:color w:val="000000"/>
                <w:kern w:val="2"/>
                <w:szCs w:val="21"/>
              </w:rPr>
              <w:t>或</w:t>
            </w:r>
            <w:r>
              <w:rPr>
                <w:rFonts w:hint="eastAsia" w:ascii="宋体" w:hAnsi="宋体" w:cs="宋体"/>
                <w:color w:val="000000"/>
                <w:spacing w:val="-6"/>
                <w:kern w:val="2"/>
                <w:szCs w:val="21"/>
              </w:rPr>
              <w:t>未提供不得分。</w:t>
            </w:r>
          </w:p>
        </w:tc>
      </w:tr>
      <w:tr w14:paraId="538FD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71F0A4">
            <w:pPr>
              <w:jc w:val="center"/>
              <w:rPr>
                <w:rFonts w:hint="eastAsia" w:ascii="宋体" w:hAnsi="宋体" w:cs="宋体"/>
                <w:color w:val="000000"/>
                <w:kern w:val="2"/>
                <w:szCs w:val="21"/>
              </w:rPr>
            </w:pPr>
          </w:p>
        </w:tc>
        <w:tc>
          <w:tcPr>
            <w:tcW w:w="1400" w:type="dxa"/>
            <w:vAlign w:val="center"/>
          </w:tcPr>
          <w:p w14:paraId="5F29C08F">
            <w:pPr>
              <w:jc w:val="center"/>
              <w:rPr>
                <w:rFonts w:hint="eastAsia" w:ascii="宋体" w:hAnsi="宋体" w:cs="宋体"/>
                <w:color w:val="000000"/>
                <w:kern w:val="2"/>
                <w:szCs w:val="21"/>
              </w:rPr>
            </w:pPr>
            <w:r>
              <w:rPr>
                <w:rFonts w:hint="eastAsia" w:ascii="宋体" w:hAnsi="宋体" w:cs="宋体"/>
                <w:color w:val="000000"/>
                <w:spacing w:val="-6"/>
                <w:kern w:val="2"/>
                <w:szCs w:val="21"/>
              </w:rPr>
              <w:t>应急处理措施</w:t>
            </w:r>
            <w:r>
              <w:rPr>
                <w:rFonts w:hint="eastAsia" w:ascii="宋体" w:hAnsi="宋体" w:cs="宋体"/>
                <w:color w:val="000000"/>
                <w:kern w:val="2"/>
                <w:szCs w:val="21"/>
              </w:rPr>
              <w:t>（4分）</w:t>
            </w:r>
          </w:p>
        </w:tc>
        <w:tc>
          <w:tcPr>
            <w:tcW w:w="6000" w:type="dxa"/>
            <w:vAlign w:val="center"/>
          </w:tcPr>
          <w:p w14:paraId="35285370">
            <w:pPr>
              <w:rPr>
                <w:rFonts w:hint="eastAsia" w:ascii="宋体" w:hAnsi="宋体" w:cs="宋体"/>
                <w:color w:val="000000"/>
                <w:kern w:val="2"/>
                <w:szCs w:val="21"/>
              </w:rPr>
            </w:pPr>
            <w:r>
              <w:rPr>
                <w:rFonts w:hint="eastAsia" w:ascii="宋体" w:hAnsi="宋体" w:cs="宋体"/>
                <w:color w:val="000000"/>
                <w:kern w:val="2"/>
                <w:szCs w:val="21"/>
              </w:rPr>
              <w:t>针对本项目供应商提供的在医院内施工期间突发事件防范应急措施科学、严密、合理，描述详细且具有针对性的得4分；</w:t>
            </w:r>
          </w:p>
          <w:p w14:paraId="5FCD06E3">
            <w:pPr>
              <w:rPr>
                <w:rFonts w:hint="eastAsia" w:ascii="宋体" w:hAnsi="宋体" w:cs="宋体"/>
                <w:color w:val="000000"/>
                <w:kern w:val="2"/>
                <w:szCs w:val="21"/>
              </w:rPr>
            </w:pPr>
            <w:r>
              <w:rPr>
                <w:rFonts w:hint="eastAsia" w:ascii="宋体" w:hAnsi="宋体" w:cs="宋体"/>
                <w:color w:val="000000"/>
                <w:kern w:val="2"/>
                <w:szCs w:val="21"/>
              </w:rPr>
              <w:t>措施</w:t>
            </w:r>
            <w:r>
              <w:rPr>
                <w:rFonts w:hint="eastAsia" w:ascii="宋体" w:hAnsi="宋体" w:cs="宋体"/>
                <w:color w:val="000000"/>
                <w:kern w:val="2"/>
                <w:szCs w:val="21"/>
                <w:lang w:val="en-US" w:eastAsia="zh-CN"/>
              </w:rPr>
              <w:t>较</w:t>
            </w:r>
            <w:r>
              <w:rPr>
                <w:rFonts w:hint="eastAsia" w:ascii="宋体" w:hAnsi="宋体" w:cs="宋体"/>
                <w:color w:val="000000"/>
                <w:kern w:val="2"/>
                <w:szCs w:val="21"/>
              </w:rPr>
              <w:t>科学、严密、合理，描述</w:t>
            </w:r>
            <w:r>
              <w:rPr>
                <w:rFonts w:hint="eastAsia" w:ascii="宋体" w:hAnsi="宋体" w:cs="宋体"/>
                <w:color w:val="000000"/>
                <w:kern w:val="2"/>
                <w:szCs w:val="21"/>
                <w:lang w:val="en-US" w:eastAsia="zh-CN"/>
              </w:rPr>
              <w:t>较</w:t>
            </w:r>
            <w:r>
              <w:rPr>
                <w:rFonts w:hint="eastAsia" w:ascii="宋体" w:hAnsi="宋体" w:cs="宋体"/>
                <w:color w:val="000000"/>
                <w:kern w:val="2"/>
                <w:szCs w:val="21"/>
              </w:rPr>
              <w:t>详细</w:t>
            </w:r>
            <w:r>
              <w:rPr>
                <w:rFonts w:hint="eastAsia" w:ascii="宋体" w:hAnsi="宋体" w:cs="宋体"/>
                <w:color w:val="000000"/>
                <w:kern w:val="2"/>
                <w:szCs w:val="21"/>
                <w:lang w:eastAsia="zh-CN"/>
              </w:rPr>
              <w:t>，</w:t>
            </w:r>
            <w:r>
              <w:rPr>
                <w:rFonts w:hint="eastAsia" w:ascii="宋体" w:hAnsi="宋体" w:cs="宋体"/>
                <w:color w:val="000000"/>
                <w:kern w:val="2"/>
                <w:szCs w:val="21"/>
              </w:rPr>
              <w:t>针对性</w:t>
            </w:r>
            <w:r>
              <w:rPr>
                <w:rFonts w:hint="eastAsia" w:ascii="宋体" w:hAnsi="宋体" w:cs="宋体"/>
                <w:color w:val="000000"/>
                <w:kern w:val="2"/>
                <w:szCs w:val="21"/>
                <w:lang w:val="en-US" w:eastAsia="zh-CN"/>
              </w:rPr>
              <w:t>一般</w:t>
            </w:r>
            <w:r>
              <w:rPr>
                <w:rFonts w:hint="eastAsia" w:ascii="宋体" w:hAnsi="宋体" w:cs="宋体"/>
                <w:color w:val="000000"/>
                <w:kern w:val="2"/>
                <w:szCs w:val="21"/>
              </w:rPr>
              <w:t>的得</w:t>
            </w:r>
            <w:r>
              <w:rPr>
                <w:rFonts w:hint="eastAsia" w:ascii="宋体" w:hAnsi="宋体" w:cs="宋体"/>
                <w:color w:val="000000"/>
                <w:kern w:val="2"/>
                <w:szCs w:val="21"/>
                <w:lang w:val="en-US" w:eastAsia="zh-CN"/>
              </w:rPr>
              <w:t>3</w:t>
            </w:r>
            <w:r>
              <w:rPr>
                <w:rFonts w:hint="eastAsia" w:ascii="宋体" w:hAnsi="宋体" w:cs="宋体"/>
                <w:color w:val="000000"/>
                <w:kern w:val="2"/>
                <w:szCs w:val="21"/>
              </w:rPr>
              <w:t>分；</w:t>
            </w:r>
          </w:p>
          <w:p w14:paraId="578E239B">
            <w:pPr>
              <w:rPr>
                <w:rFonts w:hint="eastAsia" w:ascii="宋体" w:hAnsi="宋体" w:cs="宋体"/>
                <w:color w:val="000000"/>
                <w:kern w:val="2"/>
                <w:szCs w:val="21"/>
              </w:rPr>
            </w:pPr>
            <w:r>
              <w:rPr>
                <w:rFonts w:hint="eastAsia" w:ascii="宋体" w:hAnsi="宋体" w:cs="宋体"/>
                <w:color w:val="000000"/>
                <w:kern w:val="2"/>
                <w:szCs w:val="21"/>
              </w:rPr>
              <w:t>措施基本合理、描述一般、存在可操作性得2分；</w:t>
            </w:r>
          </w:p>
          <w:p w14:paraId="02F8D5CB">
            <w:pPr>
              <w:rPr>
                <w:rFonts w:hint="eastAsia" w:ascii="宋体" w:hAnsi="宋体" w:cs="宋体"/>
                <w:color w:val="000000"/>
                <w:kern w:val="2"/>
                <w:szCs w:val="21"/>
              </w:rPr>
            </w:pPr>
            <w:r>
              <w:rPr>
                <w:rFonts w:hint="eastAsia" w:ascii="宋体" w:hAnsi="宋体" w:cs="宋体"/>
                <w:color w:val="000000"/>
                <w:kern w:val="2"/>
                <w:szCs w:val="21"/>
              </w:rPr>
              <w:t>措施具有明显不合理项、描述欠缺、存在实施难度得1分；</w:t>
            </w:r>
          </w:p>
          <w:p w14:paraId="1F2E701D">
            <w:pPr>
              <w:rPr>
                <w:rFonts w:hint="eastAsia" w:ascii="宋体" w:hAnsi="宋体" w:cs="宋体"/>
                <w:color w:val="000000"/>
                <w:spacing w:val="-6"/>
                <w:kern w:val="2"/>
                <w:szCs w:val="21"/>
              </w:rPr>
            </w:pPr>
            <w:r>
              <w:rPr>
                <w:rFonts w:hint="eastAsia" w:ascii="宋体" w:hAnsi="宋体" w:cs="宋体"/>
                <w:color w:val="000000"/>
                <w:kern w:val="2"/>
                <w:szCs w:val="21"/>
              </w:rPr>
              <w:t>未提供不得分。</w:t>
            </w:r>
          </w:p>
        </w:tc>
      </w:tr>
      <w:tr w14:paraId="4EF40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50657723">
            <w:pPr>
              <w:jc w:val="center"/>
              <w:rPr>
                <w:rFonts w:hint="eastAsia" w:ascii="宋体" w:hAnsi="宋体" w:cs="宋体"/>
                <w:color w:val="000000"/>
                <w:kern w:val="2"/>
                <w:szCs w:val="21"/>
              </w:rPr>
            </w:pPr>
          </w:p>
        </w:tc>
        <w:tc>
          <w:tcPr>
            <w:tcW w:w="1400" w:type="dxa"/>
            <w:vAlign w:val="center"/>
          </w:tcPr>
          <w:p w14:paraId="5F98616A">
            <w:pPr>
              <w:jc w:val="center"/>
              <w:rPr>
                <w:rFonts w:hint="eastAsia" w:ascii="宋体" w:hAnsi="宋体" w:cs="宋体"/>
                <w:color w:val="000000"/>
                <w:kern w:val="2"/>
                <w:szCs w:val="21"/>
              </w:rPr>
            </w:pPr>
            <w:r>
              <w:rPr>
                <w:rFonts w:hint="eastAsia" w:ascii="宋体" w:hAnsi="宋体" w:cs="宋体"/>
                <w:color w:val="000000"/>
                <w:kern w:val="2"/>
                <w:szCs w:val="21"/>
              </w:rPr>
              <w:t>施工现场平面布置和临时设施</w:t>
            </w:r>
          </w:p>
          <w:p w14:paraId="73DE0854">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27F28324">
            <w:pPr>
              <w:rPr>
                <w:rFonts w:hint="eastAsia" w:ascii="宋体" w:hAnsi="宋体" w:cs="宋体"/>
                <w:color w:val="000000"/>
                <w:kern w:val="2"/>
                <w:szCs w:val="21"/>
              </w:rPr>
            </w:pPr>
            <w:r>
              <w:rPr>
                <w:rFonts w:hint="eastAsia" w:ascii="宋体" w:hAnsi="宋体" w:cs="宋体"/>
                <w:color w:val="000000"/>
                <w:kern w:val="2"/>
                <w:szCs w:val="21"/>
              </w:rPr>
              <w:t>施工现场平面布置和临时设施科学、严密、合理，描述详细且具有针对性的得3分；</w:t>
            </w:r>
          </w:p>
          <w:p w14:paraId="1D9DC30A">
            <w:pPr>
              <w:rPr>
                <w:rFonts w:hint="eastAsia" w:ascii="宋体" w:hAnsi="宋体" w:cs="宋体"/>
                <w:color w:val="000000"/>
                <w:kern w:val="2"/>
                <w:szCs w:val="21"/>
              </w:rPr>
            </w:pPr>
            <w:r>
              <w:rPr>
                <w:rFonts w:hint="eastAsia" w:ascii="宋体" w:hAnsi="宋体" w:cs="宋体"/>
                <w:color w:val="000000"/>
                <w:kern w:val="2"/>
                <w:szCs w:val="21"/>
              </w:rPr>
              <w:t>施工现场平面布置和临时设施较合理、严密、描述较为详细，针对性欠缺的得2分；</w:t>
            </w:r>
          </w:p>
          <w:p w14:paraId="48500AA2">
            <w:pPr>
              <w:rPr>
                <w:rFonts w:hint="eastAsia" w:ascii="宋体" w:hAnsi="宋体" w:cs="宋体"/>
                <w:color w:val="000000"/>
                <w:kern w:val="2"/>
                <w:szCs w:val="21"/>
              </w:rPr>
            </w:pPr>
            <w:r>
              <w:rPr>
                <w:rFonts w:hint="eastAsia" w:ascii="宋体" w:hAnsi="宋体" w:cs="宋体"/>
                <w:color w:val="000000"/>
                <w:kern w:val="2"/>
                <w:szCs w:val="21"/>
              </w:rPr>
              <w:t>施工现场平面布置和临时设施具有不合理项、描述欠缺、存在一定的实施难度得1分；</w:t>
            </w:r>
          </w:p>
          <w:p w14:paraId="41B4C4F0">
            <w:pPr>
              <w:rPr>
                <w:rFonts w:hint="eastAsia" w:ascii="宋体" w:hAnsi="宋体" w:cs="宋体"/>
                <w:color w:val="000000"/>
                <w:spacing w:val="-6"/>
                <w:kern w:val="2"/>
                <w:szCs w:val="21"/>
              </w:rPr>
            </w:pPr>
            <w:r>
              <w:rPr>
                <w:rFonts w:hint="eastAsia" w:ascii="宋体" w:hAnsi="宋体" w:cs="宋体"/>
                <w:color w:val="000000"/>
                <w:kern w:val="2"/>
                <w:szCs w:val="21"/>
              </w:rPr>
              <w:t>施工现场平面布置和临时设施严重不符合实际或未提供不得分。</w:t>
            </w:r>
          </w:p>
        </w:tc>
      </w:tr>
      <w:tr w14:paraId="1CB84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03CD7F92">
            <w:pPr>
              <w:jc w:val="center"/>
              <w:rPr>
                <w:rFonts w:hint="eastAsia" w:ascii="宋体" w:hAnsi="宋体" w:cs="宋体"/>
                <w:color w:val="000000"/>
                <w:kern w:val="2"/>
                <w:szCs w:val="21"/>
              </w:rPr>
            </w:pPr>
          </w:p>
        </w:tc>
        <w:tc>
          <w:tcPr>
            <w:tcW w:w="1400" w:type="dxa"/>
            <w:vAlign w:val="center"/>
          </w:tcPr>
          <w:p w14:paraId="7DA3B723">
            <w:pPr>
              <w:jc w:val="center"/>
              <w:rPr>
                <w:rFonts w:hint="eastAsia" w:ascii="宋体" w:hAnsi="宋体" w:cs="宋体"/>
                <w:color w:val="000000"/>
                <w:kern w:val="2"/>
                <w:szCs w:val="21"/>
              </w:rPr>
            </w:pPr>
            <w:r>
              <w:rPr>
                <w:rFonts w:hint="eastAsia" w:ascii="宋体" w:hAnsi="宋体" w:cs="宋体"/>
                <w:color w:val="000000"/>
                <w:kern w:val="2"/>
                <w:szCs w:val="21"/>
              </w:rPr>
              <w:t>劳动力、机械设备和材料投入计划</w:t>
            </w:r>
          </w:p>
          <w:p w14:paraId="0CB5B546">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vAlign w:val="center"/>
          </w:tcPr>
          <w:p w14:paraId="31F80623">
            <w:pPr>
              <w:rPr>
                <w:rFonts w:hint="eastAsia" w:ascii="宋体" w:hAnsi="宋体" w:cs="宋体"/>
                <w:color w:val="000000"/>
                <w:spacing w:val="-6"/>
                <w:kern w:val="2"/>
                <w:szCs w:val="21"/>
              </w:rPr>
            </w:pPr>
            <w:r>
              <w:rPr>
                <w:rFonts w:hint="eastAsia" w:ascii="宋体" w:hAnsi="宋体" w:cs="宋体"/>
                <w:color w:val="000000"/>
                <w:spacing w:val="-6"/>
                <w:kern w:val="2"/>
                <w:szCs w:val="21"/>
              </w:rPr>
              <w:t>投入本项目的劳动力、机械设备和材料投入计划科学、严密、合理，人员管理制度完备、设备使用方案详细且具有针对性；材料配备合理、考虑周全的得3分；</w:t>
            </w:r>
          </w:p>
          <w:p w14:paraId="1310400A">
            <w:pPr>
              <w:rPr>
                <w:rFonts w:hint="eastAsia" w:ascii="宋体" w:hAnsi="宋体" w:cs="宋体"/>
                <w:color w:val="000000"/>
                <w:spacing w:val="-6"/>
                <w:kern w:val="2"/>
                <w:szCs w:val="21"/>
              </w:rPr>
            </w:pPr>
            <w:r>
              <w:rPr>
                <w:rFonts w:hint="eastAsia" w:ascii="宋体" w:hAnsi="宋体" w:cs="宋体"/>
                <w:color w:val="000000"/>
                <w:kern w:val="2"/>
                <w:szCs w:val="21"/>
              </w:rPr>
              <w:t>投入本项目的劳动力、机械设备和材料较合理、严密、人员管理制度较为完备，设备使用方案较为详细，材料配备欠缺的得2分；</w:t>
            </w:r>
          </w:p>
          <w:p w14:paraId="71757282">
            <w:pPr>
              <w:rPr>
                <w:rFonts w:hint="eastAsia" w:ascii="宋体" w:hAnsi="宋体" w:cs="宋体"/>
                <w:color w:val="000000"/>
                <w:spacing w:val="-6"/>
                <w:kern w:val="2"/>
                <w:szCs w:val="21"/>
              </w:rPr>
            </w:pPr>
            <w:r>
              <w:rPr>
                <w:rFonts w:hint="eastAsia" w:ascii="宋体" w:hAnsi="宋体" w:cs="宋体"/>
                <w:color w:val="000000"/>
                <w:spacing w:val="-6"/>
                <w:kern w:val="2"/>
                <w:szCs w:val="21"/>
              </w:rPr>
              <w:t>投入机械设备、材料基本符合项目实际、人员管理制度一般、使用方案一般得1分；</w:t>
            </w:r>
          </w:p>
          <w:p w14:paraId="41B6CBE1">
            <w:pPr>
              <w:rPr>
                <w:rFonts w:hint="eastAsia" w:ascii="宋体" w:hAnsi="宋体" w:cs="宋体"/>
                <w:color w:val="000000"/>
                <w:spacing w:val="-6"/>
                <w:kern w:val="2"/>
                <w:szCs w:val="21"/>
              </w:rPr>
            </w:pPr>
            <w:r>
              <w:rPr>
                <w:rFonts w:hint="eastAsia" w:ascii="宋体" w:hAnsi="宋体" w:cs="宋体"/>
                <w:color w:val="000000"/>
                <w:spacing w:val="-6"/>
                <w:kern w:val="2"/>
                <w:szCs w:val="21"/>
              </w:rPr>
              <w:t>未提供不得分。</w:t>
            </w:r>
          </w:p>
        </w:tc>
      </w:tr>
      <w:tr w14:paraId="5EAF3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Merge w:val="continue"/>
            <w:vAlign w:val="center"/>
          </w:tcPr>
          <w:p w14:paraId="651D9944">
            <w:pPr>
              <w:jc w:val="center"/>
              <w:rPr>
                <w:rFonts w:hint="eastAsia" w:ascii="宋体" w:hAnsi="宋体" w:cs="宋体"/>
                <w:color w:val="000000"/>
                <w:kern w:val="2"/>
                <w:szCs w:val="21"/>
              </w:rPr>
            </w:pPr>
          </w:p>
        </w:tc>
        <w:tc>
          <w:tcPr>
            <w:tcW w:w="1400" w:type="dxa"/>
            <w:vAlign w:val="center"/>
          </w:tcPr>
          <w:p w14:paraId="3B8DA563">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施工总进度</w:t>
            </w:r>
          </w:p>
          <w:p w14:paraId="440E9F15">
            <w:pPr>
              <w:jc w:val="center"/>
              <w:rPr>
                <w:rFonts w:hint="eastAsia" w:ascii="宋体" w:hAnsi="宋体" w:cs="宋体"/>
                <w:color w:val="000000"/>
                <w:spacing w:val="-6"/>
                <w:kern w:val="2"/>
                <w:szCs w:val="21"/>
              </w:rPr>
            </w:pPr>
            <w:r>
              <w:rPr>
                <w:rFonts w:hint="eastAsia" w:ascii="宋体" w:hAnsi="宋体" w:cs="宋体"/>
                <w:color w:val="000000"/>
                <w:spacing w:val="-6"/>
                <w:kern w:val="2"/>
                <w:szCs w:val="21"/>
              </w:rPr>
              <w:t>计划</w:t>
            </w:r>
          </w:p>
          <w:p w14:paraId="7FF9B37B">
            <w:pPr>
              <w:jc w:val="center"/>
              <w:rPr>
                <w:rFonts w:hint="eastAsia" w:ascii="宋体" w:hAnsi="宋体" w:cs="宋体"/>
                <w:color w:val="000000"/>
                <w:kern w:val="2"/>
              </w:rPr>
            </w:pPr>
            <w:r>
              <w:rPr>
                <w:rFonts w:hint="eastAsia" w:ascii="宋体" w:hAnsi="宋体" w:cs="宋体"/>
                <w:color w:val="000000"/>
                <w:spacing w:val="-6"/>
                <w:kern w:val="2"/>
                <w:szCs w:val="21"/>
              </w:rPr>
              <w:t>（3分）</w:t>
            </w:r>
          </w:p>
        </w:tc>
        <w:tc>
          <w:tcPr>
            <w:tcW w:w="6000" w:type="dxa"/>
          </w:tcPr>
          <w:p w14:paraId="29676122">
            <w:pPr>
              <w:rPr>
                <w:rFonts w:hint="eastAsia" w:ascii="宋体" w:hAnsi="宋体" w:cs="宋体"/>
                <w:color w:val="000000"/>
                <w:kern w:val="2"/>
                <w:szCs w:val="21"/>
              </w:rPr>
            </w:pPr>
            <w:r>
              <w:rPr>
                <w:rFonts w:hint="eastAsia" w:ascii="宋体" w:hAnsi="宋体" w:cs="宋体"/>
                <w:color w:val="000000"/>
                <w:kern w:val="2"/>
                <w:szCs w:val="21"/>
              </w:rPr>
              <w:t>本工程施工进度计划的描述，以及为完成该计划所定措施，且提供施工总进度计划表，施工总进度计划科学、严密、合理，描述详细且具有针对性的得3分；</w:t>
            </w:r>
          </w:p>
          <w:p w14:paraId="7E061B1B">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施工总进度计划较合理、严密、描述较为详细，不存在实施难度，且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的得2分；</w:t>
            </w:r>
          </w:p>
          <w:p w14:paraId="4B4ADF22">
            <w:pPr>
              <w:rPr>
                <w:rFonts w:hint="eastAsia" w:ascii="宋体" w:hAnsi="宋体" w:cs="宋体"/>
                <w:color w:val="000000"/>
                <w:spacing w:val="-6"/>
                <w:kern w:val="2"/>
                <w:szCs w:val="21"/>
              </w:rPr>
            </w:pPr>
            <w:r>
              <w:rPr>
                <w:rFonts w:hint="eastAsia" w:ascii="宋体" w:hAnsi="宋体" w:cs="宋体"/>
                <w:color w:val="000000"/>
                <w:spacing w:val="-6"/>
                <w:kern w:val="2"/>
                <w:szCs w:val="21"/>
              </w:rPr>
              <w:t>施工总进度计划具有不合理项、描述略欠缺、存在一定的实施难度，且</w:t>
            </w:r>
            <w:r>
              <w:rPr>
                <w:rFonts w:hint="eastAsia" w:ascii="宋体" w:hAnsi="宋体" w:cs="宋体"/>
                <w:color w:val="000000"/>
                <w:kern w:val="2"/>
                <w:szCs w:val="21"/>
              </w:rPr>
              <w:t>提供施工总进度计划表</w:t>
            </w:r>
            <w:r>
              <w:rPr>
                <w:rFonts w:hint="eastAsia" w:ascii="宋体" w:hAnsi="宋体" w:cs="宋体"/>
                <w:color w:val="000000"/>
                <w:spacing w:val="-6"/>
                <w:kern w:val="2"/>
                <w:szCs w:val="21"/>
              </w:rPr>
              <w:t>得1分；</w:t>
            </w:r>
          </w:p>
          <w:p w14:paraId="125EECCD">
            <w:pPr>
              <w:rPr>
                <w:rFonts w:hint="eastAsia" w:ascii="宋体" w:hAnsi="宋体" w:cs="宋体"/>
                <w:color w:val="000000"/>
                <w:kern w:val="2"/>
              </w:rPr>
            </w:pPr>
            <w:r>
              <w:rPr>
                <w:rFonts w:hint="eastAsia" w:ascii="宋体" w:hAnsi="宋体" w:cs="宋体"/>
                <w:color w:val="000000"/>
                <w:kern w:val="2"/>
                <w:szCs w:val="21"/>
              </w:rPr>
              <w:t>未提供及未提供施工总进度计划表都不得分。</w:t>
            </w:r>
          </w:p>
        </w:tc>
      </w:tr>
      <w:tr w14:paraId="21A4F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4" w:hRule="atLeast"/>
          <w:jc w:val="center"/>
        </w:trPr>
        <w:tc>
          <w:tcPr>
            <w:tcW w:w="1354" w:type="dxa"/>
            <w:vMerge w:val="continue"/>
            <w:vAlign w:val="center"/>
          </w:tcPr>
          <w:p w14:paraId="0328E999">
            <w:pPr>
              <w:jc w:val="center"/>
              <w:rPr>
                <w:rFonts w:hint="eastAsia" w:ascii="宋体" w:hAnsi="宋体" w:cs="宋体"/>
                <w:color w:val="000000"/>
                <w:kern w:val="2"/>
                <w:szCs w:val="21"/>
              </w:rPr>
            </w:pPr>
          </w:p>
        </w:tc>
        <w:tc>
          <w:tcPr>
            <w:tcW w:w="1400" w:type="dxa"/>
            <w:vAlign w:val="center"/>
          </w:tcPr>
          <w:p w14:paraId="539636D9">
            <w:pPr>
              <w:jc w:val="center"/>
              <w:rPr>
                <w:rFonts w:hint="eastAsia" w:ascii="宋体" w:hAnsi="宋体" w:cs="宋体"/>
                <w:color w:val="000000"/>
                <w:kern w:val="2"/>
                <w:szCs w:val="21"/>
              </w:rPr>
            </w:pPr>
            <w:r>
              <w:rPr>
                <w:rFonts w:hint="eastAsia" w:ascii="宋体" w:hAnsi="宋体" w:cs="宋体"/>
                <w:color w:val="000000"/>
                <w:kern w:val="2"/>
                <w:szCs w:val="21"/>
              </w:rPr>
              <w:t>满足验收合格的保证措施</w:t>
            </w:r>
          </w:p>
          <w:p w14:paraId="44C2F960">
            <w:pPr>
              <w:jc w:val="center"/>
              <w:rPr>
                <w:rFonts w:hint="eastAsia" w:ascii="宋体" w:hAnsi="宋体" w:cs="宋体"/>
                <w:color w:val="000000"/>
                <w:kern w:val="2"/>
                <w:szCs w:val="21"/>
              </w:rPr>
            </w:pPr>
            <w:r>
              <w:rPr>
                <w:rFonts w:hint="eastAsia" w:ascii="宋体" w:hAnsi="宋体" w:cs="宋体"/>
                <w:color w:val="000000"/>
                <w:kern w:val="2"/>
                <w:szCs w:val="21"/>
              </w:rPr>
              <w:t>（3分）</w:t>
            </w:r>
          </w:p>
        </w:tc>
        <w:tc>
          <w:tcPr>
            <w:tcW w:w="6000" w:type="dxa"/>
          </w:tcPr>
          <w:p w14:paraId="06E5C0D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针对本项目实施后能达到验收标准的有效保证措施科学、严密、合理，描述详细且具有针对性的得3分；</w:t>
            </w:r>
          </w:p>
          <w:p w14:paraId="37243108">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针对本项目实施后能达到验收标准的有效保证措施较合理、严密、描述较为详细，不存在实施难度的得2分；</w:t>
            </w:r>
          </w:p>
          <w:p w14:paraId="0279BE7A">
            <w:pPr>
              <w:rPr>
                <w:rFonts w:hint="eastAsia" w:ascii="宋体" w:hAnsi="宋体" w:cs="宋体"/>
                <w:color w:val="000000"/>
                <w:kern w:val="2"/>
                <w:szCs w:val="21"/>
              </w:rPr>
            </w:pPr>
            <w:r>
              <w:rPr>
                <w:rFonts w:hint="eastAsia" w:ascii="宋体" w:hAnsi="宋体" w:cs="宋体"/>
                <w:color w:val="000000"/>
                <w:kern w:val="2"/>
                <w:szCs w:val="21"/>
              </w:rPr>
              <w:t>针对本项目实施后能达到验收标准的有效保证措施具有不合理项、描述略欠缺、存在一定的实施难度得1分；</w:t>
            </w:r>
          </w:p>
          <w:p w14:paraId="138CF523">
            <w:pPr>
              <w:rPr>
                <w:rFonts w:hint="eastAsia" w:ascii="宋体" w:hAnsi="宋体" w:cs="宋体"/>
                <w:color w:val="000000"/>
                <w:kern w:val="2"/>
                <w:szCs w:val="21"/>
              </w:rPr>
            </w:pPr>
            <w:r>
              <w:rPr>
                <w:rFonts w:hint="eastAsia" w:ascii="宋体" w:hAnsi="宋体" w:cs="宋体"/>
                <w:color w:val="000000"/>
                <w:kern w:val="2"/>
                <w:szCs w:val="21"/>
              </w:rPr>
              <w:t>未提供不得分。</w:t>
            </w:r>
          </w:p>
        </w:tc>
      </w:tr>
      <w:tr w14:paraId="4F585B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354" w:type="dxa"/>
            <w:vAlign w:val="center"/>
          </w:tcPr>
          <w:p w14:paraId="5096C187">
            <w:pPr>
              <w:jc w:val="center"/>
              <w:rPr>
                <w:rFonts w:hint="eastAsia" w:ascii="宋体" w:hAnsi="宋体" w:cs="宋体"/>
                <w:color w:val="000000"/>
                <w:kern w:val="2"/>
                <w:szCs w:val="21"/>
              </w:rPr>
            </w:pPr>
            <w:r>
              <w:rPr>
                <w:rFonts w:hint="eastAsia" w:ascii="宋体" w:hAnsi="宋体" w:cs="宋体"/>
                <w:color w:val="000000"/>
                <w:kern w:val="2"/>
                <w:szCs w:val="21"/>
              </w:rPr>
              <w:t>业绩</w:t>
            </w:r>
          </w:p>
          <w:p w14:paraId="428B2A9D">
            <w:pPr>
              <w:jc w:val="center"/>
              <w:rPr>
                <w:rFonts w:hint="eastAsia" w:ascii="宋体" w:hAnsi="宋体" w:cs="宋体"/>
                <w:color w:val="000000"/>
                <w:kern w:val="2"/>
                <w:szCs w:val="21"/>
              </w:rPr>
            </w:pPr>
            <w:r>
              <w:rPr>
                <w:rFonts w:hint="eastAsia" w:ascii="宋体" w:hAnsi="宋体" w:cs="宋体"/>
                <w:color w:val="000000"/>
                <w:kern w:val="2"/>
                <w:szCs w:val="21"/>
              </w:rPr>
              <w:t>（12分）</w:t>
            </w:r>
          </w:p>
        </w:tc>
        <w:tc>
          <w:tcPr>
            <w:tcW w:w="7400" w:type="dxa"/>
            <w:gridSpan w:val="2"/>
            <w:vAlign w:val="center"/>
          </w:tcPr>
          <w:p w14:paraId="6FEEA951">
            <w:pPr>
              <w:rPr>
                <w:rFonts w:hint="eastAsia" w:ascii="宋体" w:hAnsi="宋体" w:cs="宋体"/>
                <w:color w:val="000000"/>
                <w:kern w:val="2"/>
                <w:szCs w:val="21"/>
              </w:rPr>
            </w:pPr>
            <w:r>
              <w:rPr>
                <w:rFonts w:hint="eastAsia" w:ascii="宋体" w:hAnsi="宋体" w:cs="宋体"/>
                <w:color w:val="000000"/>
                <w:kern w:val="2"/>
                <w:szCs w:val="21"/>
              </w:rPr>
              <w:t>1、自2022年1月1日至今（以竣工验收证明材料日期为准），供应商承担过与本项目需求类似的工程业绩，每提供一个得2分，满分6分。</w:t>
            </w:r>
          </w:p>
          <w:p w14:paraId="31E271ED">
            <w:pPr>
              <w:rPr>
                <w:rFonts w:hint="eastAsia" w:ascii="宋体" w:hAnsi="宋体" w:cs="宋体"/>
                <w:color w:val="000000"/>
                <w:kern w:val="2"/>
                <w:szCs w:val="21"/>
              </w:rPr>
            </w:pPr>
            <w:r>
              <w:rPr>
                <w:rFonts w:hint="eastAsia" w:ascii="宋体" w:hAnsi="宋体" w:cs="宋体"/>
                <w:color w:val="000000"/>
                <w:kern w:val="2"/>
                <w:szCs w:val="21"/>
              </w:rPr>
              <w:t>2、自2022年1月1日至今（以竣工验收证明材料日期为准），项目经理承担过与本项目需求类似的工程业绩，每提供一个得2分，满分6分。（工程业绩如未能体现出项目经理的，须提供项目业主单位开具的业绩证明作为佐证材料）</w:t>
            </w:r>
          </w:p>
          <w:p w14:paraId="57396158">
            <w:pPr>
              <w:rPr>
                <w:rFonts w:hint="eastAsia" w:ascii="宋体" w:hAnsi="宋体" w:cs="宋体"/>
                <w:b/>
                <w:bCs/>
                <w:color w:val="000000"/>
                <w:kern w:val="2"/>
                <w:szCs w:val="21"/>
              </w:rPr>
            </w:pPr>
            <w:r>
              <w:rPr>
                <w:rFonts w:hint="eastAsia" w:ascii="宋体" w:hAnsi="宋体" w:cs="宋体"/>
                <w:b/>
                <w:bCs/>
                <w:color w:val="000000"/>
                <w:kern w:val="2"/>
                <w:szCs w:val="21"/>
              </w:rPr>
              <w:t>注：以上业绩均须提供中标（成交）通知书、合同、竣工验收报告【竣工验收报告也可以是相应的证明履约完成并验收合格的相关证明材料】，未按要求提供、提供不全或提供证明材料不清晰无法辨认的不得分。</w:t>
            </w:r>
          </w:p>
        </w:tc>
      </w:tr>
      <w:bookmarkEnd w:id="125"/>
      <w:bookmarkEnd w:id="126"/>
    </w:tbl>
    <w:p w14:paraId="63AE19FB">
      <w:pPr>
        <w:pStyle w:val="89"/>
        <w:ind w:firstLine="422" w:firstLineChars="200"/>
        <w:rPr>
          <w:rFonts w:ascii="Times New Roman" w:hAnsi="Times New Roman"/>
          <w:b/>
          <w:kern w:val="2"/>
          <w:sz w:val="21"/>
          <w:szCs w:val="21"/>
        </w:rPr>
      </w:pPr>
    </w:p>
    <w:p w14:paraId="66BEAFF1">
      <w:pPr>
        <w:pStyle w:val="89"/>
        <w:ind w:firstLine="422" w:firstLineChars="200"/>
        <w:rPr>
          <w:rFonts w:ascii="Times New Roman" w:hAnsi="Times New Roman"/>
          <w:b/>
          <w:kern w:val="2"/>
          <w:sz w:val="21"/>
          <w:szCs w:val="21"/>
        </w:rPr>
      </w:pPr>
    </w:p>
    <w:p w14:paraId="2D7A411B">
      <w:pPr>
        <w:tabs>
          <w:tab w:val="left" w:pos="3629"/>
        </w:tabs>
        <w:spacing w:line="360" w:lineRule="auto"/>
        <w:jc w:val="both"/>
        <w:rPr>
          <w:b/>
          <w:bCs/>
          <w:sz w:val="36"/>
        </w:rPr>
      </w:pPr>
      <w:bookmarkStart w:id="127" w:name="_Toc497145844"/>
    </w:p>
    <w:p w14:paraId="664702BC">
      <w:pPr>
        <w:pStyle w:val="2"/>
        <w:numPr>
          <w:ilvl w:val="0"/>
          <w:numId w:val="5"/>
        </w:numPr>
        <w:jc w:val="center"/>
      </w:pPr>
      <w:r>
        <w:rPr>
          <w:b/>
          <w:bCs/>
          <w:sz w:val="36"/>
        </w:rPr>
        <w:br w:type="page"/>
      </w:r>
      <w:bookmarkStart w:id="128" w:name="_Toc8422"/>
      <w:r>
        <w:rPr>
          <w:rFonts w:ascii="Times New Roman" w:hAnsi="Times New Roman" w:eastAsia="宋体" w:cs="Times New Roman"/>
        </w:rPr>
        <w:t>竞争性磋商响应文件格式</w:t>
      </w:r>
      <w:bookmarkEnd w:id="127"/>
      <w:bookmarkEnd w:id="128"/>
    </w:p>
    <w:p w14:paraId="4D40E274">
      <w:pPr>
        <w:jc w:val="center"/>
        <w:rPr>
          <w:b/>
          <w:sz w:val="36"/>
        </w:rPr>
      </w:pPr>
    </w:p>
    <w:p w14:paraId="4D3C5528">
      <w:pPr>
        <w:jc w:val="center"/>
        <w:rPr>
          <w:b/>
          <w:szCs w:val="21"/>
        </w:rPr>
      </w:pPr>
    </w:p>
    <w:p w14:paraId="1E9BB148">
      <w:pPr>
        <w:jc w:val="center"/>
        <w:rPr>
          <w:b/>
          <w:bCs/>
          <w:kern w:val="0"/>
          <w:sz w:val="44"/>
          <w:szCs w:val="44"/>
        </w:rPr>
      </w:pPr>
      <w:bookmarkStart w:id="129" w:name="_Toc497145845"/>
      <w:r>
        <w:rPr>
          <w:b/>
          <w:bCs/>
          <w:kern w:val="0"/>
          <w:sz w:val="44"/>
          <w:szCs w:val="44"/>
        </w:rPr>
        <w:t>竞争性磋商响应文件</w:t>
      </w:r>
      <w:bookmarkEnd w:id="129"/>
    </w:p>
    <w:p w14:paraId="55ECD126">
      <w:pPr>
        <w:pStyle w:val="7"/>
        <w:jc w:val="center"/>
        <w:rPr>
          <w:b/>
          <w:bCs/>
          <w:sz w:val="44"/>
          <w:szCs w:val="44"/>
        </w:rPr>
      </w:pPr>
      <w:r>
        <w:rPr>
          <w:b/>
          <w:bCs/>
          <w:sz w:val="44"/>
          <w:szCs w:val="44"/>
        </w:rPr>
        <w:t>（正或副本）</w:t>
      </w:r>
    </w:p>
    <w:p w14:paraId="79208F45">
      <w:pPr>
        <w:jc w:val="center"/>
        <w:rPr>
          <w:b/>
          <w:sz w:val="36"/>
        </w:rPr>
      </w:pPr>
    </w:p>
    <w:p w14:paraId="71253C8E">
      <w:pPr>
        <w:jc w:val="center"/>
        <w:rPr>
          <w:b/>
          <w:sz w:val="36"/>
        </w:rPr>
      </w:pPr>
    </w:p>
    <w:p w14:paraId="3C910268">
      <w:pPr>
        <w:ind w:firstLine="1968" w:firstLineChars="700"/>
        <w:rPr>
          <w:b/>
          <w:sz w:val="28"/>
          <w:szCs w:val="20"/>
          <w:u w:val="single"/>
        </w:rPr>
      </w:pPr>
      <w:r>
        <w:rPr>
          <w:b/>
          <w:sz w:val="28"/>
          <w:szCs w:val="20"/>
        </w:rPr>
        <w:t>项 目 名 称：</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22161C23">
      <w:pPr>
        <w:ind w:firstLine="1968" w:firstLineChars="700"/>
        <w:rPr>
          <w:b/>
          <w:sz w:val="28"/>
          <w:szCs w:val="20"/>
          <w:u w:val="single"/>
        </w:rPr>
      </w:pPr>
      <w:r>
        <w:rPr>
          <w:b/>
          <w:sz w:val="28"/>
          <w:szCs w:val="20"/>
        </w:rPr>
        <w:t>项 目 编 号：</w:t>
      </w:r>
      <w:r>
        <w:rPr>
          <w:rFonts w:hint="eastAsia"/>
          <w:b/>
          <w:sz w:val="28"/>
          <w:szCs w:val="20"/>
          <w:u w:val="single"/>
        </w:rPr>
        <w:t xml:space="preserve">            </w:t>
      </w:r>
      <w:r>
        <w:rPr>
          <w:rFonts w:hint="eastAsia"/>
          <w:b/>
          <w:sz w:val="28"/>
          <w:szCs w:val="20"/>
          <w:u w:val="single"/>
          <w:lang w:val="en-US" w:eastAsia="zh-CN"/>
        </w:rPr>
        <w:t xml:space="preserve">     </w:t>
      </w:r>
      <w:r>
        <w:rPr>
          <w:rFonts w:hint="eastAsia"/>
          <w:b/>
          <w:sz w:val="28"/>
          <w:szCs w:val="20"/>
          <w:u w:val="single"/>
        </w:rPr>
        <w:t xml:space="preserve">   </w:t>
      </w:r>
    </w:p>
    <w:p w14:paraId="454221B6">
      <w:pPr>
        <w:rPr>
          <w:b/>
          <w:sz w:val="28"/>
          <w:szCs w:val="20"/>
          <w:u w:val="single"/>
        </w:rPr>
      </w:pPr>
      <w:r>
        <w:rPr>
          <w:b/>
          <w:sz w:val="28"/>
          <w:szCs w:val="20"/>
        </w:rPr>
        <w:t xml:space="preserve">      </w:t>
      </w:r>
      <w:r>
        <w:rPr>
          <w:rFonts w:hint="eastAsia"/>
          <w:b/>
          <w:sz w:val="28"/>
          <w:szCs w:val="20"/>
        </w:rPr>
        <w:t xml:space="preserve">        </w:t>
      </w:r>
      <w:r>
        <w:rPr>
          <w:b/>
          <w:sz w:val="28"/>
          <w:szCs w:val="20"/>
        </w:rPr>
        <w:t>磋商供应商名称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15142966">
      <w:pPr>
        <w:rPr>
          <w:b/>
          <w:sz w:val="28"/>
          <w:szCs w:val="20"/>
        </w:rPr>
      </w:pPr>
      <w:r>
        <w:rPr>
          <w:b/>
          <w:sz w:val="28"/>
          <w:szCs w:val="20"/>
        </w:rPr>
        <w:t xml:space="preserve">      </w:t>
      </w:r>
      <w:r>
        <w:rPr>
          <w:rFonts w:hint="eastAsia"/>
          <w:b/>
          <w:sz w:val="28"/>
          <w:szCs w:val="20"/>
        </w:rPr>
        <w:t xml:space="preserve">        </w:t>
      </w:r>
      <w:r>
        <w:rPr>
          <w:b/>
          <w:sz w:val="28"/>
          <w:szCs w:val="20"/>
        </w:rPr>
        <w:t>日      期 ：</w:t>
      </w:r>
      <w:r>
        <w:rPr>
          <w:b/>
          <w:sz w:val="28"/>
          <w:szCs w:val="20"/>
          <w:u w:val="single"/>
        </w:rPr>
        <w:t xml:space="preserve">           </w:t>
      </w:r>
      <w:r>
        <w:rPr>
          <w:rFonts w:hint="eastAsia"/>
          <w:b/>
          <w:sz w:val="28"/>
          <w:szCs w:val="20"/>
          <w:u w:val="single"/>
          <w:lang w:val="en-US" w:eastAsia="zh-CN"/>
        </w:rPr>
        <w:t xml:space="preserve">     </w:t>
      </w:r>
      <w:r>
        <w:rPr>
          <w:b/>
          <w:sz w:val="28"/>
          <w:szCs w:val="20"/>
          <w:u w:val="single"/>
        </w:rPr>
        <w:t xml:space="preserve">    </w:t>
      </w:r>
    </w:p>
    <w:p w14:paraId="4184DF35">
      <w:pPr>
        <w:autoSpaceDE w:val="0"/>
        <w:autoSpaceDN w:val="0"/>
        <w:adjustRightInd w:val="0"/>
        <w:spacing w:line="360" w:lineRule="auto"/>
        <w:rPr>
          <w:b/>
          <w:bCs/>
          <w:sz w:val="28"/>
          <w:szCs w:val="28"/>
          <w:lang w:val="zh-CN"/>
        </w:rPr>
      </w:pPr>
    </w:p>
    <w:p w14:paraId="2173D417">
      <w:pPr>
        <w:autoSpaceDE w:val="0"/>
        <w:autoSpaceDN w:val="0"/>
        <w:adjustRightInd w:val="0"/>
        <w:spacing w:line="360" w:lineRule="auto"/>
        <w:rPr>
          <w:b/>
          <w:bCs/>
          <w:sz w:val="28"/>
          <w:szCs w:val="28"/>
          <w:lang w:val="zh-CN"/>
        </w:rPr>
      </w:pPr>
    </w:p>
    <w:p w14:paraId="739C360B">
      <w:pPr>
        <w:autoSpaceDE w:val="0"/>
        <w:autoSpaceDN w:val="0"/>
        <w:adjustRightInd w:val="0"/>
        <w:spacing w:line="360" w:lineRule="auto"/>
        <w:rPr>
          <w:b/>
          <w:bCs/>
          <w:sz w:val="28"/>
          <w:szCs w:val="28"/>
          <w:lang w:val="zh-CN"/>
        </w:rPr>
      </w:pPr>
    </w:p>
    <w:p w14:paraId="4AD22CF8">
      <w:pPr>
        <w:autoSpaceDE w:val="0"/>
        <w:autoSpaceDN w:val="0"/>
        <w:adjustRightInd w:val="0"/>
        <w:spacing w:line="360" w:lineRule="auto"/>
        <w:rPr>
          <w:b/>
          <w:bCs/>
          <w:sz w:val="28"/>
          <w:szCs w:val="28"/>
          <w:lang w:val="zh-CN"/>
        </w:rPr>
      </w:pPr>
    </w:p>
    <w:p w14:paraId="4D944C2D">
      <w:pPr>
        <w:pStyle w:val="45"/>
        <w:rPr>
          <w:b/>
          <w:bCs/>
          <w:sz w:val="28"/>
          <w:szCs w:val="28"/>
          <w:lang w:val="zh-CN"/>
        </w:rPr>
      </w:pPr>
    </w:p>
    <w:p w14:paraId="693EF089">
      <w:pPr>
        <w:pStyle w:val="45"/>
        <w:rPr>
          <w:b/>
          <w:bCs/>
          <w:sz w:val="28"/>
          <w:szCs w:val="28"/>
          <w:lang w:val="zh-CN"/>
        </w:rPr>
      </w:pPr>
    </w:p>
    <w:p w14:paraId="7C14125D">
      <w:pPr>
        <w:autoSpaceDE w:val="0"/>
        <w:autoSpaceDN w:val="0"/>
        <w:adjustRightInd w:val="0"/>
        <w:spacing w:line="360" w:lineRule="auto"/>
        <w:rPr>
          <w:b/>
          <w:bCs/>
          <w:sz w:val="28"/>
          <w:szCs w:val="28"/>
        </w:rPr>
      </w:pPr>
      <w:r>
        <w:rPr>
          <w:b/>
          <w:bCs/>
          <w:sz w:val="28"/>
          <w:szCs w:val="28"/>
          <w:lang w:val="zh-CN"/>
        </w:rPr>
        <w:t>说明：</w:t>
      </w:r>
    </w:p>
    <w:p w14:paraId="291165AF">
      <w:pPr>
        <w:autoSpaceDE w:val="0"/>
        <w:autoSpaceDN w:val="0"/>
        <w:adjustRightInd w:val="0"/>
        <w:spacing w:line="360" w:lineRule="auto"/>
        <w:ind w:firstLine="618" w:firstLineChars="220"/>
        <w:rPr>
          <w:b/>
          <w:bCs/>
          <w:sz w:val="28"/>
          <w:szCs w:val="28"/>
        </w:rPr>
      </w:pPr>
      <w:r>
        <w:rPr>
          <w:b/>
          <w:bCs/>
          <w:sz w:val="28"/>
          <w:szCs w:val="28"/>
          <w:lang w:val="zh-CN"/>
        </w:rPr>
        <w:t>对本章所有的响应文件格式 ，供应商可根据自身情况进行补充和修改，但补充和修改不得造成与本格式内容有实质性的违背。</w:t>
      </w:r>
    </w:p>
    <w:p w14:paraId="1B76B3A2">
      <w:pPr>
        <w:spacing w:before="319" w:beforeLines="100" w:after="319" w:afterLines="100"/>
        <w:jc w:val="center"/>
        <w:rPr>
          <w:b/>
          <w:szCs w:val="21"/>
        </w:rPr>
      </w:pPr>
    </w:p>
    <w:p w14:paraId="34905E98">
      <w:pPr>
        <w:spacing w:before="319" w:beforeLines="100" w:after="319" w:afterLines="100"/>
        <w:rPr>
          <w:b/>
          <w:szCs w:val="21"/>
        </w:rPr>
      </w:pPr>
    </w:p>
    <w:p w14:paraId="2189B441">
      <w:pPr>
        <w:spacing w:before="319" w:beforeLines="100" w:after="319" w:afterLines="100"/>
        <w:jc w:val="center"/>
        <w:rPr>
          <w:b/>
          <w:szCs w:val="21"/>
        </w:rPr>
      </w:pPr>
      <w:r>
        <w:rPr>
          <w:b/>
          <w:szCs w:val="21"/>
        </w:rPr>
        <w:t>评分索引表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3570"/>
      </w:tblGrid>
      <w:tr w14:paraId="2AEC3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3AD4DC95">
            <w:pPr>
              <w:pStyle w:val="73"/>
              <w:shd w:val="clear" w:color="auto" w:fill="FFFFFF"/>
              <w:spacing w:line="265" w:lineRule="atLeast"/>
              <w:ind w:left="420"/>
              <w:jc w:val="center"/>
              <w:rPr>
                <w:b/>
                <w:bCs/>
                <w:sz w:val="21"/>
                <w:szCs w:val="21"/>
                <w:lang w:eastAsia="zh-CN"/>
              </w:rPr>
            </w:pPr>
            <w:r>
              <w:rPr>
                <w:b/>
                <w:sz w:val="21"/>
                <w:szCs w:val="21"/>
              </w:rPr>
              <w:t>评分项目</w:t>
            </w:r>
          </w:p>
        </w:tc>
        <w:tc>
          <w:tcPr>
            <w:tcW w:w="3570" w:type="dxa"/>
            <w:tcBorders>
              <w:top w:val="single" w:color="auto" w:sz="4" w:space="0"/>
              <w:left w:val="single" w:color="auto" w:sz="4" w:space="0"/>
              <w:bottom w:val="single" w:color="auto" w:sz="4" w:space="0"/>
              <w:right w:val="single" w:color="auto" w:sz="4" w:space="0"/>
            </w:tcBorders>
          </w:tcPr>
          <w:p w14:paraId="131F1819">
            <w:pPr>
              <w:adjustRightInd w:val="0"/>
              <w:snapToGrid w:val="0"/>
              <w:spacing w:after="200" w:line="220" w:lineRule="atLeast"/>
              <w:jc w:val="center"/>
              <w:rPr>
                <w:b/>
                <w:szCs w:val="21"/>
              </w:rPr>
            </w:pPr>
            <w:r>
              <w:rPr>
                <w:b/>
                <w:kern w:val="0"/>
                <w:szCs w:val="21"/>
                <w:lang w:bidi="en-US"/>
              </w:rPr>
              <w:t>在响应文件中的页码位置</w:t>
            </w:r>
          </w:p>
        </w:tc>
      </w:tr>
      <w:tr w14:paraId="1576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670" w:type="dxa"/>
            <w:tcBorders>
              <w:top w:val="single" w:color="auto" w:sz="4" w:space="0"/>
              <w:left w:val="single" w:color="auto" w:sz="4" w:space="0"/>
              <w:bottom w:val="single" w:color="auto" w:sz="4" w:space="0"/>
              <w:right w:val="single" w:color="auto" w:sz="4" w:space="0"/>
            </w:tcBorders>
          </w:tcPr>
          <w:p w14:paraId="4293B153">
            <w:pPr>
              <w:pStyle w:val="73"/>
              <w:shd w:val="clear" w:color="auto" w:fill="FFFFFF"/>
              <w:spacing w:line="265" w:lineRule="atLeast"/>
              <w:ind w:left="420"/>
              <w:jc w:val="both"/>
              <w:rPr>
                <w:b/>
                <w:lang w:eastAsia="zh-CN"/>
              </w:rPr>
            </w:pPr>
          </w:p>
        </w:tc>
        <w:tc>
          <w:tcPr>
            <w:tcW w:w="3570" w:type="dxa"/>
            <w:tcBorders>
              <w:top w:val="single" w:color="auto" w:sz="4" w:space="0"/>
              <w:left w:val="single" w:color="auto" w:sz="4" w:space="0"/>
              <w:bottom w:val="single" w:color="auto" w:sz="4" w:space="0"/>
              <w:right w:val="single" w:color="auto" w:sz="4" w:space="0"/>
            </w:tcBorders>
          </w:tcPr>
          <w:p w14:paraId="3706A860">
            <w:pPr>
              <w:adjustRightInd w:val="0"/>
              <w:snapToGrid w:val="0"/>
              <w:spacing w:after="200" w:line="220" w:lineRule="atLeast"/>
              <w:rPr>
                <w:b/>
                <w:sz w:val="24"/>
                <w:lang w:bidi="en-US"/>
              </w:rPr>
            </w:pPr>
          </w:p>
        </w:tc>
      </w:tr>
      <w:tr w14:paraId="67C74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74CC96EF">
            <w:pPr>
              <w:pStyle w:val="73"/>
              <w:shd w:val="clear" w:color="auto" w:fill="FFFFFF"/>
              <w:spacing w:line="265" w:lineRule="atLeast"/>
              <w:ind w:left="420"/>
              <w:jc w:val="both"/>
              <w:rPr>
                <w:lang w:eastAsia="zh-CN"/>
              </w:rPr>
            </w:pPr>
          </w:p>
        </w:tc>
      </w:tr>
      <w:tr w14:paraId="4AEA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63F8F3A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8E872">
            <w:pPr>
              <w:adjustRightInd w:val="0"/>
              <w:snapToGrid w:val="0"/>
              <w:spacing w:after="200" w:line="220" w:lineRule="atLeast"/>
            </w:pPr>
          </w:p>
        </w:tc>
      </w:tr>
      <w:tr w14:paraId="3E98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1947A868">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D144B43">
            <w:pPr>
              <w:adjustRightInd w:val="0"/>
              <w:snapToGrid w:val="0"/>
              <w:spacing w:after="200" w:line="220" w:lineRule="atLeast"/>
            </w:pPr>
          </w:p>
        </w:tc>
      </w:tr>
      <w:tr w14:paraId="1E25B9FF">
        <w:tblPrEx>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6F02FC9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60A11168">
            <w:pPr>
              <w:adjustRightInd w:val="0"/>
              <w:snapToGrid w:val="0"/>
              <w:spacing w:after="200" w:line="220" w:lineRule="atLeast"/>
            </w:pPr>
          </w:p>
        </w:tc>
      </w:tr>
      <w:tr w14:paraId="672D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670" w:type="dxa"/>
            <w:tcBorders>
              <w:top w:val="single" w:color="auto" w:sz="4" w:space="0"/>
              <w:left w:val="single" w:color="auto" w:sz="4" w:space="0"/>
              <w:bottom w:val="single" w:color="auto" w:sz="4" w:space="0"/>
              <w:right w:val="single" w:color="auto" w:sz="4" w:space="0"/>
            </w:tcBorders>
          </w:tcPr>
          <w:p w14:paraId="285D1EB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7710DDB">
            <w:pPr>
              <w:adjustRightInd w:val="0"/>
              <w:snapToGrid w:val="0"/>
              <w:spacing w:after="200" w:line="220" w:lineRule="atLeast"/>
            </w:pPr>
          </w:p>
        </w:tc>
      </w:tr>
      <w:tr w14:paraId="3721C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50B6EE27">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4DB2B88">
            <w:pPr>
              <w:adjustRightInd w:val="0"/>
              <w:snapToGrid w:val="0"/>
              <w:spacing w:after="200" w:line="220" w:lineRule="atLeast"/>
            </w:pPr>
          </w:p>
        </w:tc>
      </w:tr>
      <w:tr w14:paraId="225F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24DBE14F">
            <w:pPr>
              <w:pStyle w:val="73"/>
              <w:shd w:val="clear" w:color="auto" w:fill="FFFFFF"/>
              <w:spacing w:line="265" w:lineRule="atLeast"/>
              <w:ind w:left="420"/>
              <w:jc w:val="both"/>
              <w:rPr>
                <w:lang w:eastAsia="zh-CN"/>
              </w:rPr>
            </w:pPr>
          </w:p>
        </w:tc>
      </w:tr>
      <w:tr w14:paraId="3F94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70" w:type="dxa"/>
            <w:tcBorders>
              <w:top w:val="single" w:color="auto" w:sz="4" w:space="0"/>
              <w:left w:val="single" w:color="auto" w:sz="4" w:space="0"/>
              <w:bottom w:val="single" w:color="auto" w:sz="4" w:space="0"/>
              <w:right w:val="single" w:color="auto" w:sz="4" w:space="0"/>
            </w:tcBorders>
          </w:tcPr>
          <w:p w14:paraId="3D2050AD">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BC3BF76">
            <w:pPr>
              <w:adjustRightInd w:val="0"/>
              <w:snapToGrid w:val="0"/>
              <w:spacing w:after="200" w:line="220" w:lineRule="atLeast"/>
            </w:pPr>
          </w:p>
        </w:tc>
      </w:tr>
      <w:tr w14:paraId="3DD2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670" w:type="dxa"/>
            <w:tcBorders>
              <w:top w:val="single" w:color="auto" w:sz="4" w:space="0"/>
              <w:left w:val="single" w:color="auto" w:sz="4" w:space="0"/>
              <w:bottom w:val="single" w:color="auto" w:sz="4" w:space="0"/>
              <w:right w:val="single" w:color="auto" w:sz="4" w:space="0"/>
            </w:tcBorders>
          </w:tcPr>
          <w:p w14:paraId="4C23D2F5">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60CE2F">
            <w:pPr>
              <w:adjustRightInd w:val="0"/>
              <w:snapToGrid w:val="0"/>
              <w:spacing w:after="200" w:line="220" w:lineRule="atLeast"/>
            </w:pPr>
          </w:p>
        </w:tc>
      </w:tr>
      <w:tr w14:paraId="3345B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70" w:type="dxa"/>
            <w:tcBorders>
              <w:top w:val="single" w:color="auto" w:sz="4" w:space="0"/>
              <w:left w:val="single" w:color="auto" w:sz="4" w:space="0"/>
              <w:bottom w:val="single" w:color="auto" w:sz="4" w:space="0"/>
              <w:right w:val="single" w:color="auto" w:sz="4" w:space="0"/>
            </w:tcBorders>
          </w:tcPr>
          <w:p w14:paraId="531DF0F2">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3EB14F8D">
            <w:pPr>
              <w:adjustRightInd w:val="0"/>
              <w:snapToGrid w:val="0"/>
              <w:spacing w:after="200" w:line="220" w:lineRule="atLeast"/>
            </w:pPr>
          </w:p>
        </w:tc>
      </w:tr>
      <w:tr w14:paraId="7511A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670" w:type="dxa"/>
            <w:tcBorders>
              <w:top w:val="single" w:color="auto" w:sz="4" w:space="0"/>
              <w:left w:val="single" w:color="auto" w:sz="4" w:space="0"/>
              <w:bottom w:val="single" w:color="auto" w:sz="4" w:space="0"/>
              <w:right w:val="single" w:color="auto" w:sz="4" w:space="0"/>
            </w:tcBorders>
          </w:tcPr>
          <w:p w14:paraId="140B03CA">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059D0D3D">
            <w:pPr>
              <w:adjustRightInd w:val="0"/>
              <w:snapToGrid w:val="0"/>
              <w:spacing w:after="200" w:line="220" w:lineRule="atLeast"/>
            </w:pPr>
          </w:p>
        </w:tc>
      </w:tr>
      <w:tr w14:paraId="0878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670" w:type="dxa"/>
            <w:tcBorders>
              <w:top w:val="single" w:color="auto" w:sz="4" w:space="0"/>
              <w:left w:val="single" w:color="auto" w:sz="4" w:space="0"/>
              <w:bottom w:val="single" w:color="auto" w:sz="4" w:space="0"/>
              <w:right w:val="single" w:color="auto" w:sz="4" w:space="0"/>
            </w:tcBorders>
          </w:tcPr>
          <w:p w14:paraId="405EF26F">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158773F4">
            <w:pPr>
              <w:adjustRightInd w:val="0"/>
              <w:snapToGrid w:val="0"/>
              <w:spacing w:after="200" w:line="220" w:lineRule="atLeast"/>
            </w:pPr>
          </w:p>
        </w:tc>
      </w:tr>
      <w:tr w14:paraId="151A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0182E1BD">
            <w:pPr>
              <w:pStyle w:val="73"/>
              <w:shd w:val="clear" w:color="auto" w:fill="FFFFFF"/>
              <w:spacing w:line="265" w:lineRule="atLeast"/>
              <w:ind w:left="420"/>
              <w:jc w:val="both"/>
              <w:rPr>
                <w:b/>
                <w:lang w:eastAsia="zh-CN"/>
              </w:rPr>
            </w:pPr>
          </w:p>
        </w:tc>
      </w:tr>
      <w:tr w14:paraId="4D83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3BD468E2">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EC8842C">
            <w:pPr>
              <w:adjustRightInd w:val="0"/>
              <w:snapToGrid w:val="0"/>
              <w:spacing w:after="200" w:line="220" w:lineRule="atLeast"/>
            </w:pPr>
          </w:p>
        </w:tc>
      </w:tr>
      <w:tr w14:paraId="70F81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670" w:type="dxa"/>
            <w:tcBorders>
              <w:top w:val="single" w:color="auto" w:sz="4" w:space="0"/>
              <w:left w:val="single" w:color="auto" w:sz="4" w:space="0"/>
              <w:bottom w:val="single" w:color="auto" w:sz="4" w:space="0"/>
              <w:right w:val="single" w:color="auto" w:sz="4" w:space="0"/>
            </w:tcBorders>
          </w:tcPr>
          <w:p w14:paraId="480DDCFC">
            <w:pPr>
              <w:pStyle w:val="73"/>
              <w:shd w:val="clear" w:color="auto" w:fill="FFFFFF"/>
              <w:spacing w:line="265" w:lineRule="atLeast"/>
              <w:ind w:left="42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6E381D1">
            <w:pPr>
              <w:adjustRightInd w:val="0"/>
              <w:snapToGrid w:val="0"/>
              <w:spacing w:after="200" w:line="220" w:lineRule="atLeast"/>
            </w:pPr>
          </w:p>
        </w:tc>
      </w:tr>
      <w:tr w14:paraId="24C95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670" w:type="dxa"/>
            <w:tcBorders>
              <w:top w:val="single" w:color="auto" w:sz="4" w:space="0"/>
              <w:left w:val="single" w:color="auto" w:sz="4" w:space="0"/>
              <w:bottom w:val="single" w:color="auto" w:sz="4" w:space="0"/>
              <w:right w:val="single" w:color="auto" w:sz="4" w:space="0"/>
            </w:tcBorders>
          </w:tcPr>
          <w:p w14:paraId="78FEBBA5">
            <w:pPr>
              <w:pStyle w:val="73"/>
              <w:shd w:val="clear" w:color="auto" w:fill="FFFFFF"/>
              <w:spacing w:line="265" w:lineRule="atLeast"/>
              <w:ind w:left="420"/>
              <w:rPr>
                <w:b/>
                <w:bCs/>
                <w:lang w:eastAsia="zh-CN"/>
              </w:rPr>
            </w:pPr>
          </w:p>
        </w:tc>
        <w:tc>
          <w:tcPr>
            <w:tcW w:w="3570" w:type="dxa"/>
            <w:tcBorders>
              <w:top w:val="single" w:color="auto" w:sz="4" w:space="0"/>
              <w:left w:val="single" w:color="auto" w:sz="4" w:space="0"/>
              <w:bottom w:val="single" w:color="auto" w:sz="4" w:space="0"/>
              <w:right w:val="single" w:color="auto" w:sz="4" w:space="0"/>
            </w:tcBorders>
          </w:tcPr>
          <w:p w14:paraId="5F719E0E">
            <w:pPr>
              <w:adjustRightInd w:val="0"/>
              <w:snapToGrid w:val="0"/>
              <w:spacing w:after="200" w:line="220" w:lineRule="atLeast"/>
            </w:pPr>
          </w:p>
        </w:tc>
      </w:tr>
      <w:tr w14:paraId="2B31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240" w:type="dxa"/>
            <w:gridSpan w:val="2"/>
            <w:tcBorders>
              <w:top w:val="single" w:color="auto" w:sz="4" w:space="0"/>
              <w:left w:val="single" w:color="auto" w:sz="4" w:space="0"/>
              <w:bottom w:val="single" w:color="auto" w:sz="4" w:space="0"/>
              <w:right w:val="single" w:color="auto" w:sz="4" w:space="0"/>
            </w:tcBorders>
          </w:tcPr>
          <w:p w14:paraId="5ADB53FA">
            <w:pPr>
              <w:pStyle w:val="73"/>
              <w:shd w:val="clear" w:color="auto" w:fill="FFFFFF"/>
              <w:spacing w:line="265" w:lineRule="atLeast"/>
              <w:ind w:left="420"/>
              <w:jc w:val="both"/>
              <w:rPr>
                <w:b/>
                <w:lang w:eastAsia="zh-CN"/>
              </w:rPr>
            </w:pPr>
          </w:p>
        </w:tc>
      </w:tr>
      <w:tr w14:paraId="53FAC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670" w:type="dxa"/>
            <w:tcBorders>
              <w:top w:val="single" w:color="auto" w:sz="4" w:space="0"/>
              <w:left w:val="single" w:color="auto" w:sz="4" w:space="0"/>
              <w:bottom w:val="single" w:color="auto" w:sz="4" w:space="0"/>
              <w:right w:val="single" w:color="auto" w:sz="4" w:space="0"/>
            </w:tcBorders>
          </w:tcPr>
          <w:p w14:paraId="249D1680">
            <w:pPr>
              <w:pStyle w:val="73"/>
              <w:shd w:val="clear" w:color="auto" w:fill="FFFFFF"/>
              <w:spacing w:line="265" w:lineRule="atLeast"/>
              <w:ind w:left="0" w:firstLine="480" w:firstLineChars="200"/>
              <w:rPr>
                <w:szCs w:val="21"/>
                <w:lang w:eastAsia="zh-CN"/>
              </w:rPr>
            </w:pPr>
          </w:p>
        </w:tc>
        <w:tc>
          <w:tcPr>
            <w:tcW w:w="3570" w:type="dxa"/>
            <w:tcBorders>
              <w:top w:val="single" w:color="auto" w:sz="4" w:space="0"/>
              <w:left w:val="single" w:color="auto" w:sz="4" w:space="0"/>
              <w:bottom w:val="single" w:color="auto" w:sz="4" w:space="0"/>
              <w:right w:val="single" w:color="auto" w:sz="4" w:space="0"/>
            </w:tcBorders>
          </w:tcPr>
          <w:p w14:paraId="3974E17A">
            <w:pPr>
              <w:adjustRightInd w:val="0"/>
              <w:snapToGrid w:val="0"/>
              <w:spacing w:after="200" w:line="220" w:lineRule="atLeast"/>
            </w:pPr>
          </w:p>
        </w:tc>
      </w:tr>
      <w:tr w14:paraId="7FAD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670" w:type="dxa"/>
            <w:tcBorders>
              <w:top w:val="single" w:color="auto" w:sz="4" w:space="0"/>
              <w:left w:val="single" w:color="auto" w:sz="4" w:space="0"/>
              <w:bottom w:val="single" w:color="auto" w:sz="4" w:space="0"/>
              <w:right w:val="single" w:color="auto" w:sz="4" w:space="0"/>
            </w:tcBorders>
          </w:tcPr>
          <w:p w14:paraId="56FA3FFA">
            <w:pPr>
              <w:pStyle w:val="73"/>
              <w:shd w:val="clear" w:color="auto" w:fill="FFFFFF"/>
              <w:spacing w:line="265" w:lineRule="atLeast"/>
              <w:ind w:left="0" w:firstLine="480" w:firstLineChars="200"/>
              <w:rPr>
                <w:lang w:eastAsia="zh-CN"/>
              </w:rPr>
            </w:pPr>
          </w:p>
        </w:tc>
        <w:tc>
          <w:tcPr>
            <w:tcW w:w="3570" w:type="dxa"/>
            <w:tcBorders>
              <w:top w:val="single" w:color="auto" w:sz="4" w:space="0"/>
              <w:left w:val="single" w:color="auto" w:sz="4" w:space="0"/>
              <w:bottom w:val="single" w:color="auto" w:sz="4" w:space="0"/>
              <w:right w:val="single" w:color="auto" w:sz="4" w:space="0"/>
            </w:tcBorders>
          </w:tcPr>
          <w:p w14:paraId="59752F89">
            <w:pPr>
              <w:adjustRightInd w:val="0"/>
              <w:snapToGrid w:val="0"/>
              <w:spacing w:after="200" w:line="220" w:lineRule="atLeast"/>
            </w:pPr>
          </w:p>
        </w:tc>
      </w:tr>
    </w:tbl>
    <w:p w14:paraId="40F42194"/>
    <w:p w14:paraId="70B90AE5">
      <w:pPr>
        <w:spacing w:line="440" w:lineRule="exact"/>
        <w:jc w:val="center"/>
        <w:rPr>
          <w:rFonts w:hint="eastAsia" w:ascii="宋体" w:hAnsi="宋体"/>
          <w:b/>
          <w:bCs/>
          <w:sz w:val="32"/>
          <w:szCs w:val="32"/>
        </w:rPr>
      </w:pPr>
      <w:r>
        <w:rPr>
          <w:b/>
          <w:sz w:val="36"/>
          <w:u w:val="single"/>
        </w:rPr>
        <w:br w:type="page"/>
      </w:r>
      <w:r>
        <w:rPr>
          <w:rFonts w:hint="eastAsia" w:ascii="宋体" w:hAnsi="宋体"/>
          <w:b/>
          <w:bCs/>
          <w:sz w:val="32"/>
          <w:szCs w:val="32"/>
        </w:rPr>
        <w:t>响应文件目录</w:t>
      </w:r>
    </w:p>
    <w:p w14:paraId="05E3F51F">
      <w:pPr>
        <w:spacing w:line="360" w:lineRule="auto"/>
        <w:ind w:left="480"/>
        <w:rPr>
          <w:rFonts w:hint="default" w:ascii="宋体" w:hAnsi="宋体" w:eastAsia="宋体"/>
          <w:i/>
          <w:sz w:val="24"/>
          <w:szCs w:val="21"/>
          <w:u w:val="single"/>
          <w:lang w:val="en-US" w:eastAsia="zh-CN"/>
        </w:rPr>
      </w:pPr>
      <w:r>
        <w:rPr>
          <w:rFonts w:hint="eastAsia" w:ascii="宋体" w:hAnsi="宋体"/>
          <w:i/>
          <w:sz w:val="24"/>
          <w:szCs w:val="21"/>
          <w:u w:val="single"/>
        </w:rPr>
        <w:t>一、法人或者其他组织的营业执照等证明文件，自然人的身份证明（身份证为正、反面）</w:t>
      </w:r>
    </w:p>
    <w:p w14:paraId="5F1DB85D">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二、</w:t>
      </w:r>
      <w:r>
        <w:rPr>
          <w:rFonts w:hint="eastAsia" w:ascii="宋体" w:hAnsi="宋体"/>
          <w:i/>
          <w:sz w:val="24"/>
          <w:szCs w:val="21"/>
          <w:u w:val="single"/>
        </w:rPr>
        <w:t>若法定代表人参加磋商的，须提供本人身份证复印件(原件备查)；若授权代表参加的，须提供《法人授权书》原件和授权代表身份证复印件（原件备查）；</w:t>
      </w:r>
    </w:p>
    <w:p w14:paraId="153F588B">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三</w:t>
      </w:r>
      <w:r>
        <w:rPr>
          <w:rFonts w:hint="eastAsia" w:ascii="宋体" w:hAnsi="宋体"/>
          <w:i/>
          <w:sz w:val="24"/>
          <w:szCs w:val="21"/>
          <w:u w:val="single"/>
        </w:rPr>
        <w:t>、</w:t>
      </w:r>
      <w:r>
        <w:rPr>
          <w:rFonts w:hint="eastAsia" w:ascii="宋体" w:hAnsi="宋体"/>
          <w:i/>
          <w:sz w:val="24"/>
          <w:szCs w:val="21"/>
          <w:u w:val="single"/>
          <w:lang w:val="en-US" w:eastAsia="zh-CN"/>
        </w:rPr>
        <w:t>2024</w:t>
      </w:r>
      <w:r>
        <w:rPr>
          <w:rFonts w:hint="eastAsia" w:ascii="宋体" w:hAnsi="宋体"/>
          <w:i/>
          <w:sz w:val="24"/>
          <w:szCs w:val="21"/>
          <w:u w:val="single"/>
        </w:rPr>
        <w:t>年度</w:t>
      </w:r>
      <w:r>
        <w:rPr>
          <w:rFonts w:hint="eastAsia" w:ascii="宋体" w:hAnsi="宋体"/>
          <w:i/>
          <w:sz w:val="24"/>
          <w:szCs w:val="21"/>
          <w:u w:val="single"/>
          <w:lang w:val="en-US" w:eastAsia="zh-CN"/>
        </w:rPr>
        <w:t>或2025年度</w:t>
      </w:r>
      <w:r>
        <w:rPr>
          <w:rFonts w:hint="eastAsia" w:ascii="宋体" w:hAnsi="宋体"/>
          <w:i/>
          <w:sz w:val="24"/>
          <w:szCs w:val="21"/>
          <w:u w:val="single"/>
        </w:rPr>
        <w:t>的财务状况报告（成立不满一年无需提供）</w:t>
      </w:r>
    </w:p>
    <w:p w14:paraId="3A347B67">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四</w:t>
      </w:r>
      <w:r>
        <w:rPr>
          <w:rFonts w:hint="eastAsia" w:ascii="宋体" w:hAnsi="宋体"/>
          <w:i/>
          <w:sz w:val="24"/>
          <w:szCs w:val="21"/>
          <w:u w:val="single"/>
        </w:rPr>
        <w:t>、依法缴纳税收和社会保障资金的相关材料（提供提交磋商响应文件截止时间前一年内至少一个月依法缴纳税收及缴纳社会保障资金的证明材料。供应商依法享受缓缴、免缴税收、社会保障资金的提供证明材料。）</w:t>
      </w:r>
    </w:p>
    <w:p w14:paraId="0A6EED05">
      <w:pPr>
        <w:spacing w:line="360" w:lineRule="auto"/>
        <w:ind w:left="480"/>
        <w:rPr>
          <w:rFonts w:hint="eastAsia" w:ascii="宋体" w:hAnsi="宋体"/>
          <w:i/>
          <w:sz w:val="24"/>
          <w:szCs w:val="21"/>
          <w:u w:val="single"/>
        </w:rPr>
      </w:pPr>
      <w:r>
        <w:rPr>
          <w:rFonts w:hint="eastAsia" w:ascii="宋体" w:hAnsi="宋体"/>
          <w:i/>
          <w:sz w:val="24"/>
          <w:szCs w:val="21"/>
          <w:u w:val="single"/>
          <w:lang w:val="en-US" w:eastAsia="zh-CN"/>
        </w:rPr>
        <w:t>五</w:t>
      </w:r>
      <w:r>
        <w:rPr>
          <w:rFonts w:hint="eastAsia" w:ascii="宋体" w:hAnsi="宋体"/>
          <w:i/>
          <w:sz w:val="24"/>
          <w:szCs w:val="21"/>
          <w:u w:val="single"/>
        </w:rPr>
        <w:t>、具备履行合同所必需的设备和专业技术能力的书面声明</w:t>
      </w:r>
    </w:p>
    <w:p w14:paraId="5C87A10C">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六</w:t>
      </w:r>
      <w:r>
        <w:rPr>
          <w:rFonts w:hint="eastAsia" w:ascii="宋体" w:hAnsi="宋体"/>
          <w:i/>
          <w:sz w:val="24"/>
          <w:szCs w:val="21"/>
          <w:u w:val="single"/>
        </w:rPr>
        <w:t>、参加政府采购活动前 3 年内在经营活动中没有重大违法记录的书面声明</w:t>
      </w:r>
    </w:p>
    <w:p w14:paraId="5A3A2718">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七</w:t>
      </w:r>
      <w:r>
        <w:rPr>
          <w:rFonts w:hint="eastAsia" w:ascii="宋体" w:hAnsi="宋体"/>
          <w:i/>
          <w:sz w:val="24"/>
          <w:szCs w:val="21"/>
          <w:u w:val="single"/>
        </w:rPr>
        <w:t>、供应商信用承诺书</w:t>
      </w:r>
      <w:r>
        <w:rPr>
          <w:rFonts w:hint="eastAsia" w:ascii="宋体" w:hAnsi="宋体"/>
          <w:i/>
          <w:sz w:val="24"/>
          <w:szCs w:val="21"/>
          <w:u w:val="single"/>
          <w:lang w:val="en-US" w:eastAsia="zh-CN"/>
        </w:rPr>
        <w:t xml:space="preserve"> </w:t>
      </w:r>
    </w:p>
    <w:p w14:paraId="03FAA67A">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八</w:t>
      </w:r>
      <w:r>
        <w:rPr>
          <w:rFonts w:hint="eastAsia" w:ascii="宋体" w:hAnsi="宋体"/>
          <w:i/>
          <w:sz w:val="24"/>
          <w:szCs w:val="21"/>
          <w:u w:val="single"/>
        </w:rPr>
        <w:t>、中小企业声明函</w:t>
      </w:r>
    </w:p>
    <w:p w14:paraId="17590E25">
      <w:pPr>
        <w:spacing w:line="360" w:lineRule="auto"/>
        <w:ind w:firstLine="480" w:firstLineChars="200"/>
        <w:rPr>
          <w:rFonts w:hint="eastAsia" w:ascii="宋体" w:hAnsi="宋体"/>
          <w:i/>
          <w:sz w:val="24"/>
          <w:szCs w:val="21"/>
          <w:u w:val="single"/>
        </w:rPr>
      </w:pPr>
      <w:r>
        <w:rPr>
          <w:rFonts w:hint="eastAsia" w:ascii="宋体" w:hAnsi="宋体"/>
          <w:i/>
          <w:sz w:val="24"/>
          <w:szCs w:val="21"/>
          <w:u w:val="single"/>
          <w:lang w:val="en-US" w:eastAsia="zh-CN"/>
        </w:rPr>
        <w:t>九</w:t>
      </w:r>
      <w:r>
        <w:rPr>
          <w:rFonts w:hint="eastAsia" w:ascii="宋体" w:hAnsi="宋体"/>
          <w:i/>
          <w:sz w:val="24"/>
          <w:szCs w:val="21"/>
          <w:u w:val="single"/>
        </w:rPr>
        <w:t>、特定资格要求的证明文件（如果本项目设置特定资格要求，则需要提供）</w:t>
      </w:r>
    </w:p>
    <w:p w14:paraId="4E804F86">
      <w:pPr>
        <w:spacing w:line="360" w:lineRule="auto"/>
        <w:ind w:firstLine="480" w:firstLineChars="200"/>
        <w:rPr>
          <w:rFonts w:hint="eastAsia" w:ascii="宋体" w:hAnsi="宋体"/>
          <w:sz w:val="24"/>
          <w:szCs w:val="21"/>
        </w:rPr>
      </w:pPr>
      <w:r>
        <w:rPr>
          <w:rFonts w:hint="eastAsia" w:ascii="宋体" w:hAnsi="宋体"/>
          <w:i/>
          <w:sz w:val="24"/>
          <w:szCs w:val="21"/>
          <w:u w:val="single"/>
        </w:rPr>
        <w:t>十、磋商响应函</w:t>
      </w:r>
    </w:p>
    <w:p w14:paraId="2B77965B">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一</w:t>
      </w:r>
      <w:r>
        <w:rPr>
          <w:rFonts w:hint="eastAsia" w:ascii="宋体" w:hAnsi="宋体"/>
          <w:sz w:val="24"/>
          <w:szCs w:val="21"/>
        </w:rPr>
        <w:t>、磋商响应报价表</w:t>
      </w:r>
    </w:p>
    <w:p w14:paraId="25CFF042">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二</w:t>
      </w:r>
      <w:r>
        <w:rPr>
          <w:rFonts w:hint="eastAsia" w:ascii="宋体" w:hAnsi="宋体"/>
          <w:sz w:val="24"/>
          <w:szCs w:val="21"/>
        </w:rPr>
        <w:t>、分项报价表</w:t>
      </w:r>
    </w:p>
    <w:p w14:paraId="3540ED97">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三</w:t>
      </w:r>
      <w:r>
        <w:rPr>
          <w:rFonts w:hint="eastAsia" w:ascii="宋体" w:hAnsi="宋体"/>
          <w:sz w:val="24"/>
          <w:szCs w:val="21"/>
        </w:rPr>
        <w:t>、技术要求响应及偏离表</w:t>
      </w:r>
    </w:p>
    <w:p w14:paraId="16E79CFD">
      <w:pPr>
        <w:spacing w:line="440" w:lineRule="exact"/>
        <w:ind w:firstLine="480" w:firstLineChars="200"/>
        <w:rPr>
          <w:rFonts w:hint="eastAsia" w:ascii="宋体" w:hAnsi="宋体"/>
          <w:sz w:val="24"/>
          <w:szCs w:val="21"/>
        </w:rPr>
      </w:pPr>
      <w:r>
        <w:rPr>
          <w:rFonts w:hint="eastAsia" w:ascii="宋体" w:hAnsi="宋体"/>
          <w:sz w:val="24"/>
          <w:szCs w:val="21"/>
        </w:rPr>
        <w:t>十四、商务要求响应及偏离表</w:t>
      </w:r>
    </w:p>
    <w:p w14:paraId="5F9B3813">
      <w:pPr>
        <w:spacing w:line="440" w:lineRule="exact"/>
        <w:ind w:firstLine="480" w:firstLineChars="200"/>
        <w:rPr>
          <w:rFonts w:hint="eastAsia" w:ascii="宋体" w:hAnsi="宋体"/>
          <w:sz w:val="24"/>
          <w:szCs w:val="21"/>
        </w:rPr>
      </w:pPr>
      <w:r>
        <w:rPr>
          <w:rFonts w:hint="eastAsia" w:ascii="宋体" w:hAnsi="宋体"/>
          <w:sz w:val="24"/>
          <w:szCs w:val="21"/>
        </w:rPr>
        <w:t>十</w:t>
      </w:r>
      <w:r>
        <w:rPr>
          <w:rFonts w:hint="eastAsia" w:ascii="宋体" w:hAnsi="宋体"/>
          <w:sz w:val="24"/>
          <w:szCs w:val="21"/>
          <w:lang w:val="en-US" w:eastAsia="zh-CN"/>
        </w:rPr>
        <w:t>五</w:t>
      </w:r>
      <w:r>
        <w:rPr>
          <w:rFonts w:hint="eastAsia" w:ascii="宋体" w:hAnsi="宋体"/>
          <w:sz w:val="24"/>
          <w:szCs w:val="21"/>
        </w:rPr>
        <w:t>、其他</w:t>
      </w:r>
    </w:p>
    <w:p w14:paraId="60C30738">
      <w:pPr>
        <w:spacing w:line="440" w:lineRule="exact"/>
        <w:ind w:firstLine="480" w:firstLineChars="200"/>
        <w:rPr>
          <w:rFonts w:hint="eastAsia" w:ascii="宋体" w:hAnsi="宋体"/>
          <w:sz w:val="24"/>
          <w:szCs w:val="21"/>
        </w:rPr>
      </w:pPr>
    </w:p>
    <w:p w14:paraId="34F8D2C6">
      <w:pPr>
        <w:spacing w:line="440" w:lineRule="exact"/>
        <w:ind w:firstLine="480" w:firstLineChars="200"/>
        <w:rPr>
          <w:rFonts w:hint="eastAsia" w:ascii="宋体" w:hAnsi="宋体"/>
          <w:sz w:val="24"/>
          <w:szCs w:val="21"/>
        </w:rPr>
      </w:pPr>
    </w:p>
    <w:p w14:paraId="48BAD131">
      <w:pPr>
        <w:spacing w:line="440" w:lineRule="exact"/>
        <w:ind w:firstLine="480" w:firstLineChars="200"/>
        <w:rPr>
          <w:rFonts w:hint="eastAsia" w:ascii="宋体" w:hAnsi="宋体"/>
          <w:sz w:val="24"/>
          <w:szCs w:val="21"/>
        </w:rPr>
      </w:pPr>
    </w:p>
    <w:p w14:paraId="41F827C8">
      <w:pPr>
        <w:spacing w:line="440" w:lineRule="exact"/>
        <w:ind w:firstLine="480" w:firstLineChars="200"/>
        <w:rPr>
          <w:rFonts w:hint="eastAsia" w:ascii="宋体" w:hAnsi="宋体"/>
          <w:sz w:val="24"/>
          <w:szCs w:val="21"/>
        </w:rPr>
      </w:pPr>
    </w:p>
    <w:p w14:paraId="681AFB78">
      <w:pPr>
        <w:spacing w:line="440" w:lineRule="exact"/>
        <w:ind w:firstLine="480" w:firstLineChars="200"/>
        <w:rPr>
          <w:rFonts w:hint="eastAsia" w:ascii="宋体" w:hAnsi="宋体"/>
          <w:sz w:val="24"/>
          <w:szCs w:val="21"/>
        </w:rPr>
      </w:pPr>
    </w:p>
    <w:p w14:paraId="6E2E264C">
      <w:pPr>
        <w:spacing w:line="440" w:lineRule="exact"/>
        <w:ind w:firstLine="480" w:firstLineChars="200"/>
        <w:rPr>
          <w:rFonts w:hint="eastAsia" w:ascii="宋体" w:hAnsi="宋体"/>
          <w:sz w:val="24"/>
          <w:szCs w:val="21"/>
        </w:rPr>
      </w:pPr>
    </w:p>
    <w:p w14:paraId="7B802D8A">
      <w:pPr>
        <w:spacing w:line="440" w:lineRule="exact"/>
        <w:ind w:firstLine="480" w:firstLineChars="200"/>
        <w:rPr>
          <w:rFonts w:hint="eastAsia" w:ascii="宋体" w:hAnsi="宋体"/>
          <w:sz w:val="24"/>
          <w:szCs w:val="21"/>
        </w:rPr>
      </w:pPr>
    </w:p>
    <w:p w14:paraId="7F5FF1C1">
      <w:pPr>
        <w:spacing w:line="440" w:lineRule="exact"/>
        <w:ind w:firstLine="480" w:firstLineChars="200"/>
        <w:rPr>
          <w:rFonts w:hint="eastAsia" w:ascii="宋体" w:hAnsi="宋体"/>
          <w:sz w:val="24"/>
          <w:szCs w:val="21"/>
        </w:rPr>
      </w:pPr>
    </w:p>
    <w:p w14:paraId="1ECA653D">
      <w:pPr>
        <w:spacing w:line="440" w:lineRule="exact"/>
        <w:ind w:firstLine="480" w:firstLineChars="200"/>
        <w:rPr>
          <w:rFonts w:hint="eastAsia" w:ascii="宋体" w:hAnsi="宋体"/>
          <w:sz w:val="24"/>
          <w:szCs w:val="21"/>
        </w:rPr>
      </w:pPr>
    </w:p>
    <w:p w14:paraId="559A8CD5">
      <w:pPr>
        <w:rPr>
          <w:rFonts w:hint="default" w:ascii="黑体" w:hAnsi="黑体" w:eastAsia="黑体"/>
          <w:i/>
          <w:sz w:val="32"/>
          <w:szCs w:val="32"/>
          <w:u w:val="single"/>
          <w:lang w:val="en-US" w:eastAsia="zh-CN"/>
        </w:rPr>
      </w:pPr>
      <w:r>
        <w:rPr>
          <w:rFonts w:hint="eastAsia" w:ascii="黑体" w:hAnsi="黑体" w:eastAsia="黑体"/>
          <w:i/>
          <w:sz w:val="32"/>
          <w:szCs w:val="32"/>
          <w:u w:val="single"/>
        </w:rPr>
        <w:br w:type="page"/>
      </w:r>
      <w:r>
        <w:rPr>
          <w:rFonts w:hint="eastAsia" w:ascii="黑体" w:hAnsi="黑体" w:eastAsia="黑体"/>
          <w:i/>
          <w:sz w:val="32"/>
          <w:szCs w:val="32"/>
          <w:u w:val="single"/>
        </w:rPr>
        <w:t>一、</w:t>
      </w:r>
      <w:r>
        <w:rPr>
          <w:rFonts w:hint="eastAsia" w:ascii="黑体" w:hAnsi="黑体" w:eastAsia="黑体"/>
          <w:i/>
          <w:sz w:val="32"/>
          <w:szCs w:val="32"/>
          <w:u w:val="single"/>
          <w:lang w:val="en-US" w:eastAsia="zh-CN"/>
        </w:rPr>
        <w:t>法人或者其他组织的营业执照等证明文件，自然人的身份证明（身份证为正、反面）</w:t>
      </w:r>
    </w:p>
    <w:p w14:paraId="630E55BB">
      <w:pPr>
        <w:spacing w:line="440" w:lineRule="exact"/>
        <w:rPr>
          <w:rFonts w:hint="eastAsia" w:ascii="宋体" w:hAnsi="宋体"/>
          <w:sz w:val="24"/>
          <w:szCs w:val="21"/>
        </w:rPr>
      </w:pPr>
    </w:p>
    <w:p w14:paraId="37FBCA24">
      <w:pPr>
        <w:spacing w:line="440" w:lineRule="exact"/>
        <w:rPr>
          <w:rFonts w:hint="eastAsia" w:ascii="宋体" w:hAnsi="宋体"/>
          <w:sz w:val="24"/>
          <w:szCs w:val="21"/>
        </w:rPr>
      </w:pPr>
    </w:p>
    <w:p w14:paraId="3B13CC91">
      <w:pPr>
        <w:rPr>
          <w:rFonts w:hint="eastAsia" w:ascii="黑体" w:hAnsi="黑体" w:eastAsia="黑体"/>
          <w:i/>
          <w:sz w:val="32"/>
          <w:szCs w:val="32"/>
          <w:u w:val="single"/>
        </w:rPr>
      </w:pPr>
      <w:r>
        <w:rPr>
          <w:rFonts w:hint="eastAsia" w:ascii="黑体" w:hAnsi="黑体" w:eastAsia="黑体"/>
          <w:i/>
          <w:sz w:val="32"/>
          <w:szCs w:val="32"/>
          <w:u w:val="single"/>
          <w:lang w:val="en-US" w:eastAsia="zh-CN"/>
        </w:rPr>
        <w:t>二、</w:t>
      </w:r>
      <w:r>
        <w:rPr>
          <w:rFonts w:hint="eastAsia" w:ascii="黑体" w:hAnsi="黑体" w:eastAsia="黑体"/>
          <w:i/>
          <w:sz w:val="32"/>
          <w:szCs w:val="32"/>
          <w:u w:val="single"/>
        </w:rPr>
        <w:t>若法定代表人参加磋商的，须提供本人身份证复印件(原件备查)；若授权代表参加的，须提供《法人授权书》原件和授权代表身份证复印件（原件备查）；</w:t>
      </w:r>
    </w:p>
    <w:p w14:paraId="30BE7659">
      <w:pPr>
        <w:spacing w:line="440" w:lineRule="exact"/>
        <w:rPr>
          <w:rFonts w:hint="eastAsia" w:ascii="宋体" w:hAnsi="宋体"/>
          <w:sz w:val="24"/>
          <w:szCs w:val="21"/>
        </w:rPr>
      </w:pPr>
    </w:p>
    <w:p w14:paraId="2AAF5A46">
      <w:pPr>
        <w:jc w:val="center"/>
        <w:rPr>
          <w:rFonts w:hint="eastAsia" w:ascii="黑体" w:hAnsi="黑体" w:eastAsia="黑体"/>
          <w:i/>
          <w:sz w:val="32"/>
          <w:szCs w:val="32"/>
          <w:u w:val="single"/>
        </w:rPr>
      </w:pPr>
      <w:r>
        <w:rPr>
          <w:rFonts w:hint="eastAsia" w:ascii="黑体" w:hAnsi="黑体" w:eastAsia="黑体"/>
          <w:i/>
          <w:sz w:val="32"/>
          <w:szCs w:val="32"/>
          <w:u w:val="single"/>
        </w:rPr>
        <w:t>法人授权书</w:t>
      </w:r>
    </w:p>
    <w:p w14:paraId="1A76FD61">
      <w:pPr>
        <w:tabs>
          <w:tab w:val="left" w:pos="360"/>
        </w:tabs>
        <w:rPr>
          <w:sz w:val="24"/>
          <w:szCs w:val="24"/>
        </w:rPr>
      </w:pPr>
    </w:p>
    <w:p w14:paraId="7636EAB4">
      <w:pPr>
        <w:tabs>
          <w:tab w:val="left" w:pos="360"/>
        </w:tabs>
        <w:spacing w:line="360" w:lineRule="auto"/>
        <w:ind w:firstLine="480" w:firstLineChars="200"/>
        <w:rPr>
          <w:sz w:val="24"/>
          <w:szCs w:val="24"/>
        </w:rPr>
      </w:pPr>
      <w:r>
        <w:rPr>
          <w:rFonts w:hint="eastAsia"/>
          <w:sz w:val="24"/>
          <w:szCs w:val="24"/>
        </w:rPr>
        <w:t>本授权书声明：__________（供应商名称）授权_________（被授权人的姓名）为我方就</w:t>
      </w:r>
      <w:r>
        <w:rPr>
          <w:rFonts w:hint="eastAsia"/>
          <w:sz w:val="24"/>
          <w:szCs w:val="24"/>
          <w:u w:val="single"/>
        </w:rPr>
        <w:t xml:space="preserve">        </w:t>
      </w:r>
      <w:r>
        <w:rPr>
          <w:rFonts w:hint="eastAsia"/>
          <w:sz w:val="24"/>
          <w:szCs w:val="24"/>
        </w:rPr>
        <w:t>号</w:t>
      </w:r>
      <w:r>
        <w:rPr>
          <w:rFonts w:hint="eastAsia"/>
          <w:sz w:val="24"/>
          <w:szCs w:val="24"/>
          <w:u w:val="single"/>
        </w:rPr>
        <w:t xml:space="preserve">         </w:t>
      </w:r>
      <w:r>
        <w:rPr>
          <w:rFonts w:hint="eastAsia"/>
          <w:sz w:val="24"/>
          <w:szCs w:val="24"/>
        </w:rPr>
        <w:t>项目采购活动的合法代理人，以本单位名义全权处理一切与该项目采购有关的事务。</w:t>
      </w:r>
    </w:p>
    <w:p w14:paraId="0380C16D">
      <w:pPr>
        <w:tabs>
          <w:tab w:val="left" w:pos="360"/>
        </w:tabs>
        <w:spacing w:line="360" w:lineRule="auto"/>
        <w:ind w:firstLine="480" w:firstLineChars="200"/>
        <w:rPr>
          <w:sz w:val="24"/>
          <w:szCs w:val="24"/>
        </w:rPr>
      </w:pPr>
      <w:r>
        <w:rPr>
          <w:rFonts w:hint="eastAsia"/>
          <w:sz w:val="24"/>
          <w:szCs w:val="24"/>
        </w:rPr>
        <w:t>本授权书于______年____月____日起生效，特此声明。</w:t>
      </w:r>
    </w:p>
    <w:p w14:paraId="24B63431">
      <w:pPr>
        <w:tabs>
          <w:tab w:val="left" w:pos="360"/>
        </w:tabs>
        <w:spacing w:line="360" w:lineRule="auto"/>
        <w:rPr>
          <w:sz w:val="24"/>
          <w:szCs w:val="24"/>
        </w:rPr>
      </w:pPr>
      <w:r>
        <w:rPr>
          <w:rFonts w:hint="eastAsia"/>
          <w:sz w:val="24"/>
          <w:szCs w:val="24"/>
        </w:rPr>
        <w:t xml:space="preserve">   </w:t>
      </w:r>
    </w:p>
    <w:p w14:paraId="70D3468E">
      <w:pPr>
        <w:tabs>
          <w:tab w:val="left" w:pos="360"/>
        </w:tabs>
        <w:spacing w:line="360" w:lineRule="auto"/>
        <w:rPr>
          <w:sz w:val="24"/>
          <w:szCs w:val="24"/>
          <w:u w:val="single"/>
        </w:rPr>
      </w:pPr>
      <w:r>
        <w:rPr>
          <w:rFonts w:hint="eastAsia"/>
          <w:sz w:val="24"/>
          <w:szCs w:val="24"/>
        </w:rPr>
        <w:t>被授权人身份证号码：</w:t>
      </w:r>
      <w:r>
        <w:rPr>
          <w:rFonts w:hint="eastAsia"/>
          <w:sz w:val="24"/>
          <w:szCs w:val="24"/>
          <w:u w:val="single"/>
        </w:rPr>
        <w:t xml:space="preserve">                 </w:t>
      </w:r>
    </w:p>
    <w:p w14:paraId="53C3880D">
      <w:pPr>
        <w:tabs>
          <w:tab w:val="left" w:pos="360"/>
        </w:tabs>
        <w:spacing w:line="360" w:lineRule="auto"/>
        <w:rPr>
          <w:sz w:val="24"/>
          <w:szCs w:val="24"/>
          <w:u w:val="single"/>
        </w:rPr>
      </w:pPr>
      <w:r>
        <w:rPr>
          <w:rFonts w:hint="eastAsia"/>
          <w:sz w:val="24"/>
          <w:szCs w:val="24"/>
        </w:rPr>
        <w:t>被授权人联系电话：（手机）</w:t>
      </w:r>
      <w:r>
        <w:rPr>
          <w:rFonts w:hint="eastAsia"/>
          <w:sz w:val="24"/>
          <w:szCs w:val="24"/>
          <w:u w:val="single"/>
        </w:rPr>
        <w:t xml:space="preserve">           </w:t>
      </w:r>
    </w:p>
    <w:p w14:paraId="14A82492">
      <w:pPr>
        <w:tabs>
          <w:tab w:val="left" w:pos="360"/>
        </w:tabs>
        <w:spacing w:line="360" w:lineRule="auto"/>
        <w:rPr>
          <w:sz w:val="24"/>
          <w:szCs w:val="24"/>
        </w:rPr>
      </w:pPr>
      <w:r>
        <w:rPr>
          <w:rFonts w:hint="eastAsia"/>
          <w:sz w:val="24"/>
          <w:szCs w:val="24"/>
        </w:rPr>
        <w:t>授权单位名称：</w:t>
      </w:r>
      <w:r>
        <w:rPr>
          <w:rFonts w:hint="eastAsia"/>
          <w:sz w:val="24"/>
          <w:szCs w:val="24"/>
          <w:u w:val="single"/>
        </w:rPr>
        <w:t xml:space="preserve">           （加盖公章）</w:t>
      </w:r>
    </w:p>
    <w:p w14:paraId="57766010">
      <w:pPr>
        <w:tabs>
          <w:tab w:val="left" w:pos="360"/>
        </w:tabs>
        <w:spacing w:line="360" w:lineRule="auto"/>
        <w:rPr>
          <w:sz w:val="24"/>
          <w:szCs w:val="24"/>
          <w:u w:val="single"/>
        </w:rPr>
      </w:pPr>
      <w:r>
        <w:rPr>
          <w:rFonts w:hint="eastAsia"/>
          <w:sz w:val="24"/>
          <w:szCs w:val="24"/>
        </w:rPr>
        <w:t>法定代表人签字：</w:t>
      </w:r>
      <w:r>
        <w:rPr>
          <w:rFonts w:hint="eastAsia"/>
          <w:sz w:val="24"/>
          <w:szCs w:val="24"/>
          <w:u w:val="single"/>
        </w:rPr>
        <w:t xml:space="preserve">                     </w:t>
      </w:r>
    </w:p>
    <w:p w14:paraId="3A9CFC06">
      <w:pPr>
        <w:tabs>
          <w:tab w:val="left" w:pos="360"/>
        </w:tabs>
        <w:spacing w:line="360" w:lineRule="auto"/>
        <w:rPr>
          <w:sz w:val="24"/>
          <w:szCs w:val="24"/>
          <w:u w:val="single"/>
        </w:rPr>
      </w:pPr>
      <w:r>
        <w:rPr>
          <w:rFonts w:hint="eastAsia"/>
          <w:sz w:val="24"/>
          <w:szCs w:val="24"/>
        </w:rPr>
        <w:t>单位地址：</w:t>
      </w:r>
      <w:r>
        <w:rPr>
          <w:rFonts w:hint="eastAsia"/>
          <w:sz w:val="24"/>
          <w:szCs w:val="24"/>
          <w:u w:val="single"/>
        </w:rPr>
        <w:t xml:space="preserve">                           </w:t>
      </w:r>
    </w:p>
    <w:p w14:paraId="21D19F62">
      <w:pPr>
        <w:tabs>
          <w:tab w:val="left" w:pos="360"/>
        </w:tabs>
        <w:spacing w:line="360" w:lineRule="auto"/>
        <w:rPr>
          <w:sz w:val="24"/>
          <w:szCs w:val="24"/>
          <w:u w:val="single"/>
        </w:rPr>
      </w:pPr>
      <w:r>
        <w:rPr>
          <w:rFonts w:hint="eastAsia"/>
          <w:sz w:val="24"/>
          <w:szCs w:val="24"/>
        </w:rPr>
        <w:t>日  期：</w:t>
      </w:r>
      <w:r>
        <w:rPr>
          <w:rFonts w:hint="eastAsia"/>
          <w:sz w:val="24"/>
          <w:szCs w:val="24"/>
          <w:u w:val="single"/>
        </w:rPr>
        <w:t xml:space="preserve">                             </w:t>
      </w:r>
    </w:p>
    <w:p w14:paraId="1369EF97">
      <w:pPr>
        <w:tabs>
          <w:tab w:val="left" w:pos="360"/>
        </w:tabs>
        <w:spacing w:line="360" w:lineRule="auto"/>
        <w:ind w:firstLine="480" w:firstLineChars="200"/>
        <w:rPr>
          <w:sz w:val="24"/>
          <w:szCs w:val="24"/>
          <w:u w:val="single"/>
        </w:rPr>
      </w:pPr>
    </w:p>
    <w:p w14:paraId="0B64967D">
      <w:pPr>
        <w:tabs>
          <w:tab w:val="left" w:pos="360"/>
        </w:tabs>
        <w:spacing w:line="360" w:lineRule="auto"/>
        <w:rPr>
          <w:sz w:val="24"/>
          <w:szCs w:val="24"/>
        </w:rPr>
      </w:pPr>
      <w:r>
        <w:rPr>
          <w:rFonts w:hint="eastAsia"/>
          <w:sz w:val="24"/>
          <w:szCs w:val="24"/>
        </w:rPr>
        <w:t>附：</w:t>
      </w:r>
    </w:p>
    <w:p w14:paraId="2A5164AD">
      <w:pPr>
        <w:tabs>
          <w:tab w:val="left" w:pos="360"/>
        </w:tabs>
        <w:spacing w:line="360" w:lineRule="auto"/>
        <w:ind w:firstLine="480" w:firstLineChars="200"/>
        <w:rPr>
          <w:sz w:val="24"/>
          <w:szCs w:val="24"/>
        </w:rPr>
      </w:pPr>
      <w:r>
        <w:rPr>
          <w:rFonts w:hint="eastAsia"/>
          <w:sz w:val="24"/>
          <w:szCs w:val="24"/>
        </w:rPr>
        <w:t>法定代表人、被授权人身份证影印件：</w:t>
      </w:r>
    </w:p>
    <w:p w14:paraId="41300FB8">
      <w:pPr>
        <w:spacing w:line="440" w:lineRule="exact"/>
        <w:jc w:val="center"/>
        <w:rPr>
          <w:rFonts w:hint="eastAsia" w:ascii="宋体" w:hAnsi="宋体"/>
          <w:sz w:val="24"/>
          <w:szCs w:val="21"/>
        </w:rPr>
      </w:pPr>
    </w:p>
    <w:p w14:paraId="2DB43767">
      <w:pPr>
        <w:spacing w:line="440" w:lineRule="exact"/>
        <w:rPr>
          <w:rFonts w:hint="eastAsia" w:ascii="宋体" w:hAnsi="宋体"/>
          <w:sz w:val="24"/>
          <w:szCs w:val="21"/>
        </w:rPr>
      </w:pPr>
    </w:p>
    <w:p w14:paraId="135CE243">
      <w:pPr>
        <w:spacing w:line="440" w:lineRule="exact"/>
        <w:rPr>
          <w:rFonts w:hint="eastAsia" w:ascii="宋体" w:hAnsi="宋体"/>
          <w:sz w:val="24"/>
          <w:szCs w:val="21"/>
        </w:rPr>
      </w:pPr>
    </w:p>
    <w:p w14:paraId="14FF2E6F">
      <w:pPr>
        <w:spacing w:line="440" w:lineRule="exact"/>
        <w:rPr>
          <w:rFonts w:hint="eastAsia" w:ascii="宋体" w:hAnsi="宋体"/>
          <w:sz w:val="24"/>
          <w:szCs w:val="21"/>
        </w:rPr>
      </w:pPr>
    </w:p>
    <w:p w14:paraId="51868D6F">
      <w:pPr>
        <w:rPr>
          <w:rFonts w:hint="eastAsia" w:ascii="黑体" w:hAnsi="黑体" w:eastAsia="黑体"/>
          <w:i/>
          <w:sz w:val="32"/>
          <w:szCs w:val="32"/>
          <w:u w:val="single"/>
        </w:rPr>
      </w:pPr>
      <w:r>
        <w:rPr>
          <w:rFonts w:hint="eastAsia" w:ascii="黑体" w:hAnsi="黑体" w:eastAsia="黑体"/>
          <w:i/>
          <w:sz w:val="32"/>
          <w:szCs w:val="32"/>
          <w:u w:val="single"/>
          <w:lang w:val="en-US" w:eastAsia="zh-CN"/>
        </w:rPr>
        <w:t>三</w:t>
      </w:r>
      <w:r>
        <w:rPr>
          <w:rFonts w:hint="eastAsia" w:ascii="黑体" w:hAnsi="黑体" w:eastAsia="黑体"/>
          <w:i/>
          <w:sz w:val="32"/>
          <w:szCs w:val="32"/>
          <w:u w:val="single"/>
        </w:rPr>
        <w:t>、</w:t>
      </w:r>
      <w:r>
        <w:rPr>
          <w:rFonts w:hint="eastAsia" w:ascii="黑体" w:hAnsi="黑体" w:eastAsia="黑体"/>
          <w:i/>
          <w:sz w:val="32"/>
          <w:szCs w:val="32"/>
          <w:u w:val="single"/>
          <w:lang w:val="en-US" w:eastAsia="zh-CN"/>
        </w:rPr>
        <w:t>2024年度或2025</w:t>
      </w:r>
      <w:r>
        <w:rPr>
          <w:rFonts w:hint="eastAsia" w:ascii="黑体" w:hAnsi="黑体" w:eastAsia="黑体"/>
          <w:i/>
          <w:sz w:val="32"/>
          <w:szCs w:val="32"/>
          <w:u w:val="single"/>
        </w:rPr>
        <w:t>年度的财务状况报告</w:t>
      </w:r>
    </w:p>
    <w:p w14:paraId="31ECCAAB">
      <w:pPr>
        <w:spacing w:line="440" w:lineRule="exact"/>
        <w:ind w:firstLine="480" w:firstLineChars="200"/>
        <w:rPr>
          <w:rFonts w:hint="eastAsia" w:ascii="宋体" w:hAnsi="宋体"/>
          <w:bCs/>
          <w:sz w:val="24"/>
          <w:szCs w:val="21"/>
        </w:rPr>
      </w:pPr>
      <w:r>
        <w:rPr>
          <w:rFonts w:hint="eastAsia" w:ascii="宋体" w:hAnsi="宋体"/>
          <w:bCs/>
          <w:sz w:val="24"/>
          <w:szCs w:val="21"/>
        </w:rPr>
        <w:t>供应商成立不满一年无需提供</w:t>
      </w:r>
    </w:p>
    <w:p w14:paraId="6427D8D0">
      <w:pPr>
        <w:rPr>
          <w:rFonts w:hint="eastAsia" w:ascii="黑体" w:hAnsi="黑体" w:eastAsia="黑体"/>
          <w:i/>
          <w:sz w:val="32"/>
          <w:szCs w:val="32"/>
          <w:u w:val="single"/>
        </w:rPr>
      </w:pPr>
    </w:p>
    <w:p w14:paraId="67B58378">
      <w:pPr>
        <w:rPr>
          <w:rFonts w:hint="eastAsia" w:ascii="黑体" w:hAnsi="黑体" w:eastAsia="黑体"/>
          <w:i/>
          <w:sz w:val="32"/>
          <w:szCs w:val="32"/>
          <w:u w:val="single"/>
        </w:rPr>
      </w:pPr>
    </w:p>
    <w:p w14:paraId="39817F9D">
      <w:pPr>
        <w:rPr>
          <w:rFonts w:hint="eastAsia" w:ascii="黑体" w:hAnsi="黑体" w:eastAsia="黑体"/>
          <w:i/>
          <w:sz w:val="32"/>
          <w:szCs w:val="32"/>
          <w:u w:val="single"/>
        </w:rPr>
      </w:pPr>
    </w:p>
    <w:p w14:paraId="38098EE4">
      <w:pPr>
        <w:rPr>
          <w:rFonts w:hint="eastAsia" w:ascii="黑体" w:hAnsi="黑体" w:eastAsia="黑体"/>
          <w:i/>
          <w:sz w:val="32"/>
          <w:szCs w:val="32"/>
          <w:u w:val="single"/>
        </w:rPr>
      </w:pPr>
      <w:r>
        <w:rPr>
          <w:rFonts w:hint="eastAsia" w:ascii="黑体" w:hAnsi="黑体" w:eastAsia="黑体"/>
          <w:i/>
          <w:sz w:val="32"/>
          <w:szCs w:val="32"/>
          <w:u w:val="single"/>
          <w:lang w:val="en-US" w:eastAsia="zh-CN"/>
        </w:rPr>
        <w:t>四</w:t>
      </w:r>
      <w:r>
        <w:rPr>
          <w:rFonts w:hint="eastAsia" w:ascii="黑体" w:hAnsi="黑体" w:eastAsia="黑体"/>
          <w:i/>
          <w:sz w:val="32"/>
          <w:szCs w:val="32"/>
          <w:u w:val="single"/>
        </w:rPr>
        <w:t>、依法缴纳税收和社会保障资金的相关材料</w:t>
      </w:r>
    </w:p>
    <w:p w14:paraId="61BB8709">
      <w:pPr>
        <w:ind w:firstLine="480" w:firstLineChars="200"/>
        <w:rPr>
          <w:rFonts w:hint="eastAsia" w:ascii="宋体" w:hAnsi="宋体"/>
          <w:bCs/>
          <w:sz w:val="24"/>
          <w:szCs w:val="21"/>
        </w:rPr>
      </w:pPr>
      <w:r>
        <w:rPr>
          <w:rFonts w:hint="eastAsia" w:ascii="宋体" w:hAnsi="宋体"/>
          <w:bCs/>
          <w:sz w:val="24"/>
          <w:szCs w:val="21"/>
        </w:rPr>
        <w:t>提供提交磋商响应文件截止时间前一年内至少一个月依法缴纳税收及缴纳社会保障资金的证明材料。供应商依法享受缓缴、免缴税收、社会保障资金的提供证明材料。</w:t>
      </w:r>
    </w:p>
    <w:p w14:paraId="723845AC">
      <w:pPr>
        <w:rPr>
          <w:rFonts w:hint="eastAsia" w:ascii="黑体" w:hAnsi="黑体" w:eastAsia="黑体"/>
          <w:i/>
          <w:sz w:val="32"/>
          <w:szCs w:val="32"/>
          <w:u w:val="single"/>
        </w:rPr>
      </w:pPr>
    </w:p>
    <w:p w14:paraId="73D5DCC7">
      <w:pPr>
        <w:rPr>
          <w:rFonts w:hint="eastAsia" w:ascii="黑体" w:hAnsi="黑体" w:eastAsia="黑体"/>
          <w:i/>
          <w:sz w:val="32"/>
          <w:szCs w:val="32"/>
          <w:u w:val="single"/>
        </w:rPr>
      </w:pPr>
    </w:p>
    <w:p w14:paraId="6E83C3E3">
      <w:pPr>
        <w:rPr>
          <w:rFonts w:hint="eastAsia" w:ascii="黑体" w:hAnsi="黑体" w:eastAsia="黑体"/>
          <w:i/>
          <w:sz w:val="32"/>
          <w:szCs w:val="32"/>
          <w:u w:val="single"/>
        </w:rPr>
      </w:pPr>
    </w:p>
    <w:p w14:paraId="4FFED692">
      <w:pPr>
        <w:rPr>
          <w:rFonts w:hint="eastAsia" w:ascii="黑体" w:hAnsi="黑体" w:eastAsia="黑体"/>
          <w:i/>
          <w:sz w:val="32"/>
          <w:szCs w:val="32"/>
          <w:u w:val="single"/>
        </w:rPr>
      </w:pPr>
      <w:r>
        <w:rPr>
          <w:rFonts w:hint="eastAsia" w:ascii="黑体" w:hAnsi="黑体" w:eastAsia="黑体"/>
          <w:i/>
          <w:sz w:val="32"/>
          <w:szCs w:val="32"/>
          <w:u w:val="single"/>
          <w:lang w:val="en-US" w:eastAsia="zh-CN"/>
        </w:rPr>
        <w:t>五</w:t>
      </w:r>
      <w:r>
        <w:rPr>
          <w:rFonts w:hint="eastAsia" w:ascii="黑体" w:hAnsi="黑体" w:eastAsia="黑体"/>
          <w:i/>
          <w:sz w:val="32"/>
          <w:szCs w:val="32"/>
          <w:u w:val="single"/>
        </w:rPr>
        <w:t>、具备履行合同所必需的设备和专业技术能力的书面声明</w:t>
      </w:r>
    </w:p>
    <w:p w14:paraId="7E7A89A9">
      <w:pPr>
        <w:spacing w:line="460" w:lineRule="exact"/>
        <w:ind w:firstLine="492"/>
        <w:rPr>
          <w:rFonts w:hint="eastAsia" w:ascii="宋体" w:hAnsi="宋体"/>
          <w:bCs/>
          <w:sz w:val="24"/>
          <w:szCs w:val="21"/>
        </w:rPr>
      </w:pPr>
      <w:r>
        <w:rPr>
          <w:rFonts w:hint="eastAsia" w:ascii="宋体" w:hAnsi="宋体"/>
          <w:bCs/>
          <w:sz w:val="24"/>
          <w:szCs w:val="21"/>
        </w:rPr>
        <w:t>我单位郑重声明：我单位具备履行本项采购合同所必需的设备和专业技术能力，为履行本项采购合同我公司具备如下主要设备和主要专业技术能力：</w:t>
      </w:r>
    </w:p>
    <w:p w14:paraId="3E000471">
      <w:pPr>
        <w:spacing w:line="460" w:lineRule="exact"/>
        <w:ind w:firstLine="492"/>
        <w:rPr>
          <w:rFonts w:hint="eastAsia" w:ascii="宋体" w:hAnsi="宋体"/>
          <w:bCs/>
          <w:sz w:val="24"/>
          <w:szCs w:val="21"/>
        </w:rPr>
      </w:pPr>
      <w:r>
        <w:rPr>
          <w:rFonts w:hint="eastAsia" w:ascii="宋体" w:hAnsi="宋体"/>
          <w:bCs/>
          <w:sz w:val="24"/>
          <w:szCs w:val="21"/>
        </w:rPr>
        <w:t>主要设备有：</w:t>
      </w:r>
      <w:r>
        <w:rPr>
          <w:rFonts w:hint="eastAsia" w:ascii="宋体" w:hAnsi="宋体"/>
          <w:bCs/>
          <w:sz w:val="24"/>
          <w:szCs w:val="21"/>
          <w:u w:val="single"/>
        </w:rPr>
        <w:t xml:space="preserve">                </w:t>
      </w:r>
      <w:r>
        <w:rPr>
          <w:rFonts w:hint="eastAsia" w:ascii="宋体" w:hAnsi="宋体"/>
          <w:bCs/>
          <w:sz w:val="24"/>
          <w:szCs w:val="21"/>
        </w:rPr>
        <w:t>。</w:t>
      </w:r>
    </w:p>
    <w:p w14:paraId="21B73A32">
      <w:pPr>
        <w:spacing w:line="460" w:lineRule="exact"/>
        <w:ind w:firstLine="492"/>
        <w:rPr>
          <w:rFonts w:hint="eastAsia" w:ascii="宋体" w:hAnsi="宋体"/>
          <w:bCs/>
          <w:sz w:val="24"/>
          <w:szCs w:val="21"/>
        </w:rPr>
      </w:pPr>
      <w:r>
        <w:rPr>
          <w:rFonts w:hint="eastAsia" w:ascii="宋体" w:hAnsi="宋体"/>
          <w:bCs/>
          <w:sz w:val="24"/>
          <w:szCs w:val="21"/>
        </w:rPr>
        <w:t>主要专业技术能力有：</w:t>
      </w:r>
      <w:r>
        <w:rPr>
          <w:rFonts w:hint="eastAsia" w:ascii="宋体" w:hAnsi="宋体"/>
          <w:bCs/>
          <w:sz w:val="24"/>
          <w:szCs w:val="21"/>
          <w:u w:val="single"/>
        </w:rPr>
        <w:t xml:space="preserve">        </w:t>
      </w:r>
      <w:r>
        <w:rPr>
          <w:rFonts w:hint="eastAsia" w:ascii="宋体" w:hAnsi="宋体"/>
          <w:bCs/>
          <w:sz w:val="24"/>
          <w:szCs w:val="21"/>
        </w:rPr>
        <w:t>。</w:t>
      </w:r>
    </w:p>
    <w:p w14:paraId="0D404D29">
      <w:pPr>
        <w:spacing w:line="460" w:lineRule="exact"/>
        <w:rPr>
          <w:rFonts w:hint="eastAsia" w:ascii="宋体" w:hAnsi="宋体"/>
          <w:bCs/>
          <w:sz w:val="24"/>
          <w:szCs w:val="21"/>
        </w:rPr>
      </w:pPr>
    </w:p>
    <w:p w14:paraId="76DCCBD3">
      <w:pPr>
        <w:spacing w:line="360" w:lineRule="auto"/>
        <w:rPr>
          <w:rFonts w:hint="eastAsia" w:ascii="宋体" w:hAnsi="宋体" w:cs="宋体"/>
          <w:bCs/>
          <w:u w:val="single"/>
        </w:rPr>
      </w:pPr>
      <w:r>
        <w:rPr>
          <w:rFonts w:hint="eastAsia" w:ascii="宋体" w:hAnsi="宋体" w:cs="宋体"/>
          <w:bCs/>
        </w:rPr>
        <w:t xml:space="preserve">                                                    供应商名称（公章）：</w:t>
      </w:r>
      <w:r>
        <w:rPr>
          <w:rFonts w:hint="eastAsia" w:ascii="宋体" w:hAnsi="宋体" w:cs="宋体"/>
          <w:bCs/>
          <w:u w:val="single"/>
        </w:rPr>
        <w:t xml:space="preserve">              </w:t>
      </w:r>
    </w:p>
    <w:p w14:paraId="0F8444C2">
      <w:pPr>
        <w:spacing w:line="360" w:lineRule="auto"/>
        <w:rPr>
          <w:rFonts w:hint="eastAsia" w:ascii="宋体" w:hAnsi="宋体" w:cs="宋体"/>
          <w:bCs/>
          <w:u w:val="single"/>
        </w:rPr>
      </w:pPr>
      <w:r>
        <w:rPr>
          <w:rFonts w:hint="eastAsia" w:ascii="宋体" w:hAnsi="宋体" w:cs="宋体"/>
          <w:bCs/>
        </w:rPr>
        <w:t xml:space="preserve">                                                    法定代表人（签字或盖章）：</w:t>
      </w:r>
      <w:r>
        <w:rPr>
          <w:rFonts w:hint="eastAsia" w:ascii="宋体" w:hAnsi="宋体" w:cs="宋体"/>
          <w:bCs/>
          <w:u w:val="single"/>
        </w:rPr>
        <w:t xml:space="preserve">        </w:t>
      </w:r>
    </w:p>
    <w:p w14:paraId="604E778E">
      <w:pPr>
        <w:spacing w:line="360" w:lineRule="auto"/>
        <w:rPr>
          <w:rFonts w:hint="eastAsia" w:ascii="宋体" w:hAnsi="宋体" w:cs="宋体"/>
          <w:bCs/>
        </w:rPr>
      </w:pPr>
      <w:r>
        <w:rPr>
          <w:rFonts w:hint="eastAsia" w:ascii="宋体" w:hAnsi="宋体" w:cs="宋体"/>
          <w:bCs/>
        </w:rPr>
        <w:t xml:space="preserve">                                                    日 期：</w:t>
      </w:r>
      <w:r>
        <w:rPr>
          <w:rFonts w:hint="eastAsia" w:ascii="宋体" w:hAnsi="宋体" w:cs="宋体"/>
          <w:bCs/>
          <w:u w:val="single"/>
        </w:rPr>
        <w:t xml:space="preserve">     </w:t>
      </w:r>
      <w:r>
        <w:rPr>
          <w:rFonts w:hint="eastAsia" w:ascii="宋体" w:hAnsi="宋体" w:cs="宋体"/>
          <w:bCs/>
        </w:rPr>
        <w:t>年</w:t>
      </w:r>
      <w:r>
        <w:rPr>
          <w:rFonts w:hint="eastAsia" w:ascii="宋体" w:hAnsi="宋体" w:cs="宋体"/>
          <w:bCs/>
          <w:u w:val="single"/>
        </w:rPr>
        <w:t xml:space="preserve">     </w:t>
      </w:r>
      <w:r>
        <w:rPr>
          <w:rFonts w:hint="eastAsia" w:ascii="宋体" w:hAnsi="宋体" w:cs="宋体"/>
          <w:bCs/>
        </w:rPr>
        <w:t>月</w:t>
      </w:r>
      <w:r>
        <w:rPr>
          <w:rFonts w:hint="eastAsia" w:ascii="宋体" w:hAnsi="宋体" w:cs="宋体"/>
          <w:bCs/>
          <w:u w:val="single"/>
        </w:rPr>
        <w:t xml:space="preserve">     </w:t>
      </w:r>
      <w:r>
        <w:rPr>
          <w:rFonts w:hint="eastAsia" w:ascii="宋体" w:hAnsi="宋体" w:cs="宋体"/>
          <w:bCs/>
        </w:rPr>
        <w:t>日</w:t>
      </w:r>
    </w:p>
    <w:p w14:paraId="3D4D5B74">
      <w:pPr>
        <w:rPr>
          <w:szCs w:val="21"/>
        </w:rPr>
      </w:pPr>
    </w:p>
    <w:p w14:paraId="5BBA34F3">
      <w:pPr>
        <w:rPr>
          <w:szCs w:val="21"/>
        </w:rPr>
      </w:pPr>
      <w:r>
        <w:rPr>
          <w:rFonts w:hint="eastAsia"/>
          <w:szCs w:val="21"/>
        </w:rPr>
        <w:br w:type="page"/>
      </w:r>
    </w:p>
    <w:p w14:paraId="118E36E1">
      <w:pPr>
        <w:rPr>
          <w:rFonts w:hint="eastAsia" w:ascii="黑体" w:hAnsi="黑体" w:eastAsia="黑体"/>
          <w:i/>
          <w:sz w:val="32"/>
          <w:szCs w:val="32"/>
          <w:u w:val="single"/>
        </w:rPr>
      </w:pPr>
      <w:r>
        <w:rPr>
          <w:rFonts w:hint="eastAsia" w:ascii="黑体" w:hAnsi="黑体" w:eastAsia="黑体"/>
          <w:i/>
          <w:sz w:val="32"/>
          <w:szCs w:val="32"/>
          <w:u w:val="single"/>
          <w:lang w:val="en-US" w:eastAsia="zh-CN"/>
        </w:rPr>
        <w:t>六</w:t>
      </w:r>
      <w:r>
        <w:rPr>
          <w:rFonts w:hint="eastAsia" w:ascii="黑体" w:hAnsi="黑体" w:eastAsia="黑体"/>
          <w:i/>
          <w:sz w:val="32"/>
          <w:szCs w:val="32"/>
          <w:u w:val="single"/>
        </w:rPr>
        <w:t>、参加政府采购活动前 3 年内在经营活动中没有重大违法记录的书面声明</w:t>
      </w:r>
    </w:p>
    <w:p w14:paraId="17DC1F19">
      <w:pPr>
        <w:spacing w:line="460" w:lineRule="exact"/>
        <w:rPr>
          <w:rFonts w:hint="eastAsia" w:ascii="宋体" w:hAnsi="宋体"/>
          <w:b/>
          <w:bCs/>
          <w:sz w:val="44"/>
          <w:szCs w:val="44"/>
        </w:rPr>
      </w:pPr>
      <w:r>
        <w:rPr>
          <w:rFonts w:hint="eastAsia" w:ascii="宋体" w:hAnsi="宋体"/>
          <w:b/>
          <w:bCs/>
          <w:sz w:val="44"/>
          <w:szCs w:val="44"/>
        </w:rPr>
        <w:t xml:space="preserve">                 声  明</w:t>
      </w:r>
    </w:p>
    <w:p w14:paraId="72A1AEE3">
      <w:pPr>
        <w:spacing w:line="460" w:lineRule="exact"/>
        <w:rPr>
          <w:rFonts w:hint="eastAsia" w:ascii="宋体" w:hAnsi="宋体"/>
          <w:bCs/>
          <w:sz w:val="24"/>
          <w:szCs w:val="21"/>
        </w:rPr>
      </w:pPr>
      <w:r>
        <w:rPr>
          <w:rFonts w:hint="eastAsia" w:ascii="宋体" w:hAnsi="宋体"/>
          <w:b/>
          <w:bCs/>
          <w:sz w:val="24"/>
          <w:szCs w:val="21"/>
        </w:rPr>
        <w:t xml:space="preserve">    </w:t>
      </w:r>
      <w:r>
        <w:rPr>
          <w:rFonts w:hint="eastAsia" w:ascii="宋体" w:hAnsi="宋体"/>
          <w:bCs/>
          <w:sz w:val="24"/>
          <w:szCs w:val="21"/>
        </w:rPr>
        <w:t>我单位郑重声明：参加本次政府采购活动前 3 年内，我单位在经营活动中没有因违法经营受到刑事处罚或者责令停产停业、吊销许可证或者执照、较大数额罚款等行政处罚。</w:t>
      </w:r>
    </w:p>
    <w:p w14:paraId="3FBF2C22">
      <w:pPr>
        <w:spacing w:line="360" w:lineRule="auto"/>
        <w:ind w:firstLine="5040" w:firstLineChars="2100"/>
        <w:rPr>
          <w:rFonts w:hint="eastAsia" w:ascii="宋体" w:hAnsi="宋体" w:cs="宋体"/>
          <w:bCs/>
          <w:sz w:val="24"/>
          <w:szCs w:val="24"/>
        </w:rPr>
      </w:pPr>
    </w:p>
    <w:p w14:paraId="240CDCF6">
      <w:pPr>
        <w:spacing w:line="360" w:lineRule="auto"/>
        <w:ind w:firstLine="5040" w:firstLineChars="2100"/>
        <w:rPr>
          <w:rFonts w:hint="eastAsia" w:ascii="宋体" w:hAnsi="宋体" w:cs="宋体"/>
          <w:bCs/>
          <w:sz w:val="24"/>
          <w:szCs w:val="24"/>
        </w:rPr>
      </w:pPr>
    </w:p>
    <w:p w14:paraId="1C857D38">
      <w:pPr>
        <w:spacing w:line="360" w:lineRule="auto"/>
        <w:ind w:firstLine="5040" w:firstLineChars="2100"/>
        <w:rPr>
          <w:rFonts w:hint="eastAsia" w:ascii="宋体" w:hAnsi="宋体" w:cs="宋体"/>
          <w:bCs/>
          <w:sz w:val="24"/>
          <w:szCs w:val="24"/>
          <w:u w:val="single"/>
        </w:rPr>
      </w:pPr>
      <w:r>
        <w:rPr>
          <w:rFonts w:hint="eastAsia" w:ascii="宋体" w:hAnsi="宋体" w:cs="宋体"/>
          <w:bCs/>
          <w:sz w:val="24"/>
          <w:szCs w:val="24"/>
        </w:rPr>
        <w:t>供应商名称（公章）：</w:t>
      </w:r>
      <w:r>
        <w:rPr>
          <w:rFonts w:hint="eastAsia" w:ascii="宋体" w:hAnsi="宋体" w:cs="宋体"/>
          <w:bCs/>
          <w:sz w:val="24"/>
          <w:szCs w:val="24"/>
          <w:u w:val="single"/>
        </w:rPr>
        <w:t xml:space="preserve">            </w:t>
      </w:r>
    </w:p>
    <w:p w14:paraId="48219B7E">
      <w:pPr>
        <w:spacing w:line="360" w:lineRule="auto"/>
        <w:rPr>
          <w:rFonts w:hint="eastAsia" w:ascii="宋体" w:hAnsi="宋体" w:cs="宋体"/>
          <w:bCs/>
          <w:sz w:val="24"/>
          <w:szCs w:val="24"/>
          <w:u w:val="single"/>
        </w:rPr>
      </w:pPr>
      <w:r>
        <w:rPr>
          <w:rFonts w:hint="eastAsia" w:ascii="宋体" w:hAnsi="宋体" w:cs="宋体"/>
          <w:bCs/>
          <w:sz w:val="24"/>
          <w:szCs w:val="24"/>
        </w:rPr>
        <w:t xml:space="preserve">                                          法定代表人或授权代表签字：</w:t>
      </w:r>
      <w:r>
        <w:rPr>
          <w:rFonts w:hint="eastAsia" w:ascii="宋体" w:hAnsi="宋体" w:cs="宋体"/>
          <w:bCs/>
          <w:sz w:val="24"/>
          <w:szCs w:val="24"/>
          <w:u w:val="single"/>
        </w:rPr>
        <w:t xml:space="preserve">      </w:t>
      </w:r>
    </w:p>
    <w:p w14:paraId="4C571BEC">
      <w:pPr>
        <w:widowControl/>
        <w:rPr>
          <w:rFonts w:hint="eastAsia" w:ascii="宋体" w:hAnsi="宋体" w:cs="宋体"/>
          <w:b/>
          <w:sz w:val="28"/>
          <w:szCs w:val="28"/>
        </w:rPr>
      </w:pPr>
      <w:r>
        <w:rPr>
          <w:rFonts w:hint="eastAsia" w:ascii="宋体" w:hAnsi="宋体" w:cs="宋体"/>
          <w:bCs/>
          <w:sz w:val="24"/>
          <w:szCs w:val="24"/>
        </w:rPr>
        <w:t xml:space="preserve">                                          日 期：</w:t>
      </w:r>
      <w:r>
        <w:rPr>
          <w:rFonts w:hint="eastAsia" w:ascii="宋体" w:hAnsi="宋体" w:cs="宋体"/>
          <w:bCs/>
          <w:sz w:val="24"/>
          <w:szCs w:val="24"/>
          <w:u w:val="single"/>
        </w:rPr>
        <w:t xml:space="preserve">     </w:t>
      </w:r>
      <w:r>
        <w:rPr>
          <w:rFonts w:hint="eastAsia" w:ascii="宋体" w:hAnsi="宋体" w:cs="宋体"/>
          <w:bCs/>
          <w:sz w:val="24"/>
          <w:szCs w:val="24"/>
        </w:rPr>
        <w:t>年</w:t>
      </w:r>
      <w:r>
        <w:rPr>
          <w:rFonts w:hint="eastAsia" w:ascii="宋体" w:hAnsi="宋体" w:cs="宋体"/>
          <w:bCs/>
          <w:sz w:val="24"/>
          <w:szCs w:val="24"/>
          <w:u w:val="single"/>
        </w:rPr>
        <w:t xml:space="preserve">    </w:t>
      </w:r>
      <w:r>
        <w:rPr>
          <w:rFonts w:hint="eastAsia" w:ascii="宋体" w:hAnsi="宋体" w:cs="宋体"/>
          <w:bCs/>
          <w:sz w:val="24"/>
          <w:szCs w:val="24"/>
        </w:rPr>
        <w:t>月</w:t>
      </w:r>
      <w:r>
        <w:rPr>
          <w:rFonts w:hint="eastAsia" w:ascii="宋体" w:hAnsi="宋体" w:cs="宋体"/>
          <w:bCs/>
          <w:sz w:val="24"/>
          <w:szCs w:val="24"/>
          <w:u w:val="single"/>
        </w:rPr>
        <w:t xml:space="preserve">    </w:t>
      </w:r>
      <w:r>
        <w:rPr>
          <w:rFonts w:hint="eastAsia" w:ascii="宋体" w:hAnsi="宋体" w:cs="宋体"/>
          <w:bCs/>
          <w:sz w:val="24"/>
          <w:szCs w:val="24"/>
        </w:rPr>
        <w:t>日</w:t>
      </w:r>
    </w:p>
    <w:p w14:paraId="44D6FCD5">
      <w:pPr>
        <w:rPr>
          <w:rFonts w:hint="eastAsia" w:ascii="黑体" w:hAnsi="黑体" w:eastAsia="黑体"/>
          <w:i/>
          <w:sz w:val="32"/>
          <w:szCs w:val="32"/>
          <w:u w:val="single"/>
        </w:rPr>
      </w:pPr>
      <w:r>
        <w:rPr>
          <w:rFonts w:hint="eastAsia" w:ascii="黑体" w:hAnsi="黑体" w:eastAsia="黑体"/>
          <w:i/>
          <w:sz w:val="32"/>
          <w:szCs w:val="32"/>
          <w:u w:val="single"/>
        </w:rPr>
        <w:br w:type="page"/>
      </w:r>
    </w:p>
    <w:p w14:paraId="77F0D5FF">
      <w:pPr>
        <w:pStyle w:val="45"/>
        <w:rPr>
          <w:rFonts w:hint="eastAsia"/>
        </w:rPr>
      </w:pPr>
    </w:p>
    <w:p w14:paraId="2D9DCA02">
      <w:pPr>
        <w:jc w:val="center"/>
        <w:rPr>
          <w:rFonts w:hint="eastAsia" w:ascii="宋体" w:hAnsi="宋体" w:cs="宋体"/>
          <w:i/>
          <w:iCs/>
          <w:szCs w:val="32"/>
          <w:u w:val="single"/>
        </w:rPr>
      </w:pPr>
      <w:r>
        <w:rPr>
          <w:rFonts w:hint="eastAsia" w:ascii="黑体" w:hAnsi="黑体" w:eastAsia="黑体"/>
          <w:b/>
          <w:i/>
          <w:iCs/>
          <w:sz w:val="32"/>
          <w:szCs w:val="32"/>
          <w:u w:val="single"/>
          <w:lang w:val="en-US" w:eastAsia="zh-CN"/>
        </w:rPr>
        <w:t>七、</w:t>
      </w:r>
      <w:r>
        <w:rPr>
          <w:rFonts w:hint="eastAsia" w:ascii="黑体" w:hAnsi="黑体" w:eastAsia="黑体"/>
          <w:b/>
          <w:i/>
          <w:iCs/>
          <w:sz w:val="32"/>
          <w:szCs w:val="32"/>
          <w:u w:val="single"/>
        </w:rPr>
        <w:t>供应商信用承诺书</w:t>
      </w:r>
    </w:p>
    <w:p w14:paraId="2748B812">
      <w:pPr>
        <w:spacing w:line="360" w:lineRule="auto"/>
        <w:rPr>
          <w:rFonts w:hint="eastAsia" w:ascii="宋体" w:hAnsi="宋体" w:cs="宋体"/>
          <w:szCs w:val="21"/>
        </w:rPr>
      </w:pPr>
      <w:r>
        <w:rPr>
          <w:rFonts w:hint="eastAsia" w:ascii="宋体" w:hAnsi="宋体" w:cs="宋体"/>
          <w:szCs w:val="21"/>
        </w:rPr>
        <w:t>承诺主体名称：</w:t>
      </w:r>
    </w:p>
    <w:p w14:paraId="385505FF">
      <w:pPr>
        <w:spacing w:line="360" w:lineRule="auto"/>
        <w:rPr>
          <w:rFonts w:hint="eastAsia" w:ascii="宋体" w:hAnsi="宋体" w:cs="宋体"/>
          <w:szCs w:val="21"/>
        </w:rPr>
      </w:pPr>
      <w:r>
        <w:rPr>
          <w:rFonts w:hint="eastAsia" w:ascii="宋体" w:hAnsi="宋体" w:cs="宋体"/>
          <w:szCs w:val="21"/>
        </w:rPr>
        <w:t>统一社会信用代码：</w:t>
      </w:r>
    </w:p>
    <w:p w14:paraId="1E10DA6F">
      <w:pPr>
        <w:spacing w:line="360" w:lineRule="auto"/>
        <w:ind w:firstLine="420"/>
        <w:rPr>
          <w:rFonts w:hint="eastAsia" w:ascii="宋体" w:hAnsi="宋体" w:cs="宋体"/>
          <w:szCs w:val="21"/>
        </w:rPr>
      </w:pPr>
      <w:r>
        <w:rPr>
          <w:rFonts w:hint="eastAsia" w:ascii="宋体" w:hAnsi="宋体" w:cs="宋体"/>
          <w:szCs w:val="21"/>
        </w:rPr>
        <w:t>为维护公平竞争、规范有序的市场秩序，营造诚实守信的信用环境，共同推进社会信用体系建设完善，树立企业诚信守法形象，本企业对________________________项目政府采购活动郑重承诺如下:</w:t>
      </w:r>
    </w:p>
    <w:p w14:paraId="3F1AB12E">
      <w:pPr>
        <w:spacing w:line="360" w:lineRule="auto"/>
        <w:ind w:firstLine="420"/>
        <w:rPr>
          <w:rFonts w:hint="eastAsia" w:ascii="宋体" w:hAnsi="宋体" w:cs="宋体"/>
          <w:szCs w:val="21"/>
        </w:rPr>
      </w:pPr>
      <w:r>
        <w:rPr>
          <w:rFonts w:hint="eastAsia" w:ascii="宋体" w:hAnsi="宋体" w:cs="宋体"/>
          <w:szCs w:val="21"/>
        </w:rPr>
        <w:t>一、对提供给注册登记部门、行业管理部门、司法部门、行业组织以及在政府采购活动中提交的所有资料的合法性、真实性、准确性和有效性负责；</w:t>
      </w:r>
    </w:p>
    <w:p w14:paraId="5D1A6A1A">
      <w:pPr>
        <w:spacing w:line="360" w:lineRule="auto"/>
        <w:ind w:firstLine="420"/>
        <w:rPr>
          <w:rFonts w:hint="eastAsia" w:ascii="宋体" w:hAnsi="宋体" w:cs="宋体"/>
          <w:szCs w:val="21"/>
        </w:rPr>
      </w:pPr>
      <w:r>
        <w:rPr>
          <w:rFonts w:hint="eastAsia" w:ascii="宋体" w:hAnsi="宋体" w:cs="宋体"/>
          <w:szCs w:val="21"/>
        </w:rPr>
        <w:t>二、严格按照国家法律、法规和规章开展采购活动，全面履行应尽的责任和义务，全面做到履约守信，具备《中华人民共和国政府采购法》第二十二条第一款规定的条件；</w:t>
      </w:r>
    </w:p>
    <w:p w14:paraId="24DC7C9A">
      <w:pPr>
        <w:spacing w:line="360" w:lineRule="auto"/>
        <w:ind w:firstLine="420"/>
        <w:rPr>
          <w:rFonts w:hint="eastAsia" w:ascii="宋体" w:hAnsi="宋体" w:cs="宋体"/>
          <w:szCs w:val="21"/>
        </w:rPr>
      </w:pPr>
      <w:r>
        <w:rPr>
          <w:rFonts w:hint="eastAsia" w:ascii="宋体" w:hAnsi="宋体" w:cs="宋体"/>
          <w:szCs w:val="21"/>
        </w:rPr>
        <w:t>三、严格依法开展生产经营活动，主动接受行业监管，自愿接受依法开展的日常检查；违法失信经营后将自愿接受约束和惩戒，并依法承担相应责任；</w:t>
      </w:r>
    </w:p>
    <w:p w14:paraId="0014BE4C">
      <w:pPr>
        <w:spacing w:line="360" w:lineRule="auto"/>
        <w:ind w:firstLine="420"/>
        <w:rPr>
          <w:rFonts w:hint="eastAsia" w:ascii="宋体" w:hAnsi="宋体" w:cs="宋体"/>
          <w:szCs w:val="21"/>
        </w:rPr>
      </w:pPr>
      <w:r>
        <w:rPr>
          <w:rFonts w:hint="eastAsia" w:ascii="宋体" w:hAnsi="宋体" w:cs="宋体"/>
          <w:szCs w:val="21"/>
        </w:rPr>
        <w:t>四、自觉接受行政管理部门、行业组织、社会公众、新闻舆论的监督；</w:t>
      </w:r>
    </w:p>
    <w:p w14:paraId="546B6267">
      <w:pPr>
        <w:spacing w:line="360" w:lineRule="auto"/>
        <w:ind w:firstLine="420"/>
        <w:rPr>
          <w:rFonts w:hint="eastAsia" w:ascii="宋体" w:hAnsi="宋体" w:cs="宋体"/>
          <w:szCs w:val="21"/>
        </w:rPr>
      </w:pPr>
      <w:r>
        <w:rPr>
          <w:rFonts w:hint="eastAsia" w:ascii="宋体" w:hAnsi="宋体" w:cs="宋体"/>
          <w:szCs w:val="21"/>
        </w:rPr>
        <w:t>五、自觉做到自我约束、自我管理，不制假售假、商标侵权、虚假宣传、违约毁约、恶意逃债、偷税漏税、垄断和不正当竞争，维护经营者、消费者的合法权益；</w:t>
      </w:r>
    </w:p>
    <w:p w14:paraId="364EAFE9">
      <w:pPr>
        <w:spacing w:line="360" w:lineRule="auto"/>
        <w:ind w:firstLine="420"/>
        <w:rPr>
          <w:rFonts w:hint="eastAsia" w:ascii="宋体" w:hAnsi="宋体" w:cs="宋体"/>
          <w:szCs w:val="21"/>
        </w:rPr>
      </w:pPr>
      <w:r>
        <w:rPr>
          <w:rFonts w:hint="eastAsia" w:ascii="宋体" w:hAnsi="宋体" w:cs="宋体"/>
          <w:szCs w:val="21"/>
        </w:rPr>
        <w:t>六、提出政府采购质疑和投诉坚持依法依规、诚实信用原则，在全国范围12个月内没有三次以上查无实据的政府采购投诉；</w:t>
      </w:r>
    </w:p>
    <w:p w14:paraId="4EAD50C7">
      <w:pPr>
        <w:spacing w:line="360" w:lineRule="auto"/>
        <w:ind w:firstLine="420"/>
        <w:rPr>
          <w:rFonts w:hint="eastAsia" w:ascii="宋体" w:hAnsi="宋体" w:cs="宋体"/>
          <w:szCs w:val="21"/>
        </w:rPr>
      </w:pPr>
      <w:r>
        <w:rPr>
          <w:rFonts w:hint="eastAsia" w:ascii="宋体" w:hAnsi="宋体" w:cs="宋体"/>
          <w:szCs w:val="21"/>
        </w:rPr>
        <w:t>七、严格遵守信用信息公示相关规定，向社会公示信用信息；</w:t>
      </w:r>
    </w:p>
    <w:p w14:paraId="654A0A7F">
      <w:pPr>
        <w:spacing w:line="360" w:lineRule="auto"/>
        <w:ind w:firstLine="420"/>
        <w:rPr>
          <w:rFonts w:hint="eastAsia" w:ascii="宋体" w:hAnsi="宋体" w:cs="宋体"/>
          <w:szCs w:val="21"/>
        </w:rPr>
      </w:pPr>
      <w:r>
        <w:rPr>
          <w:rFonts w:hint="eastAsia" w:ascii="宋体" w:hAnsi="宋体" w:cs="宋体"/>
          <w:szCs w:val="21"/>
        </w:rPr>
        <w:t>八、在“信用中国”和“中国政府采购网”网站中无违法违规、较重或严重失信记录；</w:t>
      </w:r>
    </w:p>
    <w:p w14:paraId="2977C91B">
      <w:pPr>
        <w:spacing w:line="360" w:lineRule="auto"/>
        <w:ind w:firstLine="420"/>
        <w:rPr>
          <w:rFonts w:hint="eastAsia" w:ascii="宋体" w:hAnsi="宋体" w:cs="宋体"/>
          <w:szCs w:val="21"/>
        </w:rPr>
      </w:pPr>
      <w:r>
        <w:rPr>
          <w:rFonts w:hint="eastAsia" w:ascii="宋体" w:hAnsi="宋体" w:cs="宋体"/>
          <w:szCs w:val="21"/>
        </w:rPr>
        <w:t>九、如违反承诺，自愿接受管理部门依法给予的行政处罚，同意将违反承诺的行为作为不良记录记入信用档案，依法依规进行信息公示，并承担所产生的一切法律责任和经济损失。</w:t>
      </w:r>
    </w:p>
    <w:p w14:paraId="42579327">
      <w:pPr>
        <w:spacing w:line="360" w:lineRule="auto"/>
        <w:ind w:firstLine="420"/>
        <w:rPr>
          <w:rFonts w:hint="eastAsia" w:ascii="宋体" w:hAnsi="宋体" w:cs="宋体"/>
          <w:szCs w:val="21"/>
        </w:rPr>
      </w:pPr>
      <w:r>
        <w:rPr>
          <w:rFonts w:hint="eastAsia" w:ascii="宋体" w:hAnsi="宋体" w:cs="宋体"/>
          <w:szCs w:val="21"/>
        </w:rPr>
        <w:t>十、本承诺书自签订之日起生效。</w:t>
      </w:r>
    </w:p>
    <w:p w14:paraId="3810CD46">
      <w:pPr>
        <w:spacing w:line="360" w:lineRule="auto"/>
        <w:ind w:firstLine="420"/>
        <w:rPr>
          <w:rFonts w:hint="eastAsia" w:ascii="宋体" w:hAnsi="宋体" w:cs="宋体"/>
          <w:szCs w:val="21"/>
        </w:rPr>
      </w:pPr>
      <w:r>
        <w:rPr>
          <w:rFonts w:hint="eastAsia" w:ascii="宋体" w:hAnsi="宋体" w:cs="宋体"/>
          <w:szCs w:val="21"/>
        </w:rPr>
        <w:t> （注：法定代表人或负责人、主体名称发生变更的应当重新做出承诺。）</w:t>
      </w:r>
    </w:p>
    <w:p w14:paraId="2D2875FE">
      <w:pPr>
        <w:spacing w:line="360" w:lineRule="auto"/>
        <w:jc w:val="left"/>
        <w:rPr>
          <w:rFonts w:hint="eastAsia" w:ascii="宋体" w:hAnsi="宋体" w:cs="宋体"/>
          <w:szCs w:val="21"/>
        </w:rPr>
      </w:pPr>
      <w:r>
        <w:rPr>
          <w:rFonts w:hint="eastAsia" w:ascii="宋体" w:hAnsi="宋体" w:cs="宋体"/>
          <w:szCs w:val="21"/>
        </w:rPr>
        <w:t>　　</w:t>
      </w:r>
    </w:p>
    <w:p w14:paraId="068FEF41">
      <w:pPr>
        <w:spacing w:line="360" w:lineRule="auto"/>
        <w:jc w:val="center"/>
        <w:rPr>
          <w:rFonts w:hint="eastAsia" w:ascii="宋体" w:hAnsi="宋体" w:cs="宋体"/>
          <w:szCs w:val="21"/>
        </w:rPr>
      </w:pPr>
      <w:r>
        <w:rPr>
          <w:rFonts w:hint="eastAsia" w:ascii="宋体" w:hAnsi="宋体" w:cs="宋体"/>
          <w:szCs w:val="21"/>
        </w:rPr>
        <w:t xml:space="preserve">                      承诺单位（签章）：</w:t>
      </w:r>
    </w:p>
    <w:p w14:paraId="5EF53CFC">
      <w:pPr>
        <w:spacing w:line="360" w:lineRule="auto"/>
        <w:jc w:val="center"/>
        <w:rPr>
          <w:rFonts w:hint="eastAsia" w:ascii="宋体" w:hAnsi="宋体" w:cs="宋体"/>
          <w:szCs w:val="21"/>
        </w:rPr>
      </w:pPr>
      <w:r>
        <w:rPr>
          <w:rFonts w:hint="eastAsia" w:ascii="宋体" w:hAnsi="宋体" w:cs="宋体"/>
          <w:szCs w:val="21"/>
        </w:rPr>
        <w:t>　　　　　　　　　   　  法定代表人（负责人）：</w:t>
      </w:r>
    </w:p>
    <w:p w14:paraId="2E44A8A1">
      <w:pPr>
        <w:jc w:val="center"/>
        <w:rPr>
          <w:rFonts w:hint="eastAsia" w:ascii="黑体" w:hAnsi="黑体" w:eastAsia="黑体"/>
          <w:b/>
          <w:sz w:val="32"/>
          <w:szCs w:val="32"/>
        </w:rPr>
      </w:pPr>
      <w:r>
        <w:rPr>
          <w:rFonts w:hint="eastAsia" w:ascii="宋体" w:hAnsi="宋体" w:cs="宋体"/>
          <w:szCs w:val="21"/>
        </w:rPr>
        <w:t>　　　　　　　　　      　年 月  日</w:t>
      </w:r>
    </w:p>
    <w:p w14:paraId="06AE57E4">
      <w:pPr>
        <w:jc w:val="center"/>
        <w:rPr>
          <w:rFonts w:hint="eastAsia" w:ascii="黑体" w:hAnsi="黑体" w:eastAsia="黑体"/>
          <w:i/>
          <w:sz w:val="32"/>
          <w:szCs w:val="32"/>
          <w:u w:val="single"/>
        </w:rPr>
      </w:pPr>
      <w:r>
        <w:rPr>
          <w:rFonts w:hint="eastAsia" w:ascii="黑体" w:hAnsi="黑体" w:eastAsia="黑体"/>
          <w:i/>
          <w:sz w:val="32"/>
          <w:szCs w:val="32"/>
          <w:u w:val="single"/>
        </w:rPr>
        <w:br w:type="page"/>
      </w:r>
      <w:r>
        <w:rPr>
          <w:rFonts w:hint="eastAsia" w:ascii="黑体" w:hAnsi="黑体" w:eastAsia="黑体"/>
          <w:i/>
          <w:sz w:val="32"/>
          <w:szCs w:val="32"/>
          <w:u w:val="single"/>
          <w:lang w:val="en-US" w:eastAsia="zh-CN"/>
        </w:rPr>
        <w:t>八</w:t>
      </w:r>
      <w:r>
        <w:rPr>
          <w:rFonts w:hint="eastAsia" w:ascii="黑体" w:hAnsi="黑体" w:eastAsia="黑体"/>
          <w:i/>
          <w:sz w:val="32"/>
          <w:szCs w:val="32"/>
          <w:u w:val="single"/>
        </w:rPr>
        <w:t>、中小企业声明函</w:t>
      </w:r>
    </w:p>
    <w:p w14:paraId="696E7781">
      <w:pPr>
        <w:spacing w:before="319" w:beforeLines="100" w:after="319" w:afterLines="100" w:line="420" w:lineRule="exact"/>
        <w:jc w:val="center"/>
        <w:rPr>
          <w:b/>
          <w:bCs/>
        </w:rPr>
      </w:pPr>
      <w:r>
        <w:rPr>
          <w:rFonts w:hint="eastAsia"/>
          <w:b/>
          <w:bCs/>
        </w:rPr>
        <w:t>中小企业声明函（工程）</w:t>
      </w:r>
    </w:p>
    <w:p w14:paraId="4DEB7A1C">
      <w:pPr>
        <w:spacing w:line="420" w:lineRule="exact"/>
        <w:ind w:firstLine="420" w:firstLineChars="200"/>
        <w:jc w:val="left"/>
      </w:pPr>
      <w:r>
        <w:rPr>
          <w:rFonts w:hint="eastAsia"/>
        </w:rPr>
        <w:t>本公司（联合体）郑重声明，根据《政府采购促进中小企业发展管理办法》（财库﹝</w:t>
      </w:r>
      <w:r>
        <w:t>2020</w:t>
      </w:r>
      <w:r>
        <w:rPr>
          <w:rFonts w:hint="eastAsia"/>
        </w:rPr>
        <w:t>﹞</w:t>
      </w:r>
      <w:r>
        <w:t xml:space="preserve">46 </w:t>
      </w:r>
      <w:r>
        <w:rPr>
          <w:rFonts w:hint="eastAsia"/>
        </w:rPr>
        <w:t>号）的规定，本公司（联合体）参加</w:t>
      </w:r>
      <w:r>
        <w:rPr>
          <w:rFonts w:hint="eastAsia"/>
          <w:u w:val="single"/>
        </w:rPr>
        <w:t xml:space="preserve">（单位名称）    </w:t>
      </w:r>
      <w:r>
        <w:rPr>
          <w:rFonts w:hint="eastAsia"/>
        </w:rPr>
        <w:t>的</w:t>
      </w:r>
      <w:r>
        <w:rPr>
          <w:rFonts w:hint="eastAsia"/>
          <w:u w:val="single"/>
        </w:rPr>
        <w:t xml:space="preserve">（项目名称）    </w:t>
      </w:r>
      <w:r>
        <w:rPr>
          <w:rFonts w:hint="eastAsia"/>
        </w:rPr>
        <w:t>采购活动，工程的施工单位全部为符合政策要求的中小企业。相关企业（含联合体中的中小企业、签订分包意向协议的中小企业）的具体情况如下：</w:t>
      </w:r>
    </w:p>
    <w:p w14:paraId="5DB873BD">
      <w:pPr>
        <w:spacing w:line="420" w:lineRule="exact"/>
        <w:ind w:firstLine="420" w:firstLineChars="200"/>
        <w:jc w:val="left"/>
        <w:rPr>
          <w:u w:val="single"/>
        </w:rPr>
      </w:pPr>
      <w:r>
        <w:t xml:space="preserve">1. </w:t>
      </w:r>
      <w:r>
        <w:rPr>
          <w:rFonts w:hint="eastAsia"/>
          <w:u w:val="single"/>
        </w:rPr>
        <w:t xml:space="preserve">（标的名称）      </w:t>
      </w:r>
      <w:r>
        <w:rPr>
          <w:u w:val="single"/>
        </w:rP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 xml:space="preserve">（企业名称）    </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w:t>
      </w:r>
      <w:r>
        <w:fldChar w:fldCharType="begin"/>
      </w:r>
      <w:r>
        <w:instrText xml:space="preserve"> HYPERLINK "file:///D:\\WeChat\\WeChat%20Files\\WeChat%20Files\\wxid_7aioe7u2y9h512\\FileStorage\\Microsoft\\Windows\\INetCache\\Down\\undefined.doc" \l "br1" </w:instrText>
      </w:r>
      <w:r>
        <w:fldChar w:fldCharType="separate"/>
      </w:r>
      <w:r>
        <w:rPr>
          <w:rStyle w:val="39"/>
          <w:rFonts w:hint="eastAsia" w:ascii="仿宋" w:eastAsia="Times New Roman"/>
          <w:color w:val="auto"/>
          <w:spacing w:val="-1"/>
          <w:vertAlign w:val="superscript"/>
        </w:rPr>
        <w:t>1</w:t>
      </w:r>
      <w:r>
        <w:rPr>
          <w:rStyle w:val="39"/>
          <w:rFonts w:hint="eastAsia" w:ascii="仿宋" w:eastAsia="Times New Roman"/>
          <w:color w:val="auto"/>
          <w:spacing w:val="-1"/>
          <w:vertAlign w:val="superscript"/>
        </w:rPr>
        <w:fldChar w:fldCharType="end"/>
      </w:r>
      <w:r>
        <w:rPr>
          <w:rFonts w:hint="eastAsia"/>
        </w:rPr>
        <w:t>，属于</w:t>
      </w:r>
      <w:r>
        <w:rPr>
          <w:rFonts w:hint="eastAsia"/>
          <w:u w:val="single"/>
        </w:rPr>
        <w:t>（中型企业、小型企业、微型企业）；</w:t>
      </w:r>
    </w:p>
    <w:p w14:paraId="083D0543">
      <w:pPr>
        <w:spacing w:line="420" w:lineRule="exact"/>
        <w:ind w:firstLine="420" w:firstLineChars="200"/>
        <w:jc w:val="left"/>
        <w:rPr>
          <w:u w:val="single"/>
        </w:rPr>
      </w:pPr>
      <w:r>
        <w:t xml:space="preserve">2. </w:t>
      </w:r>
      <w:r>
        <w:rPr>
          <w:rFonts w:hint="eastAsia"/>
          <w:u w:val="single"/>
        </w:rPr>
        <w:t>（标的名称）</w:t>
      </w:r>
      <w:r>
        <w:t xml:space="preserve"> </w:t>
      </w:r>
      <w:r>
        <w:rPr>
          <w:rFonts w:hint="eastAsia"/>
        </w:rPr>
        <w:t>，属于</w:t>
      </w:r>
      <w:r>
        <w:rPr>
          <w:rFonts w:hint="eastAsia"/>
          <w:u w:val="single"/>
        </w:rPr>
        <w:t xml:space="preserve"> </w:t>
      </w:r>
      <w:r>
        <w:rPr>
          <w:rFonts w:hint="eastAsia"/>
          <w:b/>
          <w:bCs/>
          <w:u w:val="single"/>
        </w:rPr>
        <w:t>建筑</w:t>
      </w:r>
      <w:r>
        <w:rPr>
          <w:rFonts w:hint="eastAsia" w:ascii="宋体" w:hAnsi="宋体" w:cs="宋体"/>
          <w:b/>
          <w:bCs/>
          <w:u w:val="single"/>
        </w:rPr>
        <w:t xml:space="preserve">业 </w:t>
      </w:r>
      <w:r>
        <w:rPr>
          <w:rFonts w:hint="eastAsia"/>
        </w:rPr>
        <w:t>；承建（承接）企业为</w:t>
      </w:r>
      <w:r>
        <w:rPr>
          <w:rFonts w:hint="eastAsia"/>
          <w:u w:val="single"/>
        </w:rPr>
        <w:t>（企业名称）</w:t>
      </w:r>
      <w:r>
        <w:rPr>
          <w:rFonts w:hint="eastAsia"/>
        </w:rPr>
        <w:t>，从业人员</w:t>
      </w:r>
      <w:r>
        <w:rPr>
          <w:u w:val="single"/>
        </w:rPr>
        <w:t xml:space="preserve">      </w:t>
      </w:r>
      <w:r>
        <w:rPr>
          <w:rFonts w:hint="eastAsia"/>
        </w:rPr>
        <w:t>人，营业收入为</w:t>
      </w:r>
      <w:r>
        <w:rPr>
          <w:u w:val="single"/>
        </w:rPr>
        <w:t xml:space="preserve">      </w:t>
      </w:r>
      <w:r>
        <w:rPr>
          <w:rFonts w:hint="eastAsia"/>
        </w:rPr>
        <w:t>万元，资产总额为</w:t>
      </w:r>
      <w:r>
        <w:rPr>
          <w:u w:val="single"/>
        </w:rPr>
        <w:t xml:space="preserve">       </w:t>
      </w:r>
      <w:r>
        <w:rPr>
          <w:rFonts w:hint="eastAsia"/>
        </w:rPr>
        <w:t>万元，属于</w:t>
      </w:r>
      <w:r>
        <w:rPr>
          <w:rFonts w:hint="eastAsia"/>
          <w:u w:val="single"/>
        </w:rPr>
        <w:t>（中型企业、小型企业、微型企业）；</w:t>
      </w:r>
    </w:p>
    <w:p w14:paraId="27FF8886">
      <w:pPr>
        <w:spacing w:line="420" w:lineRule="exact"/>
        <w:ind w:firstLine="420" w:firstLineChars="200"/>
        <w:jc w:val="left"/>
      </w:pPr>
      <w:r>
        <w:rPr>
          <w:rFonts w:hint="eastAsia"/>
        </w:rPr>
        <w:t>……</w:t>
      </w:r>
    </w:p>
    <w:p w14:paraId="11254477">
      <w:pPr>
        <w:spacing w:line="420" w:lineRule="exact"/>
        <w:ind w:firstLine="420" w:firstLineChars="200"/>
        <w:jc w:val="left"/>
      </w:pPr>
      <w:r>
        <w:rPr>
          <w:rFonts w:hint="eastAsia"/>
        </w:rPr>
        <w:t>以上企业，不属于大企业的分支机构，不存在控股股东为大企业的情形，也不存在与大企业的负责人为同一人的情形。</w:t>
      </w:r>
    </w:p>
    <w:p w14:paraId="5DC03D27">
      <w:pPr>
        <w:spacing w:line="420" w:lineRule="exact"/>
        <w:ind w:firstLine="420" w:firstLineChars="200"/>
        <w:jc w:val="left"/>
      </w:pPr>
      <w:r>
        <w:rPr>
          <w:rFonts w:hint="eastAsia"/>
        </w:rPr>
        <w:t>本企业对上述声明内容的真实性负责。如有虚假，将依法承担相应责任。</w:t>
      </w:r>
    </w:p>
    <w:p w14:paraId="32F6FCA7"/>
    <w:p w14:paraId="48475355">
      <w:pPr>
        <w:ind w:firstLine="4410" w:firstLineChars="2100"/>
      </w:pPr>
    </w:p>
    <w:p w14:paraId="7354B459">
      <w:pPr>
        <w:ind w:firstLine="5040" w:firstLineChars="2400"/>
      </w:pPr>
      <w:r>
        <w:rPr>
          <w:rFonts w:hint="eastAsia"/>
        </w:rPr>
        <w:t>企业名称（盖章）：</w:t>
      </w:r>
    </w:p>
    <w:p w14:paraId="1397BDAF">
      <w:pPr>
        <w:ind w:firstLine="5040" w:firstLineChars="2400"/>
      </w:pPr>
    </w:p>
    <w:p w14:paraId="3F54A616">
      <w:pPr>
        <w:ind w:firstLine="5040" w:firstLineChars="2400"/>
      </w:pPr>
      <w:r>
        <w:rPr>
          <w:rFonts w:hint="eastAsia"/>
        </w:rPr>
        <w:t>日期：</w:t>
      </w:r>
    </w:p>
    <w:p w14:paraId="2D7466B8">
      <w:pPr>
        <w:rPr>
          <w:rFonts w:hint="eastAsia" w:ascii="宋体" w:hAnsi="宋体" w:cs="宋体"/>
          <w:bCs/>
          <w:szCs w:val="21"/>
        </w:rPr>
      </w:pPr>
    </w:p>
    <w:p w14:paraId="65957AAE">
      <w:pPr>
        <w:rPr>
          <w:rFonts w:hint="eastAsia" w:ascii="宋体" w:hAnsi="宋体" w:cs="宋体"/>
          <w:bCs/>
          <w:szCs w:val="21"/>
        </w:rPr>
      </w:pPr>
    </w:p>
    <w:p w14:paraId="32905D3F">
      <w:r>
        <w:rPr>
          <w:rFonts w:hint="eastAsia" w:ascii="宋体" w:hAnsi="宋体" w:cs="宋体"/>
          <w:bCs/>
          <w:szCs w:val="21"/>
        </w:rPr>
        <w:t>注：</w:t>
      </w:r>
    </w:p>
    <w:p w14:paraId="67561346">
      <w:pPr>
        <w:rPr>
          <w:rFonts w:hint="eastAsia" w:ascii="宋体" w:hAnsi="宋体" w:cs="宋体"/>
          <w:bCs/>
          <w:szCs w:val="21"/>
        </w:rPr>
      </w:pPr>
      <w:r>
        <w:rPr>
          <w:rFonts w:hint="eastAsia" w:ascii="宋体" w:hAnsi="宋体" w:cs="宋体"/>
          <w:bCs/>
          <w:szCs w:val="21"/>
        </w:rPr>
        <w:t>1、从业人员、营业收入、资产总额填报上一年度数据，无上一年度数据的新成立企业可不填报。</w:t>
      </w:r>
    </w:p>
    <w:p w14:paraId="6C2E5904">
      <w:pPr>
        <w:jc w:val="left"/>
        <w:rPr>
          <w:rFonts w:hint="eastAsia" w:ascii="宋体" w:hAnsi="宋体" w:cs="宋体"/>
          <w:bCs/>
          <w:szCs w:val="21"/>
        </w:rPr>
      </w:pPr>
      <w:r>
        <w:rPr>
          <w:rFonts w:hint="eastAsia" w:ascii="宋体" w:hAnsi="宋体" w:cs="宋体"/>
          <w:bCs/>
          <w:szCs w:val="21"/>
        </w:rPr>
        <w:t>2、本项目采购标的按中小企业划分标准所属行业区分为</w:t>
      </w:r>
      <w:r>
        <w:rPr>
          <w:rFonts w:hint="eastAsia" w:ascii="宋体" w:hAnsi="宋体" w:cs="宋体"/>
          <w:b/>
          <w:szCs w:val="21"/>
        </w:rPr>
        <w:t>【建筑业】</w:t>
      </w:r>
      <w:r>
        <w:rPr>
          <w:rFonts w:hint="eastAsia" w:ascii="宋体" w:hAnsi="宋体" w:cs="宋体"/>
          <w:bCs/>
          <w:szCs w:val="21"/>
        </w:rPr>
        <w:t>（中小微企业划型标准网址：http://www.gov.cn/zwgk/2011-07/04/content_1898747.htm）。</w:t>
      </w:r>
    </w:p>
    <w:p w14:paraId="4919E092">
      <w:pPr>
        <w:jc w:val="left"/>
        <w:rPr>
          <w:rFonts w:hint="eastAsia" w:ascii="宋体" w:hAnsi="宋体" w:cs="宋体"/>
          <w:bCs/>
          <w:szCs w:val="21"/>
        </w:rPr>
      </w:pPr>
      <w:r>
        <w:rPr>
          <w:rFonts w:hint="eastAsia" w:ascii="宋体" w:hAnsi="宋体" w:cs="宋体"/>
          <w:bCs/>
          <w:szCs w:val="21"/>
        </w:rPr>
        <w:t>3、供应商投标时须提供《中小企业声明函》，《中小企业声明函》不符合要求或未提供的，作如下处理：①如本项目专门面向中小企业采购，则投标文件无效；②如本项目不专门面向中小企业采购，则价格将不做相应扣除。</w:t>
      </w:r>
    </w:p>
    <w:p w14:paraId="00C90D18">
      <w:pPr>
        <w:jc w:val="left"/>
        <w:rPr>
          <w:rFonts w:hint="eastAsia" w:ascii="宋体" w:hAnsi="宋体" w:cs="宋体"/>
          <w:bCs/>
          <w:szCs w:val="21"/>
        </w:rPr>
      </w:pPr>
      <w:r>
        <w:rPr>
          <w:rFonts w:hint="eastAsia" w:ascii="宋体" w:hAnsi="宋体" w:cs="宋体"/>
          <w:bCs/>
          <w:szCs w:val="21"/>
        </w:rPr>
        <w:t>4、中小企业声明函请完整填写，中标（成交）后将公示。</w:t>
      </w:r>
    </w:p>
    <w:p w14:paraId="3C081335">
      <w:pPr>
        <w:jc w:val="left"/>
        <w:rPr>
          <w:rFonts w:hint="eastAsia" w:ascii="黑体" w:hAnsi="黑体" w:eastAsia="黑体"/>
          <w:i/>
          <w:sz w:val="32"/>
          <w:szCs w:val="32"/>
          <w:u w:val="single"/>
        </w:rPr>
      </w:pPr>
      <w:r>
        <w:rPr>
          <w:rFonts w:hint="eastAsia" w:ascii="宋体" w:hAnsi="宋体" w:cs="宋体"/>
          <w:bCs/>
          <w:szCs w:val="21"/>
        </w:rPr>
        <w:t>5、供应商应当对其出具的《中小企业声明函》真实性负责，供应商出具的《中小企业声明函》内容不实的，属于提供虚假材料谋取成交。对相关制造商信息了解不充分，或者不能确定相关信息真实、准确的，不建议出具《中小企业声明函》。</w:t>
      </w:r>
    </w:p>
    <w:p w14:paraId="1CD5A8A8">
      <w:pPr>
        <w:rPr>
          <w:rFonts w:hint="eastAsia" w:ascii="黑体" w:hAnsi="黑体" w:eastAsia="黑体"/>
          <w:i/>
          <w:sz w:val="32"/>
          <w:szCs w:val="32"/>
          <w:u w:val="single"/>
        </w:rPr>
      </w:pPr>
      <w:r>
        <w:rPr>
          <w:rFonts w:hint="eastAsia" w:ascii="黑体" w:hAnsi="黑体" w:eastAsia="黑体"/>
          <w:i/>
          <w:sz w:val="32"/>
          <w:szCs w:val="32"/>
          <w:u w:val="single"/>
        </w:rPr>
        <w:br w:type="page"/>
      </w:r>
    </w:p>
    <w:p w14:paraId="4BB3F026">
      <w:pPr>
        <w:rPr>
          <w:rFonts w:hint="eastAsia" w:ascii="黑体" w:hAnsi="黑体" w:eastAsia="黑体"/>
          <w:i/>
          <w:sz w:val="32"/>
          <w:szCs w:val="32"/>
          <w:u w:val="single"/>
        </w:rPr>
      </w:pPr>
      <w:r>
        <w:rPr>
          <w:rFonts w:hint="eastAsia" w:ascii="黑体" w:hAnsi="黑体" w:eastAsia="黑体"/>
          <w:i/>
          <w:sz w:val="32"/>
          <w:szCs w:val="32"/>
          <w:u w:val="single"/>
          <w:lang w:val="en-US" w:eastAsia="zh-CN"/>
        </w:rPr>
        <w:t>九</w:t>
      </w:r>
      <w:r>
        <w:rPr>
          <w:rFonts w:hint="eastAsia" w:ascii="黑体" w:hAnsi="黑体" w:eastAsia="黑体"/>
          <w:i/>
          <w:sz w:val="32"/>
          <w:szCs w:val="32"/>
          <w:u w:val="single"/>
        </w:rPr>
        <w:t>、特定资格要求的证明文件</w:t>
      </w:r>
    </w:p>
    <w:p w14:paraId="5110C7B5">
      <w:pPr>
        <w:spacing w:line="460" w:lineRule="exact"/>
        <w:rPr>
          <w:rFonts w:hint="eastAsia" w:ascii="宋体" w:hAnsi="宋体"/>
          <w:bCs/>
          <w:sz w:val="24"/>
          <w:szCs w:val="21"/>
        </w:rPr>
      </w:pPr>
      <w:r>
        <w:rPr>
          <w:rFonts w:hint="eastAsia" w:ascii="宋体" w:hAnsi="宋体"/>
          <w:sz w:val="24"/>
          <w:szCs w:val="21"/>
        </w:rPr>
        <w:t xml:space="preserve">   如果本项目申请人的特定资格要求中要求提供的，必须提供。</w:t>
      </w:r>
      <w:bookmarkStart w:id="130" w:name="_Toc120614284"/>
    </w:p>
    <w:p w14:paraId="0BCA45CC">
      <w:pPr>
        <w:pStyle w:val="58"/>
        <w:ind w:firstLine="0" w:firstLineChars="0"/>
        <w:rPr>
          <w:rFonts w:hint="eastAsia" w:ascii="宋体" w:hAnsi="宋体"/>
          <w:bCs/>
          <w:sz w:val="24"/>
          <w:szCs w:val="21"/>
        </w:rPr>
      </w:pPr>
    </w:p>
    <w:p w14:paraId="69E44AD2">
      <w:pPr>
        <w:jc w:val="center"/>
        <w:rPr>
          <w:rFonts w:hint="eastAsia" w:ascii="黑体" w:hAnsi="黑体" w:eastAsia="黑体"/>
          <w:b/>
          <w:sz w:val="32"/>
          <w:szCs w:val="32"/>
        </w:rPr>
      </w:pPr>
      <w:r>
        <w:rPr>
          <w:rFonts w:hint="eastAsia" w:ascii="黑体" w:hAnsi="黑体" w:eastAsia="黑体"/>
          <w:b/>
          <w:sz w:val="32"/>
          <w:szCs w:val="32"/>
        </w:rPr>
        <w:t>项目负责人无在建工程承诺书</w:t>
      </w:r>
    </w:p>
    <w:p w14:paraId="76173E77">
      <w:pPr>
        <w:pStyle w:val="58"/>
        <w:spacing w:line="540" w:lineRule="exact"/>
        <w:ind w:firstLine="420"/>
        <w:rPr>
          <w:szCs w:val="21"/>
        </w:rPr>
      </w:pPr>
      <w:r>
        <w:rPr>
          <w:szCs w:val="21"/>
        </w:rPr>
        <w:t>致：</w:t>
      </w:r>
      <w:r>
        <w:rPr>
          <w:szCs w:val="21"/>
          <w:u w:val="single"/>
        </w:rPr>
        <w:t xml:space="preserve">              </w:t>
      </w:r>
      <w:r>
        <w:rPr>
          <w:szCs w:val="21"/>
        </w:rPr>
        <w:t>（采购人名称）</w:t>
      </w:r>
    </w:p>
    <w:p w14:paraId="74C455CF">
      <w:pPr>
        <w:pStyle w:val="58"/>
        <w:spacing w:line="540" w:lineRule="exact"/>
        <w:ind w:firstLine="420"/>
        <w:rPr>
          <w:rFonts w:hint="eastAsia" w:ascii="宋体" w:hAnsi="宋体"/>
          <w:szCs w:val="21"/>
        </w:rPr>
      </w:pPr>
      <w:r>
        <w:rPr>
          <w:rFonts w:ascii="宋体" w:hAnsi="宋体"/>
          <w:szCs w:val="21"/>
        </w:rPr>
        <w:t>我公司自愿参加贵单位采购编号为</w:t>
      </w:r>
      <w:r>
        <w:rPr>
          <w:rFonts w:ascii="宋体" w:hAnsi="宋体"/>
          <w:szCs w:val="21"/>
          <w:u w:val="single"/>
        </w:rPr>
        <w:t xml:space="preserve">             </w:t>
      </w:r>
      <w:r>
        <w:rPr>
          <w:rFonts w:ascii="宋体" w:hAnsi="宋体"/>
          <w:szCs w:val="21"/>
        </w:rPr>
        <w:t>的</w:t>
      </w:r>
      <w:r>
        <w:rPr>
          <w:rFonts w:ascii="宋体" w:hAnsi="宋体"/>
          <w:szCs w:val="21"/>
          <w:u w:val="single"/>
        </w:rPr>
        <w:t xml:space="preserve">                  </w:t>
      </w:r>
      <w:r>
        <w:rPr>
          <w:rFonts w:ascii="宋体" w:hAnsi="宋体"/>
          <w:szCs w:val="21"/>
        </w:rPr>
        <w:t>项目的</w:t>
      </w:r>
      <w:r>
        <w:rPr>
          <w:rFonts w:hint="eastAsia" w:ascii="宋体" w:hAnsi="宋体"/>
          <w:szCs w:val="21"/>
          <w:lang w:val="en-US" w:eastAsia="zh-CN"/>
        </w:rPr>
        <w:t>磋商</w:t>
      </w:r>
      <w:r>
        <w:rPr>
          <w:rFonts w:ascii="宋体" w:hAnsi="宋体"/>
          <w:szCs w:val="21"/>
        </w:rPr>
        <w:t>，并接受对我公司的资格审查，我公司承诺：根据贵单位（公司）提出的条件标准和要求，本公司没有因骗取中标或者严重违约以及发生重大工程质量、安全生产事故等问题，被有关部门暂停投标资格并在暂停期内。</w:t>
      </w:r>
    </w:p>
    <w:p w14:paraId="2B1CECB2">
      <w:pPr>
        <w:pStyle w:val="58"/>
        <w:spacing w:line="540" w:lineRule="exact"/>
        <w:ind w:firstLine="420"/>
        <w:rPr>
          <w:szCs w:val="21"/>
        </w:rPr>
      </w:pPr>
      <w:r>
        <w:rPr>
          <w:rFonts w:ascii="宋体" w:hAnsi="宋体"/>
          <w:szCs w:val="21"/>
        </w:rPr>
        <w:t>拟任项目负责人</w:t>
      </w:r>
      <w:r>
        <w:rPr>
          <w:rFonts w:ascii="宋体" w:hAnsi="宋体"/>
          <w:szCs w:val="21"/>
          <w:u w:val="single"/>
        </w:rPr>
        <w:t xml:space="preserve">              </w:t>
      </w:r>
      <w:r>
        <w:rPr>
          <w:rFonts w:ascii="宋体" w:hAnsi="宋体"/>
          <w:szCs w:val="21"/>
        </w:rPr>
        <w:t>身份证号码</w:t>
      </w:r>
      <w:r>
        <w:rPr>
          <w:rFonts w:ascii="宋体" w:hAnsi="宋体"/>
          <w:szCs w:val="21"/>
          <w:u w:val="single"/>
        </w:rPr>
        <w:t xml:space="preserve">           </w:t>
      </w:r>
      <w:r>
        <w:rPr>
          <w:rFonts w:ascii="宋体" w:hAnsi="宋体"/>
          <w:szCs w:val="21"/>
        </w:rPr>
        <w:t>注册证书号</w:t>
      </w:r>
      <w:r>
        <w:rPr>
          <w:rFonts w:ascii="宋体" w:hAnsi="宋体"/>
          <w:szCs w:val="21"/>
          <w:u w:val="single"/>
        </w:rPr>
        <w:t xml:space="preserve">           </w:t>
      </w:r>
      <w:r>
        <w:rPr>
          <w:rFonts w:ascii="宋体" w:hAnsi="宋体"/>
          <w:szCs w:val="21"/>
        </w:rPr>
        <w:t>无任何在建工程项目。本公司递交的</w:t>
      </w:r>
      <w:r>
        <w:rPr>
          <w:rFonts w:hint="eastAsia" w:ascii="宋体" w:hAnsi="宋体"/>
          <w:szCs w:val="21"/>
          <w:lang w:val="en-US" w:eastAsia="zh-CN"/>
        </w:rPr>
        <w:t>响应</w:t>
      </w:r>
      <w:r>
        <w:rPr>
          <w:rFonts w:ascii="宋体" w:hAnsi="宋体"/>
          <w:szCs w:val="21"/>
        </w:rPr>
        <w:t>文件中的内容没有隐瞒、虚假、伪造等弄虚作假行为。发现该行为，贵公司可以拒绝我公司投标，如已中标，可取消我公司中标资格，并接受对我公司弄虚作假、违反公平和诚实信用原则做出的任何处理。</w:t>
      </w:r>
    </w:p>
    <w:p w14:paraId="0FB1444E">
      <w:pPr>
        <w:pStyle w:val="112"/>
        <w:widowControl/>
        <w:spacing w:line="540" w:lineRule="exact"/>
        <w:ind w:firstLine="4830" w:firstLineChars="2300"/>
        <w:jc w:val="left"/>
        <w:rPr>
          <w:rFonts w:hint="eastAsia" w:ascii="宋体" w:hAnsi="宋体"/>
          <w:sz w:val="21"/>
          <w:szCs w:val="21"/>
        </w:rPr>
      </w:pPr>
      <w:r>
        <w:rPr>
          <w:rFonts w:ascii="宋体" w:hAnsi="宋体" w:eastAsia="宋体"/>
          <w:sz w:val="21"/>
          <w:szCs w:val="21"/>
        </w:rPr>
        <w:t>单位：（公章）</w:t>
      </w:r>
    </w:p>
    <w:p w14:paraId="1E961D6F">
      <w:pPr>
        <w:pStyle w:val="58"/>
        <w:ind w:firstLine="420"/>
        <w:rPr>
          <w:rFonts w:hint="eastAsia" w:ascii="宋体" w:hAnsi="宋体"/>
          <w:szCs w:val="21"/>
        </w:rPr>
      </w:pPr>
      <w:r>
        <w:rPr>
          <w:rFonts w:ascii="宋体" w:hAnsi="宋体"/>
          <w:szCs w:val="21"/>
        </w:rPr>
        <w:t xml:space="preserve">                                          法定代表人签名：</w:t>
      </w:r>
    </w:p>
    <w:p w14:paraId="7FF3EE88">
      <w:pPr>
        <w:pStyle w:val="58"/>
        <w:ind w:firstLine="420"/>
        <w:rPr>
          <w:rFonts w:hint="eastAsia" w:ascii="宋体" w:hAnsi="宋体"/>
          <w:sz w:val="28"/>
          <w:szCs w:val="28"/>
        </w:rPr>
      </w:pPr>
      <w:r>
        <w:rPr>
          <w:rFonts w:ascii="宋体" w:hAnsi="宋体"/>
          <w:szCs w:val="21"/>
        </w:rPr>
        <w:t xml:space="preserve">                                          项目负责人签名：</w:t>
      </w:r>
    </w:p>
    <w:p w14:paraId="2D56E608">
      <w:pPr>
        <w:pStyle w:val="58"/>
        <w:ind w:left="0" w:leftChars="0" w:firstLine="0" w:firstLineChars="0"/>
        <w:jc w:val="center"/>
        <w:rPr>
          <w:rFonts w:hint="eastAsia" w:ascii="宋体" w:hAnsi="宋体"/>
          <w:b/>
          <w:szCs w:val="21"/>
        </w:rPr>
      </w:pPr>
      <w:r>
        <w:rPr>
          <w:rFonts w:ascii="宋体" w:hAnsi="宋体"/>
          <w:sz w:val="28"/>
          <w:szCs w:val="28"/>
        </w:rPr>
        <w:t xml:space="preserve">                                 </w:t>
      </w:r>
      <w:r>
        <w:rPr>
          <w:rFonts w:ascii="宋体" w:hAnsi="宋体"/>
          <w:szCs w:val="21"/>
        </w:rPr>
        <w:t xml:space="preserve"> 年   月   日</w:t>
      </w:r>
    </w:p>
    <w:p w14:paraId="27332E9A">
      <w:pPr>
        <w:tabs>
          <w:tab w:val="left" w:pos="360"/>
        </w:tabs>
        <w:spacing w:line="360" w:lineRule="auto"/>
        <w:ind w:firstLine="640" w:firstLineChars="200"/>
        <w:rPr>
          <w:szCs w:val="21"/>
        </w:rPr>
      </w:pPr>
      <w:r>
        <w:rPr>
          <w:rFonts w:hint="eastAsia" w:ascii="黑体" w:hAnsi="黑体" w:eastAsia="黑体"/>
          <w:i/>
          <w:sz w:val="32"/>
          <w:szCs w:val="32"/>
          <w:u w:val="single"/>
        </w:rPr>
        <w:br w:type="page"/>
      </w:r>
    </w:p>
    <w:p w14:paraId="718F8A62">
      <w:pPr>
        <w:jc w:val="center"/>
        <w:rPr>
          <w:rFonts w:hint="eastAsia" w:ascii="黑体" w:hAnsi="黑体" w:eastAsia="黑体"/>
          <w:b/>
          <w:i/>
          <w:sz w:val="32"/>
          <w:szCs w:val="32"/>
          <w:u w:val="single"/>
        </w:rPr>
      </w:pPr>
      <w:r>
        <w:rPr>
          <w:rFonts w:hint="eastAsia" w:ascii="黑体" w:hAnsi="黑体" w:eastAsia="黑体" w:cs="Arial"/>
          <w:b/>
          <w:i/>
          <w:sz w:val="32"/>
          <w:szCs w:val="32"/>
          <w:u w:val="single"/>
        </w:rPr>
        <w:t>十、</w:t>
      </w:r>
      <w:r>
        <w:rPr>
          <w:rFonts w:hint="eastAsia" w:ascii="黑体" w:hAnsi="黑体" w:eastAsia="黑体"/>
          <w:b/>
          <w:i/>
          <w:sz w:val="32"/>
          <w:szCs w:val="32"/>
          <w:u w:val="single"/>
        </w:rPr>
        <w:t>磋商响应函</w:t>
      </w:r>
    </w:p>
    <w:p w14:paraId="2ABCB389">
      <w:pPr>
        <w:adjustRightInd w:val="0"/>
        <w:spacing w:line="420" w:lineRule="exact"/>
        <w:jc w:val="left"/>
        <w:textAlignment w:val="baseline"/>
        <w:rPr>
          <w:rFonts w:hint="eastAsia" w:ascii="宋体" w:hAnsi="宋体" w:eastAsia="宋体"/>
          <w:sz w:val="24"/>
          <w:szCs w:val="21"/>
          <w:lang w:eastAsia="zh-CN"/>
        </w:rPr>
      </w:pPr>
      <w:r>
        <w:rPr>
          <w:rFonts w:hint="eastAsia" w:ascii="宋体" w:hAnsi="宋体"/>
          <w:sz w:val="24"/>
          <w:szCs w:val="21"/>
        </w:rPr>
        <w:t>致：</w:t>
      </w:r>
      <w:r>
        <w:rPr>
          <w:rFonts w:hint="eastAsia" w:ascii="宋体" w:hAnsi="宋体"/>
          <w:sz w:val="24"/>
          <w:szCs w:val="21"/>
          <w:lang w:eastAsia="zh-CN"/>
        </w:rPr>
        <w:t>江苏苏维工程管理有限公司</w:t>
      </w:r>
    </w:p>
    <w:p w14:paraId="244051D5">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根据贵方的</w:t>
      </w:r>
      <w:r>
        <w:rPr>
          <w:rFonts w:hint="eastAsia" w:ascii="宋体" w:hAnsi="宋体"/>
          <w:b/>
          <w:kern w:val="0"/>
          <w:sz w:val="36"/>
          <w:szCs w:val="24"/>
          <w:u w:val="single"/>
        </w:rPr>
        <w:t xml:space="preserve">    </w:t>
      </w:r>
      <w:r>
        <w:rPr>
          <w:rFonts w:hint="eastAsia" w:ascii="宋体" w:hAnsi="宋体"/>
          <w:sz w:val="24"/>
          <w:szCs w:val="21"/>
        </w:rPr>
        <w:t>号磋商文件，正式授权下述签字人______(姓名)代表我方______________（供应商的名称），全权处理本次项目磋商的有关事宜。</w:t>
      </w:r>
    </w:p>
    <w:p w14:paraId="529021A8">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据此函，__________签字人兹宣布同意如下：</w:t>
      </w:r>
    </w:p>
    <w:p w14:paraId="7E681C98">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1.按磋商文件规定的各项要求，向买方提供所需货物、服务（包含与货物相关的服务及与服务相关的货物）。</w:t>
      </w:r>
    </w:p>
    <w:p w14:paraId="7B1DE901">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2.我们完全理解贵方不一定将合同授予最低报价的供应商。</w:t>
      </w:r>
    </w:p>
    <w:p w14:paraId="4580B9E2">
      <w:pPr>
        <w:adjustRightInd w:val="0"/>
        <w:spacing w:line="420" w:lineRule="exact"/>
        <w:ind w:firstLine="480" w:firstLineChars="200"/>
        <w:jc w:val="left"/>
        <w:textAlignment w:val="baseline"/>
        <w:rPr>
          <w:rFonts w:hint="eastAsia" w:ascii="宋体" w:hAnsi="宋体"/>
          <w:sz w:val="24"/>
          <w:szCs w:val="21"/>
        </w:rPr>
      </w:pPr>
      <w:r>
        <w:rPr>
          <w:rFonts w:hint="eastAsia" w:ascii="宋体" w:hAnsi="宋体"/>
          <w:sz w:val="24"/>
          <w:szCs w:val="21"/>
        </w:rPr>
        <w:t>3.我们已详细审核全部磋商文件及其有效补充文件，我们知道必须放弃提出含糊不清或误解问题的权利。</w:t>
      </w:r>
    </w:p>
    <w:p w14:paraId="7667E9F1">
      <w:pPr>
        <w:adjustRightInd w:val="0"/>
        <w:spacing w:line="420" w:lineRule="exact"/>
        <w:ind w:firstLine="480"/>
        <w:jc w:val="left"/>
        <w:textAlignment w:val="baseline"/>
        <w:rPr>
          <w:rFonts w:hint="eastAsia" w:ascii="宋体" w:hAnsi="宋体"/>
          <w:sz w:val="24"/>
          <w:szCs w:val="21"/>
        </w:rPr>
      </w:pPr>
      <w:r>
        <w:rPr>
          <w:rFonts w:hint="eastAsia" w:ascii="宋体" w:hAnsi="宋体"/>
          <w:sz w:val="24"/>
          <w:szCs w:val="21"/>
        </w:rPr>
        <w:t>4.我们同意从规定的开标日期起遵循本响应文件，并在规定的磋商有效期期满之前均具有约束力。</w:t>
      </w:r>
    </w:p>
    <w:p w14:paraId="0B86B066">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5</w:t>
      </w:r>
      <w:r>
        <w:rPr>
          <w:rFonts w:hint="eastAsia" w:ascii="宋体" w:hAnsi="宋体"/>
          <w:sz w:val="24"/>
          <w:szCs w:val="21"/>
        </w:rPr>
        <w:t>.同意向贵方提供贵方可能另外要求的与磋商有关的任何证据或资料，并保证我方已提供和将要提供的文件是真实的、准确的。</w:t>
      </w:r>
    </w:p>
    <w:p w14:paraId="4929F79F">
      <w:pPr>
        <w:adjustRightInd w:val="0"/>
        <w:spacing w:line="420" w:lineRule="exact"/>
        <w:ind w:firstLine="480"/>
        <w:jc w:val="left"/>
        <w:textAlignment w:val="baseline"/>
        <w:rPr>
          <w:rFonts w:hint="eastAsia" w:ascii="宋体" w:hAnsi="宋体"/>
          <w:sz w:val="24"/>
          <w:szCs w:val="21"/>
        </w:rPr>
      </w:pPr>
      <w:r>
        <w:rPr>
          <w:rFonts w:ascii="宋体" w:hAnsi="宋体"/>
          <w:sz w:val="24"/>
          <w:szCs w:val="21"/>
        </w:rPr>
        <w:t>6</w:t>
      </w:r>
      <w:r>
        <w:rPr>
          <w:rFonts w:hint="eastAsia" w:ascii="宋体" w:hAnsi="宋体"/>
          <w:sz w:val="24"/>
          <w:szCs w:val="21"/>
        </w:rPr>
        <w:t>.一旦我方成交,我方将根据磋商文件的规定，严格履行合同的责任和义务,并保证在磋商文件规定的时间完成项目，交付买方验收、使用。</w:t>
      </w:r>
    </w:p>
    <w:p w14:paraId="6A0D5BF0">
      <w:pPr>
        <w:adjustRightInd w:val="0"/>
        <w:spacing w:line="420" w:lineRule="exact"/>
        <w:ind w:left="425"/>
        <w:jc w:val="left"/>
        <w:textAlignment w:val="baseline"/>
        <w:rPr>
          <w:rFonts w:hint="eastAsia" w:ascii="宋体" w:hAnsi="宋体"/>
          <w:sz w:val="24"/>
          <w:szCs w:val="21"/>
        </w:rPr>
      </w:pPr>
      <w:r>
        <w:rPr>
          <w:rFonts w:ascii="宋体" w:hAnsi="宋体"/>
          <w:sz w:val="24"/>
          <w:szCs w:val="21"/>
        </w:rPr>
        <w:t>7</w:t>
      </w:r>
      <w:r>
        <w:rPr>
          <w:rFonts w:hint="eastAsia" w:ascii="宋体" w:hAnsi="宋体"/>
          <w:sz w:val="24"/>
          <w:szCs w:val="21"/>
        </w:rPr>
        <w:t>.我方与本磋商有关的正式通讯地址为：</w:t>
      </w:r>
    </w:p>
    <w:p w14:paraId="1D8CE37A">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地        址：</w:t>
      </w:r>
    </w:p>
    <w:p w14:paraId="40FF7844">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邮        编：</w:t>
      </w:r>
    </w:p>
    <w:p w14:paraId="23B5A458">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电        话：</w:t>
      </w:r>
    </w:p>
    <w:p w14:paraId="0A6E7D11">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传        真：</w:t>
      </w:r>
    </w:p>
    <w:p w14:paraId="4BC0B863">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供应商开户行：</w:t>
      </w:r>
    </w:p>
    <w:p w14:paraId="3B6E852F">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账        号：</w:t>
      </w:r>
    </w:p>
    <w:p w14:paraId="19F82009">
      <w:pPr>
        <w:adjustRightInd w:val="0"/>
        <w:spacing w:line="420" w:lineRule="exact"/>
        <w:ind w:left="420" w:leftChars="200" w:firstLine="480" w:firstLineChars="200"/>
        <w:jc w:val="left"/>
        <w:textAlignment w:val="baseline"/>
        <w:rPr>
          <w:rFonts w:hint="eastAsia" w:ascii="宋体" w:hAnsi="宋体"/>
          <w:sz w:val="24"/>
          <w:szCs w:val="21"/>
        </w:rPr>
      </w:pPr>
      <w:r>
        <w:rPr>
          <w:rFonts w:hint="eastAsia" w:ascii="宋体" w:hAnsi="宋体"/>
          <w:sz w:val="24"/>
          <w:szCs w:val="21"/>
        </w:rPr>
        <w:t>日        期：_____年____月____日</w:t>
      </w:r>
    </w:p>
    <w:p w14:paraId="5EF1C971">
      <w:pPr>
        <w:rPr>
          <w:rFonts w:hint="eastAsia" w:ascii="宋体" w:hAnsi="宋体"/>
          <w:sz w:val="24"/>
          <w:szCs w:val="24"/>
        </w:rPr>
      </w:pPr>
      <w:r>
        <w:rPr>
          <w:rFonts w:ascii="宋体" w:hAnsi="宋体"/>
          <w:sz w:val="24"/>
          <w:szCs w:val="24"/>
        </w:rPr>
        <w:br w:type="page"/>
      </w:r>
    </w:p>
    <w:p w14:paraId="7CC9DB86">
      <w:pPr>
        <w:ind w:firstLine="480"/>
        <w:jc w:val="center"/>
        <w:rPr>
          <w:rFonts w:hint="eastAsia" w:ascii="黑体" w:hAnsi="黑体" w:eastAsia="黑体"/>
          <w:b/>
          <w:iCs/>
          <w:sz w:val="32"/>
          <w:szCs w:val="32"/>
        </w:rPr>
      </w:pPr>
      <w:r>
        <w:rPr>
          <w:rFonts w:hint="eastAsia" w:ascii="黑体" w:hAnsi="黑体" w:eastAsia="黑体"/>
          <w:b/>
          <w:iCs/>
          <w:sz w:val="32"/>
          <w:szCs w:val="32"/>
        </w:rPr>
        <w:t>十一、磋商响应报价表</w:t>
      </w:r>
    </w:p>
    <w:p w14:paraId="66F79DF6">
      <w:pPr>
        <w:ind w:firstLine="480"/>
        <w:jc w:val="center"/>
        <w:rPr>
          <w:rFonts w:hint="eastAsia" w:ascii="黑体" w:hAnsi="黑体" w:eastAsia="黑体"/>
          <w:b/>
          <w:iCs/>
          <w:sz w:val="32"/>
          <w:szCs w:val="32"/>
        </w:rPr>
      </w:pPr>
    </w:p>
    <w:p w14:paraId="4473D0FD">
      <w:pPr>
        <w:pStyle w:val="7"/>
        <w:spacing w:line="360" w:lineRule="auto"/>
        <w:ind w:firstLine="480"/>
        <w:rPr>
          <w:rFonts w:hint="eastAsia" w:ascii="宋体" w:hAnsi="宋体" w:cs="宋体"/>
          <w:sz w:val="24"/>
          <w:szCs w:val="24"/>
        </w:rPr>
      </w:pPr>
      <w:r>
        <w:rPr>
          <w:rFonts w:hint="eastAsia" w:ascii="宋体" w:hAnsi="宋体" w:cs="宋体"/>
          <w:sz w:val="24"/>
          <w:szCs w:val="24"/>
        </w:rPr>
        <w:t>供应商全称（盖章）：</w:t>
      </w:r>
    </w:p>
    <w:p w14:paraId="2A2565F5">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项目名称： </w:t>
      </w:r>
    </w:p>
    <w:p w14:paraId="77C53EFE">
      <w:pPr>
        <w:pStyle w:val="7"/>
        <w:spacing w:line="360" w:lineRule="auto"/>
        <w:ind w:firstLine="480"/>
        <w:rPr>
          <w:rFonts w:hint="eastAsia" w:ascii="宋体" w:hAnsi="宋体" w:cs="宋体"/>
          <w:sz w:val="24"/>
          <w:szCs w:val="24"/>
        </w:rPr>
      </w:pPr>
      <w:r>
        <w:rPr>
          <w:rFonts w:hint="eastAsia" w:ascii="宋体" w:hAnsi="宋体" w:cs="宋体"/>
          <w:sz w:val="24"/>
          <w:szCs w:val="24"/>
        </w:rPr>
        <w:t xml:space="preserve">项目编号： </w:t>
      </w:r>
    </w:p>
    <w:tbl>
      <w:tblPr>
        <w:tblStyle w:val="30"/>
        <w:tblW w:w="9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7246"/>
      </w:tblGrid>
      <w:tr w14:paraId="302C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4"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650E920E">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项目名称</w:t>
            </w:r>
          </w:p>
        </w:tc>
        <w:tc>
          <w:tcPr>
            <w:tcW w:w="7246" w:type="dxa"/>
            <w:tcBorders>
              <w:top w:val="single" w:color="auto" w:sz="4" w:space="0"/>
              <w:left w:val="single" w:color="auto" w:sz="4" w:space="0"/>
              <w:bottom w:val="single" w:color="auto" w:sz="4" w:space="0"/>
              <w:right w:val="single" w:color="auto" w:sz="4" w:space="0"/>
            </w:tcBorders>
            <w:vAlign w:val="center"/>
          </w:tcPr>
          <w:p w14:paraId="7B05FF9E">
            <w:pPr>
              <w:adjustRightInd w:val="0"/>
              <w:snapToGrid w:val="0"/>
              <w:spacing w:after="200" w:line="220" w:lineRule="atLeast"/>
              <w:jc w:val="center"/>
              <w:rPr>
                <w:rFonts w:hint="eastAsia" w:ascii="宋体" w:hAnsi="宋体" w:cs="宋体"/>
                <w:sz w:val="24"/>
                <w:szCs w:val="24"/>
              </w:rPr>
            </w:pPr>
            <w:r>
              <w:rPr>
                <w:rFonts w:hint="eastAsia" w:ascii="宋体" w:hAnsi="宋体" w:cs="宋体"/>
                <w:sz w:val="24"/>
                <w:szCs w:val="24"/>
              </w:rPr>
              <w:t>第一轮报价</w:t>
            </w:r>
          </w:p>
        </w:tc>
      </w:tr>
      <w:tr w14:paraId="72B5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5"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30FD002C">
            <w:pPr>
              <w:pStyle w:val="10"/>
              <w:adjustRightInd w:val="0"/>
              <w:snapToGrid w:val="0"/>
              <w:spacing w:line="300" w:lineRule="auto"/>
              <w:jc w:val="center"/>
              <w:rPr>
                <w:rFonts w:hint="eastAsia" w:ascii="宋体" w:hAnsi="宋体" w:eastAsia="宋体" w:cs="宋体"/>
                <w:kern w:val="2"/>
                <w:sz w:val="24"/>
                <w:szCs w:val="24"/>
              </w:rPr>
            </w:pPr>
          </w:p>
        </w:tc>
        <w:tc>
          <w:tcPr>
            <w:tcW w:w="7246" w:type="dxa"/>
            <w:tcBorders>
              <w:top w:val="single" w:color="auto" w:sz="4" w:space="0"/>
              <w:left w:val="single" w:color="auto" w:sz="4" w:space="0"/>
              <w:bottom w:val="single" w:color="auto" w:sz="4" w:space="0"/>
              <w:right w:val="single" w:color="auto" w:sz="4" w:space="0"/>
            </w:tcBorders>
            <w:vAlign w:val="center"/>
          </w:tcPr>
          <w:p w14:paraId="74FC5B44">
            <w:pPr>
              <w:pStyle w:val="10"/>
              <w:adjustRightInd w:val="0"/>
              <w:snapToGrid w:val="0"/>
              <w:spacing w:line="300" w:lineRule="auto"/>
              <w:rPr>
                <w:rFonts w:hint="eastAsia" w:ascii="宋体" w:hAnsi="宋体" w:eastAsia="宋体" w:cs="宋体"/>
                <w:kern w:val="2"/>
                <w:sz w:val="24"/>
                <w:szCs w:val="24"/>
              </w:rPr>
            </w:pPr>
            <w:r>
              <w:rPr>
                <w:rFonts w:hint="eastAsia" w:ascii="宋体" w:hAnsi="宋体" w:eastAsia="宋体" w:cs="宋体"/>
                <w:kern w:val="2"/>
                <w:sz w:val="24"/>
                <w:szCs w:val="24"/>
              </w:rPr>
              <w:t>大写：</w:t>
            </w:r>
            <w:r>
              <w:rPr>
                <w:rFonts w:hint="eastAsia" w:ascii="宋体" w:hAnsi="宋体" w:eastAsia="宋体" w:cs="宋体"/>
                <w:kern w:val="2"/>
                <w:sz w:val="24"/>
                <w:szCs w:val="24"/>
                <w:u w:val="single"/>
              </w:rPr>
              <w:t xml:space="preserve">             </w:t>
            </w:r>
            <w:r>
              <w:rPr>
                <w:rFonts w:hint="eastAsia" w:ascii="宋体" w:hAnsi="宋体" w:eastAsia="宋体" w:cs="宋体"/>
                <w:kern w:val="2"/>
                <w:sz w:val="24"/>
                <w:szCs w:val="24"/>
              </w:rPr>
              <w:t>元</w:t>
            </w:r>
          </w:p>
          <w:p w14:paraId="10464441">
            <w:pPr>
              <w:pStyle w:val="89"/>
              <w:spacing w:before="0" w:after="0" w:line="500" w:lineRule="exact"/>
              <w:ind w:firstLine="0"/>
              <w:jc w:val="both"/>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rPr>
              <w:t>元</w:t>
            </w:r>
          </w:p>
        </w:tc>
      </w:tr>
      <w:tr w14:paraId="6221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9" w:hRule="atLeast"/>
          <w:jc w:val="center"/>
        </w:trPr>
        <w:tc>
          <w:tcPr>
            <w:tcW w:w="2481" w:type="dxa"/>
            <w:tcBorders>
              <w:top w:val="single" w:color="auto" w:sz="4" w:space="0"/>
              <w:left w:val="single" w:color="auto" w:sz="4" w:space="0"/>
              <w:bottom w:val="single" w:color="auto" w:sz="4" w:space="0"/>
              <w:right w:val="single" w:color="auto" w:sz="4" w:space="0"/>
            </w:tcBorders>
            <w:vAlign w:val="center"/>
          </w:tcPr>
          <w:p w14:paraId="2C39DF90">
            <w:pPr>
              <w:pStyle w:val="10"/>
              <w:adjustRightInd w:val="0"/>
              <w:snapToGrid w:val="0"/>
              <w:spacing w:line="300" w:lineRule="auto"/>
              <w:jc w:val="center"/>
              <w:rPr>
                <w:rFonts w:hint="eastAsia" w:ascii="宋体" w:hAnsi="宋体" w:eastAsia="宋体" w:cs="宋体"/>
                <w:kern w:val="2"/>
                <w:sz w:val="24"/>
                <w:szCs w:val="24"/>
              </w:rPr>
            </w:pPr>
            <w:r>
              <w:rPr>
                <w:rFonts w:hint="eastAsia" w:ascii="宋体" w:hAnsi="宋体" w:eastAsia="宋体" w:cs="宋体"/>
                <w:kern w:val="2"/>
                <w:sz w:val="24"/>
                <w:szCs w:val="24"/>
              </w:rPr>
              <w:t>备注</w:t>
            </w:r>
          </w:p>
        </w:tc>
        <w:tc>
          <w:tcPr>
            <w:tcW w:w="7246" w:type="dxa"/>
            <w:tcBorders>
              <w:top w:val="single" w:color="auto" w:sz="4" w:space="0"/>
              <w:left w:val="single" w:color="auto" w:sz="4" w:space="0"/>
              <w:bottom w:val="single" w:color="auto" w:sz="4" w:space="0"/>
              <w:right w:val="single" w:color="auto" w:sz="4" w:space="0"/>
            </w:tcBorders>
            <w:vAlign w:val="center"/>
          </w:tcPr>
          <w:p w14:paraId="434250C8">
            <w:pPr>
              <w:pStyle w:val="10"/>
              <w:adjustRightInd w:val="0"/>
              <w:snapToGrid w:val="0"/>
              <w:spacing w:line="300" w:lineRule="auto"/>
              <w:rPr>
                <w:rFonts w:hint="eastAsia" w:ascii="宋体" w:hAnsi="宋体" w:eastAsia="宋体" w:cs="宋体"/>
                <w:kern w:val="2"/>
                <w:sz w:val="24"/>
                <w:szCs w:val="24"/>
              </w:rPr>
            </w:pPr>
          </w:p>
        </w:tc>
      </w:tr>
    </w:tbl>
    <w:p w14:paraId="4ACF7EBA">
      <w:pPr>
        <w:spacing w:line="360" w:lineRule="auto"/>
        <w:rPr>
          <w:rFonts w:hint="eastAsia" w:ascii="宋体" w:hAnsi="宋体" w:cs="宋体"/>
          <w:sz w:val="24"/>
          <w:szCs w:val="24"/>
        </w:rPr>
      </w:pPr>
    </w:p>
    <w:p w14:paraId="153D91C5">
      <w:pPr>
        <w:spacing w:line="360" w:lineRule="auto"/>
        <w:rPr>
          <w:rFonts w:hint="eastAsia" w:ascii="宋体" w:hAnsi="宋体" w:cs="宋体"/>
          <w:sz w:val="24"/>
          <w:szCs w:val="24"/>
        </w:rPr>
      </w:pPr>
      <w:r>
        <w:rPr>
          <w:rFonts w:hint="eastAsia" w:ascii="宋体" w:hAnsi="宋体" w:cs="宋体"/>
          <w:sz w:val="24"/>
          <w:szCs w:val="24"/>
        </w:rPr>
        <w:t xml:space="preserve">法定代表人或者授权代表（签字或盖章）：  </w:t>
      </w:r>
    </w:p>
    <w:p w14:paraId="760DF121">
      <w:pPr>
        <w:spacing w:line="360" w:lineRule="auto"/>
        <w:rPr>
          <w:rFonts w:hint="eastAsia" w:ascii="宋体" w:hAnsi="宋体" w:cs="宋体"/>
          <w:sz w:val="24"/>
          <w:szCs w:val="24"/>
        </w:rPr>
      </w:pPr>
      <w:r>
        <w:rPr>
          <w:rFonts w:hint="eastAsia" w:ascii="宋体" w:hAnsi="宋体" w:cs="宋体"/>
          <w:sz w:val="24"/>
          <w:szCs w:val="24"/>
        </w:rPr>
        <w:t xml:space="preserve"> 日期： 年  月  日</w:t>
      </w:r>
    </w:p>
    <w:p w14:paraId="0FE87288">
      <w:pPr>
        <w:spacing w:after="319" w:afterLines="100" w:line="360" w:lineRule="auto"/>
        <w:jc w:val="left"/>
        <w:rPr>
          <w:rFonts w:hint="eastAsia" w:ascii="宋体" w:hAnsi="宋体" w:cs="宋体"/>
          <w:sz w:val="24"/>
          <w:szCs w:val="24"/>
        </w:rPr>
      </w:pPr>
      <w:r>
        <w:rPr>
          <w:rFonts w:hint="eastAsia" w:ascii="宋体" w:hAnsi="宋体" w:cs="宋体"/>
          <w:sz w:val="24"/>
          <w:szCs w:val="24"/>
        </w:rPr>
        <w:t xml:space="preserve"> </w:t>
      </w:r>
    </w:p>
    <w:p w14:paraId="637E827A">
      <w:pPr>
        <w:spacing w:line="360" w:lineRule="auto"/>
        <w:rPr>
          <w:rFonts w:hint="eastAsia" w:ascii="宋体" w:hAnsi="宋体"/>
          <w:i/>
          <w:sz w:val="24"/>
          <w:szCs w:val="24"/>
          <w:u w:val="single"/>
        </w:rPr>
      </w:pPr>
      <w:r>
        <w:rPr>
          <w:rFonts w:hint="eastAsia" w:ascii="宋体" w:hAnsi="宋体"/>
          <w:sz w:val="24"/>
          <w:szCs w:val="24"/>
        </w:rPr>
        <w:t>填写说明：</w:t>
      </w:r>
    </w:p>
    <w:p w14:paraId="07606F92">
      <w:pPr>
        <w:spacing w:line="360" w:lineRule="auto"/>
        <w:rPr>
          <w:rFonts w:hint="eastAsia" w:ascii="宋体" w:hAnsi="宋体"/>
          <w:b/>
          <w:bCs/>
          <w:i/>
          <w:sz w:val="24"/>
          <w:szCs w:val="24"/>
          <w:u w:val="single"/>
        </w:rPr>
      </w:pPr>
      <w:r>
        <w:rPr>
          <w:rFonts w:hint="eastAsia" w:ascii="宋体" w:hAnsi="宋体"/>
          <w:b/>
          <w:bCs/>
          <w:i/>
          <w:sz w:val="24"/>
          <w:szCs w:val="24"/>
        </w:rPr>
        <w:t>1、</w:t>
      </w:r>
      <w:r>
        <w:rPr>
          <w:rFonts w:hint="eastAsia" w:ascii="宋体" w:hAnsi="宋体"/>
          <w:b/>
          <w:bCs/>
          <w:i/>
          <w:sz w:val="24"/>
          <w:szCs w:val="24"/>
          <w:u w:val="single"/>
        </w:rPr>
        <w:t>磋商响应报价表必须加盖供应商公章（复印件无效）。</w:t>
      </w:r>
    </w:p>
    <w:p w14:paraId="19A4E113">
      <w:pPr>
        <w:spacing w:line="360" w:lineRule="auto"/>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、如有分包，供应商投任何一个包的标的，都需单独填写响应报价表。</w:t>
      </w:r>
    </w:p>
    <w:p w14:paraId="655B4FBF">
      <w:pPr>
        <w:spacing w:line="360" w:lineRule="auto"/>
        <w:rPr>
          <w:rFonts w:hint="eastAsia" w:ascii="宋体" w:hAnsi="宋体"/>
          <w:sz w:val="24"/>
          <w:szCs w:val="24"/>
        </w:rPr>
      </w:pPr>
      <w:r>
        <w:rPr>
          <w:rFonts w:hint="eastAsia" w:ascii="宋体" w:hAnsi="宋体"/>
          <w:sz w:val="24"/>
          <w:szCs w:val="24"/>
          <w:lang w:val="en-US" w:eastAsia="zh-CN"/>
        </w:rPr>
        <w:t>3</w:t>
      </w:r>
      <w:r>
        <w:rPr>
          <w:rFonts w:hint="eastAsia" w:ascii="宋体" w:hAnsi="宋体"/>
          <w:sz w:val="24"/>
          <w:szCs w:val="24"/>
        </w:rPr>
        <w:t>、此表可以根据需要自行增减行数，且该表报价非本次磋商中的最后报价。</w:t>
      </w:r>
    </w:p>
    <w:p w14:paraId="7B0F34EA">
      <w:pPr>
        <w:ind w:firstLine="480"/>
        <w:jc w:val="center"/>
        <w:rPr>
          <w:rFonts w:hint="eastAsia" w:ascii="黑体" w:hAnsi="黑体" w:eastAsia="黑体"/>
          <w:b/>
          <w:iCs/>
          <w:sz w:val="32"/>
          <w:szCs w:val="32"/>
        </w:rPr>
      </w:pPr>
    </w:p>
    <w:p w14:paraId="116DEFBE">
      <w:pPr>
        <w:ind w:firstLine="480"/>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十二、分项报价表</w:t>
      </w:r>
    </w:p>
    <w:p w14:paraId="419313E1">
      <w:pPr>
        <w:rPr>
          <w:rFonts w:hint="eastAsia" w:ascii="宋体" w:hAnsi="宋体"/>
          <w:sz w:val="24"/>
          <w:szCs w:val="24"/>
        </w:rPr>
      </w:pPr>
    </w:p>
    <w:p w14:paraId="426E7FFF">
      <w:pPr>
        <w:spacing w:line="360" w:lineRule="auto"/>
        <w:ind w:firstLine="525"/>
        <w:rPr>
          <w:rFonts w:hint="eastAsia" w:ascii="宋体" w:hAnsi="宋体"/>
          <w:i/>
          <w:iCs/>
          <w:szCs w:val="21"/>
          <w:u w:val="single"/>
        </w:rPr>
      </w:pPr>
      <w:r>
        <w:rPr>
          <w:rFonts w:hint="eastAsia" w:ascii="宋体" w:hAnsi="宋体"/>
          <w:i/>
          <w:iCs/>
          <w:szCs w:val="21"/>
          <w:u w:val="single"/>
        </w:rPr>
        <w:t>本次为首轮报价，分项报价表即按照附件提供的工程量清单的格式进行填报，分别填报单价和合价，要求填报完整，漏报项视为价格已分摊到其他清单项中。</w:t>
      </w:r>
    </w:p>
    <w:p w14:paraId="24312AA3">
      <w:pPr>
        <w:spacing w:line="360" w:lineRule="auto"/>
        <w:ind w:firstLine="420"/>
        <w:rPr>
          <w:rFonts w:hint="eastAsia" w:ascii="宋体" w:hAnsi="宋体"/>
          <w:szCs w:val="21"/>
        </w:rPr>
      </w:pPr>
      <w:r>
        <w:rPr>
          <w:rFonts w:hint="eastAsia" w:ascii="宋体" w:hAnsi="宋体"/>
          <w:szCs w:val="21"/>
        </w:rPr>
        <w:t>1、供应商必须按表中规定格式完整、清晰、正确填写，没有的应注明“无”字样，不得缺项。</w:t>
      </w:r>
    </w:p>
    <w:p w14:paraId="0D3D7042">
      <w:pPr>
        <w:spacing w:line="360" w:lineRule="auto"/>
        <w:ind w:firstLine="420"/>
        <w:rPr>
          <w:rFonts w:hint="eastAsia" w:ascii="宋体" w:hAnsi="宋体"/>
          <w:szCs w:val="21"/>
        </w:rPr>
      </w:pPr>
      <w:r>
        <w:rPr>
          <w:rFonts w:hint="eastAsia" w:ascii="宋体" w:hAnsi="宋体"/>
          <w:szCs w:val="21"/>
        </w:rPr>
        <w:t>2、报价表中不得填报有选择性报价方案，该表中的报价应与磋商文件中的报价完全一致。若有优惠条件请注明。报价表应由法定代表人或授权代表签字并加盖公章。</w:t>
      </w:r>
    </w:p>
    <w:p w14:paraId="09083A91">
      <w:pPr>
        <w:widowControl/>
        <w:spacing w:line="360" w:lineRule="auto"/>
        <w:ind w:firstLine="420"/>
        <w:jc w:val="left"/>
        <w:rPr>
          <w:rFonts w:hint="eastAsia" w:ascii="宋体" w:hAnsi="宋体" w:cs="宋体"/>
          <w:szCs w:val="21"/>
        </w:rPr>
      </w:pPr>
      <w:r>
        <w:rPr>
          <w:rFonts w:hint="eastAsia" w:ascii="宋体" w:hAnsi="宋体" w:cs="宋体"/>
          <w:szCs w:val="21"/>
        </w:rPr>
        <w:t>3、单价和总价均应包括但不限于所有施工、设备、材料、税金、包装费、运杂费、保险费、卸力费、安装调试费、资料费、保修期内维修费用及咨询服务费等直至完全交付采购人使用的所有费用。</w:t>
      </w:r>
    </w:p>
    <w:p w14:paraId="1BBB950F">
      <w:pPr>
        <w:spacing w:line="360" w:lineRule="auto"/>
        <w:ind w:firstLine="420"/>
        <w:rPr>
          <w:rFonts w:hint="eastAsia" w:ascii="宋体" w:hAnsi="宋体"/>
          <w:szCs w:val="21"/>
        </w:rPr>
      </w:pPr>
      <w:r>
        <w:rPr>
          <w:rFonts w:hint="eastAsia" w:ascii="宋体" w:hAnsi="宋体"/>
          <w:szCs w:val="21"/>
        </w:rPr>
        <w:t>4、供应商成交后根据本单位的最终总报价和首轮明细报价，自行调整各明细单价(原则上除不可竞争费外，其他各分项报价同比例下浮)直至合价和最终总报价(如以万元为单位，保留两位小数)相符，报采购人和预算编制单位审核，审核通过后，后期根据审核后的明细报价，按实结算。</w:t>
      </w:r>
    </w:p>
    <w:p w14:paraId="4191B6C2">
      <w:pPr>
        <w:spacing w:line="360" w:lineRule="auto"/>
        <w:ind w:firstLine="420"/>
        <w:rPr>
          <w:rFonts w:hint="eastAsia" w:ascii="宋体" w:hAnsi="宋体" w:eastAsia="宋体" w:cs="宋体"/>
          <w:i/>
          <w:iCs/>
          <w:color w:val="000000"/>
          <w:sz w:val="21"/>
          <w:szCs w:val="21"/>
          <w:highlight w:val="yellow"/>
          <w:u w:val="single"/>
        </w:rPr>
      </w:pPr>
      <w:r>
        <w:rPr>
          <w:rFonts w:hint="eastAsia" w:ascii="宋体" w:hAnsi="宋体"/>
          <w:szCs w:val="21"/>
        </w:rPr>
        <w:t>5、如有分包，供应商投任何一个包的标的，都需单独填写响应报价表。</w:t>
      </w:r>
    </w:p>
    <w:p w14:paraId="52FE025F">
      <w:pPr>
        <w:keepNext w:val="0"/>
        <w:keepLines w:val="0"/>
        <w:pageBreakBefore w:val="0"/>
        <w:widowControl w:val="0"/>
        <w:tabs>
          <w:tab w:val="left" w:pos="-993"/>
          <w:tab w:val="left" w:pos="-851"/>
          <w:tab w:val="left" w:pos="0"/>
        </w:tabs>
        <w:spacing w:beforeAutospacing="0" w:afterAutospacing="0" w:line="360" w:lineRule="auto"/>
        <w:ind w:left="0" w:firstLine="422"/>
        <w:contextualSpacing/>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特别说明</w:t>
      </w:r>
      <w:r>
        <w:rPr>
          <w:rFonts w:hint="eastAsia" w:ascii="宋体" w:hAnsi="宋体" w:eastAsia="宋体" w:cs="宋体"/>
          <w:b/>
          <w:bCs/>
          <w:color w:val="000000"/>
          <w:sz w:val="21"/>
          <w:szCs w:val="21"/>
          <w:highlight w:val="none"/>
        </w:rPr>
        <w:t>：</w:t>
      </w:r>
      <w:r>
        <w:rPr>
          <w:rFonts w:hint="eastAsia" w:ascii="宋体" w:hAnsi="宋体" w:eastAsia="宋体" w:cs="宋体"/>
          <w:b/>
          <w:bCs/>
          <w:i/>
          <w:iCs/>
          <w:color w:val="000000"/>
          <w:sz w:val="21"/>
          <w:szCs w:val="21"/>
          <w:highlight w:val="none"/>
          <w:u w:val="single"/>
        </w:rPr>
        <w:t>本工程</w:t>
      </w:r>
      <w:r>
        <w:rPr>
          <w:rFonts w:hint="eastAsia" w:ascii="宋体" w:hAnsi="宋体" w:eastAsia="宋体" w:cs="宋体"/>
          <w:b/>
          <w:bCs/>
          <w:i/>
          <w:iCs/>
          <w:color w:val="000000"/>
          <w:sz w:val="21"/>
          <w:szCs w:val="21"/>
          <w:highlight w:val="none"/>
          <w:u w:val="single"/>
          <w:lang w:eastAsia="zh-CN"/>
        </w:rPr>
        <w:t>供应商</w:t>
      </w:r>
      <w:r>
        <w:rPr>
          <w:rFonts w:hint="eastAsia" w:ascii="宋体" w:hAnsi="宋体" w:eastAsia="宋体" w:cs="宋体"/>
          <w:b/>
          <w:bCs/>
          <w:i/>
          <w:iCs/>
          <w:color w:val="000000"/>
          <w:sz w:val="21"/>
          <w:szCs w:val="21"/>
          <w:highlight w:val="none"/>
          <w:u w:val="single"/>
        </w:rPr>
        <w:t>需提供完整磋商响应文件的电子版（PDF格式或Word格式）及响应报价的电子版（jsbgtb格式和emjsx格式），</w:t>
      </w:r>
      <w:r>
        <w:rPr>
          <w:rFonts w:hint="eastAsia" w:ascii="宋体" w:hAnsi="宋体" w:eastAsia="宋体" w:cs="宋体"/>
          <w:b/>
          <w:bCs/>
          <w:i/>
          <w:iCs/>
          <w:color w:val="000000"/>
          <w:sz w:val="21"/>
          <w:szCs w:val="21"/>
          <w:highlight w:val="none"/>
          <w:u w:val="single"/>
          <w:lang w:val="en-US" w:eastAsia="zh-CN"/>
        </w:rPr>
        <w:t>U盘</w:t>
      </w:r>
      <w:r>
        <w:rPr>
          <w:rFonts w:hint="eastAsia" w:ascii="宋体" w:hAnsi="宋体" w:eastAsia="宋体" w:cs="宋体"/>
          <w:b/>
          <w:bCs/>
          <w:i/>
          <w:iCs/>
          <w:color w:val="000000"/>
          <w:sz w:val="21"/>
          <w:szCs w:val="21"/>
          <w:highlight w:val="none"/>
          <w:u w:val="single"/>
        </w:rPr>
        <w:t>应标明单位名称</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随纸质正本文件</w:t>
      </w:r>
      <w:r>
        <w:rPr>
          <w:rFonts w:hint="eastAsia" w:ascii="宋体" w:hAnsi="宋体" w:eastAsia="宋体" w:cs="宋体"/>
          <w:b/>
          <w:bCs/>
          <w:i/>
          <w:iCs/>
          <w:color w:val="000000"/>
          <w:sz w:val="21"/>
          <w:szCs w:val="21"/>
          <w:highlight w:val="none"/>
          <w:u w:val="single"/>
          <w:lang w:eastAsia="zh-CN"/>
        </w:rPr>
        <w:t>一并</w:t>
      </w:r>
      <w:r>
        <w:rPr>
          <w:rFonts w:hint="eastAsia" w:ascii="宋体" w:hAnsi="宋体" w:eastAsia="宋体" w:cs="宋体"/>
          <w:b/>
          <w:bCs/>
          <w:i/>
          <w:iCs/>
          <w:color w:val="000000"/>
          <w:sz w:val="21"/>
          <w:szCs w:val="21"/>
          <w:highlight w:val="none"/>
          <w:u w:val="single"/>
        </w:rPr>
        <w:t>递交，响应报价的电子版供清标时使用。未提供或者提供内容不全的，将视为未响应</w:t>
      </w:r>
      <w:r>
        <w:rPr>
          <w:rFonts w:hint="eastAsia" w:ascii="宋体" w:hAnsi="宋体" w:eastAsia="宋体" w:cs="宋体"/>
          <w:b/>
          <w:bCs/>
          <w:i/>
          <w:iCs/>
          <w:color w:val="000000"/>
          <w:sz w:val="21"/>
          <w:szCs w:val="21"/>
          <w:highlight w:val="none"/>
          <w:u w:val="single"/>
          <w:lang w:eastAsia="zh-CN"/>
        </w:rPr>
        <w:t>采购</w:t>
      </w:r>
      <w:r>
        <w:rPr>
          <w:rFonts w:hint="eastAsia" w:ascii="宋体" w:hAnsi="宋体" w:eastAsia="宋体" w:cs="宋体"/>
          <w:b/>
          <w:bCs/>
          <w:i/>
          <w:iCs/>
          <w:color w:val="000000"/>
          <w:sz w:val="21"/>
          <w:szCs w:val="21"/>
          <w:highlight w:val="none"/>
          <w:u w:val="single"/>
        </w:rPr>
        <w:t>文件要求，作为</w:t>
      </w:r>
      <w:r>
        <w:rPr>
          <w:rFonts w:hint="eastAsia" w:ascii="宋体" w:hAnsi="宋体" w:eastAsia="宋体" w:cs="宋体"/>
          <w:b/>
          <w:bCs/>
          <w:i/>
          <w:iCs/>
          <w:color w:val="000000"/>
          <w:sz w:val="21"/>
          <w:szCs w:val="21"/>
          <w:highlight w:val="none"/>
          <w:u w:val="single"/>
          <w:lang w:eastAsia="zh-CN"/>
        </w:rPr>
        <w:t>无效响应</w:t>
      </w:r>
      <w:r>
        <w:rPr>
          <w:rFonts w:hint="eastAsia" w:ascii="宋体" w:hAnsi="宋体" w:eastAsia="宋体" w:cs="宋体"/>
          <w:b/>
          <w:bCs/>
          <w:i/>
          <w:iCs/>
          <w:color w:val="000000"/>
          <w:sz w:val="21"/>
          <w:szCs w:val="21"/>
          <w:highlight w:val="none"/>
          <w:u w:val="single"/>
        </w:rPr>
        <w:t>处理。</w:t>
      </w:r>
    </w:p>
    <w:p w14:paraId="21CADCF3">
      <w:pPr>
        <w:pageBreakBefore w:val="0"/>
        <w:spacing w:beforeAutospacing="0" w:afterAutospacing="0" w:line="360" w:lineRule="auto"/>
        <w:ind w:left="0"/>
        <w:rPr>
          <w:rFonts w:hint="eastAsia" w:ascii="宋体" w:hAnsi="宋体" w:eastAsia="宋体" w:cs="宋体"/>
          <w:i/>
          <w:iCs/>
          <w:color w:val="000000"/>
          <w:sz w:val="21"/>
          <w:szCs w:val="21"/>
          <w:highlight w:val="none"/>
          <w:u w:val="single"/>
        </w:rPr>
      </w:pPr>
      <w:r>
        <w:rPr>
          <w:rFonts w:hint="eastAsia" w:ascii="宋体" w:hAnsi="宋体" w:eastAsia="宋体" w:cs="宋体"/>
          <w:b/>
          <w:bCs/>
          <w:i/>
          <w:iCs/>
          <w:color w:val="000000"/>
          <w:sz w:val="21"/>
          <w:szCs w:val="21"/>
          <w:highlight w:val="none"/>
          <w:u w:val="single"/>
          <w:lang w:val="en-US"/>
        </w:rPr>
        <w:drawing>
          <wp:anchor distT="0" distB="0" distL="114300" distR="114300" simplePos="0" relativeHeight="251659264" behindDoc="0" locked="0" layoutInCell="1" allowOverlap="1">
            <wp:simplePos x="0" y="0"/>
            <wp:positionH relativeFrom="column">
              <wp:posOffset>-13970</wp:posOffset>
            </wp:positionH>
            <wp:positionV relativeFrom="paragraph">
              <wp:posOffset>26670</wp:posOffset>
            </wp:positionV>
            <wp:extent cx="5211445" cy="2284730"/>
            <wp:effectExtent l="0" t="0" r="8255" b="1270"/>
            <wp:wrapTopAndBottom/>
            <wp:docPr id="5" name="图片 5"/>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a:stretch>
                      <a:fillRect/>
                    </a:stretch>
                  </pic:blipFill>
                  <pic:spPr>
                    <a:xfrm>
                      <a:off x="0" y="0"/>
                      <a:ext cx="5211445" cy="2284730"/>
                    </a:xfrm>
                    <a:prstGeom prst="rect">
                      <a:avLst/>
                    </a:prstGeom>
                    <a:noFill/>
                    <a:ln>
                      <a:noFill/>
                    </a:ln>
                  </pic:spPr>
                </pic:pic>
              </a:graphicData>
            </a:graphic>
          </wp:anchor>
        </w:drawing>
      </w:r>
      <w:r>
        <w:rPr>
          <w:rFonts w:hint="eastAsia" w:ascii="宋体" w:hAnsi="宋体" w:eastAsia="宋体" w:cs="宋体"/>
          <w:b/>
          <w:bCs/>
          <w:i/>
          <w:iCs/>
          <w:color w:val="000000"/>
          <w:sz w:val="21"/>
          <w:szCs w:val="21"/>
          <w:highlight w:val="none"/>
          <w:u w:val="single"/>
        </w:rPr>
        <w:t>注：本次</w:t>
      </w:r>
      <w:r>
        <w:rPr>
          <w:rFonts w:hint="eastAsia" w:ascii="宋体" w:hAnsi="宋体" w:eastAsia="宋体" w:cs="宋体"/>
          <w:b/>
          <w:bCs/>
          <w:i/>
          <w:iCs/>
          <w:color w:val="000000"/>
          <w:sz w:val="21"/>
          <w:szCs w:val="21"/>
          <w:highlight w:val="none"/>
          <w:u w:val="single"/>
          <w:lang w:val="en-US" w:eastAsia="zh-CN"/>
        </w:rPr>
        <w:t>磋商</w:t>
      </w:r>
      <w:r>
        <w:rPr>
          <w:rFonts w:hint="eastAsia" w:ascii="宋体" w:hAnsi="宋体" w:eastAsia="宋体" w:cs="宋体"/>
          <w:b/>
          <w:bCs/>
          <w:i/>
          <w:iCs/>
          <w:color w:val="000000"/>
          <w:sz w:val="21"/>
          <w:szCs w:val="21"/>
          <w:highlight w:val="none"/>
          <w:u w:val="single"/>
        </w:rPr>
        <w:t>要使用新点2013清单造价江苏版软件生成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文件，并且生成</w:t>
      </w:r>
      <w:r>
        <w:rPr>
          <w:rFonts w:hint="eastAsia" w:ascii="宋体" w:hAnsi="宋体" w:eastAsia="宋体" w:cs="宋体"/>
          <w:b/>
          <w:bCs/>
          <w:i/>
          <w:iCs/>
          <w:color w:val="000000"/>
          <w:sz w:val="21"/>
          <w:szCs w:val="21"/>
          <w:highlight w:val="none"/>
          <w:u w:val="single"/>
          <w:lang w:val="en-US" w:eastAsia="zh-CN"/>
        </w:rPr>
        <w:t>响应</w:t>
      </w:r>
      <w:r>
        <w:rPr>
          <w:rFonts w:hint="eastAsia" w:ascii="宋体" w:hAnsi="宋体" w:eastAsia="宋体" w:cs="宋体"/>
          <w:b/>
          <w:bCs/>
          <w:i/>
          <w:iCs/>
          <w:color w:val="000000"/>
          <w:sz w:val="21"/>
          <w:szCs w:val="21"/>
          <w:highlight w:val="none"/>
          <w:u w:val="single"/>
        </w:rPr>
        <w:t>文件时要选择</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标管接口</w:t>
      </w:r>
      <w:r>
        <w:rPr>
          <w:rFonts w:hint="eastAsia" w:ascii="宋体" w:hAnsi="宋体" w:eastAsia="宋体" w:cs="宋体"/>
          <w:b/>
          <w:bCs/>
          <w:i/>
          <w:iCs/>
          <w:color w:val="000000"/>
          <w:sz w:val="21"/>
          <w:szCs w:val="21"/>
          <w:highlight w:val="none"/>
          <w:u w:val="single"/>
          <w:lang w:eastAsia="zh-CN"/>
        </w:rPr>
        <w:t>”</w:t>
      </w:r>
      <w:r>
        <w:rPr>
          <w:rFonts w:hint="eastAsia" w:ascii="宋体" w:hAnsi="宋体" w:eastAsia="宋体" w:cs="宋体"/>
          <w:b/>
          <w:bCs/>
          <w:i/>
          <w:iCs/>
          <w:color w:val="000000"/>
          <w:sz w:val="21"/>
          <w:szCs w:val="21"/>
          <w:highlight w:val="none"/>
          <w:u w:val="single"/>
        </w:rPr>
        <w:t>而非常用的省接口。</w:t>
      </w:r>
    </w:p>
    <w:p w14:paraId="21542A46">
      <w:pPr>
        <w:rPr>
          <w:rFonts w:hint="eastAsia" w:ascii="宋体" w:hAnsi="宋体"/>
          <w:sz w:val="24"/>
          <w:szCs w:val="24"/>
        </w:rPr>
      </w:pPr>
    </w:p>
    <w:p w14:paraId="25032802">
      <w:pPr>
        <w:rPr>
          <w:rFonts w:hint="eastAsia" w:ascii="宋体" w:hAnsi="宋体"/>
          <w:sz w:val="24"/>
          <w:szCs w:val="24"/>
        </w:rPr>
      </w:pPr>
    </w:p>
    <w:p w14:paraId="0522A727">
      <w:pPr>
        <w:jc w:val="center"/>
        <w:rPr>
          <w:rFonts w:hint="eastAsia" w:ascii="黑体" w:hAnsi="黑体" w:eastAsia="黑体"/>
          <w:b/>
          <w:sz w:val="32"/>
          <w:szCs w:val="32"/>
        </w:rPr>
      </w:pPr>
      <w:r>
        <w:rPr>
          <w:rFonts w:hint="eastAsia" w:ascii="黑体" w:hAnsi="黑体" w:eastAsia="黑体"/>
          <w:b/>
          <w:sz w:val="32"/>
          <w:szCs w:val="32"/>
        </w:rPr>
        <w:br w:type="page"/>
      </w:r>
      <w:r>
        <w:rPr>
          <w:rFonts w:hint="eastAsia" w:ascii="黑体" w:hAnsi="黑体" w:eastAsia="黑体"/>
          <w:b/>
          <w:sz w:val="32"/>
          <w:szCs w:val="32"/>
        </w:rPr>
        <w:t>十三、技术要求响应及偏离表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3114"/>
        <w:gridCol w:w="2852"/>
        <w:gridCol w:w="1308"/>
        <w:gridCol w:w="1173"/>
      </w:tblGrid>
      <w:tr w14:paraId="741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22" w:type="dxa"/>
            <w:vAlign w:val="center"/>
          </w:tcPr>
          <w:p w14:paraId="1D732F27">
            <w:pPr>
              <w:jc w:val="center"/>
              <w:rPr>
                <w:rFonts w:hint="eastAsia" w:ascii="宋体" w:hAnsi="宋体"/>
                <w:sz w:val="24"/>
                <w:szCs w:val="24"/>
              </w:rPr>
            </w:pPr>
            <w:r>
              <w:rPr>
                <w:rFonts w:hint="eastAsia" w:ascii="宋体" w:hAnsi="宋体"/>
                <w:sz w:val="24"/>
                <w:szCs w:val="24"/>
              </w:rPr>
              <w:t>序号</w:t>
            </w:r>
          </w:p>
        </w:tc>
        <w:tc>
          <w:tcPr>
            <w:tcW w:w="3114" w:type="dxa"/>
            <w:vAlign w:val="center"/>
          </w:tcPr>
          <w:p w14:paraId="66E4B68B">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6F3BE85B">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684DE08B">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0EAC2D82">
            <w:pPr>
              <w:jc w:val="center"/>
              <w:rPr>
                <w:rFonts w:hint="eastAsia" w:ascii="宋体" w:hAnsi="宋体"/>
                <w:sz w:val="24"/>
                <w:szCs w:val="24"/>
              </w:rPr>
            </w:pPr>
            <w:r>
              <w:rPr>
                <w:rFonts w:hint="eastAsia" w:ascii="宋体" w:hAnsi="宋体"/>
                <w:sz w:val="24"/>
                <w:szCs w:val="24"/>
              </w:rPr>
              <w:t>证明</w:t>
            </w:r>
          </w:p>
          <w:p w14:paraId="7E5A951C">
            <w:pPr>
              <w:jc w:val="center"/>
              <w:rPr>
                <w:rFonts w:hint="eastAsia" w:ascii="宋体" w:hAnsi="宋体"/>
                <w:sz w:val="24"/>
                <w:szCs w:val="24"/>
              </w:rPr>
            </w:pPr>
            <w:r>
              <w:rPr>
                <w:rFonts w:hint="eastAsia" w:ascii="宋体" w:hAnsi="宋体"/>
                <w:sz w:val="24"/>
                <w:szCs w:val="24"/>
              </w:rPr>
              <w:t>材料</w:t>
            </w:r>
          </w:p>
        </w:tc>
      </w:tr>
      <w:tr w14:paraId="203D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FA107B5">
            <w:pPr>
              <w:jc w:val="center"/>
              <w:rPr>
                <w:rFonts w:hint="eastAsia" w:ascii="宋体" w:hAnsi="宋体"/>
                <w:sz w:val="24"/>
                <w:szCs w:val="24"/>
              </w:rPr>
            </w:pPr>
          </w:p>
        </w:tc>
        <w:tc>
          <w:tcPr>
            <w:tcW w:w="3114" w:type="dxa"/>
            <w:vAlign w:val="center"/>
          </w:tcPr>
          <w:p w14:paraId="1FB1765C">
            <w:pPr>
              <w:jc w:val="center"/>
              <w:rPr>
                <w:rFonts w:hint="eastAsia" w:ascii="宋体" w:hAnsi="宋体"/>
                <w:sz w:val="24"/>
                <w:szCs w:val="24"/>
              </w:rPr>
            </w:pPr>
          </w:p>
        </w:tc>
        <w:tc>
          <w:tcPr>
            <w:tcW w:w="2852" w:type="dxa"/>
            <w:vAlign w:val="center"/>
          </w:tcPr>
          <w:p w14:paraId="76166576">
            <w:pPr>
              <w:jc w:val="center"/>
              <w:rPr>
                <w:rFonts w:hint="eastAsia" w:ascii="宋体" w:hAnsi="宋体"/>
                <w:sz w:val="24"/>
                <w:szCs w:val="24"/>
              </w:rPr>
            </w:pPr>
          </w:p>
        </w:tc>
        <w:tc>
          <w:tcPr>
            <w:tcW w:w="1308" w:type="dxa"/>
            <w:vAlign w:val="center"/>
          </w:tcPr>
          <w:p w14:paraId="543F48FE">
            <w:pPr>
              <w:jc w:val="center"/>
              <w:rPr>
                <w:rFonts w:hint="eastAsia" w:ascii="宋体" w:hAnsi="宋体"/>
                <w:sz w:val="24"/>
                <w:szCs w:val="24"/>
              </w:rPr>
            </w:pPr>
          </w:p>
        </w:tc>
        <w:tc>
          <w:tcPr>
            <w:tcW w:w="1173" w:type="dxa"/>
            <w:vAlign w:val="center"/>
          </w:tcPr>
          <w:p w14:paraId="1AE00C1F">
            <w:pPr>
              <w:jc w:val="center"/>
              <w:rPr>
                <w:rFonts w:hint="eastAsia" w:ascii="宋体" w:hAnsi="宋体"/>
                <w:sz w:val="24"/>
                <w:szCs w:val="24"/>
              </w:rPr>
            </w:pPr>
          </w:p>
        </w:tc>
      </w:tr>
      <w:tr w14:paraId="7282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7BC41763">
            <w:pPr>
              <w:jc w:val="center"/>
              <w:rPr>
                <w:rFonts w:hint="eastAsia" w:ascii="宋体" w:hAnsi="宋体"/>
                <w:sz w:val="24"/>
                <w:szCs w:val="24"/>
              </w:rPr>
            </w:pPr>
          </w:p>
        </w:tc>
        <w:tc>
          <w:tcPr>
            <w:tcW w:w="3114" w:type="dxa"/>
            <w:vAlign w:val="center"/>
          </w:tcPr>
          <w:p w14:paraId="2CC22DF2">
            <w:pPr>
              <w:jc w:val="center"/>
              <w:rPr>
                <w:rFonts w:hint="eastAsia" w:ascii="宋体" w:hAnsi="宋体"/>
                <w:sz w:val="24"/>
                <w:szCs w:val="24"/>
              </w:rPr>
            </w:pPr>
          </w:p>
        </w:tc>
        <w:tc>
          <w:tcPr>
            <w:tcW w:w="2852" w:type="dxa"/>
            <w:vAlign w:val="center"/>
          </w:tcPr>
          <w:p w14:paraId="306975DB">
            <w:pPr>
              <w:jc w:val="center"/>
              <w:rPr>
                <w:rFonts w:hint="eastAsia" w:ascii="宋体" w:hAnsi="宋体"/>
                <w:sz w:val="24"/>
                <w:szCs w:val="24"/>
              </w:rPr>
            </w:pPr>
          </w:p>
        </w:tc>
        <w:tc>
          <w:tcPr>
            <w:tcW w:w="1308" w:type="dxa"/>
            <w:vAlign w:val="center"/>
          </w:tcPr>
          <w:p w14:paraId="58DB1D56">
            <w:pPr>
              <w:jc w:val="center"/>
              <w:rPr>
                <w:rFonts w:hint="eastAsia" w:ascii="宋体" w:hAnsi="宋体"/>
                <w:sz w:val="24"/>
                <w:szCs w:val="24"/>
              </w:rPr>
            </w:pPr>
          </w:p>
        </w:tc>
        <w:tc>
          <w:tcPr>
            <w:tcW w:w="1173" w:type="dxa"/>
            <w:vAlign w:val="center"/>
          </w:tcPr>
          <w:p w14:paraId="690150B8">
            <w:pPr>
              <w:jc w:val="center"/>
              <w:rPr>
                <w:rFonts w:hint="eastAsia" w:ascii="宋体" w:hAnsi="宋体"/>
                <w:sz w:val="24"/>
                <w:szCs w:val="24"/>
              </w:rPr>
            </w:pPr>
          </w:p>
        </w:tc>
      </w:tr>
      <w:tr w14:paraId="490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164BD0D7">
            <w:pPr>
              <w:jc w:val="center"/>
              <w:rPr>
                <w:rFonts w:hint="eastAsia" w:ascii="宋体" w:hAnsi="宋体"/>
                <w:sz w:val="24"/>
                <w:szCs w:val="24"/>
              </w:rPr>
            </w:pPr>
          </w:p>
        </w:tc>
        <w:tc>
          <w:tcPr>
            <w:tcW w:w="3114" w:type="dxa"/>
            <w:vAlign w:val="center"/>
          </w:tcPr>
          <w:p w14:paraId="75977EE0">
            <w:pPr>
              <w:jc w:val="center"/>
              <w:rPr>
                <w:rFonts w:hint="eastAsia" w:ascii="宋体" w:hAnsi="宋体"/>
                <w:sz w:val="24"/>
                <w:szCs w:val="24"/>
              </w:rPr>
            </w:pPr>
          </w:p>
        </w:tc>
        <w:tc>
          <w:tcPr>
            <w:tcW w:w="2852" w:type="dxa"/>
            <w:vAlign w:val="center"/>
          </w:tcPr>
          <w:p w14:paraId="4FEB4F1C">
            <w:pPr>
              <w:jc w:val="center"/>
              <w:rPr>
                <w:rFonts w:hint="eastAsia" w:ascii="宋体" w:hAnsi="宋体"/>
                <w:sz w:val="24"/>
                <w:szCs w:val="24"/>
              </w:rPr>
            </w:pPr>
          </w:p>
        </w:tc>
        <w:tc>
          <w:tcPr>
            <w:tcW w:w="1308" w:type="dxa"/>
            <w:vAlign w:val="center"/>
          </w:tcPr>
          <w:p w14:paraId="1146C934">
            <w:pPr>
              <w:jc w:val="center"/>
              <w:rPr>
                <w:rFonts w:hint="eastAsia" w:ascii="宋体" w:hAnsi="宋体"/>
                <w:sz w:val="24"/>
                <w:szCs w:val="24"/>
              </w:rPr>
            </w:pPr>
          </w:p>
        </w:tc>
        <w:tc>
          <w:tcPr>
            <w:tcW w:w="1173" w:type="dxa"/>
            <w:vAlign w:val="center"/>
          </w:tcPr>
          <w:p w14:paraId="63A1962C">
            <w:pPr>
              <w:jc w:val="center"/>
              <w:rPr>
                <w:rFonts w:hint="eastAsia" w:ascii="宋体" w:hAnsi="宋体"/>
                <w:sz w:val="24"/>
                <w:szCs w:val="24"/>
              </w:rPr>
            </w:pPr>
          </w:p>
        </w:tc>
      </w:tr>
      <w:tr w14:paraId="3318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5CCEA3C">
            <w:pPr>
              <w:jc w:val="center"/>
              <w:rPr>
                <w:rFonts w:hint="eastAsia" w:ascii="宋体" w:hAnsi="宋体"/>
                <w:sz w:val="24"/>
                <w:szCs w:val="24"/>
              </w:rPr>
            </w:pPr>
          </w:p>
        </w:tc>
        <w:tc>
          <w:tcPr>
            <w:tcW w:w="3114" w:type="dxa"/>
            <w:vAlign w:val="center"/>
          </w:tcPr>
          <w:p w14:paraId="6142DF54">
            <w:pPr>
              <w:jc w:val="center"/>
              <w:rPr>
                <w:rFonts w:hint="eastAsia" w:ascii="宋体" w:hAnsi="宋体"/>
                <w:sz w:val="24"/>
                <w:szCs w:val="24"/>
              </w:rPr>
            </w:pPr>
          </w:p>
        </w:tc>
        <w:tc>
          <w:tcPr>
            <w:tcW w:w="2852" w:type="dxa"/>
            <w:vAlign w:val="center"/>
          </w:tcPr>
          <w:p w14:paraId="5D7E8A0E">
            <w:pPr>
              <w:jc w:val="center"/>
              <w:rPr>
                <w:rFonts w:hint="eastAsia" w:ascii="宋体" w:hAnsi="宋体"/>
                <w:sz w:val="24"/>
                <w:szCs w:val="24"/>
              </w:rPr>
            </w:pPr>
          </w:p>
        </w:tc>
        <w:tc>
          <w:tcPr>
            <w:tcW w:w="1308" w:type="dxa"/>
            <w:vAlign w:val="center"/>
          </w:tcPr>
          <w:p w14:paraId="5A83348B">
            <w:pPr>
              <w:jc w:val="center"/>
              <w:rPr>
                <w:rFonts w:hint="eastAsia" w:ascii="宋体" w:hAnsi="宋体"/>
                <w:sz w:val="24"/>
                <w:szCs w:val="24"/>
              </w:rPr>
            </w:pPr>
          </w:p>
        </w:tc>
        <w:tc>
          <w:tcPr>
            <w:tcW w:w="1173" w:type="dxa"/>
            <w:vAlign w:val="center"/>
          </w:tcPr>
          <w:p w14:paraId="7683A331">
            <w:pPr>
              <w:jc w:val="center"/>
              <w:rPr>
                <w:rFonts w:hint="eastAsia" w:ascii="宋体" w:hAnsi="宋体"/>
                <w:sz w:val="24"/>
                <w:szCs w:val="24"/>
              </w:rPr>
            </w:pPr>
          </w:p>
        </w:tc>
      </w:tr>
      <w:tr w14:paraId="4D576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4E3901DF">
            <w:pPr>
              <w:jc w:val="center"/>
              <w:rPr>
                <w:rFonts w:hint="eastAsia" w:ascii="宋体" w:hAnsi="宋体"/>
                <w:sz w:val="24"/>
                <w:szCs w:val="24"/>
              </w:rPr>
            </w:pPr>
          </w:p>
        </w:tc>
        <w:tc>
          <w:tcPr>
            <w:tcW w:w="3114" w:type="dxa"/>
            <w:vAlign w:val="center"/>
          </w:tcPr>
          <w:p w14:paraId="7C09A4C5">
            <w:pPr>
              <w:jc w:val="center"/>
              <w:rPr>
                <w:rFonts w:hint="eastAsia" w:ascii="宋体" w:hAnsi="宋体"/>
                <w:sz w:val="24"/>
                <w:szCs w:val="24"/>
              </w:rPr>
            </w:pPr>
          </w:p>
        </w:tc>
        <w:tc>
          <w:tcPr>
            <w:tcW w:w="2852" w:type="dxa"/>
            <w:vAlign w:val="center"/>
          </w:tcPr>
          <w:p w14:paraId="190314D3">
            <w:pPr>
              <w:jc w:val="center"/>
              <w:rPr>
                <w:rFonts w:hint="eastAsia" w:ascii="宋体" w:hAnsi="宋体"/>
                <w:sz w:val="24"/>
                <w:szCs w:val="24"/>
              </w:rPr>
            </w:pPr>
          </w:p>
        </w:tc>
        <w:tc>
          <w:tcPr>
            <w:tcW w:w="1308" w:type="dxa"/>
            <w:vAlign w:val="center"/>
          </w:tcPr>
          <w:p w14:paraId="2642B4DA">
            <w:pPr>
              <w:jc w:val="center"/>
              <w:rPr>
                <w:rFonts w:hint="eastAsia" w:ascii="宋体" w:hAnsi="宋体"/>
                <w:sz w:val="24"/>
                <w:szCs w:val="24"/>
              </w:rPr>
            </w:pPr>
          </w:p>
        </w:tc>
        <w:tc>
          <w:tcPr>
            <w:tcW w:w="1173" w:type="dxa"/>
            <w:vAlign w:val="center"/>
          </w:tcPr>
          <w:p w14:paraId="6820CCA2">
            <w:pPr>
              <w:jc w:val="center"/>
              <w:rPr>
                <w:rFonts w:hint="eastAsia" w:ascii="宋体" w:hAnsi="宋体"/>
                <w:sz w:val="24"/>
                <w:szCs w:val="24"/>
              </w:rPr>
            </w:pPr>
          </w:p>
        </w:tc>
      </w:tr>
      <w:tr w14:paraId="61D81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2C2F6561">
            <w:pPr>
              <w:jc w:val="center"/>
              <w:rPr>
                <w:rFonts w:hint="eastAsia" w:ascii="宋体" w:hAnsi="宋体"/>
                <w:sz w:val="24"/>
                <w:szCs w:val="24"/>
              </w:rPr>
            </w:pPr>
          </w:p>
        </w:tc>
        <w:tc>
          <w:tcPr>
            <w:tcW w:w="3114" w:type="dxa"/>
            <w:vAlign w:val="center"/>
          </w:tcPr>
          <w:p w14:paraId="315113EE">
            <w:pPr>
              <w:jc w:val="center"/>
              <w:rPr>
                <w:rFonts w:hint="eastAsia" w:ascii="宋体" w:hAnsi="宋体"/>
                <w:sz w:val="24"/>
                <w:szCs w:val="24"/>
              </w:rPr>
            </w:pPr>
          </w:p>
        </w:tc>
        <w:tc>
          <w:tcPr>
            <w:tcW w:w="2852" w:type="dxa"/>
            <w:vAlign w:val="center"/>
          </w:tcPr>
          <w:p w14:paraId="0E765533">
            <w:pPr>
              <w:jc w:val="center"/>
              <w:rPr>
                <w:rFonts w:hint="eastAsia" w:ascii="宋体" w:hAnsi="宋体"/>
                <w:sz w:val="24"/>
                <w:szCs w:val="24"/>
              </w:rPr>
            </w:pPr>
          </w:p>
        </w:tc>
        <w:tc>
          <w:tcPr>
            <w:tcW w:w="1308" w:type="dxa"/>
            <w:vAlign w:val="center"/>
          </w:tcPr>
          <w:p w14:paraId="6CAF40CB">
            <w:pPr>
              <w:jc w:val="center"/>
              <w:rPr>
                <w:rFonts w:hint="eastAsia" w:ascii="宋体" w:hAnsi="宋体"/>
                <w:sz w:val="24"/>
                <w:szCs w:val="24"/>
              </w:rPr>
            </w:pPr>
          </w:p>
        </w:tc>
        <w:tc>
          <w:tcPr>
            <w:tcW w:w="1173" w:type="dxa"/>
            <w:vAlign w:val="center"/>
          </w:tcPr>
          <w:p w14:paraId="1A559F96">
            <w:pPr>
              <w:jc w:val="center"/>
              <w:rPr>
                <w:rFonts w:hint="eastAsia" w:ascii="宋体" w:hAnsi="宋体"/>
                <w:sz w:val="24"/>
                <w:szCs w:val="24"/>
              </w:rPr>
            </w:pPr>
          </w:p>
        </w:tc>
      </w:tr>
      <w:tr w14:paraId="6C96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38FB7573">
            <w:pPr>
              <w:jc w:val="center"/>
              <w:rPr>
                <w:rFonts w:hint="eastAsia" w:ascii="宋体" w:hAnsi="宋体"/>
                <w:sz w:val="24"/>
                <w:szCs w:val="24"/>
              </w:rPr>
            </w:pPr>
          </w:p>
        </w:tc>
        <w:tc>
          <w:tcPr>
            <w:tcW w:w="3114" w:type="dxa"/>
            <w:vAlign w:val="center"/>
          </w:tcPr>
          <w:p w14:paraId="21D591AC">
            <w:pPr>
              <w:jc w:val="center"/>
              <w:rPr>
                <w:rFonts w:hint="eastAsia" w:ascii="宋体" w:hAnsi="宋体"/>
                <w:sz w:val="24"/>
                <w:szCs w:val="24"/>
              </w:rPr>
            </w:pPr>
          </w:p>
        </w:tc>
        <w:tc>
          <w:tcPr>
            <w:tcW w:w="2852" w:type="dxa"/>
            <w:vAlign w:val="center"/>
          </w:tcPr>
          <w:p w14:paraId="1942459C">
            <w:pPr>
              <w:jc w:val="center"/>
              <w:rPr>
                <w:rFonts w:hint="eastAsia" w:ascii="宋体" w:hAnsi="宋体"/>
                <w:sz w:val="24"/>
                <w:szCs w:val="24"/>
              </w:rPr>
            </w:pPr>
          </w:p>
        </w:tc>
        <w:tc>
          <w:tcPr>
            <w:tcW w:w="1308" w:type="dxa"/>
            <w:vAlign w:val="center"/>
          </w:tcPr>
          <w:p w14:paraId="1E752826">
            <w:pPr>
              <w:jc w:val="center"/>
              <w:rPr>
                <w:rFonts w:hint="eastAsia" w:ascii="宋体" w:hAnsi="宋体"/>
                <w:sz w:val="24"/>
                <w:szCs w:val="24"/>
              </w:rPr>
            </w:pPr>
          </w:p>
        </w:tc>
        <w:tc>
          <w:tcPr>
            <w:tcW w:w="1173" w:type="dxa"/>
            <w:vAlign w:val="center"/>
          </w:tcPr>
          <w:p w14:paraId="0F91EF4F">
            <w:pPr>
              <w:jc w:val="center"/>
              <w:rPr>
                <w:rFonts w:hint="eastAsia" w:ascii="宋体" w:hAnsi="宋体"/>
                <w:sz w:val="24"/>
                <w:szCs w:val="24"/>
              </w:rPr>
            </w:pPr>
          </w:p>
        </w:tc>
      </w:tr>
      <w:tr w14:paraId="1C55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22" w:type="dxa"/>
            <w:vAlign w:val="center"/>
          </w:tcPr>
          <w:p w14:paraId="5DBB2D74">
            <w:pPr>
              <w:jc w:val="center"/>
              <w:rPr>
                <w:rFonts w:hint="eastAsia" w:ascii="宋体" w:hAnsi="宋体"/>
                <w:sz w:val="24"/>
                <w:szCs w:val="24"/>
              </w:rPr>
            </w:pPr>
          </w:p>
        </w:tc>
        <w:tc>
          <w:tcPr>
            <w:tcW w:w="3114" w:type="dxa"/>
            <w:vAlign w:val="center"/>
          </w:tcPr>
          <w:p w14:paraId="70CB937A">
            <w:pPr>
              <w:jc w:val="center"/>
              <w:rPr>
                <w:rFonts w:hint="eastAsia" w:ascii="宋体" w:hAnsi="宋体"/>
                <w:sz w:val="24"/>
                <w:szCs w:val="24"/>
              </w:rPr>
            </w:pPr>
            <w:r>
              <w:rPr>
                <w:rFonts w:ascii="宋体" w:hAnsi="宋体"/>
                <w:sz w:val="24"/>
                <w:szCs w:val="24"/>
              </w:rPr>
              <w:t>……</w:t>
            </w:r>
          </w:p>
        </w:tc>
        <w:tc>
          <w:tcPr>
            <w:tcW w:w="2852" w:type="dxa"/>
            <w:vAlign w:val="center"/>
          </w:tcPr>
          <w:p w14:paraId="4CE5B571">
            <w:pPr>
              <w:jc w:val="center"/>
              <w:rPr>
                <w:rFonts w:hint="eastAsia" w:ascii="宋体" w:hAnsi="宋体"/>
                <w:sz w:val="24"/>
                <w:szCs w:val="24"/>
              </w:rPr>
            </w:pPr>
          </w:p>
        </w:tc>
        <w:tc>
          <w:tcPr>
            <w:tcW w:w="1308" w:type="dxa"/>
            <w:vAlign w:val="center"/>
          </w:tcPr>
          <w:p w14:paraId="236E8F49">
            <w:pPr>
              <w:jc w:val="center"/>
              <w:rPr>
                <w:rFonts w:hint="eastAsia" w:ascii="宋体" w:hAnsi="宋体"/>
                <w:sz w:val="24"/>
                <w:szCs w:val="24"/>
              </w:rPr>
            </w:pPr>
          </w:p>
        </w:tc>
        <w:tc>
          <w:tcPr>
            <w:tcW w:w="1173" w:type="dxa"/>
            <w:vAlign w:val="center"/>
          </w:tcPr>
          <w:p w14:paraId="637BB830">
            <w:pPr>
              <w:jc w:val="center"/>
              <w:rPr>
                <w:rFonts w:hint="eastAsia" w:ascii="宋体" w:hAnsi="宋体"/>
                <w:sz w:val="24"/>
                <w:szCs w:val="24"/>
              </w:rPr>
            </w:pPr>
          </w:p>
        </w:tc>
      </w:tr>
    </w:tbl>
    <w:p w14:paraId="27729BA7">
      <w:pPr>
        <w:rPr>
          <w:rFonts w:hint="eastAsia" w:ascii="宋体" w:hAnsi="宋体"/>
          <w:sz w:val="24"/>
          <w:szCs w:val="24"/>
        </w:rPr>
      </w:pPr>
      <w:r>
        <w:rPr>
          <w:rFonts w:hint="eastAsia" w:ascii="宋体" w:hAnsi="宋体"/>
          <w:sz w:val="24"/>
          <w:szCs w:val="24"/>
        </w:rPr>
        <w:t>注： 行数不够，可自行添加。</w:t>
      </w:r>
    </w:p>
    <w:p w14:paraId="72CA3067">
      <w:pPr>
        <w:rPr>
          <w:rFonts w:ascii="黑体" w:hAnsi="Arial" w:eastAsia="黑体"/>
          <w:b/>
          <w:sz w:val="36"/>
          <w:szCs w:val="21"/>
        </w:rPr>
      </w:pPr>
    </w:p>
    <w:p w14:paraId="51AFDE59">
      <w:pPr>
        <w:rPr>
          <w:rFonts w:ascii="黑体" w:hAnsi="Arial" w:eastAsia="黑体"/>
          <w:sz w:val="32"/>
          <w:szCs w:val="21"/>
        </w:rPr>
      </w:pPr>
      <w:r>
        <w:rPr>
          <w:rFonts w:hint="eastAsia" w:ascii="黑体" w:hAnsi="Arial" w:eastAsia="黑体"/>
          <w:sz w:val="32"/>
          <w:szCs w:val="21"/>
        </w:rPr>
        <w:br w:type="page"/>
      </w:r>
    </w:p>
    <w:bookmarkEnd w:id="130"/>
    <w:p w14:paraId="62F1CAC8">
      <w:pPr>
        <w:jc w:val="center"/>
        <w:rPr>
          <w:rFonts w:hint="eastAsia" w:ascii="黑体" w:hAnsi="黑体" w:eastAsia="黑体"/>
          <w:b/>
          <w:sz w:val="32"/>
          <w:szCs w:val="32"/>
        </w:rPr>
      </w:pPr>
      <w:bookmarkStart w:id="131" w:name="_Hlt26955054"/>
      <w:bookmarkEnd w:id="131"/>
      <w:r>
        <w:rPr>
          <w:rFonts w:hint="eastAsia" w:ascii="黑体" w:hAnsi="黑体" w:eastAsia="黑体"/>
          <w:b/>
          <w:sz w:val="32"/>
          <w:szCs w:val="32"/>
        </w:rPr>
        <w:t>十四、商务要求响应及偏离表</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3054"/>
        <w:gridCol w:w="2852"/>
        <w:gridCol w:w="1308"/>
        <w:gridCol w:w="1173"/>
      </w:tblGrid>
      <w:tr w14:paraId="3030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82" w:type="dxa"/>
            <w:vAlign w:val="center"/>
          </w:tcPr>
          <w:p w14:paraId="70FD3B50">
            <w:pPr>
              <w:jc w:val="center"/>
              <w:rPr>
                <w:rFonts w:hint="eastAsia" w:ascii="宋体" w:hAnsi="宋体"/>
                <w:sz w:val="24"/>
                <w:szCs w:val="24"/>
              </w:rPr>
            </w:pPr>
            <w:bookmarkStart w:id="132" w:name="_Hlt26955064"/>
            <w:bookmarkEnd w:id="132"/>
            <w:bookmarkStart w:id="133" w:name="_Hlt26671343"/>
            <w:bookmarkEnd w:id="133"/>
            <w:bookmarkStart w:id="134" w:name="_Hlt26580838"/>
            <w:bookmarkEnd w:id="134"/>
            <w:bookmarkStart w:id="135" w:name="_Hlt26782999"/>
            <w:bookmarkEnd w:id="135"/>
            <w:bookmarkStart w:id="136" w:name="_Hlt26955056"/>
            <w:bookmarkEnd w:id="136"/>
            <w:bookmarkStart w:id="137" w:name="_Hlt26609391"/>
            <w:bookmarkEnd w:id="137"/>
            <w:bookmarkStart w:id="138" w:name="_Hlt24879081"/>
            <w:bookmarkEnd w:id="138"/>
            <w:bookmarkStart w:id="139" w:name="_Hlt26671372"/>
            <w:bookmarkEnd w:id="139"/>
            <w:r>
              <w:rPr>
                <w:rFonts w:hint="eastAsia" w:ascii="宋体" w:hAnsi="宋体"/>
                <w:sz w:val="24"/>
                <w:szCs w:val="24"/>
              </w:rPr>
              <w:t>序号</w:t>
            </w:r>
          </w:p>
        </w:tc>
        <w:tc>
          <w:tcPr>
            <w:tcW w:w="3054" w:type="dxa"/>
            <w:vAlign w:val="center"/>
          </w:tcPr>
          <w:p w14:paraId="3DD9520A">
            <w:pPr>
              <w:jc w:val="center"/>
              <w:rPr>
                <w:rFonts w:hint="eastAsia" w:ascii="宋体" w:hAnsi="宋体"/>
                <w:sz w:val="24"/>
                <w:szCs w:val="24"/>
              </w:rPr>
            </w:pPr>
            <w:r>
              <w:rPr>
                <w:rFonts w:hint="eastAsia" w:ascii="宋体" w:hAnsi="宋体"/>
                <w:sz w:val="24"/>
                <w:szCs w:val="24"/>
              </w:rPr>
              <w:t>磋商文件要求</w:t>
            </w:r>
          </w:p>
        </w:tc>
        <w:tc>
          <w:tcPr>
            <w:tcW w:w="2852" w:type="dxa"/>
            <w:vAlign w:val="center"/>
          </w:tcPr>
          <w:p w14:paraId="552D2BB7">
            <w:pPr>
              <w:jc w:val="center"/>
              <w:rPr>
                <w:rFonts w:hint="eastAsia" w:ascii="宋体" w:hAnsi="宋体"/>
                <w:sz w:val="24"/>
                <w:szCs w:val="24"/>
              </w:rPr>
            </w:pPr>
            <w:r>
              <w:rPr>
                <w:rFonts w:hint="eastAsia" w:ascii="宋体" w:hAnsi="宋体"/>
                <w:sz w:val="24"/>
                <w:szCs w:val="24"/>
              </w:rPr>
              <w:t>响应情况</w:t>
            </w:r>
          </w:p>
        </w:tc>
        <w:tc>
          <w:tcPr>
            <w:tcW w:w="1308" w:type="dxa"/>
            <w:vAlign w:val="center"/>
          </w:tcPr>
          <w:p w14:paraId="40F2DC67">
            <w:pPr>
              <w:jc w:val="center"/>
              <w:rPr>
                <w:rFonts w:hint="eastAsia" w:ascii="宋体" w:hAnsi="宋体"/>
                <w:sz w:val="24"/>
                <w:szCs w:val="24"/>
              </w:rPr>
            </w:pPr>
            <w:r>
              <w:rPr>
                <w:rFonts w:hint="eastAsia" w:ascii="宋体" w:hAnsi="宋体"/>
                <w:sz w:val="24"/>
                <w:szCs w:val="24"/>
              </w:rPr>
              <w:t>超出、符合或偏离</w:t>
            </w:r>
          </w:p>
        </w:tc>
        <w:tc>
          <w:tcPr>
            <w:tcW w:w="1173" w:type="dxa"/>
            <w:vAlign w:val="center"/>
          </w:tcPr>
          <w:p w14:paraId="3FFE3BDA">
            <w:pPr>
              <w:jc w:val="center"/>
              <w:rPr>
                <w:rFonts w:hint="eastAsia" w:ascii="宋体" w:hAnsi="宋体"/>
                <w:sz w:val="24"/>
                <w:szCs w:val="24"/>
              </w:rPr>
            </w:pPr>
            <w:r>
              <w:rPr>
                <w:rFonts w:hint="eastAsia" w:ascii="宋体" w:hAnsi="宋体"/>
                <w:sz w:val="24"/>
                <w:szCs w:val="24"/>
              </w:rPr>
              <w:t>证明</w:t>
            </w:r>
          </w:p>
          <w:p w14:paraId="174AEB45">
            <w:pPr>
              <w:jc w:val="center"/>
              <w:rPr>
                <w:rFonts w:hint="eastAsia" w:ascii="宋体" w:hAnsi="宋体"/>
                <w:sz w:val="24"/>
                <w:szCs w:val="24"/>
              </w:rPr>
            </w:pPr>
            <w:r>
              <w:rPr>
                <w:rFonts w:hint="eastAsia" w:ascii="宋体" w:hAnsi="宋体"/>
                <w:sz w:val="24"/>
                <w:szCs w:val="24"/>
              </w:rPr>
              <w:t>材料</w:t>
            </w:r>
          </w:p>
        </w:tc>
      </w:tr>
      <w:tr w14:paraId="0BBA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4F6167BB">
            <w:pPr>
              <w:jc w:val="center"/>
              <w:rPr>
                <w:rFonts w:hint="eastAsia" w:ascii="宋体" w:hAnsi="宋体"/>
                <w:sz w:val="24"/>
                <w:szCs w:val="24"/>
              </w:rPr>
            </w:pPr>
            <w:r>
              <w:rPr>
                <w:rFonts w:hint="eastAsia" w:ascii="宋体" w:hAnsi="宋体"/>
                <w:sz w:val="24"/>
                <w:szCs w:val="24"/>
              </w:rPr>
              <w:t>1</w:t>
            </w:r>
          </w:p>
        </w:tc>
        <w:tc>
          <w:tcPr>
            <w:tcW w:w="3054" w:type="dxa"/>
            <w:vAlign w:val="center"/>
          </w:tcPr>
          <w:p w14:paraId="66D5600D">
            <w:pPr>
              <w:jc w:val="center"/>
              <w:rPr>
                <w:rFonts w:hint="eastAsia" w:ascii="宋体" w:hAnsi="宋体"/>
                <w:sz w:val="24"/>
                <w:szCs w:val="24"/>
              </w:rPr>
            </w:pPr>
            <w:r>
              <w:rPr>
                <w:rFonts w:hint="eastAsia" w:ascii="宋体" w:hAnsi="宋体"/>
                <w:sz w:val="24"/>
                <w:szCs w:val="24"/>
              </w:rPr>
              <w:t>工期：</w:t>
            </w:r>
          </w:p>
        </w:tc>
        <w:tc>
          <w:tcPr>
            <w:tcW w:w="2852" w:type="dxa"/>
            <w:vAlign w:val="center"/>
          </w:tcPr>
          <w:p w14:paraId="22D2BAE0">
            <w:pPr>
              <w:jc w:val="center"/>
              <w:rPr>
                <w:rFonts w:hint="eastAsia" w:ascii="宋体" w:hAnsi="宋体"/>
                <w:sz w:val="24"/>
                <w:szCs w:val="24"/>
              </w:rPr>
            </w:pPr>
          </w:p>
        </w:tc>
        <w:tc>
          <w:tcPr>
            <w:tcW w:w="1308" w:type="dxa"/>
            <w:vAlign w:val="center"/>
          </w:tcPr>
          <w:p w14:paraId="0957E949">
            <w:pPr>
              <w:jc w:val="center"/>
              <w:rPr>
                <w:rFonts w:hint="eastAsia" w:ascii="宋体" w:hAnsi="宋体"/>
                <w:sz w:val="24"/>
                <w:szCs w:val="24"/>
              </w:rPr>
            </w:pPr>
          </w:p>
        </w:tc>
        <w:tc>
          <w:tcPr>
            <w:tcW w:w="1173" w:type="dxa"/>
            <w:vAlign w:val="center"/>
          </w:tcPr>
          <w:p w14:paraId="0C9D5B0E">
            <w:pPr>
              <w:jc w:val="center"/>
              <w:rPr>
                <w:rFonts w:hint="eastAsia" w:ascii="宋体" w:hAnsi="宋体"/>
                <w:sz w:val="24"/>
                <w:szCs w:val="24"/>
              </w:rPr>
            </w:pPr>
          </w:p>
        </w:tc>
      </w:tr>
      <w:tr w14:paraId="6CA2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1DC1CFBE">
            <w:pPr>
              <w:jc w:val="center"/>
              <w:rPr>
                <w:rFonts w:hint="eastAsia" w:ascii="宋体" w:hAnsi="宋体"/>
                <w:sz w:val="24"/>
                <w:szCs w:val="24"/>
              </w:rPr>
            </w:pPr>
            <w:r>
              <w:rPr>
                <w:rFonts w:hint="eastAsia" w:ascii="宋体" w:hAnsi="宋体"/>
                <w:sz w:val="24"/>
                <w:szCs w:val="24"/>
              </w:rPr>
              <w:t>2</w:t>
            </w:r>
          </w:p>
        </w:tc>
        <w:tc>
          <w:tcPr>
            <w:tcW w:w="3054" w:type="dxa"/>
            <w:vAlign w:val="center"/>
          </w:tcPr>
          <w:p w14:paraId="2F4B6173">
            <w:pPr>
              <w:jc w:val="center"/>
              <w:rPr>
                <w:rFonts w:hint="eastAsia" w:ascii="宋体" w:hAnsi="宋体"/>
                <w:sz w:val="24"/>
                <w:szCs w:val="24"/>
              </w:rPr>
            </w:pPr>
            <w:r>
              <w:rPr>
                <w:rFonts w:hint="eastAsia" w:ascii="宋体" w:hAnsi="宋体"/>
                <w:sz w:val="24"/>
                <w:szCs w:val="24"/>
              </w:rPr>
              <w:t>地点：</w:t>
            </w:r>
          </w:p>
        </w:tc>
        <w:tc>
          <w:tcPr>
            <w:tcW w:w="2852" w:type="dxa"/>
            <w:vAlign w:val="center"/>
          </w:tcPr>
          <w:p w14:paraId="79E63FCE">
            <w:pPr>
              <w:jc w:val="center"/>
              <w:rPr>
                <w:rFonts w:hint="eastAsia" w:ascii="宋体" w:hAnsi="宋体"/>
                <w:sz w:val="24"/>
                <w:szCs w:val="24"/>
              </w:rPr>
            </w:pPr>
          </w:p>
        </w:tc>
        <w:tc>
          <w:tcPr>
            <w:tcW w:w="1308" w:type="dxa"/>
            <w:vAlign w:val="center"/>
          </w:tcPr>
          <w:p w14:paraId="112AC989">
            <w:pPr>
              <w:jc w:val="center"/>
              <w:rPr>
                <w:rFonts w:hint="eastAsia" w:ascii="宋体" w:hAnsi="宋体"/>
                <w:sz w:val="24"/>
                <w:szCs w:val="24"/>
              </w:rPr>
            </w:pPr>
          </w:p>
        </w:tc>
        <w:tc>
          <w:tcPr>
            <w:tcW w:w="1173" w:type="dxa"/>
            <w:vAlign w:val="center"/>
          </w:tcPr>
          <w:p w14:paraId="31823E73">
            <w:pPr>
              <w:jc w:val="center"/>
              <w:rPr>
                <w:rFonts w:hint="eastAsia" w:ascii="宋体" w:hAnsi="宋体"/>
                <w:sz w:val="24"/>
                <w:szCs w:val="24"/>
              </w:rPr>
            </w:pPr>
          </w:p>
        </w:tc>
      </w:tr>
      <w:tr w14:paraId="4F1B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31EE93F7">
            <w:pPr>
              <w:jc w:val="center"/>
              <w:rPr>
                <w:rFonts w:hint="eastAsia" w:ascii="宋体" w:hAnsi="宋体"/>
                <w:sz w:val="24"/>
                <w:szCs w:val="24"/>
              </w:rPr>
            </w:pPr>
            <w:r>
              <w:rPr>
                <w:rFonts w:hint="eastAsia" w:ascii="宋体" w:hAnsi="宋体"/>
                <w:sz w:val="24"/>
                <w:szCs w:val="24"/>
              </w:rPr>
              <w:t>3</w:t>
            </w:r>
          </w:p>
        </w:tc>
        <w:tc>
          <w:tcPr>
            <w:tcW w:w="3054" w:type="dxa"/>
            <w:vAlign w:val="center"/>
          </w:tcPr>
          <w:p w14:paraId="28AF300A">
            <w:pPr>
              <w:jc w:val="center"/>
              <w:rPr>
                <w:rFonts w:hint="eastAsia" w:ascii="宋体" w:hAnsi="宋体" w:eastAsia="宋体"/>
                <w:sz w:val="24"/>
                <w:szCs w:val="24"/>
                <w:lang w:eastAsia="zh-CN"/>
              </w:rPr>
            </w:pPr>
            <w:r>
              <w:rPr>
                <w:rFonts w:hint="eastAsia" w:ascii="宋体" w:hAnsi="宋体"/>
                <w:sz w:val="24"/>
                <w:szCs w:val="24"/>
              </w:rPr>
              <w:t>付款方式</w:t>
            </w:r>
            <w:r>
              <w:rPr>
                <w:rFonts w:hint="eastAsia" w:ascii="宋体" w:hAnsi="宋体"/>
                <w:sz w:val="24"/>
                <w:szCs w:val="24"/>
                <w:lang w:eastAsia="zh-CN"/>
              </w:rPr>
              <w:t>：</w:t>
            </w:r>
          </w:p>
        </w:tc>
        <w:tc>
          <w:tcPr>
            <w:tcW w:w="2852" w:type="dxa"/>
            <w:vAlign w:val="center"/>
          </w:tcPr>
          <w:p w14:paraId="63D2CA25">
            <w:pPr>
              <w:jc w:val="center"/>
              <w:rPr>
                <w:rFonts w:hint="eastAsia" w:ascii="宋体" w:hAnsi="宋体"/>
                <w:sz w:val="24"/>
                <w:szCs w:val="24"/>
              </w:rPr>
            </w:pPr>
          </w:p>
        </w:tc>
        <w:tc>
          <w:tcPr>
            <w:tcW w:w="1308" w:type="dxa"/>
            <w:vAlign w:val="center"/>
          </w:tcPr>
          <w:p w14:paraId="28A1D777">
            <w:pPr>
              <w:jc w:val="center"/>
              <w:rPr>
                <w:rFonts w:hint="eastAsia" w:ascii="宋体" w:hAnsi="宋体"/>
                <w:sz w:val="24"/>
                <w:szCs w:val="24"/>
              </w:rPr>
            </w:pPr>
          </w:p>
        </w:tc>
        <w:tc>
          <w:tcPr>
            <w:tcW w:w="1173" w:type="dxa"/>
            <w:vAlign w:val="center"/>
          </w:tcPr>
          <w:p w14:paraId="63D3CAE4">
            <w:pPr>
              <w:jc w:val="center"/>
              <w:rPr>
                <w:rFonts w:hint="eastAsia" w:ascii="宋体" w:hAnsi="宋体"/>
                <w:sz w:val="24"/>
                <w:szCs w:val="24"/>
              </w:rPr>
            </w:pPr>
          </w:p>
        </w:tc>
      </w:tr>
      <w:tr w14:paraId="0DA4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DC20BCD">
            <w:pPr>
              <w:jc w:val="center"/>
              <w:rPr>
                <w:rFonts w:hint="eastAsia" w:ascii="宋体" w:hAnsi="宋体"/>
                <w:sz w:val="24"/>
                <w:szCs w:val="24"/>
              </w:rPr>
            </w:pPr>
            <w:r>
              <w:rPr>
                <w:rFonts w:hint="eastAsia" w:ascii="宋体" w:hAnsi="宋体"/>
                <w:sz w:val="24"/>
                <w:szCs w:val="24"/>
              </w:rPr>
              <w:t>4</w:t>
            </w:r>
          </w:p>
        </w:tc>
        <w:tc>
          <w:tcPr>
            <w:tcW w:w="3054" w:type="dxa"/>
            <w:vAlign w:val="center"/>
          </w:tcPr>
          <w:p w14:paraId="484BB02F">
            <w:pPr>
              <w:jc w:val="center"/>
              <w:rPr>
                <w:rFonts w:hint="eastAsia" w:ascii="宋体" w:hAnsi="宋体"/>
                <w:sz w:val="24"/>
                <w:szCs w:val="24"/>
              </w:rPr>
            </w:pPr>
            <w:r>
              <w:rPr>
                <w:rFonts w:hint="eastAsia" w:ascii="宋体" w:hAnsi="宋体"/>
                <w:sz w:val="24"/>
                <w:szCs w:val="24"/>
              </w:rPr>
              <w:t>其他</w:t>
            </w:r>
          </w:p>
        </w:tc>
        <w:tc>
          <w:tcPr>
            <w:tcW w:w="2852" w:type="dxa"/>
            <w:vAlign w:val="center"/>
          </w:tcPr>
          <w:p w14:paraId="1AB2C688">
            <w:pPr>
              <w:jc w:val="center"/>
              <w:rPr>
                <w:rFonts w:hint="eastAsia" w:ascii="宋体" w:hAnsi="宋体"/>
                <w:sz w:val="24"/>
                <w:szCs w:val="24"/>
              </w:rPr>
            </w:pPr>
          </w:p>
        </w:tc>
        <w:tc>
          <w:tcPr>
            <w:tcW w:w="1308" w:type="dxa"/>
            <w:vAlign w:val="center"/>
          </w:tcPr>
          <w:p w14:paraId="5776FF82">
            <w:pPr>
              <w:jc w:val="center"/>
              <w:rPr>
                <w:rFonts w:hint="eastAsia" w:ascii="宋体" w:hAnsi="宋体"/>
                <w:sz w:val="24"/>
                <w:szCs w:val="24"/>
              </w:rPr>
            </w:pPr>
          </w:p>
        </w:tc>
        <w:tc>
          <w:tcPr>
            <w:tcW w:w="1173" w:type="dxa"/>
            <w:vAlign w:val="center"/>
          </w:tcPr>
          <w:p w14:paraId="0B350F99">
            <w:pPr>
              <w:jc w:val="center"/>
              <w:rPr>
                <w:rFonts w:hint="eastAsia" w:ascii="宋体" w:hAnsi="宋体"/>
                <w:sz w:val="24"/>
                <w:szCs w:val="24"/>
              </w:rPr>
            </w:pPr>
          </w:p>
        </w:tc>
      </w:tr>
      <w:tr w14:paraId="708FD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699CC0E3">
            <w:pPr>
              <w:jc w:val="center"/>
              <w:rPr>
                <w:rFonts w:hint="eastAsia" w:ascii="宋体" w:hAnsi="宋体"/>
                <w:sz w:val="24"/>
                <w:szCs w:val="24"/>
              </w:rPr>
            </w:pPr>
          </w:p>
        </w:tc>
        <w:tc>
          <w:tcPr>
            <w:tcW w:w="3054" w:type="dxa"/>
            <w:vAlign w:val="center"/>
          </w:tcPr>
          <w:p w14:paraId="3DA0BB9A">
            <w:pPr>
              <w:jc w:val="center"/>
              <w:rPr>
                <w:rFonts w:hint="eastAsia" w:ascii="宋体" w:hAnsi="宋体"/>
                <w:sz w:val="24"/>
                <w:szCs w:val="24"/>
              </w:rPr>
            </w:pPr>
          </w:p>
        </w:tc>
        <w:tc>
          <w:tcPr>
            <w:tcW w:w="2852" w:type="dxa"/>
            <w:vAlign w:val="center"/>
          </w:tcPr>
          <w:p w14:paraId="5A49D571">
            <w:pPr>
              <w:jc w:val="center"/>
              <w:rPr>
                <w:rFonts w:hint="eastAsia" w:ascii="宋体" w:hAnsi="宋体"/>
                <w:sz w:val="24"/>
                <w:szCs w:val="24"/>
              </w:rPr>
            </w:pPr>
          </w:p>
        </w:tc>
        <w:tc>
          <w:tcPr>
            <w:tcW w:w="1308" w:type="dxa"/>
            <w:vAlign w:val="center"/>
          </w:tcPr>
          <w:p w14:paraId="5D8E295D">
            <w:pPr>
              <w:jc w:val="center"/>
              <w:rPr>
                <w:rFonts w:hint="eastAsia" w:ascii="宋体" w:hAnsi="宋体"/>
                <w:sz w:val="24"/>
                <w:szCs w:val="24"/>
              </w:rPr>
            </w:pPr>
          </w:p>
        </w:tc>
        <w:tc>
          <w:tcPr>
            <w:tcW w:w="1173" w:type="dxa"/>
            <w:vAlign w:val="center"/>
          </w:tcPr>
          <w:p w14:paraId="31D5C268">
            <w:pPr>
              <w:jc w:val="center"/>
              <w:rPr>
                <w:rFonts w:hint="eastAsia" w:ascii="宋体" w:hAnsi="宋体"/>
                <w:sz w:val="24"/>
                <w:szCs w:val="24"/>
              </w:rPr>
            </w:pPr>
          </w:p>
        </w:tc>
      </w:tr>
      <w:tr w14:paraId="40260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5A83FBA2">
            <w:pPr>
              <w:jc w:val="center"/>
              <w:rPr>
                <w:rFonts w:hint="eastAsia" w:ascii="宋体" w:hAnsi="宋体"/>
                <w:sz w:val="24"/>
                <w:szCs w:val="24"/>
              </w:rPr>
            </w:pPr>
          </w:p>
        </w:tc>
        <w:tc>
          <w:tcPr>
            <w:tcW w:w="3054" w:type="dxa"/>
            <w:vAlign w:val="center"/>
          </w:tcPr>
          <w:p w14:paraId="14595A55">
            <w:pPr>
              <w:jc w:val="center"/>
              <w:rPr>
                <w:rFonts w:hint="eastAsia" w:ascii="宋体" w:hAnsi="宋体"/>
                <w:sz w:val="24"/>
                <w:szCs w:val="24"/>
              </w:rPr>
            </w:pPr>
          </w:p>
        </w:tc>
        <w:tc>
          <w:tcPr>
            <w:tcW w:w="2852" w:type="dxa"/>
            <w:vAlign w:val="center"/>
          </w:tcPr>
          <w:p w14:paraId="42EB389C">
            <w:pPr>
              <w:jc w:val="center"/>
              <w:rPr>
                <w:rFonts w:hint="eastAsia" w:ascii="宋体" w:hAnsi="宋体"/>
                <w:sz w:val="24"/>
                <w:szCs w:val="24"/>
              </w:rPr>
            </w:pPr>
          </w:p>
        </w:tc>
        <w:tc>
          <w:tcPr>
            <w:tcW w:w="1308" w:type="dxa"/>
            <w:vAlign w:val="center"/>
          </w:tcPr>
          <w:p w14:paraId="54E78852">
            <w:pPr>
              <w:jc w:val="center"/>
              <w:rPr>
                <w:rFonts w:hint="eastAsia" w:ascii="宋体" w:hAnsi="宋体"/>
                <w:sz w:val="24"/>
                <w:szCs w:val="24"/>
              </w:rPr>
            </w:pPr>
          </w:p>
        </w:tc>
        <w:tc>
          <w:tcPr>
            <w:tcW w:w="1173" w:type="dxa"/>
            <w:vAlign w:val="center"/>
          </w:tcPr>
          <w:p w14:paraId="51658ED9">
            <w:pPr>
              <w:jc w:val="center"/>
              <w:rPr>
                <w:rFonts w:hint="eastAsia" w:ascii="宋体" w:hAnsi="宋体"/>
                <w:sz w:val="24"/>
                <w:szCs w:val="24"/>
              </w:rPr>
            </w:pPr>
          </w:p>
        </w:tc>
      </w:tr>
      <w:tr w14:paraId="6F0A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0E97D496">
            <w:pPr>
              <w:jc w:val="center"/>
              <w:rPr>
                <w:rFonts w:hint="eastAsia" w:ascii="宋体" w:hAnsi="宋体"/>
                <w:sz w:val="24"/>
                <w:szCs w:val="24"/>
              </w:rPr>
            </w:pPr>
          </w:p>
        </w:tc>
        <w:tc>
          <w:tcPr>
            <w:tcW w:w="3054" w:type="dxa"/>
            <w:vAlign w:val="center"/>
          </w:tcPr>
          <w:p w14:paraId="71C33676">
            <w:pPr>
              <w:jc w:val="center"/>
              <w:rPr>
                <w:rFonts w:hint="eastAsia" w:ascii="宋体" w:hAnsi="宋体"/>
                <w:sz w:val="24"/>
                <w:szCs w:val="24"/>
              </w:rPr>
            </w:pPr>
          </w:p>
        </w:tc>
        <w:tc>
          <w:tcPr>
            <w:tcW w:w="2852" w:type="dxa"/>
            <w:vAlign w:val="center"/>
          </w:tcPr>
          <w:p w14:paraId="690D4101">
            <w:pPr>
              <w:jc w:val="center"/>
              <w:rPr>
                <w:rFonts w:hint="eastAsia" w:ascii="宋体" w:hAnsi="宋体"/>
                <w:sz w:val="24"/>
                <w:szCs w:val="24"/>
              </w:rPr>
            </w:pPr>
          </w:p>
        </w:tc>
        <w:tc>
          <w:tcPr>
            <w:tcW w:w="1308" w:type="dxa"/>
            <w:vAlign w:val="center"/>
          </w:tcPr>
          <w:p w14:paraId="3C83B22F">
            <w:pPr>
              <w:jc w:val="center"/>
              <w:rPr>
                <w:rFonts w:hint="eastAsia" w:ascii="宋体" w:hAnsi="宋体"/>
                <w:sz w:val="24"/>
                <w:szCs w:val="24"/>
              </w:rPr>
            </w:pPr>
          </w:p>
        </w:tc>
        <w:tc>
          <w:tcPr>
            <w:tcW w:w="1173" w:type="dxa"/>
            <w:vAlign w:val="center"/>
          </w:tcPr>
          <w:p w14:paraId="2357815A">
            <w:pPr>
              <w:jc w:val="center"/>
              <w:rPr>
                <w:rFonts w:hint="eastAsia" w:ascii="宋体" w:hAnsi="宋体"/>
                <w:sz w:val="24"/>
                <w:szCs w:val="24"/>
              </w:rPr>
            </w:pPr>
          </w:p>
        </w:tc>
      </w:tr>
      <w:tr w14:paraId="25702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82" w:type="dxa"/>
            <w:vAlign w:val="center"/>
          </w:tcPr>
          <w:p w14:paraId="74E3A663">
            <w:pPr>
              <w:jc w:val="center"/>
              <w:rPr>
                <w:rFonts w:hint="eastAsia" w:ascii="宋体" w:hAnsi="宋体"/>
                <w:sz w:val="24"/>
                <w:szCs w:val="24"/>
              </w:rPr>
            </w:pPr>
          </w:p>
        </w:tc>
        <w:tc>
          <w:tcPr>
            <w:tcW w:w="3054" w:type="dxa"/>
            <w:vAlign w:val="center"/>
          </w:tcPr>
          <w:p w14:paraId="5C732178">
            <w:pPr>
              <w:jc w:val="center"/>
              <w:rPr>
                <w:rFonts w:hint="eastAsia" w:ascii="宋体" w:hAnsi="宋体"/>
                <w:sz w:val="24"/>
                <w:szCs w:val="24"/>
              </w:rPr>
            </w:pPr>
            <w:r>
              <w:rPr>
                <w:rFonts w:ascii="宋体" w:hAnsi="宋体"/>
                <w:sz w:val="24"/>
                <w:szCs w:val="24"/>
              </w:rPr>
              <w:t>……</w:t>
            </w:r>
          </w:p>
        </w:tc>
        <w:tc>
          <w:tcPr>
            <w:tcW w:w="2852" w:type="dxa"/>
            <w:vAlign w:val="center"/>
          </w:tcPr>
          <w:p w14:paraId="47D7DC06">
            <w:pPr>
              <w:jc w:val="center"/>
              <w:rPr>
                <w:rFonts w:hint="eastAsia" w:ascii="宋体" w:hAnsi="宋体"/>
                <w:sz w:val="24"/>
                <w:szCs w:val="24"/>
              </w:rPr>
            </w:pPr>
          </w:p>
        </w:tc>
        <w:tc>
          <w:tcPr>
            <w:tcW w:w="1308" w:type="dxa"/>
            <w:vAlign w:val="center"/>
          </w:tcPr>
          <w:p w14:paraId="3F20AD71">
            <w:pPr>
              <w:jc w:val="center"/>
              <w:rPr>
                <w:rFonts w:hint="eastAsia" w:ascii="宋体" w:hAnsi="宋体"/>
                <w:sz w:val="24"/>
                <w:szCs w:val="24"/>
              </w:rPr>
            </w:pPr>
          </w:p>
        </w:tc>
        <w:tc>
          <w:tcPr>
            <w:tcW w:w="1173" w:type="dxa"/>
            <w:vAlign w:val="center"/>
          </w:tcPr>
          <w:p w14:paraId="63AAAB07">
            <w:pPr>
              <w:jc w:val="center"/>
              <w:rPr>
                <w:rFonts w:hint="eastAsia" w:ascii="宋体" w:hAnsi="宋体"/>
                <w:sz w:val="24"/>
                <w:szCs w:val="24"/>
              </w:rPr>
            </w:pPr>
          </w:p>
        </w:tc>
      </w:tr>
    </w:tbl>
    <w:p w14:paraId="5AFD738D">
      <w:pPr>
        <w:rPr>
          <w:rFonts w:hint="eastAsia" w:ascii="宋体" w:hAnsi="宋体"/>
          <w:sz w:val="24"/>
          <w:szCs w:val="24"/>
        </w:rPr>
      </w:pPr>
      <w:r>
        <w:rPr>
          <w:rFonts w:hint="eastAsia" w:ascii="宋体" w:hAnsi="宋体"/>
          <w:sz w:val="24"/>
          <w:szCs w:val="24"/>
        </w:rPr>
        <w:t>注： 行数不够，可自行添加。</w:t>
      </w:r>
    </w:p>
    <w:p w14:paraId="4846BDCA">
      <w:pPr>
        <w:spacing w:line="480" w:lineRule="auto"/>
        <w:rPr>
          <w:rFonts w:hint="eastAsia" w:ascii="宋体" w:hAnsi="宋体"/>
          <w:sz w:val="24"/>
          <w:szCs w:val="21"/>
        </w:rPr>
      </w:pPr>
    </w:p>
    <w:p w14:paraId="5CEBD8DB"/>
    <w:p w14:paraId="5EEB27AB">
      <w:pPr>
        <w:pStyle w:val="58"/>
        <w:ind w:firstLine="0" w:firstLineChars="0"/>
      </w:pPr>
    </w:p>
    <w:p w14:paraId="3A2E18B7">
      <w:pPr>
        <w:jc w:val="center"/>
        <w:rPr>
          <w:rFonts w:hint="eastAsia" w:ascii="黑体" w:hAnsi="黑体" w:eastAsia="黑体"/>
          <w:b/>
          <w:sz w:val="32"/>
          <w:szCs w:val="32"/>
        </w:rPr>
      </w:pPr>
      <w:r>
        <w:rPr>
          <w:rFonts w:hint="eastAsia" w:ascii="黑体" w:hAnsi="黑体" w:eastAsia="黑体"/>
          <w:b/>
          <w:sz w:val="32"/>
          <w:szCs w:val="32"/>
        </w:rPr>
        <w:br w:type="page"/>
      </w:r>
    </w:p>
    <w:p w14:paraId="5FD31846">
      <w:pPr>
        <w:jc w:val="both"/>
        <w:rPr>
          <w:rFonts w:hint="eastAsia" w:ascii="黑体" w:hAnsi="黑体" w:eastAsia="黑体"/>
          <w:b/>
          <w:sz w:val="32"/>
          <w:szCs w:val="32"/>
        </w:rPr>
      </w:pPr>
    </w:p>
    <w:p w14:paraId="18BCDEE8">
      <w:pPr>
        <w:jc w:val="center"/>
        <w:rPr>
          <w:rFonts w:hint="eastAsia" w:ascii="黑体" w:hAnsi="黑体" w:eastAsia="黑体"/>
          <w:b/>
          <w:sz w:val="32"/>
          <w:szCs w:val="32"/>
        </w:rPr>
      </w:pPr>
      <w:r>
        <w:rPr>
          <w:rFonts w:hint="eastAsia" w:ascii="黑体" w:hAnsi="黑体" w:eastAsia="黑体"/>
          <w:b/>
          <w:sz w:val="32"/>
          <w:szCs w:val="32"/>
          <w:lang w:val="en-US" w:eastAsia="zh-CN"/>
        </w:rPr>
        <w:t>十五、</w:t>
      </w:r>
      <w:r>
        <w:rPr>
          <w:rFonts w:hint="eastAsia" w:ascii="黑体" w:hAnsi="黑体" w:eastAsia="黑体"/>
          <w:b/>
          <w:sz w:val="32"/>
          <w:szCs w:val="32"/>
        </w:rPr>
        <w:t>其他</w:t>
      </w:r>
    </w:p>
    <w:p w14:paraId="20C03B0E">
      <w:pPr>
        <w:spacing w:line="360" w:lineRule="auto"/>
        <w:jc w:val="center"/>
        <w:rPr>
          <w:rFonts w:hint="eastAsia" w:ascii="宋体" w:hAnsi="宋体" w:cs="宋体"/>
          <w:szCs w:val="21"/>
        </w:rPr>
      </w:pPr>
      <w:r>
        <w:rPr>
          <w:rFonts w:hint="eastAsia" w:ascii="宋体" w:hAnsi="宋体" w:cs="宋体"/>
          <w:szCs w:val="21"/>
        </w:rPr>
        <w:t>（方案及供应商认为有必要提供的声明和文件，如有自拟并自行添加）</w:t>
      </w:r>
    </w:p>
    <w:p w14:paraId="09A65A96">
      <w:pPr>
        <w:pStyle w:val="62"/>
        <w:ind w:firstLine="400"/>
      </w:pPr>
      <w:r>
        <w:br w:type="page"/>
      </w:r>
    </w:p>
    <w:p w14:paraId="4DEDDF71">
      <w:pPr>
        <w:jc w:val="center"/>
        <w:rPr>
          <w:rFonts w:hint="eastAsia" w:ascii="宋体" w:hAnsi="宋体" w:cs="宋体"/>
          <w:spacing w:val="-11"/>
          <w:sz w:val="30"/>
          <w:szCs w:val="30"/>
        </w:rPr>
      </w:pPr>
      <w:r>
        <w:rPr>
          <w:rFonts w:hint="eastAsia" w:ascii="宋体" w:hAnsi="宋体" w:cs="宋体"/>
          <w:b/>
          <w:sz w:val="36"/>
          <w:szCs w:val="36"/>
        </w:rPr>
        <w:t>供应商参加磋商确认函</w:t>
      </w:r>
    </w:p>
    <w:p w14:paraId="39A1DFAC">
      <w:pPr>
        <w:spacing w:line="360" w:lineRule="auto"/>
        <w:rPr>
          <w:rFonts w:hint="eastAsia" w:ascii="宋体" w:hAnsi="宋体" w:cs="宋体"/>
          <w:sz w:val="30"/>
          <w:szCs w:val="30"/>
          <w:u w:val="single"/>
        </w:rPr>
      </w:pPr>
      <w:r>
        <w:rPr>
          <w:rFonts w:hint="eastAsia" w:ascii="宋体" w:hAnsi="宋体" w:cs="宋体"/>
          <w:spacing w:val="-11"/>
          <w:sz w:val="30"/>
          <w:szCs w:val="30"/>
          <w:u w:val="single"/>
          <w:lang w:eastAsia="zh-CN"/>
        </w:rPr>
        <w:t>江苏苏维工程管理有限公司</w:t>
      </w:r>
      <w:r>
        <w:rPr>
          <w:rFonts w:hint="eastAsia" w:ascii="宋体" w:hAnsi="宋体" w:cs="宋体"/>
          <w:sz w:val="30"/>
          <w:szCs w:val="30"/>
          <w:u w:val="single"/>
        </w:rPr>
        <w:t>：</w:t>
      </w:r>
    </w:p>
    <w:p w14:paraId="120E995C">
      <w:pPr>
        <w:spacing w:line="360" w:lineRule="auto"/>
        <w:ind w:firstLine="600" w:firstLineChars="200"/>
        <w:rPr>
          <w:rFonts w:hint="eastAsia" w:ascii="宋体" w:hAnsi="宋体" w:cs="宋体"/>
          <w:sz w:val="30"/>
          <w:szCs w:val="30"/>
        </w:rPr>
      </w:pPr>
      <w:r>
        <w:rPr>
          <w:rFonts w:hint="eastAsia" w:ascii="宋体" w:hAnsi="宋体" w:cs="宋体"/>
          <w:sz w:val="30"/>
          <w:szCs w:val="30"/>
        </w:rPr>
        <w:t>本单位将参加贵公司于</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日开标的采购编号为</w:t>
      </w:r>
      <w:r>
        <w:rPr>
          <w:rFonts w:hint="eastAsia" w:ascii="宋体" w:hAnsi="宋体" w:cs="宋体"/>
          <w:sz w:val="30"/>
          <w:szCs w:val="30"/>
          <w:u w:val="single"/>
        </w:rPr>
        <w:t xml:space="preserve">    </w:t>
      </w:r>
      <w:r>
        <w:rPr>
          <w:rFonts w:hint="eastAsia" w:ascii="宋体" w:hAnsi="宋体" w:cs="宋体"/>
          <w:sz w:val="30"/>
          <w:szCs w:val="30"/>
        </w:rPr>
        <w:t>项目名称为</w:t>
      </w:r>
      <w:r>
        <w:rPr>
          <w:rFonts w:hint="eastAsia" w:ascii="宋体" w:hAnsi="宋体" w:cs="宋体"/>
          <w:sz w:val="30"/>
          <w:szCs w:val="30"/>
          <w:u w:val="single"/>
        </w:rPr>
        <w:t xml:space="preserve">      </w:t>
      </w:r>
      <w:r>
        <w:rPr>
          <w:rFonts w:hint="eastAsia" w:ascii="宋体" w:hAnsi="宋体" w:cs="宋体"/>
          <w:sz w:val="30"/>
          <w:szCs w:val="30"/>
        </w:rPr>
        <w:t>项目的磋商。本单位已在</w:t>
      </w:r>
      <w:r>
        <w:rPr>
          <w:rFonts w:hint="eastAsia" w:ascii="宋体" w:hAnsi="宋体" w:cs="宋体"/>
          <w:sz w:val="30"/>
          <w:szCs w:val="30"/>
          <w:u w:val="single"/>
          <w:lang w:eastAsia="zh-CN"/>
        </w:rPr>
        <w:t>江苏苏维工程管理有限公司</w:t>
      </w:r>
      <w:r>
        <w:rPr>
          <w:rFonts w:hint="eastAsia" w:ascii="宋体" w:hAnsi="宋体" w:cs="宋体"/>
          <w:sz w:val="30"/>
          <w:szCs w:val="30"/>
        </w:rPr>
        <w:t>获取磋商文件，特发此函确认。</w:t>
      </w:r>
    </w:p>
    <w:p w14:paraId="551E2A06">
      <w:pPr>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（单位公章）</w:t>
      </w:r>
    </w:p>
    <w:p w14:paraId="013F0C96">
      <w:pPr>
        <w:pBdr>
          <w:bottom w:val="single" w:color="auto" w:sz="6" w:space="1"/>
        </w:pBdr>
        <w:ind w:left="4950" w:hanging="4950" w:hangingChars="1650"/>
        <w:rPr>
          <w:rFonts w:hint="eastAsia" w:ascii="宋体" w:hAnsi="宋体" w:cs="宋体"/>
          <w:sz w:val="30"/>
          <w:szCs w:val="30"/>
        </w:rPr>
      </w:pPr>
      <w:r>
        <w:rPr>
          <w:rFonts w:hint="eastAsia" w:ascii="宋体" w:hAnsi="宋体" w:cs="宋体"/>
          <w:sz w:val="30"/>
          <w:szCs w:val="30"/>
        </w:rPr>
        <w:t xml:space="preserve">　　　　　　　　　　　　          </w:t>
      </w:r>
      <w:r>
        <w:rPr>
          <w:rFonts w:hint="eastAsia" w:ascii="宋体" w:hAnsi="宋体" w:cs="宋体"/>
          <w:sz w:val="30"/>
          <w:szCs w:val="30"/>
          <w:u w:val="single"/>
        </w:rPr>
        <w:t xml:space="preserve">    </w:t>
      </w:r>
      <w:r>
        <w:rPr>
          <w:rFonts w:hint="eastAsia" w:ascii="宋体" w:hAnsi="宋体" w:cs="宋体"/>
          <w:sz w:val="30"/>
          <w:szCs w:val="30"/>
        </w:rPr>
        <w:t>年</w:t>
      </w:r>
      <w:r>
        <w:rPr>
          <w:rFonts w:hint="eastAsia" w:ascii="宋体" w:hAnsi="宋体" w:cs="宋体"/>
          <w:sz w:val="30"/>
          <w:szCs w:val="30"/>
          <w:u w:val="single"/>
        </w:rPr>
        <w:t xml:space="preserve">    </w:t>
      </w:r>
      <w:r>
        <w:rPr>
          <w:rFonts w:hint="eastAsia" w:ascii="宋体" w:hAnsi="宋体" w:cs="宋体"/>
          <w:sz w:val="30"/>
          <w:szCs w:val="30"/>
        </w:rPr>
        <w:t>月</w:t>
      </w:r>
      <w:r>
        <w:rPr>
          <w:rFonts w:hint="eastAsia" w:ascii="宋体" w:hAnsi="宋体" w:cs="宋体"/>
          <w:sz w:val="30"/>
          <w:szCs w:val="30"/>
          <w:u w:val="single"/>
        </w:rPr>
        <w:t xml:space="preserve">    </w:t>
      </w:r>
      <w:r>
        <w:rPr>
          <w:rFonts w:hint="eastAsia" w:ascii="宋体" w:hAnsi="宋体" w:cs="宋体"/>
          <w:sz w:val="30"/>
          <w:szCs w:val="30"/>
        </w:rPr>
        <w:t>日</w:t>
      </w:r>
    </w:p>
    <w:p w14:paraId="6AD29940">
      <w:pPr>
        <w:pBdr>
          <w:bottom w:val="single" w:color="auto" w:sz="6" w:space="1"/>
        </w:pBdr>
        <w:ind w:left="4950" w:hanging="4950" w:hangingChars="1650"/>
      </w:pPr>
      <w:r>
        <w:rPr>
          <w:rFonts w:hint="eastAsia" w:ascii="宋体" w:hAnsi="宋体" w:cs="宋体"/>
          <w:sz w:val="30"/>
          <w:szCs w:val="30"/>
        </w:rPr>
        <w:t xml:space="preserve"> </w:t>
      </w:r>
    </w:p>
    <w:p w14:paraId="2C4E2663">
      <w:pPr>
        <w:rPr>
          <w:rFonts w:hint="eastAsia" w:ascii="宋体" w:hAnsi="宋体" w:cs="宋体"/>
          <w:sz w:val="30"/>
          <w:szCs w:val="30"/>
        </w:rPr>
      </w:pPr>
      <w:r>
        <w:rPr>
          <w:rFonts w:hint="eastAsia" w:ascii="宋体" w:hAnsi="宋体" w:cs="宋体"/>
          <w:sz w:val="30"/>
          <w:szCs w:val="30"/>
        </w:rPr>
        <w:t>附：</w:t>
      </w:r>
    </w:p>
    <w:p w14:paraId="4D2365D4">
      <w:pPr>
        <w:jc w:val="center"/>
        <w:rPr>
          <w:rFonts w:hint="eastAsia" w:ascii="宋体" w:hAnsi="宋体" w:cs="宋体"/>
          <w:b/>
          <w:sz w:val="36"/>
          <w:szCs w:val="36"/>
        </w:rPr>
      </w:pPr>
      <w:bookmarkStart w:id="140" w:name="_Toc28635"/>
      <w:r>
        <w:rPr>
          <w:rFonts w:hint="eastAsia" w:ascii="宋体" w:hAnsi="宋体" w:cs="宋体"/>
          <w:b/>
          <w:sz w:val="36"/>
          <w:szCs w:val="36"/>
        </w:rPr>
        <w:t>供应商联系表</w:t>
      </w:r>
      <w:bookmarkEnd w:id="140"/>
    </w:p>
    <w:tbl>
      <w:tblPr>
        <w:tblStyle w:val="3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7"/>
        <w:gridCol w:w="2609"/>
        <w:gridCol w:w="2608"/>
        <w:gridCol w:w="2285"/>
      </w:tblGrid>
      <w:tr w14:paraId="4B8D5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620642E4">
            <w:pPr>
              <w:jc w:val="center"/>
              <w:rPr>
                <w:rFonts w:hint="eastAsia" w:ascii="宋体" w:hAnsi="宋体" w:cs="宋体"/>
                <w:sz w:val="30"/>
                <w:szCs w:val="30"/>
              </w:rPr>
            </w:pPr>
            <w:r>
              <w:rPr>
                <w:rFonts w:hint="eastAsia" w:ascii="宋体" w:hAnsi="宋体" w:cs="宋体"/>
                <w:sz w:val="30"/>
                <w:szCs w:val="30"/>
              </w:rPr>
              <w:t>单位名称</w:t>
            </w:r>
          </w:p>
        </w:tc>
        <w:tc>
          <w:tcPr>
            <w:tcW w:w="7502" w:type="dxa"/>
            <w:gridSpan w:val="3"/>
            <w:vAlign w:val="center"/>
          </w:tcPr>
          <w:p w14:paraId="25410C9B">
            <w:pPr>
              <w:jc w:val="center"/>
              <w:rPr>
                <w:rFonts w:hint="eastAsia" w:ascii="宋体" w:hAnsi="宋体" w:cs="宋体"/>
                <w:sz w:val="30"/>
                <w:szCs w:val="30"/>
              </w:rPr>
            </w:pPr>
          </w:p>
        </w:tc>
      </w:tr>
      <w:tr w14:paraId="3497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099EAFCD">
            <w:pPr>
              <w:jc w:val="center"/>
              <w:rPr>
                <w:rFonts w:hint="eastAsia" w:ascii="宋体" w:hAnsi="宋体" w:cs="宋体"/>
                <w:sz w:val="30"/>
                <w:szCs w:val="30"/>
              </w:rPr>
            </w:pPr>
            <w:r>
              <w:rPr>
                <w:rFonts w:hint="eastAsia" w:ascii="宋体" w:hAnsi="宋体" w:cs="宋体"/>
                <w:sz w:val="30"/>
                <w:szCs w:val="30"/>
              </w:rPr>
              <w:t>单位地址</w:t>
            </w:r>
          </w:p>
        </w:tc>
        <w:tc>
          <w:tcPr>
            <w:tcW w:w="7502" w:type="dxa"/>
            <w:gridSpan w:val="3"/>
            <w:vAlign w:val="center"/>
          </w:tcPr>
          <w:p w14:paraId="27CB12A8">
            <w:pPr>
              <w:jc w:val="center"/>
              <w:rPr>
                <w:rFonts w:hint="eastAsia" w:ascii="宋体" w:hAnsi="宋体" w:cs="宋体"/>
                <w:sz w:val="30"/>
                <w:szCs w:val="30"/>
              </w:rPr>
            </w:pPr>
          </w:p>
        </w:tc>
      </w:tr>
      <w:tr w14:paraId="085B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3313E9EA">
            <w:pPr>
              <w:jc w:val="center"/>
              <w:rPr>
                <w:rFonts w:hint="eastAsia" w:ascii="宋体" w:hAnsi="宋体" w:cs="宋体"/>
                <w:sz w:val="30"/>
                <w:szCs w:val="30"/>
              </w:rPr>
            </w:pPr>
            <w:r>
              <w:rPr>
                <w:rFonts w:hint="eastAsia" w:ascii="宋体" w:hAnsi="宋体" w:cs="宋体"/>
                <w:sz w:val="30"/>
                <w:szCs w:val="30"/>
              </w:rPr>
              <w:t>法定代表人</w:t>
            </w:r>
          </w:p>
        </w:tc>
        <w:tc>
          <w:tcPr>
            <w:tcW w:w="2609" w:type="dxa"/>
            <w:vAlign w:val="center"/>
          </w:tcPr>
          <w:p w14:paraId="1E0173AD">
            <w:pPr>
              <w:jc w:val="center"/>
              <w:rPr>
                <w:rFonts w:hint="eastAsia" w:ascii="宋体" w:hAnsi="宋体" w:cs="宋体"/>
                <w:sz w:val="30"/>
                <w:szCs w:val="30"/>
              </w:rPr>
            </w:pPr>
          </w:p>
        </w:tc>
        <w:tc>
          <w:tcPr>
            <w:tcW w:w="2608" w:type="dxa"/>
            <w:vAlign w:val="center"/>
          </w:tcPr>
          <w:p w14:paraId="38BF7A22">
            <w:pPr>
              <w:jc w:val="center"/>
              <w:rPr>
                <w:rFonts w:hint="eastAsia" w:ascii="宋体" w:hAnsi="宋体" w:cs="宋体"/>
                <w:sz w:val="30"/>
                <w:szCs w:val="30"/>
              </w:rPr>
            </w:pPr>
            <w:r>
              <w:rPr>
                <w:rFonts w:hint="eastAsia" w:ascii="宋体" w:hAnsi="宋体" w:cs="宋体"/>
                <w:sz w:val="30"/>
                <w:szCs w:val="30"/>
              </w:rPr>
              <w:t>邮    编</w:t>
            </w:r>
          </w:p>
        </w:tc>
        <w:tc>
          <w:tcPr>
            <w:tcW w:w="2285" w:type="dxa"/>
            <w:vAlign w:val="center"/>
          </w:tcPr>
          <w:p w14:paraId="24BD2C5E">
            <w:pPr>
              <w:jc w:val="center"/>
              <w:rPr>
                <w:rFonts w:hint="eastAsia" w:ascii="宋体" w:hAnsi="宋体" w:cs="宋体"/>
                <w:sz w:val="30"/>
                <w:szCs w:val="30"/>
              </w:rPr>
            </w:pPr>
          </w:p>
        </w:tc>
      </w:tr>
      <w:tr w14:paraId="1F64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43DEBB1E">
            <w:pPr>
              <w:jc w:val="center"/>
              <w:rPr>
                <w:rFonts w:hint="eastAsia" w:ascii="宋体" w:hAnsi="宋体" w:cs="宋体"/>
                <w:sz w:val="30"/>
                <w:szCs w:val="30"/>
              </w:rPr>
            </w:pPr>
            <w:r>
              <w:rPr>
                <w:rFonts w:hint="eastAsia" w:ascii="宋体" w:hAnsi="宋体" w:cs="宋体"/>
                <w:sz w:val="30"/>
                <w:szCs w:val="30"/>
              </w:rPr>
              <w:t>单位电话</w:t>
            </w:r>
          </w:p>
        </w:tc>
        <w:tc>
          <w:tcPr>
            <w:tcW w:w="2609" w:type="dxa"/>
            <w:vAlign w:val="center"/>
          </w:tcPr>
          <w:p w14:paraId="52BD3814">
            <w:pPr>
              <w:jc w:val="center"/>
              <w:rPr>
                <w:rFonts w:hint="eastAsia" w:ascii="宋体" w:hAnsi="宋体" w:cs="宋体"/>
                <w:sz w:val="30"/>
                <w:szCs w:val="30"/>
              </w:rPr>
            </w:pPr>
          </w:p>
        </w:tc>
        <w:tc>
          <w:tcPr>
            <w:tcW w:w="2608" w:type="dxa"/>
            <w:vAlign w:val="center"/>
          </w:tcPr>
          <w:p w14:paraId="401D2A5D">
            <w:pPr>
              <w:jc w:val="center"/>
              <w:rPr>
                <w:rFonts w:hint="eastAsia" w:ascii="宋体" w:hAnsi="宋体" w:cs="宋体"/>
                <w:sz w:val="30"/>
                <w:szCs w:val="30"/>
              </w:rPr>
            </w:pPr>
            <w:r>
              <w:rPr>
                <w:rFonts w:hint="eastAsia" w:ascii="宋体" w:hAnsi="宋体" w:cs="宋体"/>
                <w:sz w:val="30"/>
                <w:szCs w:val="30"/>
              </w:rPr>
              <w:t>传真号码</w:t>
            </w:r>
          </w:p>
        </w:tc>
        <w:tc>
          <w:tcPr>
            <w:tcW w:w="2285" w:type="dxa"/>
            <w:vAlign w:val="center"/>
          </w:tcPr>
          <w:p w14:paraId="39EEF61F">
            <w:pPr>
              <w:jc w:val="center"/>
              <w:rPr>
                <w:rFonts w:hint="eastAsia" w:ascii="宋体" w:hAnsi="宋体" w:cs="宋体"/>
                <w:sz w:val="30"/>
                <w:szCs w:val="30"/>
              </w:rPr>
            </w:pPr>
          </w:p>
        </w:tc>
      </w:tr>
      <w:tr w14:paraId="09C0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2317" w:type="dxa"/>
            <w:vAlign w:val="center"/>
          </w:tcPr>
          <w:p w14:paraId="798916E0">
            <w:pPr>
              <w:jc w:val="center"/>
              <w:rPr>
                <w:rFonts w:hint="eastAsia" w:ascii="宋体" w:hAnsi="宋体" w:cs="宋体"/>
                <w:sz w:val="30"/>
                <w:szCs w:val="30"/>
              </w:rPr>
            </w:pPr>
            <w:r>
              <w:rPr>
                <w:rFonts w:hint="eastAsia" w:ascii="宋体" w:hAnsi="宋体" w:cs="宋体"/>
                <w:sz w:val="30"/>
                <w:szCs w:val="30"/>
              </w:rPr>
              <w:t>项目联系人</w:t>
            </w:r>
          </w:p>
        </w:tc>
        <w:tc>
          <w:tcPr>
            <w:tcW w:w="2609" w:type="dxa"/>
            <w:vAlign w:val="center"/>
          </w:tcPr>
          <w:p w14:paraId="1B3F8B89">
            <w:pPr>
              <w:jc w:val="center"/>
              <w:rPr>
                <w:rFonts w:hint="eastAsia" w:ascii="宋体" w:hAnsi="宋体" w:cs="宋体"/>
                <w:sz w:val="30"/>
                <w:szCs w:val="30"/>
              </w:rPr>
            </w:pPr>
          </w:p>
        </w:tc>
        <w:tc>
          <w:tcPr>
            <w:tcW w:w="2608" w:type="dxa"/>
            <w:vAlign w:val="center"/>
          </w:tcPr>
          <w:p w14:paraId="6FD8B97E">
            <w:pPr>
              <w:jc w:val="center"/>
              <w:rPr>
                <w:rFonts w:hint="eastAsia" w:ascii="宋体" w:hAnsi="宋体" w:cs="宋体"/>
                <w:sz w:val="30"/>
                <w:szCs w:val="30"/>
              </w:rPr>
            </w:pPr>
            <w:r>
              <w:rPr>
                <w:rFonts w:hint="eastAsia" w:ascii="宋体" w:hAnsi="宋体" w:cs="宋体"/>
                <w:sz w:val="30"/>
                <w:szCs w:val="30"/>
              </w:rPr>
              <w:t>邮    箱</w:t>
            </w:r>
          </w:p>
        </w:tc>
        <w:tc>
          <w:tcPr>
            <w:tcW w:w="2285" w:type="dxa"/>
            <w:vAlign w:val="center"/>
          </w:tcPr>
          <w:p w14:paraId="685115DA">
            <w:pPr>
              <w:jc w:val="center"/>
              <w:rPr>
                <w:rFonts w:hint="eastAsia" w:ascii="宋体" w:hAnsi="宋体" w:cs="宋体"/>
                <w:sz w:val="30"/>
                <w:szCs w:val="30"/>
              </w:rPr>
            </w:pPr>
          </w:p>
        </w:tc>
      </w:tr>
      <w:tr w14:paraId="30142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317" w:type="dxa"/>
            <w:vAlign w:val="center"/>
          </w:tcPr>
          <w:p w14:paraId="2BDBF4CE">
            <w:pPr>
              <w:jc w:val="center"/>
              <w:rPr>
                <w:rFonts w:hint="eastAsia" w:ascii="宋体" w:hAnsi="宋体" w:cs="宋体"/>
                <w:sz w:val="30"/>
                <w:szCs w:val="30"/>
              </w:rPr>
            </w:pPr>
            <w:r>
              <w:rPr>
                <w:rFonts w:hint="eastAsia" w:ascii="宋体" w:hAnsi="宋体" w:cs="宋体"/>
                <w:sz w:val="30"/>
                <w:szCs w:val="30"/>
              </w:rPr>
              <w:t>联系人电话</w:t>
            </w:r>
          </w:p>
        </w:tc>
        <w:tc>
          <w:tcPr>
            <w:tcW w:w="2609" w:type="dxa"/>
            <w:vAlign w:val="center"/>
          </w:tcPr>
          <w:p w14:paraId="304B4B71">
            <w:pPr>
              <w:jc w:val="center"/>
              <w:rPr>
                <w:rFonts w:hint="eastAsia" w:ascii="宋体" w:hAnsi="宋体" w:cs="宋体"/>
                <w:sz w:val="30"/>
                <w:szCs w:val="30"/>
              </w:rPr>
            </w:pPr>
          </w:p>
        </w:tc>
        <w:tc>
          <w:tcPr>
            <w:tcW w:w="2608" w:type="dxa"/>
            <w:vAlign w:val="center"/>
          </w:tcPr>
          <w:p w14:paraId="539A0843">
            <w:pPr>
              <w:jc w:val="center"/>
              <w:rPr>
                <w:rFonts w:hint="eastAsia" w:ascii="宋体" w:hAnsi="宋体" w:cs="宋体"/>
                <w:sz w:val="30"/>
                <w:szCs w:val="30"/>
              </w:rPr>
            </w:pPr>
            <w:r>
              <w:rPr>
                <w:rFonts w:hint="eastAsia" w:ascii="宋体" w:hAnsi="宋体" w:cs="宋体"/>
                <w:sz w:val="30"/>
                <w:szCs w:val="30"/>
              </w:rPr>
              <w:t>联系人手机</w:t>
            </w:r>
          </w:p>
        </w:tc>
        <w:tc>
          <w:tcPr>
            <w:tcW w:w="2285" w:type="dxa"/>
            <w:vAlign w:val="center"/>
          </w:tcPr>
          <w:p w14:paraId="573BE6DA">
            <w:pPr>
              <w:jc w:val="center"/>
              <w:rPr>
                <w:rFonts w:hint="eastAsia" w:ascii="宋体" w:hAnsi="宋体" w:cs="宋体"/>
                <w:sz w:val="30"/>
                <w:szCs w:val="30"/>
              </w:rPr>
            </w:pPr>
          </w:p>
        </w:tc>
      </w:tr>
    </w:tbl>
    <w:p w14:paraId="0FC31412">
      <w:pPr>
        <w:spacing w:line="360" w:lineRule="auto"/>
        <w:jc w:val="left"/>
        <w:rPr>
          <w:rFonts w:hint="eastAsia" w:ascii="宋体" w:hAnsi="宋体" w:cs="宋体"/>
          <w:b/>
          <w:sz w:val="24"/>
        </w:rPr>
      </w:pPr>
      <w:r>
        <w:rPr>
          <w:rFonts w:hint="eastAsia" w:ascii="宋体" w:hAnsi="宋体" w:cs="宋体"/>
          <w:b/>
          <w:sz w:val="24"/>
        </w:rPr>
        <w:t>备注：1、请准备参与本项目磋商的供应商如实填写（以上信息均为必填内容）后邮件至采购代理机构（邮箱：</w:t>
      </w:r>
      <w:r>
        <w:rPr>
          <w:rFonts w:hint="eastAsia" w:ascii="宋体" w:hAnsi="宋体" w:cs="宋体"/>
          <w:b/>
          <w:sz w:val="24"/>
          <w:lang w:val="en-US" w:eastAsia="zh-CN"/>
        </w:rPr>
        <w:t>310671768</w:t>
      </w:r>
      <w:r>
        <w:rPr>
          <w:rFonts w:hint="eastAsia" w:ascii="宋体" w:hAnsi="宋体" w:cs="宋体"/>
          <w:b/>
          <w:sz w:val="24"/>
        </w:rPr>
        <w:t>@</w:t>
      </w:r>
      <w:r>
        <w:rPr>
          <w:rFonts w:hint="eastAsia" w:ascii="宋体" w:hAnsi="宋体" w:cs="宋体"/>
          <w:b/>
          <w:sz w:val="24"/>
          <w:lang w:val="en-US" w:eastAsia="zh-CN"/>
        </w:rPr>
        <w:t>qq</w:t>
      </w:r>
      <w:r>
        <w:rPr>
          <w:rFonts w:hint="eastAsia" w:ascii="宋体" w:hAnsi="宋体" w:cs="宋体"/>
          <w:b/>
          <w:sz w:val="24"/>
        </w:rPr>
        <w:t>.com，电话：</w:t>
      </w:r>
      <w:r>
        <w:rPr>
          <w:rFonts w:hint="eastAsia" w:ascii="宋体" w:hAnsi="宋体" w:cs="宋体"/>
          <w:b/>
          <w:sz w:val="24"/>
          <w:lang w:val="en-US" w:eastAsia="zh-CN"/>
        </w:rPr>
        <w:t>0514-82129121</w:t>
      </w:r>
      <w:r>
        <w:rPr>
          <w:rFonts w:hint="eastAsia" w:ascii="宋体" w:hAnsi="宋体" w:cs="宋体"/>
          <w:b/>
          <w:sz w:val="24"/>
        </w:rPr>
        <w:t>）。</w:t>
      </w:r>
    </w:p>
    <w:p w14:paraId="49E5B0AF">
      <w:r>
        <w:rPr>
          <w:rFonts w:hint="eastAsia" w:ascii="宋体" w:hAnsi="宋体" w:cs="宋体"/>
          <w:b/>
          <w:sz w:val="24"/>
        </w:rPr>
        <w:t>2、因供应商填写有误，造成以上信息资料的不实将由供应商承担责任。</w:t>
      </w:r>
    </w:p>
    <w:sectPr>
      <w:footerReference r:id="rId6" w:type="default"/>
      <w:pgSz w:w="11906" w:h="16838"/>
      <w:pgMar w:top="1440" w:right="1417" w:bottom="1440" w:left="1417" w:header="1191" w:footer="992" w:gutter="0"/>
      <w:pgNumType w:fmt="numberInDash" w:start="1"/>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altName w:val="宋体"/>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71037">
    <w:pPr>
      <w:pStyle w:val="1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A8520">
    <w:pPr>
      <w:pStyle w:val="19"/>
      <w:tabs>
        <w:tab w:val="center" w:pos="4536"/>
        <w:tab w:val="clear" w:pos="4153"/>
      </w:tabs>
      <w:jc w:val="both"/>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96DCC">
    <w:pPr>
      <w:pStyle w:val="19"/>
      <w:tabs>
        <w:tab w:val="center" w:pos="4536"/>
        <w:tab w:val="clear" w:pos="4153"/>
      </w:tabs>
      <w:jc w:val="both"/>
      <w:rPr>
        <w:rFonts w:hint="default"/>
        <w:lang w:val="en-US"/>
      </w:rPr>
    </w:pPr>
    <w:r>
      <mc:AlternateContent>
        <mc:Choice Requires="wps">
          <w:drawing>
            <wp:anchor distT="0" distB="0" distL="114300" distR="114300" simplePos="0" relativeHeight="251659264" behindDoc="0" locked="0" layoutInCell="1" allowOverlap="1">
              <wp:simplePos x="0" y="0"/>
              <wp:positionH relativeFrom="margin">
                <wp:posOffset>2679700</wp:posOffset>
              </wp:positionH>
              <wp:positionV relativeFrom="paragraph">
                <wp:posOffset>-6350</wp:posOffset>
              </wp:positionV>
              <wp:extent cx="247650" cy="131445"/>
              <wp:effectExtent l="0" t="0" r="0" b="0"/>
              <wp:wrapNone/>
              <wp:docPr id="2" name="文本框 2058"/>
              <wp:cNvGraphicFramePr/>
              <a:graphic xmlns:a="http://schemas.openxmlformats.org/drawingml/2006/main">
                <a:graphicData uri="http://schemas.microsoft.com/office/word/2010/wordprocessingShape">
                  <wps:wsp>
                    <wps:cNvSpPr txBox="1"/>
                    <wps:spPr>
                      <a:xfrm>
                        <a:off x="0" y="0"/>
                        <a:ext cx="247650" cy="131445"/>
                      </a:xfrm>
                      <a:prstGeom prst="rect">
                        <a:avLst/>
                      </a:prstGeom>
                      <a:noFill/>
                      <a:ln>
                        <a:noFill/>
                      </a:ln>
                    </wps:spPr>
                    <wps:txbx>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wps:txbx>
                    <wps:bodyPr wrap="none" lIns="0" tIns="0" rIns="0" bIns="0">
                      <a:spAutoFit/>
                    </wps:bodyPr>
                  </wps:wsp>
                </a:graphicData>
              </a:graphic>
            </wp:anchor>
          </w:drawing>
        </mc:Choice>
        <mc:Fallback>
          <w:pict>
            <v:shape id="文本框 2058" o:spid="_x0000_s1026" o:spt="202" type="#_x0000_t202" style="position:absolute;left:0pt;margin-left:211pt;margin-top:-0.5pt;height:10.35pt;width:19.5pt;mso-position-horizontal-relative:margin;mso-wrap-style:none;z-index:251659264;mso-width-relative:page;mso-height-relative:page;" filled="f" stroked="f" coordsize="21600,21600" o:gfxdata="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UiDQXVAAAACQEAAA8AAAAAAAAAAQAgAAAAIgAAAGRycy9kb3du&#10;cmV2LnhtbFBLAQIUABQAAAAIAIdO4kBYvhEMyQEAAI4DAAAOAAAAAAAAAAEAIAAAACQBAABkcnMv&#10;ZTJvRG9jLnhtbFBLBQYAAAAABgAGAFkBAABfBQAAAAA=&#10;">
              <v:fill on="f" focussize="0,0"/>
              <v:stroke on="f"/>
              <v:imagedata o:title=""/>
              <o:lock v:ext="edit" aspectratio="f"/>
              <v:textbox inset="0mm,0mm,0mm,0mm" style="mso-fit-shape-to-text:t;">
                <w:txbxContent>
                  <w:p w14:paraId="794A128F">
                    <w:pPr>
                      <w:pStyle w:val="19"/>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- 20 -</w:t>
                    </w:r>
                    <w:r>
                      <w:rPr>
                        <w:rFonts w:hint="eastAsia"/>
                        <w:sz w:val="18"/>
                        <w:szCs w:val="18"/>
                      </w:rPr>
                      <w:fldChar w:fldCharType="end"/>
                    </w:r>
                    <w:r>
                      <w:rPr>
                        <w:rFonts w:hint="eastAsia"/>
                      </w:rPr>
                      <w:t xml:space="preserve">  </w:t>
                    </w:r>
                  </w:p>
                </w:txbxContent>
              </v:textbox>
            </v:shape>
          </w:pict>
        </mc:Fallback>
      </mc:AlternateContent>
    </w:r>
    <w:r>
      <w:rPr>
        <w:rFonts w:hint="eastAsia"/>
        <w:lang w:eastAsia="zh-CN"/>
      </w:rPr>
      <w:tab/>
    </w: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BF00F">
    <w:pPr>
      <w:pStyle w:val="20"/>
      <w:jc w:val="both"/>
      <w:rPr>
        <w:rFonts w:hint="eastAsia" w:eastAsia="宋体"/>
        <w:lang w:eastAsia="zh-CN"/>
      </w:rPr>
    </w:pPr>
    <w:r>
      <w:rPr>
        <w:rFonts w:hint="eastAsia" w:ascii="宋体" w:hAnsi="宋体" w:cs="宋体"/>
        <w:lang w:eastAsia="zh-CN"/>
      </w:rPr>
      <w:t>YDFYSW-20251201-1号</w:t>
    </w:r>
    <w:r>
      <w:rPr>
        <w:rFonts w:hint="eastAsia" w:ascii="宋体" w:hAnsi="宋体" w:cs="宋体"/>
      </w:rPr>
      <w:t xml:space="preserve">                                                   </w:t>
    </w:r>
    <w:r>
      <w:rPr>
        <w:rFonts w:hint="eastAsia"/>
        <w:lang w:eastAsia="zh-CN"/>
      </w:rPr>
      <w:t>江苏苏维工程管理有限公司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5"/>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1">
    <w:nsid w:val="11033C00"/>
    <w:multiLevelType w:val="singleLevel"/>
    <w:tmpl w:val="11033C00"/>
    <w:lvl w:ilvl="0" w:tentative="0">
      <w:start w:val="1"/>
      <w:numFmt w:val="bullet"/>
      <w:pStyle w:val="14"/>
      <w:lvlText w:val=""/>
      <w:lvlJc w:val="left"/>
      <w:pPr>
        <w:tabs>
          <w:tab w:val="left" w:pos="780"/>
        </w:tabs>
        <w:ind w:left="780" w:hanging="360"/>
      </w:pPr>
      <w:rPr>
        <w:rFonts w:hint="default" w:ascii="Wingdings" w:hAnsi="Wingdings"/>
      </w:rPr>
    </w:lvl>
  </w:abstractNum>
  <w:abstractNum w:abstractNumId="2">
    <w:nsid w:val="237E4D61"/>
    <w:multiLevelType w:val="multilevel"/>
    <w:tmpl w:val="237E4D61"/>
    <w:lvl w:ilvl="0" w:tentative="0">
      <w:start w:val="1"/>
      <w:numFmt w:val="japaneseCounting"/>
      <w:lvlText w:val="第%1章"/>
      <w:lvlJc w:val="left"/>
      <w:pPr>
        <w:ind w:left="300" w:hanging="420"/>
      </w:pPr>
      <w:rPr>
        <w:rFonts w:hint="eastAsia" w:ascii="黑体" w:eastAsia="黑体"/>
        <w:b w:val="0"/>
        <w:sz w:val="36"/>
        <w:lang w:val="en-US"/>
      </w:rPr>
    </w:lvl>
    <w:lvl w:ilvl="1" w:tentative="0">
      <w:start w:val="1"/>
      <w:numFmt w:val="decimal"/>
      <w:pStyle w:val="91"/>
      <w:isLgl/>
      <w:lvlText w:val="%1.%2"/>
      <w:lvlJc w:val="left"/>
      <w:pPr>
        <w:tabs>
          <w:tab w:val="left" w:pos="851"/>
        </w:tabs>
        <w:ind w:left="0" w:firstLine="0"/>
      </w:pPr>
    </w:lvl>
    <w:lvl w:ilvl="2" w:tentative="0">
      <w:start w:val="1"/>
      <w:numFmt w:val="decimal"/>
      <w:pStyle w:val="85"/>
      <w:isLgl/>
      <w:lvlText w:val="%1.%2.%3"/>
      <w:lvlJc w:val="left"/>
      <w:pPr>
        <w:tabs>
          <w:tab w:val="left" w:pos="851"/>
        </w:tabs>
        <w:ind w:left="0" w:firstLine="0"/>
      </w:pPr>
      <w:rPr>
        <w:color w:val="000000"/>
      </w:rPr>
    </w:lvl>
    <w:lvl w:ilvl="3" w:tentative="0">
      <w:start w:val="1"/>
      <w:numFmt w:val="decimal"/>
      <w:isLgl/>
      <w:lvlText w:val="%1.%2.%3.%4"/>
      <w:lvlJc w:val="left"/>
      <w:pPr>
        <w:tabs>
          <w:tab w:val="left" w:pos="1134"/>
        </w:tabs>
        <w:ind w:left="0" w:firstLine="0"/>
      </w:pPr>
      <w:rPr>
        <w:rFonts w:hint="eastAsia"/>
      </w:rPr>
    </w:lvl>
    <w:lvl w:ilvl="4" w:tentative="0">
      <w:start w:val="1"/>
      <w:numFmt w:val="decimal"/>
      <w:lvlText w:val="%1.%2.%3.%4.%5"/>
      <w:lvlJc w:val="left"/>
      <w:pPr>
        <w:tabs>
          <w:tab w:val="left" w:pos="4850"/>
        </w:tabs>
        <w:ind w:left="4620" w:hanging="850"/>
      </w:pPr>
      <w:rPr>
        <w:rFonts w:hint="eastAsia"/>
      </w:rPr>
    </w:lvl>
    <w:lvl w:ilvl="5" w:tentative="0">
      <w:start w:val="1"/>
      <w:numFmt w:val="decimal"/>
      <w:lvlText w:val="%1.%2.%3.%4.%5.%6"/>
      <w:lvlJc w:val="left"/>
      <w:pPr>
        <w:tabs>
          <w:tab w:val="left" w:pos="5635"/>
        </w:tabs>
        <w:ind w:left="5329" w:hanging="1134"/>
      </w:pPr>
      <w:rPr>
        <w:rFonts w:hint="eastAsia"/>
      </w:rPr>
    </w:lvl>
    <w:lvl w:ilvl="6" w:tentative="0">
      <w:start w:val="1"/>
      <w:numFmt w:val="decimal"/>
      <w:lvlText w:val="%1.%2.%3.%4.%5.%6.%7"/>
      <w:lvlJc w:val="left"/>
      <w:pPr>
        <w:tabs>
          <w:tab w:val="left" w:pos="6420"/>
        </w:tabs>
        <w:ind w:left="5896" w:hanging="1276"/>
      </w:pPr>
      <w:rPr>
        <w:rFonts w:hint="eastAsia"/>
      </w:rPr>
    </w:lvl>
    <w:lvl w:ilvl="7" w:tentative="0">
      <w:start w:val="1"/>
      <w:numFmt w:val="decimal"/>
      <w:lvlText w:val="%1.%2.%3.%4.%5.%6.%7.%8"/>
      <w:lvlJc w:val="left"/>
      <w:pPr>
        <w:tabs>
          <w:tab w:val="left" w:pos="6845"/>
        </w:tabs>
        <w:ind w:left="6463" w:hanging="1418"/>
      </w:pPr>
      <w:rPr>
        <w:rFonts w:hint="eastAsia"/>
      </w:rPr>
    </w:lvl>
    <w:lvl w:ilvl="8" w:tentative="0">
      <w:start w:val="1"/>
      <w:numFmt w:val="decimal"/>
      <w:lvlText w:val="%1.%2.%3.%4.%5.%6.%7.%8.%9"/>
      <w:lvlJc w:val="left"/>
      <w:pPr>
        <w:tabs>
          <w:tab w:val="left" w:pos="7631"/>
        </w:tabs>
        <w:ind w:left="7171" w:hanging="1700"/>
      </w:pPr>
      <w:rPr>
        <w:rFonts w:hint="eastAsia"/>
      </w:rPr>
    </w:lvl>
  </w:abstractNum>
  <w:abstractNum w:abstractNumId="3">
    <w:nsid w:val="5A4CB95F"/>
    <w:multiLevelType w:val="singleLevel"/>
    <w:tmpl w:val="5A4CB95F"/>
    <w:lvl w:ilvl="0" w:tentative="0">
      <w:start w:val="5"/>
      <w:numFmt w:val="chineseCounting"/>
      <w:suff w:val="space"/>
      <w:lvlText w:val="第%1章"/>
      <w:lvlJc w:val="left"/>
    </w:lvl>
  </w:abstractNum>
  <w:abstractNum w:abstractNumId="4">
    <w:nsid w:val="5A4D868E"/>
    <w:multiLevelType w:val="singleLevel"/>
    <w:tmpl w:val="5A4D868E"/>
    <w:lvl w:ilvl="0" w:tentative="0">
      <w:start w:val="3"/>
      <w:numFmt w:val="chineseCounting"/>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Q4YzZiNGZiNTE0ZjM0MDI5NDk1MzQzMzBmODgwMzUifQ=="/>
  </w:docVars>
  <w:rsids>
    <w:rsidRoot w:val="003D6ED5"/>
    <w:rsid w:val="00003582"/>
    <w:rsid w:val="000058E6"/>
    <w:rsid w:val="00013654"/>
    <w:rsid w:val="00027727"/>
    <w:rsid w:val="000308B7"/>
    <w:rsid w:val="00044430"/>
    <w:rsid w:val="00061825"/>
    <w:rsid w:val="00062384"/>
    <w:rsid w:val="00072D76"/>
    <w:rsid w:val="00076E0B"/>
    <w:rsid w:val="000942B7"/>
    <w:rsid w:val="00095538"/>
    <w:rsid w:val="000A002F"/>
    <w:rsid w:val="000A6FCA"/>
    <w:rsid w:val="000B2375"/>
    <w:rsid w:val="000B286F"/>
    <w:rsid w:val="000B44D3"/>
    <w:rsid w:val="000C2882"/>
    <w:rsid w:val="000C3DA7"/>
    <w:rsid w:val="000E198E"/>
    <w:rsid w:val="000E1FED"/>
    <w:rsid w:val="000E3FC3"/>
    <w:rsid w:val="000E4474"/>
    <w:rsid w:val="000E4D63"/>
    <w:rsid w:val="001032A1"/>
    <w:rsid w:val="00103897"/>
    <w:rsid w:val="00122D34"/>
    <w:rsid w:val="00135135"/>
    <w:rsid w:val="001406B1"/>
    <w:rsid w:val="00175BD5"/>
    <w:rsid w:val="001A0DFD"/>
    <w:rsid w:val="001A0F32"/>
    <w:rsid w:val="001A450D"/>
    <w:rsid w:val="001A72F1"/>
    <w:rsid w:val="001C0B23"/>
    <w:rsid w:val="001E0949"/>
    <w:rsid w:val="001F7F7E"/>
    <w:rsid w:val="0020381C"/>
    <w:rsid w:val="00207C7F"/>
    <w:rsid w:val="002205DA"/>
    <w:rsid w:val="0024360F"/>
    <w:rsid w:val="00247343"/>
    <w:rsid w:val="002520C8"/>
    <w:rsid w:val="0025453A"/>
    <w:rsid w:val="00260EFF"/>
    <w:rsid w:val="002644ED"/>
    <w:rsid w:val="002831B3"/>
    <w:rsid w:val="002858F6"/>
    <w:rsid w:val="00285B00"/>
    <w:rsid w:val="00292CBD"/>
    <w:rsid w:val="00296707"/>
    <w:rsid w:val="002B247F"/>
    <w:rsid w:val="002B6EA1"/>
    <w:rsid w:val="002E77D8"/>
    <w:rsid w:val="003042F5"/>
    <w:rsid w:val="00311A61"/>
    <w:rsid w:val="003139BF"/>
    <w:rsid w:val="00321D2B"/>
    <w:rsid w:val="00326A6D"/>
    <w:rsid w:val="00331F05"/>
    <w:rsid w:val="0033757F"/>
    <w:rsid w:val="0034559A"/>
    <w:rsid w:val="003548C9"/>
    <w:rsid w:val="00357EFA"/>
    <w:rsid w:val="003651FB"/>
    <w:rsid w:val="00365D19"/>
    <w:rsid w:val="003731C7"/>
    <w:rsid w:val="00374E6A"/>
    <w:rsid w:val="00375CED"/>
    <w:rsid w:val="003A0997"/>
    <w:rsid w:val="003A795C"/>
    <w:rsid w:val="003B45AC"/>
    <w:rsid w:val="003D21B2"/>
    <w:rsid w:val="003D2A1B"/>
    <w:rsid w:val="003D6ED5"/>
    <w:rsid w:val="003F1847"/>
    <w:rsid w:val="003F2AC7"/>
    <w:rsid w:val="00451A4C"/>
    <w:rsid w:val="00454509"/>
    <w:rsid w:val="00456A14"/>
    <w:rsid w:val="00457304"/>
    <w:rsid w:val="00460A02"/>
    <w:rsid w:val="00484E5D"/>
    <w:rsid w:val="004B1D9A"/>
    <w:rsid w:val="004C64F3"/>
    <w:rsid w:val="004D52D8"/>
    <w:rsid w:val="004E7022"/>
    <w:rsid w:val="004F1FD1"/>
    <w:rsid w:val="004F7264"/>
    <w:rsid w:val="0050076F"/>
    <w:rsid w:val="00500E35"/>
    <w:rsid w:val="00502537"/>
    <w:rsid w:val="0051739D"/>
    <w:rsid w:val="00520CC3"/>
    <w:rsid w:val="005319D6"/>
    <w:rsid w:val="00536408"/>
    <w:rsid w:val="005574FC"/>
    <w:rsid w:val="0056405A"/>
    <w:rsid w:val="00564A20"/>
    <w:rsid w:val="005918DA"/>
    <w:rsid w:val="005939EC"/>
    <w:rsid w:val="00594D16"/>
    <w:rsid w:val="00596E5D"/>
    <w:rsid w:val="005A3D55"/>
    <w:rsid w:val="005C088A"/>
    <w:rsid w:val="005C3BD3"/>
    <w:rsid w:val="005C4E76"/>
    <w:rsid w:val="005D4603"/>
    <w:rsid w:val="005D58C8"/>
    <w:rsid w:val="005E0802"/>
    <w:rsid w:val="005E0AA6"/>
    <w:rsid w:val="005E3D95"/>
    <w:rsid w:val="005F0881"/>
    <w:rsid w:val="005F0FA2"/>
    <w:rsid w:val="00612345"/>
    <w:rsid w:val="006129CA"/>
    <w:rsid w:val="00621C19"/>
    <w:rsid w:val="00641E3B"/>
    <w:rsid w:val="006614E6"/>
    <w:rsid w:val="0068336C"/>
    <w:rsid w:val="00692EB0"/>
    <w:rsid w:val="00694C9F"/>
    <w:rsid w:val="00696E23"/>
    <w:rsid w:val="006A22E3"/>
    <w:rsid w:val="006A448E"/>
    <w:rsid w:val="006A44F1"/>
    <w:rsid w:val="006A5D76"/>
    <w:rsid w:val="006B1A72"/>
    <w:rsid w:val="006B59ED"/>
    <w:rsid w:val="006C6077"/>
    <w:rsid w:val="006D2A98"/>
    <w:rsid w:val="006F3084"/>
    <w:rsid w:val="006F7FE9"/>
    <w:rsid w:val="0075598E"/>
    <w:rsid w:val="00771B68"/>
    <w:rsid w:val="00773F7E"/>
    <w:rsid w:val="00777E73"/>
    <w:rsid w:val="00780B9A"/>
    <w:rsid w:val="00781044"/>
    <w:rsid w:val="0079386A"/>
    <w:rsid w:val="007A1658"/>
    <w:rsid w:val="007B0453"/>
    <w:rsid w:val="007C717F"/>
    <w:rsid w:val="007D71B5"/>
    <w:rsid w:val="007F0795"/>
    <w:rsid w:val="007F23A4"/>
    <w:rsid w:val="007F5B86"/>
    <w:rsid w:val="00810A0D"/>
    <w:rsid w:val="00865348"/>
    <w:rsid w:val="008A1735"/>
    <w:rsid w:val="008A6DE3"/>
    <w:rsid w:val="008C3E2F"/>
    <w:rsid w:val="008D0351"/>
    <w:rsid w:val="008D190E"/>
    <w:rsid w:val="008E003E"/>
    <w:rsid w:val="008E12DF"/>
    <w:rsid w:val="008E5E0A"/>
    <w:rsid w:val="008E7DEC"/>
    <w:rsid w:val="00902B6C"/>
    <w:rsid w:val="00906C8D"/>
    <w:rsid w:val="009111DD"/>
    <w:rsid w:val="0092561E"/>
    <w:rsid w:val="009269A2"/>
    <w:rsid w:val="00942EDF"/>
    <w:rsid w:val="00953426"/>
    <w:rsid w:val="00963AD9"/>
    <w:rsid w:val="009676EA"/>
    <w:rsid w:val="00974FDC"/>
    <w:rsid w:val="0099319E"/>
    <w:rsid w:val="009A513B"/>
    <w:rsid w:val="009A5857"/>
    <w:rsid w:val="009B0E03"/>
    <w:rsid w:val="009B258E"/>
    <w:rsid w:val="009B4235"/>
    <w:rsid w:val="009B776D"/>
    <w:rsid w:val="009D0EDD"/>
    <w:rsid w:val="009D4C36"/>
    <w:rsid w:val="009D4E2C"/>
    <w:rsid w:val="009D6B1D"/>
    <w:rsid w:val="00A02A8A"/>
    <w:rsid w:val="00A1559D"/>
    <w:rsid w:val="00A1659D"/>
    <w:rsid w:val="00A2128C"/>
    <w:rsid w:val="00A27D10"/>
    <w:rsid w:val="00A432A2"/>
    <w:rsid w:val="00A44C8E"/>
    <w:rsid w:val="00A566D5"/>
    <w:rsid w:val="00A6244D"/>
    <w:rsid w:val="00A62700"/>
    <w:rsid w:val="00A90305"/>
    <w:rsid w:val="00AA5139"/>
    <w:rsid w:val="00AB0033"/>
    <w:rsid w:val="00AB62BA"/>
    <w:rsid w:val="00AC00B4"/>
    <w:rsid w:val="00AC65C5"/>
    <w:rsid w:val="00AD306F"/>
    <w:rsid w:val="00AE7BBE"/>
    <w:rsid w:val="00AF7F7D"/>
    <w:rsid w:val="00B0708A"/>
    <w:rsid w:val="00B101A7"/>
    <w:rsid w:val="00B1128A"/>
    <w:rsid w:val="00B2494E"/>
    <w:rsid w:val="00B3144C"/>
    <w:rsid w:val="00B34923"/>
    <w:rsid w:val="00B35B94"/>
    <w:rsid w:val="00B53BE4"/>
    <w:rsid w:val="00B571F3"/>
    <w:rsid w:val="00B66B32"/>
    <w:rsid w:val="00B71F65"/>
    <w:rsid w:val="00B86B46"/>
    <w:rsid w:val="00B91537"/>
    <w:rsid w:val="00B93F2F"/>
    <w:rsid w:val="00BA54F7"/>
    <w:rsid w:val="00BA5FBE"/>
    <w:rsid w:val="00BC0838"/>
    <w:rsid w:val="00BD1E0F"/>
    <w:rsid w:val="00BD665F"/>
    <w:rsid w:val="00BD709B"/>
    <w:rsid w:val="00BD775B"/>
    <w:rsid w:val="00BE31DC"/>
    <w:rsid w:val="00BF706B"/>
    <w:rsid w:val="00C066B4"/>
    <w:rsid w:val="00C166BA"/>
    <w:rsid w:val="00C31247"/>
    <w:rsid w:val="00C32987"/>
    <w:rsid w:val="00C36AA5"/>
    <w:rsid w:val="00C7221A"/>
    <w:rsid w:val="00C752AA"/>
    <w:rsid w:val="00C80C37"/>
    <w:rsid w:val="00CB2076"/>
    <w:rsid w:val="00CB3C62"/>
    <w:rsid w:val="00CD497D"/>
    <w:rsid w:val="00CD5F9B"/>
    <w:rsid w:val="00CE034B"/>
    <w:rsid w:val="00CE1C40"/>
    <w:rsid w:val="00CF5500"/>
    <w:rsid w:val="00D158FA"/>
    <w:rsid w:val="00D161E2"/>
    <w:rsid w:val="00D17B09"/>
    <w:rsid w:val="00D218EE"/>
    <w:rsid w:val="00D40460"/>
    <w:rsid w:val="00D419A2"/>
    <w:rsid w:val="00D51D19"/>
    <w:rsid w:val="00D6302E"/>
    <w:rsid w:val="00D6779E"/>
    <w:rsid w:val="00D724F7"/>
    <w:rsid w:val="00D90EAD"/>
    <w:rsid w:val="00D9443B"/>
    <w:rsid w:val="00DA0E14"/>
    <w:rsid w:val="00DA50F4"/>
    <w:rsid w:val="00DB74B7"/>
    <w:rsid w:val="00DC1A1D"/>
    <w:rsid w:val="00DD300C"/>
    <w:rsid w:val="00DD4062"/>
    <w:rsid w:val="00E0284B"/>
    <w:rsid w:val="00E035DA"/>
    <w:rsid w:val="00E235F1"/>
    <w:rsid w:val="00E31206"/>
    <w:rsid w:val="00E3350D"/>
    <w:rsid w:val="00E40880"/>
    <w:rsid w:val="00E5323A"/>
    <w:rsid w:val="00E73F17"/>
    <w:rsid w:val="00E85EA2"/>
    <w:rsid w:val="00E97F26"/>
    <w:rsid w:val="00EA427F"/>
    <w:rsid w:val="00EA7025"/>
    <w:rsid w:val="00EB3A0D"/>
    <w:rsid w:val="00EB73EB"/>
    <w:rsid w:val="00EC2B63"/>
    <w:rsid w:val="00EE04E8"/>
    <w:rsid w:val="00EE2CBC"/>
    <w:rsid w:val="00EE434E"/>
    <w:rsid w:val="00EE5873"/>
    <w:rsid w:val="00EE7E7F"/>
    <w:rsid w:val="00EF2021"/>
    <w:rsid w:val="00EF7582"/>
    <w:rsid w:val="00EF7FC9"/>
    <w:rsid w:val="00F036C9"/>
    <w:rsid w:val="00F03C1B"/>
    <w:rsid w:val="00F27441"/>
    <w:rsid w:val="00F45AA5"/>
    <w:rsid w:val="00F50CDF"/>
    <w:rsid w:val="00F52A58"/>
    <w:rsid w:val="00F55FD3"/>
    <w:rsid w:val="00F71FA0"/>
    <w:rsid w:val="00F778AB"/>
    <w:rsid w:val="00F8040B"/>
    <w:rsid w:val="00F8390D"/>
    <w:rsid w:val="00F97977"/>
    <w:rsid w:val="00FA7CEB"/>
    <w:rsid w:val="00FB4547"/>
    <w:rsid w:val="00FC709A"/>
    <w:rsid w:val="00FD05FC"/>
    <w:rsid w:val="00FD49EE"/>
    <w:rsid w:val="00FD6399"/>
    <w:rsid w:val="00FF3B95"/>
    <w:rsid w:val="00FF7164"/>
    <w:rsid w:val="010069C3"/>
    <w:rsid w:val="01066A48"/>
    <w:rsid w:val="0108714A"/>
    <w:rsid w:val="010B405F"/>
    <w:rsid w:val="010E6ECC"/>
    <w:rsid w:val="010F6498"/>
    <w:rsid w:val="01135DB0"/>
    <w:rsid w:val="01163BC4"/>
    <w:rsid w:val="011C626C"/>
    <w:rsid w:val="012515C4"/>
    <w:rsid w:val="01253372"/>
    <w:rsid w:val="01260E98"/>
    <w:rsid w:val="01336B85"/>
    <w:rsid w:val="013637D1"/>
    <w:rsid w:val="01395070"/>
    <w:rsid w:val="013C2097"/>
    <w:rsid w:val="013D4B60"/>
    <w:rsid w:val="01434E3A"/>
    <w:rsid w:val="014814AF"/>
    <w:rsid w:val="014A4B87"/>
    <w:rsid w:val="014E7371"/>
    <w:rsid w:val="0159126E"/>
    <w:rsid w:val="016F45ED"/>
    <w:rsid w:val="017032A3"/>
    <w:rsid w:val="01710365"/>
    <w:rsid w:val="017165B7"/>
    <w:rsid w:val="01743410"/>
    <w:rsid w:val="01746AF4"/>
    <w:rsid w:val="0179546C"/>
    <w:rsid w:val="017E6F26"/>
    <w:rsid w:val="01831A44"/>
    <w:rsid w:val="018362EB"/>
    <w:rsid w:val="018C1643"/>
    <w:rsid w:val="018E53BB"/>
    <w:rsid w:val="019462D8"/>
    <w:rsid w:val="019B1886"/>
    <w:rsid w:val="01A87296"/>
    <w:rsid w:val="01AA755E"/>
    <w:rsid w:val="01AC3A93"/>
    <w:rsid w:val="01AC5842"/>
    <w:rsid w:val="01AF0E8E"/>
    <w:rsid w:val="01AF5385"/>
    <w:rsid w:val="01B3097E"/>
    <w:rsid w:val="01B6046E"/>
    <w:rsid w:val="01B87F15"/>
    <w:rsid w:val="01B97F5E"/>
    <w:rsid w:val="01BB5A85"/>
    <w:rsid w:val="01C20BC1"/>
    <w:rsid w:val="01C42B8B"/>
    <w:rsid w:val="01C8526E"/>
    <w:rsid w:val="01C85D18"/>
    <w:rsid w:val="01CA417B"/>
    <w:rsid w:val="01D17056"/>
    <w:rsid w:val="01D37272"/>
    <w:rsid w:val="01D408F4"/>
    <w:rsid w:val="01D55085"/>
    <w:rsid w:val="01D66247"/>
    <w:rsid w:val="01D84888"/>
    <w:rsid w:val="01E3068F"/>
    <w:rsid w:val="01E44FDB"/>
    <w:rsid w:val="01E527CE"/>
    <w:rsid w:val="01E74ACC"/>
    <w:rsid w:val="01EB45BC"/>
    <w:rsid w:val="01ED1B48"/>
    <w:rsid w:val="01F1594A"/>
    <w:rsid w:val="01F47488"/>
    <w:rsid w:val="01FB2325"/>
    <w:rsid w:val="01FD58CF"/>
    <w:rsid w:val="02076F1C"/>
    <w:rsid w:val="02092C94"/>
    <w:rsid w:val="020B5B51"/>
    <w:rsid w:val="0216715F"/>
    <w:rsid w:val="021F4265"/>
    <w:rsid w:val="021F6D1A"/>
    <w:rsid w:val="02201D8C"/>
    <w:rsid w:val="02203329"/>
    <w:rsid w:val="0222365C"/>
    <w:rsid w:val="02245B5B"/>
    <w:rsid w:val="0227136C"/>
    <w:rsid w:val="023575E5"/>
    <w:rsid w:val="023F0464"/>
    <w:rsid w:val="02401036"/>
    <w:rsid w:val="024044E2"/>
    <w:rsid w:val="02454550"/>
    <w:rsid w:val="02532161"/>
    <w:rsid w:val="02555DE0"/>
    <w:rsid w:val="025657AD"/>
    <w:rsid w:val="02571C51"/>
    <w:rsid w:val="02581525"/>
    <w:rsid w:val="025E59EC"/>
    <w:rsid w:val="02663C42"/>
    <w:rsid w:val="026B74AB"/>
    <w:rsid w:val="026E2AF7"/>
    <w:rsid w:val="026F6516"/>
    <w:rsid w:val="027500FA"/>
    <w:rsid w:val="027C5214"/>
    <w:rsid w:val="02847B9A"/>
    <w:rsid w:val="028B5457"/>
    <w:rsid w:val="028D295C"/>
    <w:rsid w:val="028D5673"/>
    <w:rsid w:val="029032C2"/>
    <w:rsid w:val="02927177"/>
    <w:rsid w:val="0297204E"/>
    <w:rsid w:val="029755E9"/>
    <w:rsid w:val="029D518A"/>
    <w:rsid w:val="02A12ECC"/>
    <w:rsid w:val="02A14633"/>
    <w:rsid w:val="02A36C44"/>
    <w:rsid w:val="02A4476B"/>
    <w:rsid w:val="02B250DA"/>
    <w:rsid w:val="02B81FC4"/>
    <w:rsid w:val="02BE1D83"/>
    <w:rsid w:val="02BE2EDE"/>
    <w:rsid w:val="02C46BBB"/>
    <w:rsid w:val="02C95F7F"/>
    <w:rsid w:val="02D50DC8"/>
    <w:rsid w:val="02E01C47"/>
    <w:rsid w:val="02E844CA"/>
    <w:rsid w:val="02F23728"/>
    <w:rsid w:val="02F254D6"/>
    <w:rsid w:val="02F513EE"/>
    <w:rsid w:val="02F76F90"/>
    <w:rsid w:val="02F77E61"/>
    <w:rsid w:val="02FE20CD"/>
    <w:rsid w:val="031418F0"/>
    <w:rsid w:val="03157416"/>
    <w:rsid w:val="031D7543"/>
    <w:rsid w:val="0328539C"/>
    <w:rsid w:val="032D4760"/>
    <w:rsid w:val="03343D40"/>
    <w:rsid w:val="033B50CF"/>
    <w:rsid w:val="03404493"/>
    <w:rsid w:val="03425C39"/>
    <w:rsid w:val="034321D6"/>
    <w:rsid w:val="034A70C0"/>
    <w:rsid w:val="034D5288"/>
    <w:rsid w:val="035000AB"/>
    <w:rsid w:val="03522419"/>
    <w:rsid w:val="03525F75"/>
    <w:rsid w:val="035937A7"/>
    <w:rsid w:val="035D4076"/>
    <w:rsid w:val="035D422C"/>
    <w:rsid w:val="03716D43"/>
    <w:rsid w:val="0374238F"/>
    <w:rsid w:val="03795BF7"/>
    <w:rsid w:val="03863E70"/>
    <w:rsid w:val="038D16A3"/>
    <w:rsid w:val="038F0DD1"/>
    <w:rsid w:val="03921B3D"/>
    <w:rsid w:val="039667A9"/>
    <w:rsid w:val="03990047"/>
    <w:rsid w:val="03A5079A"/>
    <w:rsid w:val="03A96DB1"/>
    <w:rsid w:val="03AA4003"/>
    <w:rsid w:val="03AA7B5F"/>
    <w:rsid w:val="03AB7F61"/>
    <w:rsid w:val="03AC7D7B"/>
    <w:rsid w:val="03B24C65"/>
    <w:rsid w:val="03B84619"/>
    <w:rsid w:val="03B86720"/>
    <w:rsid w:val="03C23461"/>
    <w:rsid w:val="03C350C4"/>
    <w:rsid w:val="03C36E72"/>
    <w:rsid w:val="03C84489"/>
    <w:rsid w:val="03C86B0F"/>
    <w:rsid w:val="03CE5F43"/>
    <w:rsid w:val="03D46029"/>
    <w:rsid w:val="03D66BA6"/>
    <w:rsid w:val="03DE5A5A"/>
    <w:rsid w:val="03E13472"/>
    <w:rsid w:val="03E77005"/>
    <w:rsid w:val="03EC0177"/>
    <w:rsid w:val="03F60FF6"/>
    <w:rsid w:val="03FF434E"/>
    <w:rsid w:val="04001E75"/>
    <w:rsid w:val="040556DD"/>
    <w:rsid w:val="040C25C7"/>
    <w:rsid w:val="040D73E3"/>
    <w:rsid w:val="04111670"/>
    <w:rsid w:val="041116DA"/>
    <w:rsid w:val="04127C56"/>
    <w:rsid w:val="04131BA8"/>
    <w:rsid w:val="041871BE"/>
    <w:rsid w:val="041D47D5"/>
    <w:rsid w:val="04253689"/>
    <w:rsid w:val="042711AF"/>
    <w:rsid w:val="042A6EF2"/>
    <w:rsid w:val="0431202E"/>
    <w:rsid w:val="043A5387"/>
    <w:rsid w:val="043F332D"/>
    <w:rsid w:val="043F7501"/>
    <w:rsid w:val="04484FF1"/>
    <w:rsid w:val="044B5AAE"/>
    <w:rsid w:val="045126D0"/>
    <w:rsid w:val="045439B3"/>
    <w:rsid w:val="0458580D"/>
    <w:rsid w:val="046248DD"/>
    <w:rsid w:val="04695C6C"/>
    <w:rsid w:val="046C3066"/>
    <w:rsid w:val="046E3282"/>
    <w:rsid w:val="047010F6"/>
    <w:rsid w:val="047311FB"/>
    <w:rsid w:val="04763EE5"/>
    <w:rsid w:val="0478449D"/>
    <w:rsid w:val="047A5783"/>
    <w:rsid w:val="047D100A"/>
    <w:rsid w:val="047D4ADB"/>
    <w:rsid w:val="047E51B3"/>
    <w:rsid w:val="04802709"/>
    <w:rsid w:val="04844854"/>
    <w:rsid w:val="04846602"/>
    <w:rsid w:val="04877EA0"/>
    <w:rsid w:val="04932CE9"/>
    <w:rsid w:val="04AB1DE0"/>
    <w:rsid w:val="04B02D72"/>
    <w:rsid w:val="04BC5D9C"/>
    <w:rsid w:val="04BE6324"/>
    <w:rsid w:val="04C75A94"/>
    <w:rsid w:val="04CE58E0"/>
    <w:rsid w:val="04D72BD5"/>
    <w:rsid w:val="04D94B9F"/>
    <w:rsid w:val="04DB0DF1"/>
    <w:rsid w:val="04DC4690"/>
    <w:rsid w:val="04E050DE"/>
    <w:rsid w:val="04E11CA6"/>
    <w:rsid w:val="04E452F2"/>
    <w:rsid w:val="04E53C72"/>
    <w:rsid w:val="04EB48D3"/>
    <w:rsid w:val="04EF43C3"/>
    <w:rsid w:val="04F01EE9"/>
    <w:rsid w:val="04F03C97"/>
    <w:rsid w:val="04F27A0F"/>
    <w:rsid w:val="04F973C6"/>
    <w:rsid w:val="04FD4EBC"/>
    <w:rsid w:val="04FE4606"/>
    <w:rsid w:val="04FF037E"/>
    <w:rsid w:val="05040B57"/>
    <w:rsid w:val="05044491"/>
    <w:rsid w:val="05045994"/>
    <w:rsid w:val="05092FAB"/>
    <w:rsid w:val="051122DE"/>
    <w:rsid w:val="05122FB5"/>
    <w:rsid w:val="05151950"/>
    <w:rsid w:val="051E0804"/>
    <w:rsid w:val="0523406D"/>
    <w:rsid w:val="05353DA0"/>
    <w:rsid w:val="05385126"/>
    <w:rsid w:val="053E4A03"/>
    <w:rsid w:val="053E74DA"/>
    <w:rsid w:val="0543026B"/>
    <w:rsid w:val="0544074C"/>
    <w:rsid w:val="054C48B1"/>
    <w:rsid w:val="054E3E47"/>
    <w:rsid w:val="055A352B"/>
    <w:rsid w:val="055A55B4"/>
    <w:rsid w:val="05600E1D"/>
    <w:rsid w:val="05614B95"/>
    <w:rsid w:val="0567285A"/>
    <w:rsid w:val="05687CD1"/>
    <w:rsid w:val="05721780"/>
    <w:rsid w:val="05860158"/>
    <w:rsid w:val="05863F97"/>
    <w:rsid w:val="05883ED0"/>
    <w:rsid w:val="05937CDE"/>
    <w:rsid w:val="05952DBB"/>
    <w:rsid w:val="05976809"/>
    <w:rsid w:val="059B1E55"/>
    <w:rsid w:val="059C797B"/>
    <w:rsid w:val="059D3E1F"/>
    <w:rsid w:val="05A0746B"/>
    <w:rsid w:val="05A306C5"/>
    <w:rsid w:val="05AA0A4B"/>
    <w:rsid w:val="05AC577E"/>
    <w:rsid w:val="05AD2CD8"/>
    <w:rsid w:val="05B41169"/>
    <w:rsid w:val="05B44CC5"/>
    <w:rsid w:val="05B66F09"/>
    <w:rsid w:val="05C25634"/>
    <w:rsid w:val="05C50C80"/>
    <w:rsid w:val="05CA794E"/>
    <w:rsid w:val="05CF0BA4"/>
    <w:rsid w:val="05CF47C6"/>
    <w:rsid w:val="05DB04A3"/>
    <w:rsid w:val="05DB4947"/>
    <w:rsid w:val="05E51322"/>
    <w:rsid w:val="05EA4B8A"/>
    <w:rsid w:val="05ED1043"/>
    <w:rsid w:val="05EE6F91"/>
    <w:rsid w:val="05F24F24"/>
    <w:rsid w:val="05F72E03"/>
    <w:rsid w:val="05F91E7B"/>
    <w:rsid w:val="060967F3"/>
    <w:rsid w:val="060D1600"/>
    <w:rsid w:val="061816F7"/>
    <w:rsid w:val="061A7F2D"/>
    <w:rsid w:val="0622111A"/>
    <w:rsid w:val="06231E4A"/>
    <w:rsid w:val="062E2CC9"/>
    <w:rsid w:val="063564EA"/>
    <w:rsid w:val="06367DD0"/>
    <w:rsid w:val="063D3F02"/>
    <w:rsid w:val="063F4ED6"/>
    <w:rsid w:val="06431415"/>
    <w:rsid w:val="064A73D7"/>
    <w:rsid w:val="064C314F"/>
    <w:rsid w:val="064E5119"/>
    <w:rsid w:val="0659586C"/>
    <w:rsid w:val="065B7836"/>
    <w:rsid w:val="0661309E"/>
    <w:rsid w:val="066165AE"/>
    <w:rsid w:val="067032E2"/>
    <w:rsid w:val="067B1209"/>
    <w:rsid w:val="06856661"/>
    <w:rsid w:val="068E19BA"/>
    <w:rsid w:val="068E5516"/>
    <w:rsid w:val="06915006"/>
    <w:rsid w:val="06936FD0"/>
    <w:rsid w:val="06941D93"/>
    <w:rsid w:val="06A0080C"/>
    <w:rsid w:val="06A47322"/>
    <w:rsid w:val="06A72A7B"/>
    <w:rsid w:val="06A905A2"/>
    <w:rsid w:val="06B156A8"/>
    <w:rsid w:val="06B92EFF"/>
    <w:rsid w:val="06B93618"/>
    <w:rsid w:val="06BA630B"/>
    <w:rsid w:val="06BD229F"/>
    <w:rsid w:val="06C23411"/>
    <w:rsid w:val="06C278B5"/>
    <w:rsid w:val="06CE0008"/>
    <w:rsid w:val="06CE1DB6"/>
    <w:rsid w:val="06CE306C"/>
    <w:rsid w:val="06D373CC"/>
    <w:rsid w:val="06D67EFC"/>
    <w:rsid w:val="06DA4BFF"/>
    <w:rsid w:val="06DD1E44"/>
    <w:rsid w:val="06DD74B2"/>
    <w:rsid w:val="06E15F8D"/>
    <w:rsid w:val="06E31D05"/>
    <w:rsid w:val="06E92E40"/>
    <w:rsid w:val="06ED4932"/>
    <w:rsid w:val="06EE06AA"/>
    <w:rsid w:val="06F37A6F"/>
    <w:rsid w:val="06F51A39"/>
    <w:rsid w:val="06F757B1"/>
    <w:rsid w:val="06F85085"/>
    <w:rsid w:val="06FE6B3F"/>
    <w:rsid w:val="07027A18"/>
    <w:rsid w:val="070D4E50"/>
    <w:rsid w:val="07151D6E"/>
    <w:rsid w:val="071D4AEC"/>
    <w:rsid w:val="071D689A"/>
    <w:rsid w:val="072258B7"/>
    <w:rsid w:val="072365A6"/>
    <w:rsid w:val="072732AB"/>
    <w:rsid w:val="07283BBC"/>
    <w:rsid w:val="073065CD"/>
    <w:rsid w:val="07367CF9"/>
    <w:rsid w:val="073C7962"/>
    <w:rsid w:val="07455D9F"/>
    <w:rsid w:val="074958E1"/>
    <w:rsid w:val="074B16CD"/>
    <w:rsid w:val="074B354F"/>
    <w:rsid w:val="074D3623"/>
    <w:rsid w:val="074D53D1"/>
    <w:rsid w:val="074E5043"/>
    <w:rsid w:val="07504551"/>
    <w:rsid w:val="075276EC"/>
    <w:rsid w:val="075819F8"/>
    <w:rsid w:val="07610E7C"/>
    <w:rsid w:val="076F17EB"/>
    <w:rsid w:val="07723089"/>
    <w:rsid w:val="077E06BA"/>
    <w:rsid w:val="07886409"/>
    <w:rsid w:val="078D1C71"/>
    <w:rsid w:val="078E1545"/>
    <w:rsid w:val="078F32E3"/>
    <w:rsid w:val="0794171E"/>
    <w:rsid w:val="07966D78"/>
    <w:rsid w:val="07983A54"/>
    <w:rsid w:val="079E79DA"/>
    <w:rsid w:val="079F1B8B"/>
    <w:rsid w:val="07A5520D"/>
    <w:rsid w:val="07A82607"/>
    <w:rsid w:val="07A86AAB"/>
    <w:rsid w:val="07AC659B"/>
    <w:rsid w:val="07AE39F0"/>
    <w:rsid w:val="07B35A21"/>
    <w:rsid w:val="07B611C8"/>
    <w:rsid w:val="07BA233A"/>
    <w:rsid w:val="07BD69FF"/>
    <w:rsid w:val="07C05BA3"/>
    <w:rsid w:val="07C17B6D"/>
    <w:rsid w:val="07C37441"/>
    <w:rsid w:val="07CD0153"/>
    <w:rsid w:val="07D15ABF"/>
    <w:rsid w:val="07D16002"/>
    <w:rsid w:val="07D17DB0"/>
    <w:rsid w:val="07D433FC"/>
    <w:rsid w:val="07D45A45"/>
    <w:rsid w:val="07D63618"/>
    <w:rsid w:val="07D848A8"/>
    <w:rsid w:val="07DB2016"/>
    <w:rsid w:val="07DC1CAA"/>
    <w:rsid w:val="07E06245"/>
    <w:rsid w:val="07E82A69"/>
    <w:rsid w:val="07ED44BE"/>
    <w:rsid w:val="07F615C4"/>
    <w:rsid w:val="07F61F78"/>
    <w:rsid w:val="07F817E1"/>
    <w:rsid w:val="07F87A11"/>
    <w:rsid w:val="07FE66CB"/>
    <w:rsid w:val="080041F1"/>
    <w:rsid w:val="0803449C"/>
    <w:rsid w:val="080D4B60"/>
    <w:rsid w:val="08114650"/>
    <w:rsid w:val="08161C67"/>
    <w:rsid w:val="081E4FBF"/>
    <w:rsid w:val="08220261"/>
    <w:rsid w:val="08243B12"/>
    <w:rsid w:val="083223B1"/>
    <w:rsid w:val="0838352D"/>
    <w:rsid w:val="08387E2F"/>
    <w:rsid w:val="083E11BD"/>
    <w:rsid w:val="08420CAE"/>
    <w:rsid w:val="0849203C"/>
    <w:rsid w:val="084C38DA"/>
    <w:rsid w:val="08585DDB"/>
    <w:rsid w:val="086724C2"/>
    <w:rsid w:val="086C1887"/>
    <w:rsid w:val="0874698D"/>
    <w:rsid w:val="087B531C"/>
    <w:rsid w:val="088210AA"/>
    <w:rsid w:val="0889068B"/>
    <w:rsid w:val="088A346F"/>
    <w:rsid w:val="088C3CD7"/>
    <w:rsid w:val="089A29E2"/>
    <w:rsid w:val="089B6610"/>
    <w:rsid w:val="08A76D63"/>
    <w:rsid w:val="08A8306C"/>
    <w:rsid w:val="08AA1318"/>
    <w:rsid w:val="08B03E69"/>
    <w:rsid w:val="08BC0A60"/>
    <w:rsid w:val="08BE5224"/>
    <w:rsid w:val="08CE42EF"/>
    <w:rsid w:val="08D00067"/>
    <w:rsid w:val="08D13DE0"/>
    <w:rsid w:val="08DA03F7"/>
    <w:rsid w:val="08DA07D3"/>
    <w:rsid w:val="08DE0F36"/>
    <w:rsid w:val="08EC29C7"/>
    <w:rsid w:val="08EE6740"/>
    <w:rsid w:val="08F04293"/>
    <w:rsid w:val="08F655F4"/>
    <w:rsid w:val="08F8136C"/>
    <w:rsid w:val="08F85810"/>
    <w:rsid w:val="08FD4BD5"/>
    <w:rsid w:val="090146C5"/>
    <w:rsid w:val="09051E32"/>
    <w:rsid w:val="09071FE5"/>
    <w:rsid w:val="091066B6"/>
    <w:rsid w:val="09137F54"/>
    <w:rsid w:val="09181A0E"/>
    <w:rsid w:val="091F0FEF"/>
    <w:rsid w:val="091F75ED"/>
    <w:rsid w:val="09267C87"/>
    <w:rsid w:val="092E2FE0"/>
    <w:rsid w:val="09355C8E"/>
    <w:rsid w:val="09371E95"/>
    <w:rsid w:val="09391A25"/>
    <w:rsid w:val="094D790A"/>
    <w:rsid w:val="095F1A31"/>
    <w:rsid w:val="095F3199"/>
    <w:rsid w:val="096B1B3E"/>
    <w:rsid w:val="096C5132"/>
    <w:rsid w:val="097A6225"/>
    <w:rsid w:val="09815E0C"/>
    <w:rsid w:val="09821F29"/>
    <w:rsid w:val="09825231"/>
    <w:rsid w:val="09862E1C"/>
    <w:rsid w:val="098B0432"/>
    <w:rsid w:val="098D7D07"/>
    <w:rsid w:val="099472E7"/>
    <w:rsid w:val="09970B85"/>
    <w:rsid w:val="099A0675"/>
    <w:rsid w:val="099E3CC2"/>
    <w:rsid w:val="099F3551"/>
    <w:rsid w:val="09A514F4"/>
    <w:rsid w:val="09AB1135"/>
    <w:rsid w:val="09AE35D0"/>
    <w:rsid w:val="09AF5ECF"/>
    <w:rsid w:val="09B23C11"/>
    <w:rsid w:val="09BA160C"/>
    <w:rsid w:val="09BE25B6"/>
    <w:rsid w:val="09BE6112"/>
    <w:rsid w:val="09C120A6"/>
    <w:rsid w:val="09CD0A4B"/>
    <w:rsid w:val="09CD27F9"/>
    <w:rsid w:val="09CD6EB5"/>
    <w:rsid w:val="09D516AE"/>
    <w:rsid w:val="09D65B51"/>
    <w:rsid w:val="09D736F8"/>
    <w:rsid w:val="09D83256"/>
    <w:rsid w:val="09D9113A"/>
    <w:rsid w:val="09D91F81"/>
    <w:rsid w:val="09E244F6"/>
    <w:rsid w:val="09E3201C"/>
    <w:rsid w:val="09F558AC"/>
    <w:rsid w:val="09F671BA"/>
    <w:rsid w:val="0A0015A9"/>
    <w:rsid w:val="0A026946"/>
    <w:rsid w:val="0A0F2E11"/>
    <w:rsid w:val="0A124A21"/>
    <w:rsid w:val="0A124F9F"/>
    <w:rsid w:val="0A1421D6"/>
    <w:rsid w:val="0A150388"/>
    <w:rsid w:val="0A1D70FA"/>
    <w:rsid w:val="0A200529"/>
    <w:rsid w:val="0A2368BD"/>
    <w:rsid w:val="0A257E91"/>
    <w:rsid w:val="0A3463D4"/>
    <w:rsid w:val="0A34760E"/>
    <w:rsid w:val="0A390506"/>
    <w:rsid w:val="0A3B7763"/>
    <w:rsid w:val="0A3F4C50"/>
    <w:rsid w:val="0A40121D"/>
    <w:rsid w:val="0A424F95"/>
    <w:rsid w:val="0A432ABB"/>
    <w:rsid w:val="0A4505E1"/>
    <w:rsid w:val="0A4A537B"/>
    <w:rsid w:val="0A4B7550"/>
    <w:rsid w:val="0A516F86"/>
    <w:rsid w:val="0A56459C"/>
    <w:rsid w:val="0A5A153B"/>
    <w:rsid w:val="0A5C592B"/>
    <w:rsid w:val="0A68475A"/>
    <w:rsid w:val="0A6B4970"/>
    <w:rsid w:val="0A7A5500"/>
    <w:rsid w:val="0A7D421F"/>
    <w:rsid w:val="0A7D7D7B"/>
    <w:rsid w:val="0A7E1D45"/>
    <w:rsid w:val="0A805ABD"/>
    <w:rsid w:val="0A877A05"/>
    <w:rsid w:val="0A892BC4"/>
    <w:rsid w:val="0A8D4551"/>
    <w:rsid w:val="0A911A78"/>
    <w:rsid w:val="0A984BB5"/>
    <w:rsid w:val="0AA16A91"/>
    <w:rsid w:val="0AA442E9"/>
    <w:rsid w:val="0AA51080"/>
    <w:rsid w:val="0AA56EB4"/>
    <w:rsid w:val="0AA7304A"/>
    <w:rsid w:val="0AAF1847"/>
    <w:rsid w:val="0AB17A28"/>
    <w:rsid w:val="0AB6328D"/>
    <w:rsid w:val="0ABA2D7D"/>
    <w:rsid w:val="0AC459AA"/>
    <w:rsid w:val="0AD0684C"/>
    <w:rsid w:val="0AD6392F"/>
    <w:rsid w:val="0AD97CBD"/>
    <w:rsid w:val="0ADB2CF4"/>
    <w:rsid w:val="0ADF4592"/>
    <w:rsid w:val="0AE147AE"/>
    <w:rsid w:val="0AE734CA"/>
    <w:rsid w:val="0AF0291D"/>
    <w:rsid w:val="0AFC46F6"/>
    <w:rsid w:val="0AFF2E86"/>
    <w:rsid w:val="0B00275A"/>
    <w:rsid w:val="0B0E30C9"/>
    <w:rsid w:val="0B0F27C0"/>
    <w:rsid w:val="0B17629A"/>
    <w:rsid w:val="0B1E4082"/>
    <w:rsid w:val="0B2B77D7"/>
    <w:rsid w:val="0B352404"/>
    <w:rsid w:val="0B3949C3"/>
    <w:rsid w:val="0B3D39AE"/>
    <w:rsid w:val="0B416FFB"/>
    <w:rsid w:val="0B4B2E2F"/>
    <w:rsid w:val="0B5200CB"/>
    <w:rsid w:val="0B52745A"/>
    <w:rsid w:val="0B536D2E"/>
    <w:rsid w:val="0B582596"/>
    <w:rsid w:val="0B6251C3"/>
    <w:rsid w:val="0B6665D0"/>
    <w:rsid w:val="0B680A2B"/>
    <w:rsid w:val="0B694D79"/>
    <w:rsid w:val="0B6B22C9"/>
    <w:rsid w:val="0B6D23F5"/>
    <w:rsid w:val="0B6E3131"/>
    <w:rsid w:val="0B7021FC"/>
    <w:rsid w:val="0B792C38"/>
    <w:rsid w:val="0B825D4F"/>
    <w:rsid w:val="0B837613"/>
    <w:rsid w:val="0B845139"/>
    <w:rsid w:val="0B8F617F"/>
    <w:rsid w:val="0B927856"/>
    <w:rsid w:val="0B957346"/>
    <w:rsid w:val="0B9C06D5"/>
    <w:rsid w:val="0BA8707A"/>
    <w:rsid w:val="0BA94BA0"/>
    <w:rsid w:val="0BB772BD"/>
    <w:rsid w:val="0BB877D4"/>
    <w:rsid w:val="0BB93035"/>
    <w:rsid w:val="0BBB5225"/>
    <w:rsid w:val="0BC639A4"/>
    <w:rsid w:val="0BC71D84"/>
    <w:rsid w:val="0BC90BD9"/>
    <w:rsid w:val="0BD47E6F"/>
    <w:rsid w:val="0BD55995"/>
    <w:rsid w:val="0BD936D7"/>
    <w:rsid w:val="0BDE2A9B"/>
    <w:rsid w:val="0BE300B2"/>
    <w:rsid w:val="0BE45BD8"/>
    <w:rsid w:val="0BE4744A"/>
    <w:rsid w:val="0BE81B6C"/>
    <w:rsid w:val="0BEF4CA9"/>
    <w:rsid w:val="0BF40511"/>
    <w:rsid w:val="0BF7590B"/>
    <w:rsid w:val="0C006EB6"/>
    <w:rsid w:val="0C0369A6"/>
    <w:rsid w:val="0C1464BD"/>
    <w:rsid w:val="0C193AD3"/>
    <w:rsid w:val="0C211D10"/>
    <w:rsid w:val="0C232BA4"/>
    <w:rsid w:val="0C281F69"/>
    <w:rsid w:val="0C2A3AF7"/>
    <w:rsid w:val="0C2D2773"/>
    <w:rsid w:val="0C2E01F6"/>
    <w:rsid w:val="0C3152C1"/>
    <w:rsid w:val="0C3460F8"/>
    <w:rsid w:val="0C3651B9"/>
    <w:rsid w:val="0C3B7EEE"/>
    <w:rsid w:val="0C3D3B65"/>
    <w:rsid w:val="0C401769"/>
    <w:rsid w:val="0C4C0A7C"/>
    <w:rsid w:val="0C4C219F"/>
    <w:rsid w:val="0C4D19CF"/>
    <w:rsid w:val="0C553CA1"/>
    <w:rsid w:val="0C57284E"/>
    <w:rsid w:val="0C5745FC"/>
    <w:rsid w:val="0C590CE4"/>
    <w:rsid w:val="0C5C7E64"/>
    <w:rsid w:val="0C62191E"/>
    <w:rsid w:val="0C650D4E"/>
    <w:rsid w:val="0C686809"/>
    <w:rsid w:val="0C6C62F9"/>
    <w:rsid w:val="0C6F5DE9"/>
    <w:rsid w:val="0C7156BE"/>
    <w:rsid w:val="0C756E34"/>
    <w:rsid w:val="0C7B02EA"/>
    <w:rsid w:val="0C801DA5"/>
    <w:rsid w:val="0C80768D"/>
    <w:rsid w:val="0C853BDD"/>
    <w:rsid w:val="0C880C59"/>
    <w:rsid w:val="0C90345F"/>
    <w:rsid w:val="0C947974"/>
    <w:rsid w:val="0C9C64B3"/>
    <w:rsid w:val="0CAB508B"/>
    <w:rsid w:val="0CAB6D14"/>
    <w:rsid w:val="0CB11F5E"/>
    <w:rsid w:val="0CB33F28"/>
    <w:rsid w:val="0CB437FC"/>
    <w:rsid w:val="0CB832EC"/>
    <w:rsid w:val="0CB953C7"/>
    <w:rsid w:val="0CBE6C92"/>
    <w:rsid w:val="0CBF688D"/>
    <w:rsid w:val="0CC46135"/>
    <w:rsid w:val="0CC7352F"/>
    <w:rsid w:val="0CCA1272"/>
    <w:rsid w:val="0CCA74C4"/>
    <w:rsid w:val="0CD13741"/>
    <w:rsid w:val="0CED5EFA"/>
    <w:rsid w:val="0CF307C8"/>
    <w:rsid w:val="0CF4009D"/>
    <w:rsid w:val="0CF4170C"/>
    <w:rsid w:val="0CFD303A"/>
    <w:rsid w:val="0D006A41"/>
    <w:rsid w:val="0D0504FC"/>
    <w:rsid w:val="0D0522AA"/>
    <w:rsid w:val="0D0550BE"/>
    <w:rsid w:val="0D14556D"/>
    <w:rsid w:val="0D1471C2"/>
    <w:rsid w:val="0D1555EB"/>
    <w:rsid w:val="0D156991"/>
    <w:rsid w:val="0D1F15BD"/>
    <w:rsid w:val="0D246F57"/>
    <w:rsid w:val="0D2564A8"/>
    <w:rsid w:val="0D27015E"/>
    <w:rsid w:val="0D2A1D10"/>
    <w:rsid w:val="0D2B4D1C"/>
    <w:rsid w:val="0D2C3CDA"/>
    <w:rsid w:val="0D2C7836"/>
    <w:rsid w:val="0D38267F"/>
    <w:rsid w:val="0D411534"/>
    <w:rsid w:val="0D4508F8"/>
    <w:rsid w:val="0D4F1296"/>
    <w:rsid w:val="0D5002C6"/>
    <w:rsid w:val="0D562B05"/>
    <w:rsid w:val="0D5648B3"/>
    <w:rsid w:val="0D570D57"/>
    <w:rsid w:val="0D5A0848"/>
    <w:rsid w:val="0D5D2504"/>
    <w:rsid w:val="0D697D47"/>
    <w:rsid w:val="0D6D057B"/>
    <w:rsid w:val="0D705975"/>
    <w:rsid w:val="0D725B91"/>
    <w:rsid w:val="0D73509A"/>
    <w:rsid w:val="0D7511DD"/>
    <w:rsid w:val="0D757126"/>
    <w:rsid w:val="0D7C30E6"/>
    <w:rsid w:val="0D7E609A"/>
    <w:rsid w:val="0D7F02AE"/>
    <w:rsid w:val="0D817B82"/>
    <w:rsid w:val="0D837D9E"/>
    <w:rsid w:val="0D86163D"/>
    <w:rsid w:val="0D895EB2"/>
    <w:rsid w:val="0D921D8F"/>
    <w:rsid w:val="0D941F14"/>
    <w:rsid w:val="0D973E0E"/>
    <w:rsid w:val="0D98311E"/>
    <w:rsid w:val="0D9A0C44"/>
    <w:rsid w:val="0D9C30EB"/>
    <w:rsid w:val="0D9D0734"/>
    <w:rsid w:val="0DA441DC"/>
    <w:rsid w:val="0DAE46EF"/>
    <w:rsid w:val="0DB55A7E"/>
    <w:rsid w:val="0DB60191"/>
    <w:rsid w:val="0DB717F6"/>
    <w:rsid w:val="0DB77A48"/>
    <w:rsid w:val="0DB8731C"/>
    <w:rsid w:val="0DC34AA9"/>
    <w:rsid w:val="0DC379D7"/>
    <w:rsid w:val="0DC65EDD"/>
    <w:rsid w:val="0DC7755F"/>
    <w:rsid w:val="0DCB52A1"/>
    <w:rsid w:val="0DD028B8"/>
    <w:rsid w:val="0DD610C9"/>
    <w:rsid w:val="0DDF2AFB"/>
    <w:rsid w:val="0DE84DA4"/>
    <w:rsid w:val="0DE95727"/>
    <w:rsid w:val="0DFE5677"/>
    <w:rsid w:val="0DFF47ED"/>
    <w:rsid w:val="0E007979"/>
    <w:rsid w:val="0E012A71"/>
    <w:rsid w:val="0E034A3B"/>
    <w:rsid w:val="0E0F1632"/>
    <w:rsid w:val="0E1053AA"/>
    <w:rsid w:val="0E107158"/>
    <w:rsid w:val="0E15476E"/>
    <w:rsid w:val="0E1956B3"/>
    <w:rsid w:val="0E197DBB"/>
    <w:rsid w:val="0E1A1D85"/>
    <w:rsid w:val="0E1A28BF"/>
    <w:rsid w:val="0E1A3500"/>
    <w:rsid w:val="0E1A45F7"/>
    <w:rsid w:val="0E1B7FD7"/>
    <w:rsid w:val="0E1C5AFD"/>
    <w:rsid w:val="0E211365"/>
    <w:rsid w:val="0E2214E3"/>
    <w:rsid w:val="0E2449B2"/>
    <w:rsid w:val="0E2774A7"/>
    <w:rsid w:val="0E323572"/>
    <w:rsid w:val="0E372DD1"/>
    <w:rsid w:val="0E3C4A79"/>
    <w:rsid w:val="0E3F3599"/>
    <w:rsid w:val="0E417312"/>
    <w:rsid w:val="0E423137"/>
    <w:rsid w:val="0E43308A"/>
    <w:rsid w:val="0E4A0A35"/>
    <w:rsid w:val="0E4F1A2E"/>
    <w:rsid w:val="0E596F18"/>
    <w:rsid w:val="0E64514C"/>
    <w:rsid w:val="0E695115"/>
    <w:rsid w:val="0E6A6868"/>
    <w:rsid w:val="0E6B438E"/>
    <w:rsid w:val="0E7616B1"/>
    <w:rsid w:val="0E7771D7"/>
    <w:rsid w:val="0E792F4F"/>
    <w:rsid w:val="0E7B4F50"/>
    <w:rsid w:val="0E83792A"/>
    <w:rsid w:val="0E8474DE"/>
    <w:rsid w:val="0E8764B8"/>
    <w:rsid w:val="0E89077F"/>
    <w:rsid w:val="0E8A6F0A"/>
    <w:rsid w:val="0E8F4521"/>
    <w:rsid w:val="0EA378E1"/>
    <w:rsid w:val="0EAE0A7E"/>
    <w:rsid w:val="0EAE338A"/>
    <w:rsid w:val="0EB146BF"/>
    <w:rsid w:val="0EB21FBD"/>
    <w:rsid w:val="0EB45D35"/>
    <w:rsid w:val="0EB51BBC"/>
    <w:rsid w:val="0EB9334C"/>
    <w:rsid w:val="0EBE6BB4"/>
    <w:rsid w:val="0EC00B7E"/>
    <w:rsid w:val="0EC0292C"/>
    <w:rsid w:val="0EC20452"/>
    <w:rsid w:val="0EC77D21"/>
    <w:rsid w:val="0ECA37AB"/>
    <w:rsid w:val="0ECA7307"/>
    <w:rsid w:val="0ECE329B"/>
    <w:rsid w:val="0ED168E7"/>
    <w:rsid w:val="0ED40186"/>
    <w:rsid w:val="0ED4086D"/>
    <w:rsid w:val="0ED87C76"/>
    <w:rsid w:val="0EE02FCE"/>
    <w:rsid w:val="0EE4793C"/>
    <w:rsid w:val="0EEE7499"/>
    <w:rsid w:val="0EEF3211"/>
    <w:rsid w:val="0EF6634E"/>
    <w:rsid w:val="0EF80318"/>
    <w:rsid w:val="0F0F7410"/>
    <w:rsid w:val="0F13413A"/>
    <w:rsid w:val="0F256C33"/>
    <w:rsid w:val="0F2729AB"/>
    <w:rsid w:val="0F274759"/>
    <w:rsid w:val="0F2A5FF8"/>
    <w:rsid w:val="0F2C6214"/>
    <w:rsid w:val="0F2C7FC2"/>
    <w:rsid w:val="0F2F360E"/>
    <w:rsid w:val="0F365E10"/>
    <w:rsid w:val="0F37178C"/>
    <w:rsid w:val="0F3A26DF"/>
    <w:rsid w:val="0F3D5D2B"/>
    <w:rsid w:val="0F3F7CF5"/>
    <w:rsid w:val="0F421593"/>
    <w:rsid w:val="0F49111A"/>
    <w:rsid w:val="0F4A0448"/>
    <w:rsid w:val="0F4E32A6"/>
    <w:rsid w:val="0F517A28"/>
    <w:rsid w:val="0F5337A0"/>
    <w:rsid w:val="0F59068B"/>
    <w:rsid w:val="0F6459AD"/>
    <w:rsid w:val="0F6838C7"/>
    <w:rsid w:val="0F6B0AEA"/>
    <w:rsid w:val="0F6C6610"/>
    <w:rsid w:val="0F7756E1"/>
    <w:rsid w:val="0F796544"/>
    <w:rsid w:val="0F7E3A23"/>
    <w:rsid w:val="0F815DA9"/>
    <w:rsid w:val="0F9067A2"/>
    <w:rsid w:val="0F931DEF"/>
    <w:rsid w:val="0F9D4A1B"/>
    <w:rsid w:val="0FAC4C5F"/>
    <w:rsid w:val="0FB26719"/>
    <w:rsid w:val="0FB57FB7"/>
    <w:rsid w:val="0FB954F1"/>
    <w:rsid w:val="0FBF0E36"/>
    <w:rsid w:val="0FC644DC"/>
    <w:rsid w:val="0FC8192D"/>
    <w:rsid w:val="0FC85F3C"/>
    <w:rsid w:val="0FC93A62"/>
    <w:rsid w:val="0FCC4E8D"/>
    <w:rsid w:val="0FD0094D"/>
    <w:rsid w:val="0FD05DD9"/>
    <w:rsid w:val="0FD43E0E"/>
    <w:rsid w:val="0FDE750E"/>
    <w:rsid w:val="0FE12B5A"/>
    <w:rsid w:val="0FE4264A"/>
    <w:rsid w:val="0FE505F3"/>
    <w:rsid w:val="0FE97C61"/>
    <w:rsid w:val="0FEF171B"/>
    <w:rsid w:val="0FF07241"/>
    <w:rsid w:val="0FF30FC5"/>
    <w:rsid w:val="0FF87EA4"/>
    <w:rsid w:val="0FFC3E38"/>
    <w:rsid w:val="10070893"/>
    <w:rsid w:val="10093E5F"/>
    <w:rsid w:val="1017657C"/>
    <w:rsid w:val="10190546"/>
    <w:rsid w:val="1021701D"/>
    <w:rsid w:val="10240C99"/>
    <w:rsid w:val="10246EEB"/>
    <w:rsid w:val="10284C2D"/>
    <w:rsid w:val="103709CC"/>
    <w:rsid w:val="10394D6A"/>
    <w:rsid w:val="103D747C"/>
    <w:rsid w:val="103F5AD3"/>
    <w:rsid w:val="104355C3"/>
    <w:rsid w:val="104D01F0"/>
    <w:rsid w:val="10501A8E"/>
    <w:rsid w:val="10524F6F"/>
    <w:rsid w:val="105772C0"/>
    <w:rsid w:val="105C0433"/>
    <w:rsid w:val="105C6685"/>
    <w:rsid w:val="10637A94"/>
    <w:rsid w:val="10692C75"/>
    <w:rsid w:val="106B68C8"/>
    <w:rsid w:val="10710382"/>
    <w:rsid w:val="10725EA8"/>
    <w:rsid w:val="1077526D"/>
    <w:rsid w:val="1078371F"/>
    <w:rsid w:val="107B4D5D"/>
    <w:rsid w:val="108D2CE2"/>
    <w:rsid w:val="108D4A90"/>
    <w:rsid w:val="109202F8"/>
    <w:rsid w:val="109951E3"/>
    <w:rsid w:val="109A05F6"/>
    <w:rsid w:val="109A0F5B"/>
    <w:rsid w:val="109C3875"/>
    <w:rsid w:val="10A047C3"/>
    <w:rsid w:val="10A1280F"/>
    <w:rsid w:val="10A67900"/>
    <w:rsid w:val="10AB6393"/>
    <w:rsid w:val="10B0361A"/>
    <w:rsid w:val="10B25724"/>
    <w:rsid w:val="10B32B01"/>
    <w:rsid w:val="10BB784F"/>
    <w:rsid w:val="10C04426"/>
    <w:rsid w:val="10C83D1A"/>
    <w:rsid w:val="10CA5CE4"/>
    <w:rsid w:val="10CF32FA"/>
    <w:rsid w:val="10D053AB"/>
    <w:rsid w:val="10D40911"/>
    <w:rsid w:val="10D67504"/>
    <w:rsid w:val="10D75D0B"/>
    <w:rsid w:val="10DA04A5"/>
    <w:rsid w:val="10DB706F"/>
    <w:rsid w:val="10E03BE3"/>
    <w:rsid w:val="10E50428"/>
    <w:rsid w:val="10E723F2"/>
    <w:rsid w:val="10E741A0"/>
    <w:rsid w:val="10EC2AC6"/>
    <w:rsid w:val="10ED552F"/>
    <w:rsid w:val="10EE19D3"/>
    <w:rsid w:val="10F13271"/>
    <w:rsid w:val="10F1501F"/>
    <w:rsid w:val="10FB40F0"/>
    <w:rsid w:val="10FD2745"/>
    <w:rsid w:val="110034B4"/>
    <w:rsid w:val="11052E8A"/>
    <w:rsid w:val="11056D1C"/>
    <w:rsid w:val="110805BA"/>
    <w:rsid w:val="110A7E8F"/>
    <w:rsid w:val="110C3C07"/>
    <w:rsid w:val="110E2A64"/>
    <w:rsid w:val="11110CB1"/>
    <w:rsid w:val="11230F50"/>
    <w:rsid w:val="112A6783"/>
    <w:rsid w:val="112B4874"/>
    <w:rsid w:val="112D2373"/>
    <w:rsid w:val="112F5B47"/>
    <w:rsid w:val="11302AA6"/>
    <w:rsid w:val="113238F3"/>
    <w:rsid w:val="113340D7"/>
    <w:rsid w:val="113504F7"/>
    <w:rsid w:val="11390ABC"/>
    <w:rsid w:val="113F222E"/>
    <w:rsid w:val="114809B7"/>
    <w:rsid w:val="114943D9"/>
    <w:rsid w:val="114D134F"/>
    <w:rsid w:val="11592BC4"/>
    <w:rsid w:val="116233EF"/>
    <w:rsid w:val="116457F1"/>
    <w:rsid w:val="11687430"/>
    <w:rsid w:val="11687684"/>
    <w:rsid w:val="116C5D79"/>
    <w:rsid w:val="11731ED8"/>
    <w:rsid w:val="117619C8"/>
    <w:rsid w:val="11777122"/>
    <w:rsid w:val="117F6ACF"/>
    <w:rsid w:val="118440E5"/>
    <w:rsid w:val="11847C41"/>
    <w:rsid w:val="11897A49"/>
    <w:rsid w:val="118D6492"/>
    <w:rsid w:val="11A1719D"/>
    <w:rsid w:val="11A2456B"/>
    <w:rsid w:val="11A402E3"/>
    <w:rsid w:val="11A55E09"/>
    <w:rsid w:val="11A82FBB"/>
    <w:rsid w:val="11AB75A7"/>
    <w:rsid w:val="11B85B3D"/>
    <w:rsid w:val="11BB1392"/>
    <w:rsid w:val="11C40985"/>
    <w:rsid w:val="11D02E86"/>
    <w:rsid w:val="11D0732A"/>
    <w:rsid w:val="11D861DF"/>
    <w:rsid w:val="11DF3D09"/>
    <w:rsid w:val="11E30DCB"/>
    <w:rsid w:val="11E64458"/>
    <w:rsid w:val="11E710E0"/>
    <w:rsid w:val="11E903EC"/>
    <w:rsid w:val="11EC57E6"/>
    <w:rsid w:val="11F052D6"/>
    <w:rsid w:val="11F72B09"/>
    <w:rsid w:val="11FA6155"/>
    <w:rsid w:val="120174E4"/>
    <w:rsid w:val="12051118"/>
    <w:rsid w:val="12062D4C"/>
    <w:rsid w:val="1218482D"/>
    <w:rsid w:val="122338FE"/>
    <w:rsid w:val="1226519C"/>
    <w:rsid w:val="12266F4A"/>
    <w:rsid w:val="122A4C8C"/>
    <w:rsid w:val="122B630F"/>
    <w:rsid w:val="1233153B"/>
    <w:rsid w:val="123A47A4"/>
    <w:rsid w:val="123C49C0"/>
    <w:rsid w:val="123D6042"/>
    <w:rsid w:val="124617BC"/>
    <w:rsid w:val="12494B6A"/>
    <w:rsid w:val="124D0D21"/>
    <w:rsid w:val="12511B36"/>
    <w:rsid w:val="125F420A"/>
    <w:rsid w:val="126029A5"/>
    <w:rsid w:val="126161D4"/>
    <w:rsid w:val="126B2BAF"/>
    <w:rsid w:val="126E366F"/>
    <w:rsid w:val="12751C80"/>
    <w:rsid w:val="1278528D"/>
    <w:rsid w:val="127D1B2A"/>
    <w:rsid w:val="127E0B34"/>
    <w:rsid w:val="127F665A"/>
    <w:rsid w:val="12870DC9"/>
    <w:rsid w:val="128B14A3"/>
    <w:rsid w:val="12922832"/>
    <w:rsid w:val="12987EB7"/>
    <w:rsid w:val="129C1FAB"/>
    <w:rsid w:val="12A242C4"/>
    <w:rsid w:val="12A731F1"/>
    <w:rsid w:val="12AA7B7B"/>
    <w:rsid w:val="12B216E7"/>
    <w:rsid w:val="12B74046"/>
    <w:rsid w:val="12CD73C6"/>
    <w:rsid w:val="12CF1390"/>
    <w:rsid w:val="12D22C2E"/>
    <w:rsid w:val="12D469A6"/>
    <w:rsid w:val="12D76496"/>
    <w:rsid w:val="12DD36F8"/>
    <w:rsid w:val="12DE7825"/>
    <w:rsid w:val="12DF680F"/>
    <w:rsid w:val="12E017EF"/>
    <w:rsid w:val="12E27315"/>
    <w:rsid w:val="12E4180D"/>
    <w:rsid w:val="12E60488"/>
    <w:rsid w:val="12EA6440"/>
    <w:rsid w:val="12EC17FE"/>
    <w:rsid w:val="12ED005B"/>
    <w:rsid w:val="12EF7AF8"/>
    <w:rsid w:val="12F232D0"/>
    <w:rsid w:val="12F26E2C"/>
    <w:rsid w:val="12F47048"/>
    <w:rsid w:val="12F72695"/>
    <w:rsid w:val="12F901BB"/>
    <w:rsid w:val="12F9465F"/>
    <w:rsid w:val="12F9640D"/>
    <w:rsid w:val="12FD60C7"/>
    <w:rsid w:val="12FE1C75"/>
    <w:rsid w:val="1300779B"/>
    <w:rsid w:val="13036A8B"/>
    <w:rsid w:val="130631D2"/>
    <w:rsid w:val="130F5C30"/>
    <w:rsid w:val="131411AB"/>
    <w:rsid w:val="13165211"/>
    <w:rsid w:val="13187CB0"/>
    <w:rsid w:val="13250FB0"/>
    <w:rsid w:val="13313DF9"/>
    <w:rsid w:val="13367661"/>
    <w:rsid w:val="1340403C"/>
    <w:rsid w:val="134358DA"/>
    <w:rsid w:val="134753CA"/>
    <w:rsid w:val="13541895"/>
    <w:rsid w:val="136441CE"/>
    <w:rsid w:val="136F4921"/>
    <w:rsid w:val="13702B73"/>
    <w:rsid w:val="13767A5D"/>
    <w:rsid w:val="137837D5"/>
    <w:rsid w:val="138142DF"/>
    <w:rsid w:val="13833F28"/>
    <w:rsid w:val="13857BA2"/>
    <w:rsid w:val="13862CCC"/>
    <w:rsid w:val="1386762D"/>
    <w:rsid w:val="138E4DA7"/>
    <w:rsid w:val="13900351"/>
    <w:rsid w:val="13960100"/>
    <w:rsid w:val="139D5CF1"/>
    <w:rsid w:val="13A26AA4"/>
    <w:rsid w:val="13A3635A"/>
    <w:rsid w:val="13A426E7"/>
    <w:rsid w:val="13A75E69"/>
    <w:rsid w:val="13A97E33"/>
    <w:rsid w:val="13B46AA4"/>
    <w:rsid w:val="13BB36C2"/>
    <w:rsid w:val="13C50A3B"/>
    <w:rsid w:val="13C702B9"/>
    <w:rsid w:val="13CA1B57"/>
    <w:rsid w:val="13CC1070"/>
    <w:rsid w:val="13CF716E"/>
    <w:rsid w:val="13D50C28"/>
    <w:rsid w:val="13D85AAA"/>
    <w:rsid w:val="13D9378D"/>
    <w:rsid w:val="13DB6FB8"/>
    <w:rsid w:val="13E7259A"/>
    <w:rsid w:val="13EA2243"/>
    <w:rsid w:val="13F6294C"/>
    <w:rsid w:val="13F90B03"/>
    <w:rsid w:val="13FD3CDB"/>
    <w:rsid w:val="14011A1D"/>
    <w:rsid w:val="14025462"/>
    <w:rsid w:val="1403484E"/>
    <w:rsid w:val="140B1D9B"/>
    <w:rsid w:val="14103A0E"/>
    <w:rsid w:val="14107EB2"/>
    <w:rsid w:val="14117786"/>
    <w:rsid w:val="141B0788"/>
    <w:rsid w:val="141B27E4"/>
    <w:rsid w:val="14213E6D"/>
    <w:rsid w:val="14270D58"/>
    <w:rsid w:val="14292D22"/>
    <w:rsid w:val="142B0848"/>
    <w:rsid w:val="142D2812"/>
    <w:rsid w:val="142E32FB"/>
    <w:rsid w:val="142E48AC"/>
    <w:rsid w:val="143322C1"/>
    <w:rsid w:val="14394194"/>
    <w:rsid w:val="143A6CDD"/>
    <w:rsid w:val="143C4803"/>
    <w:rsid w:val="143D5520"/>
    <w:rsid w:val="1444190A"/>
    <w:rsid w:val="14445DAD"/>
    <w:rsid w:val="144731A8"/>
    <w:rsid w:val="144D6A10"/>
    <w:rsid w:val="145F4995"/>
    <w:rsid w:val="14634486"/>
    <w:rsid w:val="14771CDF"/>
    <w:rsid w:val="147860A8"/>
    <w:rsid w:val="147A532B"/>
    <w:rsid w:val="147E27A5"/>
    <w:rsid w:val="148443FC"/>
    <w:rsid w:val="14877923"/>
    <w:rsid w:val="148D45F4"/>
    <w:rsid w:val="14900FF3"/>
    <w:rsid w:val="149363ED"/>
    <w:rsid w:val="1497412F"/>
    <w:rsid w:val="14993714"/>
    <w:rsid w:val="149C1746"/>
    <w:rsid w:val="149F1820"/>
    <w:rsid w:val="149F2FE4"/>
    <w:rsid w:val="14A10CE5"/>
    <w:rsid w:val="14A405FA"/>
    <w:rsid w:val="14A64372"/>
    <w:rsid w:val="14A800EA"/>
    <w:rsid w:val="14A80A0E"/>
    <w:rsid w:val="14B46A8F"/>
    <w:rsid w:val="14B505E3"/>
    <w:rsid w:val="14B95E54"/>
    <w:rsid w:val="14C44852"/>
    <w:rsid w:val="14C96593"/>
    <w:rsid w:val="14CB5B87"/>
    <w:rsid w:val="14CD5DA3"/>
    <w:rsid w:val="14EA0703"/>
    <w:rsid w:val="14F15E1C"/>
    <w:rsid w:val="14F57FE3"/>
    <w:rsid w:val="14F72E20"/>
    <w:rsid w:val="150A7730"/>
    <w:rsid w:val="151169CA"/>
    <w:rsid w:val="15194B44"/>
    <w:rsid w:val="151A3F0B"/>
    <w:rsid w:val="15202377"/>
    <w:rsid w:val="153A26E7"/>
    <w:rsid w:val="153B4ABB"/>
    <w:rsid w:val="154107F7"/>
    <w:rsid w:val="15451DDD"/>
    <w:rsid w:val="15452A4F"/>
    <w:rsid w:val="15483CA3"/>
    <w:rsid w:val="154A2F50"/>
    <w:rsid w:val="154A73F4"/>
    <w:rsid w:val="15524A1D"/>
    <w:rsid w:val="15537E34"/>
    <w:rsid w:val="15567B46"/>
    <w:rsid w:val="155B33AF"/>
    <w:rsid w:val="155D688F"/>
    <w:rsid w:val="155E2E9F"/>
    <w:rsid w:val="15632263"/>
    <w:rsid w:val="157B135B"/>
    <w:rsid w:val="157E4A5E"/>
    <w:rsid w:val="15806971"/>
    <w:rsid w:val="1582093B"/>
    <w:rsid w:val="15836462"/>
    <w:rsid w:val="15877642"/>
    <w:rsid w:val="158906BB"/>
    <w:rsid w:val="159643E7"/>
    <w:rsid w:val="15976156"/>
    <w:rsid w:val="159B6AEE"/>
    <w:rsid w:val="15A941B8"/>
    <w:rsid w:val="15B46D86"/>
    <w:rsid w:val="15B825AF"/>
    <w:rsid w:val="15BB209F"/>
    <w:rsid w:val="15C471A6"/>
    <w:rsid w:val="15CF04E4"/>
    <w:rsid w:val="15E11B06"/>
    <w:rsid w:val="15EC4007"/>
    <w:rsid w:val="15FD6214"/>
    <w:rsid w:val="15FD6410"/>
    <w:rsid w:val="15FF5E46"/>
    <w:rsid w:val="16021A7C"/>
    <w:rsid w:val="160475A2"/>
    <w:rsid w:val="160A6A90"/>
    <w:rsid w:val="160B0931"/>
    <w:rsid w:val="161361DE"/>
    <w:rsid w:val="161426C7"/>
    <w:rsid w:val="16143C3C"/>
    <w:rsid w:val="1618304E"/>
    <w:rsid w:val="161C28E0"/>
    <w:rsid w:val="162E461F"/>
    <w:rsid w:val="163065E9"/>
    <w:rsid w:val="163F682C"/>
    <w:rsid w:val="164200CB"/>
    <w:rsid w:val="1642631D"/>
    <w:rsid w:val="16442095"/>
    <w:rsid w:val="164833AF"/>
    <w:rsid w:val="164C04ED"/>
    <w:rsid w:val="164D0F49"/>
    <w:rsid w:val="164D719B"/>
    <w:rsid w:val="1652768E"/>
    <w:rsid w:val="16534086"/>
    <w:rsid w:val="16544222"/>
    <w:rsid w:val="16546845"/>
    <w:rsid w:val="16565924"/>
    <w:rsid w:val="16596B51"/>
    <w:rsid w:val="16691AFB"/>
    <w:rsid w:val="166C4E41"/>
    <w:rsid w:val="166E331E"/>
    <w:rsid w:val="16781D3E"/>
    <w:rsid w:val="167B3A91"/>
    <w:rsid w:val="167E4F7B"/>
    <w:rsid w:val="16810BF3"/>
    <w:rsid w:val="168120B7"/>
    <w:rsid w:val="16816E45"/>
    <w:rsid w:val="16840A70"/>
    <w:rsid w:val="168B305D"/>
    <w:rsid w:val="168F66FB"/>
    <w:rsid w:val="169B1CC8"/>
    <w:rsid w:val="169B5218"/>
    <w:rsid w:val="169D782C"/>
    <w:rsid w:val="169E79F7"/>
    <w:rsid w:val="16A56638"/>
    <w:rsid w:val="16A619B3"/>
    <w:rsid w:val="16A62408"/>
    <w:rsid w:val="16B66F43"/>
    <w:rsid w:val="16BE3BF5"/>
    <w:rsid w:val="16C17241"/>
    <w:rsid w:val="16C3745D"/>
    <w:rsid w:val="16C62AAA"/>
    <w:rsid w:val="16CB6312"/>
    <w:rsid w:val="16D72F09"/>
    <w:rsid w:val="16D927DD"/>
    <w:rsid w:val="16DA6555"/>
    <w:rsid w:val="16E318AE"/>
    <w:rsid w:val="16E3540A"/>
    <w:rsid w:val="16EB3764"/>
    <w:rsid w:val="16EF3DAF"/>
    <w:rsid w:val="16F94C2D"/>
    <w:rsid w:val="16FC471D"/>
    <w:rsid w:val="17005FBC"/>
    <w:rsid w:val="170447DA"/>
    <w:rsid w:val="17045380"/>
    <w:rsid w:val="170535D2"/>
    <w:rsid w:val="1706734A"/>
    <w:rsid w:val="170F5E90"/>
    <w:rsid w:val="1716283B"/>
    <w:rsid w:val="17180C70"/>
    <w:rsid w:val="171E28E6"/>
    <w:rsid w:val="17215F32"/>
    <w:rsid w:val="172516D9"/>
    <w:rsid w:val="17283764"/>
    <w:rsid w:val="17292121"/>
    <w:rsid w:val="173159F1"/>
    <w:rsid w:val="17342109"/>
    <w:rsid w:val="17384B04"/>
    <w:rsid w:val="1739327C"/>
    <w:rsid w:val="173E0892"/>
    <w:rsid w:val="1741112D"/>
    <w:rsid w:val="174B2FAF"/>
    <w:rsid w:val="174C1B02"/>
    <w:rsid w:val="174D31CB"/>
    <w:rsid w:val="175005C5"/>
    <w:rsid w:val="17551314"/>
    <w:rsid w:val="175B58E8"/>
    <w:rsid w:val="175D602C"/>
    <w:rsid w:val="175E7186"/>
    <w:rsid w:val="17620A24"/>
    <w:rsid w:val="176C3651"/>
    <w:rsid w:val="176D73C9"/>
    <w:rsid w:val="1771244B"/>
    <w:rsid w:val="17726EEA"/>
    <w:rsid w:val="177E40C4"/>
    <w:rsid w:val="1787048B"/>
    <w:rsid w:val="17884203"/>
    <w:rsid w:val="17914E66"/>
    <w:rsid w:val="17926BD2"/>
    <w:rsid w:val="17942BA8"/>
    <w:rsid w:val="17954360"/>
    <w:rsid w:val="179606CE"/>
    <w:rsid w:val="179C49C1"/>
    <w:rsid w:val="179E3A27"/>
    <w:rsid w:val="17A252C5"/>
    <w:rsid w:val="17A32DEB"/>
    <w:rsid w:val="17AC6144"/>
    <w:rsid w:val="17B31280"/>
    <w:rsid w:val="17B44FF8"/>
    <w:rsid w:val="17B46632"/>
    <w:rsid w:val="17B51F36"/>
    <w:rsid w:val="17B62B1E"/>
    <w:rsid w:val="17BF5E77"/>
    <w:rsid w:val="17C82BCE"/>
    <w:rsid w:val="17DD62FD"/>
    <w:rsid w:val="17EA38DE"/>
    <w:rsid w:val="17EE050A"/>
    <w:rsid w:val="17EF7DDE"/>
    <w:rsid w:val="17F453F5"/>
    <w:rsid w:val="17F9352B"/>
    <w:rsid w:val="18095344"/>
    <w:rsid w:val="180E4708"/>
    <w:rsid w:val="181240A7"/>
    <w:rsid w:val="1824217E"/>
    <w:rsid w:val="18243F2C"/>
    <w:rsid w:val="18273A1C"/>
    <w:rsid w:val="18291542"/>
    <w:rsid w:val="182A0E16"/>
    <w:rsid w:val="182B52BA"/>
    <w:rsid w:val="182F0322"/>
    <w:rsid w:val="183A54FD"/>
    <w:rsid w:val="1847093C"/>
    <w:rsid w:val="184C5231"/>
    <w:rsid w:val="184C6FDF"/>
    <w:rsid w:val="18511F57"/>
    <w:rsid w:val="1857344B"/>
    <w:rsid w:val="18657988"/>
    <w:rsid w:val="18673E19"/>
    <w:rsid w:val="187D5EF7"/>
    <w:rsid w:val="18866995"/>
    <w:rsid w:val="18890233"/>
    <w:rsid w:val="18910E95"/>
    <w:rsid w:val="189746FE"/>
    <w:rsid w:val="189B47D1"/>
    <w:rsid w:val="189D5A8C"/>
    <w:rsid w:val="18A32F63"/>
    <w:rsid w:val="18A51C9C"/>
    <w:rsid w:val="18AB01A9"/>
    <w:rsid w:val="18AB63FB"/>
    <w:rsid w:val="18B52DD6"/>
    <w:rsid w:val="18BE612E"/>
    <w:rsid w:val="18C94AD3"/>
    <w:rsid w:val="18D45952"/>
    <w:rsid w:val="18D46BEB"/>
    <w:rsid w:val="18DC65B5"/>
    <w:rsid w:val="18DD5F19"/>
    <w:rsid w:val="18E9167E"/>
    <w:rsid w:val="18EB67F8"/>
    <w:rsid w:val="18ED6A14"/>
    <w:rsid w:val="18F03E0E"/>
    <w:rsid w:val="18F25DD8"/>
    <w:rsid w:val="18F733EE"/>
    <w:rsid w:val="18F97167"/>
    <w:rsid w:val="1901601B"/>
    <w:rsid w:val="19067AD5"/>
    <w:rsid w:val="19081158"/>
    <w:rsid w:val="190A2B12"/>
    <w:rsid w:val="190B6E9A"/>
    <w:rsid w:val="19193365"/>
    <w:rsid w:val="191C10A7"/>
    <w:rsid w:val="191E2EA7"/>
    <w:rsid w:val="19212219"/>
    <w:rsid w:val="192817FA"/>
    <w:rsid w:val="19324427"/>
    <w:rsid w:val="1934481E"/>
    <w:rsid w:val="193463F1"/>
    <w:rsid w:val="19406B43"/>
    <w:rsid w:val="194303E2"/>
    <w:rsid w:val="1945415A"/>
    <w:rsid w:val="1946089D"/>
    <w:rsid w:val="194F322A"/>
    <w:rsid w:val="19573E8D"/>
    <w:rsid w:val="195E6FCA"/>
    <w:rsid w:val="1967529D"/>
    <w:rsid w:val="196842EC"/>
    <w:rsid w:val="19717EBC"/>
    <w:rsid w:val="19783AB2"/>
    <w:rsid w:val="197A0C68"/>
    <w:rsid w:val="19856C4C"/>
    <w:rsid w:val="19900E5B"/>
    <w:rsid w:val="19910B4F"/>
    <w:rsid w:val="199212ED"/>
    <w:rsid w:val="199A2918"/>
    <w:rsid w:val="19A03A86"/>
    <w:rsid w:val="19A10D28"/>
    <w:rsid w:val="19A35324"/>
    <w:rsid w:val="19A370D2"/>
    <w:rsid w:val="19A60971"/>
    <w:rsid w:val="19A74E14"/>
    <w:rsid w:val="19A81450"/>
    <w:rsid w:val="19AC5F87"/>
    <w:rsid w:val="19AC7FBE"/>
    <w:rsid w:val="19AE61A3"/>
    <w:rsid w:val="19AF3CC9"/>
    <w:rsid w:val="19B20DD3"/>
    <w:rsid w:val="19B27315"/>
    <w:rsid w:val="19B40CF7"/>
    <w:rsid w:val="19B72B7E"/>
    <w:rsid w:val="19B9232B"/>
    <w:rsid w:val="19B94B48"/>
    <w:rsid w:val="19BD0194"/>
    <w:rsid w:val="19C21C4E"/>
    <w:rsid w:val="19CC487B"/>
    <w:rsid w:val="19CD414F"/>
    <w:rsid w:val="19D07778"/>
    <w:rsid w:val="19E00326"/>
    <w:rsid w:val="19E03E83"/>
    <w:rsid w:val="19E576EB"/>
    <w:rsid w:val="19E679C4"/>
    <w:rsid w:val="19E971DB"/>
    <w:rsid w:val="19FB6F0E"/>
    <w:rsid w:val="19FD46F1"/>
    <w:rsid w:val="19FD4A34"/>
    <w:rsid w:val="1A037B71"/>
    <w:rsid w:val="1A08318B"/>
    <w:rsid w:val="1A0E1F0E"/>
    <w:rsid w:val="1A11687D"/>
    <w:rsid w:val="1A1F69B1"/>
    <w:rsid w:val="1A24187A"/>
    <w:rsid w:val="1A27777D"/>
    <w:rsid w:val="1A2A3350"/>
    <w:rsid w:val="1A2E4BEE"/>
    <w:rsid w:val="1A3348FA"/>
    <w:rsid w:val="1A402B73"/>
    <w:rsid w:val="1A420699"/>
    <w:rsid w:val="1A4A5C7F"/>
    <w:rsid w:val="1A4B50AA"/>
    <w:rsid w:val="1A564145"/>
    <w:rsid w:val="1A565416"/>
    <w:rsid w:val="1A5B54C3"/>
    <w:rsid w:val="1A69031C"/>
    <w:rsid w:val="1A710772"/>
    <w:rsid w:val="1A716259"/>
    <w:rsid w:val="1A772A39"/>
    <w:rsid w:val="1A7C47D0"/>
    <w:rsid w:val="1A7F369B"/>
    <w:rsid w:val="1A8769F4"/>
    <w:rsid w:val="1A974E89"/>
    <w:rsid w:val="1A9D3949"/>
    <w:rsid w:val="1A9D7FC6"/>
    <w:rsid w:val="1A9F5AEC"/>
    <w:rsid w:val="1AA70D85"/>
    <w:rsid w:val="1AAE21D3"/>
    <w:rsid w:val="1AB0041E"/>
    <w:rsid w:val="1AB377E9"/>
    <w:rsid w:val="1AB570BD"/>
    <w:rsid w:val="1AB9713F"/>
    <w:rsid w:val="1ABF6EAF"/>
    <w:rsid w:val="1AC47300"/>
    <w:rsid w:val="1AC86822"/>
    <w:rsid w:val="1ACC4407"/>
    <w:rsid w:val="1AD02149"/>
    <w:rsid w:val="1AD9671D"/>
    <w:rsid w:val="1ADD03C2"/>
    <w:rsid w:val="1AE259D8"/>
    <w:rsid w:val="1AE31E7C"/>
    <w:rsid w:val="1AE71C05"/>
    <w:rsid w:val="1AEB2BBF"/>
    <w:rsid w:val="1AF04599"/>
    <w:rsid w:val="1AF37BE5"/>
    <w:rsid w:val="1AFC4CEC"/>
    <w:rsid w:val="1B0342CC"/>
    <w:rsid w:val="1B070062"/>
    <w:rsid w:val="1B0961AD"/>
    <w:rsid w:val="1B1262BE"/>
    <w:rsid w:val="1B18764C"/>
    <w:rsid w:val="1B210BF7"/>
    <w:rsid w:val="1B23671D"/>
    <w:rsid w:val="1B28788F"/>
    <w:rsid w:val="1B316012"/>
    <w:rsid w:val="1B35229F"/>
    <w:rsid w:val="1B39193F"/>
    <w:rsid w:val="1B391A9C"/>
    <w:rsid w:val="1B4072CF"/>
    <w:rsid w:val="1B482BAE"/>
    <w:rsid w:val="1B4D72F6"/>
    <w:rsid w:val="1B505038"/>
    <w:rsid w:val="1B506DE6"/>
    <w:rsid w:val="1B597B7F"/>
    <w:rsid w:val="1B66485B"/>
    <w:rsid w:val="1B6C7141"/>
    <w:rsid w:val="1B6D5F76"/>
    <w:rsid w:val="1B7138AA"/>
    <w:rsid w:val="1B753A8E"/>
    <w:rsid w:val="1B7E5AA8"/>
    <w:rsid w:val="1B7F1479"/>
    <w:rsid w:val="1B83470E"/>
    <w:rsid w:val="1B860A5A"/>
    <w:rsid w:val="1B93683E"/>
    <w:rsid w:val="1B9969DF"/>
    <w:rsid w:val="1B9B4505"/>
    <w:rsid w:val="1B9C4323"/>
    <w:rsid w:val="1BA57132"/>
    <w:rsid w:val="1BA84E74"/>
    <w:rsid w:val="1BAC6712"/>
    <w:rsid w:val="1BB74F5A"/>
    <w:rsid w:val="1BBD402A"/>
    <w:rsid w:val="1BC021BE"/>
    <w:rsid w:val="1BC752FA"/>
    <w:rsid w:val="1BD96DDB"/>
    <w:rsid w:val="1BDD2D6F"/>
    <w:rsid w:val="1BDD64C4"/>
    <w:rsid w:val="1BE0016A"/>
    <w:rsid w:val="1BE13EE2"/>
    <w:rsid w:val="1BEA0FE8"/>
    <w:rsid w:val="1BF65BDF"/>
    <w:rsid w:val="1BFC5AAE"/>
    <w:rsid w:val="1C024584"/>
    <w:rsid w:val="1C0A6C76"/>
    <w:rsid w:val="1C142509"/>
    <w:rsid w:val="1C142AAA"/>
    <w:rsid w:val="1C16002F"/>
    <w:rsid w:val="1C19367C"/>
    <w:rsid w:val="1C1A4CA0"/>
    <w:rsid w:val="1C1C3525"/>
    <w:rsid w:val="1C262C1A"/>
    <w:rsid w:val="1C290600"/>
    <w:rsid w:val="1C2D2C9B"/>
    <w:rsid w:val="1C3B1844"/>
    <w:rsid w:val="1C3B5CE8"/>
    <w:rsid w:val="1C3D380E"/>
    <w:rsid w:val="1C440C60"/>
    <w:rsid w:val="1C47468D"/>
    <w:rsid w:val="1C4C1CA3"/>
    <w:rsid w:val="1C4D36AB"/>
    <w:rsid w:val="1C4D79F2"/>
    <w:rsid w:val="1C4E5A1B"/>
    <w:rsid w:val="1C511779"/>
    <w:rsid w:val="1C536B8E"/>
    <w:rsid w:val="1C563089"/>
    <w:rsid w:val="1C5841A4"/>
    <w:rsid w:val="1C640D9B"/>
    <w:rsid w:val="1C646FED"/>
    <w:rsid w:val="1C6601F2"/>
    <w:rsid w:val="1C7408FE"/>
    <w:rsid w:val="1C7903AF"/>
    <w:rsid w:val="1C7A05BE"/>
    <w:rsid w:val="1C7D1E5D"/>
    <w:rsid w:val="1C80324C"/>
    <w:rsid w:val="1C8B27CB"/>
    <w:rsid w:val="1C8E7BC6"/>
    <w:rsid w:val="1C9262FB"/>
    <w:rsid w:val="1C986C96"/>
    <w:rsid w:val="1C997140"/>
    <w:rsid w:val="1CA44A0F"/>
    <w:rsid w:val="1CA70003"/>
    <w:rsid w:val="1CA76EDA"/>
    <w:rsid w:val="1CA94A00"/>
    <w:rsid w:val="1CAB69CA"/>
    <w:rsid w:val="1CB263DE"/>
    <w:rsid w:val="1CB279A9"/>
    <w:rsid w:val="1CB533A4"/>
    <w:rsid w:val="1CB810E7"/>
    <w:rsid w:val="1CBB2985"/>
    <w:rsid w:val="1CBF2475"/>
    <w:rsid w:val="1CC17F9B"/>
    <w:rsid w:val="1CC21F65"/>
    <w:rsid w:val="1CC25AC1"/>
    <w:rsid w:val="1CC84BE4"/>
    <w:rsid w:val="1CC96E50"/>
    <w:rsid w:val="1CCA0C6F"/>
    <w:rsid w:val="1CCD203C"/>
    <w:rsid w:val="1CD04682"/>
    <w:rsid w:val="1CD774B0"/>
    <w:rsid w:val="1CE00629"/>
    <w:rsid w:val="1CEB326A"/>
    <w:rsid w:val="1CF0262F"/>
    <w:rsid w:val="1CF0690F"/>
    <w:rsid w:val="1D0113C9"/>
    <w:rsid w:val="1D0C4D3C"/>
    <w:rsid w:val="1D0D31E0"/>
    <w:rsid w:val="1D13631D"/>
    <w:rsid w:val="1D181B85"/>
    <w:rsid w:val="1D1B1F70"/>
    <w:rsid w:val="1D2D73DF"/>
    <w:rsid w:val="1D2E13A9"/>
    <w:rsid w:val="1D3272A2"/>
    <w:rsid w:val="1D383FD6"/>
    <w:rsid w:val="1D4209B0"/>
    <w:rsid w:val="1D4330A6"/>
    <w:rsid w:val="1D436C02"/>
    <w:rsid w:val="1D4604A0"/>
    <w:rsid w:val="1D55000A"/>
    <w:rsid w:val="1D586233"/>
    <w:rsid w:val="1D5968EC"/>
    <w:rsid w:val="1D5A3F4C"/>
    <w:rsid w:val="1D5F5A06"/>
    <w:rsid w:val="1D631052"/>
    <w:rsid w:val="1D633073"/>
    <w:rsid w:val="1D666D95"/>
    <w:rsid w:val="1D686669"/>
    <w:rsid w:val="1D6A50EA"/>
    <w:rsid w:val="1D762F10"/>
    <w:rsid w:val="1D796AC8"/>
    <w:rsid w:val="1D7A45EE"/>
    <w:rsid w:val="1D7A639C"/>
    <w:rsid w:val="1D813BCE"/>
    <w:rsid w:val="1D8C53A3"/>
    <w:rsid w:val="1D9531D6"/>
    <w:rsid w:val="1DA460D2"/>
    <w:rsid w:val="1DAB29F9"/>
    <w:rsid w:val="1DB00010"/>
    <w:rsid w:val="1DB16262"/>
    <w:rsid w:val="1DB55626"/>
    <w:rsid w:val="1DB63878"/>
    <w:rsid w:val="1DB775F0"/>
    <w:rsid w:val="1DB95116"/>
    <w:rsid w:val="1DBB0E8E"/>
    <w:rsid w:val="1DBE097F"/>
    <w:rsid w:val="1DC37D43"/>
    <w:rsid w:val="1DC46673"/>
    <w:rsid w:val="1DCA10D2"/>
    <w:rsid w:val="1DCC6BCB"/>
    <w:rsid w:val="1DD35915"/>
    <w:rsid w:val="1DD91315"/>
    <w:rsid w:val="1DDB508D"/>
    <w:rsid w:val="1DEA1774"/>
    <w:rsid w:val="1DF52E86"/>
    <w:rsid w:val="1DF77DC1"/>
    <w:rsid w:val="1DFB128B"/>
    <w:rsid w:val="1DFB3BD9"/>
    <w:rsid w:val="1DFE0D7B"/>
    <w:rsid w:val="1E002D45"/>
    <w:rsid w:val="1E0068A1"/>
    <w:rsid w:val="1E0346BB"/>
    <w:rsid w:val="1E045A8A"/>
    <w:rsid w:val="1E053855"/>
    <w:rsid w:val="1E0565AE"/>
    <w:rsid w:val="1E081BFA"/>
    <w:rsid w:val="1E0C16EA"/>
    <w:rsid w:val="1E0D0FBE"/>
    <w:rsid w:val="1E14234D"/>
    <w:rsid w:val="1E18008F"/>
    <w:rsid w:val="1E2702D2"/>
    <w:rsid w:val="1E2C3B3A"/>
    <w:rsid w:val="1E2F362A"/>
    <w:rsid w:val="1E2F53D8"/>
    <w:rsid w:val="1E301693"/>
    <w:rsid w:val="1E326C77"/>
    <w:rsid w:val="1E3819A8"/>
    <w:rsid w:val="1E3E386E"/>
    <w:rsid w:val="1E3E39E6"/>
    <w:rsid w:val="1E401394"/>
    <w:rsid w:val="1E403142"/>
    <w:rsid w:val="1E445BB5"/>
    <w:rsid w:val="1E4B5FA8"/>
    <w:rsid w:val="1E4F7829"/>
    <w:rsid w:val="1E5B61CE"/>
    <w:rsid w:val="1E5E181A"/>
    <w:rsid w:val="1E635082"/>
    <w:rsid w:val="1E6C03DB"/>
    <w:rsid w:val="1E7159F1"/>
    <w:rsid w:val="1E7338E5"/>
    <w:rsid w:val="1E74103D"/>
    <w:rsid w:val="1E763007"/>
    <w:rsid w:val="1E786D7F"/>
    <w:rsid w:val="1E7948A6"/>
    <w:rsid w:val="1E7A2AF8"/>
    <w:rsid w:val="1E7D6144"/>
    <w:rsid w:val="1E827BFE"/>
    <w:rsid w:val="1E8A260F"/>
    <w:rsid w:val="1E8C282B"/>
    <w:rsid w:val="1E8D5CB1"/>
    <w:rsid w:val="1E8F5E77"/>
    <w:rsid w:val="1E911BEF"/>
    <w:rsid w:val="1E9275C5"/>
    <w:rsid w:val="1E931075"/>
    <w:rsid w:val="1E9359FF"/>
    <w:rsid w:val="1E9B1C91"/>
    <w:rsid w:val="1E9C5D87"/>
    <w:rsid w:val="1E9D2342"/>
    <w:rsid w:val="1E9E60BA"/>
    <w:rsid w:val="1EA731C1"/>
    <w:rsid w:val="1EAC07D7"/>
    <w:rsid w:val="1EAE454F"/>
    <w:rsid w:val="1EB31B66"/>
    <w:rsid w:val="1EB35BD8"/>
    <w:rsid w:val="1EBF050A"/>
    <w:rsid w:val="1EC05AB5"/>
    <w:rsid w:val="1EC2624D"/>
    <w:rsid w:val="1EC63B74"/>
    <w:rsid w:val="1ECA65F0"/>
    <w:rsid w:val="1ECE074D"/>
    <w:rsid w:val="1EDC131A"/>
    <w:rsid w:val="1EDC41F6"/>
    <w:rsid w:val="1EDF295B"/>
    <w:rsid w:val="1EE61F3B"/>
    <w:rsid w:val="1EE77A61"/>
    <w:rsid w:val="1EE833D9"/>
    <w:rsid w:val="1EE95587"/>
    <w:rsid w:val="1EEA12FF"/>
    <w:rsid w:val="1EEB7551"/>
    <w:rsid w:val="1EEC32CA"/>
    <w:rsid w:val="1EEC5078"/>
    <w:rsid w:val="1EF34658"/>
    <w:rsid w:val="1EFA3C38"/>
    <w:rsid w:val="1EFB1C1F"/>
    <w:rsid w:val="1F046865"/>
    <w:rsid w:val="1F095375"/>
    <w:rsid w:val="1F0C322D"/>
    <w:rsid w:val="1F100D66"/>
    <w:rsid w:val="1F114ADE"/>
    <w:rsid w:val="1F2C58B2"/>
    <w:rsid w:val="1F3F1B86"/>
    <w:rsid w:val="1F4B4494"/>
    <w:rsid w:val="1F4B6242"/>
    <w:rsid w:val="1F520A72"/>
    <w:rsid w:val="1F5844BB"/>
    <w:rsid w:val="1F5A46D7"/>
    <w:rsid w:val="1F5B1004"/>
    <w:rsid w:val="1F5F1CED"/>
    <w:rsid w:val="1F5F3A9B"/>
    <w:rsid w:val="1F6022F5"/>
    <w:rsid w:val="1F69491A"/>
    <w:rsid w:val="1F705CA9"/>
    <w:rsid w:val="1F792DAF"/>
    <w:rsid w:val="1F7F7C9A"/>
    <w:rsid w:val="1F845EBA"/>
    <w:rsid w:val="1F861028"/>
    <w:rsid w:val="1F881244"/>
    <w:rsid w:val="1F890B18"/>
    <w:rsid w:val="1F896D6A"/>
    <w:rsid w:val="1F973235"/>
    <w:rsid w:val="1F981484"/>
    <w:rsid w:val="1F983013"/>
    <w:rsid w:val="1F983CCE"/>
    <w:rsid w:val="1F9C084C"/>
    <w:rsid w:val="1F9E2816"/>
    <w:rsid w:val="1FA00AD9"/>
    <w:rsid w:val="1FB262C1"/>
    <w:rsid w:val="1FB63591"/>
    <w:rsid w:val="1FBD34A2"/>
    <w:rsid w:val="1FC009DE"/>
    <w:rsid w:val="1FC64311"/>
    <w:rsid w:val="1FC85AE5"/>
    <w:rsid w:val="1FC97167"/>
    <w:rsid w:val="1FCE5529"/>
    <w:rsid w:val="1FD53D5E"/>
    <w:rsid w:val="1FD56262"/>
    <w:rsid w:val="1FE16BA6"/>
    <w:rsid w:val="1FE27D80"/>
    <w:rsid w:val="1FE521F3"/>
    <w:rsid w:val="1FE741BD"/>
    <w:rsid w:val="1FEA15B7"/>
    <w:rsid w:val="1FEB532F"/>
    <w:rsid w:val="1FED554B"/>
    <w:rsid w:val="1FF22B62"/>
    <w:rsid w:val="1FF561AE"/>
    <w:rsid w:val="1FFA08C4"/>
    <w:rsid w:val="1FFE1506"/>
    <w:rsid w:val="200230F1"/>
    <w:rsid w:val="20060D7B"/>
    <w:rsid w:val="200F2C45"/>
    <w:rsid w:val="201A79C2"/>
    <w:rsid w:val="201C3652"/>
    <w:rsid w:val="20234A6C"/>
    <w:rsid w:val="20285722"/>
    <w:rsid w:val="20286583"/>
    <w:rsid w:val="202F346E"/>
    <w:rsid w:val="2031368A"/>
    <w:rsid w:val="203171E6"/>
    <w:rsid w:val="203A3726"/>
    <w:rsid w:val="203C58F3"/>
    <w:rsid w:val="203E32AB"/>
    <w:rsid w:val="204213F3"/>
    <w:rsid w:val="204A02A8"/>
    <w:rsid w:val="204D6F9F"/>
    <w:rsid w:val="20564E9E"/>
    <w:rsid w:val="2059648A"/>
    <w:rsid w:val="206E238A"/>
    <w:rsid w:val="20765541"/>
    <w:rsid w:val="207812B9"/>
    <w:rsid w:val="207C36C3"/>
    <w:rsid w:val="20803CC9"/>
    <w:rsid w:val="209B0B03"/>
    <w:rsid w:val="209B13A7"/>
    <w:rsid w:val="209D520A"/>
    <w:rsid w:val="209E2043"/>
    <w:rsid w:val="20A756FA"/>
    <w:rsid w:val="20A976C4"/>
    <w:rsid w:val="20AA51EA"/>
    <w:rsid w:val="20AC0F62"/>
    <w:rsid w:val="20AC4ABE"/>
    <w:rsid w:val="20B10327"/>
    <w:rsid w:val="20B120D5"/>
    <w:rsid w:val="20B24026"/>
    <w:rsid w:val="20B63B8F"/>
    <w:rsid w:val="20B9542D"/>
    <w:rsid w:val="20BB45F9"/>
    <w:rsid w:val="20BB73F7"/>
    <w:rsid w:val="20CA763A"/>
    <w:rsid w:val="20D3029D"/>
    <w:rsid w:val="20D34741"/>
    <w:rsid w:val="20E26732"/>
    <w:rsid w:val="20E64474"/>
    <w:rsid w:val="20EB1A8B"/>
    <w:rsid w:val="20EE157B"/>
    <w:rsid w:val="20EF0E4F"/>
    <w:rsid w:val="20F070A1"/>
    <w:rsid w:val="20F14BC7"/>
    <w:rsid w:val="20F63F8C"/>
    <w:rsid w:val="20FA1CCE"/>
    <w:rsid w:val="20FA3A7C"/>
    <w:rsid w:val="21015D8F"/>
    <w:rsid w:val="21025026"/>
    <w:rsid w:val="21031EA1"/>
    <w:rsid w:val="210F0963"/>
    <w:rsid w:val="21154D5A"/>
    <w:rsid w:val="21162880"/>
    <w:rsid w:val="21254871"/>
    <w:rsid w:val="21354AB4"/>
    <w:rsid w:val="2149662E"/>
    <w:rsid w:val="214F6BCE"/>
    <w:rsid w:val="215414C1"/>
    <w:rsid w:val="21555156"/>
    <w:rsid w:val="215D04AF"/>
    <w:rsid w:val="215D225D"/>
    <w:rsid w:val="216655B5"/>
    <w:rsid w:val="216B138B"/>
    <w:rsid w:val="216D6ACE"/>
    <w:rsid w:val="21723F5A"/>
    <w:rsid w:val="21833D82"/>
    <w:rsid w:val="21837F15"/>
    <w:rsid w:val="21871088"/>
    <w:rsid w:val="218D0B38"/>
    <w:rsid w:val="21920158"/>
    <w:rsid w:val="21923DFF"/>
    <w:rsid w:val="219537A4"/>
    <w:rsid w:val="219557DE"/>
    <w:rsid w:val="21967DBF"/>
    <w:rsid w:val="219A525F"/>
    <w:rsid w:val="219B33C4"/>
    <w:rsid w:val="219C0FD7"/>
    <w:rsid w:val="219F2875"/>
    <w:rsid w:val="21A41C3A"/>
    <w:rsid w:val="21BC0100"/>
    <w:rsid w:val="21BF0821"/>
    <w:rsid w:val="21BF6A73"/>
    <w:rsid w:val="21C66054"/>
    <w:rsid w:val="21C67E02"/>
    <w:rsid w:val="21CE6CB6"/>
    <w:rsid w:val="21CF5542"/>
    <w:rsid w:val="21D4251F"/>
    <w:rsid w:val="21D544E9"/>
    <w:rsid w:val="21D818E3"/>
    <w:rsid w:val="21DA565B"/>
    <w:rsid w:val="21DF0EC4"/>
    <w:rsid w:val="21E66AB3"/>
    <w:rsid w:val="21EA2E05"/>
    <w:rsid w:val="21EF3B5B"/>
    <w:rsid w:val="21F7445F"/>
    <w:rsid w:val="22001566"/>
    <w:rsid w:val="22010E3A"/>
    <w:rsid w:val="220426D8"/>
    <w:rsid w:val="2208147E"/>
    <w:rsid w:val="2210107D"/>
    <w:rsid w:val="2221328A"/>
    <w:rsid w:val="22235254"/>
    <w:rsid w:val="222B72CC"/>
    <w:rsid w:val="22330D82"/>
    <w:rsid w:val="22355E26"/>
    <w:rsid w:val="22356D36"/>
    <w:rsid w:val="22391116"/>
    <w:rsid w:val="224315DD"/>
    <w:rsid w:val="224B0ED0"/>
    <w:rsid w:val="224C47AB"/>
    <w:rsid w:val="224F3E0C"/>
    <w:rsid w:val="22525B39"/>
    <w:rsid w:val="22552F34"/>
    <w:rsid w:val="22574EFE"/>
    <w:rsid w:val="226B673B"/>
    <w:rsid w:val="22737F8A"/>
    <w:rsid w:val="22750E06"/>
    <w:rsid w:val="22794E74"/>
    <w:rsid w:val="227B5090"/>
    <w:rsid w:val="22812619"/>
    <w:rsid w:val="2282499F"/>
    <w:rsid w:val="22844605"/>
    <w:rsid w:val="22885B34"/>
    <w:rsid w:val="22905F9B"/>
    <w:rsid w:val="22915D99"/>
    <w:rsid w:val="22960D10"/>
    <w:rsid w:val="229879F0"/>
    <w:rsid w:val="229B3091"/>
    <w:rsid w:val="22A719E1"/>
    <w:rsid w:val="22AD4B1E"/>
    <w:rsid w:val="22B440FE"/>
    <w:rsid w:val="22B45EAC"/>
    <w:rsid w:val="22B62C39"/>
    <w:rsid w:val="22BB36DF"/>
    <w:rsid w:val="22BB548D"/>
    <w:rsid w:val="22BC7AC7"/>
    <w:rsid w:val="22BF2E59"/>
    <w:rsid w:val="22C00CF5"/>
    <w:rsid w:val="22C2681B"/>
    <w:rsid w:val="22C500B9"/>
    <w:rsid w:val="22C5455D"/>
    <w:rsid w:val="22C75BE0"/>
    <w:rsid w:val="22E20C6B"/>
    <w:rsid w:val="22E418F0"/>
    <w:rsid w:val="22E70030"/>
    <w:rsid w:val="22EC3277"/>
    <w:rsid w:val="22ED0263"/>
    <w:rsid w:val="22F015DA"/>
    <w:rsid w:val="22F4274D"/>
    <w:rsid w:val="22F96690"/>
    <w:rsid w:val="22FF35CB"/>
    <w:rsid w:val="23107582"/>
    <w:rsid w:val="23137077"/>
    <w:rsid w:val="23152DEF"/>
    <w:rsid w:val="23184B1A"/>
    <w:rsid w:val="23244DE0"/>
    <w:rsid w:val="23290648"/>
    <w:rsid w:val="232A43C0"/>
    <w:rsid w:val="23360FB7"/>
    <w:rsid w:val="23376AAB"/>
    <w:rsid w:val="233B037C"/>
    <w:rsid w:val="233B65CE"/>
    <w:rsid w:val="233C36AF"/>
    <w:rsid w:val="233D694A"/>
    <w:rsid w:val="23531B69"/>
    <w:rsid w:val="23552CC4"/>
    <w:rsid w:val="23557326"/>
    <w:rsid w:val="23580F2E"/>
    <w:rsid w:val="235A6A54"/>
    <w:rsid w:val="235B27CC"/>
    <w:rsid w:val="235B2848"/>
    <w:rsid w:val="235F406A"/>
    <w:rsid w:val="23627FFE"/>
    <w:rsid w:val="236553F8"/>
    <w:rsid w:val="236B2A0F"/>
    <w:rsid w:val="2375388E"/>
    <w:rsid w:val="23775858"/>
    <w:rsid w:val="237D2742"/>
    <w:rsid w:val="238B4E5F"/>
    <w:rsid w:val="238E2BA1"/>
    <w:rsid w:val="23967436"/>
    <w:rsid w:val="23977CA8"/>
    <w:rsid w:val="23A777BF"/>
    <w:rsid w:val="23AE4FF1"/>
    <w:rsid w:val="23B4085A"/>
    <w:rsid w:val="23B720F8"/>
    <w:rsid w:val="23B73EA6"/>
    <w:rsid w:val="23C06940"/>
    <w:rsid w:val="23C11063"/>
    <w:rsid w:val="23C44F4B"/>
    <w:rsid w:val="23C6058D"/>
    <w:rsid w:val="23C67B2A"/>
    <w:rsid w:val="23C70B5B"/>
    <w:rsid w:val="23D06D16"/>
    <w:rsid w:val="23D507D0"/>
    <w:rsid w:val="23D8149D"/>
    <w:rsid w:val="23DB3ED9"/>
    <w:rsid w:val="23DD1433"/>
    <w:rsid w:val="23E10F23"/>
    <w:rsid w:val="23E56031"/>
    <w:rsid w:val="23ED3D6C"/>
    <w:rsid w:val="23F073B8"/>
    <w:rsid w:val="23FC34CB"/>
    <w:rsid w:val="23FC5D5D"/>
    <w:rsid w:val="23FE7D27"/>
    <w:rsid w:val="23FF6D26"/>
    <w:rsid w:val="24001138"/>
    <w:rsid w:val="24035494"/>
    <w:rsid w:val="24042E63"/>
    <w:rsid w:val="240864B0"/>
    <w:rsid w:val="240A4F8A"/>
    <w:rsid w:val="24155071"/>
    <w:rsid w:val="24174945"/>
    <w:rsid w:val="241935A1"/>
    <w:rsid w:val="241C6A54"/>
    <w:rsid w:val="241E3F25"/>
    <w:rsid w:val="24277076"/>
    <w:rsid w:val="242B4894"/>
    <w:rsid w:val="242F7169"/>
    <w:rsid w:val="2432177F"/>
    <w:rsid w:val="243674C1"/>
    <w:rsid w:val="24374FE7"/>
    <w:rsid w:val="24412E6E"/>
    <w:rsid w:val="2446522A"/>
    <w:rsid w:val="24482D50"/>
    <w:rsid w:val="244A2F6C"/>
    <w:rsid w:val="244A4D1A"/>
    <w:rsid w:val="244C00B5"/>
    <w:rsid w:val="244C5796"/>
    <w:rsid w:val="244F2331"/>
    <w:rsid w:val="24632624"/>
    <w:rsid w:val="24661428"/>
    <w:rsid w:val="24773635"/>
    <w:rsid w:val="247B0206"/>
    <w:rsid w:val="247B1377"/>
    <w:rsid w:val="247E2C16"/>
    <w:rsid w:val="248166DC"/>
    <w:rsid w:val="24855D52"/>
    <w:rsid w:val="24894CC7"/>
    <w:rsid w:val="248D2E59"/>
    <w:rsid w:val="248F4E23"/>
    <w:rsid w:val="2492206B"/>
    <w:rsid w:val="24961D0D"/>
    <w:rsid w:val="249E5772"/>
    <w:rsid w:val="249F545E"/>
    <w:rsid w:val="24A77AD6"/>
    <w:rsid w:val="24A85EE5"/>
    <w:rsid w:val="24AF2DCF"/>
    <w:rsid w:val="24B403E6"/>
    <w:rsid w:val="24B55EEC"/>
    <w:rsid w:val="24B853BF"/>
    <w:rsid w:val="24BB5C18"/>
    <w:rsid w:val="24CA2B96"/>
    <w:rsid w:val="24D42836"/>
    <w:rsid w:val="24D506C8"/>
    <w:rsid w:val="24DE36B4"/>
    <w:rsid w:val="24EA02AB"/>
    <w:rsid w:val="24F44F16"/>
    <w:rsid w:val="24F46A34"/>
    <w:rsid w:val="24F669CD"/>
    <w:rsid w:val="24F66C50"/>
    <w:rsid w:val="24FC3D7E"/>
    <w:rsid w:val="25050C41"/>
    <w:rsid w:val="25070E5D"/>
    <w:rsid w:val="2519649B"/>
    <w:rsid w:val="251B2BA7"/>
    <w:rsid w:val="252C71BA"/>
    <w:rsid w:val="25360432"/>
    <w:rsid w:val="25362D5A"/>
    <w:rsid w:val="253A4D8F"/>
    <w:rsid w:val="253D03DB"/>
    <w:rsid w:val="2540611D"/>
    <w:rsid w:val="254A7A9F"/>
    <w:rsid w:val="254C6870"/>
    <w:rsid w:val="25551BC9"/>
    <w:rsid w:val="25565941"/>
    <w:rsid w:val="25592D3B"/>
    <w:rsid w:val="256040C9"/>
    <w:rsid w:val="2561056D"/>
    <w:rsid w:val="25710085"/>
    <w:rsid w:val="2572617E"/>
    <w:rsid w:val="257302A1"/>
    <w:rsid w:val="25733493"/>
    <w:rsid w:val="25803D3A"/>
    <w:rsid w:val="259827BD"/>
    <w:rsid w:val="259D0E7A"/>
    <w:rsid w:val="259D70CC"/>
    <w:rsid w:val="259D757B"/>
    <w:rsid w:val="259F2E44"/>
    <w:rsid w:val="25A91F14"/>
    <w:rsid w:val="25AB17E9"/>
    <w:rsid w:val="25AF4DA6"/>
    <w:rsid w:val="25B032A3"/>
    <w:rsid w:val="25B34B41"/>
    <w:rsid w:val="25B91E90"/>
    <w:rsid w:val="25BD776E"/>
    <w:rsid w:val="25C30157"/>
    <w:rsid w:val="25C32FD6"/>
    <w:rsid w:val="25C428AA"/>
    <w:rsid w:val="25C603D0"/>
    <w:rsid w:val="25CB3C39"/>
    <w:rsid w:val="25D23219"/>
    <w:rsid w:val="25DB14CF"/>
    <w:rsid w:val="25DC7BF4"/>
    <w:rsid w:val="25DE1BBE"/>
    <w:rsid w:val="25DF1492"/>
    <w:rsid w:val="25DF76E4"/>
    <w:rsid w:val="25E371D4"/>
    <w:rsid w:val="25E44CFA"/>
    <w:rsid w:val="25F960F3"/>
    <w:rsid w:val="25FA2800"/>
    <w:rsid w:val="25FC2044"/>
    <w:rsid w:val="25FC3DF2"/>
    <w:rsid w:val="260158AC"/>
    <w:rsid w:val="2601765A"/>
    <w:rsid w:val="26051C44"/>
    <w:rsid w:val="260929B3"/>
    <w:rsid w:val="26153106"/>
    <w:rsid w:val="26181471"/>
    <w:rsid w:val="261825DA"/>
    <w:rsid w:val="261C4494"/>
    <w:rsid w:val="261F20D3"/>
    <w:rsid w:val="2622319C"/>
    <w:rsid w:val="262275D1"/>
    <w:rsid w:val="26284BE7"/>
    <w:rsid w:val="2629095F"/>
    <w:rsid w:val="262E5F76"/>
    <w:rsid w:val="26301CEE"/>
    <w:rsid w:val="26357304"/>
    <w:rsid w:val="26395046"/>
    <w:rsid w:val="263A2B6C"/>
    <w:rsid w:val="26435EC5"/>
    <w:rsid w:val="264439EB"/>
    <w:rsid w:val="26451C3D"/>
    <w:rsid w:val="26461511"/>
    <w:rsid w:val="26473E9B"/>
    <w:rsid w:val="26487037"/>
    <w:rsid w:val="26492DAF"/>
    <w:rsid w:val="264D6D44"/>
    <w:rsid w:val="264E03C6"/>
    <w:rsid w:val="265D6D62"/>
    <w:rsid w:val="265F1573"/>
    <w:rsid w:val="26624445"/>
    <w:rsid w:val="266471E8"/>
    <w:rsid w:val="266A3452"/>
    <w:rsid w:val="267442D0"/>
    <w:rsid w:val="26773DC1"/>
    <w:rsid w:val="26793695"/>
    <w:rsid w:val="267C3185"/>
    <w:rsid w:val="268362C1"/>
    <w:rsid w:val="268825FE"/>
    <w:rsid w:val="268A58A2"/>
    <w:rsid w:val="268A7650"/>
    <w:rsid w:val="268B161A"/>
    <w:rsid w:val="268E39D0"/>
    <w:rsid w:val="268F110A"/>
    <w:rsid w:val="268F2EB8"/>
    <w:rsid w:val="26995AE5"/>
    <w:rsid w:val="269B7AAF"/>
    <w:rsid w:val="26A050C5"/>
    <w:rsid w:val="26A56238"/>
    <w:rsid w:val="26A821CC"/>
    <w:rsid w:val="26AA1AA0"/>
    <w:rsid w:val="26AC0ACC"/>
    <w:rsid w:val="26B4291F"/>
    <w:rsid w:val="26BB7D0D"/>
    <w:rsid w:val="26C1431F"/>
    <w:rsid w:val="26C37006"/>
    <w:rsid w:val="26C50688"/>
    <w:rsid w:val="26C56027"/>
    <w:rsid w:val="26C81B3E"/>
    <w:rsid w:val="26CF5C93"/>
    <w:rsid w:val="26D1527F"/>
    <w:rsid w:val="26D20FF7"/>
    <w:rsid w:val="26D23E6B"/>
    <w:rsid w:val="26DC3C24"/>
    <w:rsid w:val="26E63E5F"/>
    <w:rsid w:val="26EA00EF"/>
    <w:rsid w:val="26EB1EFE"/>
    <w:rsid w:val="26F45411"/>
    <w:rsid w:val="26FD0CCF"/>
    <w:rsid w:val="26FE2633"/>
    <w:rsid w:val="2705317A"/>
    <w:rsid w:val="27084A19"/>
    <w:rsid w:val="270F3FF9"/>
    <w:rsid w:val="271B0BF0"/>
    <w:rsid w:val="27257379"/>
    <w:rsid w:val="272B7390"/>
    <w:rsid w:val="272F01F7"/>
    <w:rsid w:val="272F1FA5"/>
    <w:rsid w:val="27343A60"/>
    <w:rsid w:val="2734580E"/>
    <w:rsid w:val="27384086"/>
    <w:rsid w:val="27391076"/>
    <w:rsid w:val="273D0B66"/>
    <w:rsid w:val="274A3283"/>
    <w:rsid w:val="274E2D73"/>
    <w:rsid w:val="274F2647"/>
    <w:rsid w:val="27532158"/>
    <w:rsid w:val="27565784"/>
    <w:rsid w:val="27585733"/>
    <w:rsid w:val="275A389E"/>
    <w:rsid w:val="27651E6B"/>
    <w:rsid w:val="27653C19"/>
    <w:rsid w:val="276E0D20"/>
    <w:rsid w:val="276E367F"/>
    <w:rsid w:val="277C0BD1"/>
    <w:rsid w:val="277D5407"/>
    <w:rsid w:val="277E60F8"/>
    <w:rsid w:val="277F6452"/>
    <w:rsid w:val="278247CB"/>
    <w:rsid w:val="27836D3D"/>
    <w:rsid w:val="278A18D2"/>
    <w:rsid w:val="278E41B3"/>
    <w:rsid w:val="27910EB2"/>
    <w:rsid w:val="2791205B"/>
    <w:rsid w:val="27921558"/>
    <w:rsid w:val="27960276"/>
    <w:rsid w:val="27A02EA3"/>
    <w:rsid w:val="27A06D9C"/>
    <w:rsid w:val="27A40BE5"/>
    <w:rsid w:val="27A440AE"/>
    <w:rsid w:val="27AC1848"/>
    <w:rsid w:val="27B0416A"/>
    <w:rsid w:val="27BC2C3B"/>
    <w:rsid w:val="27BD1CA7"/>
    <w:rsid w:val="27BF40EE"/>
    <w:rsid w:val="27C13C7E"/>
    <w:rsid w:val="27C46B92"/>
    <w:rsid w:val="27C546B8"/>
    <w:rsid w:val="27C6290A"/>
    <w:rsid w:val="27C72DD7"/>
    <w:rsid w:val="27C923FA"/>
    <w:rsid w:val="27DA4607"/>
    <w:rsid w:val="27DA4FB9"/>
    <w:rsid w:val="27E014F2"/>
    <w:rsid w:val="27EE3C0E"/>
    <w:rsid w:val="27FA25B3"/>
    <w:rsid w:val="28013942"/>
    <w:rsid w:val="28033B5E"/>
    <w:rsid w:val="280B656E"/>
    <w:rsid w:val="280C22E7"/>
    <w:rsid w:val="28196722"/>
    <w:rsid w:val="281F201A"/>
    <w:rsid w:val="28277120"/>
    <w:rsid w:val="2829733C"/>
    <w:rsid w:val="282B09BF"/>
    <w:rsid w:val="282E7D8D"/>
    <w:rsid w:val="283852AB"/>
    <w:rsid w:val="283D2292"/>
    <w:rsid w:val="284163F8"/>
    <w:rsid w:val="284D302B"/>
    <w:rsid w:val="284D7976"/>
    <w:rsid w:val="28551EE0"/>
    <w:rsid w:val="28565E8D"/>
    <w:rsid w:val="28577A06"/>
    <w:rsid w:val="285D2B42"/>
    <w:rsid w:val="28612632"/>
    <w:rsid w:val="286766E4"/>
    <w:rsid w:val="286E581F"/>
    <w:rsid w:val="287A36F4"/>
    <w:rsid w:val="287F0D0A"/>
    <w:rsid w:val="28812CD5"/>
    <w:rsid w:val="2881511B"/>
    <w:rsid w:val="2886653D"/>
    <w:rsid w:val="289A78F2"/>
    <w:rsid w:val="28A16ED3"/>
    <w:rsid w:val="28A32C4B"/>
    <w:rsid w:val="28A6098D"/>
    <w:rsid w:val="28A94618"/>
    <w:rsid w:val="28C130D1"/>
    <w:rsid w:val="28CC03F4"/>
    <w:rsid w:val="28CD5F1A"/>
    <w:rsid w:val="28CE372B"/>
    <w:rsid w:val="28D41056"/>
    <w:rsid w:val="28D63020"/>
    <w:rsid w:val="28DC7F0B"/>
    <w:rsid w:val="28E30F46"/>
    <w:rsid w:val="28E60D8A"/>
    <w:rsid w:val="28F45255"/>
    <w:rsid w:val="28FB65E3"/>
    <w:rsid w:val="29086F52"/>
    <w:rsid w:val="290A0F1C"/>
    <w:rsid w:val="290F208E"/>
    <w:rsid w:val="290F53E0"/>
    <w:rsid w:val="29121B7F"/>
    <w:rsid w:val="29127DD1"/>
    <w:rsid w:val="291369FA"/>
    <w:rsid w:val="29192DC0"/>
    <w:rsid w:val="291A72BF"/>
    <w:rsid w:val="291B16F9"/>
    <w:rsid w:val="291D29FD"/>
    <w:rsid w:val="291E496A"/>
    <w:rsid w:val="291E49C7"/>
    <w:rsid w:val="29226266"/>
    <w:rsid w:val="292A336C"/>
    <w:rsid w:val="292D267C"/>
    <w:rsid w:val="29336DAB"/>
    <w:rsid w:val="293826F4"/>
    <w:rsid w:val="293C4DB3"/>
    <w:rsid w:val="293D4E4D"/>
    <w:rsid w:val="29422464"/>
    <w:rsid w:val="294361DC"/>
    <w:rsid w:val="29511E01"/>
    <w:rsid w:val="295310F3"/>
    <w:rsid w:val="29591D17"/>
    <w:rsid w:val="295977AD"/>
    <w:rsid w:val="295B3526"/>
    <w:rsid w:val="295D104C"/>
    <w:rsid w:val="295F4E1C"/>
    <w:rsid w:val="29653455"/>
    <w:rsid w:val="296543A4"/>
    <w:rsid w:val="29665F83"/>
    <w:rsid w:val="2967011C"/>
    <w:rsid w:val="29673C78"/>
    <w:rsid w:val="296C5733"/>
    <w:rsid w:val="296D02DD"/>
    <w:rsid w:val="296D3C10"/>
    <w:rsid w:val="296D78BD"/>
    <w:rsid w:val="29736AC1"/>
    <w:rsid w:val="29746395"/>
    <w:rsid w:val="29787C34"/>
    <w:rsid w:val="29787C43"/>
    <w:rsid w:val="298011DE"/>
    <w:rsid w:val="298E7457"/>
    <w:rsid w:val="29915199"/>
    <w:rsid w:val="299627B0"/>
    <w:rsid w:val="299802D6"/>
    <w:rsid w:val="299B6018"/>
    <w:rsid w:val="29A8408B"/>
    <w:rsid w:val="29BA760A"/>
    <w:rsid w:val="29C54E43"/>
    <w:rsid w:val="29CA4207"/>
    <w:rsid w:val="29CB6407"/>
    <w:rsid w:val="29D200F7"/>
    <w:rsid w:val="29D357B2"/>
    <w:rsid w:val="29DA08EE"/>
    <w:rsid w:val="29E654E5"/>
    <w:rsid w:val="29F51284"/>
    <w:rsid w:val="29F731DA"/>
    <w:rsid w:val="29FD638B"/>
    <w:rsid w:val="2A04596B"/>
    <w:rsid w:val="2A0936FF"/>
    <w:rsid w:val="2A0B4F4C"/>
    <w:rsid w:val="2A0B6B04"/>
    <w:rsid w:val="2A0C4820"/>
    <w:rsid w:val="2A1738F0"/>
    <w:rsid w:val="2A181417"/>
    <w:rsid w:val="2A196977"/>
    <w:rsid w:val="2A202079"/>
    <w:rsid w:val="2A204F8D"/>
    <w:rsid w:val="2A2B114A"/>
    <w:rsid w:val="2A331DAD"/>
    <w:rsid w:val="2A353D77"/>
    <w:rsid w:val="2A3E70CF"/>
    <w:rsid w:val="2A41271B"/>
    <w:rsid w:val="2A44220C"/>
    <w:rsid w:val="2A454BC0"/>
    <w:rsid w:val="2A555A6C"/>
    <w:rsid w:val="2A5E151F"/>
    <w:rsid w:val="2A612DBE"/>
    <w:rsid w:val="2A622692"/>
    <w:rsid w:val="2A6329AE"/>
    <w:rsid w:val="2A691C72"/>
    <w:rsid w:val="2A6E0ADA"/>
    <w:rsid w:val="2A707A61"/>
    <w:rsid w:val="2A757CA7"/>
    <w:rsid w:val="2A7D127A"/>
    <w:rsid w:val="2A8B3997"/>
    <w:rsid w:val="2A8F65AE"/>
    <w:rsid w:val="2A9211C9"/>
    <w:rsid w:val="2A924D25"/>
    <w:rsid w:val="2A97058D"/>
    <w:rsid w:val="2A9739BC"/>
    <w:rsid w:val="2A994305"/>
    <w:rsid w:val="2A9A4101"/>
    <w:rsid w:val="2AAD0BB7"/>
    <w:rsid w:val="2AB27175"/>
    <w:rsid w:val="2AB70C30"/>
    <w:rsid w:val="2ABA427C"/>
    <w:rsid w:val="2ABD4243"/>
    <w:rsid w:val="2AC35EDE"/>
    <w:rsid w:val="2AC5334C"/>
    <w:rsid w:val="2AC84BEB"/>
    <w:rsid w:val="2AC967C3"/>
    <w:rsid w:val="2AD25A69"/>
    <w:rsid w:val="2AD27817"/>
    <w:rsid w:val="2AD43590"/>
    <w:rsid w:val="2AD74E2E"/>
    <w:rsid w:val="2ADC2444"/>
    <w:rsid w:val="2AE35581"/>
    <w:rsid w:val="2AEF03C9"/>
    <w:rsid w:val="2AEF0632"/>
    <w:rsid w:val="2AF217E0"/>
    <w:rsid w:val="2AFD097C"/>
    <w:rsid w:val="2B073515"/>
    <w:rsid w:val="2B073965"/>
    <w:rsid w:val="2B0C3752"/>
    <w:rsid w:val="2B141BDE"/>
    <w:rsid w:val="2B18339A"/>
    <w:rsid w:val="2B200583"/>
    <w:rsid w:val="2B2C33CC"/>
    <w:rsid w:val="2B2D4A4E"/>
    <w:rsid w:val="2B365FF8"/>
    <w:rsid w:val="2B373B1E"/>
    <w:rsid w:val="2B3900CC"/>
    <w:rsid w:val="2B4125A7"/>
    <w:rsid w:val="2B413A08"/>
    <w:rsid w:val="2B473D61"/>
    <w:rsid w:val="2B4A583C"/>
    <w:rsid w:val="2B4F24F4"/>
    <w:rsid w:val="2B4F2C16"/>
    <w:rsid w:val="2B520958"/>
    <w:rsid w:val="2B5605C8"/>
    <w:rsid w:val="2B577D1D"/>
    <w:rsid w:val="2B5B15BB"/>
    <w:rsid w:val="2B5B780D"/>
    <w:rsid w:val="2B5E10AB"/>
    <w:rsid w:val="2B5F1934"/>
    <w:rsid w:val="2B662AB1"/>
    <w:rsid w:val="2B6C1A1A"/>
    <w:rsid w:val="2B6F5066"/>
    <w:rsid w:val="2B6F540B"/>
    <w:rsid w:val="2B710DDE"/>
    <w:rsid w:val="2B74267D"/>
    <w:rsid w:val="2B746B21"/>
    <w:rsid w:val="2B764BC1"/>
    <w:rsid w:val="2B791F31"/>
    <w:rsid w:val="2B7B7EAF"/>
    <w:rsid w:val="2B7C7B3D"/>
    <w:rsid w:val="2B80536F"/>
    <w:rsid w:val="2B8D373E"/>
    <w:rsid w:val="2B8E1990"/>
    <w:rsid w:val="2B960845"/>
    <w:rsid w:val="2B966A97"/>
    <w:rsid w:val="2B9722F6"/>
    <w:rsid w:val="2BB1567F"/>
    <w:rsid w:val="2BB36E3A"/>
    <w:rsid w:val="2BC43604"/>
    <w:rsid w:val="2BDB6BA0"/>
    <w:rsid w:val="2BDD0504"/>
    <w:rsid w:val="2BDD6474"/>
    <w:rsid w:val="2BE07D12"/>
    <w:rsid w:val="2BEC2B5B"/>
    <w:rsid w:val="2BF10171"/>
    <w:rsid w:val="2BF51A0F"/>
    <w:rsid w:val="2BFF288E"/>
    <w:rsid w:val="2C0A4D8F"/>
    <w:rsid w:val="2C136339"/>
    <w:rsid w:val="2C155C0E"/>
    <w:rsid w:val="2C1A4B3A"/>
    <w:rsid w:val="2C1D4AC2"/>
    <w:rsid w:val="2C230712"/>
    <w:rsid w:val="2C286E71"/>
    <w:rsid w:val="2C29048A"/>
    <w:rsid w:val="2C2C73FB"/>
    <w:rsid w:val="2C2F6B4B"/>
    <w:rsid w:val="2C3075D9"/>
    <w:rsid w:val="2C31448E"/>
    <w:rsid w:val="2C3F0EDD"/>
    <w:rsid w:val="2C423829"/>
    <w:rsid w:val="2C432176"/>
    <w:rsid w:val="2C4330E2"/>
    <w:rsid w:val="2C484235"/>
    <w:rsid w:val="2C4E2B62"/>
    <w:rsid w:val="2C575896"/>
    <w:rsid w:val="2C5863D0"/>
    <w:rsid w:val="2C602C01"/>
    <w:rsid w:val="2C644EC7"/>
    <w:rsid w:val="2C6B3A80"/>
    <w:rsid w:val="2C725C4B"/>
    <w:rsid w:val="2C730B86"/>
    <w:rsid w:val="2C7768C8"/>
    <w:rsid w:val="2C7867B7"/>
    <w:rsid w:val="2C7B0A57"/>
    <w:rsid w:val="2C7C7A3B"/>
    <w:rsid w:val="2C83526D"/>
    <w:rsid w:val="2C89312C"/>
    <w:rsid w:val="2C8E7311"/>
    <w:rsid w:val="2C934D84"/>
    <w:rsid w:val="2C950AFD"/>
    <w:rsid w:val="2C974875"/>
    <w:rsid w:val="2C9A25B7"/>
    <w:rsid w:val="2C9A6113"/>
    <w:rsid w:val="2C9C00DD"/>
    <w:rsid w:val="2C9D5C03"/>
    <w:rsid w:val="2C9F35EE"/>
    <w:rsid w:val="2CAD5E46"/>
    <w:rsid w:val="2CB30362"/>
    <w:rsid w:val="2CB61A5F"/>
    <w:rsid w:val="2CB73169"/>
    <w:rsid w:val="2CBF201D"/>
    <w:rsid w:val="2CBF5B79"/>
    <w:rsid w:val="2CCD64E8"/>
    <w:rsid w:val="2CD21D51"/>
    <w:rsid w:val="2CD71115"/>
    <w:rsid w:val="2CE81574"/>
    <w:rsid w:val="2CEF46B1"/>
    <w:rsid w:val="2CF03F85"/>
    <w:rsid w:val="2CF05A49"/>
    <w:rsid w:val="2CF76820"/>
    <w:rsid w:val="2CFC41F4"/>
    <w:rsid w:val="2D0619FA"/>
    <w:rsid w:val="2D1A7254"/>
    <w:rsid w:val="2D1B36F8"/>
    <w:rsid w:val="2D1E4F96"/>
    <w:rsid w:val="2D215F24"/>
    <w:rsid w:val="2D216834"/>
    <w:rsid w:val="2D241E80"/>
    <w:rsid w:val="2D266C91"/>
    <w:rsid w:val="2D2D6F87"/>
    <w:rsid w:val="2D371BB4"/>
    <w:rsid w:val="2D477265"/>
    <w:rsid w:val="2D480265"/>
    <w:rsid w:val="2D4A5D8B"/>
    <w:rsid w:val="2D4B6B2F"/>
    <w:rsid w:val="2D4C4AC2"/>
    <w:rsid w:val="2D597D7C"/>
    <w:rsid w:val="2D630BFB"/>
    <w:rsid w:val="2D684463"/>
    <w:rsid w:val="2D6B7AAF"/>
    <w:rsid w:val="2D6F134E"/>
    <w:rsid w:val="2D776454"/>
    <w:rsid w:val="2D7B5F44"/>
    <w:rsid w:val="2D7E3C87"/>
    <w:rsid w:val="2D811081"/>
    <w:rsid w:val="2D8D7A9E"/>
    <w:rsid w:val="2D937732"/>
    <w:rsid w:val="2D940DB4"/>
    <w:rsid w:val="2D983721"/>
    <w:rsid w:val="2D9B2143"/>
    <w:rsid w:val="2D9E1C33"/>
    <w:rsid w:val="2D9E7E85"/>
    <w:rsid w:val="2DA60AE7"/>
    <w:rsid w:val="2DA84860"/>
    <w:rsid w:val="2DAC25A2"/>
    <w:rsid w:val="2DB815CA"/>
    <w:rsid w:val="2DB87198"/>
    <w:rsid w:val="2DB9081B"/>
    <w:rsid w:val="2DBB4593"/>
    <w:rsid w:val="2DC07DFB"/>
    <w:rsid w:val="2DC53663"/>
    <w:rsid w:val="2DCE076A"/>
    <w:rsid w:val="2DCE5BE2"/>
    <w:rsid w:val="2DD07F16"/>
    <w:rsid w:val="2DD37B2E"/>
    <w:rsid w:val="2DD75C3B"/>
    <w:rsid w:val="2DDC3596"/>
    <w:rsid w:val="2DEC299E"/>
    <w:rsid w:val="2DEF06E0"/>
    <w:rsid w:val="2DEF624E"/>
    <w:rsid w:val="2DF126AA"/>
    <w:rsid w:val="2DF16206"/>
    <w:rsid w:val="2DF33D2D"/>
    <w:rsid w:val="2DF714A1"/>
    <w:rsid w:val="2E026666"/>
    <w:rsid w:val="2E0F48DF"/>
    <w:rsid w:val="2E1B3283"/>
    <w:rsid w:val="2E250712"/>
    <w:rsid w:val="2E262C57"/>
    <w:rsid w:val="2E2760CC"/>
    <w:rsid w:val="2E3D58F0"/>
    <w:rsid w:val="2E422F06"/>
    <w:rsid w:val="2E426A62"/>
    <w:rsid w:val="2E440A2C"/>
    <w:rsid w:val="2E444588"/>
    <w:rsid w:val="2E552C39"/>
    <w:rsid w:val="2E55723E"/>
    <w:rsid w:val="2E580034"/>
    <w:rsid w:val="2E5C5B0D"/>
    <w:rsid w:val="2E5D3CD5"/>
    <w:rsid w:val="2E641A7D"/>
    <w:rsid w:val="2E692241"/>
    <w:rsid w:val="2E7806D6"/>
    <w:rsid w:val="2E786D60"/>
    <w:rsid w:val="2E7A6874"/>
    <w:rsid w:val="2E7D3F3E"/>
    <w:rsid w:val="2E8928E3"/>
    <w:rsid w:val="2E94741A"/>
    <w:rsid w:val="2E9774DC"/>
    <w:rsid w:val="2EA45B4E"/>
    <w:rsid w:val="2EA4771D"/>
    <w:rsid w:val="2EB001C3"/>
    <w:rsid w:val="2EB462EC"/>
    <w:rsid w:val="2EB61D24"/>
    <w:rsid w:val="2EBC2E1B"/>
    <w:rsid w:val="2EBC4A66"/>
    <w:rsid w:val="2EBE2287"/>
    <w:rsid w:val="2EC15BD9"/>
    <w:rsid w:val="2EC27BA3"/>
    <w:rsid w:val="2EC456C9"/>
    <w:rsid w:val="2EC563D6"/>
    <w:rsid w:val="2ECE479A"/>
    <w:rsid w:val="2ECF2712"/>
    <w:rsid w:val="2ED51684"/>
    <w:rsid w:val="2ED7364E"/>
    <w:rsid w:val="2EDC0C65"/>
    <w:rsid w:val="2EDC6EB7"/>
    <w:rsid w:val="2EE10029"/>
    <w:rsid w:val="2EE95130"/>
    <w:rsid w:val="2EEB0EA8"/>
    <w:rsid w:val="2EEF6BEA"/>
    <w:rsid w:val="2EF02962"/>
    <w:rsid w:val="2EF17594"/>
    <w:rsid w:val="2F00243A"/>
    <w:rsid w:val="2F025A79"/>
    <w:rsid w:val="2F132180"/>
    <w:rsid w:val="2F146650"/>
    <w:rsid w:val="2F210D6D"/>
    <w:rsid w:val="2F236894"/>
    <w:rsid w:val="2F2919D0"/>
    <w:rsid w:val="2F2A282C"/>
    <w:rsid w:val="2F2D7712"/>
    <w:rsid w:val="2F302D5E"/>
    <w:rsid w:val="2F324D29"/>
    <w:rsid w:val="2F3565C7"/>
    <w:rsid w:val="2F364819"/>
    <w:rsid w:val="2F370591"/>
    <w:rsid w:val="2F3C5BA7"/>
    <w:rsid w:val="2F3E191F"/>
    <w:rsid w:val="2F3F2FA2"/>
    <w:rsid w:val="2F4058E6"/>
    <w:rsid w:val="2F414F6C"/>
    <w:rsid w:val="2F464330"/>
    <w:rsid w:val="2F4A2D72"/>
    <w:rsid w:val="2F4D3910"/>
    <w:rsid w:val="2F522CD5"/>
    <w:rsid w:val="2F594063"/>
    <w:rsid w:val="2F5C1DA5"/>
    <w:rsid w:val="2F6C2E99"/>
    <w:rsid w:val="2F827A5E"/>
    <w:rsid w:val="2F912E6A"/>
    <w:rsid w:val="2F923A19"/>
    <w:rsid w:val="2F99570A"/>
    <w:rsid w:val="2F995787"/>
    <w:rsid w:val="2FA06136"/>
    <w:rsid w:val="2FA12EAC"/>
    <w:rsid w:val="2FAA48BF"/>
    <w:rsid w:val="2FAB0637"/>
    <w:rsid w:val="2FAC4ADB"/>
    <w:rsid w:val="2FAD0853"/>
    <w:rsid w:val="2FB219C5"/>
    <w:rsid w:val="2FB67708"/>
    <w:rsid w:val="2FBC1D2B"/>
    <w:rsid w:val="2FBC45F2"/>
    <w:rsid w:val="2FC811E9"/>
    <w:rsid w:val="2FC949E6"/>
    <w:rsid w:val="2FCA6D0F"/>
    <w:rsid w:val="2FCB35A6"/>
    <w:rsid w:val="2FD656B4"/>
    <w:rsid w:val="2FE53EEE"/>
    <w:rsid w:val="2FF248C3"/>
    <w:rsid w:val="2FF3108F"/>
    <w:rsid w:val="2FF344B8"/>
    <w:rsid w:val="2FF40230"/>
    <w:rsid w:val="2FFE4C0B"/>
    <w:rsid w:val="3002294D"/>
    <w:rsid w:val="300264A9"/>
    <w:rsid w:val="3011493E"/>
    <w:rsid w:val="30131DC2"/>
    <w:rsid w:val="30182170"/>
    <w:rsid w:val="30184A37"/>
    <w:rsid w:val="301D6BAD"/>
    <w:rsid w:val="30204B81"/>
    <w:rsid w:val="30244B9F"/>
    <w:rsid w:val="302F1268"/>
    <w:rsid w:val="302F2517"/>
    <w:rsid w:val="303348B4"/>
    <w:rsid w:val="30337920"/>
    <w:rsid w:val="303453F9"/>
    <w:rsid w:val="303F76FD"/>
    <w:rsid w:val="305111DE"/>
    <w:rsid w:val="305D273A"/>
    <w:rsid w:val="305D4027"/>
    <w:rsid w:val="305D7B83"/>
    <w:rsid w:val="30601421"/>
    <w:rsid w:val="306058C5"/>
    <w:rsid w:val="306C1990"/>
    <w:rsid w:val="307153DD"/>
    <w:rsid w:val="307D1FD3"/>
    <w:rsid w:val="30801FAB"/>
    <w:rsid w:val="30830B7D"/>
    <w:rsid w:val="3086483E"/>
    <w:rsid w:val="30872E52"/>
    <w:rsid w:val="30874C00"/>
    <w:rsid w:val="308855D1"/>
    <w:rsid w:val="308B2942"/>
    <w:rsid w:val="308B46F0"/>
    <w:rsid w:val="308F7DEE"/>
    <w:rsid w:val="309612E7"/>
    <w:rsid w:val="309D4424"/>
    <w:rsid w:val="30A80D53"/>
    <w:rsid w:val="30A9101A"/>
    <w:rsid w:val="30AD0B0B"/>
    <w:rsid w:val="30B359F5"/>
    <w:rsid w:val="30B67293"/>
    <w:rsid w:val="30B80A53"/>
    <w:rsid w:val="30C45E54"/>
    <w:rsid w:val="30C47C02"/>
    <w:rsid w:val="30D6155F"/>
    <w:rsid w:val="30E43E01"/>
    <w:rsid w:val="30E67B79"/>
    <w:rsid w:val="30F009F7"/>
    <w:rsid w:val="30F5600E"/>
    <w:rsid w:val="30F73B34"/>
    <w:rsid w:val="30F878AC"/>
    <w:rsid w:val="30FA7AC8"/>
    <w:rsid w:val="3102072B"/>
    <w:rsid w:val="3103697D"/>
    <w:rsid w:val="310B3A83"/>
    <w:rsid w:val="31132938"/>
    <w:rsid w:val="311961A0"/>
    <w:rsid w:val="311D7312"/>
    <w:rsid w:val="31265672"/>
    <w:rsid w:val="312839F7"/>
    <w:rsid w:val="31321010"/>
    <w:rsid w:val="313A7EC4"/>
    <w:rsid w:val="31402441"/>
    <w:rsid w:val="314174A5"/>
    <w:rsid w:val="31440D43"/>
    <w:rsid w:val="314A70F7"/>
    <w:rsid w:val="314D19A6"/>
    <w:rsid w:val="31554CFE"/>
    <w:rsid w:val="31576CC8"/>
    <w:rsid w:val="315A40C3"/>
    <w:rsid w:val="31603DCF"/>
    <w:rsid w:val="316B3526"/>
    <w:rsid w:val="316F4012"/>
    <w:rsid w:val="317038E6"/>
    <w:rsid w:val="31745184"/>
    <w:rsid w:val="317F1D7B"/>
    <w:rsid w:val="31807FCD"/>
    <w:rsid w:val="31812575"/>
    <w:rsid w:val="318178A1"/>
    <w:rsid w:val="31834F09"/>
    <w:rsid w:val="31864EB8"/>
    <w:rsid w:val="31886E82"/>
    <w:rsid w:val="318B24CE"/>
    <w:rsid w:val="3192358B"/>
    <w:rsid w:val="31927D00"/>
    <w:rsid w:val="319C7200"/>
    <w:rsid w:val="319E0249"/>
    <w:rsid w:val="31A87524"/>
    <w:rsid w:val="31AA329C"/>
    <w:rsid w:val="31AD0696"/>
    <w:rsid w:val="31AE76A3"/>
    <w:rsid w:val="31B95877"/>
    <w:rsid w:val="31C205E6"/>
    <w:rsid w:val="31C82C7F"/>
    <w:rsid w:val="31D10829"/>
    <w:rsid w:val="31D420C7"/>
    <w:rsid w:val="31D82DA0"/>
    <w:rsid w:val="31EB11BF"/>
    <w:rsid w:val="31F03846"/>
    <w:rsid w:val="31F130C3"/>
    <w:rsid w:val="31F15893"/>
    <w:rsid w:val="31F300EE"/>
    <w:rsid w:val="320329AC"/>
    <w:rsid w:val="3203475A"/>
    <w:rsid w:val="320D5288"/>
    <w:rsid w:val="320F28B0"/>
    <w:rsid w:val="32144BB9"/>
    <w:rsid w:val="321A2D0F"/>
    <w:rsid w:val="32230959"/>
    <w:rsid w:val="3223322E"/>
    <w:rsid w:val="32233775"/>
    <w:rsid w:val="322E7A29"/>
    <w:rsid w:val="32340DB8"/>
    <w:rsid w:val="3239017C"/>
    <w:rsid w:val="324A2ACB"/>
    <w:rsid w:val="32502792"/>
    <w:rsid w:val="325356E2"/>
    <w:rsid w:val="32543208"/>
    <w:rsid w:val="325A6A70"/>
    <w:rsid w:val="325B5E1C"/>
    <w:rsid w:val="325B6344"/>
    <w:rsid w:val="3264169D"/>
    <w:rsid w:val="3264344B"/>
    <w:rsid w:val="32653C91"/>
    <w:rsid w:val="32696CB3"/>
    <w:rsid w:val="326B46FA"/>
    <w:rsid w:val="32717916"/>
    <w:rsid w:val="32732014"/>
    <w:rsid w:val="327360D5"/>
    <w:rsid w:val="327B2543"/>
    <w:rsid w:val="327B69E7"/>
    <w:rsid w:val="327F64D7"/>
    <w:rsid w:val="32805DAB"/>
    <w:rsid w:val="3283636F"/>
    <w:rsid w:val="3284589B"/>
    <w:rsid w:val="3287538B"/>
    <w:rsid w:val="328A6C2A"/>
    <w:rsid w:val="3291620A"/>
    <w:rsid w:val="32917FB8"/>
    <w:rsid w:val="32967772"/>
    <w:rsid w:val="329B0E37"/>
    <w:rsid w:val="329F26D5"/>
    <w:rsid w:val="32AC7161"/>
    <w:rsid w:val="32B37F2E"/>
    <w:rsid w:val="32B67A1F"/>
    <w:rsid w:val="32BA12BD"/>
    <w:rsid w:val="32BB4BAE"/>
    <w:rsid w:val="32BC3B2E"/>
    <w:rsid w:val="32C0264B"/>
    <w:rsid w:val="32D0288E"/>
    <w:rsid w:val="32D3237F"/>
    <w:rsid w:val="32D54349"/>
    <w:rsid w:val="32D66E37"/>
    <w:rsid w:val="32DC1AA8"/>
    <w:rsid w:val="32DD0992"/>
    <w:rsid w:val="32DD4FAB"/>
    <w:rsid w:val="32DF6F75"/>
    <w:rsid w:val="32E93950"/>
    <w:rsid w:val="32F04CDF"/>
    <w:rsid w:val="32F347CF"/>
    <w:rsid w:val="32F72511"/>
    <w:rsid w:val="32FF0DF3"/>
    <w:rsid w:val="3301513E"/>
    <w:rsid w:val="33096785"/>
    <w:rsid w:val="330C763F"/>
    <w:rsid w:val="330E785B"/>
    <w:rsid w:val="33180DAC"/>
    <w:rsid w:val="33182487"/>
    <w:rsid w:val="331B66F2"/>
    <w:rsid w:val="33203425"/>
    <w:rsid w:val="332130EA"/>
    <w:rsid w:val="332300F4"/>
    <w:rsid w:val="33233A9D"/>
    <w:rsid w:val="33264BA4"/>
    <w:rsid w:val="33276F01"/>
    <w:rsid w:val="332B21BB"/>
    <w:rsid w:val="333077D1"/>
    <w:rsid w:val="333C6ED8"/>
    <w:rsid w:val="33541711"/>
    <w:rsid w:val="33557238"/>
    <w:rsid w:val="3358616F"/>
    <w:rsid w:val="33586728"/>
    <w:rsid w:val="335C2374"/>
    <w:rsid w:val="335E60EC"/>
    <w:rsid w:val="3361798A"/>
    <w:rsid w:val="336254B1"/>
    <w:rsid w:val="33633703"/>
    <w:rsid w:val="336449CE"/>
    <w:rsid w:val="336456CD"/>
    <w:rsid w:val="336A2681"/>
    <w:rsid w:val="336B60FB"/>
    <w:rsid w:val="33751688"/>
    <w:rsid w:val="337A7C1E"/>
    <w:rsid w:val="3381627F"/>
    <w:rsid w:val="338E62A6"/>
    <w:rsid w:val="338F274A"/>
    <w:rsid w:val="339147B5"/>
    <w:rsid w:val="33945FB2"/>
    <w:rsid w:val="33963EB7"/>
    <w:rsid w:val="33983272"/>
    <w:rsid w:val="33995376"/>
    <w:rsid w:val="339A10EE"/>
    <w:rsid w:val="339C09C3"/>
    <w:rsid w:val="339C4E66"/>
    <w:rsid w:val="339E473B"/>
    <w:rsid w:val="33A03224"/>
    <w:rsid w:val="33A1247D"/>
    <w:rsid w:val="33B2468A"/>
    <w:rsid w:val="33B64797"/>
    <w:rsid w:val="33B91574"/>
    <w:rsid w:val="33BA52ED"/>
    <w:rsid w:val="33BE336B"/>
    <w:rsid w:val="33C02A0F"/>
    <w:rsid w:val="33C10E62"/>
    <w:rsid w:val="33C30645"/>
    <w:rsid w:val="33C71857"/>
    <w:rsid w:val="33CA19D4"/>
    <w:rsid w:val="33D60378"/>
    <w:rsid w:val="33E17F12"/>
    <w:rsid w:val="33E842E6"/>
    <w:rsid w:val="33F26834"/>
    <w:rsid w:val="33F407FF"/>
    <w:rsid w:val="33F425AD"/>
    <w:rsid w:val="33FB4C99"/>
    <w:rsid w:val="33FB4D82"/>
    <w:rsid w:val="340518DC"/>
    <w:rsid w:val="340C3D9A"/>
    <w:rsid w:val="340F73E6"/>
    <w:rsid w:val="3411315F"/>
    <w:rsid w:val="341449FD"/>
    <w:rsid w:val="341B5D8B"/>
    <w:rsid w:val="341C0C99"/>
    <w:rsid w:val="341C4358"/>
    <w:rsid w:val="341D5FA7"/>
    <w:rsid w:val="34254E5C"/>
    <w:rsid w:val="342B1D46"/>
    <w:rsid w:val="342D5ABF"/>
    <w:rsid w:val="343155AF"/>
    <w:rsid w:val="343432F1"/>
    <w:rsid w:val="34363308"/>
    <w:rsid w:val="343706EB"/>
    <w:rsid w:val="343B591B"/>
    <w:rsid w:val="344572AC"/>
    <w:rsid w:val="345D45F6"/>
    <w:rsid w:val="346E05B1"/>
    <w:rsid w:val="34711E4F"/>
    <w:rsid w:val="347656B7"/>
    <w:rsid w:val="34781430"/>
    <w:rsid w:val="347B2CCE"/>
    <w:rsid w:val="348576A9"/>
    <w:rsid w:val="34897199"/>
    <w:rsid w:val="348A10EC"/>
    <w:rsid w:val="348A27EC"/>
    <w:rsid w:val="348C4EDB"/>
    <w:rsid w:val="348D6F1C"/>
    <w:rsid w:val="348F0527"/>
    <w:rsid w:val="348F22D5"/>
    <w:rsid w:val="34930017"/>
    <w:rsid w:val="34951ECC"/>
    <w:rsid w:val="34963664"/>
    <w:rsid w:val="349761A3"/>
    <w:rsid w:val="349D0E96"/>
    <w:rsid w:val="349D49F2"/>
    <w:rsid w:val="349E076A"/>
    <w:rsid w:val="34A114F5"/>
    <w:rsid w:val="34A43FD3"/>
    <w:rsid w:val="34A71D15"/>
    <w:rsid w:val="34A845B2"/>
    <w:rsid w:val="34AD3D69"/>
    <w:rsid w:val="34AE3328"/>
    <w:rsid w:val="34B34216"/>
    <w:rsid w:val="34B91EE7"/>
    <w:rsid w:val="34B92969"/>
    <w:rsid w:val="34BE410B"/>
    <w:rsid w:val="34C93A39"/>
    <w:rsid w:val="34CA5108"/>
    <w:rsid w:val="34CC3529"/>
    <w:rsid w:val="34CF6B76"/>
    <w:rsid w:val="34D523DE"/>
    <w:rsid w:val="34D61600"/>
    <w:rsid w:val="34D66156"/>
    <w:rsid w:val="34D750C6"/>
    <w:rsid w:val="34DB19BE"/>
    <w:rsid w:val="34DF14AF"/>
    <w:rsid w:val="34E22D4D"/>
    <w:rsid w:val="34E27C35"/>
    <w:rsid w:val="34E46AC5"/>
    <w:rsid w:val="34E70363"/>
    <w:rsid w:val="34EC7728"/>
    <w:rsid w:val="34FA0097"/>
    <w:rsid w:val="34FA1E45"/>
    <w:rsid w:val="34FA62E8"/>
    <w:rsid w:val="35040F15"/>
    <w:rsid w:val="351A6043"/>
    <w:rsid w:val="352B46F4"/>
    <w:rsid w:val="352D3CED"/>
    <w:rsid w:val="35357321"/>
    <w:rsid w:val="35366BF5"/>
    <w:rsid w:val="3538471B"/>
    <w:rsid w:val="35410481"/>
    <w:rsid w:val="354237EC"/>
    <w:rsid w:val="35431A3E"/>
    <w:rsid w:val="35470E02"/>
    <w:rsid w:val="35487054"/>
    <w:rsid w:val="35531555"/>
    <w:rsid w:val="35563A9D"/>
    <w:rsid w:val="3558300F"/>
    <w:rsid w:val="356419B4"/>
    <w:rsid w:val="35650978"/>
    <w:rsid w:val="35690D78"/>
    <w:rsid w:val="3569521C"/>
    <w:rsid w:val="356D6ABA"/>
    <w:rsid w:val="35700359"/>
    <w:rsid w:val="357778BD"/>
    <w:rsid w:val="3578720D"/>
    <w:rsid w:val="357A11D7"/>
    <w:rsid w:val="357C0AAC"/>
    <w:rsid w:val="357C7345"/>
    <w:rsid w:val="357E2A76"/>
    <w:rsid w:val="357F5240"/>
    <w:rsid w:val="358160C2"/>
    <w:rsid w:val="358D0F0B"/>
    <w:rsid w:val="358E5865"/>
    <w:rsid w:val="3592207D"/>
    <w:rsid w:val="359A7184"/>
    <w:rsid w:val="359C2CD9"/>
    <w:rsid w:val="359D0A22"/>
    <w:rsid w:val="359D295D"/>
    <w:rsid w:val="359F08EB"/>
    <w:rsid w:val="35A61FCC"/>
    <w:rsid w:val="35A7094F"/>
    <w:rsid w:val="35A818A1"/>
    <w:rsid w:val="35AD6EB7"/>
    <w:rsid w:val="35B93AAE"/>
    <w:rsid w:val="35C13A7B"/>
    <w:rsid w:val="35C30488"/>
    <w:rsid w:val="35C82100"/>
    <w:rsid w:val="35CA60DF"/>
    <w:rsid w:val="35CF507F"/>
    <w:rsid w:val="35D8035B"/>
    <w:rsid w:val="35D97CAC"/>
    <w:rsid w:val="35DA3A24"/>
    <w:rsid w:val="35DD4AE1"/>
    <w:rsid w:val="35EA1EB9"/>
    <w:rsid w:val="35F9334B"/>
    <w:rsid w:val="35FB40C6"/>
    <w:rsid w:val="35FC0EDD"/>
    <w:rsid w:val="35FF2E36"/>
    <w:rsid w:val="36015455"/>
    <w:rsid w:val="36017959"/>
    <w:rsid w:val="360A392E"/>
    <w:rsid w:val="360B1E2F"/>
    <w:rsid w:val="360B30D1"/>
    <w:rsid w:val="361B6516"/>
    <w:rsid w:val="36266C69"/>
    <w:rsid w:val="36286E2C"/>
    <w:rsid w:val="362B6A5C"/>
    <w:rsid w:val="362C7822"/>
    <w:rsid w:val="362F1FC2"/>
    <w:rsid w:val="36324D14"/>
    <w:rsid w:val="36343134"/>
    <w:rsid w:val="36392E40"/>
    <w:rsid w:val="363C1548"/>
    <w:rsid w:val="364020BF"/>
    <w:rsid w:val="36483084"/>
    <w:rsid w:val="36484E32"/>
    <w:rsid w:val="364C66D0"/>
    <w:rsid w:val="364C7FFC"/>
    <w:rsid w:val="364F22D7"/>
    <w:rsid w:val="36541A28"/>
    <w:rsid w:val="365437D6"/>
    <w:rsid w:val="365A1ADC"/>
    <w:rsid w:val="365E4655"/>
    <w:rsid w:val="36637EBD"/>
    <w:rsid w:val="36667DB3"/>
    <w:rsid w:val="366E2AEA"/>
    <w:rsid w:val="368C11C2"/>
    <w:rsid w:val="368E7A59"/>
    <w:rsid w:val="36910587"/>
    <w:rsid w:val="369260AD"/>
    <w:rsid w:val="36987753"/>
    <w:rsid w:val="369E04F7"/>
    <w:rsid w:val="369E719B"/>
    <w:rsid w:val="36AC023A"/>
    <w:rsid w:val="36B129D7"/>
    <w:rsid w:val="36B14785"/>
    <w:rsid w:val="36BD137C"/>
    <w:rsid w:val="36BD312A"/>
    <w:rsid w:val="36C142AC"/>
    <w:rsid w:val="36C22E36"/>
    <w:rsid w:val="36C528E1"/>
    <w:rsid w:val="36C66559"/>
    <w:rsid w:val="36C73FA8"/>
    <w:rsid w:val="36D14E27"/>
    <w:rsid w:val="36DF6832"/>
    <w:rsid w:val="36E27034"/>
    <w:rsid w:val="36E6514A"/>
    <w:rsid w:val="36EF34FF"/>
    <w:rsid w:val="36F6373C"/>
    <w:rsid w:val="36FD3E6E"/>
    <w:rsid w:val="370C5E5F"/>
    <w:rsid w:val="370E1FEA"/>
    <w:rsid w:val="371116C7"/>
    <w:rsid w:val="371E516A"/>
    <w:rsid w:val="372413FB"/>
    <w:rsid w:val="372555C4"/>
    <w:rsid w:val="372633C5"/>
    <w:rsid w:val="37295A2E"/>
    <w:rsid w:val="372C02AF"/>
    <w:rsid w:val="37304231"/>
    <w:rsid w:val="373A29CC"/>
    <w:rsid w:val="373C4996"/>
    <w:rsid w:val="373D426B"/>
    <w:rsid w:val="37515F68"/>
    <w:rsid w:val="37531CE0"/>
    <w:rsid w:val="37533A8E"/>
    <w:rsid w:val="375717D0"/>
    <w:rsid w:val="3757272A"/>
    <w:rsid w:val="37582C85"/>
    <w:rsid w:val="375A306E"/>
    <w:rsid w:val="375A6BCB"/>
    <w:rsid w:val="375D490D"/>
    <w:rsid w:val="37644D2D"/>
    <w:rsid w:val="37695060"/>
    <w:rsid w:val="376B7F48"/>
    <w:rsid w:val="376C4B50"/>
    <w:rsid w:val="37704A8E"/>
    <w:rsid w:val="37712166"/>
    <w:rsid w:val="3779295A"/>
    <w:rsid w:val="377A101B"/>
    <w:rsid w:val="377C2FE5"/>
    <w:rsid w:val="377E4FAF"/>
    <w:rsid w:val="377F0D27"/>
    <w:rsid w:val="37887BDC"/>
    <w:rsid w:val="378B3228"/>
    <w:rsid w:val="378D51F2"/>
    <w:rsid w:val="37971171"/>
    <w:rsid w:val="37995591"/>
    <w:rsid w:val="37AB38CA"/>
    <w:rsid w:val="37AE6F16"/>
    <w:rsid w:val="37B45D65"/>
    <w:rsid w:val="37B87E49"/>
    <w:rsid w:val="37C46192"/>
    <w:rsid w:val="37C47584"/>
    <w:rsid w:val="37D13DAE"/>
    <w:rsid w:val="37D72911"/>
    <w:rsid w:val="37D83F93"/>
    <w:rsid w:val="37ED7A3F"/>
    <w:rsid w:val="37F05781"/>
    <w:rsid w:val="37F60FE9"/>
    <w:rsid w:val="37FB77DD"/>
    <w:rsid w:val="37FC2378"/>
    <w:rsid w:val="37FE1C4C"/>
    <w:rsid w:val="38001D4F"/>
    <w:rsid w:val="38097EDE"/>
    <w:rsid w:val="380A05F1"/>
    <w:rsid w:val="380A6843"/>
    <w:rsid w:val="381256F7"/>
    <w:rsid w:val="381551E7"/>
    <w:rsid w:val="38184EF1"/>
    <w:rsid w:val="381C6576"/>
    <w:rsid w:val="382216D7"/>
    <w:rsid w:val="38246312"/>
    <w:rsid w:val="38251072"/>
    <w:rsid w:val="383E5F98"/>
    <w:rsid w:val="384A0187"/>
    <w:rsid w:val="384D21C8"/>
    <w:rsid w:val="38514471"/>
    <w:rsid w:val="38563836"/>
    <w:rsid w:val="386046B4"/>
    <w:rsid w:val="38651ADA"/>
    <w:rsid w:val="386B4E07"/>
    <w:rsid w:val="386C3059"/>
    <w:rsid w:val="38710670"/>
    <w:rsid w:val="38797524"/>
    <w:rsid w:val="388145BC"/>
    <w:rsid w:val="388365F5"/>
    <w:rsid w:val="3885408B"/>
    <w:rsid w:val="388C36FB"/>
    <w:rsid w:val="388D3375"/>
    <w:rsid w:val="3894435E"/>
    <w:rsid w:val="38975BFC"/>
    <w:rsid w:val="38A722E3"/>
    <w:rsid w:val="38A81BB8"/>
    <w:rsid w:val="38AC5B4C"/>
    <w:rsid w:val="38B14F10"/>
    <w:rsid w:val="38B93DC5"/>
    <w:rsid w:val="38BB1A36"/>
    <w:rsid w:val="38CD7650"/>
    <w:rsid w:val="38D34E86"/>
    <w:rsid w:val="38D97FC3"/>
    <w:rsid w:val="38E31684"/>
    <w:rsid w:val="38E83CD0"/>
    <w:rsid w:val="38ED7B8D"/>
    <w:rsid w:val="38EF5796"/>
    <w:rsid w:val="38F82310"/>
    <w:rsid w:val="38FF3ECD"/>
    <w:rsid w:val="39071686"/>
    <w:rsid w:val="390A3C01"/>
    <w:rsid w:val="390D6F7F"/>
    <w:rsid w:val="390E6249"/>
    <w:rsid w:val="3914724D"/>
    <w:rsid w:val="39162FC5"/>
    <w:rsid w:val="39180AEB"/>
    <w:rsid w:val="391F631E"/>
    <w:rsid w:val="39203E44"/>
    <w:rsid w:val="39241B86"/>
    <w:rsid w:val="3926502D"/>
    <w:rsid w:val="392A081F"/>
    <w:rsid w:val="393022D9"/>
    <w:rsid w:val="3934169D"/>
    <w:rsid w:val="393C1634"/>
    <w:rsid w:val="393C265E"/>
    <w:rsid w:val="393D49F6"/>
    <w:rsid w:val="393D67A4"/>
    <w:rsid w:val="394F122B"/>
    <w:rsid w:val="39504729"/>
    <w:rsid w:val="3954623F"/>
    <w:rsid w:val="395A55A8"/>
    <w:rsid w:val="395C1320"/>
    <w:rsid w:val="395C361A"/>
    <w:rsid w:val="395F496C"/>
    <w:rsid w:val="39616936"/>
    <w:rsid w:val="3962445C"/>
    <w:rsid w:val="396E2E01"/>
    <w:rsid w:val="396F26D5"/>
    <w:rsid w:val="39777F08"/>
    <w:rsid w:val="397D4DF2"/>
    <w:rsid w:val="398268AC"/>
    <w:rsid w:val="398A630E"/>
    <w:rsid w:val="39AD53FB"/>
    <w:rsid w:val="39B34CB8"/>
    <w:rsid w:val="39B52A0B"/>
    <w:rsid w:val="39BA1BA2"/>
    <w:rsid w:val="39C1661B"/>
    <w:rsid w:val="39CD3FCC"/>
    <w:rsid w:val="39CD5D7A"/>
    <w:rsid w:val="39CE7E7D"/>
    <w:rsid w:val="39D52E80"/>
    <w:rsid w:val="39D72754"/>
    <w:rsid w:val="39D80A90"/>
    <w:rsid w:val="39DF3CFF"/>
    <w:rsid w:val="39F50E2C"/>
    <w:rsid w:val="39F838A2"/>
    <w:rsid w:val="39FE1DE4"/>
    <w:rsid w:val="39FF7EFD"/>
    <w:rsid w:val="3A00614F"/>
    <w:rsid w:val="3A023E13"/>
    <w:rsid w:val="3A045513"/>
    <w:rsid w:val="3A125E82"/>
    <w:rsid w:val="3A190FBF"/>
    <w:rsid w:val="3A1E4827"/>
    <w:rsid w:val="3A1E65D5"/>
    <w:rsid w:val="3A200A3A"/>
    <w:rsid w:val="3A2E20C4"/>
    <w:rsid w:val="3A306308"/>
    <w:rsid w:val="3A361470"/>
    <w:rsid w:val="3A3A2CE3"/>
    <w:rsid w:val="3A4311E6"/>
    <w:rsid w:val="3A461688"/>
    <w:rsid w:val="3A4B3142"/>
    <w:rsid w:val="3A5340DD"/>
    <w:rsid w:val="3A59108B"/>
    <w:rsid w:val="3A60140C"/>
    <w:rsid w:val="3A612966"/>
    <w:rsid w:val="3A687850"/>
    <w:rsid w:val="3A695377"/>
    <w:rsid w:val="3A6A2511"/>
    <w:rsid w:val="3A8148F1"/>
    <w:rsid w:val="3A816B64"/>
    <w:rsid w:val="3A920D71"/>
    <w:rsid w:val="3A955B1C"/>
    <w:rsid w:val="3A96260F"/>
    <w:rsid w:val="3A9656E4"/>
    <w:rsid w:val="3A9C399E"/>
    <w:rsid w:val="3A9E7264"/>
    <w:rsid w:val="3AA765CB"/>
    <w:rsid w:val="3AA82343"/>
    <w:rsid w:val="3AAD5BAB"/>
    <w:rsid w:val="3AB17449"/>
    <w:rsid w:val="3AB450EE"/>
    <w:rsid w:val="3ABC7B9C"/>
    <w:rsid w:val="3AC53FE9"/>
    <w:rsid w:val="3AC54CA3"/>
    <w:rsid w:val="3ACA050B"/>
    <w:rsid w:val="3ACF5B21"/>
    <w:rsid w:val="3ADC6C51"/>
    <w:rsid w:val="3ADF3C25"/>
    <w:rsid w:val="3ADF5717"/>
    <w:rsid w:val="3AE50EA1"/>
    <w:rsid w:val="3AEA64B7"/>
    <w:rsid w:val="3AF410E4"/>
    <w:rsid w:val="3AF85078"/>
    <w:rsid w:val="3B0641BF"/>
    <w:rsid w:val="3B07350D"/>
    <w:rsid w:val="3B077069"/>
    <w:rsid w:val="3B0E664A"/>
    <w:rsid w:val="3B124C99"/>
    <w:rsid w:val="3B15244D"/>
    <w:rsid w:val="3B183024"/>
    <w:rsid w:val="3B1A10A7"/>
    <w:rsid w:val="3B225C51"/>
    <w:rsid w:val="3B255741"/>
    <w:rsid w:val="3B331C0C"/>
    <w:rsid w:val="3B343BD6"/>
    <w:rsid w:val="3B345984"/>
    <w:rsid w:val="3B3616FD"/>
    <w:rsid w:val="3B365BA1"/>
    <w:rsid w:val="3B3911ED"/>
    <w:rsid w:val="3B3B4F65"/>
    <w:rsid w:val="3B440C05"/>
    <w:rsid w:val="3B445EBA"/>
    <w:rsid w:val="3B471B5C"/>
    <w:rsid w:val="3B4F2582"/>
    <w:rsid w:val="3B5322AF"/>
    <w:rsid w:val="3B554279"/>
    <w:rsid w:val="3B590718"/>
    <w:rsid w:val="3B602C1D"/>
    <w:rsid w:val="3B620744"/>
    <w:rsid w:val="3B64626A"/>
    <w:rsid w:val="3B732951"/>
    <w:rsid w:val="3B765F9D"/>
    <w:rsid w:val="3B8033E1"/>
    <w:rsid w:val="3B81506E"/>
    <w:rsid w:val="3B8775E7"/>
    <w:rsid w:val="3B8A37F6"/>
    <w:rsid w:val="3B9052B1"/>
    <w:rsid w:val="3B9231F7"/>
    <w:rsid w:val="3B9528C7"/>
    <w:rsid w:val="3BAF539E"/>
    <w:rsid w:val="3BB17E26"/>
    <w:rsid w:val="3BB70A8F"/>
    <w:rsid w:val="3BB963C4"/>
    <w:rsid w:val="3BBA232E"/>
    <w:rsid w:val="3BBF16F2"/>
    <w:rsid w:val="3BC073E4"/>
    <w:rsid w:val="3BC1546A"/>
    <w:rsid w:val="3BC96A15"/>
    <w:rsid w:val="3BCB62E9"/>
    <w:rsid w:val="3BCE5DD9"/>
    <w:rsid w:val="3BD333EF"/>
    <w:rsid w:val="3BDB4669"/>
    <w:rsid w:val="3BE70C49"/>
    <w:rsid w:val="3BF423D8"/>
    <w:rsid w:val="3BF45FB4"/>
    <w:rsid w:val="3BF66DD4"/>
    <w:rsid w:val="3BF910A8"/>
    <w:rsid w:val="3C055B26"/>
    <w:rsid w:val="3C0637C5"/>
    <w:rsid w:val="3C074E47"/>
    <w:rsid w:val="3C090BBF"/>
    <w:rsid w:val="3C0F5501"/>
    <w:rsid w:val="3C1063F2"/>
    <w:rsid w:val="3C1D466B"/>
    <w:rsid w:val="3C1E3FFF"/>
    <w:rsid w:val="3C233F85"/>
    <w:rsid w:val="3C270B87"/>
    <w:rsid w:val="3C294385"/>
    <w:rsid w:val="3C3178A8"/>
    <w:rsid w:val="3C3C2D43"/>
    <w:rsid w:val="3C430575"/>
    <w:rsid w:val="3C4A1903"/>
    <w:rsid w:val="3C4B11D8"/>
    <w:rsid w:val="3C4B567C"/>
    <w:rsid w:val="3C522566"/>
    <w:rsid w:val="3C577B7C"/>
    <w:rsid w:val="3C6D73A0"/>
    <w:rsid w:val="3C6F136A"/>
    <w:rsid w:val="3C700C3E"/>
    <w:rsid w:val="3C7249B6"/>
    <w:rsid w:val="3C74072E"/>
    <w:rsid w:val="3C8C573F"/>
    <w:rsid w:val="3C8D17F0"/>
    <w:rsid w:val="3C925059"/>
    <w:rsid w:val="3C926E07"/>
    <w:rsid w:val="3C940DD1"/>
    <w:rsid w:val="3C942B7F"/>
    <w:rsid w:val="3C9B2D3F"/>
    <w:rsid w:val="3C9E57AB"/>
    <w:rsid w:val="3CA1704A"/>
    <w:rsid w:val="3CAA05F4"/>
    <w:rsid w:val="3CAB1C76"/>
    <w:rsid w:val="3CAD3C40"/>
    <w:rsid w:val="3CB3794A"/>
    <w:rsid w:val="3CB43221"/>
    <w:rsid w:val="3CB44FCF"/>
    <w:rsid w:val="3CBA07BD"/>
    <w:rsid w:val="3CBC1920"/>
    <w:rsid w:val="3CBF00C1"/>
    <w:rsid w:val="3CC05722"/>
    <w:rsid w:val="3CC25EAD"/>
    <w:rsid w:val="3CD14346"/>
    <w:rsid w:val="3CDE28E0"/>
    <w:rsid w:val="3CE82ECA"/>
    <w:rsid w:val="3CF41773"/>
    <w:rsid w:val="3CF61143"/>
    <w:rsid w:val="3CFE449C"/>
    <w:rsid w:val="3D0218AD"/>
    <w:rsid w:val="3D0A2E41"/>
    <w:rsid w:val="3D0A4BEF"/>
    <w:rsid w:val="3D0F66A9"/>
    <w:rsid w:val="3D121CF5"/>
    <w:rsid w:val="3D145A6E"/>
    <w:rsid w:val="3D150BFD"/>
    <w:rsid w:val="3D1F1F85"/>
    <w:rsid w:val="3D235CB1"/>
    <w:rsid w:val="3D251A29"/>
    <w:rsid w:val="3D2757A1"/>
    <w:rsid w:val="3D2A5291"/>
    <w:rsid w:val="3D2E4D81"/>
    <w:rsid w:val="3D2F4655"/>
    <w:rsid w:val="3D31661F"/>
    <w:rsid w:val="3D317896"/>
    <w:rsid w:val="3D324146"/>
    <w:rsid w:val="3D385DCB"/>
    <w:rsid w:val="3D3879AE"/>
    <w:rsid w:val="3D4661FC"/>
    <w:rsid w:val="3D477BF1"/>
    <w:rsid w:val="3D4F6AA6"/>
    <w:rsid w:val="3D513987"/>
    <w:rsid w:val="3D516CC2"/>
    <w:rsid w:val="3D566086"/>
    <w:rsid w:val="3D572A5B"/>
    <w:rsid w:val="3D595B76"/>
    <w:rsid w:val="3D5A3DC8"/>
    <w:rsid w:val="3D5D11C3"/>
    <w:rsid w:val="3D610E5E"/>
    <w:rsid w:val="3D676AF8"/>
    <w:rsid w:val="3D695DB9"/>
    <w:rsid w:val="3D6C2702"/>
    <w:rsid w:val="3D6E1446"/>
    <w:rsid w:val="3D7F55DD"/>
    <w:rsid w:val="3D842BF3"/>
    <w:rsid w:val="3D871138"/>
    <w:rsid w:val="3D8B21D4"/>
    <w:rsid w:val="3D8F1598"/>
    <w:rsid w:val="3D913562"/>
    <w:rsid w:val="3D921364"/>
    <w:rsid w:val="3D934BE4"/>
    <w:rsid w:val="3D940218"/>
    <w:rsid w:val="3D94095C"/>
    <w:rsid w:val="3D954E00"/>
    <w:rsid w:val="3D9D5A63"/>
    <w:rsid w:val="3DA908AC"/>
    <w:rsid w:val="3DA93929"/>
    <w:rsid w:val="3DAC5CA6"/>
    <w:rsid w:val="3DAE7C70"/>
    <w:rsid w:val="3DB43B5D"/>
    <w:rsid w:val="3DB62D0F"/>
    <w:rsid w:val="3DB66B25"/>
    <w:rsid w:val="3DB72FC9"/>
    <w:rsid w:val="3DB833E8"/>
    <w:rsid w:val="3DBD6105"/>
    <w:rsid w:val="3DC456E6"/>
    <w:rsid w:val="3DC513DA"/>
    <w:rsid w:val="3DC54FBA"/>
    <w:rsid w:val="3DC76F84"/>
    <w:rsid w:val="3DCB002B"/>
    <w:rsid w:val="3DCE0312"/>
    <w:rsid w:val="3DD27E02"/>
    <w:rsid w:val="3DDD3277"/>
    <w:rsid w:val="3DDF42CD"/>
    <w:rsid w:val="3DE03BA2"/>
    <w:rsid w:val="3DEA1923"/>
    <w:rsid w:val="3DEF482D"/>
    <w:rsid w:val="3DF134AE"/>
    <w:rsid w:val="3DF23649"/>
    <w:rsid w:val="3DF338D5"/>
    <w:rsid w:val="3DF53AF1"/>
    <w:rsid w:val="3DF5589F"/>
    <w:rsid w:val="3DFC435A"/>
    <w:rsid w:val="3E067AAC"/>
    <w:rsid w:val="3E077380"/>
    <w:rsid w:val="3E0B50C2"/>
    <w:rsid w:val="3E0B6E71"/>
    <w:rsid w:val="3E10681A"/>
    <w:rsid w:val="3E147414"/>
    <w:rsid w:val="3E1513CE"/>
    <w:rsid w:val="3E172DC5"/>
    <w:rsid w:val="3E1C2E2C"/>
    <w:rsid w:val="3E1D4DF6"/>
    <w:rsid w:val="3E21403E"/>
    <w:rsid w:val="3E2E7003"/>
    <w:rsid w:val="3E3363C7"/>
    <w:rsid w:val="3E353902"/>
    <w:rsid w:val="3E391C30"/>
    <w:rsid w:val="3E3E1A84"/>
    <w:rsid w:val="3E42660A"/>
    <w:rsid w:val="3E432AAE"/>
    <w:rsid w:val="3E491747"/>
    <w:rsid w:val="3E5527E2"/>
    <w:rsid w:val="3E554590"/>
    <w:rsid w:val="3E5C591E"/>
    <w:rsid w:val="3E5C76CC"/>
    <w:rsid w:val="3E5E04B0"/>
    <w:rsid w:val="3E5E3444"/>
    <w:rsid w:val="3E6141C5"/>
    <w:rsid w:val="3E66679D"/>
    <w:rsid w:val="3E6E11AD"/>
    <w:rsid w:val="3E817133"/>
    <w:rsid w:val="3E8804C1"/>
    <w:rsid w:val="3E8E35FE"/>
    <w:rsid w:val="3E8F1850"/>
    <w:rsid w:val="3E8F7AA2"/>
    <w:rsid w:val="3E94330A"/>
    <w:rsid w:val="3E952BDE"/>
    <w:rsid w:val="3E9A1FA2"/>
    <w:rsid w:val="3E9B4698"/>
    <w:rsid w:val="3E9C3F6D"/>
    <w:rsid w:val="3E9C6B71"/>
    <w:rsid w:val="3EA90437"/>
    <w:rsid w:val="3EAB41B0"/>
    <w:rsid w:val="3EAD7F28"/>
    <w:rsid w:val="3EAF565D"/>
    <w:rsid w:val="3EB23790"/>
    <w:rsid w:val="3EB43064"/>
    <w:rsid w:val="3EC15757"/>
    <w:rsid w:val="3EC55271"/>
    <w:rsid w:val="3EC60FE9"/>
    <w:rsid w:val="3ECF4342"/>
    <w:rsid w:val="3ED731F7"/>
    <w:rsid w:val="3ED75B3E"/>
    <w:rsid w:val="3EE020AB"/>
    <w:rsid w:val="3EE5578E"/>
    <w:rsid w:val="3EE6168C"/>
    <w:rsid w:val="3EE83856"/>
    <w:rsid w:val="3EF21DDE"/>
    <w:rsid w:val="3EFE69D5"/>
    <w:rsid w:val="3F0062A9"/>
    <w:rsid w:val="3F057D64"/>
    <w:rsid w:val="3F0F2990"/>
    <w:rsid w:val="3F1A33BE"/>
    <w:rsid w:val="3F1C176C"/>
    <w:rsid w:val="3F312C16"/>
    <w:rsid w:val="3F3953BF"/>
    <w:rsid w:val="3F3C12AC"/>
    <w:rsid w:val="3F3E3276"/>
    <w:rsid w:val="3F3E6DD2"/>
    <w:rsid w:val="3F400D9C"/>
    <w:rsid w:val="3F424B14"/>
    <w:rsid w:val="3F486480"/>
    <w:rsid w:val="3F4A39D4"/>
    <w:rsid w:val="3F4E170B"/>
    <w:rsid w:val="3F542A99"/>
    <w:rsid w:val="3F556BF6"/>
    <w:rsid w:val="3F5605BF"/>
    <w:rsid w:val="3F60143E"/>
    <w:rsid w:val="3F604F9A"/>
    <w:rsid w:val="3F663C97"/>
    <w:rsid w:val="3F6A7BC7"/>
    <w:rsid w:val="3F6E5909"/>
    <w:rsid w:val="3F710F55"/>
    <w:rsid w:val="3F7556C8"/>
    <w:rsid w:val="3F80388E"/>
    <w:rsid w:val="3F84512C"/>
    <w:rsid w:val="3F9133A5"/>
    <w:rsid w:val="3F982986"/>
    <w:rsid w:val="3FA27361"/>
    <w:rsid w:val="3FA330D9"/>
    <w:rsid w:val="3FA550A3"/>
    <w:rsid w:val="3FA56E51"/>
    <w:rsid w:val="3FA806EF"/>
    <w:rsid w:val="3FA927D6"/>
    <w:rsid w:val="3FB6105E"/>
    <w:rsid w:val="3FB928FC"/>
    <w:rsid w:val="3FBC288A"/>
    <w:rsid w:val="3FC01EDD"/>
    <w:rsid w:val="3FC217B1"/>
    <w:rsid w:val="3FC512A1"/>
    <w:rsid w:val="3FD6525C"/>
    <w:rsid w:val="3FDA2830"/>
    <w:rsid w:val="3FDD2A8F"/>
    <w:rsid w:val="3FF213FE"/>
    <w:rsid w:val="3FF2594D"/>
    <w:rsid w:val="3FF628DC"/>
    <w:rsid w:val="3FF83425"/>
    <w:rsid w:val="3FFD6D5A"/>
    <w:rsid w:val="3FFF2A05"/>
    <w:rsid w:val="40093884"/>
    <w:rsid w:val="40094AB4"/>
    <w:rsid w:val="400B13AA"/>
    <w:rsid w:val="400C5122"/>
    <w:rsid w:val="4010076E"/>
    <w:rsid w:val="40112738"/>
    <w:rsid w:val="4012098A"/>
    <w:rsid w:val="40120BBF"/>
    <w:rsid w:val="401A15ED"/>
    <w:rsid w:val="402522D0"/>
    <w:rsid w:val="402661E4"/>
    <w:rsid w:val="40275AB8"/>
    <w:rsid w:val="40316936"/>
    <w:rsid w:val="403501D5"/>
    <w:rsid w:val="40381A73"/>
    <w:rsid w:val="40387CC5"/>
    <w:rsid w:val="403A38E1"/>
    <w:rsid w:val="403A57EB"/>
    <w:rsid w:val="403C469F"/>
    <w:rsid w:val="403F1053"/>
    <w:rsid w:val="403F6921"/>
    <w:rsid w:val="40403CEE"/>
    <w:rsid w:val="4047615A"/>
    <w:rsid w:val="4057639D"/>
    <w:rsid w:val="40580367"/>
    <w:rsid w:val="406B6672"/>
    <w:rsid w:val="406E7B8B"/>
    <w:rsid w:val="407451A1"/>
    <w:rsid w:val="40753D8A"/>
    <w:rsid w:val="40786454"/>
    <w:rsid w:val="407927B7"/>
    <w:rsid w:val="407D392A"/>
    <w:rsid w:val="4081166C"/>
    <w:rsid w:val="4084250D"/>
    <w:rsid w:val="4093314D"/>
    <w:rsid w:val="40933F35"/>
    <w:rsid w:val="409436EA"/>
    <w:rsid w:val="409842FD"/>
    <w:rsid w:val="40A8309D"/>
    <w:rsid w:val="40A9471F"/>
    <w:rsid w:val="40AB0497"/>
    <w:rsid w:val="40AF1C68"/>
    <w:rsid w:val="40AF61D9"/>
    <w:rsid w:val="40B5544A"/>
    <w:rsid w:val="40BC26A4"/>
    <w:rsid w:val="40C1308E"/>
    <w:rsid w:val="40C52A5E"/>
    <w:rsid w:val="40C95D80"/>
    <w:rsid w:val="40CD48B1"/>
    <w:rsid w:val="40D668AA"/>
    <w:rsid w:val="40D72D76"/>
    <w:rsid w:val="40D82ED1"/>
    <w:rsid w:val="40DA6FCE"/>
    <w:rsid w:val="40DF1EEB"/>
    <w:rsid w:val="40E65973"/>
    <w:rsid w:val="40E67721"/>
    <w:rsid w:val="40E85E90"/>
    <w:rsid w:val="40E95699"/>
    <w:rsid w:val="40EC5ED8"/>
    <w:rsid w:val="40EF4827"/>
    <w:rsid w:val="40F260C6"/>
    <w:rsid w:val="40F7192E"/>
    <w:rsid w:val="40F94117"/>
    <w:rsid w:val="40FE0CCC"/>
    <w:rsid w:val="41032081"/>
    <w:rsid w:val="41047ED9"/>
    <w:rsid w:val="4105229D"/>
    <w:rsid w:val="4105404B"/>
    <w:rsid w:val="41061B71"/>
    <w:rsid w:val="410A1661"/>
    <w:rsid w:val="410C0680"/>
    <w:rsid w:val="410C28BC"/>
    <w:rsid w:val="410D1152"/>
    <w:rsid w:val="410E3FFA"/>
    <w:rsid w:val="4110479E"/>
    <w:rsid w:val="41151DB4"/>
    <w:rsid w:val="41202F4F"/>
    <w:rsid w:val="41232723"/>
    <w:rsid w:val="41263FC1"/>
    <w:rsid w:val="41281AE7"/>
    <w:rsid w:val="413D1A37"/>
    <w:rsid w:val="41410DFB"/>
    <w:rsid w:val="41464D70"/>
    <w:rsid w:val="41483F38"/>
    <w:rsid w:val="414C2C82"/>
    <w:rsid w:val="414D59F2"/>
    <w:rsid w:val="414F52C6"/>
    <w:rsid w:val="41517290"/>
    <w:rsid w:val="41566655"/>
    <w:rsid w:val="415C79E3"/>
    <w:rsid w:val="415D2778"/>
    <w:rsid w:val="415D3E87"/>
    <w:rsid w:val="415E19AD"/>
    <w:rsid w:val="41626732"/>
    <w:rsid w:val="41633FB5"/>
    <w:rsid w:val="41656898"/>
    <w:rsid w:val="416845DA"/>
    <w:rsid w:val="41696777"/>
    <w:rsid w:val="41744D2D"/>
    <w:rsid w:val="41754614"/>
    <w:rsid w:val="417B60BB"/>
    <w:rsid w:val="41807B75"/>
    <w:rsid w:val="418A5AB5"/>
    <w:rsid w:val="418B091F"/>
    <w:rsid w:val="418D4040"/>
    <w:rsid w:val="4194717D"/>
    <w:rsid w:val="41986C6D"/>
    <w:rsid w:val="41994793"/>
    <w:rsid w:val="419B49AF"/>
    <w:rsid w:val="41A5138A"/>
    <w:rsid w:val="41A73354"/>
    <w:rsid w:val="41B15F81"/>
    <w:rsid w:val="41B4781F"/>
    <w:rsid w:val="41B919A4"/>
    <w:rsid w:val="41BB6E00"/>
    <w:rsid w:val="41BD2B78"/>
    <w:rsid w:val="41C04416"/>
    <w:rsid w:val="41CA7043"/>
    <w:rsid w:val="41CA785D"/>
    <w:rsid w:val="41D614EA"/>
    <w:rsid w:val="41D61543"/>
    <w:rsid w:val="41D8350E"/>
    <w:rsid w:val="41E43F89"/>
    <w:rsid w:val="41EB174A"/>
    <w:rsid w:val="41EE4ADF"/>
    <w:rsid w:val="41EF0857"/>
    <w:rsid w:val="41F145CF"/>
    <w:rsid w:val="41F66F56"/>
    <w:rsid w:val="41F82705"/>
    <w:rsid w:val="41F97455"/>
    <w:rsid w:val="41FE0FCB"/>
    <w:rsid w:val="420C765B"/>
    <w:rsid w:val="42132798"/>
    <w:rsid w:val="42154762"/>
    <w:rsid w:val="42164036"/>
    <w:rsid w:val="42177E0D"/>
    <w:rsid w:val="42187DAE"/>
    <w:rsid w:val="421A1D78"/>
    <w:rsid w:val="421D3616"/>
    <w:rsid w:val="42213A90"/>
    <w:rsid w:val="42233A5A"/>
    <w:rsid w:val="422624CB"/>
    <w:rsid w:val="42276243"/>
    <w:rsid w:val="422A188F"/>
    <w:rsid w:val="422B0891"/>
    <w:rsid w:val="42336996"/>
    <w:rsid w:val="423B189D"/>
    <w:rsid w:val="424010B3"/>
    <w:rsid w:val="42443F14"/>
    <w:rsid w:val="42450E81"/>
    <w:rsid w:val="42470693"/>
    <w:rsid w:val="42477E9E"/>
    <w:rsid w:val="424E1A22"/>
    <w:rsid w:val="42507548"/>
    <w:rsid w:val="425A03C6"/>
    <w:rsid w:val="425F778B"/>
    <w:rsid w:val="42672AE3"/>
    <w:rsid w:val="426D74C6"/>
    <w:rsid w:val="42756FAE"/>
    <w:rsid w:val="42813BA5"/>
    <w:rsid w:val="42814504"/>
    <w:rsid w:val="428611BC"/>
    <w:rsid w:val="4286740D"/>
    <w:rsid w:val="428B6FB3"/>
    <w:rsid w:val="428E1E1E"/>
    <w:rsid w:val="428E62C2"/>
    <w:rsid w:val="42927B60"/>
    <w:rsid w:val="429A4C67"/>
    <w:rsid w:val="429C278D"/>
    <w:rsid w:val="42BA0E65"/>
    <w:rsid w:val="42BE04AF"/>
    <w:rsid w:val="42C52AB7"/>
    <w:rsid w:val="42C87EB5"/>
    <w:rsid w:val="42CD0B98"/>
    <w:rsid w:val="42D24401"/>
    <w:rsid w:val="42D33CD5"/>
    <w:rsid w:val="42D44F28"/>
    <w:rsid w:val="42DE2DA6"/>
    <w:rsid w:val="42E12896"/>
    <w:rsid w:val="42E3216A"/>
    <w:rsid w:val="42E36B0E"/>
    <w:rsid w:val="42E859D2"/>
    <w:rsid w:val="42EC309B"/>
    <w:rsid w:val="42EE2A85"/>
    <w:rsid w:val="42EE5221"/>
    <w:rsid w:val="42F15FC1"/>
    <w:rsid w:val="42F425C9"/>
    <w:rsid w:val="42F44377"/>
    <w:rsid w:val="42F66EFB"/>
    <w:rsid w:val="42F779C3"/>
    <w:rsid w:val="42FE51F6"/>
    <w:rsid w:val="431515CC"/>
    <w:rsid w:val="43193DDE"/>
    <w:rsid w:val="43273100"/>
    <w:rsid w:val="43326C4D"/>
    <w:rsid w:val="4335501B"/>
    <w:rsid w:val="4335673E"/>
    <w:rsid w:val="43421586"/>
    <w:rsid w:val="43454EAD"/>
    <w:rsid w:val="434C41B3"/>
    <w:rsid w:val="43503578"/>
    <w:rsid w:val="43537184"/>
    <w:rsid w:val="435532E0"/>
    <w:rsid w:val="4359348E"/>
    <w:rsid w:val="435E7A42"/>
    <w:rsid w:val="436A4639"/>
    <w:rsid w:val="436D260D"/>
    <w:rsid w:val="43713007"/>
    <w:rsid w:val="437159C8"/>
    <w:rsid w:val="43721740"/>
    <w:rsid w:val="437466E4"/>
    <w:rsid w:val="43776B4B"/>
    <w:rsid w:val="43793E2A"/>
    <w:rsid w:val="438020AF"/>
    <w:rsid w:val="4384354A"/>
    <w:rsid w:val="4386786A"/>
    <w:rsid w:val="43882D11"/>
    <w:rsid w:val="438E5395"/>
    <w:rsid w:val="43943464"/>
    <w:rsid w:val="43943488"/>
    <w:rsid w:val="43986193"/>
    <w:rsid w:val="4399036C"/>
    <w:rsid w:val="43A07D60"/>
    <w:rsid w:val="43A51B15"/>
    <w:rsid w:val="43AC6A00"/>
    <w:rsid w:val="43B6787E"/>
    <w:rsid w:val="43B9111D"/>
    <w:rsid w:val="43B92ECB"/>
    <w:rsid w:val="43C31F9B"/>
    <w:rsid w:val="43D30430"/>
    <w:rsid w:val="43D9356D"/>
    <w:rsid w:val="43DD305D"/>
    <w:rsid w:val="43DE6DD5"/>
    <w:rsid w:val="43E07DA4"/>
    <w:rsid w:val="43E443EC"/>
    <w:rsid w:val="43E72417"/>
    <w:rsid w:val="43EE7018"/>
    <w:rsid w:val="43F5039A"/>
    <w:rsid w:val="43F839F3"/>
    <w:rsid w:val="43FA3C0F"/>
    <w:rsid w:val="43FC2ACB"/>
    <w:rsid w:val="43FE4D82"/>
    <w:rsid w:val="440415BB"/>
    <w:rsid w:val="44055A2D"/>
    <w:rsid w:val="44071E88"/>
    <w:rsid w:val="440E76BA"/>
    <w:rsid w:val="4416031D"/>
    <w:rsid w:val="44170B63"/>
    <w:rsid w:val="44186102"/>
    <w:rsid w:val="44266B52"/>
    <w:rsid w:val="442B1C63"/>
    <w:rsid w:val="44337121"/>
    <w:rsid w:val="443469F5"/>
    <w:rsid w:val="443A225E"/>
    <w:rsid w:val="443F72CB"/>
    <w:rsid w:val="44472BCC"/>
    <w:rsid w:val="44496945"/>
    <w:rsid w:val="444A10A1"/>
    <w:rsid w:val="444A2031"/>
    <w:rsid w:val="444E4F44"/>
    <w:rsid w:val="4451216B"/>
    <w:rsid w:val="44586B88"/>
    <w:rsid w:val="44592B81"/>
    <w:rsid w:val="445D5F4C"/>
    <w:rsid w:val="446134BD"/>
    <w:rsid w:val="446137AD"/>
    <w:rsid w:val="44646CB7"/>
    <w:rsid w:val="44666B20"/>
    <w:rsid w:val="44670B79"/>
    <w:rsid w:val="446A7138"/>
    <w:rsid w:val="446B0669"/>
    <w:rsid w:val="44703ED1"/>
    <w:rsid w:val="447D039C"/>
    <w:rsid w:val="448259B3"/>
    <w:rsid w:val="4487121B"/>
    <w:rsid w:val="44983428"/>
    <w:rsid w:val="449D0A3E"/>
    <w:rsid w:val="449E0454"/>
    <w:rsid w:val="44A21BB1"/>
    <w:rsid w:val="44A818BD"/>
    <w:rsid w:val="44AD6CF5"/>
    <w:rsid w:val="44AF5449"/>
    <w:rsid w:val="44B6565C"/>
    <w:rsid w:val="44BC2C73"/>
    <w:rsid w:val="44C46BB0"/>
    <w:rsid w:val="44C85ABB"/>
    <w:rsid w:val="44CD30D2"/>
    <w:rsid w:val="44CE4B11"/>
    <w:rsid w:val="44D34460"/>
    <w:rsid w:val="44D3620E"/>
    <w:rsid w:val="44D53472"/>
    <w:rsid w:val="44DE708D"/>
    <w:rsid w:val="44F3065E"/>
    <w:rsid w:val="44F543D6"/>
    <w:rsid w:val="44F56185"/>
    <w:rsid w:val="44FE355A"/>
    <w:rsid w:val="44FF7003"/>
    <w:rsid w:val="450665E4"/>
    <w:rsid w:val="4508410A"/>
    <w:rsid w:val="450A60D4"/>
    <w:rsid w:val="450B4230"/>
    <w:rsid w:val="450C3C4E"/>
    <w:rsid w:val="450F36EA"/>
    <w:rsid w:val="45166D46"/>
    <w:rsid w:val="4517434D"/>
    <w:rsid w:val="452B1BA6"/>
    <w:rsid w:val="452D1DC2"/>
    <w:rsid w:val="45350C77"/>
    <w:rsid w:val="4537679D"/>
    <w:rsid w:val="453C0257"/>
    <w:rsid w:val="453C51A9"/>
    <w:rsid w:val="4545710C"/>
    <w:rsid w:val="45486BFC"/>
    <w:rsid w:val="45506C72"/>
    <w:rsid w:val="45561319"/>
    <w:rsid w:val="455C4456"/>
    <w:rsid w:val="45633BC2"/>
    <w:rsid w:val="45660E30"/>
    <w:rsid w:val="4568708C"/>
    <w:rsid w:val="456A0921"/>
    <w:rsid w:val="456A6B72"/>
    <w:rsid w:val="457277D5"/>
    <w:rsid w:val="458E2F8D"/>
    <w:rsid w:val="458F65D9"/>
    <w:rsid w:val="45915A95"/>
    <w:rsid w:val="45921C25"/>
    <w:rsid w:val="45943BEF"/>
    <w:rsid w:val="45967968"/>
    <w:rsid w:val="45997458"/>
    <w:rsid w:val="459B6D2C"/>
    <w:rsid w:val="459D0017"/>
    <w:rsid w:val="459E05CA"/>
    <w:rsid w:val="459E681C"/>
    <w:rsid w:val="45A2525D"/>
    <w:rsid w:val="45A51959"/>
    <w:rsid w:val="45AF2F03"/>
    <w:rsid w:val="45BB5620"/>
    <w:rsid w:val="45DD5596"/>
    <w:rsid w:val="45E06E35"/>
    <w:rsid w:val="45E306D3"/>
    <w:rsid w:val="45E34BAB"/>
    <w:rsid w:val="45E6269F"/>
    <w:rsid w:val="45E701C3"/>
    <w:rsid w:val="45EE1552"/>
    <w:rsid w:val="45F355D7"/>
    <w:rsid w:val="45F3589E"/>
    <w:rsid w:val="45F4468E"/>
    <w:rsid w:val="45F47CCC"/>
    <w:rsid w:val="45F60B58"/>
    <w:rsid w:val="45FB5A1D"/>
    <w:rsid w:val="45FE550D"/>
    <w:rsid w:val="46027484"/>
    <w:rsid w:val="460348D1"/>
    <w:rsid w:val="4605689B"/>
    <w:rsid w:val="4614088C"/>
    <w:rsid w:val="461940F5"/>
    <w:rsid w:val="461B2DDC"/>
    <w:rsid w:val="461B561D"/>
    <w:rsid w:val="461F7D3A"/>
    <w:rsid w:val="46205483"/>
    <w:rsid w:val="46284338"/>
    <w:rsid w:val="462C5BD6"/>
    <w:rsid w:val="462F56C6"/>
    <w:rsid w:val="46316596"/>
    <w:rsid w:val="46326F64"/>
    <w:rsid w:val="46354B39"/>
    <w:rsid w:val="463B22BD"/>
    <w:rsid w:val="463B752C"/>
    <w:rsid w:val="463C6585"/>
    <w:rsid w:val="463D7DE3"/>
    <w:rsid w:val="463F7FFF"/>
    <w:rsid w:val="46401681"/>
    <w:rsid w:val="46407175"/>
    <w:rsid w:val="465313B5"/>
    <w:rsid w:val="4654527A"/>
    <w:rsid w:val="46572CEA"/>
    <w:rsid w:val="465E4B3A"/>
    <w:rsid w:val="465F5FAB"/>
    <w:rsid w:val="46603AD2"/>
    <w:rsid w:val="46623CEE"/>
    <w:rsid w:val="46671304"/>
    <w:rsid w:val="467303C8"/>
    <w:rsid w:val="46737CA9"/>
    <w:rsid w:val="4674757D"/>
    <w:rsid w:val="467F445C"/>
    <w:rsid w:val="4686391A"/>
    <w:rsid w:val="46893028"/>
    <w:rsid w:val="468C0D6B"/>
    <w:rsid w:val="4691012F"/>
    <w:rsid w:val="46911EDD"/>
    <w:rsid w:val="469A5235"/>
    <w:rsid w:val="469D6AD4"/>
    <w:rsid w:val="46A80C8F"/>
    <w:rsid w:val="46A82829"/>
    <w:rsid w:val="46B1432D"/>
    <w:rsid w:val="46BD7176"/>
    <w:rsid w:val="46BF6A4A"/>
    <w:rsid w:val="46C01DCF"/>
    <w:rsid w:val="46C40504"/>
    <w:rsid w:val="46C73B51"/>
    <w:rsid w:val="46CA5A4D"/>
    <w:rsid w:val="46CD42F1"/>
    <w:rsid w:val="46D22C21"/>
    <w:rsid w:val="46D36999"/>
    <w:rsid w:val="46E841F3"/>
    <w:rsid w:val="46EA5779"/>
    <w:rsid w:val="46F32B98"/>
    <w:rsid w:val="46F54B62"/>
    <w:rsid w:val="47022DDB"/>
    <w:rsid w:val="470628CB"/>
    <w:rsid w:val="470C1AE3"/>
    <w:rsid w:val="47136D96"/>
    <w:rsid w:val="47203553"/>
    <w:rsid w:val="47224D0F"/>
    <w:rsid w:val="47230AB1"/>
    <w:rsid w:val="472471F5"/>
    <w:rsid w:val="4735222F"/>
    <w:rsid w:val="47356D0C"/>
    <w:rsid w:val="47411B55"/>
    <w:rsid w:val="47456DDE"/>
    <w:rsid w:val="474A5619"/>
    <w:rsid w:val="474B29D4"/>
    <w:rsid w:val="474D4056"/>
    <w:rsid w:val="474E2404"/>
    <w:rsid w:val="47525B10"/>
    <w:rsid w:val="475573AE"/>
    <w:rsid w:val="475831BF"/>
    <w:rsid w:val="47592085"/>
    <w:rsid w:val="47613FA5"/>
    <w:rsid w:val="47655843"/>
    <w:rsid w:val="476615BC"/>
    <w:rsid w:val="4770243A"/>
    <w:rsid w:val="477535AD"/>
    <w:rsid w:val="47767A51"/>
    <w:rsid w:val="477D598D"/>
    <w:rsid w:val="477F442B"/>
    <w:rsid w:val="477F61D9"/>
    <w:rsid w:val="4780267D"/>
    <w:rsid w:val="478163F5"/>
    <w:rsid w:val="47855EE6"/>
    <w:rsid w:val="47900CBB"/>
    <w:rsid w:val="4791660D"/>
    <w:rsid w:val="479559FD"/>
    <w:rsid w:val="47972E7A"/>
    <w:rsid w:val="479C6D8B"/>
    <w:rsid w:val="47B6609F"/>
    <w:rsid w:val="47B70069"/>
    <w:rsid w:val="47BC567F"/>
    <w:rsid w:val="47C42C4B"/>
    <w:rsid w:val="47C6205A"/>
    <w:rsid w:val="47C71588"/>
    <w:rsid w:val="47C77D95"/>
    <w:rsid w:val="47C87B80"/>
    <w:rsid w:val="47CA1B4A"/>
    <w:rsid w:val="47CD5197"/>
    <w:rsid w:val="47CD7BFF"/>
    <w:rsid w:val="47D31E1A"/>
    <w:rsid w:val="47D74267"/>
    <w:rsid w:val="47DA5134"/>
    <w:rsid w:val="47E114CB"/>
    <w:rsid w:val="47E26E94"/>
    <w:rsid w:val="47E66258"/>
    <w:rsid w:val="47EF7803"/>
    <w:rsid w:val="47F70466"/>
    <w:rsid w:val="47F72214"/>
    <w:rsid w:val="47F92430"/>
    <w:rsid w:val="47FD3CCE"/>
    <w:rsid w:val="48013092"/>
    <w:rsid w:val="48082673"/>
    <w:rsid w:val="480A63EB"/>
    <w:rsid w:val="481334F1"/>
    <w:rsid w:val="481903DC"/>
    <w:rsid w:val="48246391"/>
    <w:rsid w:val="482C1B9B"/>
    <w:rsid w:val="48313978"/>
    <w:rsid w:val="48376AB4"/>
    <w:rsid w:val="48377221"/>
    <w:rsid w:val="483B06FE"/>
    <w:rsid w:val="483D40CA"/>
    <w:rsid w:val="483E7E42"/>
    <w:rsid w:val="484216E1"/>
    <w:rsid w:val="48484C47"/>
    <w:rsid w:val="484C07B1"/>
    <w:rsid w:val="484C4A70"/>
    <w:rsid w:val="485338EE"/>
    <w:rsid w:val="48537D92"/>
    <w:rsid w:val="485B09F4"/>
    <w:rsid w:val="48651873"/>
    <w:rsid w:val="48657AC5"/>
    <w:rsid w:val="48667975"/>
    <w:rsid w:val="48674249"/>
    <w:rsid w:val="486E0837"/>
    <w:rsid w:val="486E2920"/>
    <w:rsid w:val="486F26F2"/>
    <w:rsid w:val="487D7DE5"/>
    <w:rsid w:val="488241D3"/>
    <w:rsid w:val="488F3E82"/>
    <w:rsid w:val="48A16554"/>
    <w:rsid w:val="48AE0F20"/>
    <w:rsid w:val="48AE294E"/>
    <w:rsid w:val="48AE3759"/>
    <w:rsid w:val="48C42A3E"/>
    <w:rsid w:val="48C642B7"/>
    <w:rsid w:val="48C72F1C"/>
    <w:rsid w:val="48CC544E"/>
    <w:rsid w:val="48CE566A"/>
    <w:rsid w:val="48D36555"/>
    <w:rsid w:val="48DB0E88"/>
    <w:rsid w:val="48E24C72"/>
    <w:rsid w:val="48E42798"/>
    <w:rsid w:val="48E622E2"/>
    <w:rsid w:val="48E924A4"/>
    <w:rsid w:val="48EE3617"/>
    <w:rsid w:val="48EE7ABB"/>
    <w:rsid w:val="48F31397"/>
    <w:rsid w:val="48F350D1"/>
    <w:rsid w:val="48F6071D"/>
    <w:rsid w:val="48F77029"/>
    <w:rsid w:val="48FD385A"/>
    <w:rsid w:val="491C63D6"/>
    <w:rsid w:val="491D3EFC"/>
    <w:rsid w:val="491D5CAA"/>
    <w:rsid w:val="491F1A22"/>
    <w:rsid w:val="491F6AB4"/>
    <w:rsid w:val="49267254"/>
    <w:rsid w:val="49284D7B"/>
    <w:rsid w:val="49325BF9"/>
    <w:rsid w:val="493D00FA"/>
    <w:rsid w:val="493D634C"/>
    <w:rsid w:val="493E459E"/>
    <w:rsid w:val="49497D73"/>
    <w:rsid w:val="495866EE"/>
    <w:rsid w:val="495D254A"/>
    <w:rsid w:val="49667651"/>
    <w:rsid w:val="49686252"/>
    <w:rsid w:val="496F29A9"/>
    <w:rsid w:val="49746212"/>
    <w:rsid w:val="49757894"/>
    <w:rsid w:val="4977360C"/>
    <w:rsid w:val="497955D6"/>
    <w:rsid w:val="497A30FC"/>
    <w:rsid w:val="497E2BEC"/>
    <w:rsid w:val="498018FC"/>
    <w:rsid w:val="49804BB7"/>
    <w:rsid w:val="49836455"/>
    <w:rsid w:val="49855FD9"/>
    <w:rsid w:val="498606C6"/>
    <w:rsid w:val="498F5898"/>
    <w:rsid w:val="4998010E"/>
    <w:rsid w:val="499A379E"/>
    <w:rsid w:val="49A235A7"/>
    <w:rsid w:val="49A85EBB"/>
    <w:rsid w:val="49AB59AC"/>
    <w:rsid w:val="49AF08D0"/>
    <w:rsid w:val="49B93C25"/>
    <w:rsid w:val="49BF629A"/>
    <w:rsid w:val="49C167BA"/>
    <w:rsid w:val="49C23377"/>
    <w:rsid w:val="49C83E68"/>
    <w:rsid w:val="49D56585"/>
    <w:rsid w:val="49D62A28"/>
    <w:rsid w:val="49DC7913"/>
    <w:rsid w:val="49DE18DD"/>
    <w:rsid w:val="49E30CA1"/>
    <w:rsid w:val="49E52C6C"/>
    <w:rsid w:val="49F20EE5"/>
    <w:rsid w:val="49F7299F"/>
    <w:rsid w:val="49FC5DE1"/>
    <w:rsid w:val="49FD6207"/>
    <w:rsid w:val="4A051057"/>
    <w:rsid w:val="4A0550BC"/>
    <w:rsid w:val="4A0C5AE0"/>
    <w:rsid w:val="4A160FCB"/>
    <w:rsid w:val="4A190B67"/>
    <w:rsid w:val="4A1932A7"/>
    <w:rsid w:val="4A2117CA"/>
    <w:rsid w:val="4A2C089A"/>
    <w:rsid w:val="4A413C1A"/>
    <w:rsid w:val="4A4A15DE"/>
    <w:rsid w:val="4A4C4A99"/>
    <w:rsid w:val="4A4E6A63"/>
    <w:rsid w:val="4A510301"/>
    <w:rsid w:val="4A5A33C8"/>
    <w:rsid w:val="4A5B1180"/>
    <w:rsid w:val="4A5C0EAC"/>
    <w:rsid w:val="4A5F5CE1"/>
    <w:rsid w:val="4A62606A"/>
    <w:rsid w:val="4A631DE2"/>
    <w:rsid w:val="4A6504DB"/>
    <w:rsid w:val="4A653DAC"/>
    <w:rsid w:val="4A6D58E4"/>
    <w:rsid w:val="4A730123"/>
    <w:rsid w:val="4A767978"/>
    <w:rsid w:val="4A807238"/>
    <w:rsid w:val="4A821A00"/>
    <w:rsid w:val="4A873D23"/>
    <w:rsid w:val="4A9B77CE"/>
    <w:rsid w:val="4A9D70A2"/>
    <w:rsid w:val="4AA06CA1"/>
    <w:rsid w:val="4AA5064D"/>
    <w:rsid w:val="4AAE3DCD"/>
    <w:rsid w:val="4AB42918"/>
    <w:rsid w:val="4AB64608"/>
    <w:rsid w:val="4ABC6B72"/>
    <w:rsid w:val="4ABD14F2"/>
    <w:rsid w:val="4ABD5996"/>
    <w:rsid w:val="4ABD7744"/>
    <w:rsid w:val="4AC40AD3"/>
    <w:rsid w:val="4AC7737B"/>
    <w:rsid w:val="4ACA1E61"/>
    <w:rsid w:val="4AD30D16"/>
    <w:rsid w:val="4AE72885"/>
    <w:rsid w:val="4AF20941"/>
    <w:rsid w:val="4AF62C56"/>
    <w:rsid w:val="4AFD3FE5"/>
    <w:rsid w:val="4B0233A9"/>
    <w:rsid w:val="4B045373"/>
    <w:rsid w:val="4B0D7838"/>
    <w:rsid w:val="4B101F6A"/>
    <w:rsid w:val="4B125CE2"/>
    <w:rsid w:val="4B1D6435"/>
    <w:rsid w:val="4B1F03FF"/>
    <w:rsid w:val="4B294DDA"/>
    <w:rsid w:val="4B2A5D18"/>
    <w:rsid w:val="4B306168"/>
    <w:rsid w:val="4B31008D"/>
    <w:rsid w:val="4B38501D"/>
    <w:rsid w:val="4B39190C"/>
    <w:rsid w:val="4B3F0159"/>
    <w:rsid w:val="4B46773A"/>
    <w:rsid w:val="4B471525"/>
    <w:rsid w:val="4B4B4017"/>
    <w:rsid w:val="4B531E57"/>
    <w:rsid w:val="4B58746D"/>
    <w:rsid w:val="4B5A280F"/>
    <w:rsid w:val="4B5A4F93"/>
    <w:rsid w:val="4B616322"/>
    <w:rsid w:val="4B663938"/>
    <w:rsid w:val="4B674969"/>
    <w:rsid w:val="4B69167A"/>
    <w:rsid w:val="4B693428"/>
    <w:rsid w:val="4B775B45"/>
    <w:rsid w:val="4B785B6A"/>
    <w:rsid w:val="4B8244EA"/>
    <w:rsid w:val="4B8262E8"/>
    <w:rsid w:val="4B920BD1"/>
    <w:rsid w:val="4B9C1A50"/>
    <w:rsid w:val="4BA10E14"/>
    <w:rsid w:val="4BAD5A0B"/>
    <w:rsid w:val="4BAD77B9"/>
    <w:rsid w:val="4BAF1783"/>
    <w:rsid w:val="4BAF3531"/>
    <w:rsid w:val="4BB01057"/>
    <w:rsid w:val="4BB57ADD"/>
    <w:rsid w:val="4BBA14EA"/>
    <w:rsid w:val="4BBA1ED6"/>
    <w:rsid w:val="4BBC79FC"/>
    <w:rsid w:val="4BC94047"/>
    <w:rsid w:val="4BC94C56"/>
    <w:rsid w:val="4BD00E0E"/>
    <w:rsid w:val="4BD850D6"/>
    <w:rsid w:val="4BDC50A7"/>
    <w:rsid w:val="4BDF36EB"/>
    <w:rsid w:val="4BE156B5"/>
    <w:rsid w:val="4BED4059"/>
    <w:rsid w:val="4BF03B4A"/>
    <w:rsid w:val="4BF278C2"/>
    <w:rsid w:val="4BFA22D2"/>
    <w:rsid w:val="4C0513A3"/>
    <w:rsid w:val="4C15535E"/>
    <w:rsid w:val="4C176DA8"/>
    <w:rsid w:val="4C177634"/>
    <w:rsid w:val="4C1930A0"/>
    <w:rsid w:val="4C201B69"/>
    <w:rsid w:val="4C2832E3"/>
    <w:rsid w:val="4C2F01CE"/>
    <w:rsid w:val="4C352DFF"/>
    <w:rsid w:val="4C416153"/>
    <w:rsid w:val="4C4243A5"/>
    <w:rsid w:val="4C430E41"/>
    <w:rsid w:val="4C433C79"/>
    <w:rsid w:val="4C4460A7"/>
    <w:rsid w:val="4C465518"/>
    <w:rsid w:val="4C55054E"/>
    <w:rsid w:val="4C5743A8"/>
    <w:rsid w:val="4C5A154C"/>
    <w:rsid w:val="4C602A7D"/>
    <w:rsid w:val="4C65600C"/>
    <w:rsid w:val="4C673E0C"/>
    <w:rsid w:val="4C681932"/>
    <w:rsid w:val="4C6856E3"/>
    <w:rsid w:val="4C6A38FC"/>
    <w:rsid w:val="4C7622A1"/>
    <w:rsid w:val="4C793B3F"/>
    <w:rsid w:val="4C7B1665"/>
    <w:rsid w:val="4C806C7C"/>
    <w:rsid w:val="4C8845CA"/>
    <w:rsid w:val="4C886982"/>
    <w:rsid w:val="4C9B1D07"/>
    <w:rsid w:val="4CA87F80"/>
    <w:rsid w:val="4CAE3759"/>
    <w:rsid w:val="4CAF130F"/>
    <w:rsid w:val="4CB16E35"/>
    <w:rsid w:val="4CB30DFF"/>
    <w:rsid w:val="4CB71E91"/>
    <w:rsid w:val="4CBE1552"/>
    <w:rsid w:val="4CC052CA"/>
    <w:rsid w:val="4CC34DBA"/>
    <w:rsid w:val="4CD07C03"/>
    <w:rsid w:val="4CD27077"/>
    <w:rsid w:val="4CD53D41"/>
    <w:rsid w:val="4CD61836"/>
    <w:rsid w:val="4CD6689C"/>
    <w:rsid w:val="4CD73417"/>
    <w:rsid w:val="4CDD40CE"/>
    <w:rsid w:val="4CDD7C2A"/>
    <w:rsid w:val="4CE741F2"/>
    <w:rsid w:val="4CEA0599"/>
    <w:rsid w:val="4CEA2347"/>
    <w:rsid w:val="4CEE1E37"/>
    <w:rsid w:val="4CF03E01"/>
    <w:rsid w:val="4D137AF0"/>
    <w:rsid w:val="4D1E7DDB"/>
    <w:rsid w:val="4D245691"/>
    <w:rsid w:val="4D2A6BE7"/>
    <w:rsid w:val="4D302450"/>
    <w:rsid w:val="4D371A30"/>
    <w:rsid w:val="4D381304"/>
    <w:rsid w:val="4D3B375E"/>
    <w:rsid w:val="4D477799"/>
    <w:rsid w:val="4D4A4BA4"/>
    <w:rsid w:val="4D4A6F97"/>
    <w:rsid w:val="4D4F4B59"/>
    <w:rsid w:val="4D5808E6"/>
    <w:rsid w:val="4D583754"/>
    <w:rsid w:val="4D585BCC"/>
    <w:rsid w:val="4D5C424F"/>
    <w:rsid w:val="4D640EB9"/>
    <w:rsid w:val="4D695962"/>
    <w:rsid w:val="4D6A3FBD"/>
    <w:rsid w:val="4D6C7200"/>
    <w:rsid w:val="4D6D58B3"/>
    <w:rsid w:val="4D714816"/>
    <w:rsid w:val="4D73233C"/>
    <w:rsid w:val="4D7367E0"/>
    <w:rsid w:val="4D754306"/>
    <w:rsid w:val="4D7C38E7"/>
    <w:rsid w:val="4D7C5695"/>
    <w:rsid w:val="4D7D31BB"/>
    <w:rsid w:val="4D8B3B2A"/>
    <w:rsid w:val="4D8C11B6"/>
    <w:rsid w:val="4D956757"/>
    <w:rsid w:val="4D986247"/>
    <w:rsid w:val="4D990A98"/>
    <w:rsid w:val="4D9A17D3"/>
    <w:rsid w:val="4D9A77FE"/>
    <w:rsid w:val="4D9E1AAF"/>
    <w:rsid w:val="4D9E60F4"/>
    <w:rsid w:val="4DA150FB"/>
    <w:rsid w:val="4DA22C22"/>
    <w:rsid w:val="4DA8648A"/>
    <w:rsid w:val="4DA951FF"/>
    <w:rsid w:val="4DAB1AD6"/>
    <w:rsid w:val="4DAD005E"/>
    <w:rsid w:val="4DB90697"/>
    <w:rsid w:val="4DBC3CE3"/>
    <w:rsid w:val="4DC112FA"/>
    <w:rsid w:val="4DC1691E"/>
    <w:rsid w:val="4DC4528E"/>
    <w:rsid w:val="4DCB03CA"/>
    <w:rsid w:val="4DCB3F26"/>
    <w:rsid w:val="4DD3102D"/>
    <w:rsid w:val="4DD4222A"/>
    <w:rsid w:val="4DD76D6F"/>
    <w:rsid w:val="4DD86643"/>
    <w:rsid w:val="4DDD3E89"/>
    <w:rsid w:val="4DDD4ABE"/>
    <w:rsid w:val="4DE374C2"/>
    <w:rsid w:val="4DEA4CF4"/>
    <w:rsid w:val="4DEB281B"/>
    <w:rsid w:val="4DF07E31"/>
    <w:rsid w:val="4DF23A15"/>
    <w:rsid w:val="4DFF70B4"/>
    <w:rsid w:val="4E01203E"/>
    <w:rsid w:val="4E08517B"/>
    <w:rsid w:val="4E0B5AB9"/>
    <w:rsid w:val="4E0D257D"/>
    <w:rsid w:val="4E102281"/>
    <w:rsid w:val="4E110C7C"/>
    <w:rsid w:val="4E165AE9"/>
    <w:rsid w:val="4E1A4EAE"/>
    <w:rsid w:val="4E1E5BE1"/>
    <w:rsid w:val="4E1E674C"/>
    <w:rsid w:val="4E353A96"/>
    <w:rsid w:val="4E3E2C7B"/>
    <w:rsid w:val="4E3F1694"/>
    <w:rsid w:val="4E402B66"/>
    <w:rsid w:val="4E42314D"/>
    <w:rsid w:val="4E485577"/>
    <w:rsid w:val="4E4D2A0C"/>
    <w:rsid w:val="4E50518F"/>
    <w:rsid w:val="4E510B82"/>
    <w:rsid w:val="4E564138"/>
    <w:rsid w:val="4E5959D6"/>
    <w:rsid w:val="4E5C3732"/>
    <w:rsid w:val="4E5C54C6"/>
    <w:rsid w:val="4E5F1D9B"/>
    <w:rsid w:val="4E683E6B"/>
    <w:rsid w:val="4E6D76D3"/>
    <w:rsid w:val="4E796078"/>
    <w:rsid w:val="4E814A20"/>
    <w:rsid w:val="4E86609F"/>
    <w:rsid w:val="4E880069"/>
    <w:rsid w:val="4E8F13F8"/>
    <w:rsid w:val="4E9502E8"/>
    <w:rsid w:val="4E9904C8"/>
    <w:rsid w:val="4E992277"/>
    <w:rsid w:val="4EA604F0"/>
    <w:rsid w:val="4EAD5D22"/>
    <w:rsid w:val="4EB23158"/>
    <w:rsid w:val="4EB250E6"/>
    <w:rsid w:val="4EB86BA1"/>
    <w:rsid w:val="4EBD5F65"/>
    <w:rsid w:val="4EC362C3"/>
    <w:rsid w:val="4EC866B8"/>
    <w:rsid w:val="4EC95D9C"/>
    <w:rsid w:val="4ECE0172"/>
    <w:rsid w:val="4ED14FC0"/>
    <w:rsid w:val="4ED412BA"/>
    <w:rsid w:val="4EE2777A"/>
    <w:rsid w:val="4EEA4880"/>
    <w:rsid w:val="4EF56E5A"/>
    <w:rsid w:val="4EF63225"/>
    <w:rsid w:val="4F073684"/>
    <w:rsid w:val="4F0973FC"/>
    <w:rsid w:val="4F0A4F22"/>
    <w:rsid w:val="4F155DA1"/>
    <w:rsid w:val="4F1B2C8C"/>
    <w:rsid w:val="4F253B0A"/>
    <w:rsid w:val="4F2729A6"/>
    <w:rsid w:val="4F272DEC"/>
    <w:rsid w:val="4F3705BB"/>
    <w:rsid w:val="4F375215"/>
    <w:rsid w:val="4F3B1580"/>
    <w:rsid w:val="4F3B332E"/>
    <w:rsid w:val="4F477F24"/>
    <w:rsid w:val="4F4F0BFE"/>
    <w:rsid w:val="4F525119"/>
    <w:rsid w:val="4F5368C9"/>
    <w:rsid w:val="4F563CC4"/>
    <w:rsid w:val="4F5A1A06"/>
    <w:rsid w:val="4F6F03A8"/>
    <w:rsid w:val="4F764366"/>
    <w:rsid w:val="4F7A72D5"/>
    <w:rsid w:val="4F7B197C"/>
    <w:rsid w:val="4F7E2D69"/>
    <w:rsid w:val="4F8503B4"/>
    <w:rsid w:val="4F876573"/>
    <w:rsid w:val="4F8F75CF"/>
    <w:rsid w:val="4F905428"/>
    <w:rsid w:val="4F980780"/>
    <w:rsid w:val="4FA445A2"/>
    <w:rsid w:val="4FAE3601"/>
    <w:rsid w:val="4FB05ACA"/>
    <w:rsid w:val="4FB37368"/>
    <w:rsid w:val="4FB8497E"/>
    <w:rsid w:val="4FB9673C"/>
    <w:rsid w:val="4FBA06F6"/>
    <w:rsid w:val="4FBD0EDC"/>
    <w:rsid w:val="4FC275AB"/>
    <w:rsid w:val="4FC363DA"/>
    <w:rsid w:val="4FCA4B9F"/>
    <w:rsid w:val="4FCF1B50"/>
    <w:rsid w:val="4FDC6DA6"/>
    <w:rsid w:val="4FDF015D"/>
    <w:rsid w:val="4FE237A9"/>
    <w:rsid w:val="4FE63299"/>
    <w:rsid w:val="4FE90FDC"/>
    <w:rsid w:val="4FE945BA"/>
    <w:rsid w:val="4FED76F4"/>
    <w:rsid w:val="4FEF697B"/>
    <w:rsid w:val="4FF21C3E"/>
    <w:rsid w:val="4FF268D4"/>
    <w:rsid w:val="4FFE4A87"/>
    <w:rsid w:val="50100316"/>
    <w:rsid w:val="50102C97"/>
    <w:rsid w:val="50106D9A"/>
    <w:rsid w:val="50120532"/>
    <w:rsid w:val="5019541D"/>
    <w:rsid w:val="5023004A"/>
    <w:rsid w:val="50245B70"/>
    <w:rsid w:val="502B2B6C"/>
    <w:rsid w:val="502B5150"/>
    <w:rsid w:val="502D0EC8"/>
    <w:rsid w:val="502D2C99"/>
    <w:rsid w:val="50375889"/>
    <w:rsid w:val="503F6FB7"/>
    <w:rsid w:val="504464B2"/>
    <w:rsid w:val="50461F8A"/>
    <w:rsid w:val="504B2D47"/>
    <w:rsid w:val="504B4ACC"/>
    <w:rsid w:val="504B57F2"/>
    <w:rsid w:val="505428F9"/>
    <w:rsid w:val="50597E6E"/>
    <w:rsid w:val="50610B72"/>
    <w:rsid w:val="506643DA"/>
    <w:rsid w:val="50746FFA"/>
    <w:rsid w:val="507E1724"/>
    <w:rsid w:val="50884351"/>
    <w:rsid w:val="508C2093"/>
    <w:rsid w:val="509251CF"/>
    <w:rsid w:val="50945154"/>
    <w:rsid w:val="5095081C"/>
    <w:rsid w:val="509B0528"/>
    <w:rsid w:val="509F054C"/>
    <w:rsid w:val="50A56CB1"/>
    <w:rsid w:val="50AD025B"/>
    <w:rsid w:val="50AF18DD"/>
    <w:rsid w:val="50AF7B2F"/>
    <w:rsid w:val="50B415EA"/>
    <w:rsid w:val="50B60EBE"/>
    <w:rsid w:val="50B909AE"/>
    <w:rsid w:val="50C11F5D"/>
    <w:rsid w:val="50C7131D"/>
    <w:rsid w:val="50CC6933"/>
    <w:rsid w:val="50CE7876"/>
    <w:rsid w:val="50D61560"/>
    <w:rsid w:val="50D91050"/>
    <w:rsid w:val="50DD197E"/>
    <w:rsid w:val="50DE0415"/>
    <w:rsid w:val="50E83041"/>
    <w:rsid w:val="50ED2406"/>
    <w:rsid w:val="50F34FF7"/>
    <w:rsid w:val="50F934A0"/>
    <w:rsid w:val="51022355"/>
    <w:rsid w:val="510720B3"/>
    <w:rsid w:val="510A120A"/>
    <w:rsid w:val="5112712D"/>
    <w:rsid w:val="511B4D29"/>
    <w:rsid w:val="511C3B0A"/>
    <w:rsid w:val="511D4511"/>
    <w:rsid w:val="511E4CB5"/>
    <w:rsid w:val="51200A2D"/>
    <w:rsid w:val="512C73D2"/>
    <w:rsid w:val="512F6EC2"/>
    <w:rsid w:val="513004B1"/>
    <w:rsid w:val="51330760"/>
    <w:rsid w:val="5133250E"/>
    <w:rsid w:val="51385D77"/>
    <w:rsid w:val="51426BF5"/>
    <w:rsid w:val="51477D68"/>
    <w:rsid w:val="51493AE0"/>
    <w:rsid w:val="514B3CFC"/>
    <w:rsid w:val="514E7348"/>
    <w:rsid w:val="51542485"/>
    <w:rsid w:val="51546854"/>
    <w:rsid w:val="51551687"/>
    <w:rsid w:val="51586419"/>
    <w:rsid w:val="515B3813"/>
    <w:rsid w:val="51612330"/>
    <w:rsid w:val="516632F1"/>
    <w:rsid w:val="517B3CD2"/>
    <w:rsid w:val="51803134"/>
    <w:rsid w:val="5186233E"/>
    <w:rsid w:val="518B234A"/>
    <w:rsid w:val="518B70A2"/>
    <w:rsid w:val="51905BB3"/>
    <w:rsid w:val="5196525A"/>
    <w:rsid w:val="519D207E"/>
    <w:rsid w:val="519D3E2C"/>
    <w:rsid w:val="51A27694"/>
    <w:rsid w:val="51A927D1"/>
    <w:rsid w:val="51AE7DE7"/>
    <w:rsid w:val="51B34E7A"/>
    <w:rsid w:val="51BD2325"/>
    <w:rsid w:val="51D00ACA"/>
    <w:rsid w:val="51D30376"/>
    <w:rsid w:val="51D610EC"/>
    <w:rsid w:val="51DC0DF8"/>
    <w:rsid w:val="51E1579C"/>
    <w:rsid w:val="51E732F9"/>
    <w:rsid w:val="51EB103B"/>
    <w:rsid w:val="51F223CA"/>
    <w:rsid w:val="51F779E0"/>
    <w:rsid w:val="51FF6894"/>
    <w:rsid w:val="52020133"/>
    <w:rsid w:val="520D41CD"/>
    <w:rsid w:val="520D64F1"/>
    <w:rsid w:val="521265C8"/>
    <w:rsid w:val="52170A35"/>
    <w:rsid w:val="521A0616"/>
    <w:rsid w:val="521A36CE"/>
    <w:rsid w:val="521A547C"/>
    <w:rsid w:val="521D4F6D"/>
    <w:rsid w:val="521D6D1B"/>
    <w:rsid w:val="5221343F"/>
    <w:rsid w:val="5228116F"/>
    <w:rsid w:val="522B763A"/>
    <w:rsid w:val="523522B6"/>
    <w:rsid w:val="52354064"/>
    <w:rsid w:val="52383B54"/>
    <w:rsid w:val="52410C5B"/>
    <w:rsid w:val="52466271"/>
    <w:rsid w:val="52481FEA"/>
    <w:rsid w:val="525070F0"/>
    <w:rsid w:val="52535C89"/>
    <w:rsid w:val="525F5585"/>
    <w:rsid w:val="52606646"/>
    <w:rsid w:val="52642B9B"/>
    <w:rsid w:val="526553D4"/>
    <w:rsid w:val="52662269"/>
    <w:rsid w:val="52707792"/>
    <w:rsid w:val="52721B97"/>
    <w:rsid w:val="52742DDF"/>
    <w:rsid w:val="52754DA9"/>
    <w:rsid w:val="5277467D"/>
    <w:rsid w:val="527A362B"/>
    <w:rsid w:val="527F36C2"/>
    <w:rsid w:val="528943B0"/>
    <w:rsid w:val="528B5B58"/>
    <w:rsid w:val="528E4E35"/>
    <w:rsid w:val="52954B38"/>
    <w:rsid w:val="52A35472"/>
    <w:rsid w:val="52A5743C"/>
    <w:rsid w:val="52AD52B2"/>
    <w:rsid w:val="52C5188C"/>
    <w:rsid w:val="52CC1D29"/>
    <w:rsid w:val="52D25D57"/>
    <w:rsid w:val="52D33E80"/>
    <w:rsid w:val="52D64DC6"/>
    <w:rsid w:val="52D7336D"/>
    <w:rsid w:val="52D96CF8"/>
    <w:rsid w:val="52E55A8A"/>
    <w:rsid w:val="52F61A46"/>
    <w:rsid w:val="53065A01"/>
    <w:rsid w:val="530879CB"/>
    <w:rsid w:val="530B03CD"/>
    <w:rsid w:val="530C3017"/>
    <w:rsid w:val="531427A3"/>
    <w:rsid w:val="531719BC"/>
    <w:rsid w:val="53210083"/>
    <w:rsid w:val="53234805"/>
    <w:rsid w:val="53285977"/>
    <w:rsid w:val="532E7431"/>
    <w:rsid w:val="532F6D06"/>
    <w:rsid w:val="53310CD0"/>
    <w:rsid w:val="533407C0"/>
    <w:rsid w:val="53346A12"/>
    <w:rsid w:val="533E33EC"/>
    <w:rsid w:val="533F44DF"/>
    <w:rsid w:val="533F6EA0"/>
    <w:rsid w:val="53400F13"/>
    <w:rsid w:val="53446C55"/>
    <w:rsid w:val="534C5B09"/>
    <w:rsid w:val="534F73A8"/>
    <w:rsid w:val="53513120"/>
    <w:rsid w:val="53563C96"/>
    <w:rsid w:val="53566988"/>
    <w:rsid w:val="535D6353"/>
    <w:rsid w:val="53644E8F"/>
    <w:rsid w:val="53672943"/>
    <w:rsid w:val="536C61AC"/>
    <w:rsid w:val="53764934"/>
    <w:rsid w:val="537E5666"/>
    <w:rsid w:val="53826598"/>
    <w:rsid w:val="538C5F06"/>
    <w:rsid w:val="538E6122"/>
    <w:rsid w:val="538F119C"/>
    <w:rsid w:val="538F59F6"/>
    <w:rsid w:val="5392337A"/>
    <w:rsid w:val="53942B34"/>
    <w:rsid w:val="53966D85"/>
    <w:rsid w:val="53A2229D"/>
    <w:rsid w:val="53A3337E"/>
    <w:rsid w:val="53A45945"/>
    <w:rsid w:val="53A56260"/>
    <w:rsid w:val="53A92F5C"/>
    <w:rsid w:val="53AB0A82"/>
    <w:rsid w:val="53B33E09"/>
    <w:rsid w:val="53BA6F17"/>
    <w:rsid w:val="53BB4A3D"/>
    <w:rsid w:val="53BC0116"/>
    <w:rsid w:val="53C733E2"/>
    <w:rsid w:val="53CB5C3E"/>
    <w:rsid w:val="53D224B3"/>
    <w:rsid w:val="53D63625"/>
    <w:rsid w:val="53D77AC9"/>
    <w:rsid w:val="53DD49B3"/>
    <w:rsid w:val="53DE61DE"/>
    <w:rsid w:val="53E60D22"/>
    <w:rsid w:val="53E74ED5"/>
    <w:rsid w:val="53F04C61"/>
    <w:rsid w:val="53F51CFD"/>
    <w:rsid w:val="540262EE"/>
    <w:rsid w:val="54040192"/>
    <w:rsid w:val="54043FB8"/>
    <w:rsid w:val="540463E4"/>
    <w:rsid w:val="54047EF9"/>
    <w:rsid w:val="54071A30"/>
    <w:rsid w:val="54077C82"/>
    <w:rsid w:val="54181E8F"/>
    <w:rsid w:val="54256F44"/>
    <w:rsid w:val="5426635A"/>
    <w:rsid w:val="543C16DA"/>
    <w:rsid w:val="543D5452"/>
    <w:rsid w:val="543E18F6"/>
    <w:rsid w:val="543F11CA"/>
    <w:rsid w:val="54422A68"/>
    <w:rsid w:val="544B5DC1"/>
    <w:rsid w:val="545253A1"/>
    <w:rsid w:val="54596730"/>
    <w:rsid w:val="545A6004"/>
    <w:rsid w:val="545C624B"/>
    <w:rsid w:val="545C7FCE"/>
    <w:rsid w:val="545E3D46"/>
    <w:rsid w:val="54617393"/>
    <w:rsid w:val="54694499"/>
    <w:rsid w:val="546B0211"/>
    <w:rsid w:val="5472334E"/>
    <w:rsid w:val="54770964"/>
    <w:rsid w:val="547A0454"/>
    <w:rsid w:val="547E6196"/>
    <w:rsid w:val="547F1643"/>
    <w:rsid w:val="54866DF9"/>
    <w:rsid w:val="548F2152"/>
    <w:rsid w:val="549239F0"/>
    <w:rsid w:val="549F7EBB"/>
    <w:rsid w:val="54A02118"/>
    <w:rsid w:val="54AF5068"/>
    <w:rsid w:val="54B24092"/>
    <w:rsid w:val="54B46054"/>
    <w:rsid w:val="54B716A8"/>
    <w:rsid w:val="54BC281B"/>
    <w:rsid w:val="54C16083"/>
    <w:rsid w:val="54C3004D"/>
    <w:rsid w:val="54C600BA"/>
    <w:rsid w:val="54C811C0"/>
    <w:rsid w:val="54C94F38"/>
    <w:rsid w:val="54CF69F2"/>
    <w:rsid w:val="54D77655"/>
    <w:rsid w:val="54DD329B"/>
    <w:rsid w:val="54F153B4"/>
    <w:rsid w:val="54F223EE"/>
    <w:rsid w:val="54F2623D"/>
    <w:rsid w:val="55006BAB"/>
    <w:rsid w:val="550541C2"/>
    <w:rsid w:val="55061CA9"/>
    <w:rsid w:val="55061CE8"/>
    <w:rsid w:val="550A7A2A"/>
    <w:rsid w:val="550D4D66"/>
    <w:rsid w:val="550F5041"/>
    <w:rsid w:val="551268DF"/>
    <w:rsid w:val="551B39E5"/>
    <w:rsid w:val="551D779F"/>
    <w:rsid w:val="551E5284"/>
    <w:rsid w:val="55254864"/>
    <w:rsid w:val="5527238A"/>
    <w:rsid w:val="552F7491"/>
    <w:rsid w:val="55306D65"/>
    <w:rsid w:val="55326F81"/>
    <w:rsid w:val="553D3F2D"/>
    <w:rsid w:val="553E0490"/>
    <w:rsid w:val="554F368F"/>
    <w:rsid w:val="55550088"/>
    <w:rsid w:val="55557852"/>
    <w:rsid w:val="555667CB"/>
    <w:rsid w:val="5559450E"/>
    <w:rsid w:val="55607E28"/>
    <w:rsid w:val="5563538C"/>
    <w:rsid w:val="55672B46"/>
    <w:rsid w:val="55713605"/>
    <w:rsid w:val="55734575"/>
    <w:rsid w:val="55782BE6"/>
    <w:rsid w:val="5579591C"/>
    <w:rsid w:val="557D4AFD"/>
    <w:rsid w:val="55841BAC"/>
    <w:rsid w:val="55A25EB5"/>
    <w:rsid w:val="55A32FF3"/>
    <w:rsid w:val="55AE4859"/>
    <w:rsid w:val="55B0795F"/>
    <w:rsid w:val="55C0458D"/>
    <w:rsid w:val="55C20305"/>
    <w:rsid w:val="55CD4B1F"/>
    <w:rsid w:val="55D6790C"/>
    <w:rsid w:val="55DB4154"/>
    <w:rsid w:val="55DD6EED"/>
    <w:rsid w:val="55E1504F"/>
    <w:rsid w:val="55E738C7"/>
    <w:rsid w:val="55E77D6B"/>
    <w:rsid w:val="55E87337"/>
    <w:rsid w:val="55F34962"/>
    <w:rsid w:val="55F466D7"/>
    <w:rsid w:val="55F85AD5"/>
    <w:rsid w:val="56075848"/>
    <w:rsid w:val="561072C2"/>
    <w:rsid w:val="5627460C"/>
    <w:rsid w:val="562960BC"/>
    <w:rsid w:val="562C3A54"/>
    <w:rsid w:val="5633546E"/>
    <w:rsid w:val="563B3C13"/>
    <w:rsid w:val="563E36FF"/>
    <w:rsid w:val="563F3703"/>
    <w:rsid w:val="564151D8"/>
    <w:rsid w:val="564175F1"/>
    <w:rsid w:val="56417C4B"/>
    <w:rsid w:val="56440D1A"/>
    <w:rsid w:val="564451BE"/>
    <w:rsid w:val="56496330"/>
    <w:rsid w:val="564B20A8"/>
    <w:rsid w:val="564B6ED4"/>
    <w:rsid w:val="56502273"/>
    <w:rsid w:val="56503B63"/>
    <w:rsid w:val="56570A4D"/>
    <w:rsid w:val="566040EB"/>
    <w:rsid w:val="566118CC"/>
    <w:rsid w:val="5664316A"/>
    <w:rsid w:val="56647D97"/>
    <w:rsid w:val="56665134"/>
    <w:rsid w:val="56694C24"/>
    <w:rsid w:val="566B62A7"/>
    <w:rsid w:val="566C201F"/>
    <w:rsid w:val="566D64C3"/>
    <w:rsid w:val="566E3FE9"/>
    <w:rsid w:val="566F62EF"/>
    <w:rsid w:val="56792E82"/>
    <w:rsid w:val="56813D1C"/>
    <w:rsid w:val="56861332"/>
    <w:rsid w:val="56890E23"/>
    <w:rsid w:val="5689534B"/>
    <w:rsid w:val="569505BD"/>
    <w:rsid w:val="569577C7"/>
    <w:rsid w:val="569752EE"/>
    <w:rsid w:val="569A4DDE"/>
    <w:rsid w:val="56B55774"/>
    <w:rsid w:val="56BC6CDA"/>
    <w:rsid w:val="56C360E3"/>
    <w:rsid w:val="56D227CA"/>
    <w:rsid w:val="56D7393C"/>
    <w:rsid w:val="56E524FD"/>
    <w:rsid w:val="56ED13B1"/>
    <w:rsid w:val="56F20776"/>
    <w:rsid w:val="56F444EE"/>
    <w:rsid w:val="56F47850"/>
    <w:rsid w:val="56F72230"/>
    <w:rsid w:val="56F7330C"/>
    <w:rsid w:val="56FD0000"/>
    <w:rsid w:val="56FE35BF"/>
    <w:rsid w:val="57081D47"/>
    <w:rsid w:val="57102608"/>
    <w:rsid w:val="57160908"/>
    <w:rsid w:val="571A005F"/>
    <w:rsid w:val="571C3A45"/>
    <w:rsid w:val="572172AD"/>
    <w:rsid w:val="572648C3"/>
    <w:rsid w:val="57272B15"/>
    <w:rsid w:val="57282ED4"/>
    <w:rsid w:val="572F3778"/>
    <w:rsid w:val="57405985"/>
    <w:rsid w:val="574472CC"/>
    <w:rsid w:val="575256B8"/>
    <w:rsid w:val="57546EDB"/>
    <w:rsid w:val="57566F57"/>
    <w:rsid w:val="575B631B"/>
    <w:rsid w:val="575D6537"/>
    <w:rsid w:val="575E5E0B"/>
    <w:rsid w:val="57636ED5"/>
    <w:rsid w:val="576B22D6"/>
    <w:rsid w:val="57713D91"/>
    <w:rsid w:val="57742FA3"/>
    <w:rsid w:val="5774562F"/>
    <w:rsid w:val="577E46FF"/>
    <w:rsid w:val="578566B5"/>
    <w:rsid w:val="5785783C"/>
    <w:rsid w:val="578D1B23"/>
    <w:rsid w:val="57A024A6"/>
    <w:rsid w:val="57A10134"/>
    <w:rsid w:val="57A27CE8"/>
    <w:rsid w:val="57A44166"/>
    <w:rsid w:val="57AF2B0B"/>
    <w:rsid w:val="57B27F05"/>
    <w:rsid w:val="57B328E2"/>
    <w:rsid w:val="57B91294"/>
    <w:rsid w:val="57B95737"/>
    <w:rsid w:val="57C33EC0"/>
    <w:rsid w:val="57C57C38"/>
    <w:rsid w:val="57C77E54"/>
    <w:rsid w:val="57CA34A1"/>
    <w:rsid w:val="57D12A81"/>
    <w:rsid w:val="57E00F16"/>
    <w:rsid w:val="57E24C8E"/>
    <w:rsid w:val="57EE718F"/>
    <w:rsid w:val="57F02763"/>
    <w:rsid w:val="57F10A2D"/>
    <w:rsid w:val="58136BF6"/>
    <w:rsid w:val="58160494"/>
    <w:rsid w:val="581A7F84"/>
    <w:rsid w:val="581D1822"/>
    <w:rsid w:val="581D7A74"/>
    <w:rsid w:val="581F559B"/>
    <w:rsid w:val="58257B78"/>
    <w:rsid w:val="5829466B"/>
    <w:rsid w:val="582B03E3"/>
    <w:rsid w:val="58304C11"/>
    <w:rsid w:val="5834531F"/>
    <w:rsid w:val="58360B36"/>
    <w:rsid w:val="583B614D"/>
    <w:rsid w:val="5842572D"/>
    <w:rsid w:val="584274DB"/>
    <w:rsid w:val="5846521D"/>
    <w:rsid w:val="58490869"/>
    <w:rsid w:val="584A41F8"/>
    <w:rsid w:val="584E5E80"/>
    <w:rsid w:val="585A65D3"/>
    <w:rsid w:val="58607961"/>
    <w:rsid w:val="5862192B"/>
    <w:rsid w:val="586236D9"/>
    <w:rsid w:val="58647451"/>
    <w:rsid w:val="586C6306"/>
    <w:rsid w:val="586E2300"/>
    <w:rsid w:val="5870229A"/>
    <w:rsid w:val="5875165E"/>
    <w:rsid w:val="587A4EC7"/>
    <w:rsid w:val="587A6C75"/>
    <w:rsid w:val="587E2954"/>
    <w:rsid w:val="58833922"/>
    <w:rsid w:val="5883579D"/>
    <w:rsid w:val="58883BC4"/>
    <w:rsid w:val="588C1901"/>
    <w:rsid w:val="58937D37"/>
    <w:rsid w:val="589715D5"/>
    <w:rsid w:val="589C308F"/>
    <w:rsid w:val="58A41F44"/>
    <w:rsid w:val="58AC2AE0"/>
    <w:rsid w:val="58AD0DF8"/>
    <w:rsid w:val="58AE691E"/>
    <w:rsid w:val="58B1518A"/>
    <w:rsid w:val="58B24661"/>
    <w:rsid w:val="58B50975"/>
    <w:rsid w:val="58B73A25"/>
    <w:rsid w:val="58BC17DB"/>
    <w:rsid w:val="58BF0B2C"/>
    <w:rsid w:val="58CD149A"/>
    <w:rsid w:val="58D07FAA"/>
    <w:rsid w:val="58D26AB1"/>
    <w:rsid w:val="58D35C1E"/>
    <w:rsid w:val="58D476E0"/>
    <w:rsid w:val="58DA3BB7"/>
    <w:rsid w:val="58DA5965"/>
    <w:rsid w:val="58DC3DDA"/>
    <w:rsid w:val="58DE5456"/>
    <w:rsid w:val="58F85DEC"/>
    <w:rsid w:val="590429E2"/>
    <w:rsid w:val="59097FF9"/>
    <w:rsid w:val="592B4413"/>
    <w:rsid w:val="593212FE"/>
    <w:rsid w:val="593908DE"/>
    <w:rsid w:val="593F3679"/>
    <w:rsid w:val="594243CD"/>
    <w:rsid w:val="59457283"/>
    <w:rsid w:val="594B23BF"/>
    <w:rsid w:val="594D6137"/>
    <w:rsid w:val="594E7882"/>
    <w:rsid w:val="59584F92"/>
    <w:rsid w:val="595A2602"/>
    <w:rsid w:val="59671525"/>
    <w:rsid w:val="59690710"/>
    <w:rsid w:val="596A669D"/>
    <w:rsid w:val="596D4A2C"/>
    <w:rsid w:val="59727F77"/>
    <w:rsid w:val="59747B68"/>
    <w:rsid w:val="597731B4"/>
    <w:rsid w:val="597B0EF6"/>
    <w:rsid w:val="597E09E7"/>
    <w:rsid w:val="597E215D"/>
    <w:rsid w:val="59861649"/>
    <w:rsid w:val="59970E63"/>
    <w:rsid w:val="59A26483"/>
    <w:rsid w:val="59AF58EE"/>
    <w:rsid w:val="59B2243E"/>
    <w:rsid w:val="59B26362"/>
    <w:rsid w:val="59B46F19"/>
    <w:rsid w:val="59B52CDE"/>
    <w:rsid w:val="59BE0DE3"/>
    <w:rsid w:val="59CF1242"/>
    <w:rsid w:val="59D17F1B"/>
    <w:rsid w:val="59DD395F"/>
    <w:rsid w:val="59DE1485"/>
    <w:rsid w:val="59E52814"/>
    <w:rsid w:val="59F36CDF"/>
    <w:rsid w:val="59F5604A"/>
    <w:rsid w:val="59F5704C"/>
    <w:rsid w:val="59FE7432"/>
    <w:rsid w:val="5A0116A6"/>
    <w:rsid w:val="5A025FF8"/>
    <w:rsid w:val="5A083F27"/>
    <w:rsid w:val="5A0C7EBC"/>
    <w:rsid w:val="5A113609"/>
    <w:rsid w:val="5A143253"/>
    <w:rsid w:val="5A174EA1"/>
    <w:rsid w:val="5A191F5F"/>
    <w:rsid w:val="5A1A1AF5"/>
    <w:rsid w:val="5A272E2C"/>
    <w:rsid w:val="5A292701"/>
    <w:rsid w:val="5A2A3236"/>
    <w:rsid w:val="5A2A6479"/>
    <w:rsid w:val="5A2C3F9F"/>
    <w:rsid w:val="5A2F3A8F"/>
    <w:rsid w:val="5A3612C1"/>
    <w:rsid w:val="5A4532B2"/>
    <w:rsid w:val="5A4C2893"/>
    <w:rsid w:val="5A4D79BC"/>
    <w:rsid w:val="5A53777D"/>
    <w:rsid w:val="5A544D62"/>
    <w:rsid w:val="5A5534F6"/>
    <w:rsid w:val="5A584D94"/>
    <w:rsid w:val="5A5F6122"/>
    <w:rsid w:val="5A6032E5"/>
    <w:rsid w:val="5A673229"/>
    <w:rsid w:val="5A690D4F"/>
    <w:rsid w:val="5A6B0F6B"/>
    <w:rsid w:val="5A6C083F"/>
    <w:rsid w:val="5A722EBF"/>
    <w:rsid w:val="5A731BCE"/>
    <w:rsid w:val="5A736072"/>
    <w:rsid w:val="5A7616BE"/>
    <w:rsid w:val="5A792AB2"/>
    <w:rsid w:val="5A8E07B6"/>
    <w:rsid w:val="5A9658BC"/>
    <w:rsid w:val="5AA2037E"/>
    <w:rsid w:val="5AA224B3"/>
    <w:rsid w:val="5AA45E40"/>
    <w:rsid w:val="5AA61FA3"/>
    <w:rsid w:val="5AA65F0D"/>
    <w:rsid w:val="5AA9356E"/>
    <w:rsid w:val="5AAB1367"/>
    <w:rsid w:val="5AAB6002"/>
    <w:rsid w:val="5AB04BD0"/>
    <w:rsid w:val="5AB20948"/>
    <w:rsid w:val="5ABD72ED"/>
    <w:rsid w:val="5AC42429"/>
    <w:rsid w:val="5AC93EE4"/>
    <w:rsid w:val="5AD22D98"/>
    <w:rsid w:val="5AD308BE"/>
    <w:rsid w:val="5AD44AB6"/>
    <w:rsid w:val="5AD85ED5"/>
    <w:rsid w:val="5ADA39FB"/>
    <w:rsid w:val="5AE40D1D"/>
    <w:rsid w:val="5AE5729C"/>
    <w:rsid w:val="5AE8437A"/>
    <w:rsid w:val="5AEE394A"/>
    <w:rsid w:val="5AEF428F"/>
    <w:rsid w:val="5AF96577"/>
    <w:rsid w:val="5AFC6067"/>
    <w:rsid w:val="5B062A42"/>
    <w:rsid w:val="5B117268"/>
    <w:rsid w:val="5B13515F"/>
    <w:rsid w:val="5B174C4F"/>
    <w:rsid w:val="5B174F47"/>
    <w:rsid w:val="5B1F14E9"/>
    <w:rsid w:val="5B215ACE"/>
    <w:rsid w:val="5B24111A"/>
    <w:rsid w:val="5B2A6DFE"/>
    <w:rsid w:val="5B2F5BD6"/>
    <w:rsid w:val="5B313B2D"/>
    <w:rsid w:val="5B331092"/>
    <w:rsid w:val="5B3752F1"/>
    <w:rsid w:val="5B395EEC"/>
    <w:rsid w:val="5B3A26EB"/>
    <w:rsid w:val="5B3E042E"/>
    <w:rsid w:val="5B430FD1"/>
    <w:rsid w:val="5B4377F2"/>
    <w:rsid w:val="5B4A5024"/>
    <w:rsid w:val="5B4B66A7"/>
    <w:rsid w:val="5B4C1282"/>
    <w:rsid w:val="5B4D0671"/>
    <w:rsid w:val="5B4D20E9"/>
    <w:rsid w:val="5B5E287E"/>
    <w:rsid w:val="5B5F2152"/>
    <w:rsid w:val="5B61236E"/>
    <w:rsid w:val="5B6A7E5A"/>
    <w:rsid w:val="5B7A551A"/>
    <w:rsid w:val="5B800A46"/>
    <w:rsid w:val="5B863B83"/>
    <w:rsid w:val="5B8A3673"/>
    <w:rsid w:val="5B8A5A75"/>
    <w:rsid w:val="5B8A7E0B"/>
    <w:rsid w:val="5B8F47E5"/>
    <w:rsid w:val="5B90055D"/>
    <w:rsid w:val="5B953DC6"/>
    <w:rsid w:val="5B955B74"/>
    <w:rsid w:val="5B97061F"/>
    <w:rsid w:val="5BA34735"/>
    <w:rsid w:val="5BA65FD3"/>
    <w:rsid w:val="5BA87F9D"/>
    <w:rsid w:val="5BA91948"/>
    <w:rsid w:val="5BAF30D9"/>
    <w:rsid w:val="5BB71F8E"/>
    <w:rsid w:val="5BBE0F32"/>
    <w:rsid w:val="5BBE156E"/>
    <w:rsid w:val="5BC621D1"/>
    <w:rsid w:val="5BCD17B1"/>
    <w:rsid w:val="5BCE7A03"/>
    <w:rsid w:val="5BCF552A"/>
    <w:rsid w:val="5BD112A2"/>
    <w:rsid w:val="5BD13050"/>
    <w:rsid w:val="5BD42B40"/>
    <w:rsid w:val="5BD668B8"/>
    <w:rsid w:val="5BD87357"/>
    <w:rsid w:val="5BE508A9"/>
    <w:rsid w:val="5BEF1728"/>
    <w:rsid w:val="5BF136F2"/>
    <w:rsid w:val="5BF154A0"/>
    <w:rsid w:val="5BF94355"/>
    <w:rsid w:val="5BFB00CD"/>
    <w:rsid w:val="5C043425"/>
    <w:rsid w:val="5C0E2FD3"/>
    <w:rsid w:val="5C0F1AD7"/>
    <w:rsid w:val="5C110814"/>
    <w:rsid w:val="5C125416"/>
    <w:rsid w:val="5C1C1489"/>
    <w:rsid w:val="5C1E200D"/>
    <w:rsid w:val="5C207D29"/>
    <w:rsid w:val="5C25339C"/>
    <w:rsid w:val="5C277114"/>
    <w:rsid w:val="5C2A2760"/>
    <w:rsid w:val="5C2A6C04"/>
    <w:rsid w:val="5C2F1CE3"/>
    <w:rsid w:val="5C3655A9"/>
    <w:rsid w:val="5C3830CF"/>
    <w:rsid w:val="5C392FF7"/>
    <w:rsid w:val="5C3E620B"/>
    <w:rsid w:val="5C401F83"/>
    <w:rsid w:val="5C403D31"/>
    <w:rsid w:val="5C446120"/>
    <w:rsid w:val="5C487FF6"/>
    <w:rsid w:val="5C49708A"/>
    <w:rsid w:val="5C4B1054"/>
    <w:rsid w:val="5C4C26D6"/>
    <w:rsid w:val="5C515F3F"/>
    <w:rsid w:val="5C702869"/>
    <w:rsid w:val="5C7B08EC"/>
    <w:rsid w:val="5C7D31D8"/>
    <w:rsid w:val="5C8005D2"/>
    <w:rsid w:val="5C806824"/>
    <w:rsid w:val="5C814A76"/>
    <w:rsid w:val="5C841E70"/>
    <w:rsid w:val="5C846314"/>
    <w:rsid w:val="5C86208C"/>
    <w:rsid w:val="5C8C33F3"/>
    <w:rsid w:val="5C910A31"/>
    <w:rsid w:val="5C912AD3"/>
    <w:rsid w:val="5C930305"/>
    <w:rsid w:val="5C9B365E"/>
    <w:rsid w:val="5C9F4EFC"/>
    <w:rsid w:val="5CAD6132"/>
    <w:rsid w:val="5CB85FBE"/>
    <w:rsid w:val="5CBA37D5"/>
    <w:rsid w:val="5CBC0CD0"/>
    <w:rsid w:val="5CBC5AAE"/>
    <w:rsid w:val="5CC74453"/>
    <w:rsid w:val="5CCA2272"/>
    <w:rsid w:val="5CD728E8"/>
    <w:rsid w:val="5CEE7C31"/>
    <w:rsid w:val="5CF0225B"/>
    <w:rsid w:val="5CF36FF6"/>
    <w:rsid w:val="5CF772D0"/>
    <w:rsid w:val="5D02548B"/>
    <w:rsid w:val="5D131446"/>
    <w:rsid w:val="5D1458EA"/>
    <w:rsid w:val="5D261179"/>
    <w:rsid w:val="5D2C2DE7"/>
    <w:rsid w:val="5D2C3FDA"/>
    <w:rsid w:val="5D301FF8"/>
    <w:rsid w:val="5D3078A7"/>
    <w:rsid w:val="5D347D3A"/>
    <w:rsid w:val="5D3A6B95"/>
    <w:rsid w:val="5D3F63CF"/>
    <w:rsid w:val="5D3F6DF8"/>
    <w:rsid w:val="5D490595"/>
    <w:rsid w:val="5D4B5084"/>
    <w:rsid w:val="5D4D517E"/>
    <w:rsid w:val="5D4E0349"/>
    <w:rsid w:val="5D4E247E"/>
    <w:rsid w:val="5D537A94"/>
    <w:rsid w:val="5D5E0913"/>
    <w:rsid w:val="5D6323CD"/>
    <w:rsid w:val="5D663C6C"/>
    <w:rsid w:val="5D6D6DA8"/>
    <w:rsid w:val="5D6F6C11"/>
    <w:rsid w:val="5D704AEA"/>
    <w:rsid w:val="5D720862"/>
    <w:rsid w:val="5D72765A"/>
    <w:rsid w:val="5D755C5D"/>
    <w:rsid w:val="5D83037A"/>
    <w:rsid w:val="5D845EA0"/>
    <w:rsid w:val="5D8E72CD"/>
    <w:rsid w:val="5D914036"/>
    <w:rsid w:val="5D916C44"/>
    <w:rsid w:val="5D931564"/>
    <w:rsid w:val="5D9600A9"/>
    <w:rsid w:val="5DAF5613"/>
    <w:rsid w:val="5DBC388C"/>
    <w:rsid w:val="5DC42740"/>
    <w:rsid w:val="5DC47A95"/>
    <w:rsid w:val="5DC82230"/>
    <w:rsid w:val="5DCA09A3"/>
    <w:rsid w:val="5DCA30CB"/>
    <w:rsid w:val="5DD80D6D"/>
    <w:rsid w:val="5DD92690"/>
    <w:rsid w:val="5DD9443E"/>
    <w:rsid w:val="5DE132F2"/>
    <w:rsid w:val="5DEA21A7"/>
    <w:rsid w:val="5DFB43B4"/>
    <w:rsid w:val="5DFC3365"/>
    <w:rsid w:val="5DFD06C9"/>
    <w:rsid w:val="5DFD224D"/>
    <w:rsid w:val="5E005E6E"/>
    <w:rsid w:val="5E012292"/>
    <w:rsid w:val="5E056FE1"/>
    <w:rsid w:val="5E08087F"/>
    <w:rsid w:val="5E13008D"/>
    <w:rsid w:val="5E134804"/>
    <w:rsid w:val="5E1C432A"/>
    <w:rsid w:val="5E1E4546"/>
    <w:rsid w:val="5E226C75"/>
    <w:rsid w:val="5E2376F0"/>
    <w:rsid w:val="5E24096A"/>
    <w:rsid w:val="5E2A4C99"/>
    <w:rsid w:val="5E2E29DB"/>
    <w:rsid w:val="5E2E7DDC"/>
    <w:rsid w:val="5E323267"/>
    <w:rsid w:val="5E391380"/>
    <w:rsid w:val="5E435D5B"/>
    <w:rsid w:val="5E437B09"/>
    <w:rsid w:val="5E4F4700"/>
    <w:rsid w:val="5E5341F0"/>
    <w:rsid w:val="5E543AC4"/>
    <w:rsid w:val="5E602469"/>
    <w:rsid w:val="5E624433"/>
    <w:rsid w:val="5E6C3504"/>
    <w:rsid w:val="5E70077B"/>
    <w:rsid w:val="5E710B1A"/>
    <w:rsid w:val="5E744166"/>
    <w:rsid w:val="5E7B138A"/>
    <w:rsid w:val="5E7E05A8"/>
    <w:rsid w:val="5E8343A9"/>
    <w:rsid w:val="5E8D407E"/>
    <w:rsid w:val="5E923538"/>
    <w:rsid w:val="5E9367AF"/>
    <w:rsid w:val="5E945FB1"/>
    <w:rsid w:val="5E9842F9"/>
    <w:rsid w:val="5E9B16F3"/>
    <w:rsid w:val="5EA44A4C"/>
    <w:rsid w:val="5EA54320"/>
    <w:rsid w:val="5EB6477F"/>
    <w:rsid w:val="5EB804F7"/>
    <w:rsid w:val="5EC41734"/>
    <w:rsid w:val="5EC647D8"/>
    <w:rsid w:val="5ECA3D86"/>
    <w:rsid w:val="5ECB022A"/>
    <w:rsid w:val="5ECE1AC8"/>
    <w:rsid w:val="5ED1434E"/>
    <w:rsid w:val="5ED46D7C"/>
    <w:rsid w:val="5EE237C6"/>
    <w:rsid w:val="5EE44E48"/>
    <w:rsid w:val="5EE578F7"/>
    <w:rsid w:val="5EEC01A1"/>
    <w:rsid w:val="5EF20CBE"/>
    <w:rsid w:val="5EF62DCD"/>
    <w:rsid w:val="5EF744FF"/>
    <w:rsid w:val="5EF91B98"/>
    <w:rsid w:val="5EFA0BD9"/>
    <w:rsid w:val="5F092B01"/>
    <w:rsid w:val="5F0A5107"/>
    <w:rsid w:val="5F0D0843"/>
    <w:rsid w:val="5F1119B5"/>
    <w:rsid w:val="5F1F168D"/>
    <w:rsid w:val="5F221E14"/>
    <w:rsid w:val="5F285AE4"/>
    <w:rsid w:val="5F2931A3"/>
    <w:rsid w:val="5F2E2567"/>
    <w:rsid w:val="5F322057"/>
    <w:rsid w:val="5F35040D"/>
    <w:rsid w:val="5F3E6C4E"/>
    <w:rsid w:val="5F44577A"/>
    <w:rsid w:val="5F4E6765"/>
    <w:rsid w:val="5F5244A8"/>
    <w:rsid w:val="5F546603"/>
    <w:rsid w:val="5F557AF4"/>
    <w:rsid w:val="5F622211"/>
    <w:rsid w:val="5F637A8D"/>
    <w:rsid w:val="5F683CCB"/>
    <w:rsid w:val="5F6B37BB"/>
    <w:rsid w:val="5F775CBC"/>
    <w:rsid w:val="5F7C7776"/>
    <w:rsid w:val="5F7F2DC3"/>
    <w:rsid w:val="5F811044"/>
    <w:rsid w:val="5F832A75"/>
    <w:rsid w:val="5F864151"/>
    <w:rsid w:val="5F88611B"/>
    <w:rsid w:val="5F8921D2"/>
    <w:rsid w:val="5F895777"/>
    <w:rsid w:val="5F8B3350"/>
    <w:rsid w:val="5F93061C"/>
    <w:rsid w:val="5F962316"/>
    <w:rsid w:val="5F981EAB"/>
    <w:rsid w:val="5F991742"/>
    <w:rsid w:val="5F9E149B"/>
    <w:rsid w:val="5FA016B7"/>
    <w:rsid w:val="5FA35EAE"/>
    <w:rsid w:val="5FA36AB1"/>
    <w:rsid w:val="5FA75A8E"/>
    <w:rsid w:val="5FA97E40"/>
    <w:rsid w:val="5FAB005C"/>
    <w:rsid w:val="5FAB3BB8"/>
    <w:rsid w:val="5FC52ECB"/>
    <w:rsid w:val="5FCC24AC"/>
    <w:rsid w:val="5FCC2839"/>
    <w:rsid w:val="5FDC1FC3"/>
    <w:rsid w:val="5FDE21DF"/>
    <w:rsid w:val="5FE86BBA"/>
    <w:rsid w:val="5FED2422"/>
    <w:rsid w:val="5FF20664"/>
    <w:rsid w:val="5FF23595"/>
    <w:rsid w:val="5FF7504F"/>
    <w:rsid w:val="5FFF7C33"/>
    <w:rsid w:val="60065292"/>
    <w:rsid w:val="600B1271"/>
    <w:rsid w:val="600D4872"/>
    <w:rsid w:val="60116111"/>
    <w:rsid w:val="60121E89"/>
    <w:rsid w:val="601654D5"/>
    <w:rsid w:val="6017124D"/>
    <w:rsid w:val="60183580"/>
    <w:rsid w:val="60261490"/>
    <w:rsid w:val="602816AC"/>
    <w:rsid w:val="602F2A3B"/>
    <w:rsid w:val="602F6597"/>
    <w:rsid w:val="60310B6E"/>
    <w:rsid w:val="60351B3D"/>
    <w:rsid w:val="604557D9"/>
    <w:rsid w:val="604740BC"/>
    <w:rsid w:val="60477D84"/>
    <w:rsid w:val="6051650D"/>
    <w:rsid w:val="60516DAD"/>
    <w:rsid w:val="605361DC"/>
    <w:rsid w:val="60593313"/>
    <w:rsid w:val="605B55DE"/>
    <w:rsid w:val="606502A8"/>
    <w:rsid w:val="606821DE"/>
    <w:rsid w:val="606C77EB"/>
    <w:rsid w:val="606D5311"/>
    <w:rsid w:val="6074044E"/>
    <w:rsid w:val="607F098D"/>
    <w:rsid w:val="6085265B"/>
    <w:rsid w:val="608A5EC3"/>
    <w:rsid w:val="608D150F"/>
    <w:rsid w:val="60917251"/>
    <w:rsid w:val="60A03FB7"/>
    <w:rsid w:val="60A2320D"/>
    <w:rsid w:val="60A90EDA"/>
    <w:rsid w:val="60B151FE"/>
    <w:rsid w:val="60B16A2C"/>
    <w:rsid w:val="60BB42CE"/>
    <w:rsid w:val="60C03693"/>
    <w:rsid w:val="60C2740B"/>
    <w:rsid w:val="60C34F31"/>
    <w:rsid w:val="60C413D5"/>
    <w:rsid w:val="60C50CA9"/>
    <w:rsid w:val="60C70EC5"/>
    <w:rsid w:val="60CC785D"/>
    <w:rsid w:val="60DA29A7"/>
    <w:rsid w:val="60DB671F"/>
    <w:rsid w:val="60E20F9A"/>
    <w:rsid w:val="60E43825"/>
    <w:rsid w:val="60F577E0"/>
    <w:rsid w:val="60FF240D"/>
    <w:rsid w:val="61016185"/>
    <w:rsid w:val="610B0DB2"/>
    <w:rsid w:val="61120392"/>
    <w:rsid w:val="6118702B"/>
    <w:rsid w:val="611C2FBF"/>
    <w:rsid w:val="61202EDB"/>
    <w:rsid w:val="61227EAA"/>
    <w:rsid w:val="6124191F"/>
    <w:rsid w:val="612511DF"/>
    <w:rsid w:val="61302209"/>
    <w:rsid w:val="613025C6"/>
    <w:rsid w:val="613320B7"/>
    <w:rsid w:val="613A3445"/>
    <w:rsid w:val="613E2E8D"/>
    <w:rsid w:val="614147D4"/>
    <w:rsid w:val="61475B62"/>
    <w:rsid w:val="614B11AE"/>
    <w:rsid w:val="615025AE"/>
    <w:rsid w:val="6151078F"/>
    <w:rsid w:val="61573869"/>
    <w:rsid w:val="615A7643"/>
    <w:rsid w:val="61632C2C"/>
    <w:rsid w:val="61677FB2"/>
    <w:rsid w:val="6171096B"/>
    <w:rsid w:val="61750921"/>
    <w:rsid w:val="617C1CB0"/>
    <w:rsid w:val="617C3AF6"/>
    <w:rsid w:val="617F52FC"/>
    <w:rsid w:val="61930DA7"/>
    <w:rsid w:val="619D5782"/>
    <w:rsid w:val="61A30FEA"/>
    <w:rsid w:val="61A66D2D"/>
    <w:rsid w:val="61AD3F9D"/>
    <w:rsid w:val="61B054B5"/>
    <w:rsid w:val="61B158E9"/>
    <w:rsid w:val="61BD7BD2"/>
    <w:rsid w:val="61C827FF"/>
    <w:rsid w:val="61D405F2"/>
    <w:rsid w:val="61D70C94"/>
    <w:rsid w:val="61D94A0C"/>
    <w:rsid w:val="61DC6C34"/>
    <w:rsid w:val="61DE64C6"/>
    <w:rsid w:val="61DF7FF8"/>
    <w:rsid w:val="61E457C0"/>
    <w:rsid w:val="61F71336"/>
    <w:rsid w:val="61FA0D2D"/>
    <w:rsid w:val="620121B5"/>
    <w:rsid w:val="62033520"/>
    <w:rsid w:val="620677CB"/>
    <w:rsid w:val="620A1069"/>
    <w:rsid w:val="620F042E"/>
    <w:rsid w:val="6211064A"/>
    <w:rsid w:val="62126170"/>
    <w:rsid w:val="621C2B4B"/>
    <w:rsid w:val="622342CB"/>
    <w:rsid w:val="62261C1B"/>
    <w:rsid w:val="622B7232"/>
    <w:rsid w:val="622C2116"/>
    <w:rsid w:val="622D4D58"/>
    <w:rsid w:val="6231670D"/>
    <w:rsid w:val="62350B41"/>
    <w:rsid w:val="62383234"/>
    <w:rsid w:val="623936FD"/>
    <w:rsid w:val="623B56C7"/>
    <w:rsid w:val="623E51B7"/>
    <w:rsid w:val="624520A2"/>
    <w:rsid w:val="6247406C"/>
    <w:rsid w:val="624A76B8"/>
    <w:rsid w:val="624B60B8"/>
    <w:rsid w:val="624D53FA"/>
    <w:rsid w:val="625247BE"/>
    <w:rsid w:val="62540537"/>
    <w:rsid w:val="625C73EB"/>
    <w:rsid w:val="62600B75"/>
    <w:rsid w:val="62614A02"/>
    <w:rsid w:val="626F35C2"/>
    <w:rsid w:val="627110E9"/>
    <w:rsid w:val="62715EB0"/>
    <w:rsid w:val="627961EF"/>
    <w:rsid w:val="627E55B4"/>
    <w:rsid w:val="628801E0"/>
    <w:rsid w:val="628E2720"/>
    <w:rsid w:val="629372B1"/>
    <w:rsid w:val="62943029"/>
    <w:rsid w:val="629628FD"/>
    <w:rsid w:val="629D1EDE"/>
    <w:rsid w:val="62A0537C"/>
    <w:rsid w:val="62A56FE4"/>
    <w:rsid w:val="62A74B0A"/>
    <w:rsid w:val="62AD7C47"/>
    <w:rsid w:val="62B114E5"/>
    <w:rsid w:val="62C40A68"/>
    <w:rsid w:val="62CE2FA5"/>
    <w:rsid w:val="62D64833"/>
    <w:rsid w:val="62DB5454"/>
    <w:rsid w:val="62DF7500"/>
    <w:rsid w:val="62E55633"/>
    <w:rsid w:val="62E56F5D"/>
    <w:rsid w:val="62E719AA"/>
    <w:rsid w:val="62F04EC6"/>
    <w:rsid w:val="62F31AFE"/>
    <w:rsid w:val="62F45876"/>
    <w:rsid w:val="62FD297C"/>
    <w:rsid w:val="630930CF"/>
    <w:rsid w:val="63097573"/>
    <w:rsid w:val="63155F18"/>
    <w:rsid w:val="631657EC"/>
    <w:rsid w:val="63171420"/>
    <w:rsid w:val="63212B0F"/>
    <w:rsid w:val="63247F09"/>
    <w:rsid w:val="63280FF6"/>
    <w:rsid w:val="632E0D88"/>
    <w:rsid w:val="63304B00"/>
    <w:rsid w:val="633640E0"/>
    <w:rsid w:val="63387E58"/>
    <w:rsid w:val="6339083A"/>
    <w:rsid w:val="633B16F7"/>
    <w:rsid w:val="633F4D43"/>
    <w:rsid w:val="63422A85"/>
    <w:rsid w:val="63442359"/>
    <w:rsid w:val="634C56B2"/>
    <w:rsid w:val="634F1D9E"/>
    <w:rsid w:val="635263D8"/>
    <w:rsid w:val="63531A7D"/>
    <w:rsid w:val="63583D36"/>
    <w:rsid w:val="635D166D"/>
    <w:rsid w:val="635D341B"/>
    <w:rsid w:val="63663566"/>
    <w:rsid w:val="63666773"/>
    <w:rsid w:val="63682DCB"/>
    <w:rsid w:val="63685ED2"/>
    <w:rsid w:val="636B1FDC"/>
    <w:rsid w:val="63730E90"/>
    <w:rsid w:val="63750765"/>
    <w:rsid w:val="637F327F"/>
    <w:rsid w:val="637F5EFE"/>
    <w:rsid w:val="63860BC4"/>
    <w:rsid w:val="638C5AAE"/>
    <w:rsid w:val="638F2616"/>
    <w:rsid w:val="63987CAB"/>
    <w:rsid w:val="63A23524"/>
    <w:rsid w:val="63A92B04"/>
    <w:rsid w:val="63B15692"/>
    <w:rsid w:val="63B26818"/>
    <w:rsid w:val="63B514A9"/>
    <w:rsid w:val="63B53257"/>
    <w:rsid w:val="63B76FCF"/>
    <w:rsid w:val="63BA086D"/>
    <w:rsid w:val="63BB6421"/>
    <w:rsid w:val="63C65464"/>
    <w:rsid w:val="63C82F8A"/>
    <w:rsid w:val="63D556A7"/>
    <w:rsid w:val="63DA184F"/>
    <w:rsid w:val="63DD630A"/>
    <w:rsid w:val="63E1404C"/>
    <w:rsid w:val="63E61662"/>
    <w:rsid w:val="63E91153"/>
    <w:rsid w:val="63E94CAF"/>
    <w:rsid w:val="63EB6C79"/>
    <w:rsid w:val="63F277E9"/>
    <w:rsid w:val="63F95441"/>
    <w:rsid w:val="63FF1670"/>
    <w:rsid w:val="63FF23D3"/>
    <w:rsid w:val="64047D3A"/>
    <w:rsid w:val="64055F8C"/>
    <w:rsid w:val="64061D04"/>
    <w:rsid w:val="640B2A07"/>
    <w:rsid w:val="640D22D6"/>
    <w:rsid w:val="64104931"/>
    <w:rsid w:val="641425A0"/>
    <w:rsid w:val="64153CF6"/>
    <w:rsid w:val="6416019A"/>
    <w:rsid w:val="641712CE"/>
    <w:rsid w:val="64177A6E"/>
    <w:rsid w:val="641F230D"/>
    <w:rsid w:val="64200E4F"/>
    <w:rsid w:val="6421798E"/>
    <w:rsid w:val="64283A29"/>
    <w:rsid w:val="642E49EA"/>
    <w:rsid w:val="642F3009"/>
    <w:rsid w:val="64354398"/>
    <w:rsid w:val="643C74D4"/>
    <w:rsid w:val="643E4FFA"/>
    <w:rsid w:val="643F390D"/>
    <w:rsid w:val="64437AD9"/>
    <w:rsid w:val="64462101"/>
    <w:rsid w:val="64494212"/>
    <w:rsid w:val="644A7E43"/>
    <w:rsid w:val="644E1643"/>
    <w:rsid w:val="64515E31"/>
    <w:rsid w:val="645A5BAC"/>
    <w:rsid w:val="645A795A"/>
    <w:rsid w:val="645E569D"/>
    <w:rsid w:val="647153D0"/>
    <w:rsid w:val="64721148"/>
    <w:rsid w:val="64760C38"/>
    <w:rsid w:val="64763953"/>
    <w:rsid w:val="64803865"/>
    <w:rsid w:val="64835103"/>
    <w:rsid w:val="64857FA9"/>
    <w:rsid w:val="648669A1"/>
    <w:rsid w:val="648A46E4"/>
    <w:rsid w:val="64947310"/>
    <w:rsid w:val="649D65BE"/>
    <w:rsid w:val="649E018F"/>
    <w:rsid w:val="64A357A5"/>
    <w:rsid w:val="64A71A33"/>
    <w:rsid w:val="64AD2180"/>
    <w:rsid w:val="64C00105"/>
    <w:rsid w:val="64C002CD"/>
    <w:rsid w:val="64C01EB3"/>
    <w:rsid w:val="64C37BF6"/>
    <w:rsid w:val="64D63485"/>
    <w:rsid w:val="64DB0A9B"/>
    <w:rsid w:val="64DB6CED"/>
    <w:rsid w:val="64E536C8"/>
    <w:rsid w:val="64EA5182"/>
    <w:rsid w:val="64EB5977"/>
    <w:rsid w:val="64EC081F"/>
    <w:rsid w:val="64F102BF"/>
    <w:rsid w:val="64F36A43"/>
    <w:rsid w:val="64FC03CA"/>
    <w:rsid w:val="65053D6A"/>
    <w:rsid w:val="651F7CFD"/>
    <w:rsid w:val="652C0CB8"/>
    <w:rsid w:val="65340DFB"/>
    <w:rsid w:val="65362175"/>
    <w:rsid w:val="653A1C66"/>
    <w:rsid w:val="653A1E7A"/>
    <w:rsid w:val="653B59DE"/>
    <w:rsid w:val="653F19D0"/>
    <w:rsid w:val="653F4261"/>
    <w:rsid w:val="6545060B"/>
    <w:rsid w:val="6545683A"/>
    <w:rsid w:val="65491EA9"/>
    <w:rsid w:val="654E5711"/>
    <w:rsid w:val="65524346"/>
    <w:rsid w:val="655B7E2E"/>
    <w:rsid w:val="655D5954"/>
    <w:rsid w:val="655E6EE4"/>
    <w:rsid w:val="65600494"/>
    <w:rsid w:val="65675C6E"/>
    <w:rsid w:val="6569582C"/>
    <w:rsid w:val="65766A16"/>
    <w:rsid w:val="657F0565"/>
    <w:rsid w:val="65847385"/>
    <w:rsid w:val="6589499B"/>
    <w:rsid w:val="658A426F"/>
    <w:rsid w:val="658E6328"/>
    <w:rsid w:val="65913850"/>
    <w:rsid w:val="6592787A"/>
    <w:rsid w:val="659642BC"/>
    <w:rsid w:val="65A96DEB"/>
    <w:rsid w:val="65AA7F0D"/>
    <w:rsid w:val="65B01F28"/>
    <w:rsid w:val="65B2547C"/>
    <w:rsid w:val="65B266FE"/>
    <w:rsid w:val="65B574C0"/>
    <w:rsid w:val="65B80DDC"/>
    <w:rsid w:val="65BC08CD"/>
    <w:rsid w:val="65BC6B1F"/>
    <w:rsid w:val="65C14BBC"/>
    <w:rsid w:val="65C459D3"/>
    <w:rsid w:val="65C77271"/>
    <w:rsid w:val="65CC211B"/>
    <w:rsid w:val="65CC6636"/>
    <w:rsid w:val="65CD2ADA"/>
    <w:rsid w:val="65D5198E"/>
    <w:rsid w:val="65D774B5"/>
    <w:rsid w:val="65DC0F6F"/>
    <w:rsid w:val="65DC2D1D"/>
    <w:rsid w:val="65DE684E"/>
    <w:rsid w:val="65DF5450"/>
    <w:rsid w:val="65E47FE5"/>
    <w:rsid w:val="65E9543A"/>
    <w:rsid w:val="65FA13F5"/>
    <w:rsid w:val="660109D5"/>
    <w:rsid w:val="6603588E"/>
    <w:rsid w:val="660B3602"/>
    <w:rsid w:val="66172DB0"/>
    <w:rsid w:val="661B3B4A"/>
    <w:rsid w:val="662723A4"/>
    <w:rsid w:val="6628789A"/>
    <w:rsid w:val="662B0582"/>
    <w:rsid w:val="662C6BF1"/>
    <w:rsid w:val="663366B5"/>
    <w:rsid w:val="6635067F"/>
    <w:rsid w:val="66456B14"/>
    <w:rsid w:val="664851D1"/>
    <w:rsid w:val="66507267"/>
    <w:rsid w:val="6655523D"/>
    <w:rsid w:val="666B22F3"/>
    <w:rsid w:val="666F593F"/>
    <w:rsid w:val="66700141"/>
    <w:rsid w:val="6672364C"/>
    <w:rsid w:val="667473F9"/>
    <w:rsid w:val="66761C7D"/>
    <w:rsid w:val="66794A10"/>
    <w:rsid w:val="66823B40"/>
    <w:rsid w:val="668718AC"/>
    <w:rsid w:val="668D04BB"/>
    <w:rsid w:val="669058B5"/>
    <w:rsid w:val="669453A6"/>
    <w:rsid w:val="669929BC"/>
    <w:rsid w:val="66AA2E1B"/>
    <w:rsid w:val="66AC783F"/>
    <w:rsid w:val="66AD290B"/>
    <w:rsid w:val="66B43C9A"/>
    <w:rsid w:val="66BB5028"/>
    <w:rsid w:val="66BD1969"/>
    <w:rsid w:val="66BE5B84"/>
    <w:rsid w:val="66C90863"/>
    <w:rsid w:val="66D35BE1"/>
    <w:rsid w:val="66DC1BAE"/>
    <w:rsid w:val="66E300DB"/>
    <w:rsid w:val="66E3351B"/>
    <w:rsid w:val="66E75E1D"/>
    <w:rsid w:val="66F75934"/>
    <w:rsid w:val="67095D94"/>
    <w:rsid w:val="67112E9A"/>
    <w:rsid w:val="671309C0"/>
    <w:rsid w:val="671B5AC7"/>
    <w:rsid w:val="671B7875"/>
    <w:rsid w:val="671C049D"/>
    <w:rsid w:val="671F55B7"/>
    <w:rsid w:val="67336D2D"/>
    <w:rsid w:val="67351F2C"/>
    <w:rsid w:val="67380715"/>
    <w:rsid w:val="673D2CB7"/>
    <w:rsid w:val="673D3C8F"/>
    <w:rsid w:val="67403A84"/>
    <w:rsid w:val="67430B73"/>
    <w:rsid w:val="67434155"/>
    <w:rsid w:val="67486190"/>
    <w:rsid w:val="674A015A"/>
    <w:rsid w:val="674C5C80"/>
    <w:rsid w:val="67513297"/>
    <w:rsid w:val="6753700F"/>
    <w:rsid w:val="675B27E4"/>
    <w:rsid w:val="675E59B4"/>
    <w:rsid w:val="675F76DF"/>
    <w:rsid w:val="67674868"/>
    <w:rsid w:val="6769250E"/>
    <w:rsid w:val="676F196F"/>
    <w:rsid w:val="6773145F"/>
    <w:rsid w:val="67784CC7"/>
    <w:rsid w:val="677B47B7"/>
    <w:rsid w:val="677F6056"/>
    <w:rsid w:val="6787315C"/>
    <w:rsid w:val="67892A30"/>
    <w:rsid w:val="678A67A9"/>
    <w:rsid w:val="679118E5"/>
    <w:rsid w:val="67945332"/>
    <w:rsid w:val="67966EFB"/>
    <w:rsid w:val="679B334F"/>
    <w:rsid w:val="67AB6E4B"/>
    <w:rsid w:val="67AC2BC3"/>
    <w:rsid w:val="67AC4971"/>
    <w:rsid w:val="67B37AAD"/>
    <w:rsid w:val="67B51A77"/>
    <w:rsid w:val="67B6759E"/>
    <w:rsid w:val="67C27CF0"/>
    <w:rsid w:val="67C47F0C"/>
    <w:rsid w:val="67C73559"/>
    <w:rsid w:val="67CA5017"/>
    <w:rsid w:val="67DF42D7"/>
    <w:rsid w:val="67E17915"/>
    <w:rsid w:val="67E97973"/>
    <w:rsid w:val="67EB36EB"/>
    <w:rsid w:val="67EE4F89"/>
    <w:rsid w:val="67F32B5E"/>
    <w:rsid w:val="67F87BB6"/>
    <w:rsid w:val="67FF0F45"/>
    <w:rsid w:val="68071723"/>
    <w:rsid w:val="680B5B3B"/>
    <w:rsid w:val="68112A26"/>
    <w:rsid w:val="68142C42"/>
    <w:rsid w:val="6817628E"/>
    <w:rsid w:val="681D761D"/>
    <w:rsid w:val="68264723"/>
    <w:rsid w:val="682816DB"/>
    <w:rsid w:val="68297D70"/>
    <w:rsid w:val="682D2446"/>
    <w:rsid w:val="68307BE6"/>
    <w:rsid w:val="68324E76"/>
    <w:rsid w:val="68330BEE"/>
    <w:rsid w:val="68420E31"/>
    <w:rsid w:val="68466B73"/>
    <w:rsid w:val="6855451E"/>
    <w:rsid w:val="68570D81"/>
    <w:rsid w:val="687339C1"/>
    <w:rsid w:val="6874548F"/>
    <w:rsid w:val="68761A0D"/>
    <w:rsid w:val="687731D1"/>
    <w:rsid w:val="688356D2"/>
    <w:rsid w:val="6884144A"/>
    <w:rsid w:val="688431F8"/>
    <w:rsid w:val="688A2E98"/>
    <w:rsid w:val="6897117D"/>
    <w:rsid w:val="689C49E5"/>
    <w:rsid w:val="68A324B8"/>
    <w:rsid w:val="68A35D74"/>
    <w:rsid w:val="68A37B22"/>
    <w:rsid w:val="68A76C8B"/>
    <w:rsid w:val="68AB31C8"/>
    <w:rsid w:val="68BB30BE"/>
    <w:rsid w:val="68BC67E4"/>
    <w:rsid w:val="68BE0BFC"/>
    <w:rsid w:val="68BE7D5D"/>
    <w:rsid w:val="68C161FA"/>
    <w:rsid w:val="68C77CB4"/>
    <w:rsid w:val="68D67EF7"/>
    <w:rsid w:val="68DB3760"/>
    <w:rsid w:val="68E1064A"/>
    <w:rsid w:val="68E5013A"/>
    <w:rsid w:val="68EC771B"/>
    <w:rsid w:val="68ED3493"/>
    <w:rsid w:val="68F4037D"/>
    <w:rsid w:val="69081541"/>
    <w:rsid w:val="6908207B"/>
    <w:rsid w:val="690F3409"/>
    <w:rsid w:val="691300EE"/>
    <w:rsid w:val="691E53FA"/>
    <w:rsid w:val="692A3D9F"/>
    <w:rsid w:val="692E7D33"/>
    <w:rsid w:val="692F25A0"/>
    <w:rsid w:val="692F585A"/>
    <w:rsid w:val="693B02A9"/>
    <w:rsid w:val="693B7D5A"/>
    <w:rsid w:val="69401815"/>
    <w:rsid w:val="69407A67"/>
    <w:rsid w:val="694A61EF"/>
    <w:rsid w:val="694C640B"/>
    <w:rsid w:val="694F6515"/>
    <w:rsid w:val="695452C0"/>
    <w:rsid w:val="69561038"/>
    <w:rsid w:val="695C3D4C"/>
    <w:rsid w:val="696278F8"/>
    <w:rsid w:val="69674FF3"/>
    <w:rsid w:val="696B5066"/>
    <w:rsid w:val="6974195C"/>
    <w:rsid w:val="69750D65"/>
    <w:rsid w:val="69780FAF"/>
    <w:rsid w:val="69781B4C"/>
    <w:rsid w:val="698536CB"/>
    <w:rsid w:val="698711F2"/>
    <w:rsid w:val="698A6F34"/>
    <w:rsid w:val="698E432E"/>
    <w:rsid w:val="699102C2"/>
    <w:rsid w:val="699658D9"/>
    <w:rsid w:val="699723BA"/>
    <w:rsid w:val="699B6A4B"/>
    <w:rsid w:val="699D116B"/>
    <w:rsid w:val="699F5212"/>
    <w:rsid w:val="69AE063C"/>
    <w:rsid w:val="69B01856"/>
    <w:rsid w:val="69B33D95"/>
    <w:rsid w:val="69B74954"/>
    <w:rsid w:val="69C04704"/>
    <w:rsid w:val="69C77840"/>
    <w:rsid w:val="69CC30A8"/>
    <w:rsid w:val="69D02B99"/>
    <w:rsid w:val="69DD2C01"/>
    <w:rsid w:val="69E1611D"/>
    <w:rsid w:val="69E219E8"/>
    <w:rsid w:val="69E403F2"/>
    <w:rsid w:val="69E464FF"/>
    <w:rsid w:val="69EA352F"/>
    <w:rsid w:val="69EC374B"/>
    <w:rsid w:val="69EF591D"/>
    <w:rsid w:val="69F10D61"/>
    <w:rsid w:val="69F34AD9"/>
    <w:rsid w:val="69F543AD"/>
    <w:rsid w:val="69F66377"/>
    <w:rsid w:val="69FB579F"/>
    <w:rsid w:val="69FC398E"/>
    <w:rsid w:val="69FE0CAC"/>
    <w:rsid w:val="6A003904"/>
    <w:rsid w:val="6A0C16F7"/>
    <w:rsid w:val="6A1F58CE"/>
    <w:rsid w:val="6A2336AA"/>
    <w:rsid w:val="6A274783"/>
    <w:rsid w:val="6A290BB0"/>
    <w:rsid w:val="6A2E78BF"/>
    <w:rsid w:val="6A310DC4"/>
    <w:rsid w:val="6A36338D"/>
    <w:rsid w:val="6A3C022E"/>
    <w:rsid w:val="6A4175F2"/>
    <w:rsid w:val="6A425119"/>
    <w:rsid w:val="6A4415E9"/>
    <w:rsid w:val="6A45564A"/>
    <w:rsid w:val="6A470981"/>
    <w:rsid w:val="6A4E3ABD"/>
    <w:rsid w:val="6A507835"/>
    <w:rsid w:val="6A5512F0"/>
    <w:rsid w:val="6A594CE9"/>
    <w:rsid w:val="6A5A4B58"/>
    <w:rsid w:val="6A5F5CCB"/>
    <w:rsid w:val="6A682DD1"/>
    <w:rsid w:val="6A6B3979"/>
    <w:rsid w:val="6A6B3E58"/>
    <w:rsid w:val="6A6E4160"/>
    <w:rsid w:val="6A830FEC"/>
    <w:rsid w:val="6A835E5D"/>
    <w:rsid w:val="6A8A71EB"/>
    <w:rsid w:val="6A8E65B0"/>
    <w:rsid w:val="6A957467"/>
    <w:rsid w:val="6A995680"/>
    <w:rsid w:val="6A9A0A7D"/>
    <w:rsid w:val="6A9B2E65"/>
    <w:rsid w:val="6A9F256B"/>
    <w:rsid w:val="6AA06A0F"/>
    <w:rsid w:val="6AA162E3"/>
    <w:rsid w:val="6AA3205B"/>
    <w:rsid w:val="6AB44268"/>
    <w:rsid w:val="6AB9362D"/>
    <w:rsid w:val="6ABA37A5"/>
    <w:rsid w:val="6ABF491E"/>
    <w:rsid w:val="6AC10733"/>
    <w:rsid w:val="6AC65D4A"/>
    <w:rsid w:val="6AD32F4D"/>
    <w:rsid w:val="6ADB7CDE"/>
    <w:rsid w:val="6ADE3093"/>
    <w:rsid w:val="6AE30540"/>
    <w:rsid w:val="6AE34B4E"/>
    <w:rsid w:val="6AE53247"/>
    <w:rsid w:val="6AEB57B0"/>
    <w:rsid w:val="6AF64881"/>
    <w:rsid w:val="6AF72426"/>
    <w:rsid w:val="6AFC79BD"/>
    <w:rsid w:val="6B03425A"/>
    <w:rsid w:val="6B0367D0"/>
    <w:rsid w:val="6B122F68"/>
    <w:rsid w:val="6B144D07"/>
    <w:rsid w:val="6B146AB5"/>
    <w:rsid w:val="6B1F3509"/>
    <w:rsid w:val="6B2018FE"/>
    <w:rsid w:val="6B253391"/>
    <w:rsid w:val="6B272C8C"/>
    <w:rsid w:val="6B376C47"/>
    <w:rsid w:val="6B3B6738"/>
    <w:rsid w:val="6B431148"/>
    <w:rsid w:val="6B43383E"/>
    <w:rsid w:val="6B43739A"/>
    <w:rsid w:val="6B476E8A"/>
    <w:rsid w:val="6B482C03"/>
    <w:rsid w:val="6B54424D"/>
    <w:rsid w:val="6B5A17A3"/>
    <w:rsid w:val="6B5B0B88"/>
    <w:rsid w:val="6B5D72DD"/>
    <w:rsid w:val="6B610780"/>
    <w:rsid w:val="6B63773B"/>
    <w:rsid w:val="6B637A3C"/>
    <w:rsid w:val="6B6537B4"/>
    <w:rsid w:val="6B6A2B79"/>
    <w:rsid w:val="6B7800FD"/>
    <w:rsid w:val="6B7D28AC"/>
    <w:rsid w:val="6B7E03D2"/>
    <w:rsid w:val="6B824366"/>
    <w:rsid w:val="6B827EC3"/>
    <w:rsid w:val="6B8F5FFD"/>
    <w:rsid w:val="6B9428CC"/>
    <w:rsid w:val="6B945E48"/>
    <w:rsid w:val="6B96396E"/>
    <w:rsid w:val="6B967230"/>
    <w:rsid w:val="6B99345E"/>
    <w:rsid w:val="6B9A16B0"/>
    <w:rsid w:val="6B9E0A74"/>
    <w:rsid w:val="6BA270DA"/>
    <w:rsid w:val="6BA44383"/>
    <w:rsid w:val="6BAF4A30"/>
    <w:rsid w:val="6BBA3B00"/>
    <w:rsid w:val="6BBD714D"/>
    <w:rsid w:val="6BC60322"/>
    <w:rsid w:val="6BC83EFB"/>
    <w:rsid w:val="6BCF210F"/>
    <w:rsid w:val="6BD02241"/>
    <w:rsid w:val="6BDB5825"/>
    <w:rsid w:val="6BEA5A68"/>
    <w:rsid w:val="6BEB43F3"/>
    <w:rsid w:val="6BFF1513"/>
    <w:rsid w:val="6BFF59B7"/>
    <w:rsid w:val="6C07486C"/>
    <w:rsid w:val="6C111246"/>
    <w:rsid w:val="6C154F17"/>
    <w:rsid w:val="6C16685D"/>
    <w:rsid w:val="6C1825D5"/>
    <w:rsid w:val="6C186A79"/>
    <w:rsid w:val="6C1D5E3D"/>
    <w:rsid w:val="6C335661"/>
    <w:rsid w:val="6C3513D9"/>
    <w:rsid w:val="6C382C77"/>
    <w:rsid w:val="6C3A079D"/>
    <w:rsid w:val="6C3A254B"/>
    <w:rsid w:val="6C411B2C"/>
    <w:rsid w:val="6C4B29AA"/>
    <w:rsid w:val="6C4B4758"/>
    <w:rsid w:val="6C4D263F"/>
    <w:rsid w:val="6C506213"/>
    <w:rsid w:val="6C5347AA"/>
    <w:rsid w:val="6C543A21"/>
    <w:rsid w:val="6C586E75"/>
    <w:rsid w:val="6C5A499B"/>
    <w:rsid w:val="6C5B60E0"/>
    <w:rsid w:val="6C5D01ED"/>
    <w:rsid w:val="6C5D2C8A"/>
    <w:rsid w:val="6C663340"/>
    <w:rsid w:val="6C6C46CF"/>
    <w:rsid w:val="6C733CAF"/>
    <w:rsid w:val="6C7A78C6"/>
    <w:rsid w:val="6C8163CC"/>
    <w:rsid w:val="6C841A18"/>
    <w:rsid w:val="6C895281"/>
    <w:rsid w:val="6C997B2F"/>
    <w:rsid w:val="6CA34594"/>
    <w:rsid w:val="6CB542C8"/>
    <w:rsid w:val="6CB57E24"/>
    <w:rsid w:val="6CB94F80"/>
    <w:rsid w:val="6CBB0C3F"/>
    <w:rsid w:val="6CBC7404"/>
    <w:rsid w:val="6CC14A1B"/>
    <w:rsid w:val="6CC85DA9"/>
    <w:rsid w:val="6CCB5899"/>
    <w:rsid w:val="6CCF5389"/>
    <w:rsid w:val="6CD24E7A"/>
    <w:rsid w:val="6CD36713"/>
    <w:rsid w:val="6CE32BE3"/>
    <w:rsid w:val="6CE349E0"/>
    <w:rsid w:val="6CE55E74"/>
    <w:rsid w:val="6CEF77DA"/>
    <w:rsid w:val="6CF05300"/>
    <w:rsid w:val="6CF92413"/>
    <w:rsid w:val="6CFA1CDB"/>
    <w:rsid w:val="6CFA617E"/>
    <w:rsid w:val="6CFC5A53"/>
    <w:rsid w:val="6CFE0473"/>
    <w:rsid w:val="6D0D4104"/>
    <w:rsid w:val="6D0D5EB2"/>
    <w:rsid w:val="6D0E5786"/>
    <w:rsid w:val="6D140FEE"/>
    <w:rsid w:val="6D177AD5"/>
    <w:rsid w:val="6D1D4308"/>
    <w:rsid w:val="6D1D4911"/>
    <w:rsid w:val="6D1F7993"/>
    <w:rsid w:val="6D205BE5"/>
    <w:rsid w:val="6D21195D"/>
    <w:rsid w:val="6D241539"/>
    <w:rsid w:val="6D282CEC"/>
    <w:rsid w:val="6D283D50"/>
    <w:rsid w:val="6D2854BA"/>
    <w:rsid w:val="6D2B6338"/>
    <w:rsid w:val="6D3451EC"/>
    <w:rsid w:val="6D366A87"/>
    <w:rsid w:val="6D374CDD"/>
    <w:rsid w:val="6D392803"/>
    <w:rsid w:val="6D4F64CA"/>
    <w:rsid w:val="6D505D9E"/>
    <w:rsid w:val="6D53301E"/>
    <w:rsid w:val="6D561607"/>
    <w:rsid w:val="6D5E670D"/>
    <w:rsid w:val="6D66534A"/>
    <w:rsid w:val="6D6B4986"/>
    <w:rsid w:val="6D720EE9"/>
    <w:rsid w:val="6D747CDF"/>
    <w:rsid w:val="6D7E58D8"/>
    <w:rsid w:val="6D855C11"/>
    <w:rsid w:val="6D9220F4"/>
    <w:rsid w:val="6D9B23AC"/>
    <w:rsid w:val="6D9D7236"/>
    <w:rsid w:val="6DB0234E"/>
    <w:rsid w:val="6DB1683D"/>
    <w:rsid w:val="6DB41F36"/>
    <w:rsid w:val="6DC36570"/>
    <w:rsid w:val="6DD4077E"/>
    <w:rsid w:val="6DD62E63"/>
    <w:rsid w:val="6DDB1B0C"/>
    <w:rsid w:val="6DE94229"/>
    <w:rsid w:val="6DED0C6F"/>
    <w:rsid w:val="6DF7274A"/>
    <w:rsid w:val="6DFE2645"/>
    <w:rsid w:val="6E0476F6"/>
    <w:rsid w:val="6E071C62"/>
    <w:rsid w:val="6E076DA5"/>
    <w:rsid w:val="6E0A5F70"/>
    <w:rsid w:val="6E105C5A"/>
    <w:rsid w:val="6E1119D2"/>
    <w:rsid w:val="6E176BAC"/>
    <w:rsid w:val="6E1D3ED3"/>
    <w:rsid w:val="6E201C15"/>
    <w:rsid w:val="6E22773B"/>
    <w:rsid w:val="6E2434B3"/>
    <w:rsid w:val="6E2711F5"/>
    <w:rsid w:val="6E2C05BA"/>
    <w:rsid w:val="6E2C22B2"/>
    <w:rsid w:val="6E2E60E0"/>
    <w:rsid w:val="6E3D33D5"/>
    <w:rsid w:val="6E4476B1"/>
    <w:rsid w:val="6E493F8C"/>
    <w:rsid w:val="6E4D6A7E"/>
    <w:rsid w:val="6E4E5192"/>
    <w:rsid w:val="6E587601"/>
    <w:rsid w:val="6E5D4B6C"/>
    <w:rsid w:val="6E5F44EB"/>
    <w:rsid w:val="6E625D89"/>
    <w:rsid w:val="6E647D53"/>
    <w:rsid w:val="6E687828"/>
    <w:rsid w:val="6E6D76E9"/>
    <w:rsid w:val="6E6F4DDD"/>
    <w:rsid w:val="6E700B4D"/>
    <w:rsid w:val="6E740BD2"/>
    <w:rsid w:val="6E755ABD"/>
    <w:rsid w:val="6E7D2BC3"/>
    <w:rsid w:val="6E832D19"/>
    <w:rsid w:val="6E8403F6"/>
    <w:rsid w:val="6E8E3022"/>
    <w:rsid w:val="6E8E6B7E"/>
    <w:rsid w:val="6E9323E7"/>
    <w:rsid w:val="6E9543B1"/>
    <w:rsid w:val="6E957F0D"/>
    <w:rsid w:val="6E963C85"/>
    <w:rsid w:val="6E9F6FDD"/>
    <w:rsid w:val="6EA039EE"/>
    <w:rsid w:val="6EA330EB"/>
    <w:rsid w:val="6EA840E4"/>
    <w:rsid w:val="6EAF31BB"/>
    <w:rsid w:val="6EC6456A"/>
    <w:rsid w:val="6EC802E2"/>
    <w:rsid w:val="6EC95E08"/>
    <w:rsid w:val="6ECA28F1"/>
    <w:rsid w:val="6ECA57CB"/>
    <w:rsid w:val="6ED50C51"/>
    <w:rsid w:val="6ED8604B"/>
    <w:rsid w:val="6EE40E94"/>
    <w:rsid w:val="6EE42C42"/>
    <w:rsid w:val="6EE53863"/>
    <w:rsid w:val="6EEE586F"/>
    <w:rsid w:val="6EEF1D88"/>
    <w:rsid w:val="6EF415C9"/>
    <w:rsid w:val="6EF6287F"/>
    <w:rsid w:val="6EFD5AB2"/>
    <w:rsid w:val="6EFE75E5"/>
    <w:rsid w:val="6F0B4673"/>
    <w:rsid w:val="6F120CE7"/>
    <w:rsid w:val="6F173018"/>
    <w:rsid w:val="6F196D90"/>
    <w:rsid w:val="6F255735"/>
    <w:rsid w:val="6F26325B"/>
    <w:rsid w:val="6F2B7282"/>
    <w:rsid w:val="6F301FF6"/>
    <w:rsid w:val="6F3F460F"/>
    <w:rsid w:val="6F411E43"/>
    <w:rsid w:val="6F423F06"/>
    <w:rsid w:val="6F4940A8"/>
    <w:rsid w:val="6F4B023D"/>
    <w:rsid w:val="6F505B38"/>
    <w:rsid w:val="6F547DC8"/>
    <w:rsid w:val="6F5E47A3"/>
    <w:rsid w:val="6F5E47AE"/>
    <w:rsid w:val="6F6124E5"/>
    <w:rsid w:val="6F653D83"/>
    <w:rsid w:val="6F6A3147"/>
    <w:rsid w:val="6F6C348A"/>
    <w:rsid w:val="6F6D21EC"/>
    <w:rsid w:val="6F7246F2"/>
    <w:rsid w:val="6F727FDC"/>
    <w:rsid w:val="6F7B5355"/>
    <w:rsid w:val="6F7C2F7F"/>
    <w:rsid w:val="6F8166E3"/>
    <w:rsid w:val="6F831D68"/>
    <w:rsid w:val="6F8545BB"/>
    <w:rsid w:val="6F9F024F"/>
    <w:rsid w:val="6FAA3E8C"/>
    <w:rsid w:val="6FAF14A2"/>
    <w:rsid w:val="6FB42615"/>
    <w:rsid w:val="6FB767E8"/>
    <w:rsid w:val="6FC52A74"/>
    <w:rsid w:val="6FCA1E38"/>
    <w:rsid w:val="6FD44A65"/>
    <w:rsid w:val="6FD607DD"/>
    <w:rsid w:val="6FE63CCB"/>
    <w:rsid w:val="6FE729EA"/>
    <w:rsid w:val="6FE74B3D"/>
    <w:rsid w:val="6FE80510"/>
    <w:rsid w:val="6FEC0000"/>
    <w:rsid w:val="6FEF7AF1"/>
    <w:rsid w:val="6FF45107"/>
    <w:rsid w:val="6FF46EB5"/>
    <w:rsid w:val="6FF72402"/>
    <w:rsid w:val="6FF9096F"/>
    <w:rsid w:val="70041D30"/>
    <w:rsid w:val="70057314"/>
    <w:rsid w:val="7009508A"/>
    <w:rsid w:val="700E441B"/>
    <w:rsid w:val="700E4B1F"/>
    <w:rsid w:val="700F7AA1"/>
    <w:rsid w:val="701025DA"/>
    <w:rsid w:val="7012558D"/>
    <w:rsid w:val="7018393D"/>
    <w:rsid w:val="7018538F"/>
    <w:rsid w:val="701D465E"/>
    <w:rsid w:val="701E512F"/>
    <w:rsid w:val="701F03D6"/>
    <w:rsid w:val="70213056"/>
    <w:rsid w:val="70227EC6"/>
    <w:rsid w:val="70313CD0"/>
    <w:rsid w:val="70384FF4"/>
    <w:rsid w:val="70390D6C"/>
    <w:rsid w:val="70393D95"/>
    <w:rsid w:val="70495453"/>
    <w:rsid w:val="70497892"/>
    <w:rsid w:val="704F058F"/>
    <w:rsid w:val="70523676"/>
    <w:rsid w:val="7053007F"/>
    <w:rsid w:val="706202C3"/>
    <w:rsid w:val="70654352"/>
    <w:rsid w:val="706C7393"/>
    <w:rsid w:val="70785D38"/>
    <w:rsid w:val="707B2A29"/>
    <w:rsid w:val="708434E9"/>
    <w:rsid w:val="70871AD7"/>
    <w:rsid w:val="708E2E66"/>
    <w:rsid w:val="70903082"/>
    <w:rsid w:val="70910BA8"/>
    <w:rsid w:val="709B05DA"/>
    <w:rsid w:val="70A00D30"/>
    <w:rsid w:val="70A1703D"/>
    <w:rsid w:val="70B12FF8"/>
    <w:rsid w:val="70B2124A"/>
    <w:rsid w:val="70B70453"/>
    <w:rsid w:val="70B825D8"/>
    <w:rsid w:val="70B94304"/>
    <w:rsid w:val="70BB79D3"/>
    <w:rsid w:val="70BD199D"/>
    <w:rsid w:val="70C268FE"/>
    <w:rsid w:val="70C525FF"/>
    <w:rsid w:val="70CC2581"/>
    <w:rsid w:val="70D017F7"/>
    <w:rsid w:val="70D171F6"/>
    <w:rsid w:val="70D20BDD"/>
    <w:rsid w:val="70D36317"/>
    <w:rsid w:val="70D50A94"/>
    <w:rsid w:val="70D72A5F"/>
    <w:rsid w:val="70DC62C7"/>
    <w:rsid w:val="70E707C8"/>
    <w:rsid w:val="70E930EE"/>
    <w:rsid w:val="70F15536"/>
    <w:rsid w:val="70F27898"/>
    <w:rsid w:val="710B0D39"/>
    <w:rsid w:val="710E21F8"/>
    <w:rsid w:val="71121CE9"/>
    <w:rsid w:val="71193077"/>
    <w:rsid w:val="711B08FA"/>
    <w:rsid w:val="7120264E"/>
    <w:rsid w:val="71233EF6"/>
    <w:rsid w:val="712940E5"/>
    <w:rsid w:val="712F47EA"/>
    <w:rsid w:val="712F4EC1"/>
    <w:rsid w:val="71305C7A"/>
    <w:rsid w:val="713954C7"/>
    <w:rsid w:val="713C0B14"/>
    <w:rsid w:val="713F0604"/>
    <w:rsid w:val="714125CE"/>
    <w:rsid w:val="714516D2"/>
    <w:rsid w:val="714874B8"/>
    <w:rsid w:val="715220E5"/>
    <w:rsid w:val="715B3C16"/>
    <w:rsid w:val="715E64B8"/>
    <w:rsid w:val="715E6876"/>
    <w:rsid w:val="716F0EE9"/>
    <w:rsid w:val="717209D9"/>
    <w:rsid w:val="71775FF0"/>
    <w:rsid w:val="717C3606"/>
    <w:rsid w:val="718B55F7"/>
    <w:rsid w:val="71910B94"/>
    <w:rsid w:val="71927521"/>
    <w:rsid w:val="71970440"/>
    <w:rsid w:val="71A1306D"/>
    <w:rsid w:val="71A55DCD"/>
    <w:rsid w:val="71AA0173"/>
    <w:rsid w:val="71AC3EEB"/>
    <w:rsid w:val="71AC5951"/>
    <w:rsid w:val="71B33DA4"/>
    <w:rsid w:val="71B66B18"/>
    <w:rsid w:val="71B72890"/>
    <w:rsid w:val="71BC7EA6"/>
    <w:rsid w:val="71C232C4"/>
    <w:rsid w:val="71C254BD"/>
    <w:rsid w:val="71C32FE3"/>
    <w:rsid w:val="71D62179"/>
    <w:rsid w:val="71D76A8E"/>
    <w:rsid w:val="71D84CE0"/>
    <w:rsid w:val="71DA3080"/>
    <w:rsid w:val="71E73B20"/>
    <w:rsid w:val="71ED1E0E"/>
    <w:rsid w:val="71F475E4"/>
    <w:rsid w:val="71F66F14"/>
    <w:rsid w:val="71F87130"/>
    <w:rsid w:val="71FD75EA"/>
    <w:rsid w:val="72005FE5"/>
    <w:rsid w:val="72035AD5"/>
    <w:rsid w:val="720553A9"/>
    <w:rsid w:val="72077373"/>
    <w:rsid w:val="72121874"/>
    <w:rsid w:val="72133F6A"/>
    <w:rsid w:val="72135D18"/>
    <w:rsid w:val="72161365"/>
    <w:rsid w:val="721970A7"/>
    <w:rsid w:val="721B16A0"/>
    <w:rsid w:val="721D4433"/>
    <w:rsid w:val="722213E2"/>
    <w:rsid w:val="722241AD"/>
    <w:rsid w:val="72233A82"/>
    <w:rsid w:val="72273572"/>
    <w:rsid w:val="722A6598"/>
    <w:rsid w:val="722F68B9"/>
    <w:rsid w:val="723143F0"/>
    <w:rsid w:val="72331F17"/>
    <w:rsid w:val="72386F23"/>
    <w:rsid w:val="723914F7"/>
    <w:rsid w:val="72395053"/>
    <w:rsid w:val="723B701D"/>
    <w:rsid w:val="723E2669"/>
    <w:rsid w:val="723E7568"/>
    <w:rsid w:val="723F12AE"/>
    <w:rsid w:val="724177ED"/>
    <w:rsid w:val="72472D75"/>
    <w:rsid w:val="725A253A"/>
    <w:rsid w:val="725B1E56"/>
    <w:rsid w:val="725D6F93"/>
    <w:rsid w:val="72655E48"/>
    <w:rsid w:val="72671BC0"/>
    <w:rsid w:val="7269212E"/>
    <w:rsid w:val="727367B7"/>
    <w:rsid w:val="7275252F"/>
    <w:rsid w:val="72766AE8"/>
    <w:rsid w:val="727F5809"/>
    <w:rsid w:val="72872262"/>
    <w:rsid w:val="728C6641"/>
    <w:rsid w:val="7294672D"/>
    <w:rsid w:val="7298446F"/>
    <w:rsid w:val="729E0259"/>
    <w:rsid w:val="72A5093A"/>
    <w:rsid w:val="72A746B3"/>
    <w:rsid w:val="72AA7CFF"/>
    <w:rsid w:val="72AE2B61"/>
    <w:rsid w:val="72AF08D5"/>
    <w:rsid w:val="72B26FA0"/>
    <w:rsid w:val="72B8066E"/>
    <w:rsid w:val="72BF7C4E"/>
    <w:rsid w:val="72C54B39"/>
    <w:rsid w:val="72C76B03"/>
    <w:rsid w:val="72D62BD5"/>
    <w:rsid w:val="72D823D5"/>
    <w:rsid w:val="72DA6836"/>
    <w:rsid w:val="72E041B6"/>
    <w:rsid w:val="72E41463"/>
    <w:rsid w:val="72E70F53"/>
    <w:rsid w:val="72EE22E1"/>
    <w:rsid w:val="72F83160"/>
    <w:rsid w:val="72F84F0E"/>
    <w:rsid w:val="72FC2EFD"/>
    <w:rsid w:val="72FD42D3"/>
    <w:rsid w:val="730833A3"/>
    <w:rsid w:val="730B69EF"/>
    <w:rsid w:val="730C2ECF"/>
    <w:rsid w:val="73155AC0"/>
    <w:rsid w:val="73261A7B"/>
    <w:rsid w:val="732949CF"/>
    <w:rsid w:val="732950C8"/>
    <w:rsid w:val="732B52E4"/>
    <w:rsid w:val="732C6966"/>
    <w:rsid w:val="733221CE"/>
    <w:rsid w:val="73357F10"/>
    <w:rsid w:val="733F0D8F"/>
    <w:rsid w:val="7342564E"/>
    <w:rsid w:val="73465C7A"/>
    <w:rsid w:val="734B14E2"/>
    <w:rsid w:val="734B44BD"/>
    <w:rsid w:val="7352461E"/>
    <w:rsid w:val="73556451"/>
    <w:rsid w:val="73585ACE"/>
    <w:rsid w:val="735A1887"/>
    <w:rsid w:val="73634DF7"/>
    <w:rsid w:val="73747D8F"/>
    <w:rsid w:val="73774085"/>
    <w:rsid w:val="73845435"/>
    <w:rsid w:val="73944C37"/>
    <w:rsid w:val="73974727"/>
    <w:rsid w:val="739B4217"/>
    <w:rsid w:val="73A62BBC"/>
    <w:rsid w:val="73AA26AC"/>
    <w:rsid w:val="73AE4DAC"/>
    <w:rsid w:val="73B13A3B"/>
    <w:rsid w:val="73B2074D"/>
    <w:rsid w:val="73B250BD"/>
    <w:rsid w:val="73B426A9"/>
    <w:rsid w:val="73C11ECD"/>
    <w:rsid w:val="73C905E8"/>
    <w:rsid w:val="73CD1EF7"/>
    <w:rsid w:val="73D47729"/>
    <w:rsid w:val="73D634A1"/>
    <w:rsid w:val="73DD4830"/>
    <w:rsid w:val="73E060CE"/>
    <w:rsid w:val="73E13BF4"/>
    <w:rsid w:val="73E3796C"/>
    <w:rsid w:val="73E84F83"/>
    <w:rsid w:val="73EA0CFB"/>
    <w:rsid w:val="73F2195D"/>
    <w:rsid w:val="73F27BAF"/>
    <w:rsid w:val="73FB4CB6"/>
    <w:rsid w:val="73FC0A2E"/>
    <w:rsid w:val="73FE6BD4"/>
    <w:rsid w:val="74051691"/>
    <w:rsid w:val="74072A13"/>
    <w:rsid w:val="74114085"/>
    <w:rsid w:val="74123DAE"/>
    <w:rsid w:val="74145D78"/>
    <w:rsid w:val="741C4C2C"/>
    <w:rsid w:val="741D7FA1"/>
    <w:rsid w:val="741E09A4"/>
    <w:rsid w:val="74266358"/>
    <w:rsid w:val="742A559B"/>
    <w:rsid w:val="742C30C1"/>
    <w:rsid w:val="742C42E4"/>
    <w:rsid w:val="74393A30"/>
    <w:rsid w:val="743A5421"/>
    <w:rsid w:val="74424693"/>
    <w:rsid w:val="744B1485"/>
    <w:rsid w:val="744F5002"/>
    <w:rsid w:val="745A3D0B"/>
    <w:rsid w:val="745B5755"/>
    <w:rsid w:val="745E5245"/>
    <w:rsid w:val="74692D9A"/>
    <w:rsid w:val="746A3BEA"/>
    <w:rsid w:val="746D05CC"/>
    <w:rsid w:val="746E36DA"/>
    <w:rsid w:val="7472484C"/>
    <w:rsid w:val="747D23FB"/>
    <w:rsid w:val="748007EC"/>
    <w:rsid w:val="74827185"/>
    <w:rsid w:val="74830E88"/>
    <w:rsid w:val="74842B8B"/>
    <w:rsid w:val="748922C2"/>
    <w:rsid w:val="748C0004"/>
    <w:rsid w:val="748D1686"/>
    <w:rsid w:val="748F53FE"/>
    <w:rsid w:val="74902AC7"/>
    <w:rsid w:val="7491298B"/>
    <w:rsid w:val="749173C8"/>
    <w:rsid w:val="74934EEE"/>
    <w:rsid w:val="74940C67"/>
    <w:rsid w:val="74956EB9"/>
    <w:rsid w:val="7499002B"/>
    <w:rsid w:val="74A56FEC"/>
    <w:rsid w:val="74A67FA2"/>
    <w:rsid w:val="74B17A6A"/>
    <w:rsid w:val="74B67BB8"/>
    <w:rsid w:val="74BA691F"/>
    <w:rsid w:val="74BF0599"/>
    <w:rsid w:val="74CA3F6B"/>
    <w:rsid w:val="74CB453C"/>
    <w:rsid w:val="74CE0851"/>
    <w:rsid w:val="74CF1C9F"/>
    <w:rsid w:val="74D24811"/>
    <w:rsid w:val="74D86DA5"/>
    <w:rsid w:val="74DC4AE7"/>
    <w:rsid w:val="74DC6CFD"/>
    <w:rsid w:val="74DF1EA2"/>
    <w:rsid w:val="74E120FE"/>
    <w:rsid w:val="74E90FB2"/>
    <w:rsid w:val="74EC45FF"/>
    <w:rsid w:val="74EC52E3"/>
    <w:rsid w:val="74EE7BBC"/>
    <w:rsid w:val="74FF2584"/>
    <w:rsid w:val="750000AA"/>
    <w:rsid w:val="750C4CA1"/>
    <w:rsid w:val="750C7987"/>
    <w:rsid w:val="750E6239"/>
    <w:rsid w:val="751224A6"/>
    <w:rsid w:val="75183646"/>
    <w:rsid w:val="751C1388"/>
    <w:rsid w:val="751D0C5C"/>
    <w:rsid w:val="751F49D4"/>
    <w:rsid w:val="75322959"/>
    <w:rsid w:val="753A35BC"/>
    <w:rsid w:val="7544268D"/>
    <w:rsid w:val="754B3A1B"/>
    <w:rsid w:val="754B57C9"/>
    <w:rsid w:val="754D1541"/>
    <w:rsid w:val="754D3A1B"/>
    <w:rsid w:val="754D7793"/>
    <w:rsid w:val="754E7067"/>
    <w:rsid w:val="75533AA2"/>
    <w:rsid w:val="75564CDF"/>
    <w:rsid w:val="755C79D6"/>
    <w:rsid w:val="755F3023"/>
    <w:rsid w:val="75656DAA"/>
    <w:rsid w:val="75666069"/>
    <w:rsid w:val="75671ED7"/>
    <w:rsid w:val="75680129"/>
    <w:rsid w:val="75693EA1"/>
    <w:rsid w:val="756D1BE3"/>
    <w:rsid w:val="757A4300"/>
    <w:rsid w:val="757F5473"/>
    <w:rsid w:val="75834F63"/>
    <w:rsid w:val="75884B36"/>
    <w:rsid w:val="758B3E18"/>
    <w:rsid w:val="759260CD"/>
    <w:rsid w:val="759654B8"/>
    <w:rsid w:val="759929D8"/>
    <w:rsid w:val="759A22AD"/>
    <w:rsid w:val="759E643F"/>
    <w:rsid w:val="75A60C51"/>
    <w:rsid w:val="75AA3119"/>
    <w:rsid w:val="75AB44BA"/>
    <w:rsid w:val="75AE7B06"/>
    <w:rsid w:val="75B07D22"/>
    <w:rsid w:val="75B275F6"/>
    <w:rsid w:val="75B55338"/>
    <w:rsid w:val="75BA64AB"/>
    <w:rsid w:val="75BE5F9B"/>
    <w:rsid w:val="75DC4056"/>
    <w:rsid w:val="75DE08D4"/>
    <w:rsid w:val="75E73D34"/>
    <w:rsid w:val="75E74BF8"/>
    <w:rsid w:val="75ED4AD2"/>
    <w:rsid w:val="75EE4BD3"/>
    <w:rsid w:val="75F05AFA"/>
    <w:rsid w:val="75F06371"/>
    <w:rsid w:val="75F220E9"/>
    <w:rsid w:val="75F75951"/>
    <w:rsid w:val="75F776FF"/>
    <w:rsid w:val="75FE198A"/>
    <w:rsid w:val="75FF3AD1"/>
    <w:rsid w:val="760342F6"/>
    <w:rsid w:val="760F744C"/>
    <w:rsid w:val="7611709E"/>
    <w:rsid w:val="7614205F"/>
    <w:rsid w:val="76157B85"/>
    <w:rsid w:val="761A519B"/>
    <w:rsid w:val="761E4ABF"/>
    <w:rsid w:val="76200A04"/>
    <w:rsid w:val="7625426C"/>
    <w:rsid w:val="762C4F8D"/>
    <w:rsid w:val="763146EA"/>
    <w:rsid w:val="76414336"/>
    <w:rsid w:val="76432269"/>
    <w:rsid w:val="764A782F"/>
    <w:rsid w:val="764B158B"/>
    <w:rsid w:val="76500BBD"/>
    <w:rsid w:val="765B7C8E"/>
    <w:rsid w:val="76613250"/>
    <w:rsid w:val="766823AB"/>
    <w:rsid w:val="766905FD"/>
    <w:rsid w:val="76780840"/>
    <w:rsid w:val="767B1E55"/>
    <w:rsid w:val="767D7C04"/>
    <w:rsid w:val="768369FF"/>
    <w:rsid w:val="768B22C3"/>
    <w:rsid w:val="768C42EB"/>
    <w:rsid w:val="769211D6"/>
    <w:rsid w:val="76966F18"/>
    <w:rsid w:val="76967512"/>
    <w:rsid w:val="76A333E3"/>
    <w:rsid w:val="76AA651F"/>
    <w:rsid w:val="76AC2297"/>
    <w:rsid w:val="76AE2039"/>
    <w:rsid w:val="76B178AE"/>
    <w:rsid w:val="76B64EC4"/>
    <w:rsid w:val="76B850E0"/>
    <w:rsid w:val="76BB28DB"/>
    <w:rsid w:val="76BE0F8E"/>
    <w:rsid w:val="76C27D0D"/>
    <w:rsid w:val="76C56949"/>
    <w:rsid w:val="76DE441B"/>
    <w:rsid w:val="76E25CB9"/>
    <w:rsid w:val="76E47C83"/>
    <w:rsid w:val="76E97048"/>
    <w:rsid w:val="76F105F2"/>
    <w:rsid w:val="76F36118"/>
    <w:rsid w:val="76FD0D45"/>
    <w:rsid w:val="7706409E"/>
    <w:rsid w:val="770E2F52"/>
    <w:rsid w:val="771D3195"/>
    <w:rsid w:val="771D4F43"/>
    <w:rsid w:val="771F6F0D"/>
    <w:rsid w:val="772C162A"/>
    <w:rsid w:val="77311B44"/>
    <w:rsid w:val="7731279D"/>
    <w:rsid w:val="77332AA0"/>
    <w:rsid w:val="773C7ABF"/>
    <w:rsid w:val="77440722"/>
    <w:rsid w:val="7746449A"/>
    <w:rsid w:val="774921DC"/>
    <w:rsid w:val="774B6D57"/>
    <w:rsid w:val="774B7D02"/>
    <w:rsid w:val="774E334F"/>
    <w:rsid w:val="774E77F3"/>
    <w:rsid w:val="7750356B"/>
    <w:rsid w:val="77530965"/>
    <w:rsid w:val="77534E09"/>
    <w:rsid w:val="77585F7B"/>
    <w:rsid w:val="775A6197"/>
    <w:rsid w:val="77674410"/>
    <w:rsid w:val="776843DA"/>
    <w:rsid w:val="776C586E"/>
    <w:rsid w:val="776E39F1"/>
    <w:rsid w:val="776F42E7"/>
    <w:rsid w:val="7772528F"/>
    <w:rsid w:val="77737259"/>
    <w:rsid w:val="77770AF7"/>
    <w:rsid w:val="777728A5"/>
    <w:rsid w:val="77784870"/>
    <w:rsid w:val="777C7EBC"/>
    <w:rsid w:val="77862AE9"/>
    <w:rsid w:val="77903967"/>
    <w:rsid w:val="77935205"/>
    <w:rsid w:val="77962542"/>
    <w:rsid w:val="779A6594"/>
    <w:rsid w:val="779D6084"/>
    <w:rsid w:val="77A318EC"/>
    <w:rsid w:val="77A412B0"/>
    <w:rsid w:val="77B21B30"/>
    <w:rsid w:val="77B533CE"/>
    <w:rsid w:val="77B8776B"/>
    <w:rsid w:val="77BF249E"/>
    <w:rsid w:val="77CD1357"/>
    <w:rsid w:val="77CE7524"/>
    <w:rsid w:val="77CF26E1"/>
    <w:rsid w:val="77D777E8"/>
    <w:rsid w:val="7803238B"/>
    <w:rsid w:val="78047EB1"/>
    <w:rsid w:val="78061E7B"/>
    <w:rsid w:val="780659D7"/>
    <w:rsid w:val="78151CD1"/>
    <w:rsid w:val="781520BE"/>
    <w:rsid w:val="78177BE5"/>
    <w:rsid w:val="781C51FB"/>
    <w:rsid w:val="781E0018"/>
    <w:rsid w:val="781E2FBA"/>
    <w:rsid w:val="78283BA0"/>
    <w:rsid w:val="782D11B6"/>
    <w:rsid w:val="78340796"/>
    <w:rsid w:val="78395DAD"/>
    <w:rsid w:val="78434E7D"/>
    <w:rsid w:val="78463590"/>
    <w:rsid w:val="784D3606"/>
    <w:rsid w:val="784F3822"/>
    <w:rsid w:val="785030F6"/>
    <w:rsid w:val="78540E39"/>
    <w:rsid w:val="78554225"/>
    <w:rsid w:val="785D684A"/>
    <w:rsid w:val="7863107C"/>
    <w:rsid w:val="786372CE"/>
    <w:rsid w:val="78637C92"/>
    <w:rsid w:val="787349EF"/>
    <w:rsid w:val="78745037"/>
    <w:rsid w:val="78746DE5"/>
    <w:rsid w:val="787E151D"/>
    <w:rsid w:val="787E7E0D"/>
    <w:rsid w:val="78807E39"/>
    <w:rsid w:val="78827754"/>
    <w:rsid w:val="78873930"/>
    <w:rsid w:val="788A485A"/>
    <w:rsid w:val="788A6608"/>
    <w:rsid w:val="788C05D2"/>
    <w:rsid w:val="789021A1"/>
    <w:rsid w:val="78994A9D"/>
    <w:rsid w:val="789B0816"/>
    <w:rsid w:val="78A07BDA"/>
    <w:rsid w:val="78A14715"/>
    <w:rsid w:val="78A477E3"/>
    <w:rsid w:val="78A734CC"/>
    <w:rsid w:val="78A7540C"/>
    <w:rsid w:val="78AA2807"/>
    <w:rsid w:val="78AB7B6D"/>
    <w:rsid w:val="78AD22F7"/>
    <w:rsid w:val="78B10039"/>
    <w:rsid w:val="78B47B29"/>
    <w:rsid w:val="78B673FD"/>
    <w:rsid w:val="78BC253A"/>
    <w:rsid w:val="78DD2BDC"/>
    <w:rsid w:val="78E92E12"/>
    <w:rsid w:val="78EF0B61"/>
    <w:rsid w:val="78FB3062"/>
    <w:rsid w:val="78FC1C7D"/>
    <w:rsid w:val="78FD502C"/>
    <w:rsid w:val="79053EE1"/>
    <w:rsid w:val="7908577F"/>
    <w:rsid w:val="79091C23"/>
    <w:rsid w:val="790E0FE8"/>
    <w:rsid w:val="790F6B0E"/>
    <w:rsid w:val="79226841"/>
    <w:rsid w:val="792702FB"/>
    <w:rsid w:val="792A3948"/>
    <w:rsid w:val="792C76C0"/>
    <w:rsid w:val="792D18AB"/>
    <w:rsid w:val="793622EC"/>
    <w:rsid w:val="793D41C6"/>
    <w:rsid w:val="79437415"/>
    <w:rsid w:val="794A3E22"/>
    <w:rsid w:val="794B3FEA"/>
    <w:rsid w:val="79621333"/>
    <w:rsid w:val="796B468F"/>
    <w:rsid w:val="796E1A86"/>
    <w:rsid w:val="79817A0B"/>
    <w:rsid w:val="79825532"/>
    <w:rsid w:val="79863274"/>
    <w:rsid w:val="798E037A"/>
    <w:rsid w:val="798E3ED6"/>
    <w:rsid w:val="79927E6B"/>
    <w:rsid w:val="79992BCF"/>
    <w:rsid w:val="799A09A9"/>
    <w:rsid w:val="799A0ACD"/>
    <w:rsid w:val="799E680F"/>
    <w:rsid w:val="79A11E5C"/>
    <w:rsid w:val="79A2473D"/>
    <w:rsid w:val="79AE6327"/>
    <w:rsid w:val="79B24069"/>
    <w:rsid w:val="79B37DE1"/>
    <w:rsid w:val="79B778D1"/>
    <w:rsid w:val="79B853F7"/>
    <w:rsid w:val="79C142AC"/>
    <w:rsid w:val="79C1605A"/>
    <w:rsid w:val="79CA518D"/>
    <w:rsid w:val="79CF5E15"/>
    <w:rsid w:val="79D12015"/>
    <w:rsid w:val="79E85CDC"/>
    <w:rsid w:val="79E955B1"/>
    <w:rsid w:val="79ED4B6B"/>
    <w:rsid w:val="79EF201E"/>
    <w:rsid w:val="79F92431"/>
    <w:rsid w:val="79FA106A"/>
    <w:rsid w:val="7A046E78"/>
    <w:rsid w:val="7A060F1E"/>
    <w:rsid w:val="7A100096"/>
    <w:rsid w:val="7A1C7734"/>
    <w:rsid w:val="7A1C7BE9"/>
    <w:rsid w:val="7A2860D9"/>
    <w:rsid w:val="7A3031E0"/>
    <w:rsid w:val="7A304F8E"/>
    <w:rsid w:val="7A3E76AA"/>
    <w:rsid w:val="7A3F3423"/>
    <w:rsid w:val="7A4D5B40"/>
    <w:rsid w:val="7A5377EA"/>
    <w:rsid w:val="7A552C46"/>
    <w:rsid w:val="7A5670C2"/>
    <w:rsid w:val="7A57076C"/>
    <w:rsid w:val="7A5926DA"/>
    <w:rsid w:val="7A5A025C"/>
    <w:rsid w:val="7A5C72A7"/>
    <w:rsid w:val="7A633CF1"/>
    <w:rsid w:val="7A690FFE"/>
    <w:rsid w:val="7A6A04A0"/>
    <w:rsid w:val="7A7031E0"/>
    <w:rsid w:val="7A7C6425"/>
    <w:rsid w:val="7A813A3B"/>
    <w:rsid w:val="7A815FE3"/>
    <w:rsid w:val="7A8B6960"/>
    <w:rsid w:val="7A8D66EA"/>
    <w:rsid w:val="7A925C48"/>
    <w:rsid w:val="7A950625"/>
    <w:rsid w:val="7A990D85"/>
    <w:rsid w:val="7A9F7EE5"/>
    <w:rsid w:val="7AA37E55"/>
    <w:rsid w:val="7AA8721A"/>
    <w:rsid w:val="7AB32BE0"/>
    <w:rsid w:val="7AB83901"/>
    <w:rsid w:val="7AB94028"/>
    <w:rsid w:val="7ABE2599"/>
    <w:rsid w:val="7AC56C31"/>
    <w:rsid w:val="7ACA53E2"/>
    <w:rsid w:val="7ACD1E40"/>
    <w:rsid w:val="7AD27B3B"/>
    <w:rsid w:val="7AD87AFF"/>
    <w:rsid w:val="7AD93877"/>
    <w:rsid w:val="7ADC7B9B"/>
    <w:rsid w:val="7AE2097E"/>
    <w:rsid w:val="7AE5221C"/>
    <w:rsid w:val="7AE82F61"/>
    <w:rsid w:val="7AEC5358"/>
    <w:rsid w:val="7AF1626C"/>
    <w:rsid w:val="7AF81F4F"/>
    <w:rsid w:val="7B000E04"/>
    <w:rsid w:val="7B05221A"/>
    <w:rsid w:val="7B0F7299"/>
    <w:rsid w:val="7B152B01"/>
    <w:rsid w:val="7B172452"/>
    <w:rsid w:val="7B1813CA"/>
    <w:rsid w:val="7B21235B"/>
    <w:rsid w:val="7B2A40D3"/>
    <w:rsid w:val="7B2F16E9"/>
    <w:rsid w:val="7B2F5245"/>
    <w:rsid w:val="7B3A2CDF"/>
    <w:rsid w:val="7B42141C"/>
    <w:rsid w:val="7B4464CB"/>
    <w:rsid w:val="7B454B2B"/>
    <w:rsid w:val="7B4554D0"/>
    <w:rsid w:val="7B455BC8"/>
    <w:rsid w:val="7B4A02D1"/>
    <w:rsid w:val="7B4F58E7"/>
    <w:rsid w:val="7B4F6A66"/>
    <w:rsid w:val="7B5250FA"/>
    <w:rsid w:val="7B5573A2"/>
    <w:rsid w:val="7B59284D"/>
    <w:rsid w:val="7B5A49B8"/>
    <w:rsid w:val="7B5B603A"/>
    <w:rsid w:val="7B5F1FCE"/>
    <w:rsid w:val="7B62561B"/>
    <w:rsid w:val="7B656EB9"/>
    <w:rsid w:val="7B66335D"/>
    <w:rsid w:val="7B67277C"/>
    <w:rsid w:val="7B6A2721"/>
    <w:rsid w:val="7B6E3FBF"/>
    <w:rsid w:val="7B752AC1"/>
    <w:rsid w:val="7B771C06"/>
    <w:rsid w:val="7B7833CA"/>
    <w:rsid w:val="7B7C6624"/>
    <w:rsid w:val="7B8B5655"/>
    <w:rsid w:val="7B9A6B62"/>
    <w:rsid w:val="7B9D6653"/>
    <w:rsid w:val="7BA113EE"/>
    <w:rsid w:val="7BA43B28"/>
    <w:rsid w:val="7BAC4AE8"/>
    <w:rsid w:val="7BB0282A"/>
    <w:rsid w:val="7BB73BB8"/>
    <w:rsid w:val="7BB826BA"/>
    <w:rsid w:val="7BBC11CF"/>
    <w:rsid w:val="7BC843E7"/>
    <w:rsid w:val="7BD04C7A"/>
    <w:rsid w:val="7BD52290"/>
    <w:rsid w:val="7BD83B2F"/>
    <w:rsid w:val="7BD87FD6"/>
    <w:rsid w:val="7BDA3403"/>
    <w:rsid w:val="7BDC53CD"/>
    <w:rsid w:val="7BE73D72"/>
    <w:rsid w:val="7BE81FC4"/>
    <w:rsid w:val="7BF541E2"/>
    <w:rsid w:val="7BFC3B8D"/>
    <w:rsid w:val="7BFF0AD5"/>
    <w:rsid w:val="7C025578"/>
    <w:rsid w:val="7C0641F8"/>
    <w:rsid w:val="7C08668B"/>
    <w:rsid w:val="7C0879AA"/>
    <w:rsid w:val="7C0B6494"/>
    <w:rsid w:val="7C0E1761"/>
    <w:rsid w:val="7C120DEF"/>
    <w:rsid w:val="7C16681D"/>
    <w:rsid w:val="7C174418"/>
    <w:rsid w:val="7C174657"/>
    <w:rsid w:val="7C2730B8"/>
    <w:rsid w:val="7C2D79D7"/>
    <w:rsid w:val="7C2E19A1"/>
    <w:rsid w:val="7C345209"/>
    <w:rsid w:val="7C3E7E36"/>
    <w:rsid w:val="7C43369E"/>
    <w:rsid w:val="7C442F72"/>
    <w:rsid w:val="7C482A62"/>
    <w:rsid w:val="7C4A1CE5"/>
    <w:rsid w:val="7C4F5F41"/>
    <w:rsid w:val="7C574A54"/>
    <w:rsid w:val="7C5A2796"/>
    <w:rsid w:val="7C5E2286"/>
    <w:rsid w:val="7C6453C2"/>
    <w:rsid w:val="7C647378"/>
    <w:rsid w:val="7C684EB3"/>
    <w:rsid w:val="7C6D24C9"/>
    <w:rsid w:val="7C706666"/>
    <w:rsid w:val="7C7750F6"/>
    <w:rsid w:val="7C7F3FAA"/>
    <w:rsid w:val="7C8B294F"/>
    <w:rsid w:val="7C8F0BC0"/>
    <w:rsid w:val="7C9022C9"/>
    <w:rsid w:val="7C95557C"/>
    <w:rsid w:val="7C98391B"/>
    <w:rsid w:val="7C9C690A"/>
    <w:rsid w:val="7C9E2682"/>
    <w:rsid w:val="7CAF28C1"/>
    <w:rsid w:val="7CB00608"/>
    <w:rsid w:val="7CB77BE8"/>
    <w:rsid w:val="7CB93023"/>
    <w:rsid w:val="7CC3033B"/>
    <w:rsid w:val="7CCD11BA"/>
    <w:rsid w:val="7CCD4D16"/>
    <w:rsid w:val="7CCF4F32"/>
    <w:rsid w:val="7CD267D0"/>
    <w:rsid w:val="7CDB38D7"/>
    <w:rsid w:val="7CDC31AB"/>
    <w:rsid w:val="7CE21998"/>
    <w:rsid w:val="7CE24569"/>
    <w:rsid w:val="7CE331FC"/>
    <w:rsid w:val="7CE64029"/>
    <w:rsid w:val="7CEA1D6C"/>
    <w:rsid w:val="7CED360A"/>
    <w:rsid w:val="7CED61C1"/>
    <w:rsid w:val="7CED7166"/>
    <w:rsid w:val="7CF84488"/>
    <w:rsid w:val="7CF93D5D"/>
    <w:rsid w:val="7CFB5D27"/>
    <w:rsid w:val="7CFC1270"/>
    <w:rsid w:val="7D0050EB"/>
    <w:rsid w:val="7D007775"/>
    <w:rsid w:val="7D0270B5"/>
    <w:rsid w:val="7D0D15B6"/>
    <w:rsid w:val="7D100FEF"/>
    <w:rsid w:val="7D197F5B"/>
    <w:rsid w:val="7D2E5A5B"/>
    <w:rsid w:val="7D364FB1"/>
    <w:rsid w:val="7D3E3E65"/>
    <w:rsid w:val="7D441CBC"/>
    <w:rsid w:val="7D453FFD"/>
    <w:rsid w:val="7D4623A8"/>
    <w:rsid w:val="7D496A0D"/>
    <w:rsid w:val="7D4C550D"/>
    <w:rsid w:val="7D5471E5"/>
    <w:rsid w:val="7D5477BD"/>
    <w:rsid w:val="7D5611AF"/>
    <w:rsid w:val="7D586CD5"/>
    <w:rsid w:val="7D6513F2"/>
    <w:rsid w:val="7D661446"/>
    <w:rsid w:val="7D6E10E2"/>
    <w:rsid w:val="7D755AD9"/>
    <w:rsid w:val="7D796C4C"/>
    <w:rsid w:val="7D7B0C16"/>
    <w:rsid w:val="7D8201F6"/>
    <w:rsid w:val="7D821FA4"/>
    <w:rsid w:val="7D842AE0"/>
    <w:rsid w:val="7D876359"/>
    <w:rsid w:val="7D891584"/>
    <w:rsid w:val="7D8950E1"/>
    <w:rsid w:val="7D937D0D"/>
    <w:rsid w:val="7D9817C8"/>
    <w:rsid w:val="7D9A72EE"/>
    <w:rsid w:val="7DA0242A"/>
    <w:rsid w:val="7DA55C93"/>
    <w:rsid w:val="7DA64255"/>
    <w:rsid w:val="7DAC3ABF"/>
    <w:rsid w:val="7DB163E5"/>
    <w:rsid w:val="7DB3215D"/>
    <w:rsid w:val="7DB44FF6"/>
    <w:rsid w:val="7DB859C6"/>
    <w:rsid w:val="7DBC3708"/>
    <w:rsid w:val="7DBF4FA6"/>
    <w:rsid w:val="7DC12ACC"/>
    <w:rsid w:val="7DC223A1"/>
    <w:rsid w:val="7DC4436B"/>
    <w:rsid w:val="7DC97BD3"/>
    <w:rsid w:val="7DD02D0F"/>
    <w:rsid w:val="7DD722F0"/>
    <w:rsid w:val="7DE40569"/>
    <w:rsid w:val="7DE95B7F"/>
    <w:rsid w:val="7DF34C50"/>
    <w:rsid w:val="7DF37B69"/>
    <w:rsid w:val="7DF52776"/>
    <w:rsid w:val="7DF764EE"/>
    <w:rsid w:val="7DF86912"/>
    <w:rsid w:val="7DFA7D8C"/>
    <w:rsid w:val="7DFC3B04"/>
    <w:rsid w:val="7DFD10C4"/>
    <w:rsid w:val="7DFF35F5"/>
    <w:rsid w:val="7E09024E"/>
    <w:rsid w:val="7E0E1A8A"/>
    <w:rsid w:val="7E0E6A8C"/>
    <w:rsid w:val="7E1A21DD"/>
    <w:rsid w:val="7E1E0B58"/>
    <w:rsid w:val="7E2B263C"/>
    <w:rsid w:val="7E310B05"/>
    <w:rsid w:val="7E357016"/>
    <w:rsid w:val="7E434DF3"/>
    <w:rsid w:val="7E4436FD"/>
    <w:rsid w:val="7E447259"/>
    <w:rsid w:val="7E494870"/>
    <w:rsid w:val="7E4D25B2"/>
    <w:rsid w:val="7E5751DF"/>
    <w:rsid w:val="7E5F5E41"/>
    <w:rsid w:val="7E6D67B0"/>
    <w:rsid w:val="7E725B75"/>
    <w:rsid w:val="7E8B3CD3"/>
    <w:rsid w:val="7E8D08E2"/>
    <w:rsid w:val="7E990AC0"/>
    <w:rsid w:val="7E9E4BBC"/>
    <w:rsid w:val="7EA40CFA"/>
    <w:rsid w:val="7EA90D5A"/>
    <w:rsid w:val="7EAD3051"/>
    <w:rsid w:val="7EB048EF"/>
    <w:rsid w:val="7EB21FDA"/>
    <w:rsid w:val="7EB45671"/>
    <w:rsid w:val="7EB663A9"/>
    <w:rsid w:val="7EBE0DBA"/>
    <w:rsid w:val="7EC078D4"/>
    <w:rsid w:val="7EC62364"/>
    <w:rsid w:val="7ECA3C03"/>
    <w:rsid w:val="7ECD36F3"/>
    <w:rsid w:val="7ED607F9"/>
    <w:rsid w:val="7ED76320"/>
    <w:rsid w:val="7EDC1B88"/>
    <w:rsid w:val="7EE06F82"/>
    <w:rsid w:val="7EE97F4C"/>
    <w:rsid w:val="7EF2057B"/>
    <w:rsid w:val="7EF42A2E"/>
    <w:rsid w:val="7EF64A04"/>
    <w:rsid w:val="7EFB0260"/>
    <w:rsid w:val="7F0030A6"/>
    <w:rsid w:val="7F005876"/>
    <w:rsid w:val="7F0215EE"/>
    <w:rsid w:val="7F054C3B"/>
    <w:rsid w:val="7F080AB1"/>
    <w:rsid w:val="7F0B7D77"/>
    <w:rsid w:val="7F0F06E7"/>
    <w:rsid w:val="7F1D01D6"/>
    <w:rsid w:val="7F211349"/>
    <w:rsid w:val="7F3177DE"/>
    <w:rsid w:val="7F392B36"/>
    <w:rsid w:val="7F3948E4"/>
    <w:rsid w:val="7F3B065C"/>
    <w:rsid w:val="7F4339B5"/>
    <w:rsid w:val="7F477001"/>
    <w:rsid w:val="7F4F4108"/>
    <w:rsid w:val="7F511C2E"/>
    <w:rsid w:val="7F533BF8"/>
    <w:rsid w:val="7F54182C"/>
    <w:rsid w:val="7F565496"/>
    <w:rsid w:val="7F596D35"/>
    <w:rsid w:val="7F5B485B"/>
    <w:rsid w:val="7F5D4923"/>
    <w:rsid w:val="7F625BE9"/>
    <w:rsid w:val="7F68347E"/>
    <w:rsid w:val="7F6C4CBA"/>
    <w:rsid w:val="7F765B38"/>
    <w:rsid w:val="7F7968F7"/>
    <w:rsid w:val="7F7B4EFD"/>
    <w:rsid w:val="7F7E49ED"/>
    <w:rsid w:val="7F7F5E47"/>
    <w:rsid w:val="7F800765"/>
    <w:rsid w:val="7F8042C1"/>
    <w:rsid w:val="7F8518D8"/>
    <w:rsid w:val="7F855D7C"/>
    <w:rsid w:val="7F871AF4"/>
    <w:rsid w:val="7F8C710A"/>
    <w:rsid w:val="7F9064DA"/>
    <w:rsid w:val="7F961D37"/>
    <w:rsid w:val="7F983D01"/>
    <w:rsid w:val="7F991773"/>
    <w:rsid w:val="7FAF4BA7"/>
    <w:rsid w:val="7FB1091F"/>
    <w:rsid w:val="7FBA042D"/>
    <w:rsid w:val="7FC56EAA"/>
    <w:rsid w:val="7FEA0D19"/>
    <w:rsid w:val="7FEB2083"/>
    <w:rsid w:val="7FF52F01"/>
    <w:rsid w:val="7FF627D5"/>
    <w:rsid w:val="7FF81E76"/>
    <w:rsid w:val="7FFB603E"/>
    <w:rsid w:val="7FFD3B64"/>
    <w:rsid w:val="7FFE2C2E"/>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jc w:val="center"/>
      <w:outlineLvl w:val="1"/>
    </w:pPr>
    <w:rPr>
      <w:rFonts w:ascii="Arial" w:hAnsi="Arial" w:eastAsia="幼圆"/>
      <w:b/>
      <w:bCs/>
      <w:kern w:val="0"/>
      <w:sz w:val="44"/>
      <w:szCs w:val="44"/>
    </w:rPr>
  </w:style>
  <w:style w:type="paragraph" w:styleId="4">
    <w:name w:val="heading 3"/>
    <w:basedOn w:val="1"/>
    <w:next w:val="1"/>
    <w:qFormat/>
    <w:uiPriority w:val="9"/>
    <w:pPr>
      <w:keepNext/>
      <w:keepLines/>
      <w:spacing w:before="260" w:after="260" w:line="416" w:lineRule="auto"/>
      <w:outlineLvl w:val="2"/>
    </w:pPr>
    <w:rPr>
      <w:b/>
      <w:kern w:val="0"/>
      <w:sz w:val="32"/>
      <w:szCs w:val="20"/>
    </w:rPr>
  </w:style>
  <w:style w:type="paragraph" w:styleId="5">
    <w:name w:val="heading 4"/>
    <w:basedOn w:val="1"/>
    <w:next w:val="1"/>
    <w:qFormat/>
    <w:uiPriority w:val="9"/>
    <w:pPr>
      <w:spacing w:beforeLines="150" w:afterLines="150"/>
      <w:outlineLvl w:val="3"/>
    </w:pPr>
    <w:rPr>
      <w:rFonts w:ascii="宋体" w:hAnsi="宋体"/>
      <w:color w:val="000000"/>
      <w:sz w:val="24"/>
      <w:szCs w:val="28"/>
      <w:u w:val="single"/>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Normal Indent"/>
    <w:basedOn w:val="1"/>
    <w:next w:val="1"/>
    <w:link w:val="49"/>
    <w:qFormat/>
    <w:uiPriority w:val="0"/>
    <w:pPr>
      <w:ind w:firstLine="420"/>
    </w:pPr>
    <w:rPr>
      <w:kern w:val="0"/>
      <w:sz w:val="20"/>
      <w:szCs w:val="21"/>
    </w:rPr>
  </w:style>
  <w:style w:type="paragraph" w:styleId="8">
    <w:name w:val="Document Map"/>
    <w:basedOn w:val="1"/>
    <w:link w:val="50"/>
    <w:unhideWhenUsed/>
    <w:qFormat/>
    <w:uiPriority w:val="99"/>
    <w:rPr>
      <w:rFonts w:ascii="宋体"/>
      <w:sz w:val="18"/>
      <w:szCs w:val="18"/>
    </w:rPr>
  </w:style>
  <w:style w:type="paragraph" w:styleId="9">
    <w:name w:val="annotation text"/>
    <w:basedOn w:val="1"/>
    <w:link w:val="51"/>
    <w:unhideWhenUsed/>
    <w:qFormat/>
    <w:uiPriority w:val="99"/>
    <w:pPr>
      <w:jc w:val="left"/>
    </w:pPr>
  </w:style>
  <w:style w:type="paragraph" w:styleId="10">
    <w:name w:val="Body Text"/>
    <w:basedOn w:val="1"/>
    <w:next w:val="11"/>
    <w:unhideWhenUsed/>
    <w:qFormat/>
    <w:uiPriority w:val="99"/>
    <w:rPr>
      <w:rFonts w:ascii="楷体_GB2312" w:hAnsi="Arial" w:eastAsia="楷体_GB2312"/>
      <w:kern w:val="0"/>
      <w:sz w:val="28"/>
      <w:szCs w:val="28"/>
    </w:rPr>
  </w:style>
  <w:style w:type="paragraph" w:styleId="11">
    <w:name w:val="toc 8"/>
    <w:basedOn w:val="1"/>
    <w:next w:val="1"/>
    <w:qFormat/>
    <w:uiPriority w:val="39"/>
    <w:pPr>
      <w:widowControl/>
      <w:overflowPunct w:val="0"/>
      <w:autoSpaceDE w:val="0"/>
      <w:autoSpaceDN w:val="0"/>
      <w:adjustRightInd w:val="0"/>
      <w:spacing w:line="360" w:lineRule="auto"/>
      <w:ind w:left="1960"/>
      <w:jc w:val="left"/>
      <w:textAlignment w:val="baseline"/>
    </w:pPr>
    <w:rPr>
      <w:kern w:val="0"/>
      <w:sz w:val="18"/>
      <w:szCs w:val="18"/>
    </w:rPr>
  </w:style>
  <w:style w:type="paragraph" w:styleId="12">
    <w:name w:val="Body Text Indent"/>
    <w:basedOn w:val="1"/>
    <w:next w:val="13"/>
    <w:unhideWhenUsed/>
    <w:qFormat/>
    <w:uiPriority w:val="99"/>
    <w:pPr>
      <w:spacing w:line="400" w:lineRule="exact"/>
      <w:ind w:firstLine="540" w:firstLineChars="225"/>
    </w:pPr>
    <w:rPr>
      <w:sz w:val="24"/>
    </w:rPr>
  </w:style>
  <w:style w:type="paragraph" w:styleId="13">
    <w:name w:val="envelope return"/>
    <w:basedOn w:val="1"/>
    <w:unhideWhenUsed/>
    <w:qFormat/>
    <w:uiPriority w:val="99"/>
    <w:pPr>
      <w:snapToGrid w:val="0"/>
    </w:pPr>
    <w:rPr>
      <w:rFonts w:ascii="Arial" w:hAnsi="Arial"/>
    </w:rPr>
  </w:style>
  <w:style w:type="paragraph" w:styleId="14">
    <w:name w:val="List Bullet 2"/>
    <w:basedOn w:val="1"/>
    <w:unhideWhenUsed/>
    <w:qFormat/>
    <w:uiPriority w:val="99"/>
    <w:pPr>
      <w:numPr>
        <w:ilvl w:val="0"/>
        <w:numId w:val="1"/>
      </w:numPr>
    </w:pPr>
  </w:style>
  <w:style w:type="paragraph" w:styleId="15">
    <w:name w:val="Plain Text"/>
    <w:basedOn w:val="1"/>
    <w:link w:val="52"/>
    <w:qFormat/>
    <w:uiPriority w:val="0"/>
    <w:rPr>
      <w:rFonts w:ascii="宋体" w:hAnsi="Courier New"/>
      <w:kern w:val="0"/>
      <w:sz w:val="20"/>
      <w:szCs w:val="21"/>
    </w:rPr>
  </w:style>
  <w:style w:type="paragraph" w:styleId="16">
    <w:name w:val="Date"/>
    <w:basedOn w:val="1"/>
    <w:next w:val="1"/>
    <w:link w:val="53"/>
    <w:qFormat/>
    <w:uiPriority w:val="0"/>
    <w:rPr>
      <w:kern w:val="0"/>
      <w:sz w:val="24"/>
      <w:szCs w:val="20"/>
    </w:rPr>
  </w:style>
  <w:style w:type="paragraph" w:styleId="17">
    <w:name w:val="Body Text Indent 2"/>
    <w:basedOn w:val="1"/>
    <w:unhideWhenUsed/>
    <w:qFormat/>
    <w:uiPriority w:val="99"/>
    <w:pPr>
      <w:spacing w:line="520" w:lineRule="exact"/>
      <w:ind w:firstLine="510"/>
    </w:pPr>
    <w:rPr>
      <w:rFonts w:ascii="华文仿宋" w:eastAsia="华文仿宋"/>
      <w:sz w:val="28"/>
    </w:rPr>
  </w:style>
  <w:style w:type="paragraph" w:styleId="18">
    <w:name w:val="Balloon Text"/>
    <w:basedOn w:val="1"/>
    <w:link w:val="54"/>
    <w:unhideWhenUsed/>
    <w:qFormat/>
    <w:uiPriority w:val="99"/>
    <w:rPr>
      <w:kern w:val="0"/>
      <w:sz w:val="18"/>
      <w:szCs w:val="18"/>
    </w:rPr>
  </w:style>
  <w:style w:type="paragraph" w:styleId="19">
    <w:name w:val="footer"/>
    <w:basedOn w:val="1"/>
    <w:link w:val="55"/>
    <w:unhideWhenUsed/>
    <w:qFormat/>
    <w:uiPriority w:val="99"/>
    <w:pPr>
      <w:tabs>
        <w:tab w:val="center" w:pos="4153"/>
        <w:tab w:val="right" w:pos="8306"/>
      </w:tabs>
      <w:snapToGrid w:val="0"/>
      <w:jc w:val="left"/>
    </w:pPr>
    <w:rPr>
      <w:kern w:val="0"/>
      <w:sz w:val="18"/>
      <w:szCs w:val="18"/>
    </w:rPr>
  </w:style>
  <w:style w:type="paragraph" w:styleId="20">
    <w:name w:val="header"/>
    <w:basedOn w:val="1"/>
    <w:link w:val="5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1">
    <w:name w:val="toc 1"/>
    <w:basedOn w:val="1"/>
    <w:next w:val="1"/>
    <w:unhideWhenUsed/>
    <w:qFormat/>
    <w:uiPriority w:val="39"/>
  </w:style>
  <w:style w:type="paragraph" w:styleId="22">
    <w:name w:val="toc 2"/>
    <w:basedOn w:val="1"/>
    <w:next w:val="1"/>
    <w:unhideWhenUsed/>
    <w:qFormat/>
    <w:uiPriority w:val="39"/>
    <w:pPr>
      <w:ind w:left="420" w:leftChars="200"/>
    </w:pPr>
  </w:style>
  <w:style w:type="paragraph" w:styleId="23">
    <w:name w:val="toc 9"/>
    <w:basedOn w:val="1"/>
    <w:next w:val="1"/>
    <w:qFormat/>
    <w:uiPriority w:val="0"/>
    <w:pPr>
      <w:ind w:left="3360" w:leftChars="1600"/>
    </w:pPr>
    <w:rPr>
      <w:rFonts w:ascii="Calibri" w:hAnsi="Calibri"/>
    </w:rPr>
  </w:style>
  <w:style w:type="paragraph" w:styleId="24">
    <w:name w:val="Body Text 2"/>
    <w:basedOn w:val="1"/>
    <w:qFormat/>
    <w:uiPriority w:val="0"/>
    <w:pPr>
      <w:spacing w:after="120" w:line="480" w:lineRule="auto"/>
    </w:pPr>
  </w:style>
  <w:style w:type="paragraph" w:styleId="2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qFormat/>
    <w:uiPriority w:val="0"/>
    <w:pPr>
      <w:tabs>
        <w:tab w:val="left" w:pos="709"/>
        <w:tab w:val="left" w:pos="975"/>
        <w:tab w:val="left" w:pos="1418"/>
        <w:tab w:val="left" w:pos="2126"/>
        <w:tab w:val="left" w:pos="2835"/>
        <w:tab w:val="left" w:pos="3544"/>
        <w:tab w:val="left" w:pos="4253"/>
        <w:tab w:val="left" w:pos="4961"/>
        <w:tab w:val="left" w:pos="5670"/>
      </w:tabs>
      <w:adjustRightInd w:val="0"/>
      <w:snapToGrid w:val="0"/>
      <w:jc w:val="left"/>
      <w:outlineLvl w:val="0"/>
    </w:pPr>
    <w:rPr>
      <w:b/>
      <w:sz w:val="24"/>
      <w:szCs w:val="20"/>
    </w:rPr>
  </w:style>
  <w:style w:type="paragraph" w:styleId="27">
    <w:name w:val="annotation subject"/>
    <w:basedOn w:val="9"/>
    <w:next w:val="9"/>
    <w:link w:val="57"/>
    <w:unhideWhenUsed/>
    <w:qFormat/>
    <w:uiPriority w:val="99"/>
    <w:rPr>
      <w:b/>
      <w:bCs/>
    </w:rPr>
  </w:style>
  <w:style w:type="paragraph" w:styleId="28">
    <w:name w:val="Body Text First Indent"/>
    <w:basedOn w:val="10"/>
    <w:next w:val="1"/>
    <w:qFormat/>
    <w:uiPriority w:val="0"/>
    <w:pPr>
      <w:spacing w:before="100" w:after="100" w:line="360" w:lineRule="atLeast"/>
      <w:ind w:firstLine="425"/>
      <w:textAlignment w:val="baseline"/>
    </w:pPr>
    <w:rPr>
      <w:rFonts w:ascii="Times New Roman" w:hAnsi="Times New Roman" w:eastAsia="宋体"/>
    </w:rPr>
  </w:style>
  <w:style w:type="paragraph" w:styleId="29">
    <w:name w:val="Body Text First Indent 2"/>
    <w:basedOn w:val="12"/>
    <w:unhideWhenUsed/>
    <w:qFormat/>
    <w:uiPriority w:val="99"/>
    <w:pPr>
      <w:ind w:firstLine="420" w:firstLineChars="200"/>
    </w:pPr>
  </w:style>
  <w:style w:type="table" w:styleId="31">
    <w:name w:val="Table Grid"/>
    <w:basedOn w:val="30"/>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22"/>
    <w:rPr>
      <w:b/>
    </w:rPr>
  </w:style>
  <w:style w:type="character" w:styleId="34">
    <w:name w:val="page number"/>
    <w:unhideWhenUsed/>
    <w:qFormat/>
    <w:uiPriority w:val="99"/>
  </w:style>
  <w:style w:type="character" w:styleId="35">
    <w:name w:val="FollowedHyperlink"/>
    <w:unhideWhenUsed/>
    <w:qFormat/>
    <w:uiPriority w:val="99"/>
    <w:rPr>
      <w:color w:val="338DE6"/>
      <w:u w:val="none"/>
    </w:rPr>
  </w:style>
  <w:style w:type="character" w:styleId="36">
    <w:name w:val="Emphasis"/>
    <w:qFormat/>
    <w:uiPriority w:val="20"/>
  </w:style>
  <w:style w:type="character" w:styleId="37">
    <w:name w:val="HTML Definition"/>
    <w:unhideWhenUsed/>
    <w:qFormat/>
    <w:uiPriority w:val="99"/>
  </w:style>
  <w:style w:type="character" w:styleId="38">
    <w:name w:val="HTML Variable"/>
    <w:unhideWhenUsed/>
    <w:qFormat/>
    <w:uiPriority w:val="99"/>
  </w:style>
  <w:style w:type="character" w:styleId="39">
    <w:name w:val="Hyperlink"/>
    <w:unhideWhenUsed/>
    <w:qFormat/>
    <w:uiPriority w:val="99"/>
    <w:rPr>
      <w:color w:val="338DE6"/>
      <w:u w:val="none"/>
    </w:rPr>
  </w:style>
  <w:style w:type="character" w:styleId="40">
    <w:name w:val="HTML Code"/>
    <w:unhideWhenUsed/>
    <w:qFormat/>
    <w:uiPriority w:val="99"/>
    <w:rPr>
      <w:rFonts w:hint="default" w:ascii="serif" w:hAnsi="serif" w:eastAsia="serif" w:cs="serif"/>
      <w:sz w:val="21"/>
      <w:szCs w:val="21"/>
    </w:rPr>
  </w:style>
  <w:style w:type="character" w:styleId="41">
    <w:name w:val="annotation reference"/>
    <w:unhideWhenUsed/>
    <w:qFormat/>
    <w:uiPriority w:val="99"/>
    <w:rPr>
      <w:sz w:val="21"/>
      <w:szCs w:val="21"/>
    </w:rPr>
  </w:style>
  <w:style w:type="character" w:styleId="42">
    <w:name w:val="HTML Cite"/>
    <w:unhideWhenUsed/>
    <w:qFormat/>
    <w:uiPriority w:val="99"/>
  </w:style>
  <w:style w:type="character" w:styleId="43">
    <w:name w:val="HTML Keyboard"/>
    <w:unhideWhenUsed/>
    <w:qFormat/>
    <w:uiPriority w:val="99"/>
    <w:rPr>
      <w:rFonts w:ascii="serif" w:hAnsi="serif" w:eastAsia="serif" w:cs="serif"/>
      <w:sz w:val="21"/>
      <w:szCs w:val="21"/>
    </w:rPr>
  </w:style>
  <w:style w:type="character" w:styleId="44">
    <w:name w:val="HTML Sample"/>
    <w:unhideWhenUsed/>
    <w:qFormat/>
    <w:uiPriority w:val="99"/>
    <w:rPr>
      <w:rFonts w:hint="default" w:ascii="serif" w:hAnsi="serif" w:eastAsia="serif" w:cs="serif"/>
      <w:sz w:val="21"/>
      <w:szCs w:val="21"/>
    </w:rPr>
  </w:style>
  <w:style w:type="paragraph" w:customStyle="1" w:styleId="45">
    <w:name w:val="正文（缩进）"/>
    <w:basedOn w:val="1"/>
    <w:qFormat/>
    <w:uiPriority w:val="0"/>
    <w:pPr>
      <w:ind w:firstLine="480" w:firstLineChars="200"/>
    </w:pPr>
  </w:style>
  <w:style w:type="paragraph" w:customStyle="1" w:styleId="46">
    <w:name w:val="Char Char Char Char Char"/>
    <w:basedOn w:val="1"/>
    <w:next w:val="1"/>
    <w:qFormat/>
    <w:uiPriority w:val="0"/>
    <w:pPr>
      <w:ind w:firstLine="5632"/>
    </w:pPr>
  </w:style>
  <w:style w:type="character" w:customStyle="1" w:styleId="47">
    <w:name w:val="标题 1 字符"/>
    <w:link w:val="2"/>
    <w:qFormat/>
    <w:uiPriority w:val="9"/>
    <w:rPr>
      <w:b/>
      <w:bCs/>
      <w:kern w:val="44"/>
      <w:sz w:val="44"/>
      <w:szCs w:val="44"/>
    </w:rPr>
  </w:style>
  <w:style w:type="character" w:customStyle="1" w:styleId="48">
    <w:name w:val="标题 2 字符"/>
    <w:link w:val="3"/>
    <w:qFormat/>
    <w:uiPriority w:val="0"/>
    <w:rPr>
      <w:rFonts w:ascii="Arial" w:hAnsi="Arial" w:eastAsia="幼圆" w:cs="Times New Roman"/>
      <w:b/>
      <w:bCs/>
      <w:sz w:val="44"/>
      <w:szCs w:val="44"/>
    </w:rPr>
  </w:style>
  <w:style w:type="character" w:customStyle="1" w:styleId="49">
    <w:name w:val="正文缩进 字符"/>
    <w:link w:val="7"/>
    <w:qFormat/>
    <w:uiPriority w:val="0"/>
    <w:rPr>
      <w:rFonts w:ascii="Times New Roman" w:hAnsi="Times New Roman" w:eastAsia="宋体" w:cs="Times New Roman"/>
      <w:szCs w:val="21"/>
    </w:rPr>
  </w:style>
  <w:style w:type="character" w:customStyle="1" w:styleId="50">
    <w:name w:val="文档结构图 字符"/>
    <w:link w:val="8"/>
    <w:semiHidden/>
    <w:qFormat/>
    <w:uiPriority w:val="99"/>
    <w:rPr>
      <w:rFonts w:ascii="宋体"/>
      <w:kern w:val="2"/>
      <w:sz w:val="18"/>
      <w:szCs w:val="18"/>
    </w:rPr>
  </w:style>
  <w:style w:type="character" w:customStyle="1" w:styleId="51">
    <w:name w:val="批注文字 字符"/>
    <w:link w:val="9"/>
    <w:qFormat/>
    <w:uiPriority w:val="99"/>
    <w:rPr>
      <w:kern w:val="2"/>
      <w:sz w:val="21"/>
      <w:szCs w:val="22"/>
    </w:rPr>
  </w:style>
  <w:style w:type="character" w:customStyle="1" w:styleId="52">
    <w:name w:val="纯文本 字符"/>
    <w:link w:val="15"/>
    <w:qFormat/>
    <w:uiPriority w:val="0"/>
    <w:rPr>
      <w:rFonts w:ascii="宋体" w:hAnsi="Courier New" w:eastAsia="宋体" w:cs="Times New Roman"/>
      <w:szCs w:val="21"/>
    </w:rPr>
  </w:style>
  <w:style w:type="character" w:customStyle="1" w:styleId="53">
    <w:name w:val="日期 字符"/>
    <w:link w:val="16"/>
    <w:qFormat/>
    <w:uiPriority w:val="0"/>
    <w:rPr>
      <w:rFonts w:ascii="Times New Roman" w:hAnsi="Times New Roman" w:eastAsia="宋体" w:cs="Times New Roman"/>
      <w:sz w:val="24"/>
      <w:szCs w:val="20"/>
    </w:rPr>
  </w:style>
  <w:style w:type="character" w:customStyle="1" w:styleId="54">
    <w:name w:val="批注框文本 字符"/>
    <w:link w:val="18"/>
    <w:semiHidden/>
    <w:qFormat/>
    <w:uiPriority w:val="99"/>
    <w:rPr>
      <w:sz w:val="18"/>
      <w:szCs w:val="18"/>
    </w:rPr>
  </w:style>
  <w:style w:type="character" w:customStyle="1" w:styleId="55">
    <w:name w:val="页脚 字符"/>
    <w:link w:val="19"/>
    <w:qFormat/>
    <w:uiPriority w:val="99"/>
    <w:rPr>
      <w:sz w:val="18"/>
      <w:szCs w:val="18"/>
    </w:rPr>
  </w:style>
  <w:style w:type="character" w:customStyle="1" w:styleId="56">
    <w:name w:val="页眉 字符"/>
    <w:link w:val="20"/>
    <w:qFormat/>
    <w:uiPriority w:val="99"/>
    <w:rPr>
      <w:sz w:val="18"/>
      <w:szCs w:val="18"/>
    </w:rPr>
  </w:style>
  <w:style w:type="character" w:customStyle="1" w:styleId="57">
    <w:name w:val="批注主题 字符"/>
    <w:link w:val="27"/>
    <w:qFormat/>
    <w:uiPriority w:val="0"/>
  </w:style>
  <w:style w:type="paragraph" w:customStyle="1" w:styleId="58">
    <w:name w:val="正文1"/>
    <w:basedOn w:val="1"/>
    <w:next w:val="59"/>
    <w:qFormat/>
    <w:uiPriority w:val="0"/>
    <w:pPr>
      <w:spacing w:before="156"/>
      <w:ind w:firstLine="510" w:firstLineChars="200"/>
    </w:pPr>
    <w:rPr>
      <w:szCs w:val="20"/>
    </w:rPr>
  </w:style>
  <w:style w:type="paragraph" w:customStyle="1" w:styleId="59">
    <w:name w:val="正文文本1"/>
    <w:basedOn w:val="58"/>
    <w:next w:val="1"/>
    <w:qFormat/>
    <w:uiPriority w:val="0"/>
    <w:pPr>
      <w:spacing w:after="120"/>
    </w:pPr>
    <w:rPr>
      <w:lang w:eastAsia="en-US"/>
    </w:rPr>
  </w:style>
  <w:style w:type="paragraph" w:customStyle="1" w:styleId="60">
    <w:name w:val="一级条标题"/>
    <w:basedOn w:val="61"/>
    <w:next w:val="62"/>
    <w:qFormat/>
    <w:uiPriority w:val="0"/>
    <w:pPr>
      <w:tabs>
        <w:tab w:val="left" w:pos="810"/>
        <w:tab w:val="left" w:pos="907"/>
        <w:tab w:val="left" w:pos="1265"/>
      </w:tabs>
      <w:spacing w:before="0" w:after="0"/>
      <w:ind w:left="907" w:hanging="907"/>
      <w:outlineLvl w:val="2"/>
    </w:pPr>
    <w:rPr>
      <w:rFonts w:hAnsi="宋体"/>
      <w:sz w:val="20"/>
      <w:szCs w:val="20"/>
    </w:rPr>
  </w:style>
  <w:style w:type="paragraph" w:customStyle="1" w:styleId="61">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sz w:val="21"/>
      <w:szCs w:val="22"/>
      <w:lang w:val="en-US" w:eastAsia="zh-CN" w:bidi="ar-SA"/>
    </w:rPr>
  </w:style>
  <w:style w:type="paragraph" w:customStyle="1" w:styleId="62">
    <w:name w:val="段"/>
    <w:basedOn w:val="58"/>
    <w:next w:val="1"/>
    <w:qFormat/>
    <w:uiPriority w:val="0"/>
    <w:pPr>
      <w:widowControl/>
      <w:ind w:firstLine="200"/>
    </w:pPr>
    <w:rPr>
      <w:rFonts w:ascii="宋体"/>
      <w:sz w:val="20"/>
    </w:rPr>
  </w:style>
  <w:style w:type="character" w:customStyle="1" w:styleId="63">
    <w:name w:val="要点1"/>
    <w:qFormat/>
    <w:uiPriority w:val="22"/>
    <w:rPr>
      <w:kern w:val="2"/>
      <w:sz w:val="21"/>
      <w:szCs w:val="22"/>
      <w:lang w:val="en-US" w:eastAsia="zh-CN" w:bidi="ar-SA"/>
    </w:rPr>
  </w:style>
  <w:style w:type="paragraph" w:customStyle="1" w:styleId="64">
    <w:name w:val="Char Char Char Char Char Char Char Char Char"/>
    <w:basedOn w:val="1"/>
    <w:next w:val="65"/>
    <w:qFormat/>
    <w:uiPriority w:val="0"/>
    <w:pPr>
      <w:ind w:left="360" w:firstLine="5784"/>
    </w:pPr>
  </w:style>
  <w:style w:type="paragraph" w:customStyle="1" w:styleId="65">
    <w:name w:val="正文文本 21"/>
    <w:basedOn w:val="1"/>
    <w:next w:val="66"/>
    <w:qFormat/>
    <w:uiPriority w:val="0"/>
    <w:pPr>
      <w:widowControl/>
      <w:autoSpaceDE w:val="0"/>
      <w:autoSpaceDN w:val="0"/>
      <w:ind w:left="720" w:firstLine="5680"/>
    </w:pPr>
  </w:style>
  <w:style w:type="paragraph" w:customStyle="1" w:styleId="66">
    <w:name w:val="默认段落字体 Para Char Char Char Char Char Char Char"/>
    <w:basedOn w:val="1"/>
    <w:next w:val="67"/>
    <w:qFormat/>
    <w:uiPriority w:val="0"/>
    <w:pPr>
      <w:ind w:firstLine="200" w:firstLineChars="200"/>
    </w:pPr>
    <w:rPr>
      <w:rFonts w:cs="Arial"/>
    </w:rPr>
  </w:style>
  <w:style w:type="paragraph" w:customStyle="1" w:styleId="67">
    <w:name w:val="样式 首行缩进:  2 字符"/>
    <w:basedOn w:val="1"/>
    <w:next w:val="68"/>
    <w:qFormat/>
    <w:uiPriority w:val="0"/>
    <w:pPr>
      <w:spacing w:line="360" w:lineRule="auto"/>
      <w:ind w:left="480" w:firstLine="5856"/>
    </w:pPr>
  </w:style>
  <w:style w:type="paragraph" w:customStyle="1" w:styleId="68">
    <w:name w:val="样式 段后: 0.25 行"/>
    <w:basedOn w:val="1"/>
    <w:next w:val="69"/>
    <w:qFormat/>
    <w:uiPriority w:val="0"/>
    <w:pPr>
      <w:widowControl/>
      <w:spacing w:line="300" w:lineRule="auto"/>
      <w:ind w:left="420" w:firstLine="5796"/>
    </w:pPr>
  </w:style>
  <w:style w:type="paragraph" w:customStyle="1" w:styleId="69">
    <w:name w:val="正文 New New New New New New New New New New New New New New"/>
    <w:next w:val="23"/>
    <w:qFormat/>
    <w:uiPriority w:val="0"/>
    <w:pPr>
      <w:widowControl w:val="0"/>
      <w:ind w:firstLine="2048"/>
      <w:jc w:val="both"/>
    </w:pPr>
    <w:rPr>
      <w:rFonts w:ascii="Calibri" w:hAnsi="Calibri" w:eastAsia="宋体" w:cs="Times New Roman"/>
      <w:lang w:val="en-US" w:eastAsia="zh-CN" w:bidi="ar-SA"/>
    </w:rPr>
  </w:style>
  <w:style w:type="paragraph" w:customStyle="1" w:styleId="70">
    <w:name w:val="正文文本11"/>
    <w:basedOn w:val="1"/>
    <w:next w:val="1"/>
    <w:qFormat/>
    <w:uiPriority w:val="0"/>
    <w:rPr>
      <w:rFonts w:ascii="楷体_GB2312" w:hAnsi="Arial" w:eastAsia="楷体_GB2312"/>
      <w:sz w:val="28"/>
      <w:szCs w:val="28"/>
    </w:rPr>
  </w:style>
  <w:style w:type="character" w:customStyle="1" w:styleId="71">
    <w:name w:val="fontstrikethrough"/>
    <w:qFormat/>
    <w:uiPriority w:val="0"/>
    <w:rPr>
      <w:strike/>
    </w:rPr>
  </w:style>
  <w:style w:type="character" w:customStyle="1" w:styleId="72">
    <w:name w:val="列出段落 Char"/>
    <w:link w:val="73"/>
    <w:qFormat/>
    <w:locked/>
    <w:uiPriority w:val="0"/>
    <w:rPr>
      <w:rFonts w:ascii="Calibri" w:hAnsi="Calibri" w:eastAsia="宋体" w:cs="Times New Roman"/>
      <w:kern w:val="0"/>
      <w:sz w:val="24"/>
      <w:szCs w:val="24"/>
      <w:lang w:eastAsia="en-US" w:bidi="en-US"/>
    </w:rPr>
  </w:style>
  <w:style w:type="paragraph" w:customStyle="1" w:styleId="73">
    <w:name w:val="列出段落1"/>
    <w:basedOn w:val="1"/>
    <w:link w:val="72"/>
    <w:qFormat/>
    <w:uiPriority w:val="0"/>
    <w:pPr>
      <w:widowControl/>
      <w:ind w:left="720"/>
      <w:contextualSpacing/>
      <w:jc w:val="left"/>
    </w:pPr>
    <w:rPr>
      <w:kern w:val="0"/>
      <w:sz w:val="24"/>
      <w:szCs w:val="24"/>
      <w:lang w:eastAsia="en-US" w:bidi="en-US"/>
    </w:rPr>
  </w:style>
  <w:style w:type="character" w:customStyle="1" w:styleId="74">
    <w:name w:val="fontborder"/>
    <w:qFormat/>
    <w:uiPriority w:val="0"/>
    <w:rPr>
      <w:bdr w:val="single" w:color="000000" w:sz="6" w:space="0"/>
    </w:rPr>
  </w:style>
  <w:style w:type="character" w:customStyle="1" w:styleId="75">
    <w:name w:val="NormalCharacter"/>
    <w:qFormat/>
    <w:uiPriority w:val="0"/>
    <w:rPr>
      <w:kern w:val="2"/>
      <w:sz w:val="21"/>
      <w:szCs w:val="22"/>
      <w:lang w:val="en-US" w:eastAsia="zh-CN" w:bidi="ar-SA"/>
    </w:rPr>
  </w:style>
  <w:style w:type="paragraph" w:customStyle="1" w:styleId="76">
    <w:name w:val="样式2"/>
    <w:basedOn w:val="1"/>
    <w:qFormat/>
    <w:uiPriority w:val="99"/>
    <w:pPr>
      <w:adjustRightInd w:val="0"/>
      <w:spacing w:line="410" w:lineRule="atLeast"/>
      <w:jc w:val="left"/>
    </w:pPr>
    <w:rPr>
      <w:rFonts w:ascii="宋体"/>
      <w:kern w:val="0"/>
      <w:sz w:val="24"/>
      <w:szCs w:val="20"/>
    </w:rPr>
  </w:style>
  <w:style w:type="paragraph" w:customStyle="1" w:styleId="77">
    <w:name w:val="正文 A"/>
    <w:next w:val="62"/>
    <w:qFormat/>
    <w:uiPriority w:val="0"/>
    <w:pPr>
      <w:framePr w:wrap="around" w:vAnchor="margin" w:hAnchor="text" w:yAlign="top"/>
      <w:widowControl w:val="0"/>
      <w:jc w:val="both"/>
    </w:pPr>
    <w:rPr>
      <w:rFonts w:ascii="Times New Roman" w:hAnsi="Times New Roman" w:eastAsia="Times New Roman" w:cs="Times New Roman"/>
      <w:color w:val="000000"/>
      <w:sz w:val="21"/>
      <w:szCs w:val="21"/>
      <w:lang w:val="en-US" w:eastAsia="zh-CN" w:bidi="ar-SA"/>
    </w:rPr>
  </w:style>
  <w:style w:type="paragraph" w:customStyle="1" w:styleId="78">
    <w:name w:val="Blockquote"/>
    <w:basedOn w:val="1"/>
    <w:qFormat/>
    <w:uiPriority w:val="0"/>
    <w:pPr>
      <w:autoSpaceDE w:val="0"/>
      <w:autoSpaceDN w:val="0"/>
      <w:adjustRightInd w:val="0"/>
      <w:snapToGrid w:val="0"/>
      <w:spacing w:before="100" w:after="100"/>
      <w:ind w:left="360" w:right="360"/>
      <w:jc w:val="left"/>
    </w:pPr>
    <w:rPr>
      <w:kern w:val="0"/>
      <w:sz w:val="24"/>
      <w:szCs w:val="21"/>
    </w:rPr>
  </w:style>
  <w:style w:type="paragraph" w:customStyle="1" w:styleId="79">
    <w:name w:val="普通文字"/>
    <w:basedOn w:val="1"/>
    <w:next w:val="1"/>
    <w:qFormat/>
    <w:uiPriority w:val="0"/>
    <w:rPr>
      <w:rFonts w:ascii="宋体"/>
      <w:kern w:val="0"/>
      <w:sz w:val="24"/>
      <w:szCs w:val="20"/>
    </w:rPr>
  </w:style>
  <w:style w:type="paragraph" w:customStyle="1" w:styleId="80">
    <w:name w:val="张勋节格式居中"/>
    <w:qFormat/>
    <w:uiPriority w:val="99"/>
    <w:pPr>
      <w:adjustRightInd w:val="0"/>
      <w:snapToGrid w:val="0"/>
      <w:spacing w:before="100" w:beforeAutospacing="1" w:after="100" w:afterAutospacing="1" w:line="360" w:lineRule="exact"/>
      <w:ind w:firstLine="480"/>
      <w:jc w:val="center"/>
      <w:textAlignment w:val="center"/>
    </w:pPr>
    <w:rPr>
      <w:rFonts w:ascii="宋体" w:hAnsi="Times New Roman" w:eastAsia="宋体" w:cs="宋体"/>
      <w:b/>
      <w:kern w:val="2"/>
      <w:sz w:val="28"/>
      <w:szCs w:val="28"/>
      <w:lang w:val="zh-CN" w:eastAsia="zh-CN" w:bidi="ar-SA"/>
    </w:rPr>
  </w:style>
  <w:style w:type="paragraph" w:customStyle="1" w:styleId="81">
    <w:name w:val="无间隔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2">
    <w:name w:val="纯文本1"/>
    <w:basedOn w:val="1"/>
    <w:qFormat/>
    <w:uiPriority w:val="0"/>
    <w:pPr>
      <w:adjustRightInd w:val="0"/>
      <w:textAlignment w:val="baseline"/>
    </w:pPr>
    <w:rPr>
      <w:rFonts w:ascii="宋体" w:hAnsi="Courier New" w:eastAsia="楷体_GB2312"/>
      <w:sz w:val="28"/>
      <w:szCs w:val="20"/>
    </w:rPr>
  </w:style>
  <w:style w:type="paragraph" w:styleId="83">
    <w:name w:val="List Paragraph"/>
    <w:basedOn w:val="1"/>
    <w:qFormat/>
    <w:uiPriority w:val="0"/>
    <w:pPr>
      <w:ind w:firstLine="420" w:firstLineChars="200"/>
    </w:pPr>
    <w:rPr>
      <w:rFonts w:eastAsia="楷体_GB2312"/>
      <w:sz w:val="26"/>
      <w:szCs w:val="20"/>
    </w:rPr>
  </w:style>
  <w:style w:type="paragraph" w:customStyle="1" w:styleId="84">
    <w:name w:val="_Style 82"/>
    <w:unhideWhenUsed/>
    <w:qFormat/>
    <w:uiPriority w:val="99"/>
    <w:rPr>
      <w:rFonts w:ascii="Times New Roman" w:hAnsi="Times New Roman" w:eastAsia="宋体" w:cs="Times New Roman"/>
      <w:kern w:val="2"/>
      <w:sz w:val="21"/>
      <w:szCs w:val="22"/>
      <w:lang w:val="en-US" w:eastAsia="zh-CN" w:bidi="ar-SA"/>
    </w:rPr>
  </w:style>
  <w:style w:type="paragraph" w:customStyle="1" w:styleId="85">
    <w:name w:val="正文 1.1.1"/>
    <w:basedOn w:val="1"/>
    <w:next w:val="1"/>
    <w:qFormat/>
    <w:uiPriority w:val="0"/>
    <w:pPr>
      <w:numPr>
        <w:ilvl w:val="2"/>
        <w:numId w:val="2"/>
      </w:numPr>
      <w:outlineLvl w:val="2"/>
    </w:pPr>
    <w:rPr>
      <w:rFonts w:hAnsi="宋体"/>
      <w:color w:val="FF0000"/>
    </w:rPr>
  </w:style>
  <w:style w:type="paragraph" w:customStyle="1" w:styleId="86">
    <w:name w:val="Table Paragraph"/>
    <w:basedOn w:val="1"/>
    <w:qFormat/>
    <w:uiPriority w:val="1"/>
    <w:pPr>
      <w:autoSpaceDE w:val="0"/>
      <w:autoSpaceDN w:val="0"/>
      <w:jc w:val="left"/>
    </w:pPr>
    <w:rPr>
      <w:rFonts w:ascii="宋体" w:hAnsi="宋体" w:cs="宋体"/>
      <w:kern w:val="0"/>
      <w:sz w:val="22"/>
      <w:lang w:val="zh-CN" w:bidi="zh-CN"/>
    </w:rPr>
  </w:style>
  <w:style w:type="paragraph" w:customStyle="1" w:styleId="87">
    <w:name w:val="p0"/>
    <w:basedOn w:val="1"/>
    <w:qFormat/>
    <w:uiPriority w:val="0"/>
    <w:pPr>
      <w:widowControl/>
    </w:pPr>
  </w:style>
  <w:style w:type="paragraph" w:customStyle="1" w:styleId="88">
    <w:name w:val="Char"/>
    <w:basedOn w:val="1"/>
    <w:qFormat/>
    <w:uiPriority w:val="0"/>
    <w:pPr>
      <w:tabs>
        <w:tab w:val="left" w:pos="360"/>
      </w:tabs>
      <w:ind w:firstLine="200" w:firstLineChars="200"/>
    </w:pPr>
    <w:rPr>
      <w:sz w:val="28"/>
      <w:szCs w:val="30"/>
    </w:rPr>
  </w:style>
  <w:style w:type="paragraph" w:customStyle="1" w:styleId="89">
    <w:name w:val="普通正文"/>
    <w:basedOn w:val="1"/>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90">
    <w:name w:val="正文空2格  1."/>
    <w:basedOn w:val="1"/>
    <w:qFormat/>
    <w:uiPriority w:val="0"/>
    <w:pPr>
      <w:ind w:firstLine="480" w:firstLineChars="200"/>
    </w:pPr>
    <w:rPr>
      <w:rFonts w:cs="宋体"/>
      <w:sz w:val="28"/>
      <w:szCs w:val="20"/>
    </w:rPr>
  </w:style>
  <w:style w:type="paragraph" w:customStyle="1" w:styleId="91">
    <w:name w:val="正文 1.1"/>
    <w:basedOn w:val="1"/>
    <w:next w:val="85"/>
    <w:qFormat/>
    <w:uiPriority w:val="0"/>
    <w:pPr>
      <w:numPr>
        <w:ilvl w:val="1"/>
        <w:numId w:val="2"/>
      </w:numPr>
      <w:ind w:firstLine="550"/>
      <w:outlineLvl w:val="1"/>
    </w:pPr>
    <w:rPr>
      <w:rFonts w:ascii="仿宋" w:hAnsi="仿宋"/>
      <w:b/>
    </w:rPr>
  </w:style>
  <w:style w:type="paragraph" w:customStyle="1" w:styleId="92">
    <w:name w:val="正文_0_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93">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4">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95">
    <w:name w:val="正文文本缩进11"/>
    <w:basedOn w:val="1"/>
    <w:next w:val="1"/>
    <w:unhideWhenUsed/>
    <w:qFormat/>
    <w:uiPriority w:val="99"/>
    <w:pPr>
      <w:spacing w:line="400" w:lineRule="exact"/>
      <w:ind w:firstLine="540"/>
    </w:pPr>
    <w:rPr>
      <w:sz w:val="24"/>
    </w:rPr>
  </w:style>
  <w:style w:type="paragraph" w:customStyle="1" w:styleId="96">
    <w:name w:val="Default"/>
    <w:qFormat/>
    <w:uiPriority w:val="99"/>
    <w:pPr>
      <w:widowControl w:val="0"/>
      <w:autoSpaceDE w:val="0"/>
      <w:autoSpaceDN w:val="0"/>
      <w:adjustRightInd w:val="0"/>
    </w:pPr>
    <w:rPr>
      <w:rFonts w:ascii="宋体" w:hAnsi="Times New Roman" w:eastAsia="宋体" w:cs="宋体"/>
      <w:color w:val="000000"/>
      <w:kern w:val="2"/>
      <w:sz w:val="24"/>
      <w:szCs w:val="24"/>
      <w:lang w:val="en-US" w:eastAsia="zh-CN" w:bidi="ar-SA"/>
    </w:rPr>
  </w:style>
  <w:style w:type="paragraph" w:customStyle="1" w:styleId="97">
    <w:name w:val="大标题"/>
    <w:basedOn w:val="26"/>
    <w:next w:val="29"/>
    <w:qFormat/>
    <w:uiPriority w:val="0"/>
    <w:pPr>
      <w:spacing w:line="360" w:lineRule="auto"/>
      <w:ind w:firstLine="200"/>
    </w:pPr>
    <w:rPr>
      <w:rFonts w:ascii="宋体" w:hAnsi="宋体"/>
    </w:rPr>
  </w:style>
  <w:style w:type="paragraph" w:customStyle="1" w:styleId="98">
    <w:name w:val="正文文本 211"/>
    <w:basedOn w:val="1"/>
    <w:qFormat/>
    <w:uiPriority w:val="99"/>
    <w:pPr>
      <w:tabs>
        <w:tab w:val="left" w:pos="0"/>
        <w:tab w:val="left" w:pos="993"/>
        <w:tab w:val="left" w:pos="1134"/>
      </w:tabs>
      <w:spacing w:line="240" w:lineRule="exact"/>
    </w:pPr>
    <w:rPr>
      <w:rFonts w:ascii="楷体_GB2312" w:hAnsi="Calibri" w:eastAsia="楷体_GB2312"/>
      <w:sz w:val="18"/>
    </w:rPr>
  </w:style>
  <w:style w:type="paragraph" w:customStyle="1" w:styleId="99">
    <w:name w:val="标题 21"/>
    <w:basedOn w:val="1"/>
    <w:next w:val="100"/>
    <w:qFormat/>
    <w:uiPriority w:val="99"/>
    <w:pPr>
      <w:keepNext/>
      <w:keepLines/>
      <w:spacing w:before="260" w:after="260" w:line="413" w:lineRule="auto"/>
      <w:outlineLvl w:val="1"/>
    </w:pPr>
    <w:rPr>
      <w:rFonts w:ascii="Arial" w:hAnsi="Arial" w:eastAsia="黑体"/>
      <w:b/>
      <w:sz w:val="32"/>
      <w:szCs w:val="20"/>
    </w:rPr>
  </w:style>
  <w:style w:type="paragraph" w:customStyle="1" w:styleId="100">
    <w:name w:val="正文缩进1"/>
    <w:basedOn w:val="1"/>
    <w:next w:val="1"/>
    <w:qFormat/>
    <w:uiPriority w:val="0"/>
    <w:pPr>
      <w:ind w:firstLine="420"/>
    </w:pPr>
    <w:rPr>
      <w:sz w:val="20"/>
      <w:szCs w:val="21"/>
    </w:rPr>
  </w:style>
  <w:style w:type="paragraph" w:customStyle="1" w:styleId="101">
    <w:name w:val="普通(网站)1"/>
    <w:basedOn w:val="1"/>
    <w:unhideWhenUsed/>
    <w:qFormat/>
    <w:uiPriority w:val="99"/>
    <w:pPr>
      <w:widowControl/>
      <w:spacing w:before="100" w:beforeAutospacing="1" w:after="100" w:afterAutospacing="1"/>
      <w:jc w:val="left"/>
    </w:pPr>
    <w:rPr>
      <w:rFonts w:ascii="宋体" w:hAnsi="宋体"/>
      <w:sz w:val="24"/>
      <w:szCs w:val="24"/>
    </w:rPr>
  </w:style>
  <w:style w:type="paragraph" w:customStyle="1" w:styleId="102">
    <w:name w:val="纯文本111"/>
    <w:basedOn w:val="1"/>
    <w:next w:val="46"/>
    <w:qFormat/>
    <w:uiPriority w:val="99"/>
    <w:rPr>
      <w:rFonts w:ascii="宋体" w:hAnsi="Courier New"/>
      <w:szCs w:val="20"/>
    </w:rPr>
  </w:style>
  <w:style w:type="paragraph" w:customStyle="1" w:styleId="103">
    <w:name w:val="正文_2"/>
    <w:qFormat/>
    <w:uiPriority w:val="0"/>
    <w:rPr>
      <w:rFonts w:ascii="Times New Roman" w:hAnsi="Times New Roman" w:eastAsia="宋体" w:cs="Times New Roman"/>
      <w:lang w:val="en-US" w:eastAsia="zh-CN" w:bidi="ar-SA"/>
    </w:rPr>
  </w:style>
  <w:style w:type="paragraph" w:customStyle="1" w:styleId="104">
    <w:name w:val="正文_0_1"/>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5">
    <w:name w:val="正文12"/>
    <w:qFormat/>
    <w:uiPriority w:val="99"/>
    <w:pPr>
      <w:widowControl w:val="0"/>
      <w:jc w:val="both"/>
    </w:pPr>
    <w:rPr>
      <w:rFonts w:ascii="Times New Roman" w:hAnsi="Times New Roman" w:eastAsia="Times New Roman" w:cs="Times New Roman"/>
      <w:lang w:val="en-US" w:eastAsia="zh-CN" w:bidi="ar-SA"/>
    </w:rPr>
  </w:style>
  <w:style w:type="paragraph" w:customStyle="1" w:styleId="106">
    <w:name w:val="正文2"/>
    <w:qFormat/>
    <w:uiPriority w:val="0"/>
    <w:rPr>
      <w:rFonts w:ascii="Times New Roman" w:hAnsi="Times New Roman" w:eastAsia="宋体" w:cs="Times New Roman"/>
      <w:sz w:val="24"/>
      <w:szCs w:val="24"/>
      <w:lang w:val="en-US" w:eastAsia="zh-CN" w:bidi="ar-SA"/>
    </w:rPr>
  </w:style>
  <w:style w:type="paragraph" w:customStyle="1" w:styleId="107">
    <w:name w:val="正文_0_0_0"/>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108">
    <w:name w:val="BodyText1"/>
    <w:basedOn w:val="1"/>
    <w:qFormat/>
    <w:uiPriority w:val="0"/>
    <w:rPr>
      <w:rFonts w:ascii="楷体_GB2312" w:hAnsi="Arial" w:eastAsia="楷体_GB2312"/>
      <w:sz w:val="28"/>
      <w:szCs w:val="28"/>
    </w:rPr>
  </w:style>
  <w:style w:type="paragraph" w:customStyle="1" w:styleId="109">
    <w:name w:val="标题 31"/>
    <w:basedOn w:val="1"/>
    <w:next w:val="58"/>
    <w:qFormat/>
    <w:uiPriority w:val="99"/>
    <w:pPr>
      <w:keepNext/>
      <w:keepLines/>
      <w:spacing w:before="260" w:after="260" w:line="416" w:lineRule="auto"/>
      <w:outlineLvl w:val="2"/>
    </w:pPr>
    <w:rPr>
      <w:b/>
      <w:bCs/>
      <w:sz w:val="32"/>
      <w:szCs w:val="32"/>
    </w:rPr>
  </w:style>
  <w:style w:type="paragraph" w:customStyle="1" w:styleId="110">
    <w:name w:val="纯文本11"/>
    <w:basedOn w:val="58"/>
    <w:qFormat/>
    <w:uiPriority w:val="0"/>
    <w:rPr>
      <w:rFonts w:ascii="宋体" w:hAnsi="Courier New"/>
      <w:sz w:val="20"/>
      <w:szCs w:val="21"/>
    </w:rPr>
  </w:style>
  <w:style w:type="table" w:customStyle="1" w:styleId="111">
    <w:name w:val="Table Normal"/>
    <w:unhideWhenUsed/>
    <w:qFormat/>
    <w:uiPriority w:val="0"/>
    <w:tblPr>
      <w:tblCellMar>
        <w:top w:w="0" w:type="dxa"/>
        <w:left w:w="0" w:type="dxa"/>
        <w:bottom w:w="0" w:type="dxa"/>
        <w:right w:w="0" w:type="dxa"/>
      </w:tblCellMar>
    </w:tblPr>
  </w:style>
  <w:style w:type="paragraph" w:customStyle="1" w:styleId="112">
    <w:name w:val="日期1"/>
    <w:basedOn w:val="58"/>
    <w:next w:val="1"/>
    <w:qFormat/>
    <w:uiPriority w:val="99"/>
    <w:rPr>
      <w:rFonts w:ascii="Calibri" w:hAnsi="Calibri" w:eastAsia="仿宋_GB2312"/>
      <w:sz w:val="30"/>
    </w:rPr>
  </w:style>
  <w:style w:type="character" w:customStyle="1" w:styleId="113">
    <w:name w:val="htd0"/>
    <w:qFormat/>
    <w:uiPriority w:val="0"/>
  </w:style>
  <w:style w:type="paragraph" w:customStyle="1" w:styleId="114">
    <w:name w:val="正文_0_0_0_0"/>
    <w:qFormat/>
    <w:uiPriority w:val="0"/>
    <w:pPr>
      <w:widowControl w:val="0"/>
      <w:jc w:val="both"/>
    </w:pPr>
    <w:rPr>
      <w:rFonts w:hint="default" w:ascii="Times New Roman" w:hAnsi="Times New Roman" w:eastAsia="宋体" w:cs="Times New Roman"/>
      <w:lang w:val="en-US" w:eastAsia="zh-CN" w:bidi="ar-SA"/>
    </w:rPr>
  </w:style>
  <w:style w:type="paragraph" w:customStyle="1" w:styleId="115">
    <w:name w:val="列出段落"/>
    <w:basedOn w:val="1"/>
    <w:qFormat/>
    <w:uiPriority w:val="0"/>
    <w:pPr>
      <w:ind w:firstLine="420"/>
    </w:pPr>
    <w:rPr>
      <w:rFonts w:eastAsia="楷体_GB2312"/>
      <w:sz w:val="26"/>
      <w:szCs w:val="20"/>
    </w:rPr>
  </w:style>
  <w:style w:type="paragraph" w:customStyle="1" w:styleId="116">
    <w:name w:val="正文文本缩进1"/>
    <w:basedOn w:val="1"/>
    <w:unhideWhenUsed/>
    <w:qFormat/>
    <w:uiPriority w:val="99"/>
    <w:pPr>
      <w:spacing w:line="400" w:lineRule="exact"/>
      <w:ind w:firstLine="54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73</Pages>
  <Words>33446</Words>
  <Characters>34921</Characters>
  <Lines>263</Lines>
  <Paragraphs>74</Paragraphs>
  <TotalTime>9</TotalTime>
  <ScaleCrop>false</ScaleCrop>
  <LinksUpToDate>false</LinksUpToDate>
  <CharactersWithSpaces>35769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2025-01-07T01:04:00Z</dcterms:created>
  <dc:creator>admin</dc:creator>
  <cp:lastModifiedBy>June</cp:lastModifiedBy>
  <cp:lastPrinted>2023-10-25T09:29:00Z</cp:lastPrinted>
  <dcterms:modified xsi:type="dcterms:W3CDTF">2026-01-06T08:27:57Z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7E2C9AE1C4D34349B145E858D7D7DA03_13</vt:lpwstr>
  </property>
  <property fmtid="{D5CDD505-2E9C-101B-9397-08002B2CF9AE}" pid="4" name="KSOTemplateDocerSaveRecord">
    <vt:lpwstr>eyJoZGlkIjoiYTM3Nzg0ZDg0ZGE2NDY4ZGE1NDI2NDQzNzQ1MTA2ZWUiLCJ1c2VySWQiOiIxNzQyNjU1NjYyIn0=</vt:lpwstr>
  </property>
</Properties>
</file>