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DCBC8">
      <w:pPr>
        <w:keepNext w:val="0"/>
        <w:keepLines w:val="0"/>
        <w:pageBreakBefore w:val="0"/>
        <w:widowControl w:val="0"/>
        <w:kinsoku/>
        <w:wordWrap/>
        <w:overflowPunct/>
        <w:topLinePunct w:val="0"/>
        <w:autoSpaceDE/>
        <w:autoSpaceDN/>
        <w:bidi w:val="0"/>
        <w:adjustRightInd/>
        <w:snapToGrid/>
        <w:spacing w:line="480" w:lineRule="auto"/>
        <w:ind w:left="0"/>
        <w:jc w:val="both"/>
        <w:textAlignment w:val="auto"/>
        <w:rPr>
          <w:rFonts w:hint="default" w:ascii="Times New Roman" w:hAnsi="Times New Roman" w:eastAsia="等线" w:cs="Times New Roman"/>
          <w:b/>
          <w:color w:val="auto"/>
          <w:sz w:val="52"/>
          <w:lang w:val="en-US" w:eastAsia="zh-CN"/>
        </w:rPr>
      </w:pPr>
    </w:p>
    <w:p w14:paraId="3AC2DA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等线" w:cs="Times New Roman"/>
          <w:b/>
          <w:color w:val="auto"/>
          <w:sz w:val="40"/>
          <w:szCs w:val="18"/>
        </w:rPr>
      </w:pPr>
      <w:r>
        <w:rPr>
          <w:rFonts w:hint="default" w:ascii="Times New Roman" w:hAnsi="Times New Roman" w:eastAsia="等线" w:cs="Times New Roman"/>
          <w:b/>
          <w:color w:val="auto"/>
          <w:sz w:val="40"/>
          <w:szCs w:val="18"/>
          <w:lang w:val="en-US" w:eastAsia="zh-CN"/>
        </w:rPr>
        <w:t>扬州大学附属医院</w:t>
      </w:r>
      <w:r>
        <w:rPr>
          <w:rFonts w:hint="default" w:ascii="Times New Roman" w:hAnsi="Times New Roman" w:eastAsia="等线" w:cs="Times New Roman"/>
          <w:b/>
          <w:color w:val="auto"/>
          <w:sz w:val="40"/>
          <w:szCs w:val="18"/>
        </w:rPr>
        <w:t>健康管理中心</w:t>
      </w:r>
      <w:bookmarkStart w:id="23" w:name="_GoBack"/>
      <w:bookmarkEnd w:id="23"/>
    </w:p>
    <w:p w14:paraId="7459566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等线" w:cs="Times New Roman"/>
          <w:color w:val="auto"/>
          <w:sz w:val="16"/>
          <w:szCs w:val="18"/>
          <w:lang w:val="en-US" w:eastAsia="zh-CN"/>
        </w:rPr>
      </w:pPr>
      <w:r>
        <w:rPr>
          <w:rFonts w:hint="default" w:ascii="Times New Roman" w:hAnsi="Times New Roman" w:eastAsia="等线" w:cs="Times New Roman"/>
          <w:b/>
          <w:color w:val="auto"/>
          <w:sz w:val="40"/>
          <w:szCs w:val="18"/>
          <w:lang w:val="en-US" w:eastAsia="zh-CN"/>
        </w:rPr>
        <w:t>线上</w:t>
      </w:r>
      <w:r>
        <w:rPr>
          <w:rFonts w:hint="default" w:ascii="Times New Roman" w:hAnsi="Times New Roman" w:eastAsia="等线" w:cs="Times New Roman"/>
          <w:b/>
          <w:color w:val="auto"/>
          <w:sz w:val="40"/>
          <w:szCs w:val="18"/>
        </w:rPr>
        <w:t>合作平台</w:t>
      </w:r>
      <w:r>
        <w:rPr>
          <w:rFonts w:hint="eastAsia" w:eastAsia="等线" w:cs="Times New Roman"/>
          <w:b/>
          <w:color w:val="auto"/>
          <w:sz w:val="40"/>
          <w:szCs w:val="18"/>
          <w:lang w:val="en-US" w:eastAsia="zh-CN"/>
        </w:rPr>
        <w:t>服务院内公开谈判文件（二次）</w:t>
      </w:r>
    </w:p>
    <w:p w14:paraId="48E08D53">
      <w:pPr>
        <w:spacing w:before="120" w:after="120" w:line="288" w:lineRule="auto"/>
        <w:ind w:left="0"/>
        <w:jc w:val="left"/>
        <w:rPr>
          <w:rFonts w:hint="default" w:ascii="Times New Roman" w:hAnsi="Times New Roman" w:eastAsia="等线" w:cs="Times New Roman"/>
          <w:b/>
          <w:color w:val="auto"/>
          <w:sz w:val="22"/>
        </w:rPr>
      </w:pPr>
    </w:p>
    <w:p w14:paraId="1C68039B">
      <w:pPr>
        <w:spacing w:before="120" w:after="120" w:line="288" w:lineRule="auto"/>
        <w:ind w:left="0"/>
        <w:jc w:val="left"/>
        <w:rPr>
          <w:rFonts w:hint="default" w:ascii="Times New Roman" w:hAnsi="Times New Roman" w:eastAsia="等线" w:cs="Times New Roman"/>
          <w:b/>
          <w:color w:val="auto"/>
          <w:sz w:val="22"/>
        </w:rPr>
      </w:pPr>
      <w:r>
        <w:drawing>
          <wp:inline distT="0" distB="0" distL="114300" distR="114300">
            <wp:extent cx="5480685" cy="4756785"/>
            <wp:effectExtent l="0" t="0" r="5715" b="571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480685" cy="4756785"/>
                    </a:xfrm>
                    <a:prstGeom prst="rect">
                      <a:avLst/>
                    </a:prstGeom>
                    <a:noFill/>
                    <a:ln>
                      <a:noFill/>
                    </a:ln>
                  </pic:spPr>
                </pic:pic>
              </a:graphicData>
            </a:graphic>
          </wp:inline>
        </w:drawing>
      </w:r>
    </w:p>
    <w:p w14:paraId="19C3E379">
      <w:pPr>
        <w:spacing w:before="120" w:after="120" w:line="288" w:lineRule="auto"/>
        <w:ind w:left="0"/>
        <w:jc w:val="left"/>
        <w:rPr>
          <w:rFonts w:hint="default" w:ascii="Times New Roman" w:hAnsi="Times New Roman" w:eastAsia="等线" w:cs="Times New Roman"/>
          <w:b/>
          <w:color w:val="auto"/>
          <w:sz w:val="22"/>
        </w:rPr>
      </w:pPr>
    </w:p>
    <w:p w14:paraId="004B4E83">
      <w:pPr>
        <w:spacing w:before="120" w:after="120" w:line="288" w:lineRule="auto"/>
        <w:ind w:left="0"/>
        <w:jc w:val="left"/>
        <w:rPr>
          <w:rFonts w:hint="default" w:ascii="Times New Roman" w:hAnsi="Times New Roman" w:eastAsia="等线" w:cs="Times New Roman"/>
          <w:b/>
          <w:color w:val="auto"/>
          <w:sz w:val="22"/>
        </w:rPr>
      </w:pPr>
    </w:p>
    <w:p w14:paraId="21E7085A">
      <w:pPr>
        <w:spacing w:before="120" w:after="120" w:line="288" w:lineRule="auto"/>
        <w:ind w:left="0"/>
        <w:jc w:val="left"/>
        <w:rPr>
          <w:rFonts w:hint="default" w:ascii="Times New Roman" w:hAnsi="Times New Roman" w:eastAsia="等线" w:cs="Times New Roman"/>
          <w:b/>
          <w:color w:val="auto"/>
          <w:sz w:val="22"/>
        </w:rPr>
      </w:pPr>
    </w:p>
    <w:p w14:paraId="6D2A070E">
      <w:pPr>
        <w:spacing w:before="120" w:after="120" w:line="288" w:lineRule="auto"/>
        <w:ind w:left="0"/>
        <w:jc w:val="left"/>
        <w:rPr>
          <w:rFonts w:hint="eastAsia" w:asciiTheme="majorEastAsia" w:hAnsiTheme="majorEastAsia" w:eastAsiaTheme="majorEastAsia" w:cstheme="majorEastAsia"/>
          <w:color w:val="auto"/>
          <w:sz w:val="32"/>
          <w:szCs w:val="32"/>
          <w:lang w:val="en-US" w:eastAsia="zh-CN"/>
        </w:rPr>
      </w:pPr>
      <w:r>
        <w:rPr>
          <w:rFonts w:hint="eastAsia" w:asciiTheme="majorEastAsia" w:hAnsiTheme="majorEastAsia" w:eastAsiaTheme="majorEastAsia" w:cstheme="majorEastAsia"/>
          <w:b/>
          <w:color w:val="auto"/>
          <w:sz w:val="32"/>
          <w:szCs w:val="32"/>
        </w:rPr>
        <w:t>招</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标</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人</w:t>
      </w:r>
      <w:r>
        <w:rPr>
          <w:rFonts w:hint="eastAsia" w:asciiTheme="majorEastAsia" w:hAnsiTheme="majorEastAsia" w:eastAsiaTheme="majorEastAsia" w:cstheme="majorEastAsia"/>
          <w:color w:val="auto"/>
          <w:sz w:val="32"/>
          <w:szCs w:val="32"/>
        </w:rPr>
        <w:t>：</w:t>
      </w:r>
      <w:r>
        <w:rPr>
          <w:rFonts w:hint="eastAsia" w:asciiTheme="majorEastAsia" w:hAnsiTheme="majorEastAsia" w:eastAsiaTheme="majorEastAsia" w:cstheme="majorEastAsia"/>
          <w:color w:val="auto"/>
          <w:sz w:val="32"/>
          <w:szCs w:val="32"/>
          <w:lang w:val="en-US" w:eastAsia="zh-CN"/>
        </w:rPr>
        <w:t xml:space="preserve">  扬州大学附属医院</w:t>
      </w:r>
    </w:p>
    <w:p w14:paraId="1B7AA873">
      <w:pPr>
        <w:spacing w:before="120" w:after="120" w:line="288" w:lineRule="auto"/>
        <w:ind w:left="0"/>
        <w:jc w:val="left"/>
        <w:rPr>
          <w:rFonts w:hint="default" w:ascii="Times New Roman" w:hAnsi="Times New Roman" w:eastAsia="等线" w:cs="Times New Roman"/>
          <w:color w:val="auto"/>
          <w:lang w:val="en-US" w:eastAsia="zh-CN"/>
        </w:rPr>
      </w:pPr>
      <w:r>
        <w:rPr>
          <w:rFonts w:hint="eastAsia" w:asciiTheme="majorEastAsia" w:hAnsiTheme="majorEastAsia" w:eastAsiaTheme="majorEastAsia" w:cstheme="majorEastAsia"/>
          <w:b/>
          <w:color w:val="auto"/>
          <w:sz w:val="32"/>
          <w:szCs w:val="32"/>
          <w:lang w:val="en-US" w:eastAsia="zh-CN"/>
        </w:rPr>
        <w:t>发 布 时 间：</w:t>
      </w:r>
      <w:r>
        <w:rPr>
          <w:rFonts w:hint="eastAsia" w:asciiTheme="majorEastAsia" w:hAnsiTheme="majorEastAsia" w:eastAsiaTheme="majorEastAsia" w:cstheme="majorEastAsia"/>
          <w:b w:val="0"/>
          <w:bCs/>
          <w:color w:val="auto"/>
          <w:sz w:val="32"/>
          <w:szCs w:val="32"/>
          <w:lang w:val="en-US" w:eastAsia="zh-CN"/>
        </w:rPr>
        <w:t>2026年1月</w:t>
      </w:r>
      <w:bookmarkStart w:id="0" w:name="heading_0"/>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第一章</w:t>
      </w:r>
      <w:bookmarkEnd w:id="0"/>
      <w:r>
        <w:rPr>
          <w:rFonts w:hint="eastAsia" w:eastAsia="等线" w:cs="Times New Roman"/>
          <w:b/>
          <w:color w:val="auto"/>
          <w:sz w:val="36"/>
          <w:lang w:val="en-US" w:eastAsia="zh-CN"/>
        </w:rPr>
        <w:t>项目简介</w:t>
      </w:r>
    </w:p>
    <w:p w14:paraId="679760AC">
      <w:pPr>
        <w:spacing w:before="320" w:after="120" w:line="288" w:lineRule="auto"/>
        <w:ind w:left="0"/>
        <w:jc w:val="left"/>
        <w:outlineLvl w:val="1"/>
        <w:rPr>
          <w:rFonts w:hint="default" w:ascii="Times New Roman" w:hAnsi="Times New Roman" w:eastAsia="等线" w:cs="Times New Roman"/>
          <w:color w:val="auto"/>
        </w:rPr>
      </w:pPr>
      <w:bookmarkStart w:id="1" w:name="heading_1"/>
      <w:r>
        <w:rPr>
          <w:rFonts w:hint="default" w:ascii="Times New Roman" w:hAnsi="Times New Roman" w:eastAsia="等线" w:cs="Times New Roman"/>
          <w:b/>
          <w:color w:val="auto"/>
          <w:sz w:val="32"/>
        </w:rPr>
        <w:t>一、招标目的</w:t>
      </w:r>
      <w:bookmarkEnd w:id="1"/>
    </w:p>
    <w:p w14:paraId="0BD5FE0E">
      <w:pPr>
        <w:spacing w:before="120" w:after="120" w:line="288" w:lineRule="auto"/>
        <w:ind w:left="0"/>
        <w:jc w:val="left"/>
        <w:rPr>
          <w:rFonts w:hint="default" w:ascii="Times New Roman" w:hAnsi="Times New Roman" w:eastAsia="等线" w:cs="Times New Roman"/>
          <w:color w:val="auto"/>
          <w:sz w:val="22"/>
        </w:rPr>
      </w:pPr>
      <w:bookmarkStart w:id="2" w:name="heading_2"/>
      <w:r>
        <w:rPr>
          <w:rFonts w:hint="default" w:ascii="Times New Roman" w:hAnsi="Times New Roman" w:eastAsia="等线" w:cs="Times New Roman"/>
          <w:color w:val="auto"/>
          <w:sz w:val="22"/>
        </w:rPr>
        <w:t>为规范我院健康管理中心线上合作平台</w:t>
      </w:r>
      <w:r>
        <w:rPr>
          <w:rFonts w:hint="eastAsia" w:eastAsia="等线" w:cs="Times New Roman"/>
          <w:color w:val="auto"/>
          <w:sz w:val="22"/>
          <w:lang w:val="en-US" w:eastAsia="zh-CN"/>
        </w:rPr>
        <w:t>服务</w:t>
      </w:r>
      <w:r>
        <w:rPr>
          <w:rFonts w:hint="default" w:ascii="Times New Roman" w:hAnsi="Times New Roman" w:eastAsia="等线" w:cs="Times New Roman"/>
          <w:color w:val="auto"/>
          <w:sz w:val="22"/>
        </w:rPr>
        <w:t>的合作流程，保障合作</w:t>
      </w:r>
      <w:r>
        <w:rPr>
          <w:rFonts w:hint="eastAsia" w:eastAsia="等线" w:cs="Times New Roman"/>
          <w:color w:val="auto"/>
          <w:sz w:val="22"/>
          <w:lang w:val="en-US" w:eastAsia="zh-CN"/>
        </w:rPr>
        <w:t>各</w:t>
      </w:r>
      <w:r>
        <w:rPr>
          <w:rFonts w:hint="default" w:ascii="Times New Roman" w:hAnsi="Times New Roman" w:eastAsia="等线" w:cs="Times New Roman"/>
          <w:color w:val="auto"/>
          <w:sz w:val="22"/>
        </w:rPr>
        <w:t>方合法权益，依据相关法律法规要求，通过公开招标的合规流程，分别核定现有合作平台及新合作平台的年度合作折扣，固化合作标准，确保折扣确定过程公开、公正、合规，维护合作的稳定性与规范性。同时，明确合作期限及价格管控要求，杜绝</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行为，保障医院及客户权益。</w:t>
      </w:r>
    </w:p>
    <w:p w14:paraId="0BE5CC64">
      <w:pPr>
        <w:spacing w:before="320" w:after="120" w:line="288" w:lineRule="auto"/>
        <w:ind w:left="0"/>
        <w:jc w:val="left"/>
        <w:outlineLvl w:val="1"/>
        <w:rPr>
          <w:rFonts w:hint="default" w:ascii="Times New Roman" w:hAnsi="Times New Roman" w:eastAsia="等线" w:cs="Times New Roman"/>
          <w:color w:val="auto"/>
        </w:rPr>
      </w:pPr>
      <w:r>
        <w:rPr>
          <w:rFonts w:hint="default" w:ascii="Times New Roman" w:hAnsi="Times New Roman" w:eastAsia="等线" w:cs="Times New Roman"/>
          <w:b/>
          <w:color w:val="auto"/>
          <w:sz w:val="32"/>
        </w:rPr>
        <w:t>二、招标范围</w:t>
      </w:r>
      <w:bookmarkEnd w:id="2"/>
    </w:p>
    <w:p w14:paraId="09620F9E">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本招标项目范围为医院健康管理中心线上合作平台</w:t>
      </w:r>
      <w:r>
        <w:rPr>
          <w:rFonts w:hint="eastAsia" w:eastAsia="等线" w:cs="Times New Roman"/>
          <w:color w:val="auto"/>
          <w:sz w:val="22"/>
          <w:lang w:val="en-US" w:eastAsia="zh-CN"/>
        </w:rPr>
        <w:t>服务</w:t>
      </w:r>
      <w:r>
        <w:rPr>
          <w:rFonts w:hint="default" w:ascii="Times New Roman" w:hAnsi="Times New Roman" w:eastAsia="等线" w:cs="Times New Roman"/>
          <w:color w:val="auto"/>
          <w:sz w:val="22"/>
        </w:rPr>
        <w:t>的年度折扣核定、合作条款确认及长期合作机制约定，涵盖两类合作主体：一是 2025 年度已合作的线上平台（以下简称 “现有平台”），二是拟新增的线上合作平台（以下简称 “新平台”）；具体内容包括基于上一年度合作金额核定对应年度折扣，明确折扣适用范围、服务要求、价格管控规则、合作期限及自动续签机制等核心条款，并据此签订合作协议。</w:t>
      </w:r>
    </w:p>
    <w:p w14:paraId="6B75B739">
      <w:pPr>
        <w:spacing w:before="320" w:after="120" w:line="288" w:lineRule="auto"/>
        <w:ind w:left="0"/>
        <w:jc w:val="left"/>
        <w:outlineLvl w:val="1"/>
        <w:rPr>
          <w:rFonts w:hint="default" w:ascii="Times New Roman" w:hAnsi="Times New Roman" w:eastAsia="等线" w:cs="Times New Roman"/>
          <w:color w:val="auto"/>
        </w:rPr>
      </w:pPr>
      <w:bookmarkStart w:id="3" w:name="heading_3"/>
      <w:r>
        <w:rPr>
          <w:rFonts w:hint="default" w:ascii="Times New Roman" w:hAnsi="Times New Roman" w:eastAsia="等线" w:cs="Times New Roman"/>
          <w:b/>
          <w:color w:val="auto"/>
          <w:sz w:val="32"/>
        </w:rPr>
        <w:t>三、投标人资格要求（含现有合作平台及新合作平台）</w:t>
      </w:r>
      <w:bookmarkEnd w:id="3"/>
    </w:p>
    <w:p w14:paraId="5AE322E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具有独立承担民事责任的能力，持有有效的营业执照、税务登记证（或三证合一证件），经营范围包含健康体检服务推广、健康管理咨询、线上服务平台运营等相关业务。</w:t>
      </w:r>
    </w:p>
    <w:p w14:paraId="14CB1262">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具有良好的商业信誉和健全的财务会计制度，近三年内无重大违法违规记录，未被列入失信被执行人名单、重大税收违法失信主体名单。</w:t>
      </w:r>
    </w:p>
    <w:p w14:paraId="3DBF20D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具有履行合同所必需的专业技术能力和服务团队，具备成熟的网上服务平台（需提供平台备案证明、ICP 许可证（如涉及）、相关技术资质等材料）；新平台还需提供平台运营时长、用户规模、过往健康类项目合作案例等推广能力证明材料。</w:t>
      </w:r>
    </w:p>
    <w:p w14:paraId="5D53A8B8">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分类资格要求：</w:t>
      </w:r>
    </w:p>
    <w:p w14:paraId="1C49311D">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现有平台：2025 年度已与本医院健康管理中心存在合作关系（以 2025 年度实际合作结算凭证及合作协议为准），且合作期间无重大违约记录。</w:t>
      </w:r>
    </w:p>
    <w:p w14:paraId="3E34541C">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新平台：未与本医院健康管理中心建立过合作关系，具备符合要求的线上推广及客户服务能力。</w:t>
      </w:r>
    </w:p>
    <w:p w14:paraId="05E78283">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本项目不接受联合体投标，不允许转包或违法分包。</w:t>
      </w:r>
    </w:p>
    <w:p w14:paraId="077019C6">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0" w:leftChars="0" w:firstLine="0" w:firstLineChars="0"/>
        <w:jc w:val="left"/>
        <w:textAlignment w:val="auto"/>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投标人承诺严格遵守本招标文件约定的价格管控要求，无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行为（即不在其平台上擅自提高体检套餐展示价格或新增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w:t>
      </w:r>
    </w:p>
    <w:p w14:paraId="26CD3B2C">
      <w:pPr>
        <w:spacing w:before="320" w:after="120" w:line="288" w:lineRule="auto"/>
        <w:ind w:left="0"/>
        <w:jc w:val="left"/>
        <w:outlineLvl w:val="1"/>
        <w:rPr>
          <w:rFonts w:hint="default" w:ascii="Times New Roman" w:hAnsi="Times New Roman" w:eastAsia="等线" w:cs="Times New Roman"/>
          <w:color w:val="auto"/>
        </w:rPr>
      </w:pPr>
      <w:bookmarkStart w:id="4" w:name="heading_4"/>
      <w:r>
        <w:rPr>
          <w:rFonts w:hint="default" w:ascii="Times New Roman" w:hAnsi="Times New Roman" w:eastAsia="等线" w:cs="Times New Roman"/>
          <w:b/>
          <w:color w:val="auto"/>
          <w:sz w:val="32"/>
        </w:rPr>
        <w:t>四、招标文件的获取</w:t>
      </w:r>
      <w:bookmarkEnd w:id="4"/>
    </w:p>
    <w:p w14:paraId="3C62A379">
      <w:pPr>
        <w:numPr>
          <w:ilvl w:val="0"/>
          <w:numId w:val="0"/>
        </w:numPr>
        <w:spacing w:before="120" w:after="120" w:line="288" w:lineRule="auto"/>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lang w:val="en-US" w:eastAsia="zh-CN"/>
        </w:rPr>
        <w:t>1.获取时间：【</w:t>
      </w:r>
      <w:r>
        <w:rPr>
          <w:rFonts w:hint="eastAsia" w:eastAsia="等线" w:cs="Times New Roman"/>
          <w:color w:val="auto"/>
          <w:sz w:val="22"/>
          <w:lang w:val="en-US" w:eastAsia="zh-CN"/>
        </w:rPr>
        <w:t>2026年1月26日</w:t>
      </w:r>
      <w:r>
        <w:rPr>
          <w:rFonts w:hint="default" w:ascii="Times New Roman" w:hAnsi="Times New Roman" w:eastAsia="等线" w:cs="Times New Roman"/>
          <w:color w:val="auto"/>
          <w:sz w:val="22"/>
          <w:lang w:val="en-US" w:eastAsia="zh-CN"/>
        </w:rPr>
        <w:t>】至【</w:t>
      </w:r>
      <w:r>
        <w:rPr>
          <w:rFonts w:hint="eastAsia" w:eastAsia="等线" w:cs="Times New Roman"/>
          <w:color w:val="auto"/>
          <w:sz w:val="22"/>
          <w:lang w:val="en-US" w:eastAsia="zh-CN"/>
        </w:rPr>
        <w:t>2026年2月1日</w:t>
      </w:r>
      <w:r>
        <w:rPr>
          <w:rFonts w:hint="default" w:ascii="Times New Roman" w:hAnsi="Times New Roman" w:eastAsia="等线" w:cs="Times New Roman"/>
          <w:color w:val="auto"/>
          <w:sz w:val="22"/>
          <w:lang w:val="en-US" w:eastAsia="zh-CN"/>
        </w:rPr>
        <w:t>】。</w:t>
      </w:r>
    </w:p>
    <w:p w14:paraId="0AAE7686">
      <w:pPr>
        <w:numPr>
          <w:ilvl w:val="0"/>
          <w:numId w:val="0"/>
        </w:numPr>
        <w:spacing w:before="120" w:after="120" w:line="288" w:lineRule="auto"/>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rPr>
        <w:t>获取地点：扬州大学附属医院。</w:t>
      </w:r>
    </w:p>
    <w:p w14:paraId="34E545E5">
      <w:pPr>
        <w:numPr>
          <w:ilvl w:val="0"/>
          <w:numId w:val="0"/>
        </w:numPr>
        <w:spacing w:before="120" w:after="120" w:line="288" w:lineRule="auto"/>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rPr>
        <w:t>获取方式：网上自行下载查阅。</w:t>
      </w:r>
    </w:p>
    <w:p w14:paraId="72F832C5">
      <w:pPr>
        <w:spacing w:before="320" w:after="120" w:line="288" w:lineRule="auto"/>
        <w:ind w:left="0"/>
        <w:jc w:val="left"/>
        <w:outlineLvl w:val="1"/>
        <w:rPr>
          <w:rFonts w:hint="default" w:ascii="Times New Roman" w:hAnsi="Times New Roman" w:eastAsia="等线" w:cs="Times New Roman"/>
          <w:color w:val="auto"/>
        </w:rPr>
      </w:pPr>
      <w:bookmarkStart w:id="5" w:name="heading_5"/>
      <w:r>
        <w:rPr>
          <w:rFonts w:hint="default" w:ascii="Times New Roman" w:hAnsi="Times New Roman" w:eastAsia="等线" w:cs="Times New Roman"/>
          <w:b/>
          <w:color w:val="auto"/>
          <w:sz w:val="32"/>
        </w:rPr>
        <w:t>五、</w:t>
      </w:r>
      <w:r>
        <w:rPr>
          <w:rFonts w:hint="default" w:ascii="Times New Roman" w:hAnsi="Times New Roman" w:eastAsia="等线" w:cs="Times New Roman"/>
          <w:b/>
          <w:color w:val="auto"/>
          <w:sz w:val="32"/>
          <w:lang w:val="en-US" w:eastAsia="zh-CN"/>
        </w:rPr>
        <w:t>投标</w:t>
      </w:r>
      <w:r>
        <w:rPr>
          <w:rFonts w:hint="default" w:ascii="Times New Roman" w:hAnsi="Times New Roman" w:eastAsia="等线" w:cs="Times New Roman"/>
          <w:b/>
          <w:color w:val="auto"/>
          <w:sz w:val="32"/>
        </w:rPr>
        <w:t>文件的递交</w:t>
      </w:r>
      <w:bookmarkEnd w:id="5"/>
    </w:p>
    <w:p w14:paraId="04FF4AB6">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1.</w:t>
      </w:r>
      <w:r>
        <w:rPr>
          <w:rFonts w:hint="default" w:ascii="Times New Roman" w:hAnsi="Times New Roman" w:eastAsia="等线" w:cs="Times New Roman"/>
          <w:color w:val="auto"/>
        </w:rPr>
        <w:t>响应文件数量：一正</w:t>
      </w:r>
      <w:r>
        <w:rPr>
          <w:rFonts w:hint="eastAsia" w:eastAsia="等线" w:cs="Times New Roman"/>
          <w:color w:val="auto"/>
          <w:lang w:val="en-US" w:eastAsia="zh-CN"/>
        </w:rPr>
        <w:t>四</w:t>
      </w:r>
      <w:r>
        <w:rPr>
          <w:rFonts w:hint="default" w:ascii="Times New Roman" w:hAnsi="Times New Roman" w:eastAsia="等线" w:cs="Times New Roman"/>
          <w:color w:val="auto"/>
        </w:rPr>
        <w:t>副</w:t>
      </w:r>
    </w:p>
    <w:p w14:paraId="737FBE78">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2.</w:t>
      </w:r>
      <w:r>
        <w:rPr>
          <w:rFonts w:hint="default" w:ascii="Times New Roman" w:hAnsi="Times New Roman" w:eastAsia="等线" w:cs="Times New Roman"/>
          <w:color w:val="auto"/>
          <w:sz w:val="22"/>
        </w:rPr>
        <w:t>递交截止时间：【</w:t>
      </w:r>
      <w:r>
        <w:rPr>
          <w:rFonts w:hint="eastAsia" w:eastAsia="等线" w:cs="Times New Roman"/>
          <w:color w:val="auto"/>
          <w:sz w:val="22"/>
          <w:lang w:val="en-US" w:eastAsia="zh-CN"/>
        </w:rPr>
        <w:t>2026年2月2日14：30</w:t>
      </w:r>
      <w:r>
        <w:rPr>
          <w:rFonts w:hint="default" w:ascii="Times New Roman" w:hAnsi="Times New Roman" w:eastAsia="等线" w:cs="Times New Roman"/>
          <w:color w:val="auto"/>
          <w:sz w:val="22"/>
        </w:rPr>
        <w:t>】（北京时间）。</w:t>
      </w:r>
    </w:p>
    <w:p w14:paraId="0644EBD4">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lang w:val="en-US" w:eastAsia="zh-CN"/>
        </w:rPr>
        <w:t>3</w:t>
      </w:r>
      <w:r>
        <w:rPr>
          <w:rFonts w:hint="default" w:ascii="Times New Roman" w:hAnsi="Times New Roman" w:eastAsia="等线" w:cs="Times New Roman"/>
          <w:color w:val="auto"/>
          <w:sz w:val="21"/>
          <w:szCs w:val="22"/>
        </w:rPr>
        <w:t>.</w:t>
      </w:r>
      <w:r>
        <w:rPr>
          <w:rFonts w:hint="default" w:ascii="Times New Roman" w:hAnsi="Times New Roman" w:eastAsia="等线" w:cs="Times New Roman"/>
          <w:color w:val="auto"/>
          <w:sz w:val="22"/>
        </w:rPr>
        <w:t>递交地点：扬州大学附属医院（西区医院）行政楼40</w:t>
      </w:r>
      <w:r>
        <w:rPr>
          <w:rFonts w:hint="eastAsia" w:eastAsia="等线" w:cs="Times New Roman"/>
          <w:color w:val="auto"/>
          <w:sz w:val="22"/>
          <w:lang w:val="en-US" w:eastAsia="zh-CN"/>
        </w:rPr>
        <w:t>7</w:t>
      </w:r>
      <w:r>
        <w:rPr>
          <w:rFonts w:hint="default" w:ascii="Times New Roman" w:hAnsi="Times New Roman" w:eastAsia="等线" w:cs="Times New Roman"/>
          <w:color w:val="auto"/>
          <w:sz w:val="22"/>
        </w:rPr>
        <w:t>。</w:t>
      </w:r>
    </w:p>
    <w:p w14:paraId="6479A233">
      <w:pPr>
        <w:spacing w:before="320" w:after="120" w:line="288" w:lineRule="auto"/>
        <w:ind w:left="0"/>
        <w:jc w:val="left"/>
        <w:outlineLvl w:val="1"/>
        <w:rPr>
          <w:rFonts w:hint="default" w:ascii="Times New Roman" w:hAnsi="Times New Roman" w:eastAsia="等线" w:cs="Times New Roman"/>
          <w:color w:val="auto"/>
        </w:rPr>
      </w:pPr>
      <w:bookmarkStart w:id="6" w:name="heading_6"/>
      <w:r>
        <w:rPr>
          <w:rFonts w:hint="default" w:ascii="Times New Roman" w:hAnsi="Times New Roman" w:eastAsia="等线" w:cs="Times New Roman"/>
          <w:b/>
          <w:color w:val="auto"/>
          <w:sz w:val="32"/>
        </w:rPr>
        <w:t>六、开标时间及地点</w:t>
      </w:r>
      <w:bookmarkEnd w:id="6"/>
    </w:p>
    <w:p w14:paraId="32BC07F6">
      <w:pPr>
        <w:numPr>
          <w:ilvl w:val="0"/>
          <w:numId w:val="0"/>
        </w:numPr>
        <w:spacing w:before="120" w:after="120" w:line="288" w:lineRule="auto"/>
        <w:ind w:left="0" w:leftChars="0"/>
        <w:jc w:val="left"/>
        <w:rPr>
          <w:rFonts w:hint="default" w:ascii="Times New Roman" w:hAnsi="Times New Roman" w:eastAsia="等线" w:cs="Times New Roman"/>
          <w:color w:val="auto"/>
        </w:rPr>
      </w:pPr>
      <w:r>
        <w:rPr>
          <w:rFonts w:hint="default" w:ascii="Times New Roman" w:hAnsi="Times New Roman" w:eastAsia="等线" w:cs="Times New Roman"/>
          <w:color w:val="auto"/>
          <w:sz w:val="21"/>
          <w:szCs w:val="22"/>
        </w:rPr>
        <w:t>1.</w:t>
      </w:r>
      <w:r>
        <w:rPr>
          <w:rFonts w:hint="default" w:ascii="Times New Roman" w:hAnsi="Times New Roman" w:eastAsia="等线" w:cs="Times New Roman"/>
          <w:color w:val="auto"/>
          <w:sz w:val="22"/>
        </w:rPr>
        <w:t>开标时间：与投标文件递交截止时间一致。</w:t>
      </w:r>
    </w:p>
    <w:p w14:paraId="71C666DB">
      <w:pPr>
        <w:numPr>
          <w:ilvl w:val="0"/>
          <w:numId w:val="0"/>
        </w:numPr>
        <w:spacing w:before="120" w:after="120" w:line="288" w:lineRule="auto"/>
        <w:ind w:left="0" w:leftChars="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1"/>
          <w:szCs w:val="22"/>
        </w:rPr>
        <w:t>2.</w:t>
      </w:r>
      <w:r>
        <w:rPr>
          <w:rFonts w:hint="default" w:ascii="Times New Roman" w:hAnsi="Times New Roman" w:eastAsia="等线" w:cs="Times New Roman"/>
          <w:color w:val="auto"/>
          <w:sz w:val="22"/>
        </w:rPr>
        <w:t>开标地点：扬州大学附属医院（西区医院）行政楼</w:t>
      </w:r>
      <w:r>
        <w:rPr>
          <w:rFonts w:hint="eastAsia" w:eastAsia="等线" w:cs="Times New Roman"/>
          <w:color w:val="auto"/>
          <w:sz w:val="22"/>
          <w:lang w:val="en-US" w:eastAsia="zh-CN"/>
        </w:rPr>
        <w:t>407</w:t>
      </w:r>
      <w:r>
        <w:rPr>
          <w:rFonts w:hint="default" w:ascii="Times New Roman" w:hAnsi="Times New Roman" w:eastAsia="等线" w:cs="Times New Roman"/>
          <w:color w:val="auto"/>
          <w:sz w:val="22"/>
        </w:rPr>
        <w:t>。</w:t>
      </w:r>
    </w:p>
    <w:p w14:paraId="2A43E8E4">
      <w:pPr>
        <w:spacing w:before="320" w:after="120" w:line="288" w:lineRule="auto"/>
        <w:ind w:left="0"/>
        <w:jc w:val="left"/>
        <w:outlineLvl w:val="1"/>
        <w:rPr>
          <w:rFonts w:hint="eastAsia" w:ascii="Times New Roman" w:hAnsi="Times New Roman" w:eastAsia="等线" w:cs="Times New Roman"/>
          <w:b/>
          <w:color w:val="auto"/>
          <w:sz w:val="32"/>
          <w:lang w:val="en-US" w:eastAsia="zh-CN"/>
        </w:rPr>
      </w:pPr>
      <w:r>
        <w:rPr>
          <w:rFonts w:hint="eastAsia" w:ascii="Times New Roman" w:hAnsi="Times New Roman" w:eastAsia="等线" w:cs="Times New Roman"/>
          <w:b/>
          <w:color w:val="auto"/>
          <w:sz w:val="32"/>
          <w:lang w:val="en-US" w:eastAsia="zh-CN"/>
        </w:rPr>
        <w:t>七、谈判方式</w:t>
      </w:r>
    </w:p>
    <w:p w14:paraId="0076311E">
      <w:pPr>
        <w:numPr>
          <w:ilvl w:val="0"/>
          <w:numId w:val="0"/>
        </w:numPr>
        <w:spacing w:before="120" w:after="120" w:line="288" w:lineRule="auto"/>
        <w:ind w:left="0" w:leftChars="0"/>
        <w:jc w:val="left"/>
        <w:rPr>
          <w:rFonts w:hint="eastAsia" w:eastAsia="等线" w:cs="Times New Roman"/>
          <w:color w:val="auto"/>
          <w:sz w:val="22"/>
          <w:lang w:val="en-US" w:eastAsia="zh-CN"/>
        </w:rPr>
      </w:pPr>
      <w:r>
        <w:rPr>
          <w:rFonts w:hint="eastAsia" w:eastAsia="等线" w:cs="Times New Roman"/>
          <w:color w:val="auto"/>
          <w:sz w:val="22"/>
          <w:lang w:val="en-US" w:eastAsia="zh-CN"/>
        </w:rPr>
        <w:t>1.现场参与，发送报名邮件到指定邮箱，被授权人携带响应文件到达现场进行谈判；</w:t>
      </w:r>
    </w:p>
    <w:p w14:paraId="10AC4370">
      <w:pPr>
        <w:numPr>
          <w:ilvl w:val="0"/>
          <w:numId w:val="0"/>
        </w:numPr>
        <w:spacing w:before="120" w:after="120" w:line="288" w:lineRule="auto"/>
        <w:ind w:left="0" w:leftChars="0"/>
        <w:jc w:val="left"/>
        <w:rPr>
          <w:rFonts w:hint="default" w:eastAsia="等线" w:cs="Times New Roman"/>
          <w:color w:val="auto"/>
          <w:sz w:val="22"/>
          <w:lang w:val="en-US" w:eastAsia="zh-CN"/>
        </w:rPr>
      </w:pPr>
      <w:r>
        <w:rPr>
          <w:rFonts w:hint="eastAsia" w:eastAsia="等线" w:cs="Times New Roman"/>
          <w:color w:val="auto"/>
          <w:sz w:val="22"/>
          <w:lang w:val="en-US" w:eastAsia="zh-CN"/>
        </w:rPr>
        <w:t>2.远程参与，发送报名邮件到指定邮箱，将响应文件在2026年2月2日14：30前邮寄到下列联系方式的地址，现场进行远程连线谈判。</w:t>
      </w:r>
    </w:p>
    <w:p w14:paraId="18C45C66">
      <w:pPr>
        <w:spacing w:before="320" w:after="120" w:line="288" w:lineRule="auto"/>
        <w:ind w:left="0"/>
        <w:jc w:val="left"/>
        <w:outlineLvl w:val="1"/>
        <w:rPr>
          <w:rFonts w:hint="default" w:ascii="Times New Roman" w:hAnsi="Times New Roman" w:eastAsia="等线" w:cs="Times New Roman"/>
          <w:color w:val="auto"/>
        </w:rPr>
      </w:pPr>
      <w:bookmarkStart w:id="7" w:name="heading_7"/>
      <w:r>
        <w:rPr>
          <w:rFonts w:hint="eastAsia" w:eastAsia="等线" w:cs="Times New Roman"/>
          <w:b/>
          <w:color w:val="auto"/>
          <w:sz w:val="32"/>
          <w:lang w:val="en-US" w:eastAsia="zh-CN"/>
        </w:rPr>
        <w:t>八</w:t>
      </w:r>
      <w:r>
        <w:rPr>
          <w:rFonts w:hint="default" w:ascii="Times New Roman" w:hAnsi="Times New Roman" w:eastAsia="等线" w:cs="Times New Roman"/>
          <w:b/>
          <w:color w:val="auto"/>
          <w:sz w:val="32"/>
        </w:rPr>
        <w:t>、联系方式</w:t>
      </w:r>
      <w:bookmarkEnd w:id="7"/>
    </w:p>
    <w:p w14:paraId="24C543C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招标人：扬州大学附属医院</w:t>
      </w:r>
    </w:p>
    <w:p w14:paraId="09AC628C">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sz w:val="22"/>
        </w:rPr>
        <w:t>地址：扬州市邗江中路368号</w:t>
      </w:r>
      <w:r>
        <w:rPr>
          <w:rFonts w:hint="eastAsia" w:eastAsia="等线" w:cs="Times New Roman"/>
          <w:color w:val="auto"/>
          <w:sz w:val="22"/>
          <w:lang w:val="en-US" w:eastAsia="zh-CN"/>
        </w:rPr>
        <w:t>行政楼403</w:t>
      </w:r>
    </w:p>
    <w:p w14:paraId="537374C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联系人：张老师</w:t>
      </w:r>
    </w:p>
    <w:p w14:paraId="549F9B45">
      <w:pPr>
        <w:spacing w:before="120" w:after="120" w:line="288" w:lineRule="auto"/>
        <w:ind w:left="0"/>
        <w:jc w:val="left"/>
        <w:rPr>
          <w:rFonts w:hint="eastAsia" w:ascii="Times New Roman" w:hAnsi="Times New Roman" w:eastAsia="等线" w:cs="Times New Roman"/>
          <w:color w:val="auto"/>
          <w:lang w:eastAsia="zh-CN"/>
        </w:rPr>
      </w:pPr>
      <w:r>
        <w:rPr>
          <w:rFonts w:hint="default" w:ascii="Times New Roman" w:hAnsi="Times New Roman" w:eastAsia="等线" w:cs="Times New Roman"/>
          <w:color w:val="auto"/>
          <w:sz w:val="22"/>
        </w:rPr>
        <w:t>联系电话：0514—8209955</w:t>
      </w:r>
      <w:r>
        <w:rPr>
          <w:rFonts w:hint="eastAsia" w:eastAsia="等线" w:cs="Times New Roman"/>
          <w:color w:val="auto"/>
          <w:sz w:val="22"/>
          <w:lang w:val="en-US" w:eastAsia="zh-CN"/>
        </w:rPr>
        <w:t>2</w:t>
      </w:r>
    </w:p>
    <w:p w14:paraId="6C7577DF">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sz w:val="22"/>
        </w:rPr>
        <w:t>电子邮箱：</w:t>
      </w:r>
      <w:r>
        <w:rPr>
          <w:rFonts w:hint="eastAsia" w:eastAsia="等线" w:cs="Times New Roman"/>
          <w:color w:val="auto"/>
          <w:sz w:val="22"/>
          <w:lang w:val="en-US" w:eastAsia="zh-CN"/>
        </w:rPr>
        <w:t>50891671@qq.com</w:t>
      </w:r>
    </w:p>
    <w:p w14:paraId="31FE21E5">
      <w:pPr>
        <w:spacing w:before="380" w:after="140" w:line="288" w:lineRule="auto"/>
        <w:ind w:left="0"/>
        <w:jc w:val="center"/>
        <w:outlineLvl w:val="0"/>
        <w:rPr>
          <w:rFonts w:hint="default" w:ascii="Times New Roman" w:hAnsi="Times New Roman" w:eastAsia="等线" w:cs="Times New Roman"/>
          <w:color w:val="auto"/>
        </w:rPr>
      </w:pPr>
      <w:bookmarkStart w:id="8" w:name="heading_8"/>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第二章投标人须知</w:t>
      </w:r>
      <w:bookmarkEnd w:id="8"/>
    </w:p>
    <w:p w14:paraId="64A94BDD">
      <w:pPr>
        <w:spacing w:before="320" w:after="120" w:line="288" w:lineRule="auto"/>
        <w:ind w:left="0"/>
        <w:jc w:val="left"/>
        <w:outlineLvl w:val="1"/>
        <w:rPr>
          <w:rFonts w:hint="default" w:ascii="Times New Roman" w:hAnsi="Times New Roman" w:eastAsia="等线" w:cs="Times New Roman"/>
          <w:color w:val="auto"/>
        </w:rPr>
      </w:pPr>
      <w:bookmarkStart w:id="9" w:name="heading_9"/>
      <w:r>
        <w:rPr>
          <w:rFonts w:hint="default" w:ascii="Times New Roman" w:hAnsi="Times New Roman" w:eastAsia="等线" w:cs="Times New Roman"/>
          <w:b/>
          <w:color w:val="auto"/>
          <w:sz w:val="32"/>
        </w:rPr>
        <w:t>一、总则</w:t>
      </w:r>
      <w:bookmarkEnd w:id="9"/>
    </w:p>
    <w:p w14:paraId="721A60D6">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1.1 本招标文件是招标人根据项目需求编制，用于规范本次招标流程、明确双方权利义务的依据，投标人应仔细阅读并全面理解招标文件的所有条款，尤其是价格管控、合作期限及自动续签相关约定。</w:t>
      </w:r>
    </w:p>
    <w:p w14:paraId="7B379191">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1.2 投标人应承担所有与准备和参加投标有关的费用，无论投标结果如何，招标人无义务和责任承担此类费用。</w:t>
      </w:r>
    </w:p>
    <w:p w14:paraId="36F33A03">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1.3 本次招标结果有效期为 3 年，合作采用合同自动续签机制，具体按本文件第四章相关约定执行。</w:t>
      </w:r>
    </w:p>
    <w:p w14:paraId="0F0185BD">
      <w:pPr>
        <w:spacing w:before="320" w:after="120" w:line="288" w:lineRule="auto"/>
        <w:ind w:left="0"/>
        <w:jc w:val="left"/>
        <w:outlineLvl w:val="1"/>
        <w:rPr>
          <w:rFonts w:hint="default" w:ascii="Times New Roman" w:hAnsi="Times New Roman" w:eastAsia="等线" w:cs="Times New Roman"/>
          <w:color w:val="auto"/>
        </w:rPr>
      </w:pPr>
      <w:bookmarkStart w:id="10" w:name="heading_10"/>
      <w:r>
        <w:rPr>
          <w:rFonts w:hint="default" w:ascii="Times New Roman" w:hAnsi="Times New Roman" w:eastAsia="等线" w:cs="Times New Roman"/>
          <w:b/>
          <w:color w:val="auto"/>
          <w:sz w:val="32"/>
        </w:rPr>
        <w:t>二、招标文件的澄清与修改</w:t>
      </w:r>
      <w:bookmarkEnd w:id="10"/>
    </w:p>
    <w:p w14:paraId="5DAF726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2.1投标人对招标文件有疑问的，应在投标截止时间3个工作日前以书面形式（加盖公章）向招标人提出澄清申请，招标人将在收到申请后2个工作日内以书面形式予以答复。</w:t>
      </w:r>
    </w:p>
    <w:p w14:paraId="59E96D7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2.2招标人可根据实际情况对招标文件进行修改，修改内容将以书面形式通知所有已获取招标文件的投标人，修改内容与招标文件具有同等效力。投标人收到修改通知后应在1个工作日内书面确认，逾期未确认视为已知悉修改内容。</w:t>
      </w:r>
    </w:p>
    <w:p w14:paraId="1F8226B2">
      <w:pPr>
        <w:spacing w:before="320" w:after="120" w:line="288" w:lineRule="auto"/>
        <w:ind w:left="0"/>
        <w:jc w:val="left"/>
        <w:outlineLvl w:val="1"/>
        <w:rPr>
          <w:rFonts w:hint="default" w:ascii="Times New Roman" w:hAnsi="Times New Roman" w:eastAsia="等线" w:cs="Times New Roman"/>
          <w:color w:val="auto"/>
        </w:rPr>
      </w:pPr>
      <w:bookmarkStart w:id="11" w:name="heading_11"/>
      <w:r>
        <w:rPr>
          <w:rFonts w:hint="default" w:ascii="Times New Roman" w:hAnsi="Times New Roman" w:eastAsia="等线" w:cs="Times New Roman"/>
          <w:b/>
          <w:color w:val="auto"/>
          <w:sz w:val="32"/>
        </w:rPr>
        <w:t>三、投标文件的编制</w:t>
      </w:r>
      <w:bookmarkEnd w:id="11"/>
    </w:p>
    <w:p w14:paraId="085BFED3">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3.1投标文件应包括但不限于以下内容（核心用于确认合作主体类型、信息真实性、折扣适配性及价格管控承诺）：</w:t>
      </w:r>
    </w:p>
    <w:p w14:paraId="08603B4D">
      <w:pPr>
        <w:numPr>
          <w:ilvl w:val="0"/>
          <w:numId w:val="2"/>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投标函（需明确标注为“现有平台”或“新平台”，格式见附件1）；</w:t>
      </w:r>
    </w:p>
    <w:p w14:paraId="2F06F0EE">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法定代表人身份证明书及授权委托书（格式见附件2、3）；</w:t>
      </w:r>
    </w:p>
    <w:p w14:paraId="0F749082">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营业执照副本、税务登记证、平台备案证明、相关资质证书等证明文件复印件（加盖公章）；</w:t>
      </w:r>
    </w:p>
    <w:p w14:paraId="471C8BE1">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分类证明材料：</w:t>
      </w:r>
      <w:r>
        <w:rPr>
          <w:rFonts w:hint="default" w:ascii="Times New Roman" w:hAnsi="Times New Roman" w:eastAsia="等线" w:cs="Times New Roman"/>
          <w:color w:val="auto"/>
          <w:sz w:val="22"/>
          <w:lang w:val="en-US" w:eastAsia="zh-CN"/>
        </w:rPr>
        <w:t>①</w:t>
      </w:r>
      <w:r>
        <w:rPr>
          <w:rFonts w:hint="default" w:ascii="Times New Roman" w:hAnsi="Times New Roman" w:eastAsia="等线" w:cs="Times New Roman"/>
          <w:color w:val="auto"/>
          <w:sz w:val="22"/>
        </w:rPr>
        <w:t>现有平台：2025年度与本健康管理中心合作金额的完整结算凭证、合作协议等（用于核对折扣适配依据）；</w:t>
      </w:r>
      <w:r>
        <w:rPr>
          <w:rFonts w:hint="default" w:ascii="Times New Roman" w:hAnsi="Times New Roman" w:eastAsia="等线" w:cs="Times New Roman"/>
          <w:color w:val="auto"/>
          <w:sz w:val="22"/>
          <w:lang w:val="en-US" w:eastAsia="zh-CN"/>
        </w:rPr>
        <w:t>②</w:t>
      </w:r>
      <w:r>
        <w:rPr>
          <w:rFonts w:hint="default" w:ascii="Times New Roman" w:hAnsi="Times New Roman" w:eastAsia="等线" w:cs="Times New Roman"/>
          <w:color w:val="auto"/>
          <w:sz w:val="22"/>
        </w:rPr>
        <w:t>新平台：平台运营证明、用户规模数据、过往健康类项目合作案例、推广能力说明等（用于审核服务资质）；</w:t>
      </w:r>
    </w:p>
    <w:p w14:paraId="1B88DC23">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合作承诺函（明确同意对应折扣规则、承诺履行服务要求、无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行为等，格式可参考附件1）；</w:t>
      </w:r>
    </w:p>
    <w:p w14:paraId="3452D363">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服务能力保障材料：</w:t>
      </w:r>
      <w:r>
        <w:rPr>
          <w:rFonts w:hint="default" w:ascii="Times New Roman" w:hAnsi="Times New Roman" w:eastAsia="等线" w:cs="Times New Roman"/>
          <w:color w:val="auto"/>
          <w:sz w:val="22"/>
          <w:lang w:val="en-US" w:eastAsia="zh-CN"/>
        </w:rPr>
        <w:t>①</w:t>
      </w:r>
      <w:r>
        <w:rPr>
          <w:rFonts w:hint="default" w:ascii="Times New Roman" w:hAnsi="Times New Roman" w:eastAsia="等线" w:cs="Times New Roman"/>
          <w:color w:val="auto"/>
          <w:sz w:val="22"/>
        </w:rPr>
        <w:t>现有平台：服务团队延续性证明、平台运维保障方案；</w:t>
      </w:r>
      <w:r>
        <w:rPr>
          <w:rFonts w:hint="default" w:ascii="Times New Roman" w:hAnsi="Times New Roman" w:eastAsia="等线" w:cs="Times New Roman"/>
          <w:color w:val="auto"/>
          <w:sz w:val="22"/>
          <w:lang w:val="en-US" w:eastAsia="zh-CN"/>
        </w:rPr>
        <w:t>②</w:t>
      </w:r>
      <w:r>
        <w:rPr>
          <w:rFonts w:hint="default" w:ascii="Times New Roman" w:hAnsi="Times New Roman" w:eastAsia="等线" w:cs="Times New Roman"/>
          <w:color w:val="auto"/>
          <w:sz w:val="22"/>
        </w:rPr>
        <w:t>新平台：拟投入服务团队资质、平台推广方案、客户服务体系建设说明；</w:t>
      </w:r>
    </w:p>
    <w:p w14:paraId="677F49B1">
      <w:pPr>
        <w:numPr>
          <w:ilvl w:val="0"/>
          <w:numId w:val="2"/>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无重大违法违规记录的承诺函（格式见附件4）；</w:t>
      </w:r>
    </w:p>
    <w:p w14:paraId="5EE2260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3.2投标文件应使用中文编制，计量单位采用国家法定计量单位，所有复印件需加盖投标人公章并注明“与原件一致”。</w:t>
      </w:r>
    </w:p>
    <w:p w14:paraId="4FFD501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3.3投标文件应装订成册，一式</w:t>
      </w:r>
      <w:r>
        <w:rPr>
          <w:rFonts w:hint="eastAsia" w:eastAsia="等线" w:cs="Times New Roman"/>
          <w:color w:val="auto"/>
          <w:sz w:val="22"/>
          <w:lang w:val="en-US" w:eastAsia="zh-CN"/>
        </w:rPr>
        <w:t>5</w:t>
      </w:r>
      <w:r>
        <w:rPr>
          <w:rFonts w:hint="default" w:ascii="Times New Roman" w:hAnsi="Times New Roman" w:eastAsia="等线" w:cs="Times New Roman"/>
          <w:color w:val="auto"/>
          <w:sz w:val="22"/>
        </w:rPr>
        <w:t>份，其中正本</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rPr>
        <w:t>份，副本</w:t>
      </w:r>
      <w:r>
        <w:rPr>
          <w:rFonts w:hint="eastAsia" w:eastAsia="等线" w:cs="Times New Roman"/>
          <w:color w:val="auto"/>
          <w:sz w:val="22"/>
          <w:lang w:val="en-US" w:eastAsia="zh-CN"/>
        </w:rPr>
        <w:t>4</w:t>
      </w:r>
      <w:r>
        <w:rPr>
          <w:rFonts w:hint="default" w:ascii="Times New Roman" w:hAnsi="Times New Roman" w:eastAsia="等线" w:cs="Times New Roman"/>
          <w:color w:val="auto"/>
          <w:sz w:val="22"/>
        </w:rPr>
        <w:t>份，正本与副本内容应完全一致，如有不一致以正本为准。</w:t>
      </w:r>
    </w:p>
    <w:p w14:paraId="3EEED4DC">
      <w:pPr>
        <w:spacing w:before="320" w:after="120" w:line="288" w:lineRule="auto"/>
        <w:ind w:left="0"/>
        <w:jc w:val="left"/>
        <w:outlineLvl w:val="1"/>
        <w:rPr>
          <w:rFonts w:hint="default" w:ascii="Times New Roman" w:hAnsi="Times New Roman" w:eastAsia="等线" w:cs="Times New Roman"/>
          <w:color w:val="auto"/>
        </w:rPr>
      </w:pPr>
      <w:bookmarkStart w:id="12" w:name="heading_12"/>
      <w:r>
        <w:rPr>
          <w:rFonts w:hint="default" w:ascii="Times New Roman" w:hAnsi="Times New Roman" w:eastAsia="等线" w:cs="Times New Roman"/>
          <w:b/>
          <w:color w:val="auto"/>
          <w:sz w:val="32"/>
        </w:rPr>
        <w:t>四、合作金额与折扣的确定规则（分两类主体执行，最高折扣上限均为8.</w:t>
      </w:r>
      <w:r>
        <w:rPr>
          <w:rFonts w:hint="default" w:ascii="Times New Roman" w:hAnsi="Times New Roman" w:eastAsia="等线" w:cs="Times New Roman"/>
          <w:b/>
          <w:color w:val="auto"/>
          <w:sz w:val="32"/>
          <w:lang w:val="en-US" w:eastAsia="zh-CN"/>
        </w:rPr>
        <w:t>5</w:t>
      </w:r>
      <w:r>
        <w:rPr>
          <w:rFonts w:hint="default" w:ascii="Times New Roman" w:hAnsi="Times New Roman" w:eastAsia="等线" w:cs="Times New Roman"/>
          <w:b/>
          <w:color w:val="auto"/>
          <w:sz w:val="32"/>
        </w:rPr>
        <w:t>折）</w:t>
      </w:r>
      <w:bookmarkEnd w:id="12"/>
    </w:p>
    <w:p w14:paraId="2F5B4BF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val="en-US" w:eastAsia="zh-CN"/>
        </w:rPr>
        <w:t>4.1</w:t>
      </w:r>
      <w:r>
        <w:rPr>
          <w:rFonts w:hint="default" w:ascii="Times New Roman" w:hAnsi="Times New Roman" w:eastAsia="等线" w:cs="Times New Roman"/>
          <w:color w:val="auto"/>
          <w:sz w:val="22"/>
        </w:rPr>
        <w:t>核心原则：折扣率按照上一年度实际合作结算总金额对应确定，每年根据上一年度合作金额动态调整，最高折扣上限为 8.5 折（即最低折扣为 8.5 折），超出此上限的折扣约定无效。</w:t>
      </w:r>
    </w:p>
    <w:p w14:paraId="06360A0B">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rPr>
        <w:t>现有合作平台折扣规则：</w:t>
      </w:r>
    </w:p>
    <w:p w14:paraId="600B7C1B">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1 年（合作首年）：以投标人 2025 年度与本医院健康管理中心的实际合作金额为依据，确定本年度合作折扣；</w:t>
      </w:r>
    </w:p>
    <w:p w14:paraId="1611C0E4">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2 年：以第 1 年实际合作结算总金额为依据，按照阶梯折扣规则核定本年度折扣；</w:t>
      </w:r>
    </w:p>
    <w:p w14:paraId="3D46B987">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3 年：以第 2 年实际合作结算总金额为依据，按照阶梯折扣规则核定本年度折扣。</w:t>
      </w:r>
    </w:p>
    <w:p w14:paraId="6AFE33BC">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4.3 新合作平台折扣规则：</w:t>
      </w:r>
    </w:p>
    <w:p w14:paraId="00365819">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1</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1 年（合作首年）：初始合作折扣为 9.5 折，年度结束后按当年实际合作结算总金额追溯调整折扣（合作金额每增加 10 万元，折扣降低 0.1 折，累计至 8.5 折后不再调整）；</w:t>
      </w:r>
    </w:p>
    <w:p w14:paraId="3FF8CBEA">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2</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2 年：以第 1 年实际合作结算总金额为依据，按照阶梯折扣规则核定本年度折扣；</w:t>
      </w:r>
    </w:p>
    <w:p w14:paraId="6ECB7639">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lang w:val="en-US" w:eastAsia="zh-CN"/>
        </w:rPr>
        <w:t>3</w:t>
      </w:r>
      <w:r>
        <w:rPr>
          <w:rFonts w:hint="default" w:ascii="Times New Roman" w:hAnsi="Times New Roman" w:eastAsia="等线" w:cs="Times New Roman"/>
          <w:color w:val="auto"/>
          <w:sz w:val="22"/>
          <w:lang w:eastAsia="zh-CN"/>
        </w:rPr>
        <w:t>）</w:t>
      </w:r>
      <w:r>
        <w:rPr>
          <w:rFonts w:hint="default" w:ascii="Times New Roman" w:hAnsi="Times New Roman" w:eastAsia="等线" w:cs="Times New Roman"/>
          <w:color w:val="auto"/>
          <w:sz w:val="22"/>
        </w:rPr>
        <w:t>第 3 年：以第 2 年实际合作结算总金额为依据，按照阶梯折扣规则核定本年度折扣。</w:t>
      </w:r>
    </w:p>
    <w:p w14:paraId="4F206A07">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4阶梯折扣标准</w:t>
      </w:r>
      <w:r>
        <w:rPr>
          <w:rFonts w:hint="default" w:ascii="Times New Roman" w:hAnsi="Times New Roman" w:eastAsia="等线" w:cs="Times New Roman"/>
          <w:color w:val="auto"/>
          <w:sz w:val="22"/>
        </w:rPr>
        <w:t>：</w:t>
      </w:r>
    </w:p>
    <w:tbl>
      <w:tblPr>
        <w:tblStyle w:val="4"/>
        <w:tblpPr w:leftFromText="180" w:rightFromText="180" w:vertAnchor="text" w:horzAnchor="page" w:tblpXSpec="center" w:tblpY="460"/>
        <w:tblOverlap w:val="never"/>
        <w:tblW w:w="0" w:type="auto"/>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4313"/>
        <w:gridCol w:w="3429"/>
      </w:tblGrid>
      <w:tr w14:paraId="78BF0CC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57C6DB7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年度合作金额区间（元）</w:t>
            </w:r>
          </w:p>
        </w:tc>
        <w:tc>
          <w:tcPr>
            <w:tcW w:w="3429" w:type="dxa"/>
            <w:tcMar>
              <w:top w:w="60" w:type="dxa"/>
              <w:left w:w="120" w:type="dxa"/>
              <w:bottom w:w="30" w:type="dxa"/>
              <w:right w:w="120" w:type="dxa"/>
            </w:tcMar>
          </w:tcPr>
          <w:p w14:paraId="47F1030C">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对应合作折扣</w:t>
            </w:r>
          </w:p>
        </w:tc>
      </w:tr>
      <w:tr w14:paraId="7836C52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2E46DDB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0-100000（含）</w:t>
            </w:r>
          </w:p>
        </w:tc>
        <w:tc>
          <w:tcPr>
            <w:tcW w:w="3429" w:type="dxa"/>
            <w:tcMar>
              <w:top w:w="60" w:type="dxa"/>
              <w:left w:w="120" w:type="dxa"/>
              <w:bottom w:w="30" w:type="dxa"/>
              <w:right w:w="120" w:type="dxa"/>
            </w:tcMar>
          </w:tcPr>
          <w:p w14:paraId="7944EA7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9.5折</w:t>
            </w:r>
          </w:p>
        </w:tc>
      </w:tr>
      <w:tr w14:paraId="59DD23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69069C9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10000</w:t>
            </w:r>
            <w:r>
              <w:rPr>
                <w:rFonts w:hint="default" w:ascii="Times New Roman" w:hAnsi="Times New Roman" w:eastAsia="等线" w:cs="Times New Roman"/>
                <w:color w:val="auto"/>
                <w:sz w:val="22"/>
                <w:lang w:val="en-US" w:eastAsia="zh-CN"/>
              </w:rPr>
              <w:t>0</w:t>
            </w:r>
            <w:r>
              <w:rPr>
                <w:rFonts w:hint="default" w:ascii="Times New Roman" w:hAnsi="Times New Roman" w:eastAsia="等线" w:cs="Times New Roman"/>
                <w:color w:val="auto"/>
                <w:sz w:val="22"/>
              </w:rPr>
              <w:t>-200000（含）</w:t>
            </w:r>
          </w:p>
        </w:tc>
        <w:tc>
          <w:tcPr>
            <w:tcW w:w="3429" w:type="dxa"/>
            <w:tcMar>
              <w:top w:w="60" w:type="dxa"/>
              <w:left w:w="120" w:type="dxa"/>
              <w:bottom w:w="30" w:type="dxa"/>
              <w:right w:w="120" w:type="dxa"/>
            </w:tcMar>
          </w:tcPr>
          <w:p w14:paraId="0CF3241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9.4折</w:t>
            </w:r>
          </w:p>
        </w:tc>
      </w:tr>
      <w:tr w14:paraId="148F487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78E1D07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200001-300000（含）</w:t>
            </w:r>
          </w:p>
        </w:tc>
        <w:tc>
          <w:tcPr>
            <w:tcW w:w="3429" w:type="dxa"/>
            <w:tcMar>
              <w:top w:w="60" w:type="dxa"/>
              <w:left w:w="120" w:type="dxa"/>
              <w:bottom w:w="30" w:type="dxa"/>
              <w:right w:w="120" w:type="dxa"/>
            </w:tcMar>
          </w:tcPr>
          <w:p w14:paraId="5352045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9.3折</w:t>
            </w:r>
          </w:p>
        </w:tc>
      </w:tr>
      <w:tr w14:paraId="06E28C5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28B7E214">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lang w:val="en-US" w:eastAsia="zh-CN"/>
              </w:rPr>
              <w:t>...</w:t>
            </w:r>
          </w:p>
        </w:tc>
        <w:tc>
          <w:tcPr>
            <w:tcW w:w="3429" w:type="dxa"/>
            <w:tcMar>
              <w:top w:w="60" w:type="dxa"/>
              <w:left w:w="120" w:type="dxa"/>
              <w:bottom w:w="30" w:type="dxa"/>
              <w:right w:w="120" w:type="dxa"/>
            </w:tcMar>
          </w:tcPr>
          <w:p w14:paraId="69575164">
            <w:pPr>
              <w:spacing w:before="120" w:after="120" w:line="288" w:lineRule="auto"/>
              <w:ind w:left="0"/>
              <w:jc w:val="left"/>
              <w:rPr>
                <w:rFonts w:hint="default" w:ascii="Times New Roman" w:hAnsi="Times New Roman" w:eastAsia="等线" w:cs="Times New Roman"/>
                <w:color w:val="auto"/>
                <w:lang w:val="en-US" w:eastAsia="zh-CN"/>
              </w:rPr>
            </w:pPr>
            <w:r>
              <w:rPr>
                <w:rFonts w:hint="default" w:ascii="Times New Roman" w:hAnsi="Times New Roman" w:eastAsia="等线" w:cs="Times New Roman"/>
                <w:color w:val="auto"/>
                <w:lang w:val="en-US" w:eastAsia="zh-CN"/>
              </w:rPr>
              <w:t>...</w:t>
            </w:r>
          </w:p>
        </w:tc>
      </w:tr>
      <w:tr w14:paraId="32C09D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jc w:val="center"/>
        </w:trPr>
        <w:tc>
          <w:tcPr>
            <w:tcW w:w="4313" w:type="dxa"/>
            <w:tcMar>
              <w:top w:w="60" w:type="dxa"/>
              <w:left w:w="120" w:type="dxa"/>
              <w:bottom w:w="30" w:type="dxa"/>
              <w:right w:w="120" w:type="dxa"/>
            </w:tcMar>
          </w:tcPr>
          <w:p w14:paraId="089EB50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lang w:val="en-US" w:eastAsia="zh-CN"/>
              </w:rPr>
              <w:t>1</w:t>
            </w:r>
            <w:r>
              <w:rPr>
                <w:rFonts w:hint="eastAsia" w:eastAsia="等线" w:cs="Times New Roman"/>
                <w:color w:val="auto"/>
                <w:sz w:val="22"/>
                <w:lang w:val="en-US" w:eastAsia="zh-CN"/>
              </w:rPr>
              <w:t>0</w:t>
            </w:r>
            <w:r>
              <w:rPr>
                <w:rFonts w:hint="default" w:ascii="Times New Roman" w:hAnsi="Times New Roman" w:eastAsia="等线" w:cs="Times New Roman"/>
                <w:color w:val="auto"/>
                <w:sz w:val="22"/>
                <w:lang w:val="en-US" w:eastAsia="zh-CN"/>
              </w:rPr>
              <w:t>0</w:t>
            </w:r>
            <w:r>
              <w:rPr>
                <w:rFonts w:hint="default" w:ascii="Times New Roman" w:hAnsi="Times New Roman" w:eastAsia="等线" w:cs="Times New Roman"/>
                <w:color w:val="auto"/>
                <w:sz w:val="22"/>
              </w:rPr>
              <w:t>00001及以上</w:t>
            </w:r>
          </w:p>
        </w:tc>
        <w:tc>
          <w:tcPr>
            <w:tcW w:w="3429" w:type="dxa"/>
            <w:tcMar>
              <w:top w:w="60" w:type="dxa"/>
              <w:left w:w="120" w:type="dxa"/>
              <w:bottom w:w="30" w:type="dxa"/>
              <w:right w:w="120" w:type="dxa"/>
            </w:tcMar>
          </w:tcPr>
          <w:p w14:paraId="335521C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8.</w:t>
            </w:r>
            <w:r>
              <w:rPr>
                <w:rFonts w:hint="default" w:ascii="Times New Roman" w:hAnsi="Times New Roman" w:eastAsia="等线" w:cs="Times New Roman"/>
                <w:color w:val="auto"/>
                <w:sz w:val="22"/>
                <w:lang w:val="en-US" w:eastAsia="zh-CN"/>
              </w:rPr>
              <w:t>5</w:t>
            </w:r>
            <w:r>
              <w:rPr>
                <w:rFonts w:hint="default" w:ascii="Times New Roman" w:hAnsi="Times New Roman" w:eastAsia="等线" w:cs="Times New Roman"/>
                <w:color w:val="auto"/>
                <w:sz w:val="22"/>
              </w:rPr>
              <w:t>折（上限）</w:t>
            </w:r>
          </w:p>
        </w:tc>
      </w:tr>
    </w:tbl>
    <w:p w14:paraId="1900D124">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4.</w:t>
      </w:r>
      <w:r>
        <w:rPr>
          <w:rFonts w:hint="default" w:ascii="Times New Roman" w:hAnsi="Times New Roman" w:eastAsia="等线" w:cs="Times New Roman"/>
          <w:color w:val="auto"/>
          <w:sz w:val="22"/>
          <w:lang w:val="en-US" w:eastAsia="zh-CN"/>
        </w:rPr>
        <w:t>5</w:t>
      </w:r>
      <w:r>
        <w:rPr>
          <w:rFonts w:hint="default" w:ascii="Times New Roman" w:hAnsi="Times New Roman" w:eastAsia="等线" w:cs="Times New Roman"/>
          <w:color w:val="auto"/>
          <w:sz w:val="22"/>
        </w:rPr>
        <w:t>通用说明：本项目约定的折扣均为体检套餐基准价格的结算折扣，适用于所有通过合作平台成交的体检订单，不包含额外增值服务费用（如个性化体检方案定制、VIP 专属服务等）。</w:t>
      </w:r>
    </w:p>
    <w:p w14:paraId="14BEA651">
      <w:pPr>
        <w:spacing w:before="120" w:after="120" w:line="288" w:lineRule="auto"/>
        <w:ind w:left="0"/>
        <w:jc w:val="left"/>
        <w:rPr>
          <w:rFonts w:hint="default" w:ascii="Times New Roman" w:hAnsi="Times New Roman" w:eastAsia="等线" w:cs="Times New Roman"/>
          <w:color w:val="auto"/>
          <w:sz w:val="22"/>
          <w:lang w:val="en-US" w:eastAsia="zh-CN"/>
        </w:rPr>
      </w:pPr>
      <w:r>
        <w:rPr>
          <w:rFonts w:hint="eastAsia" w:eastAsia="等线" w:cs="Times New Roman"/>
          <w:color w:val="auto"/>
          <w:sz w:val="22"/>
          <w:lang w:val="en-US" w:eastAsia="zh-CN"/>
        </w:rPr>
        <w:t>4.6 上一年度合作金额不足一万元则终止合作。</w:t>
      </w:r>
    </w:p>
    <w:p w14:paraId="72A96F25">
      <w:pPr>
        <w:spacing w:before="320" w:after="120" w:line="288" w:lineRule="auto"/>
        <w:ind w:left="0"/>
        <w:jc w:val="left"/>
        <w:outlineLvl w:val="1"/>
        <w:rPr>
          <w:rFonts w:hint="default" w:ascii="Times New Roman" w:hAnsi="Times New Roman" w:eastAsia="等线" w:cs="Times New Roman"/>
          <w:color w:val="auto"/>
        </w:rPr>
      </w:pPr>
      <w:bookmarkStart w:id="13" w:name="heading_13"/>
      <w:r>
        <w:rPr>
          <w:rFonts w:hint="default" w:ascii="Times New Roman" w:hAnsi="Times New Roman" w:eastAsia="等线" w:cs="Times New Roman"/>
          <w:b/>
          <w:color w:val="auto"/>
          <w:sz w:val="32"/>
        </w:rPr>
        <w:t>五、投标有效期</w:t>
      </w:r>
      <w:bookmarkEnd w:id="13"/>
    </w:p>
    <w:p w14:paraId="3945FEA4">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有效期为投标截止日期后【60】天，在此期间，投标人的投标文件对其具有法律约束力，招标人有权在有效期内要求投标人补充相关资料；若招标人需延长投标有效期，将提前3个工作日书面通知投标人，投标人应在收到通知后2个工作日内书面回复，同意延长的，投标文件继续有效，不同意或逾期未回复的，视为放弃投标资格。</w:t>
      </w:r>
    </w:p>
    <w:p w14:paraId="0B9CEE46">
      <w:pPr>
        <w:spacing w:before="380" w:after="140" w:line="288" w:lineRule="auto"/>
        <w:ind w:left="0"/>
        <w:jc w:val="center"/>
        <w:outlineLvl w:val="0"/>
        <w:rPr>
          <w:rFonts w:hint="default" w:ascii="Times New Roman" w:hAnsi="Times New Roman" w:eastAsia="等线" w:cs="Times New Roman"/>
          <w:color w:val="auto"/>
        </w:rPr>
      </w:pPr>
      <w:bookmarkStart w:id="14" w:name="heading_14"/>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第三章服务要求</w:t>
      </w:r>
      <w:bookmarkEnd w:id="14"/>
    </w:p>
    <w:p w14:paraId="0DB548D2">
      <w:pPr>
        <w:spacing w:before="320" w:after="120" w:line="288" w:lineRule="auto"/>
        <w:ind w:left="0"/>
        <w:jc w:val="left"/>
        <w:outlineLvl w:val="1"/>
        <w:rPr>
          <w:rFonts w:hint="default" w:ascii="Times New Roman" w:hAnsi="Times New Roman" w:eastAsia="等线" w:cs="Times New Roman"/>
          <w:color w:val="auto"/>
        </w:rPr>
      </w:pPr>
      <w:bookmarkStart w:id="15" w:name="heading_15"/>
      <w:r>
        <w:rPr>
          <w:rFonts w:hint="default" w:ascii="Times New Roman" w:hAnsi="Times New Roman" w:eastAsia="等线" w:cs="Times New Roman"/>
          <w:b/>
          <w:color w:val="auto"/>
          <w:sz w:val="32"/>
        </w:rPr>
        <w:t>一、服务内容</w:t>
      </w:r>
      <w:bookmarkEnd w:id="15"/>
    </w:p>
    <w:p w14:paraId="345D1679">
      <w:pPr>
        <w:numPr>
          <w:ilvl w:val="0"/>
          <w:numId w:val="3"/>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平台推广：投标人需利用自身平台资源，对医院健康管理中心的体检套餐进行推广，包括但不限于平台首页展示、专题活动策划、精准客户推送等。</w:t>
      </w:r>
    </w:p>
    <w:p w14:paraId="707C8FB5">
      <w:pPr>
        <w:numPr>
          <w:ilvl w:val="0"/>
          <w:numId w:val="4"/>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订单对接：建立高效的订单对接机制，及时将平台获取的体检订单信息反馈给医院健康管理中心，确保订单信息准确、传递及时。</w:t>
      </w:r>
    </w:p>
    <w:p w14:paraId="13C021A4">
      <w:pPr>
        <w:numPr>
          <w:ilvl w:val="0"/>
          <w:numId w:val="5"/>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客户服务：为平台用户提供体检咨询、预约协助、订单查询、问题解答等售后服务，及时处理客户投诉与建议，保障客户体验；不得在服务过程中向客户提出额外加价或</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要求。</w:t>
      </w:r>
    </w:p>
    <w:p w14:paraId="41496433">
      <w:pPr>
        <w:spacing w:before="320" w:after="120" w:line="288" w:lineRule="auto"/>
        <w:ind w:left="0"/>
        <w:jc w:val="left"/>
        <w:outlineLvl w:val="1"/>
        <w:rPr>
          <w:rFonts w:hint="default" w:ascii="Times New Roman" w:hAnsi="Times New Roman" w:eastAsia="等线" w:cs="Times New Roman"/>
          <w:color w:val="auto"/>
        </w:rPr>
      </w:pPr>
      <w:bookmarkStart w:id="16" w:name="heading_16"/>
      <w:r>
        <w:rPr>
          <w:rFonts w:hint="default" w:ascii="Times New Roman" w:hAnsi="Times New Roman" w:eastAsia="等线" w:cs="Times New Roman"/>
          <w:b/>
          <w:color w:val="auto"/>
          <w:sz w:val="32"/>
        </w:rPr>
        <w:t>二、服务质量要求</w:t>
      </w:r>
      <w:bookmarkEnd w:id="16"/>
    </w:p>
    <w:p w14:paraId="13F6A16A">
      <w:pPr>
        <w:numPr>
          <w:ilvl w:val="0"/>
          <w:numId w:val="6"/>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推广效果：投标人需制定合理的推广计划，确保年度通过平台引流的体检客户数量不低于</w:t>
      </w:r>
      <w:r>
        <w:rPr>
          <w:rFonts w:hint="default" w:ascii="Times New Roman" w:hAnsi="Times New Roman" w:eastAsia="等线" w:cs="Times New Roman"/>
          <w:color w:val="auto"/>
          <w:sz w:val="22"/>
          <w:lang w:val="en-US" w:eastAsia="zh-CN"/>
        </w:rPr>
        <w:t>500人</w:t>
      </w:r>
      <w:r>
        <w:rPr>
          <w:rFonts w:hint="default" w:ascii="Times New Roman" w:hAnsi="Times New Roman" w:eastAsia="等线" w:cs="Times New Roman"/>
          <w:color w:val="auto"/>
          <w:sz w:val="22"/>
        </w:rPr>
        <w:t>，</w:t>
      </w:r>
      <w:r>
        <w:rPr>
          <w:rFonts w:hint="default" w:ascii="Times New Roman" w:hAnsi="Times New Roman" w:eastAsia="等线" w:cs="Times New Roman"/>
          <w:color w:val="auto"/>
          <w:sz w:val="22"/>
          <w:lang w:val="en-US" w:eastAsia="zh-CN"/>
        </w:rPr>
        <w:t>且</w:t>
      </w:r>
      <w:r>
        <w:rPr>
          <w:rFonts w:hint="default" w:ascii="Times New Roman" w:hAnsi="Times New Roman" w:eastAsia="等线" w:cs="Times New Roman"/>
          <w:color w:val="auto"/>
          <w:sz w:val="22"/>
        </w:rPr>
        <w:t>年度成交金额不低于2025年度对应金额的</w:t>
      </w:r>
      <w:r>
        <w:rPr>
          <w:rFonts w:hint="default" w:ascii="Times New Roman" w:hAnsi="Times New Roman" w:eastAsia="等线" w:cs="Times New Roman"/>
          <w:color w:val="auto"/>
          <w:sz w:val="22"/>
          <w:lang w:val="en-US" w:eastAsia="zh-CN"/>
        </w:rPr>
        <w:t>90%</w:t>
      </w:r>
      <w:r>
        <w:rPr>
          <w:rFonts w:hint="default" w:ascii="Times New Roman" w:hAnsi="Times New Roman" w:eastAsia="等线" w:cs="Times New Roman"/>
          <w:color w:val="auto"/>
          <w:sz w:val="22"/>
        </w:rPr>
        <w:t>。</w:t>
      </w:r>
    </w:p>
    <w:p w14:paraId="7F91361F">
      <w:pPr>
        <w:numPr>
          <w:ilvl w:val="0"/>
          <w:numId w:val="7"/>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响应时效：对于客户咨询、订单确认等常规事项，投标人需在2小时内响应；对于客户投诉等复杂问题，需在24小时内响应并给出初步处理意见，72小时内给出最终解决方案。</w:t>
      </w:r>
    </w:p>
    <w:p w14:paraId="0907E0B7">
      <w:pPr>
        <w:numPr>
          <w:ilvl w:val="0"/>
          <w:numId w:val="8"/>
        </w:num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数据准确性：提交的数据统计报告需真实、准确、完整，不得存在虚假记载、误导性陈述或重大遗漏，招标人将定期对数据进行核查，发现虚假数据按违约责任处理。</w:t>
      </w:r>
    </w:p>
    <w:p w14:paraId="5FA6A6EE">
      <w:pPr>
        <w:numPr>
          <w:ilvl w:val="0"/>
          <w:numId w:val="9"/>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保密要求：投标人需对合作过程中获取的医院商业秘密、客户个人信息等敏感数据承担保密责任，不得擅自泄露或用于其他商业用途。</w:t>
      </w:r>
    </w:p>
    <w:p w14:paraId="5A79774B">
      <w:pPr>
        <w:numPr>
          <w:ilvl w:val="0"/>
          <w:numId w:val="9"/>
        </w:num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价格管控要求：投标人需严格遵守无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承诺，确保其平台上展示的体检套餐价格与双方约定的基准价格一致，无擅自提价、变相提价或新增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环节的行为；招标人有权定期对平台价格进行核查。</w:t>
      </w:r>
    </w:p>
    <w:p w14:paraId="3308E935">
      <w:pPr>
        <w:spacing w:before="380" w:after="140" w:line="288" w:lineRule="auto"/>
        <w:ind w:left="0"/>
        <w:jc w:val="center"/>
        <w:outlineLvl w:val="0"/>
        <w:rPr>
          <w:rFonts w:hint="default" w:ascii="Times New Roman" w:hAnsi="Times New Roman" w:eastAsia="等线" w:cs="Times New Roman"/>
          <w:color w:val="auto"/>
        </w:rPr>
      </w:pPr>
      <w:bookmarkStart w:id="17" w:name="heading_17"/>
      <w:r>
        <w:rPr>
          <w:rFonts w:hint="default" w:ascii="Times New Roman" w:hAnsi="Times New Roman" w:eastAsia="等线" w:cs="Times New Roman"/>
          <w:b/>
          <w:color w:val="auto"/>
          <w:sz w:val="36"/>
        </w:rPr>
        <w:br w:type="page"/>
      </w:r>
      <w:r>
        <w:rPr>
          <w:rFonts w:hint="default" w:ascii="Times New Roman" w:hAnsi="Times New Roman" w:eastAsia="等线" w:cs="Times New Roman"/>
          <w:b/>
          <w:color w:val="auto"/>
          <w:sz w:val="36"/>
        </w:rPr>
        <w:t>第四章合同主要条款</w:t>
      </w:r>
      <w:bookmarkEnd w:id="17"/>
    </w:p>
    <w:p w14:paraId="70D4DD77">
      <w:pPr>
        <w:spacing w:line="360" w:lineRule="auto"/>
        <w:jc w:val="center"/>
        <w:rPr>
          <w:rFonts w:hint="eastAsia" w:ascii="宋体" w:hAnsi="宋体"/>
          <w:b/>
          <w:color w:val="auto"/>
          <w:sz w:val="36"/>
          <w:szCs w:val="40"/>
          <w:highlight w:val="none"/>
        </w:rPr>
      </w:pPr>
      <w:bookmarkStart w:id="18" w:name="heading_26"/>
      <w:r>
        <w:rPr>
          <w:rFonts w:hint="eastAsia" w:ascii="宋体" w:hAnsi="宋体"/>
          <w:b/>
          <w:color w:val="auto"/>
          <w:sz w:val="36"/>
          <w:szCs w:val="40"/>
          <w:highlight w:val="yellow"/>
          <w:lang w:val="en-US" w:eastAsia="zh-CN"/>
        </w:rPr>
        <w:t>年度</w:t>
      </w:r>
      <w:r>
        <w:rPr>
          <w:rFonts w:hint="eastAsia" w:ascii="宋体" w:hAnsi="宋体"/>
          <w:b/>
          <w:color w:val="auto"/>
          <w:sz w:val="36"/>
          <w:szCs w:val="40"/>
          <w:highlight w:val="none"/>
          <w:lang w:val="en-US" w:eastAsia="zh-CN"/>
        </w:rPr>
        <w:t>体检业务运营服务协议</w:t>
      </w:r>
      <w:r>
        <w:rPr>
          <w:rFonts w:hint="eastAsia" w:ascii="宋体" w:hAnsi="宋体"/>
          <w:b/>
          <w:color w:val="auto"/>
          <w:sz w:val="36"/>
          <w:szCs w:val="40"/>
          <w:highlight w:val="none"/>
        </w:rPr>
        <w:t>书</w:t>
      </w:r>
    </w:p>
    <w:p w14:paraId="184C622A">
      <w:pPr>
        <w:spacing w:line="360" w:lineRule="auto"/>
        <w:jc w:val="left"/>
        <w:rPr>
          <w:rFonts w:hint="eastAsia" w:ascii="宋体" w:hAnsi="宋体" w:eastAsia="宋体" w:cs="Times New Roman"/>
          <w:color w:val="auto"/>
          <w:kern w:val="0"/>
          <w:sz w:val="24"/>
          <w:szCs w:val="24"/>
          <w:highlight w:val="none"/>
          <w:lang w:val="en-US" w:eastAsia="zh-CN" w:bidi="ar-SA"/>
        </w:rPr>
      </w:pPr>
    </w:p>
    <w:p w14:paraId="25251102">
      <w:pPr>
        <w:spacing w:line="360" w:lineRule="auto"/>
        <w:jc w:val="left"/>
        <w:rPr>
          <w:rFonts w:hint="default"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甲方：</w:t>
      </w:r>
      <w:r>
        <w:rPr>
          <w:rFonts w:hint="eastAsia" w:ascii="宋体" w:hAnsi="宋体"/>
          <w:color w:val="auto"/>
          <w:sz w:val="24"/>
          <w:highlight w:val="none"/>
        </w:rPr>
        <w:t>扬州大学附属医院</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扬州市第一人民医院</w:t>
      </w:r>
      <w:r>
        <w:rPr>
          <w:rFonts w:hint="eastAsia" w:ascii="宋体" w:hAnsi="宋体"/>
          <w:color w:val="auto"/>
          <w:sz w:val="24"/>
          <w:highlight w:val="none"/>
          <w:lang w:eastAsia="zh-CN"/>
        </w:rPr>
        <w:t>）</w:t>
      </w:r>
    </w:p>
    <w:p w14:paraId="75B5C287">
      <w:pPr>
        <w:pStyle w:val="3"/>
        <w:adjustRightInd w:val="0"/>
        <w:spacing w:after="0" w:line="360" w:lineRule="auto"/>
        <w:rPr>
          <w:rFonts w:ascii="宋体" w:hAnsi="宋体"/>
          <w:color w:val="auto"/>
          <w:sz w:val="24"/>
          <w:highlight w:val="none"/>
        </w:rPr>
      </w:pPr>
      <w:r>
        <w:rPr>
          <w:rFonts w:hint="eastAsia" w:ascii="宋体" w:hAnsi="宋体"/>
          <w:color w:val="auto"/>
          <w:sz w:val="24"/>
          <w:highlight w:val="none"/>
        </w:rPr>
        <w:t>乙方：</w:t>
      </w:r>
    </w:p>
    <w:p w14:paraId="5A19F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为扩大医院健康管理中心品牌影响，引导和推进全民健康管理理念，在遵守国家法律法规政策的前提下，本着公平公正、互惠互利的原则，经甲乙双方友好协商，达成如下合作协议：</w:t>
      </w:r>
    </w:p>
    <w:p w14:paraId="1CB04A63">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rPr>
        <w:t>一、合作内容及定价</w:t>
      </w:r>
    </w:p>
    <w:p w14:paraId="07242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经甲乙双方协商同意，乙方为甲方提供基础互联网体检预约平台及客户管理、营销等互联网增值服务，以及双方签订本协议后乙方新开发的其他互联网线上流量渠道。用户可通过乙方提供的平台及渠道进行体检套餐预约等服务，具体服务内容以甲乙双方书面确认的《体检服务项目清单》为准。</w:t>
      </w:r>
    </w:p>
    <w:p w14:paraId="2F817C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2.合作期间各年度折扣按以下规则执行：</w:t>
      </w:r>
    </w:p>
    <w:p w14:paraId="3774AA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w:t>
      </w:r>
      <w:r>
        <w:rPr>
          <w:rFonts w:ascii="宋体" w:hAnsi="宋体" w:eastAsia="宋体" w:cs="宋体"/>
          <w:sz w:val="24"/>
          <w:szCs w:val="24"/>
        </w:rPr>
        <w:t>核心原则：折扣率按照上一年度实际合作结算总金额对应确定，每年根据上一年度合作金额动态调整，最高折扣上限为8.5折（即最低折扣为8.5折），超出此上限的折扣约定无效</w:t>
      </w:r>
      <w:r>
        <w:rPr>
          <w:rFonts w:hint="eastAsia" w:ascii="宋体" w:hAnsi="宋体" w:eastAsia="宋体" w:cs="宋体"/>
          <w:color w:val="000000"/>
          <w:kern w:val="0"/>
          <w:sz w:val="24"/>
          <w:szCs w:val="24"/>
          <w:lang w:val="en-US" w:eastAsia="zh-CN" w:bidi="ar"/>
        </w:rPr>
        <w:t>。</w:t>
      </w:r>
    </w:p>
    <w:p w14:paraId="775DE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②、若乙方为2025年度已合作的现有平台：</w:t>
      </w:r>
    </w:p>
    <w:p w14:paraId="7786CF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A、第1年（合作首年）：以乙方2025年度与甲方健康管理中心的实际合作金额为依据，确定本年度合作折扣；</w:t>
      </w:r>
    </w:p>
    <w:p w14:paraId="46339C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B、第2年：以第1年实际合作结算总金额为依据，按照阶梯折扣规则核定本年度折扣；</w:t>
      </w:r>
    </w:p>
    <w:p w14:paraId="50E25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C、第3年：以第2年实际合作结算总金额为依据，按照阶梯折扣规则核定本年度折扣。</w:t>
      </w:r>
    </w:p>
    <w:p w14:paraId="74EFA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③、若乙方为新合作平台：</w:t>
      </w:r>
    </w:p>
    <w:p w14:paraId="25501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A、第1年（合作首年）：初始合作折扣为9.5折，年度结束后按当年实际合作结算总金额追溯调整折扣（合作金额每增加10万元，折扣降低0.1折，累计至8.5折后不再调整）；</w:t>
      </w:r>
    </w:p>
    <w:p w14:paraId="37346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B、第2年：以第1年实际合作结算总金额为依据，按照阶梯折扣规则核定</w:t>
      </w:r>
    </w:p>
    <w:p w14:paraId="12C8E5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本年度折扣；</w:t>
      </w:r>
    </w:p>
    <w:p w14:paraId="4ADA7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C、第3年：以第2年实际合作结算总金额为依据，按照阶梯折扣规则核定本年度折扣。</w:t>
      </w:r>
    </w:p>
    <w:p w14:paraId="7A315C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④、阶梯折扣标准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313"/>
        <w:gridCol w:w="3429"/>
      </w:tblGrid>
      <w:tr w14:paraId="2B08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34D55C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年度合作金额区间（元）</w:t>
            </w:r>
          </w:p>
        </w:tc>
        <w:tc>
          <w:tcPr>
            <w:tcW w:w="3429" w:type="dxa"/>
            <w:tcMar>
              <w:top w:w="60" w:type="dxa"/>
              <w:left w:w="120" w:type="dxa"/>
              <w:bottom w:w="30" w:type="dxa"/>
              <w:right w:w="120" w:type="dxa"/>
            </w:tcMar>
            <w:vAlign w:val="top"/>
          </w:tcPr>
          <w:p w14:paraId="6DF81E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对应合作折扣</w:t>
            </w:r>
          </w:p>
        </w:tc>
      </w:tr>
      <w:tr w14:paraId="1308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95324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0-100000（含）</w:t>
            </w:r>
          </w:p>
        </w:tc>
        <w:tc>
          <w:tcPr>
            <w:tcW w:w="3429" w:type="dxa"/>
            <w:tcMar>
              <w:top w:w="60" w:type="dxa"/>
              <w:left w:w="120" w:type="dxa"/>
              <w:bottom w:w="30" w:type="dxa"/>
              <w:right w:w="120" w:type="dxa"/>
            </w:tcMar>
            <w:vAlign w:val="top"/>
          </w:tcPr>
          <w:p w14:paraId="613C9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9.5折</w:t>
            </w:r>
          </w:p>
        </w:tc>
      </w:tr>
      <w:tr w14:paraId="4787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20FEC6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10000</w:t>
            </w:r>
            <w:r>
              <w:rPr>
                <w:rFonts w:hint="default" w:ascii="宋体" w:hAnsi="宋体" w:eastAsia="宋体" w:cs="宋体"/>
                <w:sz w:val="24"/>
                <w:szCs w:val="24"/>
                <w:lang w:val="en-US" w:eastAsia="zh-CN"/>
              </w:rPr>
              <w:t>0</w:t>
            </w:r>
            <w:r>
              <w:rPr>
                <w:rFonts w:hint="default" w:ascii="宋体" w:hAnsi="宋体" w:eastAsia="宋体" w:cs="宋体"/>
                <w:sz w:val="24"/>
                <w:szCs w:val="24"/>
              </w:rPr>
              <w:t>-200000（含）</w:t>
            </w:r>
          </w:p>
        </w:tc>
        <w:tc>
          <w:tcPr>
            <w:tcW w:w="3429" w:type="dxa"/>
            <w:tcMar>
              <w:top w:w="60" w:type="dxa"/>
              <w:left w:w="120" w:type="dxa"/>
              <w:bottom w:w="30" w:type="dxa"/>
              <w:right w:w="120" w:type="dxa"/>
            </w:tcMar>
            <w:vAlign w:val="top"/>
          </w:tcPr>
          <w:p w14:paraId="7A8B08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9.4折</w:t>
            </w:r>
          </w:p>
        </w:tc>
      </w:tr>
      <w:tr w14:paraId="129A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04B2B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200001-300000（含）</w:t>
            </w:r>
          </w:p>
        </w:tc>
        <w:tc>
          <w:tcPr>
            <w:tcW w:w="3429" w:type="dxa"/>
            <w:tcMar>
              <w:top w:w="60" w:type="dxa"/>
              <w:left w:w="120" w:type="dxa"/>
              <w:bottom w:w="30" w:type="dxa"/>
              <w:right w:w="120" w:type="dxa"/>
            </w:tcMar>
            <w:vAlign w:val="top"/>
          </w:tcPr>
          <w:p w14:paraId="08128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9.3折</w:t>
            </w:r>
          </w:p>
        </w:tc>
      </w:tr>
      <w:tr w14:paraId="60D1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80F8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rPr>
              <w:t>00001-</w:t>
            </w:r>
            <w:r>
              <w:rPr>
                <w:rFonts w:hint="eastAsia" w:ascii="宋体" w:hAnsi="宋体" w:eastAsia="宋体" w:cs="宋体"/>
                <w:sz w:val="24"/>
                <w:szCs w:val="24"/>
                <w:lang w:val="en-US" w:eastAsia="zh-CN"/>
              </w:rPr>
              <w:t>4</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198F1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9.2</w:t>
            </w:r>
            <w:r>
              <w:rPr>
                <w:rFonts w:hint="default" w:ascii="宋体" w:hAnsi="宋体" w:eastAsia="宋体" w:cs="宋体"/>
                <w:sz w:val="24"/>
                <w:szCs w:val="24"/>
              </w:rPr>
              <w:t>折</w:t>
            </w:r>
          </w:p>
        </w:tc>
      </w:tr>
      <w:tr w14:paraId="030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507F5F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rPr>
              <w:t>00001-</w:t>
            </w:r>
            <w:r>
              <w:rPr>
                <w:rFonts w:hint="eastAsia" w:ascii="宋体" w:hAnsi="宋体" w:eastAsia="宋体" w:cs="宋体"/>
                <w:sz w:val="24"/>
                <w:szCs w:val="24"/>
                <w:lang w:val="en-US" w:eastAsia="zh-CN"/>
              </w:rPr>
              <w:t>5</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57DEFD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default" w:ascii="宋体" w:hAnsi="宋体" w:eastAsia="宋体" w:cs="宋体"/>
                <w:sz w:val="24"/>
                <w:szCs w:val="24"/>
              </w:rPr>
              <w:t>折</w:t>
            </w:r>
          </w:p>
        </w:tc>
      </w:tr>
      <w:tr w14:paraId="0119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D422A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rPr>
              <w:t>00001-</w:t>
            </w:r>
            <w:r>
              <w:rPr>
                <w:rFonts w:hint="eastAsia" w:ascii="宋体" w:hAnsi="宋体" w:eastAsia="宋体" w:cs="宋体"/>
                <w:sz w:val="24"/>
                <w:szCs w:val="24"/>
                <w:lang w:val="en-US" w:eastAsia="zh-CN"/>
              </w:rPr>
              <w:t>6</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00EE6A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9.0</w:t>
            </w:r>
            <w:r>
              <w:rPr>
                <w:rFonts w:hint="default" w:ascii="宋体" w:hAnsi="宋体" w:eastAsia="宋体" w:cs="宋体"/>
                <w:sz w:val="24"/>
                <w:szCs w:val="24"/>
              </w:rPr>
              <w:t>折</w:t>
            </w:r>
          </w:p>
        </w:tc>
      </w:tr>
      <w:tr w14:paraId="79C7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263DB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rPr>
              <w:t>00001-</w:t>
            </w:r>
            <w:r>
              <w:rPr>
                <w:rFonts w:hint="eastAsia" w:ascii="宋体" w:hAnsi="宋体" w:eastAsia="宋体" w:cs="宋体"/>
                <w:sz w:val="24"/>
                <w:szCs w:val="24"/>
                <w:lang w:val="en-US" w:eastAsia="zh-CN"/>
              </w:rPr>
              <w:t>7</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7B86B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8.9</w:t>
            </w:r>
            <w:r>
              <w:rPr>
                <w:rFonts w:hint="default" w:ascii="宋体" w:hAnsi="宋体" w:eastAsia="宋体" w:cs="宋体"/>
                <w:sz w:val="24"/>
                <w:szCs w:val="24"/>
              </w:rPr>
              <w:t>折</w:t>
            </w:r>
          </w:p>
        </w:tc>
      </w:tr>
      <w:tr w14:paraId="4A58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66AD3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rPr>
              <w:t>00001-</w:t>
            </w:r>
            <w:r>
              <w:rPr>
                <w:rFonts w:hint="eastAsia" w:ascii="宋体" w:hAnsi="宋体" w:eastAsia="宋体" w:cs="宋体"/>
                <w:sz w:val="24"/>
                <w:szCs w:val="24"/>
                <w:lang w:val="en-US" w:eastAsia="zh-CN"/>
              </w:rPr>
              <w:t>8</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4333E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8.8</w:t>
            </w:r>
            <w:r>
              <w:rPr>
                <w:rFonts w:hint="default" w:ascii="宋体" w:hAnsi="宋体" w:eastAsia="宋体" w:cs="宋体"/>
                <w:sz w:val="24"/>
                <w:szCs w:val="24"/>
              </w:rPr>
              <w:t>折</w:t>
            </w:r>
          </w:p>
        </w:tc>
      </w:tr>
      <w:tr w14:paraId="2B88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379C4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rPr>
              <w:t>00001-</w:t>
            </w:r>
            <w:r>
              <w:rPr>
                <w:rFonts w:hint="eastAsia" w:ascii="宋体" w:hAnsi="宋体" w:eastAsia="宋体" w:cs="宋体"/>
                <w:sz w:val="24"/>
                <w:szCs w:val="24"/>
                <w:lang w:val="en-US" w:eastAsia="zh-CN"/>
              </w:rPr>
              <w:t>9</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07835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8.7</w:t>
            </w:r>
            <w:r>
              <w:rPr>
                <w:rFonts w:hint="default" w:ascii="宋体" w:hAnsi="宋体" w:eastAsia="宋体" w:cs="宋体"/>
                <w:sz w:val="24"/>
                <w:szCs w:val="24"/>
              </w:rPr>
              <w:t>折</w:t>
            </w:r>
          </w:p>
        </w:tc>
      </w:tr>
      <w:tr w14:paraId="0EE2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4BA9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default" w:ascii="宋体" w:hAnsi="宋体" w:eastAsia="宋体" w:cs="宋体"/>
                <w:sz w:val="24"/>
                <w:szCs w:val="24"/>
              </w:rPr>
              <w:t>00001-</w:t>
            </w:r>
            <w:r>
              <w:rPr>
                <w:rFonts w:hint="eastAsia" w:ascii="宋体" w:hAnsi="宋体" w:eastAsia="宋体" w:cs="宋体"/>
                <w:sz w:val="24"/>
                <w:szCs w:val="24"/>
                <w:lang w:val="en-US" w:eastAsia="zh-CN"/>
              </w:rPr>
              <w:t>10</w:t>
            </w:r>
            <w:r>
              <w:rPr>
                <w:rFonts w:hint="default" w:ascii="宋体" w:hAnsi="宋体" w:eastAsia="宋体" w:cs="宋体"/>
                <w:sz w:val="24"/>
                <w:szCs w:val="24"/>
              </w:rPr>
              <w:t>00000（含）</w:t>
            </w:r>
          </w:p>
        </w:tc>
        <w:tc>
          <w:tcPr>
            <w:tcW w:w="3429" w:type="dxa"/>
            <w:tcMar>
              <w:top w:w="60" w:type="dxa"/>
              <w:left w:w="120" w:type="dxa"/>
              <w:bottom w:w="30" w:type="dxa"/>
              <w:right w:w="120" w:type="dxa"/>
            </w:tcMar>
            <w:vAlign w:val="top"/>
          </w:tcPr>
          <w:p w14:paraId="1BF6F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8.6</w:t>
            </w:r>
            <w:r>
              <w:rPr>
                <w:rFonts w:hint="default" w:ascii="宋体" w:hAnsi="宋体" w:eastAsia="宋体" w:cs="宋体"/>
                <w:sz w:val="24"/>
                <w:szCs w:val="24"/>
              </w:rPr>
              <w:t>折</w:t>
            </w:r>
          </w:p>
        </w:tc>
      </w:tr>
      <w:tr w14:paraId="0099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7" w:hRule="atLeast"/>
          <w:tblHeader/>
          <w:jc w:val="center"/>
        </w:trPr>
        <w:tc>
          <w:tcPr>
            <w:tcW w:w="4313" w:type="dxa"/>
            <w:tcMar>
              <w:top w:w="60" w:type="dxa"/>
              <w:left w:w="120" w:type="dxa"/>
              <w:bottom w:w="30" w:type="dxa"/>
              <w:right w:w="120" w:type="dxa"/>
            </w:tcMar>
            <w:vAlign w:val="top"/>
          </w:tcPr>
          <w:p w14:paraId="5B4D4A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0</w:t>
            </w:r>
            <w:r>
              <w:rPr>
                <w:rFonts w:hint="default" w:ascii="宋体" w:hAnsi="宋体" w:eastAsia="宋体" w:cs="宋体"/>
                <w:sz w:val="24"/>
                <w:szCs w:val="24"/>
                <w:lang w:val="en-US" w:eastAsia="zh-CN"/>
              </w:rPr>
              <w:t>0</w:t>
            </w:r>
            <w:r>
              <w:rPr>
                <w:rFonts w:hint="default" w:ascii="宋体" w:hAnsi="宋体" w:eastAsia="宋体" w:cs="宋体"/>
                <w:sz w:val="24"/>
                <w:szCs w:val="24"/>
              </w:rPr>
              <w:t>00001及以上</w:t>
            </w:r>
          </w:p>
        </w:tc>
        <w:tc>
          <w:tcPr>
            <w:tcW w:w="3429" w:type="dxa"/>
            <w:tcMar>
              <w:top w:w="60" w:type="dxa"/>
              <w:left w:w="120" w:type="dxa"/>
              <w:bottom w:w="30" w:type="dxa"/>
              <w:right w:w="120" w:type="dxa"/>
            </w:tcMar>
            <w:vAlign w:val="top"/>
          </w:tcPr>
          <w:p w14:paraId="3B103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rPr>
            </w:pPr>
            <w:r>
              <w:rPr>
                <w:rFonts w:hint="default" w:ascii="宋体" w:hAnsi="宋体" w:eastAsia="宋体" w:cs="宋体"/>
                <w:sz w:val="24"/>
                <w:szCs w:val="24"/>
              </w:rPr>
              <w:t>8.</w:t>
            </w:r>
            <w:r>
              <w:rPr>
                <w:rFonts w:hint="default" w:ascii="宋体" w:hAnsi="宋体" w:eastAsia="宋体" w:cs="宋体"/>
                <w:sz w:val="24"/>
                <w:szCs w:val="24"/>
                <w:lang w:val="en-US" w:eastAsia="zh-CN"/>
              </w:rPr>
              <w:t>5</w:t>
            </w:r>
            <w:r>
              <w:rPr>
                <w:rFonts w:hint="default" w:ascii="宋体" w:hAnsi="宋体" w:eastAsia="宋体" w:cs="宋体"/>
                <w:sz w:val="24"/>
                <w:szCs w:val="24"/>
              </w:rPr>
              <w:t>折（上限）</w:t>
            </w:r>
          </w:p>
        </w:tc>
      </w:tr>
    </w:tbl>
    <w:p w14:paraId="5AFEA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⑤、通用说明：本协议约定的折扣均为体检套餐基准价格的结算折扣，适用于所有通过合作平台成交的体检订单，不包含额外增值服务费用（如个性化体检方案定制、VIP专属服务等）</w:t>
      </w:r>
    </w:p>
    <w:p w14:paraId="4E53C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sz w:val="24"/>
          <w:szCs w:val="24"/>
        </w:rPr>
      </w:pPr>
      <w:r>
        <w:rPr>
          <w:rFonts w:hint="eastAsia" w:ascii="宋体" w:hAnsi="宋体" w:eastAsia="宋体" w:cs="宋体"/>
          <w:color w:val="000000"/>
          <w:kern w:val="0"/>
          <w:sz w:val="24"/>
          <w:szCs w:val="24"/>
          <w:lang w:val="en-US" w:eastAsia="zh-CN" w:bidi="ar"/>
        </w:rPr>
        <w:t>⑥、</w:t>
      </w:r>
      <w:r>
        <w:rPr>
          <w:rFonts w:ascii="宋体" w:hAnsi="宋体" w:eastAsia="宋体" w:cs="宋体"/>
          <w:sz w:val="24"/>
          <w:szCs w:val="24"/>
        </w:rPr>
        <w:t>甲方提供体检套餐同时，需提供单项收费标准。甲乙双方约定的套餐优惠价或单项收费价格有变更，甲方需提前</w:t>
      </w:r>
      <w:r>
        <w:rPr>
          <w:rFonts w:hint="eastAsia" w:ascii="宋体" w:hAnsi="宋体" w:eastAsia="宋体" w:cs="宋体"/>
          <w:sz w:val="24"/>
          <w:szCs w:val="24"/>
          <w:lang w:val="en-US" w:eastAsia="zh-CN"/>
        </w:rPr>
        <w:t>7</w:t>
      </w:r>
      <w:r>
        <w:rPr>
          <w:rFonts w:ascii="宋体" w:hAnsi="宋体" w:eastAsia="宋体" w:cs="宋体"/>
          <w:sz w:val="24"/>
          <w:szCs w:val="24"/>
        </w:rPr>
        <w:t>个工作日通过约定的方式（1、微信；2、邮件）通知乙方。上述价格的调整不得影响在价格调整前双方已确认订单产品的正常执行，乙方在确认完毕甲方提供的价格改动后即按照甲方提供的改动价格进行结算。</w:t>
      </w:r>
    </w:p>
    <w:p w14:paraId="489DD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3.对接流程</w:t>
      </w:r>
    </w:p>
    <w:p w14:paraId="319C9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ascii="宋体" w:hAnsi="宋体" w:eastAsia="宋体" w:cs="宋体"/>
          <w:sz w:val="24"/>
          <w:szCs w:val="24"/>
        </w:rPr>
      </w:pPr>
      <w:r>
        <w:rPr>
          <w:rFonts w:hint="eastAsia" w:ascii="宋体" w:hAnsi="宋体" w:eastAsia="宋体" w:cs="宋体"/>
          <w:sz w:val="24"/>
          <w:szCs w:val="24"/>
          <w:lang w:val="en-US" w:eastAsia="zh-CN"/>
        </w:rPr>
        <w:t>①、</w:t>
      </w:r>
      <w:r>
        <w:rPr>
          <w:rFonts w:ascii="宋体" w:hAnsi="宋体" w:eastAsia="宋体" w:cs="宋体"/>
          <w:sz w:val="24"/>
          <w:szCs w:val="24"/>
        </w:rPr>
        <w:t>乙方成为甲方“健康体检及健康管理”产品及业务市场的合作单位，为方便业务工作的有效开展，乙方指派一名工作人员作为对外联络业务主管。信息如下：</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1"/>
      </w:tblGrid>
      <w:tr w14:paraId="2318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1" w:type="dxa"/>
          </w:tcPr>
          <w:p w14:paraId="119240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u w:val="single"/>
                <w:vertAlign w:val="baseline"/>
                <w:lang w:val="en-US" w:eastAsia="zh-CN"/>
              </w:rPr>
            </w:pPr>
            <w:r>
              <w:rPr>
                <w:rFonts w:ascii="宋体" w:hAnsi="宋体" w:eastAsia="宋体" w:cs="宋体"/>
                <w:sz w:val="24"/>
                <w:szCs w:val="24"/>
              </w:rPr>
              <w:t>乙方业务主管姓名：</w:t>
            </w:r>
          </w:p>
        </w:tc>
        <w:tc>
          <w:tcPr>
            <w:tcW w:w="4261" w:type="dxa"/>
          </w:tcPr>
          <w:p w14:paraId="529EC3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3D1AD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F7AA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微信号：</w:t>
            </w:r>
          </w:p>
        </w:tc>
        <w:tc>
          <w:tcPr>
            <w:tcW w:w="4261" w:type="dxa"/>
          </w:tcPr>
          <w:p w14:paraId="1D5312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电子邮箱：</w:t>
            </w:r>
          </w:p>
        </w:tc>
      </w:tr>
      <w:tr w14:paraId="0BBC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B16A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寄件地址：</w:t>
            </w:r>
          </w:p>
        </w:tc>
        <w:tc>
          <w:tcPr>
            <w:tcW w:w="4261" w:type="dxa"/>
          </w:tcPr>
          <w:p w14:paraId="0148E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p>
        </w:tc>
      </w:tr>
    </w:tbl>
    <w:p w14:paraId="1A919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②、</w:t>
      </w:r>
      <w:r>
        <w:rPr>
          <w:rFonts w:ascii="宋体" w:hAnsi="宋体" w:eastAsia="宋体" w:cs="宋体"/>
          <w:sz w:val="24"/>
          <w:szCs w:val="24"/>
        </w:rPr>
        <w:t>为了确保乙方用户的体检和其他合作项目顺利开展，甲方需指派一名医疗服务人员，协助乙方完成下列工作</w:t>
      </w:r>
      <w:r>
        <w:rPr>
          <w:rFonts w:hint="eastAsia" w:ascii="宋体" w:hAnsi="宋体" w:eastAsia="宋体" w:cs="宋体"/>
          <w:sz w:val="24"/>
          <w:szCs w:val="24"/>
          <w:lang w:eastAsia="zh-CN"/>
        </w:rPr>
        <w:t>：</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0"/>
        <w:gridCol w:w="4261"/>
      </w:tblGrid>
      <w:tr w14:paraId="3512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1" w:type="dxa"/>
          </w:tcPr>
          <w:p w14:paraId="71836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u w:val="single"/>
                <w:vertAlign w:val="baseline"/>
                <w:lang w:val="en-US" w:eastAsia="zh-CN"/>
              </w:rPr>
            </w:pPr>
            <w:r>
              <w:rPr>
                <w:rFonts w:hint="eastAsia" w:ascii="宋体" w:hAnsi="宋体" w:eastAsia="宋体" w:cs="宋体"/>
                <w:sz w:val="24"/>
                <w:szCs w:val="24"/>
                <w:lang w:val="en-US" w:eastAsia="zh-CN"/>
              </w:rPr>
              <w:t>甲</w:t>
            </w:r>
            <w:r>
              <w:rPr>
                <w:rFonts w:ascii="宋体" w:hAnsi="宋体" w:eastAsia="宋体" w:cs="宋体"/>
                <w:sz w:val="24"/>
                <w:szCs w:val="24"/>
              </w:rPr>
              <w:t>方</w:t>
            </w:r>
            <w:r>
              <w:rPr>
                <w:rFonts w:hint="eastAsia" w:ascii="宋体" w:hAnsi="宋体" w:eastAsia="宋体" w:cs="宋体"/>
                <w:sz w:val="24"/>
                <w:szCs w:val="24"/>
                <w:lang w:val="en-US" w:eastAsia="zh-CN"/>
              </w:rPr>
              <w:t>医务人员</w:t>
            </w:r>
            <w:r>
              <w:rPr>
                <w:rFonts w:ascii="宋体" w:hAnsi="宋体" w:eastAsia="宋体" w:cs="宋体"/>
                <w:sz w:val="24"/>
                <w:szCs w:val="24"/>
              </w:rPr>
              <w:t>姓名：</w:t>
            </w:r>
          </w:p>
        </w:tc>
        <w:tc>
          <w:tcPr>
            <w:tcW w:w="4261" w:type="dxa"/>
          </w:tcPr>
          <w:p w14:paraId="37FE6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18C0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3E71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微信号：</w:t>
            </w:r>
          </w:p>
        </w:tc>
        <w:tc>
          <w:tcPr>
            <w:tcW w:w="4261" w:type="dxa"/>
          </w:tcPr>
          <w:p w14:paraId="13CAD3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宋体" w:hAnsi="宋体" w:eastAsia="宋体" w:cs="宋体"/>
                <w:sz w:val="24"/>
                <w:szCs w:val="24"/>
                <w:vertAlign w:val="baseline"/>
                <w:lang w:val="en-US"/>
              </w:rPr>
            </w:pPr>
            <w:r>
              <w:rPr>
                <w:rFonts w:ascii="宋体" w:hAnsi="宋体" w:eastAsia="宋体" w:cs="宋体"/>
                <w:sz w:val="24"/>
                <w:szCs w:val="24"/>
              </w:rPr>
              <w:t>电子邮箱：</w:t>
            </w:r>
          </w:p>
        </w:tc>
      </w:tr>
    </w:tbl>
    <w:p w14:paraId="460CEC23">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、甲方权利与义务</w:t>
      </w:r>
    </w:p>
    <w:p w14:paraId="2ACB69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.甲方保证提供给乙方销售的体检服务项目内容在甲方的经营范围之内，甲方提供的体检服务项目必须合法，且具有相应的资质，否则由此给乙方客户造成人身及财产损害的由甲方自行承担。</w:t>
      </w:r>
    </w:p>
    <w:p w14:paraId="059048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.甲方保证所提供给乙方的宣传资料、项目资料均为真实、合法。</w:t>
      </w:r>
    </w:p>
    <w:p w14:paraId="3C8B0F8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甲方作为体检实施单位与责任单位，应当严格按照相关行业服务标准以及双方约定的内容（包括但不限于体检项目、体检时间、体检报告及病情建议等）提供服务。若发生乙方用户投诉及索赔事件，按照《医疗机构管理条例》《医疗事故处理条例》等相关法律法规及双方约定处理，如因乙方原因造成，由乙方负责处理相关投诉并承担赔偿责任；如因甲方原因造成，甲方应在合理时间内协助乙方处理好相关投诉并承担赔偿责任。</w:t>
      </w:r>
    </w:p>
    <w:p w14:paraId="0DF663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.甲方有义务向乙方提供相关的服务注意事项，并通知乙方将其中关键内容披露在产品预订须知中，或集中披露在可供用户在线阅读或下载的文档中。</w:t>
      </w:r>
    </w:p>
    <w:p w14:paraId="0369DE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.甲方有权对乙方的服务质量、推广效果、数据统计、平台价格等情况进行监督检查，发现违规行为有权要求整改。</w:t>
      </w:r>
    </w:p>
    <w:p w14:paraId="2F4869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.甲方按照本协议约定及时开具增值税普通发票。</w:t>
      </w:r>
    </w:p>
    <w:p w14:paraId="036906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.为乙方提供必要的合作支持，包括提供体检套餐相关资料、配合平台推广活动等。</w:t>
      </w:r>
    </w:p>
    <w:p w14:paraId="736943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.有权根据本协议约定，对乙方的溢价行为采取终止合作等处理措施。</w:t>
      </w:r>
    </w:p>
    <w:p w14:paraId="6D0598B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ascii="微软雅黑" w:hAnsi="微软雅黑" w:eastAsia="微软雅黑"/>
          <w:color w:val="000000" w:themeColor="text1"/>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乙</w:t>
      </w:r>
      <w:r>
        <w:rPr>
          <w:rFonts w:hint="eastAsia" w:ascii="宋体" w:hAnsi="宋体"/>
          <w:b/>
          <w:color w:val="auto"/>
          <w:sz w:val="24"/>
          <w:szCs w:val="24"/>
          <w:highlight w:val="none"/>
        </w:rPr>
        <w:t>方权利与义务</w:t>
      </w:r>
    </w:p>
    <w:p w14:paraId="5CF40CE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乙方负责在其互联网平台上为甲方设定专属预约界面，并对平台提供技术、设备支持，承担平台系统的维护工作；</w:t>
      </w:r>
    </w:p>
    <w:p w14:paraId="145E98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乙方利用自身的用户群以及合作的推广渠道，对甲方健康管理中心的体检套餐进行推广，包括但不限于平台首页展示、专题活动策划、精准客户推送等，为甲方进行推广、宣传、导流；</w:t>
      </w:r>
    </w:p>
    <w:p w14:paraId="61099CF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乙方利用自身产品及技术，为体检客户提供增值服务，并且优化客户体检的消费体验；</w:t>
      </w:r>
    </w:p>
    <w:p w14:paraId="0592ED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乙方利用自身产品及技术，提高甲方的工作效率；</w:t>
      </w:r>
    </w:p>
    <w:p w14:paraId="646247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乙方保证销售的甲方产品和设定的相关预订程序与甲方提供的资料内容一致，严格按照双方协定的产品资料内容向用户宣传。</w:t>
      </w:r>
    </w:p>
    <w:p w14:paraId="729238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若是乙方客户自行要求甲方增加体检项目，以及乙方团检客户要求增加体检项目的情况，由客户本人与甲方结算增项费用。</w:t>
      </w:r>
    </w:p>
    <w:p w14:paraId="4C1B23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建立高效的订单对接机制，及时将平台获取的体检订单信息反馈给甲方健康管理中心，确保订单信息准确、传递及时。</w:t>
      </w:r>
    </w:p>
    <w:p w14:paraId="76B74B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为平台用户提供体检咨询、预约协助、订单查询、问题解答等售后服务，及时处理客户投诉与建议，保障客户体验；不得在服务过程中向客户提出额外加价或</w:t>
      </w:r>
      <w:r>
        <w:rPr>
          <w:rFonts w:hint="eastAsia" w:ascii="宋体" w:hAnsi="宋体" w:eastAsia="宋体" w:cs="宋体"/>
          <w:color w:val="000000"/>
          <w:kern w:val="0"/>
          <w:sz w:val="24"/>
          <w:szCs w:val="24"/>
          <w:lang w:val="en-US" w:eastAsia="zh-CN" w:bidi="ar"/>
        </w:rPr>
        <w:t>溢价</w:t>
      </w:r>
      <w:r>
        <w:rPr>
          <w:rFonts w:hint="default" w:ascii="宋体" w:hAnsi="宋体" w:eastAsia="宋体" w:cs="宋体"/>
          <w:color w:val="000000"/>
          <w:kern w:val="0"/>
          <w:sz w:val="24"/>
          <w:szCs w:val="24"/>
          <w:lang w:val="en-US" w:eastAsia="zh-CN" w:bidi="ar"/>
        </w:rPr>
        <w:t>要求。</w:t>
      </w:r>
    </w:p>
    <w:p w14:paraId="676055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制定合理的推广计划，确保年度通过平台引流的体检客户数量不低于500人，且年度成交金额不低于2025年度对应金额的90%。</w:t>
      </w:r>
    </w:p>
    <w:p w14:paraId="0D4731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对于客户咨询、订单确认等常规事项，在2小时内响应；对于客户投诉等复杂问题，在24小时内响应并给出初步处理意见，72小时内给出最终解决方案。</w:t>
      </w:r>
    </w:p>
    <w:p w14:paraId="532555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提交的数据统计报告需真实、准确、完整，不得存在虚假记载、误导性陈述或重大遗漏，接受甲方定期对数据进行核查。</w:t>
      </w:r>
    </w:p>
    <w:p w14:paraId="398405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对合作过程中获取的医院商业秘密、客户个人信息等敏感数据承担保密责任，不得擅自泄露或用于其他商业用途。</w:t>
      </w:r>
    </w:p>
    <w:p w14:paraId="4D434A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严格遵守无</w:t>
      </w:r>
      <w:r>
        <w:rPr>
          <w:rFonts w:hint="eastAsia" w:ascii="宋体" w:hAnsi="宋体" w:eastAsia="宋体" w:cs="宋体"/>
          <w:color w:val="000000"/>
          <w:kern w:val="0"/>
          <w:sz w:val="24"/>
          <w:szCs w:val="24"/>
          <w:lang w:val="en-US" w:eastAsia="zh-CN" w:bidi="ar"/>
        </w:rPr>
        <w:t>溢</w:t>
      </w:r>
      <w:r>
        <w:rPr>
          <w:rFonts w:hint="default" w:ascii="宋体" w:hAnsi="宋体" w:eastAsia="宋体" w:cs="宋体"/>
          <w:color w:val="000000"/>
          <w:kern w:val="0"/>
          <w:sz w:val="24"/>
          <w:szCs w:val="24"/>
          <w:lang w:val="en-US" w:eastAsia="zh-CN" w:bidi="ar"/>
        </w:rPr>
        <w:t>价承诺，确保其平台上展示的体检套餐价格与双方约定的基准价格一致，无擅自提价、变相提价或新增</w:t>
      </w:r>
      <w:r>
        <w:rPr>
          <w:rFonts w:hint="eastAsia" w:ascii="宋体" w:hAnsi="宋体" w:eastAsia="宋体" w:cs="宋体"/>
          <w:color w:val="000000"/>
          <w:kern w:val="0"/>
          <w:sz w:val="24"/>
          <w:szCs w:val="24"/>
          <w:lang w:val="en-US" w:eastAsia="zh-CN" w:bidi="ar"/>
        </w:rPr>
        <w:t>溢价</w:t>
      </w:r>
      <w:r>
        <w:rPr>
          <w:rFonts w:hint="default" w:ascii="宋体" w:hAnsi="宋体" w:eastAsia="宋体" w:cs="宋体"/>
          <w:color w:val="000000"/>
          <w:kern w:val="0"/>
          <w:sz w:val="24"/>
          <w:szCs w:val="24"/>
          <w:lang w:val="en-US" w:eastAsia="zh-CN" w:bidi="ar"/>
        </w:rPr>
        <w:t>环节的行为；积极配合甲方对平台价格的核查工作。</w:t>
      </w:r>
    </w:p>
    <w:p w14:paraId="5D0562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主动接受甲方的监督检查，对存在的问题及时整改。</w:t>
      </w:r>
    </w:p>
    <w:p w14:paraId="790EFA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15</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承担因自身原因导致的客户投诉、订单失误、价格违规等产生的责任及</w:t>
      </w:r>
    </w:p>
    <w:p w14:paraId="294A30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损失。</w:t>
      </w:r>
    </w:p>
    <w:p w14:paraId="45DF9E6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每年度合作期满前，若计划终止合作，需提前30个工作日通知甲方。</w:t>
      </w:r>
    </w:p>
    <w:p w14:paraId="30EA981A">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四、预订流程</w:t>
      </w:r>
    </w:p>
    <w:p w14:paraId="4BC8AD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乙方业务主管会提前1天16:30时前将项目、人数、日期以微信/电话/</w:t>
      </w:r>
      <w:r>
        <w:rPr>
          <w:rFonts w:hint="eastAsia" w:ascii="宋体" w:hAnsi="宋体" w:eastAsia="宋体" w:cs="宋体"/>
          <w:color w:val="000000"/>
          <w:kern w:val="0"/>
          <w:sz w:val="24"/>
          <w:szCs w:val="24"/>
          <w:lang w:val="en-US" w:eastAsia="zh-CN" w:bidi="ar"/>
        </w:rPr>
        <w:t>邮件</w:t>
      </w:r>
      <w:r>
        <w:rPr>
          <w:rFonts w:hint="default" w:ascii="宋体" w:hAnsi="宋体" w:eastAsia="宋体" w:cs="宋体"/>
          <w:color w:val="000000"/>
          <w:kern w:val="0"/>
          <w:sz w:val="24"/>
          <w:szCs w:val="24"/>
          <w:lang w:val="en-US" w:eastAsia="zh-CN" w:bidi="ar"/>
        </w:rPr>
        <w:t>方式通知甲方，甲方收到乙方预订请求后，应在8小时内以微信/电话</w:t>
      </w:r>
      <w:r>
        <w:rPr>
          <w:rFonts w:hint="eastAsia" w:ascii="宋体" w:hAnsi="宋体" w:eastAsia="宋体" w:cs="宋体"/>
          <w:color w:val="000000"/>
          <w:kern w:val="0"/>
          <w:sz w:val="24"/>
          <w:szCs w:val="24"/>
          <w:lang w:val="en-US" w:eastAsia="zh-CN" w:bidi="ar"/>
        </w:rPr>
        <w:t>/邮件</w:t>
      </w:r>
      <w:r>
        <w:rPr>
          <w:rFonts w:hint="default" w:ascii="宋体" w:hAnsi="宋体" w:eastAsia="宋体" w:cs="宋体"/>
          <w:color w:val="000000"/>
          <w:kern w:val="0"/>
          <w:sz w:val="24"/>
          <w:szCs w:val="24"/>
          <w:lang w:val="en-US" w:eastAsia="zh-CN" w:bidi="ar"/>
        </w:rPr>
        <w:t>方式给予回复确认。个别临时用户可在工作日7:30之前对接至邮箱。</w:t>
      </w:r>
    </w:p>
    <w:p w14:paraId="03DADF8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hint="default" w:ascii="宋体" w:hAnsi="宋体" w:eastAsia="宋体" w:cs="宋体"/>
          <w:color w:val="000000"/>
          <w:kern w:val="0"/>
          <w:sz w:val="24"/>
          <w:szCs w:val="24"/>
          <w:lang w:val="en-US" w:eastAsia="zh-CN" w:bidi="ar"/>
        </w:rPr>
        <w:t>预订成功后，乙方用户凭居民身份证、港澳同胞证、护照等有效身份证件在甲方服务区域换取体检凭证。</w:t>
      </w:r>
    </w:p>
    <w:p w14:paraId="192967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3.如甲方因特殊原因关闭特定工作日预约，应提前3个工作日告知乙方，由乙方负责沟通已预约用户的改期或退订；若甲方未及时告知，造成的用户损失由甲方承担，乙方应配合甲方处理善后事宜。</w:t>
      </w:r>
    </w:p>
    <w:p w14:paraId="25A1C96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五、费用与结算</w:t>
      </w:r>
    </w:p>
    <w:p w14:paraId="7A5825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default" w:ascii="宋体" w:hAnsi="宋体" w:eastAsia="宋体" w:cs="宋体"/>
          <w:color w:val="000000"/>
          <w:kern w:val="0"/>
          <w:sz w:val="24"/>
          <w:szCs w:val="24"/>
          <w:lang w:val="en-US" w:eastAsia="zh-CN" w:bidi="ar"/>
        </w:rPr>
        <w:t>结算周期：甲乙双方以自然月度为结算周期，乙方需在每月结束后5个工作日内，向甲方提交上一自然月的合作订单结算明细及相关佐证材料。</w:t>
      </w:r>
    </w:p>
    <w:p w14:paraId="4CF3E6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r>
        <w:rPr>
          <w:rFonts w:ascii="宋体" w:hAnsi="宋体" w:eastAsia="宋体" w:cs="宋体"/>
          <w:sz w:val="24"/>
          <w:szCs w:val="24"/>
        </w:rPr>
        <w:t>甲方在收到结算资料后5个工作日内完成审核，审核无误后向乙方出具《月度结算确认单》；若甲方对结算资料有异议，应在3个工作日内书面通知乙方，乙方需在5个工作日内补充或更正，逾期未处理的，按甲方核定金额结算</w:t>
      </w:r>
      <w:r>
        <w:rPr>
          <w:rFonts w:hint="default" w:ascii="宋体" w:hAnsi="宋体" w:eastAsia="宋体" w:cs="宋体"/>
          <w:color w:val="000000"/>
          <w:kern w:val="0"/>
          <w:sz w:val="24"/>
          <w:szCs w:val="24"/>
          <w:lang w:val="en-US" w:eastAsia="zh-CN" w:bidi="ar"/>
        </w:rPr>
        <w:t>。</w:t>
      </w:r>
    </w:p>
    <w:p w14:paraId="17DC941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ascii="宋体" w:hAnsi="宋体" w:eastAsia="宋体" w:cs="宋体"/>
          <w:sz w:val="24"/>
          <w:szCs w:val="24"/>
        </w:rPr>
        <w:t>乙方需在收到《月度结算确认单》后5个工作日内，按照确认单载明的金额向甲方指定的银行账户支付款项，逾期支付的，按本协议第七条第1款承担违约责任</w:t>
      </w:r>
      <w:r>
        <w:rPr>
          <w:rFonts w:hint="default" w:ascii="宋体" w:hAnsi="宋体" w:eastAsia="宋体" w:cs="宋体"/>
          <w:color w:val="000000"/>
          <w:kern w:val="0"/>
          <w:sz w:val="24"/>
          <w:szCs w:val="24"/>
          <w:lang w:val="en-US" w:eastAsia="zh-CN" w:bidi="ar"/>
        </w:rPr>
        <w:t>。</w:t>
      </w:r>
    </w:p>
    <w:p w14:paraId="04DE0E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r>
        <w:rPr>
          <w:rFonts w:ascii="宋体" w:hAnsi="宋体" w:eastAsia="宋体" w:cs="宋体"/>
          <w:sz w:val="24"/>
          <w:szCs w:val="24"/>
        </w:rPr>
        <w:t>甲方在收到乙方支付的款项后3个工作日内，向乙方开具合法有效的等额增值税普通发票</w:t>
      </w:r>
      <w:r>
        <w:rPr>
          <w:rFonts w:hint="default" w:ascii="宋体" w:hAnsi="宋体" w:eastAsia="宋体" w:cs="宋体"/>
          <w:color w:val="000000"/>
          <w:kern w:val="0"/>
          <w:sz w:val="24"/>
          <w:szCs w:val="24"/>
          <w:lang w:val="en-US" w:eastAsia="zh-CN" w:bidi="ar"/>
        </w:rPr>
        <w:t>。</w:t>
      </w:r>
    </w:p>
    <w:p w14:paraId="08D78BC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r>
        <w:rPr>
          <w:rFonts w:ascii="宋体" w:hAnsi="宋体" w:eastAsia="宋体" w:cs="宋体"/>
          <w:sz w:val="24"/>
          <w:szCs w:val="24"/>
        </w:rPr>
        <w:t>账款核对：参检人数以甲方月度末最后一天提供的到检人员名单为基础进行核对，若双方账单不一致，以双方共同核对确认的实际参检人员名册为准，核对工作应在收到乙方结算资料后10个工作日内完成。</w:t>
      </w:r>
    </w:p>
    <w:p w14:paraId="20B07DEE">
      <w:pPr>
        <w:pStyle w:val="7"/>
        <w:numPr>
          <w:ilvl w:val="0"/>
          <w:numId w:val="0"/>
        </w:numPr>
        <w:spacing w:before="156" w:beforeLines="50" w:after="156" w:afterLines="50" w:line="400" w:lineRule="exact"/>
        <w:ind w:left="420" w:leftChars="0"/>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①、甲</w:t>
      </w:r>
      <w:r>
        <w:rPr>
          <w:rFonts w:hint="default" w:ascii="宋体" w:hAnsi="宋体" w:eastAsia="宋体" w:cs="宋体"/>
          <w:color w:val="000000"/>
          <w:kern w:val="0"/>
          <w:sz w:val="24"/>
          <w:szCs w:val="24"/>
          <w:lang w:val="en-US" w:eastAsia="zh-CN" w:bidi="ar"/>
        </w:rPr>
        <w:t>方</w:t>
      </w:r>
      <w:r>
        <w:rPr>
          <w:rFonts w:hint="eastAsia" w:ascii="宋体" w:hAnsi="宋体" w:eastAsia="宋体" w:cs="宋体"/>
          <w:color w:val="000000"/>
          <w:kern w:val="0"/>
          <w:sz w:val="24"/>
          <w:szCs w:val="24"/>
          <w:lang w:val="en-US" w:eastAsia="zh-CN" w:bidi="ar"/>
        </w:rPr>
        <w:t>指定账户收款</w:t>
      </w:r>
      <w:r>
        <w:rPr>
          <w:rFonts w:hint="default" w:ascii="宋体" w:hAnsi="宋体" w:eastAsia="宋体" w:cs="宋体"/>
          <w:color w:val="000000"/>
          <w:kern w:val="0"/>
          <w:sz w:val="24"/>
          <w:szCs w:val="24"/>
          <w:lang w:val="en-US" w:eastAsia="zh-CN" w:bidi="ar"/>
        </w:rPr>
        <w:t>信息</w:t>
      </w:r>
      <w:r>
        <w:rPr>
          <w:rFonts w:hint="eastAsia" w:ascii="宋体" w:hAnsi="宋体" w:eastAsia="宋体" w:cs="宋体"/>
          <w:color w:val="000000"/>
          <w:kern w:val="0"/>
          <w:sz w:val="24"/>
          <w:szCs w:val="24"/>
          <w:lang w:val="en-US" w:eastAsia="zh-CN" w:bidi="ar"/>
        </w:rPr>
        <w:t>：</w:t>
      </w:r>
    </w:p>
    <w:tbl>
      <w:tblPr>
        <w:tblStyle w:val="5"/>
        <w:tblW w:w="7762"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5895"/>
      </w:tblGrid>
      <w:tr w14:paraId="3320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867" w:type="dxa"/>
          </w:tcPr>
          <w:p w14:paraId="684BB0E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w:t>
            </w:r>
          </w:p>
        </w:tc>
        <w:tc>
          <w:tcPr>
            <w:tcW w:w="5895" w:type="dxa"/>
            <w:tcBorders>
              <w:bottom w:val="single" w:color="auto" w:sz="4" w:space="0"/>
            </w:tcBorders>
          </w:tcPr>
          <w:p w14:paraId="6E637D56">
            <w:pPr>
              <w:spacing w:line="400" w:lineRule="exact"/>
              <w:rPr>
                <w:rFonts w:ascii="微软雅黑" w:hAnsi="微软雅黑" w:eastAsia="微软雅黑"/>
                <w:b/>
                <w:color w:val="000000" w:themeColor="text1"/>
                <w:sz w:val="20"/>
                <w:szCs w:val="20"/>
              </w:rPr>
            </w:pPr>
            <w:r>
              <w:rPr>
                <w:rFonts w:hint="eastAsia" w:ascii="宋体" w:hAnsi="宋体" w:eastAsia="宋体" w:cs="宋体"/>
                <w:color w:val="000000"/>
                <w:kern w:val="0"/>
                <w:sz w:val="24"/>
                <w:szCs w:val="24"/>
                <w:lang w:val="en-US" w:eastAsia="zh-CN" w:bidi="ar"/>
              </w:rPr>
              <w:t>扬州市第一人民医院</w:t>
            </w:r>
          </w:p>
        </w:tc>
      </w:tr>
      <w:tr w14:paraId="4656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tcPr>
          <w:p w14:paraId="096EF890">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开户行：</w:t>
            </w:r>
          </w:p>
        </w:tc>
        <w:tc>
          <w:tcPr>
            <w:tcW w:w="5895" w:type="dxa"/>
            <w:tcBorders>
              <w:top w:val="single" w:color="auto" w:sz="4" w:space="0"/>
              <w:bottom w:val="single" w:color="auto" w:sz="4" w:space="0"/>
            </w:tcBorders>
          </w:tcPr>
          <w:p w14:paraId="13AA49BE">
            <w:pPr>
              <w:spacing w:line="400" w:lineRule="exact"/>
              <w:rPr>
                <w:rFonts w:ascii="微软雅黑" w:hAnsi="微软雅黑" w:eastAsia="微软雅黑"/>
                <w:b/>
                <w:color w:val="000000" w:themeColor="text1"/>
                <w:sz w:val="20"/>
                <w:szCs w:val="20"/>
              </w:rPr>
            </w:pPr>
            <w:r>
              <w:rPr>
                <w:rFonts w:hint="default" w:ascii="宋体" w:hAnsi="宋体" w:eastAsia="宋体" w:cs="宋体"/>
                <w:color w:val="000000"/>
                <w:kern w:val="0"/>
                <w:sz w:val="24"/>
                <w:szCs w:val="24"/>
                <w:lang w:val="en-US" w:eastAsia="zh-CN" w:bidi="ar"/>
              </w:rPr>
              <w:t>江苏银行股份有限公司扬州邗江支行</w:t>
            </w:r>
          </w:p>
        </w:tc>
      </w:tr>
      <w:tr w14:paraId="5179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vAlign w:val="top"/>
          </w:tcPr>
          <w:p w14:paraId="3355EFA4">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行号：</w:t>
            </w:r>
          </w:p>
        </w:tc>
        <w:tc>
          <w:tcPr>
            <w:tcW w:w="5895" w:type="dxa"/>
            <w:tcBorders>
              <w:top w:val="single" w:color="auto" w:sz="4" w:space="0"/>
              <w:bottom w:val="single" w:color="auto" w:sz="4" w:space="0"/>
            </w:tcBorders>
            <w:vAlign w:val="top"/>
          </w:tcPr>
          <w:p w14:paraId="2EA34B7C">
            <w:pPr>
              <w:spacing w:line="400" w:lineRule="exac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09000141100000981</w:t>
            </w:r>
          </w:p>
        </w:tc>
      </w:tr>
    </w:tbl>
    <w:p w14:paraId="50C2E9D2">
      <w:pPr>
        <w:pStyle w:val="7"/>
        <w:numPr>
          <w:ilvl w:val="0"/>
          <w:numId w:val="0"/>
        </w:numPr>
        <w:spacing w:before="156" w:beforeLines="50" w:after="156" w:afterLines="50" w:line="400" w:lineRule="exact"/>
        <w:ind w:left="420" w:left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②、乙方开票信息：</w:t>
      </w:r>
    </w:p>
    <w:tbl>
      <w:tblPr>
        <w:tblStyle w:val="5"/>
        <w:tblW w:w="7749"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7"/>
        <w:gridCol w:w="5882"/>
      </w:tblGrid>
      <w:tr w14:paraId="6838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867" w:type="dxa"/>
          </w:tcPr>
          <w:p w14:paraId="36391FB1">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账户名称：</w:t>
            </w:r>
          </w:p>
        </w:tc>
        <w:tc>
          <w:tcPr>
            <w:tcW w:w="5882" w:type="dxa"/>
            <w:tcBorders>
              <w:bottom w:val="single" w:color="auto" w:sz="4" w:space="0"/>
            </w:tcBorders>
          </w:tcPr>
          <w:p w14:paraId="45640B74">
            <w:pPr>
              <w:spacing w:line="400" w:lineRule="exact"/>
              <w:rPr>
                <w:rFonts w:ascii="微软雅黑" w:hAnsi="微软雅黑" w:eastAsia="微软雅黑"/>
                <w:b/>
                <w:color w:val="000000" w:themeColor="text1"/>
                <w:sz w:val="20"/>
                <w:szCs w:val="20"/>
              </w:rPr>
            </w:pPr>
          </w:p>
        </w:tc>
      </w:tr>
      <w:tr w14:paraId="603D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4AF5876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税号：</w:t>
            </w:r>
          </w:p>
        </w:tc>
        <w:tc>
          <w:tcPr>
            <w:tcW w:w="5882" w:type="dxa"/>
            <w:tcBorders>
              <w:top w:val="single" w:color="auto" w:sz="4" w:space="0"/>
              <w:bottom w:val="single" w:color="auto" w:sz="4" w:space="0"/>
            </w:tcBorders>
          </w:tcPr>
          <w:p w14:paraId="41276C28">
            <w:pPr>
              <w:spacing w:line="400" w:lineRule="exact"/>
              <w:rPr>
                <w:rFonts w:ascii="微软雅黑" w:hAnsi="微软雅黑" w:eastAsia="微软雅黑"/>
                <w:b/>
                <w:color w:val="000000" w:themeColor="text1"/>
                <w:sz w:val="20"/>
                <w:szCs w:val="20"/>
              </w:rPr>
            </w:pPr>
          </w:p>
        </w:tc>
      </w:tr>
      <w:tr w14:paraId="5D9C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867" w:type="dxa"/>
          </w:tcPr>
          <w:p w14:paraId="3E155058">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地址：</w:t>
            </w:r>
          </w:p>
        </w:tc>
        <w:tc>
          <w:tcPr>
            <w:tcW w:w="5882" w:type="dxa"/>
            <w:tcBorders>
              <w:top w:val="single" w:color="auto" w:sz="4" w:space="0"/>
              <w:bottom w:val="single" w:color="auto" w:sz="4" w:space="0"/>
            </w:tcBorders>
          </w:tcPr>
          <w:p w14:paraId="5C6E6648">
            <w:pPr>
              <w:spacing w:line="400" w:lineRule="exact"/>
              <w:rPr>
                <w:rFonts w:ascii="微软雅黑" w:hAnsi="微软雅黑" w:eastAsia="微软雅黑"/>
                <w:b/>
                <w:color w:val="000000" w:themeColor="text1"/>
                <w:sz w:val="20"/>
                <w:szCs w:val="20"/>
              </w:rPr>
            </w:pPr>
          </w:p>
        </w:tc>
      </w:tr>
      <w:tr w14:paraId="6087F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0049960D">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电话：</w:t>
            </w:r>
          </w:p>
        </w:tc>
        <w:tc>
          <w:tcPr>
            <w:tcW w:w="5882" w:type="dxa"/>
            <w:tcBorders>
              <w:top w:val="single" w:color="auto" w:sz="4" w:space="0"/>
              <w:bottom w:val="single" w:color="auto" w:sz="4" w:space="0"/>
            </w:tcBorders>
          </w:tcPr>
          <w:p w14:paraId="0BA51BB2">
            <w:pPr>
              <w:spacing w:line="400" w:lineRule="exact"/>
              <w:rPr>
                <w:rFonts w:ascii="微软雅黑" w:hAnsi="微软雅黑" w:eastAsia="微软雅黑"/>
                <w:b/>
                <w:color w:val="000000" w:themeColor="text1"/>
                <w:sz w:val="20"/>
                <w:szCs w:val="20"/>
              </w:rPr>
            </w:pPr>
          </w:p>
        </w:tc>
      </w:tr>
      <w:tr w14:paraId="2DAA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867" w:type="dxa"/>
          </w:tcPr>
          <w:p w14:paraId="14393083">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开户行：</w:t>
            </w:r>
          </w:p>
        </w:tc>
        <w:tc>
          <w:tcPr>
            <w:tcW w:w="5882" w:type="dxa"/>
            <w:tcBorders>
              <w:top w:val="single" w:color="auto" w:sz="4" w:space="0"/>
              <w:bottom w:val="single" w:color="auto" w:sz="4" w:space="0"/>
            </w:tcBorders>
          </w:tcPr>
          <w:p w14:paraId="587FA812">
            <w:pPr>
              <w:spacing w:line="400" w:lineRule="exact"/>
              <w:rPr>
                <w:rFonts w:ascii="微软雅黑" w:hAnsi="微软雅黑" w:eastAsia="微软雅黑"/>
                <w:b/>
                <w:color w:val="000000" w:themeColor="text1"/>
                <w:sz w:val="20"/>
                <w:szCs w:val="20"/>
              </w:rPr>
            </w:pPr>
          </w:p>
        </w:tc>
      </w:tr>
      <w:tr w14:paraId="4106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867" w:type="dxa"/>
          </w:tcPr>
          <w:p w14:paraId="7DF28100">
            <w:pPr>
              <w:spacing w:line="400" w:lineRule="exact"/>
              <w:ind w:left="-113" w:leftChars="-54" w:firstLine="480" w:firstLineChars="20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账号：</w:t>
            </w:r>
          </w:p>
        </w:tc>
        <w:tc>
          <w:tcPr>
            <w:tcW w:w="5882" w:type="dxa"/>
            <w:tcBorders>
              <w:top w:val="single" w:color="auto" w:sz="4" w:space="0"/>
              <w:bottom w:val="single" w:color="auto" w:sz="4" w:space="0"/>
            </w:tcBorders>
          </w:tcPr>
          <w:p w14:paraId="1370D5B0">
            <w:pPr>
              <w:spacing w:line="400" w:lineRule="exact"/>
              <w:rPr>
                <w:rFonts w:ascii="微软雅黑" w:hAnsi="微软雅黑" w:eastAsia="微软雅黑"/>
                <w:b/>
                <w:color w:val="000000" w:themeColor="text1"/>
                <w:sz w:val="20"/>
                <w:szCs w:val="20"/>
              </w:rPr>
            </w:pPr>
          </w:p>
        </w:tc>
      </w:tr>
    </w:tbl>
    <w:p w14:paraId="499494F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六、保密条款</w:t>
      </w:r>
    </w:p>
    <w:p w14:paraId="3C5DFB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1.双方均有义务对合作过程中获取的保密信息予以保密，保密信息包括但不限于客户个人信息、客户健康信息、双方商业计划、财务数据、合作价格、推广策略、体检项目细节等未公开信息。</w:t>
      </w:r>
    </w:p>
    <w:p w14:paraId="206C7B9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对于以下信息，双方均免除保密责任：由公众通过合法途径获知的信息；从第三方获知的，并未违反任何保密责任的信息；为法律或有管辖权的政府部门根据法令所要求的透露的信息，或者根据法律程序而要求透露的信息。</w:t>
      </w:r>
    </w:p>
    <w:p w14:paraId="04EAF6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3.本保密条款不因本协议终止履行而失效。</w:t>
      </w:r>
    </w:p>
    <w:p w14:paraId="69E58239">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七、违约责任</w:t>
      </w:r>
    </w:p>
    <w:p w14:paraId="7F4F4B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1.若乙方未按本协议约定支付结算款项，每逾期一天，应按应付未付金额的0.05%向甲方支付违约金。</w:t>
      </w:r>
    </w:p>
    <w:p w14:paraId="45358D7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2.若乙方未按本协议约定提供服务，或存在服务质量问题、数据虚假等情况，甲方有权要求其承担违约责任，包括但不限于扣除部分服务费用、中止合作、解除协议等，若给甲方造成损失的，乙方应予以赔偿。</w:t>
      </w:r>
    </w:p>
    <w:p w14:paraId="7F9264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3.若乙方未达到约定的推广效果（如年度成交金额未达标），甲方有权按未达标比例扣除相应的服务费用，或协商调整合作折扣。</w:t>
      </w:r>
    </w:p>
    <w:p w14:paraId="0A2D53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4.若乙方违反保密要求，泄露医院商业秘密或客户个人信息，需向甲方支付违约金5万元，若违约金不足以弥补甲方损失的，乙方还需赔偿剩余损失；甲方有权单方解除本协议，并保留追究其法律责任的权利。</w:t>
      </w:r>
    </w:p>
    <w:p w14:paraId="4A9A64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5.若乙方存在溢价行为（包括但不限于在平台上擅自提高体检套餐展示价格、</w:t>
      </w:r>
    </w:p>
    <w:p w14:paraId="1666EF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新增溢价环节、向客户额外加价等），甲方有权随时终止合作，解除本协议，</w:t>
      </w:r>
      <w:r>
        <w:rPr>
          <w:rFonts w:ascii="宋体" w:hAnsi="宋体" w:eastAsia="宋体" w:cs="宋体"/>
          <w:sz w:val="24"/>
          <w:szCs w:val="24"/>
        </w:rPr>
        <w:t>乙方需向甲方支付违约金3万元，</w:t>
      </w:r>
      <w:r>
        <w:rPr>
          <w:rFonts w:hint="eastAsia" w:ascii="宋体" w:hAnsi="宋体" w:eastAsia="宋体" w:cs="宋体"/>
          <w:color w:val="000000"/>
          <w:kern w:val="0"/>
          <w:sz w:val="24"/>
          <w:szCs w:val="24"/>
          <w:lang w:val="en-US" w:eastAsia="zh-CN" w:bidi="ar"/>
        </w:rPr>
        <w:t>并要求乙方赔偿因此给甲方造成的一切损失（包括但不限于客户流失损失、品牌声誉损失等）。</w:t>
      </w:r>
    </w:p>
    <w:p w14:paraId="17BCCC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6.若乙方因自身原因单方面提前终止合作，且未按约定提前30个工作日书面通知甲方，需向甲方支付违约金3万元，并赔偿因此给甲方造成的损失。</w:t>
      </w:r>
    </w:p>
    <w:p w14:paraId="3F5F6A9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7.合同有效期内，若一方未经对方同意，擅自变更或解除协议，则需赔偿对方因此而遭受的经济损失。</w:t>
      </w:r>
    </w:p>
    <w:p w14:paraId="0835D4E8">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八、协议的解除与终止</w:t>
      </w:r>
    </w:p>
    <w:p w14:paraId="05812E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1.双方协商一致，可以书面形式解除本协议。</w:t>
      </w:r>
    </w:p>
    <w:p w14:paraId="621A75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2.因不可抗力导致本协议无法继续履行的，本协议自动终止，双方互不承担违约责任。</w:t>
      </w:r>
    </w:p>
    <w:p w14:paraId="4069287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3.乙方存在严重违约行为（包括但不限于本协议约定的溢价行为、重大服务质量问题、数据虚假等），经甲方催告后仍未整改的，甲方有权单方解除本协议，并要求乙方承担相应的赔偿责任。</w:t>
      </w:r>
    </w:p>
    <w:p w14:paraId="7EC15B3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4.本协议合作期限届满，且双方均未提出续签意向的，本协议自动终止。</w:t>
      </w:r>
    </w:p>
    <w:p w14:paraId="480914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5.上一年度合作金额不足一万元则自动终止。</w:t>
      </w:r>
    </w:p>
    <w:p w14:paraId="6C11E980">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九、其它</w:t>
      </w:r>
    </w:p>
    <w:p w14:paraId="6333A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1.合同有效期内，若一方欲变更或解除本协议，需提前一个月向对方书面提出，经双方协商一致可变更协议或解除协议。</w:t>
      </w:r>
    </w:p>
    <w:p w14:paraId="3A10BB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2.本协议所有事宜及操作程序，双方均由专人负责。双方往来邮件及传真作为本协议的附件。</w:t>
      </w:r>
    </w:p>
    <w:p w14:paraId="603009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3.在本合同履行过程中发生的争议，由双方协商解决，协商不成的，可依法向原告甲方所在地法院依中国法律起诉。</w:t>
      </w:r>
    </w:p>
    <w:p w14:paraId="485220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4.本协议及附件构成双方之间完整协议。未经双方签字同意，任何修改均属无效。</w:t>
      </w:r>
    </w:p>
    <w:p w14:paraId="40339C26">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482" w:firstLineChars="200"/>
        <w:textAlignment w:val="auto"/>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十、协议生效</w:t>
      </w:r>
    </w:p>
    <w:p w14:paraId="024ECF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1.本协议合作期限为3年，自双方首次签订本协议之日起计算。</w:t>
      </w:r>
    </w:p>
    <w:p w14:paraId="6424CB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2.合同自动续签机制：在3年合作期限内，若双方均未在每年度合作期满前30个工作日内以书面形式提出终止合作，则该年度合作协议自动续签至下一年度，直至3年总合作期限届满；3年期满后，重新参与招标。</w:t>
      </w:r>
    </w:p>
    <w:p w14:paraId="6EB3DD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3.自动续签的合作协议，除折扣率按上一年度实际合作金额重新核定外，其他条款均沿用原协议约定（若有修订需双方书面确认）。</w:t>
      </w:r>
    </w:p>
    <w:p w14:paraId="5D1819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4.本协议书壹式贰份，甲乙双方各执壹份，具有同等法律效力，自双方签署之日起生效。</w:t>
      </w:r>
    </w:p>
    <w:p w14:paraId="4B07F5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p>
    <w:p w14:paraId="360840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eastAsia="宋体" w:cs="宋体"/>
          <w:color w:val="000000"/>
          <w:kern w:val="0"/>
          <w:sz w:val="24"/>
          <w:szCs w:val="24"/>
          <w:lang w:val="en-US" w:eastAsia="zh-CN" w:bidi="ar"/>
        </w:rPr>
      </w:pPr>
    </w:p>
    <w:p w14:paraId="4A95B15A">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甲方</w:t>
      </w:r>
      <w:r>
        <w:rPr>
          <w:rFonts w:ascii="宋体" w:hAnsi="宋体"/>
          <w:color w:val="auto"/>
          <w:sz w:val="24"/>
          <w:szCs w:val="24"/>
        </w:rPr>
        <w:t xml:space="preserve"> (</w:t>
      </w:r>
      <w:r>
        <w:rPr>
          <w:rFonts w:hint="eastAsia" w:ascii="宋体" w:hAnsi="宋体"/>
          <w:color w:val="auto"/>
          <w:sz w:val="24"/>
          <w:szCs w:val="24"/>
        </w:rPr>
        <w:t>盖章</w:t>
      </w:r>
      <w:r>
        <w:rPr>
          <w:rFonts w:ascii="宋体" w:hAnsi="宋体"/>
          <w:color w:val="auto"/>
          <w:sz w:val="24"/>
          <w:szCs w:val="24"/>
        </w:rPr>
        <w:t>)</w:t>
      </w:r>
      <w:r>
        <w:rPr>
          <w:rFonts w:hint="eastAsia" w:ascii="宋体" w:hAnsi="宋体"/>
          <w:color w:val="auto"/>
          <w:sz w:val="24"/>
          <w:szCs w:val="24"/>
        </w:rPr>
        <w:t>：                           乙方</w:t>
      </w:r>
      <w:r>
        <w:rPr>
          <w:rFonts w:ascii="宋体" w:hAnsi="宋体"/>
          <w:color w:val="auto"/>
          <w:sz w:val="24"/>
          <w:szCs w:val="24"/>
        </w:rPr>
        <w:t xml:space="preserve"> (</w:t>
      </w:r>
      <w:r>
        <w:rPr>
          <w:rFonts w:hint="eastAsia" w:ascii="宋体" w:hAnsi="宋体"/>
          <w:color w:val="auto"/>
          <w:sz w:val="24"/>
          <w:szCs w:val="24"/>
        </w:rPr>
        <w:t>盖章</w:t>
      </w:r>
      <w:r>
        <w:rPr>
          <w:rFonts w:ascii="宋体" w:hAnsi="宋体"/>
          <w:color w:val="auto"/>
          <w:sz w:val="24"/>
          <w:szCs w:val="24"/>
        </w:rPr>
        <w:t>)</w:t>
      </w:r>
      <w:r>
        <w:rPr>
          <w:rFonts w:hint="eastAsia" w:ascii="宋体" w:hAnsi="宋体"/>
          <w:color w:val="auto"/>
          <w:sz w:val="24"/>
          <w:szCs w:val="24"/>
        </w:rPr>
        <w:t>：</w:t>
      </w:r>
    </w:p>
    <w:p w14:paraId="655E1F5D">
      <w:pPr>
        <w:spacing w:line="360" w:lineRule="auto"/>
        <w:rPr>
          <w:rFonts w:ascii="宋体" w:hAnsi="宋体"/>
          <w:color w:val="auto"/>
          <w:sz w:val="24"/>
          <w:szCs w:val="24"/>
        </w:rPr>
      </w:pPr>
    </w:p>
    <w:p w14:paraId="5A6C0F1F">
      <w:pPr>
        <w:spacing w:line="360" w:lineRule="auto"/>
        <w:rPr>
          <w:rFonts w:ascii="宋体" w:hAnsi="宋体"/>
          <w:color w:val="auto"/>
          <w:sz w:val="24"/>
        </w:rPr>
      </w:pPr>
      <w:r>
        <w:rPr>
          <w:rFonts w:hint="eastAsia" w:ascii="宋体" w:hAnsi="宋体"/>
          <w:color w:val="auto"/>
          <w:sz w:val="24"/>
        </w:rPr>
        <w:t>法定代表</w:t>
      </w:r>
      <w:r>
        <w:rPr>
          <w:rFonts w:hint="eastAsia" w:ascii="宋体" w:hAnsi="宋体"/>
          <w:color w:val="auto"/>
          <w:sz w:val="24"/>
          <w:szCs w:val="24"/>
        </w:rPr>
        <w:t>人</w:t>
      </w:r>
      <w:r>
        <w:rPr>
          <w:rFonts w:hint="eastAsia" w:ascii="宋体" w:hAnsi="宋体"/>
          <w:color w:val="auto"/>
          <w:sz w:val="24"/>
        </w:rPr>
        <w:t>（</w:t>
      </w:r>
      <w:r>
        <w:rPr>
          <w:rFonts w:hint="eastAsia" w:ascii="宋体" w:hAnsi="宋体"/>
          <w:color w:val="auto"/>
          <w:sz w:val="24"/>
          <w:szCs w:val="24"/>
        </w:rPr>
        <w:t>或授权代理人</w:t>
      </w:r>
      <w:r>
        <w:rPr>
          <w:rFonts w:hint="eastAsia" w:ascii="宋体" w:hAnsi="宋体"/>
          <w:color w:val="auto"/>
          <w:sz w:val="24"/>
        </w:rPr>
        <w:t>）              法定代表</w:t>
      </w:r>
      <w:r>
        <w:rPr>
          <w:rFonts w:hint="eastAsia" w:ascii="宋体" w:hAnsi="宋体"/>
          <w:color w:val="auto"/>
          <w:sz w:val="24"/>
          <w:szCs w:val="24"/>
        </w:rPr>
        <w:t>人</w:t>
      </w:r>
      <w:r>
        <w:rPr>
          <w:rFonts w:hint="eastAsia" w:ascii="宋体" w:hAnsi="宋体"/>
          <w:color w:val="auto"/>
          <w:sz w:val="24"/>
        </w:rPr>
        <w:t>（</w:t>
      </w:r>
      <w:r>
        <w:rPr>
          <w:rFonts w:hint="eastAsia" w:ascii="宋体" w:hAnsi="宋体"/>
          <w:color w:val="auto"/>
          <w:sz w:val="24"/>
          <w:szCs w:val="24"/>
        </w:rPr>
        <w:t>或授权代理人</w:t>
      </w:r>
      <w:r>
        <w:rPr>
          <w:rFonts w:hint="eastAsia" w:ascii="宋体" w:hAnsi="宋体"/>
          <w:color w:val="auto"/>
          <w:sz w:val="24"/>
        </w:rPr>
        <w:t>）</w:t>
      </w:r>
    </w:p>
    <w:p w14:paraId="1A80C1BF">
      <w:pPr>
        <w:spacing w:line="360" w:lineRule="auto"/>
        <w:rPr>
          <w:rFonts w:ascii="宋体" w:hAnsi="宋体"/>
          <w:color w:val="auto"/>
          <w:sz w:val="24"/>
          <w:szCs w:val="24"/>
        </w:rPr>
      </w:pPr>
      <w:r>
        <w:rPr>
          <w:rFonts w:hint="eastAsia" w:ascii="宋体" w:hAnsi="宋体"/>
          <w:color w:val="auto"/>
          <w:sz w:val="24"/>
          <w:szCs w:val="24"/>
        </w:rPr>
        <w:t>（签字或盖章）：                        （签字或盖章）：</w:t>
      </w:r>
    </w:p>
    <w:p w14:paraId="56B7565B">
      <w:pPr>
        <w:pStyle w:val="8"/>
        <w:spacing w:after="0" w:line="360" w:lineRule="auto"/>
        <w:ind w:left="0" w:leftChars="0" w:firstLine="0" w:firstLineChars="0"/>
        <w:rPr>
          <w:rFonts w:ascii="宋体" w:hAnsi="宋体"/>
          <w:color w:val="auto"/>
          <w:sz w:val="24"/>
          <w:szCs w:val="24"/>
        </w:rPr>
      </w:pPr>
      <w:r>
        <w:rPr>
          <w:rFonts w:hint="eastAsia" w:ascii="宋体" w:hAnsi="宋体"/>
          <w:color w:val="auto"/>
          <w:sz w:val="24"/>
          <w:szCs w:val="24"/>
        </w:rPr>
        <w:t>签约时间：    年    月   日             签约时间：    年    月    日</w:t>
      </w:r>
    </w:p>
    <w:p w14:paraId="05E24BBB">
      <w:pPr>
        <w:rPr>
          <w:szCs w:val="21"/>
        </w:rPr>
      </w:pPr>
    </w:p>
    <w:p w14:paraId="2D91D0F3">
      <w:pPr>
        <w:spacing w:before="380" w:after="140" w:line="288" w:lineRule="auto"/>
        <w:ind w:left="0"/>
        <w:jc w:val="center"/>
        <w:outlineLvl w:val="0"/>
        <w:rPr>
          <w:rFonts w:hint="default" w:ascii="Times New Roman" w:hAnsi="Times New Roman" w:eastAsia="等线" w:cs="Times New Roman"/>
          <w:b/>
          <w:color w:val="auto"/>
          <w:sz w:val="36"/>
        </w:rPr>
      </w:pPr>
    </w:p>
    <w:p w14:paraId="3640ACB6">
      <w:pPr>
        <w:spacing w:before="380" w:after="140" w:line="288" w:lineRule="auto"/>
        <w:ind w:left="0"/>
        <w:jc w:val="center"/>
        <w:outlineLvl w:val="0"/>
        <w:rPr>
          <w:rFonts w:hint="default" w:ascii="Times New Roman" w:hAnsi="Times New Roman" w:eastAsia="等线" w:cs="Times New Roman"/>
          <w:b/>
          <w:color w:val="auto"/>
          <w:sz w:val="36"/>
        </w:rPr>
      </w:pPr>
    </w:p>
    <w:p w14:paraId="15899BDE">
      <w:pPr>
        <w:spacing w:before="380" w:after="140" w:line="288" w:lineRule="auto"/>
        <w:ind w:left="0"/>
        <w:jc w:val="center"/>
        <w:outlineLvl w:val="0"/>
        <w:rPr>
          <w:rFonts w:hint="default" w:ascii="Times New Roman" w:hAnsi="Times New Roman" w:eastAsia="等线" w:cs="Times New Roman"/>
          <w:b/>
          <w:color w:val="auto"/>
          <w:sz w:val="36"/>
        </w:rPr>
      </w:pPr>
    </w:p>
    <w:p w14:paraId="04628A08">
      <w:pPr>
        <w:spacing w:before="380" w:after="140" w:line="288" w:lineRule="auto"/>
        <w:ind w:left="0"/>
        <w:jc w:val="center"/>
        <w:outlineLvl w:val="0"/>
        <w:rPr>
          <w:rFonts w:hint="default" w:ascii="Times New Roman" w:hAnsi="Times New Roman" w:eastAsia="等线" w:cs="Times New Roman"/>
          <w:b/>
          <w:color w:val="auto"/>
          <w:sz w:val="36"/>
        </w:rPr>
      </w:pPr>
    </w:p>
    <w:p w14:paraId="26B2CC45">
      <w:pPr>
        <w:spacing w:before="380" w:after="140" w:line="288" w:lineRule="auto"/>
        <w:ind w:left="0"/>
        <w:jc w:val="center"/>
        <w:outlineLvl w:val="0"/>
        <w:rPr>
          <w:rFonts w:hint="default" w:ascii="Times New Roman" w:hAnsi="Times New Roman" w:eastAsia="等线" w:cs="Times New Roman"/>
          <w:b/>
          <w:color w:val="auto"/>
          <w:sz w:val="36"/>
        </w:rPr>
      </w:pPr>
    </w:p>
    <w:p w14:paraId="6E7D8372">
      <w:pPr>
        <w:spacing w:before="380" w:after="140" w:line="288" w:lineRule="auto"/>
        <w:ind w:left="0"/>
        <w:jc w:val="center"/>
        <w:outlineLvl w:val="0"/>
        <w:rPr>
          <w:rFonts w:hint="default" w:ascii="Times New Roman" w:hAnsi="Times New Roman" w:eastAsia="等线" w:cs="Times New Roman"/>
          <w:b/>
          <w:color w:val="auto"/>
          <w:sz w:val="36"/>
        </w:rPr>
      </w:pPr>
    </w:p>
    <w:p w14:paraId="7511CC70">
      <w:pPr>
        <w:spacing w:before="380" w:after="140" w:line="288" w:lineRule="auto"/>
        <w:ind w:left="0"/>
        <w:jc w:val="center"/>
        <w:outlineLvl w:val="0"/>
        <w:rPr>
          <w:rFonts w:hint="default" w:ascii="Times New Roman" w:hAnsi="Times New Roman" w:eastAsia="等线" w:cs="Times New Roman"/>
          <w:b/>
          <w:color w:val="auto"/>
          <w:sz w:val="36"/>
        </w:rPr>
      </w:pPr>
    </w:p>
    <w:p w14:paraId="28B18300">
      <w:pPr>
        <w:spacing w:before="380" w:after="140" w:line="288" w:lineRule="auto"/>
        <w:ind w:left="0"/>
        <w:jc w:val="center"/>
        <w:outlineLvl w:val="0"/>
        <w:rPr>
          <w:rFonts w:hint="default" w:ascii="Times New Roman" w:hAnsi="Times New Roman" w:eastAsia="等线" w:cs="Times New Roman"/>
          <w:b/>
          <w:color w:val="auto"/>
          <w:sz w:val="36"/>
        </w:rPr>
      </w:pPr>
    </w:p>
    <w:p w14:paraId="73F07219">
      <w:pPr>
        <w:spacing w:before="380" w:after="140" w:line="288" w:lineRule="auto"/>
        <w:ind w:left="0"/>
        <w:jc w:val="center"/>
        <w:outlineLvl w:val="0"/>
        <w:rPr>
          <w:rFonts w:hint="default" w:ascii="Times New Roman" w:hAnsi="Times New Roman" w:eastAsia="等线" w:cs="Times New Roman"/>
          <w:color w:val="auto"/>
        </w:rPr>
      </w:pPr>
      <w:r>
        <w:rPr>
          <w:rFonts w:hint="default" w:ascii="Times New Roman" w:hAnsi="Times New Roman" w:eastAsia="等线" w:cs="Times New Roman"/>
          <w:b/>
          <w:color w:val="auto"/>
          <w:sz w:val="36"/>
        </w:rPr>
        <w:t>第五章投标文件格式</w:t>
      </w:r>
      <w:bookmarkEnd w:id="18"/>
    </w:p>
    <w:p w14:paraId="3A6B48BC">
      <w:pPr>
        <w:spacing w:before="320" w:after="120" w:line="288" w:lineRule="auto"/>
        <w:ind w:left="0"/>
        <w:jc w:val="left"/>
        <w:outlineLvl w:val="1"/>
        <w:rPr>
          <w:rFonts w:hint="default" w:ascii="Times New Roman" w:hAnsi="Times New Roman" w:eastAsia="等线" w:cs="Times New Roman"/>
          <w:color w:val="auto"/>
        </w:rPr>
      </w:pPr>
      <w:bookmarkStart w:id="19" w:name="heading_27"/>
      <w:r>
        <w:rPr>
          <w:rFonts w:hint="default" w:ascii="Times New Roman" w:hAnsi="Times New Roman" w:eastAsia="等线" w:cs="Times New Roman"/>
          <w:b/>
          <w:color w:val="auto"/>
          <w:sz w:val="32"/>
        </w:rPr>
        <w:t>附件1：投标函</w:t>
      </w:r>
      <w:bookmarkEnd w:id="19"/>
    </w:p>
    <w:p w14:paraId="3A2F5647">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391227E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我方已仔细阅读贵方【项目名称】的招标文件，完全理解并接受招标文件的所有条款和要求，决定参与本次投标。</w:t>
      </w:r>
    </w:p>
    <w:p w14:paraId="72864D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1.我方承诺，将严格按照招标文件要求及国家相关法律法规，提供符合要求的服务，并承担相应的责任。</w:t>
      </w:r>
    </w:p>
    <w:p w14:paraId="71B226A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2.我方确认所属类型为【□现有平台/□新平台】：（1）若为现有平台：2025 年度与贵院健康管理中心的实际合作金额为【】元（附完整结算凭证佐证），同意按招标文件约定的对应折扣规则（折扣率按上一年度合作金额确定，最高不超过 8.5 折）签订合作协议；（2）若为新平台：同意按招标文件约定的新平台折扣规则执行（首年初始 9.5 折，年度结束后按实际合作金额追溯调整，后续年度折扣按上一年度合作金额确定，最高折扣上限 8.5 折），签订合作协议；</w:t>
      </w:r>
    </w:p>
    <w:p w14:paraId="3BA0DE2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3.我方承诺，投标文件内容真实、准确、完整，不存在任何虚假信息或隐瞒事项。</w:t>
      </w:r>
    </w:p>
    <w:p w14:paraId="5FB961B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4.我方同意投标有效期为投标截止日期后【60】天，在此期间，本投标函对我方具有法律约束力。</w:t>
      </w:r>
    </w:p>
    <w:p w14:paraId="24C517F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5.若我方中标，将在收到中标通知书后【3】个工作日内与贵方签订合作协议，并严格履行合同义务。</w:t>
      </w:r>
    </w:p>
    <w:p w14:paraId="34B7B3C5">
      <w:pPr>
        <w:spacing w:before="120" w:after="120" w:line="288" w:lineRule="auto"/>
        <w:ind w:left="0"/>
        <w:jc w:val="left"/>
        <w:rPr>
          <w:rFonts w:hint="default" w:ascii="Times New Roman" w:hAnsi="Times New Roman" w:eastAsia="等线" w:cs="Times New Roman"/>
          <w:color w:val="auto"/>
          <w:sz w:val="22"/>
        </w:rPr>
      </w:pPr>
      <w:r>
        <w:rPr>
          <w:rFonts w:hint="eastAsia" w:eastAsia="等线" w:cs="Times New Roman"/>
          <w:color w:val="auto"/>
          <w:sz w:val="22"/>
          <w:lang w:val="en-US" w:eastAsia="zh-CN"/>
        </w:rPr>
        <w:t>6.</w:t>
      </w:r>
      <w:r>
        <w:rPr>
          <w:rFonts w:hint="default" w:ascii="Times New Roman" w:hAnsi="Times New Roman" w:eastAsia="等线" w:cs="Times New Roman"/>
          <w:color w:val="auto"/>
          <w:sz w:val="22"/>
        </w:rPr>
        <w:t>我方郑重承诺，无</w:t>
      </w:r>
      <w:r>
        <w:rPr>
          <w:rFonts w:hint="eastAsia" w:eastAsia="等线" w:cs="Times New Roman"/>
          <w:color w:val="auto"/>
          <w:sz w:val="22"/>
          <w:lang w:eastAsia="zh-CN"/>
        </w:rPr>
        <w:t>溢价</w:t>
      </w:r>
      <w:r>
        <w:rPr>
          <w:rFonts w:hint="default" w:ascii="Times New Roman" w:hAnsi="Times New Roman" w:eastAsia="等线" w:cs="Times New Roman"/>
          <w:color w:val="auto"/>
          <w:sz w:val="22"/>
        </w:rPr>
        <w:t>行为，不在我方平台上擅自提高体检套餐展示价格或新增</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环节，严格遵守招标文件及合同约定的价格管控要求。</w:t>
      </w:r>
    </w:p>
    <w:p w14:paraId="123917F6">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2DC18041">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23783FBA">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4C849D76">
      <w:pPr>
        <w:spacing w:before="320" w:after="120" w:line="288" w:lineRule="auto"/>
        <w:ind w:left="0"/>
        <w:jc w:val="left"/>
        <w:outlineLvl w:val="1"/>
        <w:rPr>
          <w:rFonts w:hint="default" w:ascii="Times New Roman" w:hAnsi="Times New Roman" w:eastAsia="等线" w:cs="Times New Roman"/>
          <w:color w:val="auto"/>
        </w:rPr>
      </w:pPr>
      <w:bookmarkStart w:id="20" w:name="heading_28"/>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附件2：法定代表人身份证明书</w:t>
      </w:r>
      <w:bookmarkEnd w:id="20"/>
    </w:p>
    <w:p w14:paraId="4B8564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单位名称：</w:t>
      </w:r>
    </w:p>
    <w:p w14:paraId="241351F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单位性质：</w:t>
      </w:r>
    </w:p>
    <w:p w14:paraId="5AEA333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地址：</w:t>
      </w:r>
    </w:p>
    <w:p w14:paraId="62DF6B0A">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成立时间：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2C4775F7">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经营期限：</w:t>
      </w:r>
    </w:p>
    <w:p w14:paraId="2D72423C">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姓名：性别：年龄：职务：，系我单位法定代表人。</w:t>
      </w:r>
    </w:p>
    <w:p w14:paraId="019B2F5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特此证明。</w:t>
      </w:r>
    </w:p>
    <w:p w14:paraId="1C037BF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43C0853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3730037D">
      <w:pPr>
        <w:spacing w:before="320" w:after="120" w:line="288" w:lineRule="auto"/>
        <w:ind w:left="0"/>
        <w:jc w:val="left"/>
        <w:outlineLvl w:val="1"/>
        <w:rPr>
          <w:rFonts w:hint="default" w:ascii="Times New Roman" w:hAnsi="Times New Roman" w:eastAsia="等线" w:cs="Times New Roman"/>
          <w:color w:val="auto"/>
        </w:rPr>
      </w:pPr>
      <w:bookmarkStart w:id="21" w:name="heading_29"/>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附件3：授权委托书</w:t>
      </w:r>
      <w:bookmarkEnd w:id="21"/>
    </w:p>
    <w:p w14:paraId="3F213C87">
      <w:pPr>
        <w:spacing w:before="120" w:after="120" w:line="288" w:lineRule="auto"/>
        <w:ind w:left="0"/>
        <w:jc w:val="left"/>
        <w:rPr>
          <w:rFonts w:hint="default" w:ascii="Times New Roman" w:hAnsi="Times New Roman" w:eastAsia="等线" w:cs="Times New Roman"/>
          <w:color w:val="auto"/>
          <w:lang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554FEB5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我方兹委托（姓名）（职务）为我方授权代表，代表我方参与贵方【项目名称】的投标、开标、合同谈判等相关事宜。</w:t>
      </w:r>
    </w:p>
    <w:p w14:paraId="686E0C2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授权范围：</w:t>
      </w:r>
    </w:p>
    <w:p w14:paraId="1908EED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1.提交投标文件、参与开标会议；</w:t>
      </w:r>
    </w:p>
    <w:p w14:paraId="2FD58D4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2.进行合同谈判、签订合作协议；</w:t>
      </w:r>
    </w:p>
    <w:p w14:paraId="1D1545C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3.处理与本次投标相关的其他事宜。</w:t>
      </w:r>
    </w:p>
    <w:p w14:paraId="4A879B3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本授权委托书自签发之日起生效，有效期至本次投标活动结束。</w:t>
      </w:r>
    </w:p>
    <w:p w14:paraId="6CE6B419">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4C7B20AB">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法定代表人（签字）：</w:t>
      </w:r>
    </w:p>
    <w:p w14:paraId="26990438">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授权代表（签字）：</w:t>
      </w:r>
    </w:p>
    <w:p w14:paraId="5EFEF134">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7C005B85">
      <w:pPr>
        <w:spacing w:before="320" w:after="120" w:line="288" w:lineRule="auto"/>
        <w:ind w:left="0"/>
        <w:jc w:val="left"/>
        <w:outlineLvl w:val="1"/>
        <w:rPr>
          <w:rFonts w:hint="default" w:ascii="Times New Roman" w:hAnsi="Times New Roman" w:eastAsia="等线" w:cs="Times New Roman"/>
          <w:color w:val="auto"/>
        </w:rPr>
      </w:pPr>
      <w:bookmarkStart w:id="22" w:name="heading_30"/>
      <w:r>
        <w:rPr>
          <w:rFonts w:hint="default" w:ascii="Times New Roman" w:hAnsi="Times New Roman" w:eastAsia="等线" w:cs="Times New Roman"/>
          <w:b/>
          <w:color w:val="auto"/>
          <w:sz w:val="32"/>
        </w:rPr>
        <w:br w:type="page"/>
      </w:r>
      <w:r>
        <w:rPr>
          <w:rFonts w:hint="default" w:ascii="Times New Roman" w:hAnsi="Times New Roman" w:eastAsia="等线" w:cs="Times New Roman"/>
          <w:b/>
          <w:color w:val="auto"/>
          <w:sz w:val="32"/>
        </w:rPr>
        <w:t>附件4：无重大违法违规记录承诺函</w:t>
      </w:r>
      <w:bookmarkEnd w:id="22"/>
    </w:p>
    <w:p w14:paraId="03F8A88D">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rPr>
        <w:t>致：</w:t>
      </w:r>
      <w:r>
        <w:rPr>
          <w:rFonts w:hint="default" w:ascii="Times New Roman" w:hAnsi="Times New Roman" w:eastAsia="等线" w:cs="Times New Roman"/>
          <w:color w:val="auto"/>
          <w:sz w:val="22"/>
          <w:lang w:val="en-US" w:eastAsia="zh-CN"/>
        </w:rPr>
        <w:t>扬州大学附属医院</w:t>
      </w:r>
    </w:p>
    <w:p w14:paraId="74513921">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我方郑重承诺，在近三年内（自投标截止日期前三年），我方在经营活动中无重大违法违规记录，未被列入失信被执行人名单、重大税收违法失信主体名单，未受到过行政主管部门的重大行政处罚。</w:t>
      </w:r>
    </w:p>
    <w:p w14:paraId="24AF69F5">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若我方存在上述未披露的违法违规记录，贵方有权取消我方投标资格或中标资格，解除已签订的合作协议，由此给贵方造成的损失，我方愿意承担全部赔偿责任。</w:t>
      </w:r>
    </w:p>
    <w:p w14:paraId="299E725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097FFE6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2AE061AF">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p w14:paraId="45CBA8BF">
      <w:pPr>
        <w:spacing w:before="320" w:after="120" w:line="288" w:lineRule="auto"/>
        <w:ind w:left="0"/>
        <w:jc w:val="left"/>
        <w:outlineLvl w:val="1"/>
        <w:rPr>
          <w:rFonts w:hint="default" w:ascii="Times New Roman" w:hAnsi="Times New Roman" w:eastAsia="等线" w:cs="Times New Roman"/>
          <w:b/>
          <w:color w:val="auto"/>
          <w:sz w:val="32"/>
        </w:rPr>
      </w:pPr>
      <w:r>
        <w:rPr>
          <w:rFonts w:hint="default" w:ascii="Times New Roman" w:hAnsi="Times New Roman" w:eastAsia="等线" w:cs="Times New Roman"/>
          <w:color w:val="auto"/>
        </w:rPr>
        <w:br w:type="page"/>
      </w:r>
      <w:r>
        <w:rPr>
          <w:rFonts w:hint="default" w:ascii="Times New Roman" w:hAnsi="Times New Roman" w:eastAsia="等线" w:cs="Times New Roman"/>
          <w:b/>
          <w:color w:val="auto"/>
          <w:sz w:val="32"/>
        </w:rPr>
        <w:t>附件 5：价格管控承诺函</w:t>
      </w:r>
    </w:p>
    <w:p w14:paraId="08A3E83B">
      <w:pPr>
        <w:spacing w:before="120" w:after="120" w:line="288" w:lineRule="auto"/>
        <w:ind w:left="0"/>
        <w:jc w:val="left"/>
        <w:rPr>
          <w:rFonts w:hint="default" w:ascii="Times New Roman" w:hAnsi="Times New Roman" w:eastAsia="等线" w:cs="Times New Roman"/>
          <w:color w:val="auto"/>
          <w:sz w:val="22"/>
          <w:lang w:val="en-US" w:eastAsia="zh-CN"/>
        </w:rPr>
      </w:pPr>
      <w:r>
        <w:rPr>
          <w:rFonts w:hint="default" w:ascii="Times New Roman" w:hAnsi="Times New Roman" w:eastAsia="等线" w:cs="Times New Roman"/>
          <w:color w:val="auto"/>
          <w:sz w:val="22"/>
          <w:lang w:val="en-US" w:eastAsia="zh-CN"/>
        </w:rPr>
        <w:t>致：扬州大学附属医院</w:t>
      </w:r>
    </w:p>
    <w:p w14:paraId="4B22807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lang w:val="en-US" w:eastAsia="zh-CN"/>
        </w:rPr>
        <w:t>我方郑重承诺，在本次招标合作期间，严格遵守以下价格管控要求：</w:t>
      </w:r>
    </w:p>
    <w:p w14:paraId="5E1E3CA8">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严格按照双方约定的体检套餐基准价格在我方平台进行展示，不擅自提高价格、不设置变相提价条款；</w:t>
      </w:r>
    </w:p>
    <w:p w14:paraId="0A2860DC">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不在平台运营及客户服务过程中新增任何形式的</w:t>
      </w:r>
      <w:r>
        <w:rPr>
          <w:rFonts w:hint="eastAsia" w:eastAsia="等线" w:cs="Times New Roman"/>
          <w:color w:val="auto"/>
          <w:sz w:val="22"/>
          <w:lang w:eastAsia="zh-CN"/>
        </w:rPr>
        <w:t>溢价</w:t>
      </w:r>
      <w:r>
        <w:rPr>
          <w:rFonts w:hint="default" w:ascii="Times New Roman" w:hAnsi="Times New Roman" w:eastAsia="等线" w:cs="Times New Roman"/>
          <w:color w:val="auto"/>
          <w:sz w:val="22"/>
        </w:rPr>
        <w:t>环节，不向客户提出额外加价要求；</w:t>
      </w:r>
    </w:p>
    <w:p w14:paraId="7B349CD4">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积极配合招标人对平台价格的核查工作，若存在价格违规行为，自愿接受招标文件及合同约定的违约责任处理（包括但不限于终止合作、支付违约金、赔偿损失等）。本承诺函自签署之日起生效，有效期至合作期限届满。</w:t>
      </w:r>
    </w:p>
    <w:p w14:paraId="1A360D6D">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投标人（盖章）：</w:t>
      </w:r>
    </w:p>
    <w:p w14:paraId="04C44432">
      <w:pPr>
        <w:spacing w:before="120" w:after="120" w:line="288" w:lineRule="auto"/>
        <w:ind w:left="0"/>
        <w:jc w:val="left"/>
        <w:rPr>
          <w:rFonts w:hint="default" w:ascii="Times New Roman" w:hAnsi="Times New Roman" w:eastAsia="等线" w:cs="Times New Roman"/>
          <w:color w:val="auto"/>
        </w:rPr>
      </w:pPr>
      <w:r>
        <w:rPr>
          <w:rFonts w:hint="default" w:ascii="Times New Roman" w:hAnsi="Times New Roman" w:eastAsia="等线" w:cs="Times New Roman"/>
          <w:color w:val="auto"/>
          <w:sz w:val="22"/>
        </w:rPr>
        <w:t>法定代表人/授权代表（签字）：</w:t>
      </w:r>
    </w:p>
    <w:p w14:paraId="7BE91F40">
      <w:pPr>
        <w:spacing w:before="120" w:after="120" w:line="288" w:lineRule="auto"/>
        <w:ind w:left="0"/>
        <w:jc w:val="left"/>
        <w:rPr>
          <w:rFonts w:hint="default" w:ascii="Times New Roman" w:hAnsi="Times New Roman" w:eastAsia="等线" w:cs="Times New Roman"/>
          <w:color w:val="auto"/>
          <w:sz w:val="22"/>
        </w:rPr>
      </w:pPr>
      <w:r>
        <w:rPr>
          <w:rFonts w:hint="default" w:ascii="Times New Roman" w:hAnsi="Times New Roman" w:eastAsia="等线" w:cs="Times New Roman"/>
          <w:color w:val="auto"/>
          <w:sz w:val="22"/>
        </w:rPr>
        <w:t>日期：</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年</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月</w:t>
      </w:r>
      <w:r>
        <w:rPr>
          <w:rFonts w:hint="eastAsia" w:eastAsia="等线" w:cs="Times New Roman"/>
          <w:color w:val="auto"/>
          <w:sz w:val="22"/>
          <w:lang w:val="en-US" w:eastAsia="zh-CN"/>
        </w:rPr>
        <w:t xml:space="preserve">        </w:t>
      </w:r>
      <w:r>
        <w:rPr>
          <w:rFonts w:hint="default" w:ascii="Times New Roman" w:hAnsi="Times New Roman" w:eastAsia="等线" w:cs="Times New Roman"/>
          <w:color w:val="auto"/>
          <w:sz w:val="22"/>
        </w:rPr>
        <w:t>日</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99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7E6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DC7A5"/>
    <w:multiLevelType w:val="singleLevel"/>
    <w:tmpl w:val="BCADC7A5"/>
    <w:lvl w:ilvl="0" w:tentative="0">
      <w:start w:val="3"/>
      <w:numFmt w:val="decimal"/>
      <w:suff w:val="nothing"/>
      <w:lvlText w:val="%1."/>
      <w:lvlJc w:val="left"/>
      <w:rPr>
        <w:rFonts w:hint="default"/>
        <w:color w:val="auto"/>
      </w:rPr>
    </w:lvl>
  </w:abstractNum>
  <w:abstractNum w:abstractNumId="1">
    <w:nsid w:val="C308B91E"/>
    <w:multiLevelType w:val="singleLevel"/>
    <w:tmpl w:val="C308B91E"/>
    <w:lvl w:ilvl="0" w:tentative="0">
      <w:start w:val="4"/>
      <w:numFmt w:val="decimal"/>
      <w:suff w:val="nothing"/>
      <w:lvlText w:val="%1."/>
      <w:lvlJc w:val="left"/>
      <w:rPr>
        <w:rFonts w:hint="default"/>
        <w:color w:val="auto"/>
      </w:rPr>
    </w:lvl>
  </w:abstractNum>
  <w:abstractNum w:abstractNumId="2">
    <w:nsid w:val="C94C4CE1"/>
    <w:multiLevelType w:val="singleLevel"/>
    <w:tmpl w:val="C94C4CE1"/>
    <w:lvl w:ilvl="0" w:tentative="0">
      <w:start w:val="2"/>
      <w:numFmt w:val="decimal"/>
      <w:suff w:val="nothing"/>
      <w:lvlText w:val="%1."/>
      <w:lvlJc w:val="left"/>
      <w:rPr>
        <w:rFonts w:hint="default"/>
        <w:color w:val="auto"/>
      </w:rPr>
    </w:lvl>
  </w:abstractNum>
  <w:abstractNum w:abstractNumId="3">
    <w:nsid w:val="006EF755"/>
    <w:multiLevelType w:val="singleLevel"/>
    <w:tmpl w:val="006EF755"/>
    <w:lvl w:ilvl="0" w:tentative="0">
      <w:start w:val="1"/>
      <w:numFmt w:val="decimal"/>
      <w:suff w:val="nothing"/>
      <w:lvlText w:val="%1."/>
      <w:lvlJc w:val="left"/>
      <w:rPr>
        <w:rFonts w:hint="default"/>
        <w:color w:val="auto"/>
      </w:rPr>
    </w:lvl>
  </w:abstractNum>
  <w:abstractNum w:abstractNumId="4">
    <w:nsid w:val="07E93C51"/>
    <w:multiLevelType w:val="singleLevel"/>
    <w:tmpl w:val="07E93C51"/>
    <w:lvl w:ilvl="0" w:tentative="0">
      <w:start w:val="1"/>
      <w:numFmt w:val="decimal"/>
      <w:suff w:val="nothing"/>
      <w:lvlText w:val="（%1）"/>
      <w:lvlJc w:val="left"/>
    </w:lvl>
  </w:abstractNum>
  <w:abstractNum w:abstractNumId="5">
    <w:nsid w:val="2C5466CA"/>
    <w:multiLevelType w:val="singleLevel"/>
    <w:tmpl w:val="2C5466CA"/>
    <w:lvl w:ilvl="0" w:tentative="0">
      <w:start w:val="1"/>
      <w:numFmt w:val="decimal"/>
      <w:suff w:val="nothing"/>
      <w:lvlText w:val="%1."/>
      <w:lvlJc w:val="left"/>
      <w:rPr>
        <w:rFonts w:hint="default"/>
        <w:color w:val="auto"/>
      </w:rPr>
    </w:lvl>
  </w:abstractNum>
  <w:abstractNum w:abstractNumId="6">
    <w:nsid w:val="2D5B0758"/>
    <w:multiLevelType w:val="singleLevel"/>
    <w:tmpl w:val="2D5B0758"/>
    <w:lvl w:ilvl="0" w:tentative="0">
      <w:start w:val="2"/>
      <w:numFmt w:val="decimal"/>
      <w:suff w:val="nothing"/>
      <w:lvlText w:val="%1."/>
      <w:lvlJc w:val="left"/>
      <w:rPr>
        <w:rFonts w:hint="default"/>
        <w:color w:val="auto"/>
      </w:rPr>
    </w:lvl>
  </w:abstractNum>
  <w:abstractNum w:abstractNumId="7">
    <w:nsid w:val="54A287AF"/>
    <w:multiLevelType w:val="singleLevel"/>
    <w:tmpl w:val="54A287AF"/>
    <w:lvl w:ilvl="0" w:tentative="0">
      <w:start w:val="3"/>
      <w:numFmt w:val="decimal"/>
      <w:suff w:val="nothing"/>
      <w:lvlText w:val="%1."/>
      <w:lvlJc w:val="left"/>
      <w:rPr>
        <w:rFonts w:hint="default"/>
        <w:color w:val="auto"/>
      </w:rPr>
    </w:lvl>
  </w:abstractNum>
  <w:abstractNum w:abstractNumId="8">
    <w:nsid w:val="749DC1DD"/>
    <w:multiLevelType w:val="singleLevel"/>
    <w:tmpl w:val="749DC1DD"/>
    <w:lvl w:ilvl="0" w:tentative="0">
      <w:start w:val="1"/>
      <w:numFmt w:val="decimal"/>
      <w:suff w:val="nothing"/>
      <w:lvlText w:val="%1．"/>
      <w:lvlJc w:val="left"/>
      <w:pPr>
        <w:ind w:left="0" w:firstLine="400"/>
      </w:pPr>
      <w:rPr>
        <w:rFonts w:hint="default"/>
      </w:rPr>
    </w:lvl>
  </w:abstractNum>
  <w:num w:numId="1">
    <w:abstractNumId w:val="8"/>
  </w:num>
  <w:num w:numId="2">
    <w:abstractNumId w:val="4"/>
  </w:num>
  <w:num w:numId="3">
    <w:abstractNumId w:val="5"/>
  </w:num>
  <w:num w:numId="4">
    <w:abstractNumId w:val="6"/>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09723CFB"/>
    <w:rsid w:val="09854FE2"/>
    <w:rsid w:val="21A4540F"/>
    <w:rsid w:val="225D61BE"/>
    <w:rsid w:val="2B6B6DF3"/>
    <w:rsid w:val="31915FB4"/>
    <w:rsid w:val="33B433C9"/>
    <w:rsid w:val="371F51E1"/>
    <w:rsid w:val="41615D72"/>
    <w:rsid w:val="42812977"/>
    <w:rsid w:val="439156B1"/>
    <w:rsid w:val="48A95FD9"/>
    <w:rsid w:val="4F560168"/>
    <w:rsid w:val="5C14118E"/>
    <w:rsid w:val="5DDC1F7E"/>
    <w:rsid w:val="67D839B8"/>
    <w:rsid w:val="6D833A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kern w:val="0"/>
      <w:sz w:val="32"/>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34"/>
    <w:pPr>
      <w:ind w:firstLine="420" w:firstLineChars="200"/>
    </w:pPr>
  </w:style>
  <w:style w:type="paragraph" w:customStyle="1" w:styleId="8">
    <w:name w:val="正文首行缩进 21"/>
    <w:basedOn w:val="1"/>
    <w:qFormat/>
    <w:uiPriority w:val="0"/>
    <w:pPr>
      <w:spacing w:after="120" w:line="500" w:lineRule="exact"/>
      <w:ind w:left="420" w:leftChars="20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9309</Words>
  <Characters>9782</Characters>
  <TotalTime>17</TotalTime>
  <ScaleCrop>false</ScaleCrop>
  <LinksUpToDate>false</LinksUpToDate>
  <CharactersWithSpaces>10082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2026-01-12T08:54:00Z</dcterms:created>
  <dc:creator>Apache POI</dc:creator>
  <cp:lastModifiedBy>张长君</cp:lastModifiedBy>
  <cp:lastPrinted>2026-01-26T06:07:00Z</cp:lastPrinted>
  <dcterms:modified xsi:type="dcterms:W3CDTF">2026-01-26T07:08:01Z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eyJoZGlkIjoiN2Y4ZDNhMDVmNDIzOTA1MDMwMTAyNmQxZjFhNzlmNGYiLCJ1c2VySWQiOiIxMjEwNDIxMzA4In0=</vt:lpwstr>
  </property>
  <property fmtid="{D5CDD505-2E9C-101B-9397-08002B2CF9AE}" pid="3" name="KSOProductBuildVer">
    <vt:lpwstr>2052-12.1.0.24657</vt:lpwstr>
  </property>
  <property fmtid="{D5CDD505-2E9C-101B-9397-08002B2CF9AE}" pid="4" name="ICV">
    <vt:lpwstr>2B0869A3453B45D8B4CE04000E4A3E54_12</vt:lpwstr>
  </property>
</Properties>
</file>