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AF3F" w14:textId="77777777" w:rsidR="0071590B" w:rsidRDefault="00000000">
      <w:pPr>
        <w:pStyle w:val="a3"/>
        <w:spacing w:before="47" w:line="440" w:lineRule="exact"/>
        <w:ind w:left="781"/>
        <w:jc w:val="center"/>
        <w:outlineLvl w:val="0"/>
        <w:rPr>
          <w:rFonts w:hint="eastAsia"/>
          <w:sz w:val="36"/>
          <w:szCs w:val="36"/>
          <w:lang w:eastAsia="zh-CN"/>
        </w:rPr>
      </w:pPr>
      <w:r>
        <w:rPr>
          <w:b/>
          <w:bCs/>
          <w:spacing w:val="-2"/>
          <w:sz w:val="36"/>
          <w:szCs w:val="36"/>
          <w:lang w:eastAsia="zh-CN"/>
        </w:rPr>
        <w:t>扬州大学附属医院共享充电宝</w:t>
      </w:r>
      <w:r>
        <w:rPr>
          <w:rFonts w:hint="eastAsia"/>
          <w:b/>
          <w:bCs/>
          <w:spacing w:val="-2"/>
          <w:sz w:val="36"/>
          <w:szCs w:val="36"/>
          <w:lang w:eastAsia="zh-CN"/>
        </w:rPr>
        <w:t>服务项目需求</w:t>
      </w:r>
    </w:p>
    <w:p w14:paraId="3F71C30D" w14:textId="77777777" w:rsidR="0071590B" w:rsidRDefault="00000000">
      <w:pPr>
        <w:pStyle w:val="a3"/>
        <w:spacing w:before="65" w:line="480" w:lineRule="exact"/>
        <w:ind w:left="124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7"/>
          <w:sz w:val="28"/>
          <w:szCs w:val="28"/>
          <w:lang w:eastAsia="zh-CN"/>
        </w:rPr>
        <w:t>一、采购目的：</w:t>
      </w:r>
    </w:p>
    <w:p w14:paraId="0A54A849" w14:textId="77777777" w:rsidR="0071590B" w:rsidRDefault="00000000">
      <w:pPr>
        <w:pStyle w:val="a3"/>
        <w:spacing w:before="66" w:line="480" w:lineRule="exact"/>
        <w:ind w:left="121" w:right="377" w:firstLineChars="200" w:firstLine="578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  <w:t>医院作为高频人流场景（含</w:t>
      </w:r>
      <w:r>
        <w:rPr>
          <w:rFonts w:ascii="仿宋" w:eastAsia="仿宋" w:hAnsi="仿宋" w:cs="仿宋" w:hint="eastAsia"/>
          <w:spacing w:val="8"/>
          <w:sz w:val="28"/>
          <w:szCs w:val="28"/>
          <w:lang w:eastAsia="zh-CN"/>
        </w:rPr>
        <w:t>患者、家属、医护</w:t>
      </w:r>
      <w:r>
        <w:rPr>
          <w:rFonts w:ascii="仿宋" w:eastAsia="仿宋" w:hAnsi="仿宋" w:cs="仿宋" w:hint="eastAsia"/>
          <w:spacing w:val="-52"/>
          <w:w w:val="98"/>
          <w:sz w:val="28"/>
          <w:szCs w:val="28"/>
          <w:lang w:eastAsia="zh-CN"/>
        </w:rPr>
        <w:t>），</w:t>
      </w:r>
      <w:r>
        <w:rPr>
          <w:rFonts w:ascii="仿宋" w:eastAsia="仿宋" w:hAnsi="仿宋" w:cs="仿宋" w:hint="eastAsia"/>
          <w:spacing w:val="-5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pacing w:val="8"/>
          <w:sz w:val="28"/>
          <w:szCs w:val="28"/>
          <w:lang w:eastAsia="zh-CN"/>
        </w:rPr>
        <w:t>患者及陪护人员</w:t>
      </w: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存在强充电需求（手机、平板等设备续航焦虑）。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为提升患者及家属就医体验，解决移动设备续航需求，</w:t>
      </w: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通过部署共享充</w:t>
      </w:r>
      <w:r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  <w:t>电宝，</w:t>
      </w: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提升患者满意度（解决充电需求</w:t>
      </w:r>
      <w:r>
        <w:rPr>
          <w:rFonts w:ascii="仿宋" w:eastAsia="仿宋" w:hAnsi="仿宋" w:cs="仿宋" w:hint="eastAsia"/>
          <w:spacing w:val="-50"/>
          <w:sz w:val="28"/>
          <w:szCs w:val="28"/>
          <w:lang w:eastAsia="zh-CN"/>
        </w:rPr>
        <w:t>）；</w:t>
      </w: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优化场景服务配套，强化品牌形象。</w:t>
      </w:r>
    </w:p>
    <w:p w14:paraId="6CC8B4D6" w14:textId="77777777" w:rsidR="0071590B" w:rsidRDefault="00000000">
      <w:pPr>
        <w:pStyle w:val="a3"/>
        <w:spacing w:before="65" w:line="480" w:lineRule="exact"/>
        <w:ind w:left="124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8"/>
          <w:sz w:val="28"/>
          <w:szCs w:val="28"/>
          <w:lang w:eastAsia="zh-CN"/>
        </w:rPr>
        <w:t>二、服务内容要求</w:t>
      </w:r>
    </w:p>
    <w:p w14:paraId="6ACE580C" w14:textId="77777777" w:rsidR="0071590B" w:rsidRDefault="00000000">
      <w:pPr>
        <w:pStyle w:val="a3"/>
        <w:spacing w:before="65" w:line="480" w:lineRule="exact"/>
        <w:ind w:left="141" w:firstLineChars="200" w:firstLine="578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  <w:t>提供“设备投放+运维+平台支持”全流程服务，</w:t>
      </w:r>
      <w:r>
        <w:rPr>
          <w:rFonts w:ascii="仿宋" w:eastAsia="仿宋" w:hAnsi="仿宋" w:cs="仿宋" w:hint="eastAsia"/>
          <w:spacing w:val="8"/>
          <w:sz w:val="28"/>
          <w:szCs w:val="28"/>
          <w:lang w:eastAsia="zh-CN"/>
        </w:rPr>
        <w:t>覆盖院核心区域，具体包括：</w:t>
      </w:r>
    </w:p>
    <w:p w14:paraId="0914AA31" w14:textId="77777777" w:rsidR="0071590B" w:rsidRDefault="00000000">
      <w:pPr>
        <w:pStyle w:val="a3"/>
        <w:ind w:firstLineChars="200" w:firstLine="578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  <w:t>1.设备部署：根据场景需求配置不同类型设备（落地型</w:t>
      </w:r>
      <w:r>
        <w:rPr>
          <w:rFonts w:ascii="仿宋" w:eastAsia="仿宋" w:hAnsi="仿宋" w:cs="仿宋" w:hint="eastAsia"/>
          <w:spacing w:val="8"/>
          <w:sz w:val="28"/>
          <w:szCs w:val="28"/>
          <w:lang w:eastAsia="zh-CN"/>
        </w:rPr>
        <w:t>、大屏广告型</w:t>
      </w:r>
      <w:r>
        <w:rPr>
          <w:rFonts w:ascii="仿宋" w:eastAsia="仿宋" w:hAnsi="仿宋" w:cs="仿宋" w:hint="eastAsia"/>
          <w:spacing w:val="-54"/>
          <w:w w:val="99"/>
          <w:sz w:val="28"/>
          <w:szCs w:val="28"/>
          <w:lang w:eastAsia="zh-CN"/>
        </w:rPr>
        <w:t>）；</w:t>
      </w:r>
    </w:p>
    <w:p w14:paraId="78D1C794" w14:textId="77777777" w:rsidR="0071590B" w:rsidRDefault="00000000">
      <w:pPr>
        <w:pStyle w:val="a3"/>
        <w:ind w:firstLineChars="200" w:firstLine="572"/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  <w:t>2.运营维护：7×24小时后台持续监控与技术支持；</w:t>
      </w:r>
    </w:p>
    <w:p w14:paraId="22E2784C" w14:textId="77777777" w:rsidR="0071590B" w:rsidRDefault="00000000">
      <w:pPr>
        <w:pStyle w:val="a3"/>
        <w:ind w:firstLineChars="200" w:firstLine="556"/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2"/>
          <w:sz w:val="28"/>
          <w:szCs w:val="28"/>
          <w:lang w:eastAsia="zh-CN"/>
        </w:rPr>
        <w:t>3.增值服务：设备</w:t>
      </w:r>
      <w:r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  <w:t>免费提供电子屏使用，图片视频可随时更换，</w:t>
      </w:r>
      <w:r>
        <w:rPr>
          <w:rFonts w:ascii="仿宋" w:eastAsia="仿宋" w:hAnsi="仿宋" w:cs="仿宋" w:hint="eastAsia"/>
          <w:spacing w:val="-2"/>
          <w:sz w:val="28"/>
          <w:szCs w:val="28"/>
          <w:lang w:eastAsia="zh-CN"/>
        </w:rPr>
        <w:t>屏幕广告就医便民信息展示（如科室导航、检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查注意事项）</w:t>
      </w:r>
    </w:p>
    <w:p w14:paraId="652DB514" w14:textId="77777777" w:rsidR="0071590B" w:rsidRDefault="00000000">
      <w:pPr>
        <w:pStyle w:val="a3"/>
        <w:spacing w:before="66" w:line="480" w:lineRule="exact"/>
        <w:ind w:left="120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8"/>
          <w:sz w:val="28"/>
          <w:szCs w:val="28"/>
          <w:lang w:eastAsia="zh-CN"/>
        </w:rPr>
        <w:t>三、设备配置与布点方案</w:t>
      </w:r>
    </w:p>
    <w:p w14:paraId="2588A652" w14:textId="77777777" w:rsidR="0071590B" w:rsidRDefault="00000000">
      <w:pPr>
        <w:pStyle w:val="a3"/>
        <w:spacing w:before="65" w:line="480" w:lineRule="exact"/>
        <w:ind w:left="120" w:firstLineChars="200" w:firstLine="578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  <w:t>根据院功能分区，重点覆盖以下区域，每个区域放置1台，(至少提供6台屏幕设备),具体点位如下：</w:t>
      </w:r>
    </w:p>
    <w:tbl>
      <w:tblPr>
        <w:tblStyle w:val="TableNormal"/>
        <w:tblW w:w="87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2014"/>
        <w:gridCol w:w="2005"/>
        <w:gridCol w:w="2167"/>
      </w:tblGrid>
      <w:tr w:rsidR="0071590B" w14:paraId="5FD5E740" w14:textId="77777777">
        <w:trPr>
          <w:trHeight w:val="321"/>
        </w:trPr>
        <w:tc>
          <w:tcPr>
            <w:tcW w:w="8789" w:type="dxa"/>
            <w:gridSpan w:val="4"/>
          </w:tcPr>
          <w:p w14:paraId="06615A67" w14:textId="77777777" w:rsidR="0071590B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4"/>
                <w:sz w:val="28"/>
                <w:szCs w:val="28"/>
              </w:rPr>
              <w:t>东院区</w:t>
            </w:r>
            <w:r>
              <w:rPr>
                <w:rFonts w:ascii="仿宋" w:eastAsia="仿宋" w:hAnsi="仿宋" w:cs="仿宋" w:hint="eastAsia"/>
                <w:spacing w:val="4"/>
                <w:sz w:val="28"/>
                <w:szCs w:val="28"/>
                <w:lang w:eastAsia="zh-CN"/>
              </w:rPr>
              <w:t>（泰州路45号）</w:t>
            </w:r>
          </w:p>
        </w:tc>
      </w:tr>
      <w:tr w:rsidR="0071590B" w14:paraId="412E4116" w14:textId="77777777">
        <w:trPr>
          <w:trHeight w:val="316"/>
        </w:trPr>
        <w:tc>
          <w:tcPr>
            <w:tcW w:w="2603" w:type="dxa"/>
          </w:tcPr>
          <w:p w14:paraId="2C15672E" w14:textId="77777777" w:rsidR="0071590B" w:rsidRDefault="00000000">
            <w:pPr>
              <w:pStyle w:val="TableText"/>
              <w:spacing w:before="51" w:line="440" w:lineRule="exact"/>
              <w:ind w:left="12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号楼</w:t>
            </w:r>
            <w:r>
              <w:rPr>
                <w:rFonts w:ascii="仿宋" w:eastAsia="仿宋" w:hAnsi="仿宋" w:cs="仿宋" w:hint="eastAsia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pacing w:val="16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层采血处</w:t>
            </w:r>
          </w:p>
        </w:tc>
        <w:tc>
          <w:tcPr>
            <w:tcW w:w="2014" w:type="dxa"/>
          </w:tcPr>
          <w:p w14:paraId="4C241CE3" w14:textId="77777777" w:rsidR="0071590B" w:rsidRDefault="00000000">
            <w:pPr>
              <w:pStyle w:val="TableText"/>
              <w:spacing w:before="51" w:line="440" w:lineRule="exact"/>
              <w:ind w:left="121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4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pacing w:val="22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28"/>
                <w:szCs w:val="28"/>
              </w:rPr>
              <w:t>号楼北候诊区</w:t>
            </w:r>
          </w:p>
        </w:tc>
        <w:tc>
          <w:tcPr>
            <w:tcW w:w="2005" w:type="dxa"/>
          </w:tcPr>
          <w:p w14:paraId="20750DC1" w14:textId="77777777" w:rsidR="0071590B" w:rsidRDefault="00000000">
            <w:pPr>
              <w:pStyle w:val="TableText"/>
              <w:spacing w:before="51" w:line="440" w:lineRule="exact"/>
              <w:ind w:left="123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号楼急诊候诊区</w:t>
            </w:r>
          </w:p>
        </w:tc>
        <w:tc>
          <w:tcPr>
            <w:tcW w:w="2167" w:type="dxa"/>
          </w:tcPr>
          <w:p w14:paraId="459D5E0F" w14:textId="77777777" w:rsidR="0071590B" w:rsidRDefault="00000000">
            <w:pPr>
              <w:pStyle w:val="TableText"/>
              <w:spacing w:before="51" w:line="440" w:lineRule="exact"/>
              <w:ind w:left="12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号楼</w:t>
            </w:r>
            <w:r>
              <w:rPr>
                <w:rFonts w:ascii="仿宋" w:eastAsia="仿宋" w:hAnsi="仿宋" w:cs="仿宋" w:hint="eastAsia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15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层走廊大厅</w:t>
            </w:r>
          </w:p>
        </w:tc>
      </w:tr>
      <w:tr w:rsidR="0071590B" w14:paraId="43892A44" w14:textId="77777777">
        <w:trPr>
          <w:trHeight w:val="317"/>
        </w:trPr>
        <w:tc>
          <w:tcPr>
            <w:tcW w:w="2603" w:type="dxa"/>
          </w:tcPr>
          <w:p w14:paraId="2683C874" w14:textId="77777777" w:rsidR="0071590B" w:rsidRDefault="00000000">
            <w:pPr>
              <w:pStyle w:val="TableText"/>
              <w:spacing w:before="52" w:line="440" w:lineRule="exact"/>
              <w:ind w:left="12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pacing w:val="27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号楼</w:t>
            </w:r>
            <w:r>
              <w:rPr>
                <w:rFonts w:ascii="仿宋" w:eastAsia="仿宋" w:hAnsi="仿宋" w:cs="仿宋" w:hint="eastAsia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层走廊大厅</w:t>
            </w:r>
          </w:p>
        </w:tc>
        <w:tc>
          <w:tcPr>
            <w:tcW w:w="2014" w:type="dxa"/>
          </w:tcPr>
          <w:p w14:paraId="28ADCD5A" w14:textId="77777777" w:rsidR="0071590B" w:rsidRDefault="00000000">
            <w:pPr>
              <w:pStyle w:val="TableText"/>
              <w:spacing w:before="52" w:line="440" w:lineRule="exact"/>
              <w:ind w:left="11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2 号楼</w:t>
            </w:r>
            <w:r>
              <w:rPr>
                <w:rFonts w:ascii="仿宋" w:eastAsia="仿宋" w:hAnsi="仿宋" w:cs="仿宋" w:hint="eastAsia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1 层住院大厅</w:t>
            </w:r>
          </w:p>
        </w:tc>
        <w:tc>
          <w:tcPr>
            <w:tcW w:w="2005" w:type="dxa"/>
          </w:tcPr>
          <w:p w14:paraId="2EABCCEA" w14:textId="77777777" w:rsidR="0071590B" w:rsidRDefault="00000000">
            <w:pPr>
              <w:pStyle w:val="TableText"/>
              <w:spacing w:before="52" w:line="440" w:lineRule="exact"/>
              <w:ind w:left="116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pacing w:val="25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号楼</w:t>
            </w:r>
            <w:r>
              <w:rPr>
                <w:rFonts w:ascii="仿宋" w:eastAsia="仿宋" w:hAnsi="仿宋" w:cs="仿宋" w:hint="eastAsia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pacing w:val="16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层候诊</w:t>
            </w:r>
          </w:p>
        </w:tc>
        <w:tc>
          <w:tcPr>
            <w:tcW w:w="2167" w:type="dxa"/>
          </w:tcPr>
          <w:p w14:paraId="0FE0F0F9" w14:textId="77777777" w:rsidR="0071590B" w:rsidRDefault="00000000">
            <w:pPr>
              <w:pStyle w:val="TableText"/>
              <w:spacing w:before="52" w:line="440" w:lineRule="exact"/>
              <w:ind w:left="117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pacing w:val="20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号楼</w:t>
            </w:r>
            <w:r>
              <w:rPr>
                <w:rFonts w:ascii="仿宋" w:eastAsia="仿宋" w:hAnsi="仿宋" w:cs="仿宋" w:hint="eastAsia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pacing w:val="14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楼候诊</w:t>
            </w:r>
          </w:p>
        </w:tc>
      </w:tr>
      <w:tr w:rsidR="0071590B" w14:paraId="00BB6AA3" w14:textId="77777777">
        <w:trPr>
          <w:trHeight w:val="316"/>
        </w:trPr>
        <w:tc>
          <w:tcPr>
            <w:tcW w:w="8789" w:type="dxa"/>
            <w:gridSpan w:val="4"/>
          </w:tcPr>
          <w:p w14:paraId="00275A2F" w14:textId="77777777" w:rsidR="0071590B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5"/>
                <w:sz w:val="28"/>
                <w:szCs w:val="28"/>
                <w:lang w:eastAsia="zh-CN"/>
              </w:rPr>
              <w:t>西院区（邗江中路368号）</w:t>
            </w:r>
          </w:p>
        </w:tc>
      </w:tr>
      <w:tr w:rsidR="0071590B" w14:paraId="7FC6DD4A" w14:textId="77777777">
        <w:trPr>
          <w:trHeight w:val="317"/>
        </w:trPr>
        <w:tc>
          <w:tcPr>
            <w:tcW w:w="2603" w:type="dxa"/>
          </w:tcPr>
          <w:p w14:paraId="30F68D1D" w14:textId="77777777" w:rsidR="0071590B" w:rsidRDefault="00000000">
            <w:pPr>
              <w:pStyle w:val="TableText"/>
              <w:spacing w:before="55" w:line="440" w:lineRule="exact"/>
              <w:ind w:left="1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儿科门诊候诊</w:t>
            </w:r>
          </w:p>
        </w:tc>
        <w:tc>
          <w:tcPr>
            <w:tcW w:w="2014" w:type="dxa"/>
          </w:tcPr>
          <w:p w14:paraId="7D906597" w14:textId="77777777" w:rsidR="0071590B" w:rsidRDefault="00000000">
            <w:pPr>
              <w:pStyle w:val="TableText"/>
              <w:spacing w:before="54" w:line="440" w:lineRule="exact"/>
              <w:ind w:left="11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一楼门诊候诊室</w:t>
            </w:r>
          </w:p>
        </w:tc>
        <w:tc>
          <w:tcPr>
            <w:tcW w:w="2005" w:type="dxa"/>
          </w:tcPr>
          <w:p w14:paraId="27963F07" w14:textId="77777777" w:rsidR="0071590B" w:rsidRDefault="00000000">
            <w:pPr>
              <w:pStyle w:val="TableText"/>
              <w:spacing w:before="54" w:line="440" w:lineRule="exact"/>
              <w:ind w:left="117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一楼急诊候诊区</w:t>
            </w:r>
          </w:p>
        </w:tc>
        <w:tc>
          <w:tcPr>
            <w:tcW w:w="2167" w:type="dxa"/>
          </w:tcPr>
          <w:p w14:paraId="49FCBC0B" w14:textId="77777777" w:rsidR="0071590B" w:rsidRDefault="00000000">
            <w:pPr>
              <w:pStyle w:val="TableText"/>
              <w:spacing w:before="55" w:line="440" w:lineRule="exact"/>
              <w:ind w:left="118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二楼采血区</w:t>
            </w:r>
          </w:p>
        </w:tc>
      </w:tr>
      <w:tr w:rsidR="0071590B" w14:paraId="6FEB0786" w14:textId="77777777">
        <w:trPr>
          <w:trHeight w:val="316"/>
        </w:trPr>
        <w:tc>
          <w:tcPr>
            <w:tcW w:w="2603" w:type="dxa"/>
          </w:tcPr>
          <w:p w14:paraId="0B246449" w14:textId="77777777" w:rsidR="0071590B" w:rsidRDefault="00000000">
            <w:pPr>
              <w:pStyle w:val="TableText"/>
              <w:spacing w:before="54" w:line="440" w:lineRule="exact"/>
              <w:ind w:left="119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二楼影像科候诊区</w:t>
            </w:r>
          </w:p>
        </w:tc>
        <w:tc>
          <w:tcPr>
            <w:tcW w:w="2014" w:type="dxa"/>
          </w:tcPr>
          <w:p w14:paraId="0E27F680" w14:textId="77777777" w:rsidR="0071590B" w:rsidRDefault="00000000">
            <w:pPr>
              <w:pStyle w:val="TableText"/>
              <w:spacing w:before="54" w:line="440" w:lineRule="exact"/>
              <w:ind w:left="11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三楼耳鼻喉候诊区</w:t>
            </w:r>
          </w:p>
        </w:tc>
        <w:tc>
          <w:tcPr>
            <w:tcW w:w="2005" w:type="dxa"/>
          </w:tcPr>
          <w:p w14:paraId="2E2845E6" w14:textId="77777777" w:rsidR="0071590B" w:rsidRDefault="00000000">
            <w:pPr>
              <w:pStyle w:val="TableText"/>
              <w:spacing w:before="54" w:line="440" w:lineRule="exact"/>
              <w:ind w:left="114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三楼候诊区</w:t>
            </w:r>
          </w:p>
        </w:tc>
        <w:tc>
          <w:tcPr>
            <w:tcW w:w="2167" w:type="dxa"/>
          </w:tcPr>
          <w:p w14:paraId="5A0E4146" w14:textId="77777777" w:rsidR="0071590B" w:rsidRDefault="00000000">
            <w:pPr>
              <w:pStyle w:val="TableText"/>
              <w:spacing w:before="54" w:line="440" w:lineRule="exact"/>
              <w:ind w:left="11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三楼手术室</w:t>
            </w:r>
          </w:p>
        </w:tc>
      </w:tr>
      <w:tr w:rsidR="0071590B" w14:paraId="75184CED" w14:textId="77777777">
        <w:trPr>
          <w:trHeight w:val="316"/>
        </w:trPr>
        <w:tc>
          <w:tcPr>
            <w:tcW w:w="2603" w:type="dxa"/>
          </w:tcPr>
          <w:p w14:paraId="268C8B81" w14:textId="77777777" w:rsidR="0071590B" w:rsidRDefault="00000000">
            <w:pPr>
              <w:pStyle w:val="TableText"/>
              <w:spacing w:before="55" w:line="440" w:lineRule="exact"/>
              <w:ind w:left="11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住院一楼大厅</w:t>
            </w:r>
          </w:p>
        </w:tc>
        <w:tc>
          <w:tcPr>
            <w:tcW w:w="6186" w:type="dxa"/>
            <w:gridSpan w:val="3"/>
          </w:tcPr>
          <w:p w14:paraId="78D09606" w14:textId="77777777" w:rsidR="0071590B" w:rsidRDefault="0071590B">
            <w:pPr>
              <w:spacing w:line="4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404C1DE7" w14:textId="77777777" w:rsidR="0071590B" w:rsidRDefault="0071590B">
      <w:pPr>
        <w:spacing w:line="440" w:lineRule="exact"/>
        <w:rPr>
          <w:rFonts w:ascii="仿宋" w:eastAsia="仿宋" w:hAnsi="仿宋" w:cs="仿宋" w:hint="eastAsia"/>
          <w:sz w:val="28"/>
          <w:szCs w:val="28"/>
        </w:rPr>
        <w:sectPr w:rsidR="0071590B">
          <w:pgSz w:w="11906" w:h="16839"/>
          <w:pgMar w:top="1429" w:right="1424" w:bottom="0" w:left="1687" w:header="0" w:footer="0" w:gutter="0"/>
          <w:cols w:space="720"/>
        </w:sectPr>
      </w:pPr>
    </w:p>
    <w:p w14:paraId="4323FFDC" w14:textId="77777777" w:rsidR="0071590B" w:rsidRDefault="00000000">
      <w:pPr>
        <w:pStyle w:val="a3"/>
        <w:spacing w:before="60" w:line="440" w:lineRule="exact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7"/>
          <w:sz w:val="28"/>
          <w:szCs w:val="28"/>
        </w:rPr>
        <w:lastRenderedPageBreak/>
        <w:t>四、</w:t>
      </w:r>
      <w:r>
        <w:rPr>
          <w:rFonts w:ascii="仿宋" w:eastAsia="仿宋" w:hAnsi="仿宋" w:cs="仿宋" w:hint="eastAsia"/>
          <w:b/>
          <w:bCs/>
          <w:spacing w:val="7"/>
          <w:sz w:val="28"/>
          <w:szCs w:val="28"/>
          <w:lang w:eastAsia="zh-CN"/>
        </w:rPr>
        <w:t>管理费用</w:t>
      </w:r>
    </w:p>
    <w:p w14:paraId="571B65B3" w14:textId="77777777" w:rsidR="0071590B" w:rsidRDefault="00000000">
      <w:pPr>
        <w:pStyle w:val="a3"/>
        <w:spacing w:before="65" w:line="44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  <w:t>1.模式：固定管理费模式：</w:t>
      </w:r>
      <w:r>
        <w:rPr>
          <w:rFonts w:ascii="仿宋" w:eastAsia="仿宋" w:hAnsi="仿宋" w:cs="仿宋" w:hint="eastAsia"/>
          <w:spacing w:val="-25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pacing w:val="6"/>
          <w:sz w:val="28"/>
          <w:szCs w:val="28"/>
          <w:u w:val="single"/>
          <w:lang w:eastAsia="zh-CN"/>
        </w:rPr>
        <w:t>16</w:t>
      </w:r>
      <w:r>
        <w:rPr>
          <w:rFonts w:ascii="仿宋" w:eastAsia="仿宋" w:hAnsi="仿宋" w:cs="仿宋" w:hint="eastAsia"/>
          <w:spacing w:val="15"/>
          <w:sz w:val="28"/>
          <w:szCs w:val="28"/>
          <w:u w:val="single"/>
          <w:lang w:eastAsia="zh-CN"/>
        </w:rPr>
        <w:t xml:space="preserve"> </w:t>
      </w:r>
      <w:r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  <w:t>万元 /年。一年一付，先付后用。</w:t>
      </w:r>
    </w:p>
    <w:p w14:paraId="56CB0CF4" w14:textId="14EC26D5" w:rsidR="0071590B" w:rsidRDefault="00000000">
      <w:pPr>
        <w:pStyle w:val="a3"/>
        <w:spacing w:before="65" w:line="440" w:lineRule="exact"/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8"/>
          <w:sz w:val="28"/>
          <w:szCs w:val="28"/>
          <w:lang w:eastAsia="zh-CN"/>
        </w:rPr>
        <w:t>2.</w:t>
      </w:r>
      <w:r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  <w:t>收费标准：2.5元/30分钟。前三分钟内归还免费，以30分钟为一个计价单位，不足30分钟按30分钟计费，每24小时封顶40元，总封顶99元。</w:t>
      </w:r>
    </w:p>
    <w:p w14:paraId="46BCE2A7" w14:textId="77777777" w:rsidR="0071590B" w:rsidRDefault="00000000">
      <w:pPr>
        <w:pStyle w:val="a3"/>
        <w:spacing w:before="65" w:line="440" w:lineRule="exact"/>
        <w:ind w:left="21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9"/>
          <w:sz w:val="28"/>
          <w:szCs w:val="28"/>
          <w:lang w:eastAsia="zh-CN"/>
        </w:rPr>
        <w:t>五、服务与保障</w:t>
      </w:r>
    </w:p>
    <w:p w14:paraId="574FFDBA" w14:textId="77777777" w:rsidR="0071590B" w:rsidRDefault="00000000" w:rsidP="00E25229">
      <w:pPr>
        <w:tabs>
          <w:tab w:val="left" w:pos="720"/>
        </w:tabs>
        <w:spacing w:line="44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1.安全合规：</w:t>
      </w:r>
      <w:r>
        <w:rPr>
          <w:rFonts w:ascii="仿宋" w:eastAsia="仿宋" w:hAnsi="仿宋" w:cs="仿宋" w:hint="eastAsia"/>
          <w:spacing w:val="8"/>
          <w:sz w:val="28"/>
          <w:szCs w:val="28"/>
          <w:lang w:eastAsia="zh-CN"/>
        </w:rPr>
        <w:t>乙方</w:t>
      </w: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投放全新设备（设备通过医疗级安全认证（如</w:t>
      </w:r>
      <w:r>
        <w:rPr>
          <w:rFonts w:ascii="仿宋" w:eastAsia="仿宋" w:hAnsi="仿宋" w:cs="仿宋" w:hint="eastAsia"/>
          <w:spacing w:val="-35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CE</w:t>
      </w:r>
      <w:r>
        <w:rPr>
          <w:rFonts w:ascii="仿宋" w:eastAsia="仿宋" w:hAnsi="仿宋" w:cs="仿宋" w:hint="eastAsia"/>
          <w:spacing w:val="-21"/>
          <w:sz w:val="28"/>
          <w:szCs w:val="28"/>
          <w:lang w:eastAsia="zh-CN"/>
        </w:rPr>
        <w:t xml:space="preserve"> 、</w:t>
      </w: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3C</w:t>
      </w:r>
      <w:r>
        <w:rPr>
          <w:rFonts w:ascii="仿宋" w:eastAsia="仿宋" w:hAnsi="仿宋" w:cs="仿宋" w:hint="eastAsia"/>
          <w:spacing w:val="-32"/>
          <w:sz w:val="28"/>
          <w:szCs w:val="28"/>
          <w:lang w:eastAsia="zh-CN"/>
        </w:rPr>
        <w:t>），</w:t>
      </w: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低辐射、防水、防漏电，符合医院环境要求防漏电）安装调试，含布线、固定、系统、系统对接乙方运维服务，故障维修、耗材更换（如线材）、清洁，每台设备须加装独立电表，7个工作日内完成设备安装调试。医院提供</w:t>
      </w:r>
      <w:r>
        <w:rPr>
          <w:rFonts w:ascii="仿宋" w:eastAsia="仿宋" w:hAnsi="仿宋" w:cs="仿宋" w:hint="eastAsia"/>
          <w:spacing w:val="1"/>
          <w:sz w:val="28"/>
          <w:szCs w:val="28"/>
          <w:lang w:eastAsia="zh-CN"/>
        </w:rPr>
        <w:t>设备摆放位置（需通电）。</w:t>
      </w:r>
    </w:p>
    <w:p w14:paraId="32C5B957" w14:textId="2BAF713B" w:rsidR="0071590B" w:rsidRDefault="00000000" w:rsidP="00E25229">
      <w:pPr>
        <w:pStyle w:val="a4"/>
        <w:spacing w:line="44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  <w:t>2.响应效率：供应商须</w:t>
      </w:r>
      <w:r w:rsidR="003C4B32"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  <w:t>出具服务保障承诺函</w:t>
      </w:r>
      <w:r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  <w:t>，故障响应时间不超过</w:t>
      </w:r>
      <w:r>
        <w:rPr>
          <w:rFonts w:ascii="仿宋" w:eastAsia="仿宋" w:hAnsi="仿宋" w:cs="仿宋"/>
          <w:spacing w:val="6"/>
          <w:sz w:val="28"/>
          <w:szCs w:val="28"/>
          <w:lang w:eastAsia="zh-CN"/>
        </w:rPr>
        <w:t>2小时，修复时间不超过4小时，紧急情况须1小时内到场。</w:t>
      </w:r>
    </w:p>
    <w:p w14:paraId="6664003E" w14:textId="77777777" w:rsidR="0071590B" w:rsidRDefault="00000000" w:rsidP="00E25229">
      <w:pPr>
        <w:spacing w:line="440" w:lineRule="exact"/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3.品牌联动：</w:t>
      </w:r>
      <w:r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  <w:t>设备电子屏应支持展示医院LOGO、公益宣传语等内容，助力提升医院公益形象。</w:t>
      </w:r>
    </w:p>
    <w:p w14:paraId="256A28DC" w14:textId="77777777" w:rsidR="0071590B" w:rsidRDefault="00000000" w:rsidP="00E25229">
      <w:pPr>
        <w:spacing w:line="440" w:lineRule="exact"/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  <w:t>4.共享充电宝设备旁应按医院消防要求配备消防器材（灭火器及灭火器材箱）。若供应商提供的共享充电宝设备不符合质量标准和安全规范，或未按照要求配备消防器材，医院有权要求供应商免费更换或补充，并承担由此给医院造成的损失。</w:t>
      </w:r>
    </w:p>
    <w:p w14:paraId="74AE4DB2" w14:textId="77777777" w:rsidR="0071590B" w:rsidRDefault="00000000" w:rsidP="00E25229">
      <w:pPr>
        <w:tabs>
          <w:tab w:val="left" w:pos="720"/>
        </w:tabs>
        <w:spacing w:beforeAutospacing="1" w:line="440" w:lineRule="exact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六、资格审查必备条件：</w:t>
      </w:r>
    </w:p>
    <w:p w14:paraId="183265A9" w14:textId="04979C1C" w:rsidR="0071590B" w:rsidRDefault="00000000">
      <w:pPr>
        <w:spacing w:line="44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</w:t>
      </w:r>
      <w:r w:rsidR="00E25229">
        <w:rPr>
          <w:rFonts w:ascii="仿宋" w:eastAsia="仿宋" w:hAnsi="仿宋" w:cs="仿宋" w:hint="eastAsia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. 本地化服务能力：提供至少2名技术人员近6个月社保证明，其中1人需明确为项目故障紧急联系人，提供联系方式及服务承诺函。</w:t>
      </w:r>
    </w:p>
    <w:p w14:paraId="6072C3A2" w14:textId="708F85FB" w:rsidR="0071590B" w:rsidRDefault="00000000">
      <w:pPr>
        <w:spacing w:line="44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</w:t>
      </w:r>
      <w:r w:rsidR="00E25229"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. 产品安全资质：所投设备须具备国家强制性3C认证报告、第三方机构出具的防火阻燃安全检测报告，以及有效产品责任险保单（保额不低于500万）</w:t>
      </w:r>
      <w:r w:rsidR="00E25229">
        <w:rPr>
          <w:rFonts w:ascii="仿宋" w:eastAsia="仿宋" w:hAnsi="仿宋" w:cs="仿宋" w:hint="eastAsia"/>
          <w:sz w:val="28"/>
          <w:szCs w:val="28"/>
          <w:lang w:eastAsia="zh-CN"/>
        </w:rPr>
        <w:t>。</w:t>
      </w:r>
    </w:p>
    <w:p w14:paraId="6D367ECC" w14:textId="61A63784" w:rsidR="0071590B" w:rsidRDefault="00000000">
      <w:pPr>
        <w:spacing w:line="44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</w:t>
      </w:r>
      <w:r w:rsidR="00E25229">
        <w:rPr>
          <w:rFonts w:ascii="仿宋" w:eastAsia="仿宋" w:hAnsi="仿宋" w:cs="仿宋" w:hint="eastAsia"/>
          <w:sz w:val="28"/>
          <w:szCs w:val="28"/>
          <w:lang w:eastAsia="zh-CN"/>
        </w:rPr>
        <w:t>3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. 类似项目业绩：近3年拥有至少2份</w:t>
      </w:r>
      <w:r w:rsidR="00E25229">
        <w:rPr>
          <w:rFonts w:ascii="仿宋" w:eastAsia="仿宋" w:hAnsi="仿宋" w:cs="仿宋" w:hint="eastAsia"/>
          <w:sz w:val="28"/>
          <w:szCs w:val="28"/>
          <w:lang w:eastAsia="zh-CN"/>
        </w:rPr>
        <w:t>类似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项目合同原件，需提供合同关键页扫描件（含合同双方签章、服务内容条款）。</w:t>
      </w:r>
    </w:p>
    <w:p w14:paraId="5EAB3ACA" w14:textId="3924A820" w:rsidR="0071590B" w:rsidRDefault="00000000">
      <w:pPr>
        <w:spacing w:line="44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</w:t>
      </w:r>
      <w:r w:rsidR="00E25229"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. 运营透明性承诺：承诺中标后向医院开放共享充电宝后台运营账号，确保可实时查看营收数据及设备在线状态。</w:t>
      </w:r>
    </w:p>
    <w:p w14:paraId="69FB39C3" w14:textId="77777777" w:rsidR="0071590B" w:rsidRDefault="0071590B">
      <w:pPr>
        <w:spacing w:before="125" w:line="44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</w:p>
    <w:sectPr w:rsidR="0071590B">
      <w:pgSz w:w="11906" w:h="16839"/>
      <w:pgMar w:top="214" w:right="602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5AEB" w14:textId="77777777" w:rsidR="00A47E7E" w:rsidRDefault="00A47E7E">
      <w:r>
        <w:separator/>
      </w:r>
    </w:p>
  </w:endnote>
  <w:endnote w:type="continuationSeparator" w:id="0">
    <w:p w14:paraId="03016D4C" w14:textId="77777777" w:rsidR="00A47E7E" w:rsidRDefault="00A4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8060" w14:textId="77777777" w:rsidR="00A47E7E" w:rsidRDefault="00A47E7E">
      <w:r>
        <w:separator/>
      </w:r>
    </w:p>
  </w:footnote>
  <w:footnote w:type="continuationSeparator" w:id="0">
    <w:p w14:paraId="0DD6E110" w14:textId="77777777" w:rsidR="00A47E7E" w:rsidRDefault="00A4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5A6C68"/>
    <w:multiLevelType w:val="multilevel"/>
    <w:tmpl w:val="C65A6C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48EEFE1"/>
    <w:multiLevelType w:val="multilevel"/>
    <w:tmpl w:val="348EEF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120836543">
    <w:abstractNumId w:val="0"/>
  </w:num>
  <w:num w:numId="2" w16cid:durableId="85959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0B"/>
    <w:rsid w:val="001069CC"/>
    <w:rsid w:val="003C4B32"/>
    <w:rsid w:val="00440BF0"/>
    <w:rsid w:val="006F5536"/>
    <w:rsid w:val="0071590B"/>
    <w:rsid w:val="00A47E7E"/>
    <w:rsid w:val="00E25229"/>
    <w:rsid w:val="03DD5BE0"/>
    <w:rsid w:val="088B0098"/>
    <w:rsid w:val="280B7B00"/>
    <w:rsid w:val="2D1F79FC"/>
    <w:rsid w:val="351A5431"/>
    <w:rsid w:val="45FE25CA"/>
    <w:rsid w:val="6DCA78FF"/>
    <w:rsid w:val="72B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F625"/>
  <w15:docId w15:val="{93455751-9FAB-4F8A-8AFA-427D1E67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怪兽充电-殷广源</dc:creator>
  <cp:lastModifiedBy>Z</cp:lastModifiedBy>
  <cp:revision>5</cp:revision>
  <cp:lastPrinted>2026-02-10T07:07:00Z</cp:lastPrinted>
  <dcterms:created xsi:type="dcterms:W3CDTF">2026-02-11T08:23:00Z</dcterms:created>
  <dcterms:modified xsi:type="dcterms:W3CDTF">2026-02-12T07:47:00Z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2026-02-05T13:38:53Z</vt:filetime>
  </property>
  <property fmtid="{D5CDD505-2E9C-101B-9397-08002B2CF9AE}" pid="4" name="KSOTemplateDocerSaveRecord">
    <vt:lpwstr>eyJoZGlkIjoiY2RiNzc3ODAzYTk0NWNlN2VmYWQ1YmI5ODZhNjZjZTEiLCJ1c2VySWQiOiIzMDk1ODc0NyJ9</vt:lpwstr>
  </property>
  <property fmtid="{D5CDD505-2E9C-101B-9397-08002B2CF9AE}" pid="5" name="KSOProductBuildVer">
    <vt:lpwstr>2052-12.1.0.25225</vt:lpwstr>
  </property>
  <property fmtid="{D5CDD505-2E9C-101B-9397-08002B2CF9AE}" pid="6" name="ICV">
    <vt:lpwstr>19B8F0F8C72A479186E24B27376BD943_12</vt:lpwstr>
  </property>
</Properties>
</file>