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7F053">
      <w:pPr>
        <w:adjustRightInd w:val="0"/>
        <w:snapToGrid w:val="0"/>
        <w:spacing w:line="560" w:lineRule="exact"/>
        <w:jc w:val="center"/>
        <w:rPr>
          <w:rFonts w:ascii="宋体" w:hAnsi="宋体" w:cs="仿宋"/>
          <w:spacing w:val="28"/>
          <w:sz w:val="44"/>
          <w:szCs w:val="44"/>
        </w:rPr>
      </w:pPr>
    </w:p>
    <w:p w14:paraId="3B9C9C6D">
      <w:pPr>
        <w:spacing w:line="360" w:lineRule="auto"/>
        <w:jc w:val="center"/>
        <w:rPr>
          <w:rFonts w:hint="eastAsia" w:eastAsia="楷体"/>
          <w:b/>
          <w:bCs/>
          <w:sz w:val="44"/>
          <w:szCs w:val="44"/>
        </w:rPr>
      </w:pPr>
      <w:r>
        <w:rPr>
          <w:rFonts w:hint="eastAsia" w:eastAsia="楷体"/>
          <w:b/>
          <w:bCs/>
          <w:sz w:val="44"/>
          <w:szCs w:val="44"/>
        </w:rPr>
        <w:t>扬州大学附属医院扬州大学附属医院</w:t>
      </w:r>
    </w:p>
    <w:p w14:paraId="25962B1E">
      <w:pPr>
        <w:spacing w:line="360" w:lineRule="auto"/>
        <w:jc w:val="center"/>
        <w:rPr>
          <w:rFonts w:hint="eastAsia" w:eastAsia="楷体"/>
          <w:b/>
          <w:bCs/>
          <w:sz w:val="44"/>
          <w:szCs w:val="44"/>
        </w:rPr>
      </w:pPr>
      <w:r>
        <w:rPr>
          <w:rFonts w:hint="eastAsia" w:eastAsia="楷体"/>
          <w:b/>
          <w:bCs/>
          <w:sz w:val="44"/>
          <w:szCs w:val="44"/>
        </w:rPr>
        <w:t>医学整形美容科、皮肤科、烧伤外科</w:t>
      </w:r>
    </w:p>
    <w:p w14:paraId="58B8724A">
      <w:pPr>
        <w:spacing w:line="360" w:lineRule="auto"/>
        <w:jc w:val="center"/>
        <w:rPr>
          <w:rFonts w:eastAsia="楷体"/>
          <w:b/>
          <w:bCs/>
          <w:sz w:val="44"/>
          <w:szCs w:val="44"/>
        </w:rPr>
      </w:pPr>
      <w:r>
        <w:rPr>
          <w:rFonts w:hint="eastAsia" w:eastAsia="楷体"/>
          <w:b/>
          <w:bCs/>
          <w:sz w:val="44"/>
          <w:szCs w:val="44"/>
        </w:rPr>
        <w:t>一体化线上推广宣传项目院内公开谈判文件</w:t>
      </w:r>
    </w:p>
    <w:p w14:paraId="4D18DB4C">
      <w:pPr>
        <w:adjustRightInd w:val="0"/>
        <w:snapToGrid w:val="0"/>
        <w:spacing w:line="560" w:lineRule="exact"/>
        <w:jc w:val="center"/>
        <w:rPr>
          <w:rFonts w:ascii="宋体" w:hAnsi="宋体" w:cs="仿宋"/>
          <w:spacing w:val="28"/>
          <w:sz w:val="44"/>
          <w:szCs w:val="44"/>
        </w:rPr>
      </w:pPr>
    </w:p>
    <w:p w14:paraId="24817D38">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1C061E42">
      <w:pPr>
        <w:spacing w:line="360" w:lineRule="auto"/>
        <w:ind w:firstLine="848" w:firstLineChars="265"/>
        <w:jc w:val="center"/>
        <w:rPr>
          <w:rFonts w:ascii="宋体" w:hAnsi="宋体" w:cs="宋体"/>
          <w:sz w:val="32"/>
          <w:szCs w:val="32"/>
        </w:rPr>
      </w:pPr>
    </w:p>
    <w:p w14:paraId="7556ADB7">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7927F5B6">
      <w:pPr>
        <w:spacing w:line="360" w:lineRule="auto"/>
        <w:ind w:firstLine="848" w:firstLineChars="265"/>
        <w:rPr>
          <w:rFonts w:ascii="宋体" w:hAnsi="宋体" w:cs="宋体"/>
          <w:sz w:val="32"/>
          <w:szCs w:val="32"/>
        </w:rPr>
      </w:pPr>
    </w:p>
    <w:p w14:paraId="3106565C">
      <w:pPr>
        <w:spacing w:line="360" w:lineRule="auto"/>
        <w:ind w:firstLine="3088" w:firstLineChars="9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年3月</w:t>
      </w:r>
      <w:bookmarkEnd w:id="0"/>
    </w:p>
    <w:p w14:paraId="431749E9">
      <w:pPr>
        <w:jc w:val="center"/>
        <w:rPr>
          <w:rFonts w:ascii="宋体" w:hAnsi="宋体"/>
          <w:b/>
          <w:bCs/>
          <w:sz w:val="48"/>
          <w:szCs w:val="48"/>
        </w:rPr>
      </w:pPr>
    </w:p>
    <w:p w14:paraId="509779D8">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370459C0">
      <w:pPr>
        <w:pStyle w:val="16"/>
        <w:ind w:firstLine="630" w:firstLineChars="300"/>
      </w:pPr>
    </w:p>
    <w:p w14:paraId="27FEE4AC">
      <w:pPr>
        <w:pStyle w:val="16"/>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5F9C1ABE">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3B552218">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7</w:t>
      </w:r>
    </w:p>
    <w:p w14:paraId="0B40FA6D">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9</w:t>
      </w:r>
    </w:p>
    <w:p w14:paraId="5E055682">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14</w:t>
      </w:r>
    </w:p>
    <w:p w14:paraId="44D49686">
      <w:pPr>
        <w:spacing w:line="360" w:lineRule="auto"/>
        <w:contextualSpacing/>
        <w:jc w:val="center"/>
        <w:rPr>
          <w:rFonts w:ascii="宋体" w:hAnsi="宋体"/>
          <w:bCs/>
          <w:sz w:val="24"/>
        </w:rPr>
      </w:pPr>
    </w:p>
    <w:p w14:paraId="26586A9E">
      <w:pPr>
        <w:rPr>
          <w:rFonts w:ascii="宋体" w:hAnsi="宋体"/>
          <w:sz w:val="30"/>
          <w:szCs w:val="30"/>
        </w:rPr>
      </w:pPr>
    </w:p>
    <w:p w14:paraId="33135102">
      <w:pPr>
        <w:spacing w:line="360" w:lineRule="auto"/>
        <w:jc w:val="center"/>
      </w:pPr>
      <w:bookmarkStart w:id="1" w:name="_Toc39744251"/>
    </w:p>
    <w:p w14:paraId="58DF1F9D">
      <w:pPr>
        <w:spacing w:line="360" w:lineRule="auto"/>
        <w:jc w:val="center"/>
      </w:pPr>
    </w:p>
    <w:p w14:paraId="5E9976AF">
      <w:pPr>
        <w:spacing w:line="360" w:lineRule="auto"/>
        <w:jc w:val="center"/>
      </w:pPr>
    </w:p>
    <w:p w14:paraId="5415550A">
      <w:pPr>
        <w:spacing w:line="360" w:lineRule="auto"/>
        <w:jc w:val="center"/>
      </w:pPr>
    </w:p>
    <w:p w14:paraId="458C3B93">
      <w:pPr>
        <w:spacing w:line="360" w:lineRule="auto"/>
        <w:jc w:val="center"/>
      </w:pPr>
    </w:p>
    <w:p w14:paraId="31A09E49">
      <w:pPr>
        <w:spacing w:line="360" w:lineRule="auto"/>
        <w:jc w:val="center"/>
      </w:pPr>
    </w:p>
    <w:p w14:paraId="6BE23CB3">
      <w:pPr>
        <w:spacing w:line="360" w:lineRule="auto"/>
        <w:jc w:val="center"/>
      </w:pPr>
    </w:p>
    <w:p w14:paraId="35A94490">
      <w:pPr>
        <w:spacing w:line="360" w:lineRule="auto"/>
        <w:jc w:val="center"/>
      </w:pPr>
    </w:p>
    <w:p w14:paraId="4BB6F39D">
      <w:pPr>
        <w:spacing w:line="360" w:lineRule="auto"/>
        <w:jc w:val="center"/>
      </w:pPr>
    </w:p>
    <w:p w14:paraId="726D89E5">
      <w:pPr>
        <w:spacing w:line="360" w:lineRule="auto"/>
        <w:jc w:val="center"/>
      </w:pPr>
    </w:p>
    <w:p w14:paraId="3A034E04">
      <w:pPr>
        <w:spacing w:line="360" w:lineRule="auto"/>
        <w:jc w:val="center"/>
      </w:pPr>
    </w:p>
    <w:p w14:paraId="089412C4">
      <w:pPr>
        <w:spacing w:line="360" w:lineRule="auto"/>
        <w:jc w:val="center"/>
      </w:pPr>
    </w:p>
    <w:p w14:paraId="326338E5">
      <w:pPr>
        <w:spacing w:line="360" w:lineRule="auto"/>
        <w:jc w:val="center"/>
      </w:pPr>
    </w:p>
    <w:p w14:paraId="70502A6B">
      <w:pPr>
        <w:spacing w:line="360" w:lineRule="auto"/>
        <w:jc w:val="center"/>
      </w:pPr>
    </w:p>
    <w:p w14:paraId="2AF00980">
      <w:pPr>
        <w:spacing w:line="360" w:lineRule="auto"/>
        <w:jc w:val="center"/>
      </w:pPr>
    </w:p>
    <w:p w14:paraId="6D8996BF">
      <w:pPr>
        <w:spacing w:line="360" w:lineRule="auto"/>
        <w:jc w:val="center"/>
      </w:pPr>
    </w:p>
    <w:p w14:paraId="5C1749DA">
      <w:pPr>
        <w:spacing w:line="360" w:lineRule="auto"/>
        <w:jc w:val="center"/>
      </w:pPr>
    </w:p>
    <w:p w14:paraId="57774CA8">
      <w:pPr>
        <w:spacing w:line="360" w:lineRule="auto"/>
        <w:jc w:val="center"/>
      </w:pPr>
    </w:p>
    <w:p w14:paraId="0A90B6E4">
      <w:pPr>
        <w:spacing w:line="360" w:lineRule="auto"/>
        <w:jc w:val="center"/>
        <w:rPr>
          <w:rFonts w:ascii="宋体" w:hAnsi="宋体" w:cs="宋体"/>
          <w:b/>
          <w:sz w:val="28"/>
          <w:szCs w:val="20"/>
        </w:rPr>
      </w:pPr>
    </w:p>
    <w:p w14:paraId="128462F3">
      <w:pPr>
        <w:jc w:val="center"/>
        <w:rPr>
          <w:b/>
          <w:sz w:val="32"/>
          <w:szCs w:val="32"/>
        </w:rPr>
      </w:pPr>
      <w:r>
        <w:rPr>
          <w:rFonts w:hint="eastAsia"/>
          <w:b/>
          <w:sz w:val="32"/>
          <w:szCs w:val="32"/>
        </w:rPr>
        <w:t>一、</w:t>
      </w:r>
      <w:bookmarkEnd w:id="1"/>
      <w:r>
        <w:rPr>
          <w:rFonts w:hint="eastAsia"/>
          <w:b/>
          <w:sz w:val="32"/>
          <w:szCs w:val="32"/>
        </w:rPr>
        <w:t>招标邀请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75B3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2D5C8AA">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0EBED2A">
            <w:pPr>
              <w:jc w:val="center"/>
              <w:rPr>
                <w:rFonts w:eastAsia="楷体"/>
                <w:b/>
                <w:bCs/>
                <w:sz w:val="44"/>
                <w:szCs w:val="44"/>
              </w:rPr>
            </w:pPr>
            <w:r>
              <w:rPr>
                <w:rFonts w:hint="eastAsia" w:ascii="宋体" w:hAnsi="宋体"/>
                <w:szCs w:val="21"/>
              </w:rPr>
              <w:t>扬州大学附属医院医学整形美容科、皮肤科、烧伤外科一体化线上推广宣传项目</w:t>
            </w:r>
          </w:p>
        </w:tc>
      </w:tr>
      <w:tr w14:paraId="20E6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6805351">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73E63C7">
            <w:pPr>
              <w:rPr>
                <w:rFonts w:ascii="宋体" w:hAnsi="宋体"/>
                <w:b/>
                <w:szCs w:val="21"/>
              </w:rPr>
            </w:pPr>
            <w:r>
              <w:rPr>
                <w:rFonts w:hint="eastAsia" w:ascii="宋体" w:hAnsi="宋体"/>
                <w:b/>
                <w:szCs w:val="21"/>
              </w:rPr>
              <w:t>扬州大学附属医院</w:t>
            </w:r>
          </w:p>
        </w:tc>
      </w:tr>
      <w:tr w14:paraId="70A8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68FC6591">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564CD187">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766C4903">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0DB94D25">
            <w:pPr>
              <w:jc w:val="center"/>
              <w:rPr>
                <w:rFonts w:ascii="宋体" w:hAnsi="宋体"/>
                <w:szCs w:val="21"/>
              </w:rPr>
            </w:pPr>
            <w:r>
              <w:rPr>
                <w:rFonts w:hint="eastAsia" w:ascii="宋体" w:hAnsi="宋体"/>
                <w:szCs w:val="21"/>
              </w:rPr>
              <w:t>合 格</w:t>
            </w:r>
          </w:p>
        </w:tc>
      </w:tr>
      <w:tr w14:paraId="03B2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2FE6DC54">
            <w:pPr>
              <w:jc w:val="center"/>
              <w:rPr>
                <w:rFonts w:ascii="宋体" w:hAnsi="宋体"/>
                <w:szCs w:val="21"/>
              </w:rPr>
            </w:pPr>
            <w:r>
              <w:rPr>
                <w:rFonts w:hint="eastAsia" w:ascii="宋体" w:hAnsi="宋体"/>
                <w:szCs w:val="21"/>
              </w:rPr>
              <w:t>院内公开</w:t>
            </w:r>
            <w:r>
              <w:rPr>
                <w:rFonts w:hint="eastAsia" w:ascii="宋体" w:hAnsi="宋体"/>
                <w:szCs w:val="21"/>
                <w:lang w:eastAsia="zh-CN"/>
              </w:rPr>
              <w:t>谈判</w:t>
            </w: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04C5D5FF">
            <w:pPr>
              <w:spacing w:line="320" w:lineRule="exact"/>
              <w:rPr>
                <w:rFonts w:ascii="宋体" w:hAnsi="宋体"/>
                <w:szCs w:val="21"/>
              </w:rPr>
            </w:pPr>
            <w:r>
              <w:rPr>
                <w:rFonts w:hint="eastAsia" w:ascii="宋体" w:hAnsi="宋体"/>
                <w:szCs w:val="21"/>
                <w:lang w:val="en-US" w:eastAsia="zh-CN"/>
              </w:rPr>
              <w:t>28</w:t>
            </w:r>
            <w:r>
              <w:rPr>
                <w:rFonts w:hint="eastAsia" w:ascii="宋体" w:hAnsi="宋体"/>
                <w:szCs w:val="21"/>
              </w:rPr>
              <w:t>万元</w:t>
            </w:r>
          </w:p>
        </w:tc>
        <w:tc>
          <w:tcPr>
            <w:tcW w:w="885" w:type="pct"/>
            <w:gridSpan w:val="2"/>
            <w:tcBorders>
              <w:top w:val="single" w:color="auto" w:sz="4" w:space="0"/>
              <w:left w:val="single" w:color="auto" w:sz="4" w:space="0"/>
              <w:right w:val="single" w:color="auto" w:sz="4" w:space="0"/>
            </w:tcBorders>
            <w:vAlign w:val="center"/>
          </w:tcPr>
          <w:p w14:paraId="3F10C77F">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6EFAFBAD">
            <w:pPr>
              <w:jc w:val="center"/>
              <w:rPr>
                <w:rFonts w:ascii="宋体" w:hAnsi="宋体"/>
                <w:szCs w:val="21"/>
              </w:rPr>
            </w:pPr>
            <w:r>
              <w:rPr>
                <w:rFonts w:hint="eastAsia" w:ascii="宋体" w:hAnsi="宋体"/>
                <w:szCs w:val="21"/>
              </w:rPr>
              <w:t>/</w:t>
            </w:r>
          </w:p>
        </w:tc>
      </w:tr>
      <w:tr w14:paraId="3286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8FBCA81">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A6A3479">
            <w:pPr>
              <w:spacing w:line="360" w:lineRule="auto"/>
              <w:rPr>
                <w:rFonts w:ascii="宋体" w:hAnsi="宋体"/>
                <w:szCs w:val="21"/>
              </w:rPr>
            </w:pPr>
            <w:r>
              <w:rPr>
                <w:rFonts w:hint="eastAsia" w:ascii="宋体" w:hAnsi="宋体"/>
                <w:szCs w:val="21"/>
              </w:rPr>
              <w:t>投标文件正本1份，副本</w:t>
            </w:r>
            <w:r>
              <w:rPr>
                <w:rFonts w:hint="eastAsia" w:ascii="宋体" w:hAnsi="宋体"/>
                <w:szCs w:val="21"/>
                <w:lang w:val="en-US" w:eastAsia="zh-CN"/>
              </w:rPr>
              <w:t>4</w:t>
            </w:r>
            <w:r>
              <w:rPr>
                <w:rFonts w:hint="eastAsia" w:ascii="宋体" w:hAnsi="宋体"/>
                <w:szCs w:val="21"/>
              </w:rPr>
              <w:t>份；所有投标文件的封面及封袋上都必须加盖投标单位法人公章及其法定代表人或授权委托人的签字。</w:t>
            </w:r>
            <w:bookmarkStart w:id="7" w:name="_GoBack"/>
            <w:bookmarkEnd w:id="7"/>
          </w:p>
        </w:tc>
      </w:tr>
      <w:tr w14:paraId="5F78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00F36861">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E0D9249">
            <w:pPr>
              <w:spacing w:line="360" w:lineRule="auto"/>
              <w:rPr>
                <w:rFonts w:ascii="宋体" w:hAnsi="宋体"/>
                <w:szCs w:val="21"/>
                <w:highlight w:val="yellow"/>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年3月1</w:t>
            </w:r>
            <w:r>
              <w:rPr>
                <w:rFonts w:hint="eastAsia" w:ascii="宋体" w:hAnsi="宋体"/>
                <w:szCs w:val="21"/>
                <w:lang w:val="en-US" w:eastAsia="zh-CN"/>
              </w:rPr>
              <w:t>5</w:t>
            </w:r>
            <w:r>
              <w:rPr>
                <w:rFonts w:hint="eastAsia" w:ascii="宋体" w:hAnsi="宋体"/>
                <w:szCs w:val="21"/>
              </w:rPr>
              <w:t>日17：</w:t>
            </w:r>
            <w:r>
              <w:rPr>
                <w:rFonts w:hint="eastAsia" w:ascii="宋体" w:hAnsi="宋体"/>
                <w:szCs w:val="21"/>
                <w:lang w:val="en-US" w:eastAsia="zh-CN"/>
              </w:rPr>
              <w:t>3</w:t>
            </w:r>
            <w:r>
              <w:rPr>
                <w:rFonts w:hint="eastAsia" w:ascii="宋体" w:hAnsi="宋体"/>
                <w:szCs w:val="21"/>
              </w:rPr>
              <w:t>0</w:t>
            </w:r>
          </w:p>
        </w:tc>
      </w:tr>
      <w:tr w14:paraId="3B81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08B4F32B">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CCD4F3E">
            <w:pPr>
              <w:spacing w:line="360" w:lineRule="auto"/>
              <w:rPr>
                <w:rFonts w:ascii="宋体" w:hAnsi="宋体"/>
                <w:szCs w:val="21"/>
              </w:rPr>
            </w:pPr>
            <w:r>
              <w:rPr>
                <w:rFonts w:hint="eastAsia" w:ascii="宋体" w:hAnsi="宋体"/>
                <w:szCs w:val="21"/>
              </w:rPr>
              <w:t>扬大附院西区行政楼407办公室</w:t>
            </w:r>
          </w:p>
        </w:tc>
      </w:tr>
      <w:tr w14:paraId="7D22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57E888E">
            <w:pPr>
              <w:spacing w:line="360" w:lineRule="auto"/>
              <w:jc w:val="center"/>
              <w:rPr>
                <w:rFonts w:ascii="宋体" w:hAnsi="宋体" w:eastAsia="微软雅黑"/>
                <w:szCs w:val="21"/>
              </w:rPr>
            </w:pPr>
            <w:r>
              <w:rPr>
                <w:rFonts w:hint="eastAsia" w:ascii="宋体" w:hAnsi="宋体"/>
                <w:szCs w:val="21"/>
              </w:rPr>
              <w:t>开标时间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271E0CE2">
            <w:pPr>
              <w:spacing w:line="360" w:lineRule="auto"/>
              <w:jc w:val="center"/>
              <w:rPr>
                <w:rFonts w:ascii="宋体" w:hAnsi="宋体"/>
                <w:b/>
                <w:szCs w:val="21"/>
              </w:rPr>
            </w:pPr>
            <w:r>
              <w:rPr>
                <w:rFonts w:hint="eastAsia" w:ascii="宋体" w:hAnsi="宋体"/>
                <w:b/>
                <w:szCs w:val="21"/>
              </w:rPr>
              <w:t>202</w:t>
            </w:r>
            <w:r>
              <w:rPr>
                <w:rFonts w:hint="eastAsia" w:ascii="宋体" w:hAnsi="宋体"/>
                <w:b/>
                <w:szCs w:val="21"/>
                <w:lang w:val="en-US" w:eastAsia="zh-CN"/>
              </w:rPr>
              <w:t>6</w:t>
            </w:r>
            <w:r>
              <w:rPr>
                <w:rFonts w:hint="eastAsia" w:ascii="宋体" w:hAnsi="宋体"/>
                <w:b/>
                <w:szCs w:val="21"/>
              </w:rPr>
              <w:t>.3.1</w:t>
            </w:r>
            <w:r>
              <w:rPr>
                <w:rFonts w:hint="eastAsia" w:ascii="宋体" w:hAnsi="宋体"/>
                <w:b/>
                <w:szCs w:val="21"/>
                <w:lang w:val="en-US" w:eastAsia="zh-CN"/>
              </w:rPr>
              <w:t>6</w:t>
            </w:r>
            <w:r>
              <w:rPr>
                <w:rFonts w:hint="eastAsia" w:ascii="宋体" w:hAnsi="宋体"/>
                <w:b/>
                <w:szCs w:val="21"/>
              </w:rPr>
              <w:t xml:space="preserve">  </w:t>
            </w:r>
            <w:r>
              <w:rPr>
                <w:rFonts w:hint="eastAsia" w:ascii="宋体" w:hAnsi="宋体"/>
                <w:b/>
                <w:szCs w:val="21"/>
                <w:lang w:val="en-US" w:eastAsia="zh-CN"/>
              </w:rPr>
              <w:t>9</w:t>
            </w:r>
            <w:r>
              <w:rPr>
                <w:rFonts w:hint="eastAsia" w:ascii="宋体" w:hAnsi="宋体"/>
                <w:b/>
                <w:szCs w:val="21"/>
              </w:rPr>
              <w:t>：30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70AC8B9B">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460F9485">
            <w:pPr>
              <w:spacing w:line="360" w:lineRule="auto"/>
              <w:jc w:val="center"/>
              <w:rPr>
                <w:rFonts w:asciiTheme="minorEastAsia" w:hAnsiTheme="minorEastAsia" w:eastAsiaTheme="minorEastAsia"/>
                <w:szCs w:val="21"/>
              </w:rPr>
            </w:pPr>
            <w:r>
              <w:rPr>
                <w:rFonts w:hint="eastAsia" w:ascii="宋体" w:hAnsi="宋体"/>
                <w:b/>
                <w:szCs w:val="21"/>
              </w:rPr>
              <w:t>扬大附院西区行政楼407室</w:t>
            </w:r>
          </w:p>
        </w:tc>
      </w:tr>
      <w:tr w14:paraId="1699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9D0151B">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5737AD7">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0CF0F54A">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6BE2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5573ED4">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1DAE2ABB">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51511B46">
      <w:pPr>
        <w:ind w:firstLine="4176" w:firstLineChars="1300"/>
        <w:rPr>
          <w:b/>
          <w:sz w:val="32"/>
          <w:szCs w:val="32"/>
        </w:rPr>
      </w:pPr>
      <w:bookmarkStart w:id="2" w:name="_Toc39744253"/>
    </w:p>
    <w:p w14:paraId="25616E7A">
      <w:pPr>
        <w:ind w:firstLine="4176" w:firstLineChars="1300"/>
        <w:rPr>
          <w:b/>
          <w:sz w:val="32"/>
          <w:szCs w:val="32"/>
        </w:rPr>
      </w:pPr>
    </w:p>
    <w:p w14:paraId="3A2C7F35">
      <w:pPr>
        <w:ind w:firstLine="4176" w:firstLineChars="1300"/>
        <w:rPr>
          <w:b/>
          <w:sz w:val="32"/>
          <w:szCs w:val="32"/>
        </w:rPr>
      </w:pPr>
    </w:p>
    <w:p w14:paraId="32708C6C">
      <w:pPr>
        <w:ind w:firstLine="4176" w:firstLineChars="1300"/>
        <w:rPr>
          <w:b/>
          <w:sz w:val="32"/>
          <w:szCs w:val="32"/>
        </w:rPr>
      </w:pPr>
    </w:p>
    <w:p w14:paraId="10739B14">
      <w:pPr>
        <w:ind w:firstLine="4176" w:firstLineChars="1300"/>
        <w:rPr>
          <w:b/>
          <w:sz w:val="32"/>
          <w:szCs w:val="32"/>
        </w:rPr>
      </w:pPr>
    </w:p>
    <w:p w14:paraId="751B6CA0">
      <w:pPr>
        <w:ind w:firstLine="4176" w:firstLineChars="1300"/>
        <w:rPr>
          <w:b/>
          <w:sz w:val="32"/>
          <w:szCs w:val="32"/>
        </w:rPr>
      </w:pPr>
    </w:p>
    <w:p w14:paraId="5AC616E6">
      <w:pPr>
        <w:ind w:firstLine="4176" w:firstLineChars="1300"/>
        <w:rPr>
          <w:b/>
          <w:sz w:val="32"/>
          <w:szCs w:val="32"/>
        </w:rPr>
      </w:pPr>
    </w:p>
    <w:p w14:paraId="766CDA0C">
      <w:pPr>
        <w:ind w:firstLine="4176" w:firstLineChars="1300"/>
        <w:rPr>
          <w:b/>
          <w:sz w:val="32"/>
          <w:szCs w:val="32"/>
        </w:rPr>
      </w:pPr>
    </w:p>
    <w:p w14:paraId="6B38727D">
      <w:pPr>
        <w:ind w:firstLine="4176" w:firstLineChars="1300"/>
        <w:rPr>
          <w:b/>
          <w:sz w:val="32"/>
          <w:szCs w:val="32"/>
        </w:rPr>
      </w:pPr>
    </w:p>
    <w:p w14:paraId="01B3C4BD">
      <w:pPr>
        <w:pStyle w:val="28"/>
      </w:pPr>
    </w:p>
    <w:p w14:paraId="4BA40C04">
      <w:pPr>
        <w:jc w:val="center"/>
        <w:rPr>
          <w:b/>
          <w:sz w:val="32"/>
          <w:szCs w:val="32"/>
        </w:rPr>
      </w:pPr>
      <w:r>
        <w:rPr>
          <w:rFonts w:hint="eastAsia"/>
          <w:b/>
          <w:sz w:val="32"/>
          <w:szCs w:val="32"/>
        </w:rPr>
        <w:t>二、项目需求</w:t>
      </w:r>
    </w:p>
    <w:p w14:paraId="44452A0E">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项目概况</w:t>
      </w:r>
    </w:p>
    <w:p w14:paraId="6815067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项目名称</w:t>
      </w:r>
      <w:r>
        <w:rPr>
          <w:rFonts w:hint="eastAsia" w:asciiTheme="minorEastAsia" w:hAnsiTheme="minorEastAsia" w:eastAsiaTheme="minorEastAsia" w:cstheme="minorEastAsia"/>
          <w:sz w:val="21"/>
          <w:szCs w:val="21"/>
        </w:rPr>
        <w:t>：扬州大学附属医院医学整形美容科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皮肤科、烧伤外科一体化线上推广宣传项目</w:t>
      </w:r>
    </w:p>
    <w:p w14:paraId="4050E8A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项目预算</w:t>
      </w:r>
      <w:r>
        <w:rPr>
          <w:rFonts w:hint="eastAsia" w:asciiTheme="minorEastAsia" w:hAnsiTheme="minorEastAsia" w:eastAsiaTheme="minorEastAsia" w:cstheme="minorEastAsia"/>
          <w:sz w:val="21"/>
          <w:szCs w:val="21"/>
        </w:rPr>
        <w:t>：人民币28万元/年（含税）</w:t>
      </w:r>
    </w:p>
    <w:p w14:paraId="083E1E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三</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服务期限</w:t>
      </w:r>
      <w:r>
        <w:rPr>
          <w:rFonts w:hint="eastAsia" w:asciiTheme="minorEastAsia" w:hAnsiTheme="minorEastAsia" w:eastAsiaTheme="minorEastAsia" w:cstheme="minorEastAsia"/>
          <w:sz w:val="21"/>
          <w:szCs w:val="21"/>
        </w:rPr>
        <w:t>：自合同签订之日起一年</w:t>
      </w:r>
    </w:p>
    <w:p w14:paraId="749F149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项目定位</w:t>
      </w:r>
      <w:r>
        <w:rPr>
          <w:rFonts w:hint="eastAsia" w:asciiTheme="minorEastAsia" w:hAnsiTheme="minorEastAsia" w:eastAsiaTheme="minorEastAsia" w:cstheme="minorEastAsia"/>
          <w:sz w:val="21"/>
          <w:szCs w:val="21"/>
        </w:rPr>
        <w:t>：本项目为院内专科品牌宣传的探索性试点项目，核心任务聚焦于专科品牌形象塑造与专业价值传播，旨在通过权威、专业的科普内容建立公众认知与信任，为未来全院专科宣传推广积累实践经验。</w:t>
      </w:r>
    </w:p>
    <w:p w14:paraId="35D4DE0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五</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采购方式</w:t>
      </w:r>
      <w:r>
        <w:rPr>
          <w:rFonts w:hint="eastAsia" w:asciiTheme="minorEastAsia" w:hAnsiTheme="minorEastAsia" w:eastAsiaTheme="minorEastAsia" w:cstheme="minorEastAsia"/>
          <w:sz w:val="21"/>
          <w:szCs w:val="21"/>
        </w:rPr>
        <w:t>：公开招标</w:t>
      </w:r>
    </w:p>
    <w:p w14:paraId="54EF99E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六</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项目实施主体</w:t>
      </w:r>
      <w:r>
        <w:rPr>
          <w:rFonts w:hint="eastAsia" w:asciiTheme="minorEastAsia" w:hAnsiTheme="minorEastAsia" w:eastAsiaTheme="minorEastAsia" w:cstheme="minorEastAsia"/>
          <w:sz w:val="21"/>
          <w:szCs w:val="21"/>
        </w:rPr>
        <w:t>：由扬州大学附属医院宣传部、采购中心及相关临床科室（医学整形美容科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皮肤科、烧伤外科）共同协作实施。</w:t>
      </w:r>
    </w:p>
    <w:p w14:paraId="44C922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项目需求（招标范围）</w:t>
      </w:r>
    </w:p>
    <w:p w14:paraId="539534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供应商需为扬州大学附属医院在抖音、小红书平台提供一体化线上营销服务，具体需求如下：</w:t>
      </w:r>
    </w:p>
    <w:p w14:paraId="3C741E8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服务目标：</w:t>
      </w:r>
    </w:p>
    <w:p w14:paraId="43F0BA2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b/>
          <w:bCs/>
          <w:sz w:val="21"/>
          <w:szCs w:val="21"/>
        </w:rPr>
        <w:t>品牌建设</w:t>
      </w:r>
      <w:r>
        <w:rPr>
          <w:rFonts w:hint="eastAsia" w:asciiTheme="minorEastAsia" w:hAnsiTheme="minorEastAsia" w:eastAsiaTheme="minorEastAsia" w:cstheme="minorEastAsia"/>
          <w:sz w:val="21"/>
          <w:szCs w:val="21"/>
        </w:rPr>
        <w:t>：塑造并提升“扬州大学附属医院”在皮肤健康、烧伤修复、医学美容领域的权威、专业、安全的公立医院品牌形象。</w:t>
      </w:r>
    </w:p>
    <w:p w14:paraId="304DCBA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用户教育</w:t>
      </w:r>
      <w:r>
        <w:rPr>
          <w:rFonts w:hint="eastAsia" w:asciiTheme="minorEastAsia" w:hAnsiTheme="minorEastAsia" w:eastAsiaTheme="minorEastAsia" w:cstheme="minorEastAsia"/>
          <w:sz w:val="21"/>
          <w:szCs w:val="21"/>
        </w:rPr>
        <w:t>：普及科学的皮肤病防治、烧创伤康复、医学美容知识，传递理性、健康的变美理念。</w:t>
      </w:r>
    </w:p>
    <w:p w14:paraId="6B85383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专业价值传播</w:t>
      </w:r>
      <w:r>
        <w:rPr>
          <w:rFonts w:hint="eastAsia" w:asciiTheme="minorEastAsia" w:hAnsiTheme="minorEastAsia" w:eastAsiaTheme="minorEastAsia" w:cstheme="minorEastAsia"/>
          <w:sz w:val="21"/>
          <w:szCs w:val="21"/>
        </w:rPr>
        <w:t>：通过内容输出，展现医院科室的专业实力、专家风采、技术优势与人文关怀，强化专业价值认同。</w:t>
      </w:r>
    </w:p>
    <w:p w14:paraId="3618914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口碑与信任积累</w:t>
      </w:r>
      <w:r>
        <w:rPr>
          <w:rFonts w:hint="eastAsia" w:asciiTheme="minorEastAsia" w:hAnsiTheme="minorEastAsia" w:eastAsiaTheme="minorEastAsia" w:cstheme="minorEastAsia"/>
          <w:sz w:val="21"/>
          <w:szCs w:val="21"/>
        </w:rPr>
        <w:t>：建立科室及专家个人IP，积累线上口碑，增强医院公信力与社会影响力。</w:t>
      </w:r>
    </w:p>
    <w:p w14:paraId="17FE785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服务内容：</w:t>
      </w:r>
    </w:p>
    <w:p w14:paraId="7B0375A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b/>
          <w:bCs/>
          <w:sz w:val="21"/>
          <w:szCs w:val="21"/>
        </w:rPr>
        <w:t>平台账号建设与维护</w:t>
      </w:r>
      <w:r>
        <w:rPr>
          <w:rFonts w:hint="eastAsia" w:asciiTheme="minorEastAsia" w:hAnsiTheme="minorEastAsia" w:eastAsiaTheme="minorEastAsia" w:cstheme="minorEastAsia"/>
          <w:sz w:val="21"/>
          <w:szCs w:val="21"/>
        </w:rPr>
        <w:t>：负责完成1个抖音官方蓝V账号、1个小红书官方专业号及2个小红书矩阵账号的注册、认证、基础装修（头像、头图、简介等）及日常维护，确保视觉形象统一、专业。</w:t>
      </w:r>
    </w:p>
    <w:p w14:paraId="0D08A2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内容生产与发布</w:t>
      </w:r>
      <w:r>
        <w:rPr>
          <w:rFonts w:hint="eastAsia" w:asciiTheme="minorEastAsia" w:hAnsiTheme="minorEastAsia" w:eastAsiaTheme="minorEastAsia" w:cstheme="minorEastAsia"/>
          <w:sz w:val="21"/>
          <w:szCs w:val="21"/>
        </w:rPr>
        <w:t>：根据院方提供的科室与专家资源，策划并制作适合平台传播的原创内容，形式包括科普短视频、图文笔记、专家访谈、流程揭秘、人文故事等。</w:t>
      </w:r>
    </w:p>
    <w:p w14:paraId="5350D23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内容发布频次与总量</w:t>
      </w:r>
      <w:r>
        <w:rPr>
          <w:rFonts w:hint="eastAsia" w:asciiTheme="minorEastAsia" w:hAnsiTheme="minorEastAsia" w:eastAsiaTheme="minorEastAsia" w:cstheme="minorEastAsia"/>
          <w:sz w:val="21"/>
          <w:szCs w:val="21"/>
        </w:rPr>
        <w:t>：保障抖音平台每周更新不少于2条，小红书平台（主账号+矩阵账号）每周更新不少于2条。全年累计发布小红书图文不少于144条，各类短视频不少于48条（含专题视频与信息流切片视频）。</w:t>
      </w:r>
    </w:p>
    <w:p w14:paraId="40B1F31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内容策略与运营</w:t>
      </w:r>
      <w:r>
        <w:rPr>
          <w:rFonts w:hint="eastAsia" w:asciiTheme="minorEastAsia" w:hAnsiTheme="minorEastAsia" w:eastAsiaTheme="minorEastAsia" w:cstheme="minorEastAsia"/>
          <w:sz w:val="21"/>
          <w:szCs w:val="21"/>
        </w:rPr>
        <w:t>：制定详细的阶段化运营策略与内容规划。创建并运营相关话题，策划线上互动活动。负责账号日常发布、评论互动、私信回复及舆情监测。</w:t>
      </w:r>
    </w:p>
    <w:p w14:paraId="353A590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推广与扩散：</w:t>
      </w:r>
      <w:r>
        <w:rPr>
          <w:rFonts w:hint="eastAsia" w:asciiTheme="minorEastAsia" w:hAnsiTheme="minorEastAsia" w:eastAsiaTheme="minorEastAsia" w:cstheme="minorEastAsia"/>
          <w:sz w:val="21"/>
          <w:szCs w:val="21"/>
        </w:rPr>
        <w:t>提供付费推广（如抖音抖加、小红书聚光）的策略建议与执行服务（费用包含在总预算内，需单独列明预算占比）。常态化建联本地生活、健康类达人，年度内完成不少于10次扬州本地大V联动，发布不少于50条素人笔记，策划并执行不少于4次话题运营。</w:t>
      </w:r>
    </w:p>
    <w:p w14:paraId="5BA89BC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合规与审核管理：</w:t>
      </w:r>
      <w:r>
        <w:rPr>
          <w:rFonts w:hint="eastAsia" w:asciiTheme="minorEastAsia" w:hAnsiTheme="minorEastAsia" w:eastAsiaTheme="minorEastAsia" w:cstheme="minorEastAsia"/>
          <w:sz w:val="21"/>
          <w:szCs w:val="21"/>
        </w:rPr>
        <w:t>建立严格的内容审核机制，所有发布内容必须预先提交院方宣传部审核，审核通过后方可发布。严格遵守《医疗广告管理办法》《网络信息内容生态治理规定》及各平台规则，确保所有内容合法合规，绝不出现承诺疗效、夸大宣传、违规比较等情形，规避法律与封号风险。</w:t>
      </w:r>
    </w:p>
    <w:p w14:paraId="44B0689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7.</w:t>
      </w:r>
      <w:r>
        <w:rPr>
          <w:rFonts w:hint="eastAsia" w:asciiTheme="minorEastAsia" w:hAnsiTheme="minorEastAsia" w:eastAsiaTheme="minorEastAsia" w:cstheme="minorEastAsia"/>
          <w:b/>
          <w:bCs/>
          <w:sz w:val="21"/>
          <w:szCs w:val="21"/>
        </w:rPr>
        <w:t>数据服务与报告：</w:t>
      </w:r>
      <w:r>
        <w:rPr>
          <w:rFonts w:hint="eastAsia" w:asciiTheme="minorEastAsia" w:hAnsiTheme="minorEastAsia" w:eastAsiaTheme="minorEastAsia" w:cstheme="minorEastAsia"/>
          <w:sz w:val="21"/>
          <w:szCs w:val="21"/>
        </w:rPr>
        <w:t>每月第5个工作日前提供上月度运营数据报告，包括曝光量、互动量、粉丝增长、用户画像、投流效果及优化建议。每季度提供阶段策略总结与下季度优化调整方案。</w:t>
      </w:r>
    </w:p>
    <w:p w14:paraId="67C7DF0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三</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人员与团队要求</w:t>
      </w:r>
      <w:r>
        <w:rPr>
          <w:rFonts w:hint="eastAsia" w:asciiTheme="minorEastAsia" w:hAnsiTheme="minorEastAsia" w:eastAsiaTheme="minorEastAsia" w:cstheme="minorEastAsia"/>
          <w:sz w:val="21"/>
          <w:szCs w:val="21"/>
        </w:rPr>
        <w:t>：供应商必须为本项目配置固定的专职服务团队，团队需包含策划、文案、设计、拍摄、剪辑、运营、数据分析等职能，并设立明确的合规审核流程或岗位。</w:t>
      </w:r>
    </w:p>
    <w:p w14:paraId="34B2783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lang w:eastAsia="zh-CN"/>
        </w:rPr>
        <w:t>）交付成果：</w:t>
      </w:r>
      <w:r>
        <w:rPr>
          <w:rFonts w:hint="eastAsia" w:asciiTheme="minorEastAsia" w:hAnsiTheme="minorEastAsia" w:eastAsiaTheme="minorEastAsia" w:cstheme="minorEastAsia"/>
          <w:sz w:val="21"/>
          <w:szCs w:val="21"/>
        </w:rPr>
        <w:t>完成4个指定平台的账号认证与基础装修。</w:t>
      </w:r>
    </w:p>
    <w:p w14:paraId="51117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按约定数量与质量完成全年内容生产与发布。按月提交运营月报，按季提交策略优化方案。完成合同约定的达人联动、素人笔记、话题运营等推广活动。</w:t>
      </w:r>
    </w:p>
    <w:p w14:paraId="78C800D0">
      <w:pPr>
        <w:jc w:val="center"/>
        <w:rPr>
          <w:b/>
          <w:sz w:val="32"/>
          <w:szCs w:val="32"/>
        </w:rPr>
      </w:pPr>
    </w:p>
    <w:p w14:paraId="03DFEA93">
      <w:pPr>
        <w:spacing w:line="360" w:lineRule="auto"/>
        <w:ind w:firstLine="562" w:firstLineChars="200"/>
        <w:outlineLvl w:val="2"/>
        <w:rPr>
          <w:rFonts w:ascii="宋体" w:hAnsi="宋体" w:cs="宋体"/>
          <w:b/>
          <w:kern w:val="0"/>
          <w:sz w:val="28"/>
          <w:szCs w:val="28"/>
        </w:rPr>
      </w:pPr>
      <w:r>
        <w:rPr>
          <w:rFonts w:hint="eastAsia" w:ascii="宋体" w:hAnsi="宋体" w:cs="宋体"/>
          <w:b/>
          <w:kern w:val="0"/>
          <w:sz w:val="28"/>
          <w:szCs w:val="28"/>
        </w:rPr>
        <w:t>六、评分标准</w:t>
      </w:r>
    </w:p>
    <w:tbl>
      <w:tblPr>
        <w:tblStyle w:val="22"/>
        <w:tblW w:w="9145" w:type="dxa"/>
        <w:jc w:val="center"/>
        <w:tblLayout w:type="fixed"/>
        <w:tblCellMar>
          <w:top w:w="0" w:type="dxa"/>
          <w:left w:w="0" w:type="dxa"/>
          <w:bottom w:w="0" w:type="dxa"/>
          <w:right w:w="0" w:type="dxa"/>
        </w:tblCellMar>
      </w:tblPr>
      <w:tblGrid>
        <w:gridCol w:w="834"/>
        <w:gridCol w:w="8311"/>
      </w:tblGrid>
      <w:tr w14:paraId="0D3FF0EB">
        <w:tblPrEx>
          <w:tblCellMar>
            <w:top w:w="0" w:type="dxa"/>
            <w:left w:w="0" w:type="dxa"/>
            <w:bottom w:w="0" w:type="dxa"/>
            <w:right w:w="0" w:type="dxa"/>
          </w:tblCellMar>
        </w:tblPrEx>
        <w:trPr>
          <w:trHeight w:val="267"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14:paraId="4F6364FD">
            <w:pPr>
              <w:jc w:val="center"/>
              <w:rPr>
                <w:rStyle w:val="64"/>
                <w:rFonts w:ascii="宋体" w:hAnsi="宋体" w:cs="宋体"/>
                <w:szCs w:val="21"/>
              </w:rPr>
            </w:pPr>
            <w:r>
              <w:rPr>
                <w:rStyle w:val="64"/>
                <w:rFonts w:hint="eastAsia" w:ascii="宋体" w:hAnsi="宋体" w:cs="宋体"/>
                <w:szCs w:val="21"/>
              </w:rPr>
              <w:t>项目</w:t>
            </w:r>
          </w:p>
        </w:tc>
        <w:tc>
          <w:tcPr>
            <w:tcW w:w="8311" w:type="dxa"/>
            <w:tcBorders>
              <w:top w:val="single" w:color="000000" w:sz="4" w:space="0"/>
              <w:left w:val="nil"/>
              <w:bottom w:val="single" w:color="000000" w:sz="4" w:space="0"/>
              <w:right w:val="single" w:color="000000" w:sz="4" w:space="0"/>
            </w:tcBorders>
            <w:vAlign w:val="center"/>
          </w:tcPr>
          <w:p w14:paraId="6A017771">
            <w:pPr>
              <w:jc w:val="center"/>
              <w:rPr>
                <w:rStyle w:val="64"/>
                <w:rFonts w:ascii="宋体" w:hAnsi="宋体" w:cs="宋体"/>
                <w:szCs w:val="21"/>
              </w:rPr>
            </w:pPr>
            <w:r>
              <w:rPr>
                <w:rStyle w:val="64"/>
                <w:rFonts w:hint="eastAsia" w:ascii="宋体" w:hAnsi="宋体" w:cs="宋体"/>
                <w:szCs w:val="21"/>
              </w:rPr>
              <w:t>评分标准</w:t>
            </w:r>
          </w:p>
        </w:tc>
      </w:tr>
      <w:tr w14:paraId="589FAA6D">
        <w:tblPrEx>
          <w:tblCellMar>
            <w:top w:w="0" w:type="dxa"/>
            <w:left w:w="0" w:type="dxa"/>
            <w:bottom w:w="0" w:type="dxa"/>
            <w:right w:w="0" w:type="dxa"/>
          </w:tblCellMar>
        </w:tblPrEx>
        <w:trPr>
          <w:trHeight w:val="510" w:hRule="atLeast"/>
          <w:jc w:val="center"/>
        </w:trPr>
        <w:tc>
          <w:tcPr>
            <w:tcW w:w="834" w:type="dxa"/>
            <w:tcBorders>
              <w:top w:val="nil"/>
              <w:left w:val="single" w:color="000000" w:sz="4" w:space="0"/>
              <w:bottom w:val="single" w:color="000000" w:sz="4" w:space="0"/>
              <w:right w:val="single" w:color="000000" w:sz="4" w:space="0"/>
            </w:tcBorders>
            <w:vAlign w:val="center"/>
          </w:tcPr>
          <w:p w14:paraId="66400FA0">
            <w:pPr>
              <w:jc w:val="center"/>
              <w:rPr>
                <w:rStyle w:val="64"/>
                <w:rFonts w:ascii="宋体" w:hAnsi="宋体" w:cs="宋体"/>
                <w:szCs w:val="21"/>
              </w:rPr>
            </w:pPr>
            <w:r>
              <w:rPr>
                <w:rStyle w:val="64"/>
                <w:rFonts w:hint="eastAsia" w:ascii="宋体" w:hAnsi="宋体" w:cs="宋体"/>
                <w:szCs w:val="21"/>
              </w:rPr>
              <w:t>价格（</w:t>
            </w:r>
            <w:r>
              <w:rPr>
                <w:rStyle w:val="64"/>
                <w:rFonts w:hint="eastAsia" w:ascii="宋体" w:hAnsi="宋体" w:cs="宋体"/>
                <w:szCs w:val="21"/>
                <w:lang w:val="en-US"/>
              </w:rPr>
              <w:t>25分</w:t>
            </w:r>
            <w:r>
              <w:rPr>
                <w:rStyle w:val="64"/>
                <w:rFonts w:hint="eastAsia" w:ascii="宋体" w:hAnsi="宋体" w:cs="宋体"/>
                <w:szCs w:val="21"/>
              </w:rPr>
              <w:t>）</w:t>
            </w:r>
          </w:p>
        </w:tc>
        <w:tc>
          <w:tcPr>
            <w:tcW w:w="8311" w:type="dxa"/>
            <w:tcBorders>
              <w:top w:val="nil"/>
              <w:left w:val="nil"/>
              <w:bottom w:val="single" w:color="000000" w:sz="4" w:space="0"/>
              <w:right w:val="single" w:color="000000" w:sz="4" w:space="0"/>
            </w:tcBorders>
            <w:vAlign w:val="center"/>
          </w:tcPr>
          <w:p w14:paraId="6191DE5A">
            <w:pPr>
              <w:jc w:val="left"/>
              <w:rPr>
                <w:rStyle w:val="64"/>
                <w:rFonts w:ascii="宋体" w:hAnsi="宋体" w:cs="宋体"/>
                <w:szCs w:val="21"/>
              </w:rPr>
            </w:pPr>
            <w:r>
              <w:rPr>
                <w:rFonts w:hint="eastAsia" w:ascii="宋体" w:hAnsi="宋体" w:cs="宋体"/>
                <w:szCs w:val="21"/>
              </w:rPr>
              <w:t>投标最低报价为评标基准价：满足招标文件要求且投标价格最低的投标报价为评标基准价，其价格分为满分。其他投标人的价格分统一按照下列公式计算：投标报价得分=(评标基准价/投标报价)×</w:t>
            </w:r>
            <w:r>
              <w:rPr>
                <w:rFonts w:hint="eastAsia" w:ascii="宋体" w:hAnsi="宋体" w:cs="宋体"/>
                <w:szCs w:val="21"/>
                <w:lang w:val="en-US" w:eastAsia="zh-CN"/>
              </w:rPr>
              <w:t>25</w:t>
            </w:r>
            <w:r>
              <w:rPr>
                <w:rFonts w:hint="eastAsia" w:ascii="宋体" w:hAnsi="宋体" w:cs="宋体"/>
                <w:szCs w:val="21"/>
              </w:rPr>
              <w:t>。</w:t>
            </w:r>
          </w:p>
        </w:tc>
      </w:tr>
      <w:tr w14:paraId="3BC0FBD7">
        <w:tblPrEx>
          <w:tblCellMar>
            <w:top w:w="0" w:type="dxa"/>
            <w:left w:w="0" w:type="dxa"/>
            <w:bottom w:w="0" w:type="dxa"/>
            <w:right w:w="0" w:type="dxa"/>
          </w:tblCellMar>
        </w:tblPrEx>
        <w:trPr>
          <w:trHeight w:val="51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14:paraId="65EF7671">
            <w:pPr>
              <w:jc w:val="center"/>
              <w:rPr>
                <w:rStyle w:val="64"/>
                <w:rFonts w:ascii="宋体" w:hAnsi="宋体" w:cs="宋体"/>
                <w:szCs w:val="21"/>
              </w:rPr>
            </w:pPr>
            <w:r>
              <w:rPr>
                <w:rStyle w:val="64"/>
                <w:rFonts w:hint="eastAsia" w:ascii="宋体" w:hAnsi="宋体" w:cs="宋体"/>
                <w:szCs w:val="21"/>
              </w:rPr>
              <w:t>项目理解与方案针对性（20分）</w:t>
            </w:r>
          </w:p>
        </w:tc>
        <w:tc>
          <w:tcPr>
            <w:tcW w:w="8311" w:type="dxa"/>
            <w:tcBorders>
              <w:top w:val="single" w:color="000000" w:sz="4" w:space="0"/>
              <w:left w:val="single" w:color="000000" w:sz="4" w:space="0"/>
              <w:bottom w:val="single" w:color="000000" w:sz="4" w:space="0"/>
              <w:right w:val="single" w:color="000000" w:sz="4" w:space="0"/>
            </w:tcBorders>
            <w:vAlign w:val="center"/>
          </w:tcPr>
          <w:p w14:paraId="2162851B">
            <w:pPr>
              <w:jc w:val="left"/>
              <w:rPr>
                <w:rFonts w:hint="default" w:ascii="宋体" w:hAnsi="宋体" w:eastAsia="宋体" w:cs="宋体"/>
                <w:szCs w:val="21"/>
                <w:lang w:val="en-US" w:eastAsia="zh-CN"/>
              </w:rPr>
            </w:pPr>
            <w:r>
              <w:rPr>
                <w:rFonts w:hint="eastAsia" w:ascii="宋体" w:hAnsi="宋体" w:cs="宋体"/>
                <w:szCs w:val="21"/>
              </w:rPr>
              <w:t>投标人对本项目“公立医院”“品牌宣传”“探索试点”定位的理解深度，方案是否能体现与私立医美机构的差异化竞争策略，以及对</w:t>
            </w:r>
            <w:r>
              <w:rPr>
                <w:rFonts w:hint="eastAsia" w:ascii="宋体" w:hAnsi="宋体" w:cs="宋体"/>
                <w:szCs w:val="21"/>
                <w:lang w:val="en-US" w:eastAsia="zh-CN"/>
              </w:rPr>
              <w:t>医学</w:t>
            </w:r>
            <w:r>
              <w:rPr>
                <w:rFonts w:hint="eastAsia" w:ascii="宋体" w:hAnsi="宋体" w:cs="宋体"/>
                <w:szCs w:val="21"/>
              </w:rPr>
              <w:t>整形美容科</w:t>
            </w:r>
            <w:r>
              <w:rPr>
                <w:rFonts w:hint="eastAsia" w:ascii="宋体" w:hAnsi="宋体" w:cs="宋体"/>
                <w:szCs w:val="21"/>
                <w:lang w:eastAsia="zh-CN"/>
              </w:rPr>
              <w:t>、</w:t>
            </w:r>
            <w:r>
              <w:rPr>
                <w:rFonts w:hint="eastAsia" w:ascii="宋体" w:hAnsi="宋体" w:cs="宋体"/>
                <w:szCs w:val="21"/>
              </w:rPr>
              <w:t>皮肤科、烧伤外科三科一体化宣传的融合规划。</w:t>
            </w:r>
            <w:r>
              <w:rPr>
                <w:rFonts w:hint="eastAsia" w:ascii="宋体" w:hAnsi="宋体" w:cs="宋体"/>
                <w:szCs w:val="21"/>
                <w:lang w:val="en-US" w:eastAsia="zh-CN"/>
              </w:rPr>
              <w:t>方案合理、可行性高，得20分；方案完整基本合理、具备可行性，得15分；方案合理性一般、可行性低，得10分；其他不得分。</w:t>
            </w:r>
          </w:p>
        </w:tc>
      </w:tr>
      <w:tr w14:paraId="01A1510C">
        <w:tblPrEx>
          <w:tblCellMar>
            <w:top w:w="0" w:type="dxa"/>
            <w:left w:w="0" w:type="dxa"/>
            <w:bottom w:w="0" w:type="dxa"/>
            <w:right w:w="0" w:type="dxa"/>
          </w:tblCellMar>
        </w:tblPrEx>
        <w:trPr>
          <w:trHeight w:val="51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14:paraId="46E931EF">
            <w:pPr>
              <w:jc w:val="center"/>
              <w:rPr>
                <w:rStyle w:val="64"/>
                <w:rFonts w:ascii="宋体" w:hAnsi="宋体" w:cs="宋体"/>
                <w:szCs w:val="21"/>
              </w:rPr>
            </w:pPr>
            <w:r>
              <w:rPr>
                <w:rStyle w:val="64"/>
                <w:rFonts w:hint="eastAsia" w:ascii="宋体" w:hAnsi="宋体" w:cs="宋体"/>
                <w:szCs w:val="21"/>
                <w:lang w:val="en-US" w:eastAsia="zh-CN"/>
              </w:rPr>
              <w:t>内容策划与创意能力（20分）</w:t>
            </w:r>
          </w:p>
        </w:tc>
        <w:tc>
          <w:tcPr>
            <w:tcW w:w="8311" w:type="dxa"/>
            <w:tcBorders>
              <w:top w:val="single" w:color="000000" w:sz="4" w:space="0"/>
              <w:left w:val="single" w:color="000000" w:sz="4" w:space="0"/>
              <w:bottom w:val="single" w:color="000000" w:sz="4" w:space="0"/>
              <w:right w:val="single" w:color="000000" w:sz="4" w:space="0"/>
            </w:tcBorders>
            <w:vAlign w:val="center"/>
          </w:tcPr>
          <w:p w14:paraId="38A193A2">
            <w:pPr>
              <w:jc w:val="left"/>
              <w:rPr>
                <w:rFonts w:hint="default" w:ascii="宋体" w:hAnsi="宋体" w:eastAsia="宋体" w:cs="宋体"/>
                <w:szCs w:val="21"/>
                <w:lang w:val="en-US" w:eastAsia="zh-CN"/>
              </w:rPr>
            </w:pPr>
            <w:r>
              <w:rPr>
                <w:rFonts w:hint="eastAsia" w:ascii="宋体" w:hAnsi="宋体" w:cs="宋体"/>
                <w:szCs w:val="21"/>
              </w:rPr>
              <w:t>详细评审其年度内容规划、栏目设计、创意表现形式（如医生IP打造、科普形式等）。“专业内容生活化表达”的能力是重点</w:t>
            </w:r>
            <w:r>
              <w:rPr>
                <w:rFonts w:hint="eastAsia" w:ascii="宋体" w:hAnsi="宋体" w:cs="宋体"/>
                <w:szCs w:val="21"/>
                <w:lang w:eastAsia="zh-CN"/>
              </w:rPr>
              <w:t>。</w:t>
            </w:r>
            <w:r>
              <w:rPr>
                <w:rFonts w:hint="eastAsia" w:ascii="宋体" w:hAnsi="宋体" w:cs="宋体"/>
                <w:szCs w:val="21"/>
                <w:lang w:val="en-US" w:eastAsia="zh-CN"/>
              </w:rPr>
              <w:t>内容策划具体，创意新颖，得20分；内容策划一般，创意可行，得15分；内容策划基本可行，创意一般，得10分；其他不得分。</w:t>
            </w:r>
          </w:p>
        </w:tc>
      </w:tr>
      <w:tr w14:paraId="6D913E63">
        <w:tblPrEx>
          <w:tblCellMar>
            <w:top w:w="0" w:type="dxa"/>
            <w:left w:w="0" w:type="dxa"/>
            <w:bottom w:w="0" w:type="dxa"/>
            <w:right w:w="0" w:type="dxa"/>
          </w:tblCellMar>
        </w:tblPrEx>
        <w:trPr>
          <w:trHeight w:val="51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14:paraId="22AB1A21">
            <w:pPr>
              <w:jc w:val="center"/>
              <w:rPr>
                <w:rFonts w:ascii="宋体" w:hAnsi="宋体" w:eastAsia="宋体" w:cs="宋体"/>
                <w:sz w:val="21"/>
                <w:szCs w:val="21"/>
              </w:rPr>
            </w:pPr>
            <w:r>
              <w:rPr>
                <w:rStyle w:val="64"/>
                <w:rFonts w:hint="eastAsia" w:ascii="宋体" w:hAnsi="宋体" w:cs="宋体"/>
                <w:szCs w:val="21"/>
                <w:lang w:val="en-US" w:eastAsia="zh-CN"/>
              </w:rPr>
              <w:t>合规风控与审核机制（15分）</w:t>
            </w:r>
          </w:p>
        </w:tc>
        <w:tc>
          <w:tcPr>
            <w:tcW w:w="8311" w:type="dxa"/>
            <w:tcBorders>
              <w:top w:val="single" w:color="000000" w:sz="4" w:space="0"/>
              <w:left w:val="single" w:color="000000" w:sz="4" w:space="0"/>
              <w:bottom w:val="single" w:color="000000" w:sz="4" w:space="0"/>
              <w:right w:val="single" w:color="000000" w:sz="4" w:space="0"/>
            </w:tcBorders>
            <w:vAlign w:val="center"/>
          </w:tcPr>
          <w:p w14:paraId="19D1F7A2">
            <w:pPr>
              <w:jc w:val="left"/>
              <w:rPr>
                <w:rFonts w:hint="default" w:ascii="宋体" w:hAnsi="宋体" w:eastAsia="宋体" w:cs="宋体"/>
                <w:szCs w:val="21"/>
                <w:lang w:val="en-US" w:eastAsia="zh-CN"/>
              </w:rPr>
            </w:pPr>
            <w:r>
              <w:rPr>
                <w:rFonts w:hint="eastAsia" w:ascii="宋体" w:hAnsi="宋体" w:cs="宋体"/>
                <w:szCs w:val="21"/>
              </w:rPr>
              <w:t>提供的医疗内容合规管理方案、预审流程、舆情应急预案的完整性与可操作性。</w:t>
            </w:r>
            <w:r>
              <w:rPr>
                <w:rFonts w:hint="eastAsia" w:ascii="宋体" w:hAnsi="宋体" w:cs="宋体"/>
                <w:szCs w:val="21"/>
                <w:lang w:val="en-US" w:eastAsia="zh-CN"/>
              </w:rPr>
              <w:t>内容完整、可操作性强，得15分；内容完整、具备可操作性，得10分；内容基本、可操作性一般，得5分；其他不得分。</w:t>
            </w:r>
          </w:p>
        </w:tc>
      </w:tr>
      <w:tr w14:paraId="45C2CB79">
        <w:tblPrEx>
          <w:tblCellMar>
            <w:top w:w="0" w:type="dxa"/>
            <w:left w:w="0" w:type="dxa"/>
            <w:bottom w:w="0" w:type="dxa"/>
            <w:right w:w="0" w:type="dxa"/>
          </w:tblCellMar>
        </w:tblPrEx>
        <w:trPr>
          <w:trHeight w:val="51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14:paraId="5E458D06">
            <w:pPr>
              <w:jc w:val="center"/>
              <w:rPr>
                <w:rStyle w:val="64"/>
                <w:rFonts w:hint="eastAsia" w:ascii="宋体" w:hAnsi="宋体" w:cs="宋体"/>
                <w:szCs w:val="21"/>
                <w:lang w:val="en-US" w:eastAsia="zh-CN"/>
              </w:rPr>
            </w:pPr>
            <w:r>
              <w:rPr>
                <w:rStyle w:val="64"/>
                <w:rFonts w:hint="eastAsia" w:ascii="宋体" w:hAnsi="宋体" w:cs="宋体"/>
                <w:szCs w:val="21"/>
                <w:lang w:val="en-US" w:eastAsia="zh-CN"/>
              </w:rPr>
              <w:t>团队配置与项目经验（10分）</w:t>
            </w:r>
          </w:p>
        </w:tc>
        <w:tc>
          <w:tcPr>
            <w:tcW w:w="8311" w:type="dxa"/>
            <w:tcBorders>
              <w:top w:val="single" w:color="000000" w:sz="4" w:space="0"/>
              <w:left w:val="single" w:color="000000" w:sz="4" w:space="0"/>
              <w:bottom w:val="single" w:color="000000" w:sz="4" w:space="0"/>
              <w:right w:val="single" w:color="000000" w:sz="4" w:space="0"/>
            </w:tcBorders>
            <w:vAlign w:val="center"/>
          </w:tcPr>
          <w:p w14:paraId="78228011">
            <w:pPr>
              <w:jc w:val="left"/>
              <w:rPr>
                <w:rStyle w:val="64"/>
                <w:rFonts w:hint="default" w:ascii="宋体" w:hAnsi="宋体" w:eastAsia="宋体" w:cs="宋体"/>
                <w:szCs w:val="21"/>
                <w:lang w:val="en-US" w:eastAsia="zh-CN"/>
              </w:rPr>
            </w:pPr>
            <w:r>
              <w:rPr>
                <w:rFonts w:hint="eastAsia" w:ascii="宋体" w:hAnsi="宋体" w:cs="宋体"/>
                <w:szCs w:val="21"/>
              </w:rPr>
              <w:t>拟派团队成员的资质、经验，尤其是服务公立医疗机构或健康领域的相关案例。</w:t>
            </w:r>
            <w:r>
              <w:rPr>
                <w:rFonts w:hint="eastAsia" w:ascii="宋体" w:hAnsi="宋体" w:cs="宋体"/>
                <w:szCs w:val="21"/>
                <w:lang w:val="en-US" w:eastAsia="zh-CN"/>
              </w:rPr>
              <w:t>团队人员配备齐全、合理，得4分。近三年相关案例，每提供一个得2分，最高得6分，需提供相关合同。</w:t>
            </w:r>
          </w:p>
        </w:tc>
      </w:tr>
      <w:tr w14:paraId="3B4A57A9">
        <w:tblPrEx>
          <w:tblCellMar>
            <w:top w:w="0" w:type="dxa"/>
            <w:left w:w="0" w:type="dxa"/>
            <w:bottom w:w="0" w:type="dxa"/>
            <w:right w:w="0" w:type="dxa"/>
          </w:tblCellMar>
        </w:tblPrEx>
        <w:trPr>
          <w:trHeight w:val="51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14:paraId="351609F7">
            <w:pPr>
              <w:jc w:val="center"/>
              <w:rPr>
                <w:rStyle w:val="64"/>
                <w:rFonts w:hint="eastAsia" w:ascii="宋体" w:hAnsi="宋体" w:cs="宋体"/>
                <w:szCs w:val="21"/>
                <w:lang w:val="en-US" w:eastAsia="zh-CN"/>
              </w:rPr>
            </w:pPr>
            <w:r>
              <w:rPr>
                <w:rStyle w:val="64"/>
                <w:rFonts w:hint="eastAsia" w:ascii="宋体" w:hAnsi="宋体" w:cs="宋体"/>
                <w:szCs w:val="21"/>
                <w:lang w:val="en-US" w:eastAsia="zh-CN"/>
              </w:rPr>
              <w:t>运营服务方案（10分）</w:t>
            </w:r>
          </w:p>
        </w:tc>
        <w:tc>
          <w:tcPr>
            <w:tcW w:w="8311" w:type="dxa"/>
            <w:tcBorders>
              <w:top w:val="single" w:color="000000" w:sz="4" w:space="0"/>
              <w:left w:val="single" w:color="000000" w:sz="4" w:space="0"/>
              <w:bottom w:val="single" w:color="000000" w:sz="4" w:space="0"/>
              <w:right w:val="single" w:color="000000" w:sz="4" w:space="0"/>
            </w:tcBorders>
            <w:vAlign w:val="center"/>
          </w:tcPr>
          <w:p w14:paraId="3D5327C7">
            <w:pPr>
              <w:jc w:val="left"/>
              <w:rPr>
                <w:rFonts w:hint="default" w:ascii="宋体" w:hAnsi="宋体" w:eastAsia="宋体" w:cs="宋体"/>
                <w:szCs w:val="21"/>
                <w:lang w:val="en-US" w:eastAsia="zh-CN"/>
              </w:rPr>
            </w:pPr>
            <w:r>
              <w:rPr>
                <w:rFonts w:hint="eastAsia" w:ascii="宋体" w:hAnsi="宋体" w:cs="宋体"/>
                <w:szCs w:val="21"/>
              </w:rPr>
              <w:t>日常运营响应机制、数据监测频率、与院方沟通机制的具体安排</w:t>
            </w:r>
            <w:r>
              <w:rPr>
                <w:rFonts w:hint="eastAsia" w:ascii="宋体" w:hAnsi="宋体" w:cs="宋体"/>
                <w:szCs w:val="21"/>
                <w:lang w:eastAsia="zh-CN"/>
              </w:rPr>
              <w:t>。</w:t>
            </w:r>
            <w:r>
              <w:rPr>
                <w:rFonts w:hint="eastAsia" w:ascii="宋体" w:hAnsi="宋体" w:cs="宋体"/>
                <w:szCs w:val="21"/>
                <w:lang w:val="en-US" w:eastAsia="zh-CN"/>
              </w:rPr>
              <w:t>运营方案合理，可操作性强，得10分；方案一般，具备可操作性，得5分；方案基本可行，基本可操作，得2分；其他不得分。</w:t>
            </w:r>
          </w:p>
        </w:tc>
      </w:tr>
    </w:tbl>
    <w:p w14:paraId="71666E01">
      <w:pPr>
        <w:pStyle w:val="6"/>
      </w:pPr>
    </w:p>
    <w:p w14:paraId="31B51B28">
      <w:pPr>
        <w:jc w:val="center"/>
        <w:rPr>
          <w:b/>
          <w:sz w:val="32"/>
          <w:szCs w:val="32"/>
        </w:rPr>
      </w:pPr>
    </w:p>
    <w:p w14:paraId="62470C91">
      <w:pPr>
        <w:jc w:val="center"/>
        <w:rPr>
          <w:b/>
          <w:sz w:val="32"/>
          <w:szCs w:val="32"/>
        </w:rPr>
      </w:pPr>
    </w:p>
    <w:p w14:paraId="57661E10">
      <w:pPr>
        <w:jc w:val="center"/>
        <w:rPr>
          <w:b/>
          <w:sz w:val="32"/>
          <w:szCs w:val="32"/>
        </w:rPr>
      </w:pPr>
    </w:p>
    <w:p w14:paraId="221DA129">
      <w:pPr>
        <w:jc w:val="center"/>
        <w:rPr>
          <w:b/>
          <w:sz w:val="32"/>
          <w:szCs w:val="32"/>
        </w:rPr>
      </w:pPr>
    </w:p>
    <w:p w14:paraId="5C8363A4">
      <w:pPr>
        <w:jc w:val="center"/>
        <w:rPr>
          <w:b/>
          <w:sz w:val="32"/>
          <w:szCs w:val="32"/>
        </w:rPr>
      </w:pPr>
    </w:p>
    <w:p w14:paraId="6D9F30B7">
      <w:pPr>
        <w:jc w:val="center"/>
        <w:rPr>
          <w:b/>
          <w:sz w:val="32"/>
          <w:szCs w:val="32"/>
        </w:rPr>
      </w:pPr>
    </w:p>
    <w:p w14:paraId="30EEE639">
      <w:pPr>
        <w:rPr>
          <w:b/>
          <w:sz w:val="32"/>
          <w:szCs w:val="32"/>
        </w:rPr>
      </w:pPr>
    </w:p>
    <w:p w14:paraId="41120DCF">
      <w:pPr>
        <w:rPr>
          <w:b/>
          <w:sz w:val="32"/>
          <w:szCs w:val="32"/>
        </w:rPr>
      </w:pPr>
    </w:p>
    <w:p w14:paraId="2381E612">
      <w:pPr>
        <w:rPr>
          <w:b/>
          <w:sz w:val="32"/>
          <w:szCs w:val="32"/>
        </w:rPr>
      </w:pPr>
    </w:p>
    <w:p w14:paraId="653D52E6">
      <w:pPr>
        <w:rPr>
          <w:b/>
          <w:sz w:val="32"/>
          <w:szCs w:val="32"/>
        </w:rPr>
      </w:pPr>
    </w:p>
    <w:p w14:paraId="1934E669">
      <w:pPr>
        <w:rPr>
          <w:b/>
          <w:sz w:val="32"/>
          <w:szCs w:val="32"/>
        </w:rPr>
      </w:pPr>
    </w:p>
    <w:p w14:paraId="3F34E342">
      <w:pPr>
        <w:rPr>
          <w:b/>
          <w:sz w:val="32"/>
          <w:szCs w:val="32"/>
        </w:rPr>
      </w:pPr>
    </w:p>
    <w:p w14:paraId="5D55E917">
      <w:pPr>
        <w:rPr>
          <w:b/>
          <w:sz w:val="32"/>
          <w:szCs w:val="32"/>
        </w:rPr>
      </w:pPr>
    </w:p>
    <w:p w14:paraId="42A6F964">
      <w:pPr>
        <w:rPr>
          <w:rFonts w:hint="eastAsia" w:eastAsia="宋体"/>
          <w:b/>
          <w:sz w:val="32"/>
          <w:szCs w:val="32"/>
          <w:lang w:eastAsia="zh-CN"/>
        </w:rPr>
      </w:pPr>
    </w:p>
    <w:p w14:paraId="68AAE267">
      <w:pPr>
        <w:rPr>
          <w:rFonts w:hint="eastAsia" w:eastAsia="宋体"/>
          <w:b/>
          <w:sz w:val="32"/>
          <w:szCs w:val="32"/>
          <w:lang w:eastAsia="zh-CN"/>
        </w:rPr>
      </w:pPr>
    </w:p>
    <w:p w14:paraId="42CD3865">
      <w:pPr>
        <w:rPr>
          <w:rFonts w:hint="eastAsia" w:eastAsia="宋体"/>
          <w:b/>
          <w:sz w:val="32"/>
          <w:szCs w:val="32"/>
          <w:lang w:eastAsia="zh-CN"/>
        </w:rPr>
      </w:pPr>
    </w:p>
    <w:p w14:paraId="30AB93D7">
      <w:pPr>
        <w:rPr>
          <w:rFonts w:hint="eastAsia" w:eastAsia="宋体"/>
          <w:b/>
          <w:sz w:val="32"/>
          <w:szCs w:val="32"/>
          <w:lang w:eastAsia="zh-CN"/>
        </w:rPr>
      </w:pPr>
    </w:p>
    <w:p w14:paraId="34A80CB7">
      <w:pPr>
        <w:rPr>
          <w:rFonts w:hint="eastAsia" w:eastAsia="宋体"/>
          <w:b/>
          <w:sz w:val="32"/>
          <w:szCs w:val="32"/>
          <w:lang w:eastAsia="zh-CN"/>
        </w:rPr>
      </w:pPr>
    </w:p>
    <w:p w14:paraId="0505F9EF">
      <w:pPr>
        <w:rPr>
          <w:rFonts w:hint="eastAsia" w:eastAsia="宋体"/>
          <w:b/>
          <w:sz w:val="32"/>
          <w:szCs w:val="32"/>
          <w:lang w:eastAsia="zh-CN"/>
        </w:rPr>
      </w:pPr>
    </w:p>
    <w:p w14:paraId="28CCB81D">
      <w:pPr>
        <w:jc w:val="center"/>
        <w:rPr>
          <w:b/>
          <w:sz w:val="32"/>
          <w:szCs w:val="32"/>
        </w:rPr>
      </w:pPr>
      <w:r>
        <w:rPr>
          <w:rFonts w:hint="eastAsia"/>
          <w:b/>
          <w:sz w:val="32"/>
          <w:szCs w:val="32"/>
        </w:rPr>
        <w:t>三、投标人须知</w:t>
      </w:r>
      <w:bookmarkEnd w:id="2"/>
    </w:p>
    <w:p w14:paraId="7A934A9B">
      <w:pPr>
        <w:ind w:firstLine="562" w:firstLineChars="200"/>
        <w:rPr>
          <w:b/>
          <w:sz w:val="28"/>
          <w:szCs w:val="28"/>
        </w:rPr>
      </w:pPr>
      <w:r>
        <w:rPr>
          <w:rFonts w:hint="eastAsia"/>
          <w:b/>
          <w:sz w:val="28"/>
          <w:szCs w:val="28"/>
        </w:rPr>
        <w:t>（一）编制要求</w:t>
      </w:r>
    </w:p>
    <w:p w14:paraId="0E3007B6">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1、投标人应在仔细阅读院内公开</w:t>
      </w:r>
      <w:r>
        <w:rPr>
          <w:rFonts w:hint="eastAsia" w:ascii="宋体" w:hAnsi="宋体"/>
          <w:szCs w:val="21"/>
          <w:lang w:eastAsia="zh-CN"/>
        </w:rPr>
        <w:t>谈判</w:t>
      </w:r>
      <w:r>
        <w:rPr>
          <w:rFonts w:hint="eastAsia" w:ascii="宋体" w:hAnsi="宋体"/>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56F6F20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2、投标人在收到院内公开谈判文件后，若有疑问应以书面形式（包括书面文字、传真、电子邮件等）在规定时间前向招标人提出。招标人将所有问题集中后在统一答复所有投标人。</w:t>
      </w:r>
    </w:p>
    <w:p w14:paraId="231FC54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3、明确标明“正本”或“副本”字样，一旦正本和副本有差异，以正本为准。所有投标资料均需A4纸打印，按照院内公开谈判文件规定的顺序装订。</w:t>
      </w:r>
    </w:p>
    <w:p w14:paraId="666D2552">
      <w:pPr>
        <w:ind w:firstLine="562" w:firstLineChars="200"/>
        <w:rPr>
          <w:b/>
          <w:sz w:val="28"/>
          <w:szCs w:val="28"/>
        </w:rPr>
      </w:pPr>
      <w:bookmarkStart w:id="3" w:name="_Toc39744254"/>
      <w:r>
        <w:rPr>
          <w:rFonts w:hint="eastAsia"/>
          <w:b/>
          <w:sz w:val="28"/>
          <w:szCs w:val="28"/>
        </w:rPr>
        <w:t>（二）资格审查要求</w:t>
      </w:r>
      <w:bookmarkEnd w:id="3"/>
    </w:p>
    <w:p w14:paraId="6A7CC28A">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w:t>
      </w:r>
    </w:p>
    <w:p w14:paraId="71C6178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7FE18305">
      <w:pPr>
        <w:adjustRightInd w:val="0"/>
        <w:snapToGrid w:val="0"/>
        <w:spacing w:line="440" w:lineRule="exact"/>
        <w:ind w:left="424" w:leftChars="202" w:right="531" w:rightChars="253" w:firstLine="457" w:firstLineChars="218"/>
        <w:contextualSpacing/>
        <w:rPr>
          <w:rFonts w:ascii="宋体" w:hAnsi="宋体"/>
          <w:szCs w:val="21"/>
        </w:rPr>
      </w:pPr>
      <w:bookmarkStart w:id="4" w:name="_Toc39744256"/>
      <w:r>
        <w:rPr>
          <w:rFonts w:hint="eastAsia" w:ascii="宋体" w:hAnsi="宋体"/>
          <w:szCs w:val="21"/>
        </w:rPr>
        <w:t>投标人资质要求。承担本项目能力和资格的有关资格证明材料。</w:t>
      </w:r>
    </w:p>
    <w:p w14:paraId="328CC537">
      <w:pPr>
        <w:adjustRightInd w:val="0"/>
        <w:snapToGrid w:val="0"/>
        <w:spacing w:line="440" w:lineRule="exact"/>
        <w:ind w:left="424" w:leftChars="202" w:right="531" w:rightChars="253" w:firstLine="457" w:firstLineChars="218"/>
        <w:contextualSpacing/>
        <w:rPr>
          <w:rFonts w:ascii="宋体" w:hAnsi="宋体"/>
          <w:szCs w:val="21"/>
        </w:rPr>
      </w:pPr>
      <w:r>
        <w:rPr>
          <w:rFonts w:hint="eastAsia" w:ascii="宋体" w:hAnsi="宋体"/>
          <w:szCs w:val="21"/>
        </w:rPr>
        <w:t>(1)由工商局签发的投标人工商营业执照副本复印件(加盖公章);</w:t>
      </w:r>
    </w:p>
    <w:p w14:paraId="41CE0F81">
      <w:pPr>
        <w:adjustRightInd w:val="0"/>
        <w:snapToGrid w:val="0"/>
        <w:spacing w:line="440" w:lineRule="exact"/>
        <w:ind w:left="424" w:leftChars="202" w:right="531" w:rightChars="253" w:firstLine="457" w:firstLineChars="218"/>
        <w:contextualSpacing/>
        <w:rPr>
          <w:rFonts w:ascii="宋体" w:hAnsi="宋体"/>
          <w:szCs w:val="21"/>
        </w:rPr>
      </w:pPr>
      <w:r>
        <w:rPr>
          <w:rFonts w:hint="eastAsia" w:ascii="宋体" w:hAnsi="宋体"/>
          <w:szCs w:val="21"/>
        </w:rPr>
        <w:t>(2)服务能力:投标方必须具备实施项目开展和提供后续服务的能力，需提供人员、设备配置清单及服务承诺(格式自拟)。</w:t>
      </w:r>
    </w:p>
    <w:p w14:paraId="72A7A73B">
      <w:pPr>
        <w:adjustRightInd w:val="0"/>
        <w:snapToGrid w:val="0"/>
        <w:spacing w:line="440" w:lineRule="exact"/>
        <w:ind w:left="424" w:leftChars="202" w:right="531" w:rightChars="253" w:firstLine="457" w:firstLineChars="218"/>
        <w:contextualSpacing/>
        <w:rPr>
          <w:rFonts w:ascii="宋体" w:hAnsi="宋体"/>
          <w:szCs w:val="21"/>
        </w:rPr>
      </w:pPr>
      <w:r>
        <w:rPr>
          <w:rFonts w:hint="eastAsia" w:ascii="宋体" w:hAnsi="宋体"/>
          <w:szCs w:val="21"/>
        </w:rPr>
        <w:t>(3)202</w:t>
      </w:r>
      <w:r>
        <w:rPr>
          <w:rFonts w:hint="eastAsia" w:ascii="宋体" w:hAnsi="宋体"/>
          <w:szCs w:val="21"/>
          <w:lang w:val="en-US" w:eastAsia="zh-CN"/>
        </w:rPr>
        <w:t>3</w:t>
      </w:r>
      <w:r>
        <w:rPr>
          <w:rFonts w:hint="eastAsia" w:ascii="宋体" w:hAnsi="宋体"/>
          <w:szCs w:val="21"/>
        </w:rPr>
        <w:t>年1月1日以来完成相关项目一览表:4)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14:paraId="3FBEBAC2">
      <w:pPr>
        <w:adjustRightInd w:val="0"/>
        <w:snapToGrid w:val="0"/>
        <w:spacing w:line="440" w:lineRule="exact"/>
        <w:ind w:left="424" w:leftChars="202" w:right="531" w:rightChars="253" w:firstLine="332" w:firstLineChars="118"/>
        <w:contextualSpacing/>
        <w:rPr>
          <w:b/>
          <w:sz w:val="28"/>
          <w:szCs w:val="28"/>
        </w:rPr>
      </w:pPr>
      <w:r>
        <w:rPr>
          <w:rFonts w:hint="eastAsia"/>
          <w:b/>
          <w:sz w:val="28"/>
          <w:szCs w:val="28"/>
        </w:rPr>
        <w:t>（三）投标文件要求</w:t>
      </w:r>
      <w:bookmarkEnd w:id="4"/>
    </w:p>
    <w:p w14:paraId="1547115F">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66FBE674">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02DB89A6">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（1）针对本项目院内公开</w:t>
      </w:r>
      <w:r>
        <w:rPr>
          <w:rFonts w:hint="eastAsia" w:ascii="宋体" w:hAnsi="宋体"/>
          <w:szCs w:val="21"/>
          <w:lang w:eastAsia="zh-CN"/>
        </w:rPr>
        <w:t>谈判</w:t>
      </w:r>
      <w:r>
        <w:rPr>
          <w:rFonts w:hint="eastAsia" w:ascii="宋体" w:hAnsi="宋体"/>
          <w:szCs w:val="21"/>
        </w:rPr>
        <w:t>的授权委托书；</w:t>
      </w:r>
    </w:p>
    <w:p w14:paraId="4C16FA75">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6DBE8325">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7855487C">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由社保部门出具的投标人为授权委托人及院内公开谈判经办人缴纳的</w:t>
      </w:r>
      <w:r>
        <w:rPr>
          <w:rFonts w:hint="eastAsia" w:ascii="宋体" w:hAnsi="宋体"/>
          <w:b/>
          <w:szCs w:val="21"/>
        </w:rPr>
        <w:t>近三个月中任意一个月</w:t>
      </w:r>
      <w:r>
        <w:rPr>
          <w:rFonts w:hint="eastAsia" w:ascii="宋体" w:hAnsi="宋体"/>
          <w:szCs w:val="21"/>
        </w:rPr>
        <w:t>养老保险费用的证明材料；</w:t>
      </w:r>
    </w:p>
    <w:p w14:paraId="6400A3F4">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1CA999C0">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63A1D599">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49A0D51F">
      <w:pPr>
        <w:adjustRightInd w:val="0"/>
        <w:snapToGrid w:val="0"/>
        <w:spacing w:line="440" w:lineRule="exact"/>
        <w:ind w:left="422" w:leftChars="201" w:right="531" w:rightChars="253" w:firstLine="249" w:firstLineChars="119"/>
        <w:contextualSpacing/>
        <w:rPr>
          <w:rFonts w:ascii="宋体" w:hAnsi="宋体"/>
          <w:szCs w:val="21"/>
        </w:rPr>
      </w:pPr>
      <w:r>
        <w:rPr>
          <w:rFonts w:hint="eastAsia" w:ascii="宋体" w:hAnsi="宋体"/>
          <w:bCs/>
          <w:szCs w:val="21"/>
        </w:rPr>
        <w:t>（3）</w:t>
      </w:r>
      <w:r>
        <w:rPr>
          <w:rFonts w:hint="eastAsia" w:ascii="宋体" w:hAnsi="宋体"/>
          <w:szCs w:val="21"/>
        </w:rPr>
        <w:t>投标报价</w:t>
      </w:r>
    </w:p>
    <w:p w14:paraId="17160FF0">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1FBCCB8E">
      <w:pPr>
        <w:ind w:firstLine="562" w:firstLineChars="200"/>
        <w:rPr>
          <w:b/>
          <w:sz w:val="28"/>
          <w:szCs w:val="28"/>
        </w:rPr>
      </w:pPr>
      <w:bookmarkStart w:id="5" w:name="_Toc39744257"/>
      <w:r>
        <w:rPr>
          <w:rFonts w:hint="eastAsia"/>
          <w:b/>
          <w:sz w:val="28"/>
          <w:szCs w:val="28"/>
        </w:rPr>
        <w:t>（四）开标、</w:t>
      </w:r>
      <w:bookmarkEnd w:id="5"/>
      <w:r>
        <w:rPr>
          <w:rFonts w:hint="eastAsia"/>
          <w:b/>
          <w:sz w:val="28"/>
          <w:szCs w:val="28"/>
        </w:rPr>
        <w:t>评标</w:t>
      </w:r>
    </w:p>
    <w:p w14:paraId="3DD5B097">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73C87E1C">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4A5304CE">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（1）投标文件不响应院内公开谈判文件要求的；</w:t>
      </w:r>
    </w:p>
    <w:p w14:paraId="0EC88F8F">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10DF51D3">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0FA8D663">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55DBA0E1">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w:t>
      </w:r>
      <w:r>
        <w:rPr>
          <w:rFonts w:hint="eastAsia" w:ascii="宋体" w:hAnsi="宋体"/>
          <w:szCs w:val="21"/>
          <w:lang w:val="en-US" w:eastAsia="zh-CN"/>
        </w:rPr>
        <w:t>附属医院</w:t>
      </w:r>
      <w:r>
        <w:rPr>
          <w:rFonts w:hint="eastAsia" w:ascii="宋体" w:hAnsi="宋体"/>
          <w:szCs w:val="21"/>
        </w:rPr>
        <w:t>采购管理办法，组成项目评标小组。严格按招标文件，公平、公正、科学、严谨地对投标文件进行综合评定。</w:t>
      </w:r>
    </w:p>
    <w:p w14:paraId="73954D98">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5、院内公开</w:t>
      </w:r>
      <w:r>
        <w:rPr>
          <w:rFonts w:hint="eastAsia" w:ascii="宋体" w:hAnsi="宋体"/>
          <w:szCs w:val="21"/>
          <w:lang w:eastAsia="zh-CN"/>
        </w:rPr>
        <w:t>谈判</w:t>
      </w:r>
      <w:r>
        <w:rPr>
          <w:rFonts w:hint="eastAsia" w:ascii="宋体" w:hAnsi="宋体"/>
          <w:szCs w:val="21"/>
        </w:rPr>
        <w:t>程序：</w:t>
      </w:r>
    </w:p>
    <w:p w14:paraId="0014BD13">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w:t>
      </w:r>
      <w:r>
        <w:rPr>
          <w:rFonts w:hint="eastAsia" w:ascii="宋体" w:hAnsi="宋体"/>
          <w:b/>
          <w:szCs w:val="21"/>
          <w:lang w:val="en-US" w:eastAsia="zh-CN"/>
        </w:rPr>
        <w:t>单位及方案介绍</w:t>
      </w:r>
      <w:r>
        <w:rPr>
          <w:rFonts w:hint="eastAsia" w:ascii="宋体" w:hAnsi="宋体"/>
          <w:b/>
          <w:szCs w:val="21"/>
        </w:rPr>
        <w:t>、院内谈判；（3）二次报价；（4）综合评分。</w:t>
      </w:r>
    </w:p>
    <w:p w14:paraId="63DBFFF5">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2C12BE90">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符合部门要求的基础上，评分排名第一的单位中标。</w:t>
      </w:r>
      <w:bookmarkStart w:id="6" w:name="_Toc39744258"/>
    </w:p>
    <w:p w14:paraId="0A86D652">
      <w:pPr>
        <w:pStyle w:val="28"/>
      </w:pPr>
    </w:p>
    <w:p w14:paraId="22788CF0">
      <w:pPr>
        <w:pStyle w:val="28"/>
      </w:pPr>
    </w:p>
    <w:p w14:paraId="1D8E60FB">
      <w:pPr>
        <w:pStyle w:val="28"/>
      </w:pPr>
    </w:p>
    <w:p w14:paraId="3C298DF9">
      <w:pPr>
        <w:pStyle w:val="28"/>
      </w:pPr>
    </w:p>
    <w:p w14:paraId="6BA322A8">
      <w:pPr>
        <w:pStyle w:val="28"/>
      </w:pPr>
    </w:p>
    <w:p w14:paraId="44C5913F">
      <w:pPr>
        <w:pStyle w:val="28"/>
      </w:pPr>
    </w:p>
    <w:p w14:paraId="112B1480">
      <w:pPr>
        <w:pStyle w:val="28"/>
      </w:pPr>
    </w:p>
    <w:p w14:paraId="79EAE51C">
      <w:pPr>
        <w:wordWrap w:val="0"/>
        <w:spacing w:line="440" w:lineRule="exact"/>
        <w:ind w:right="531" w:rightChars="253"/>
        <w:contextualSpacing/>
        <w:jc w:val="both"/>
        <w:rPr>
          <w:rFonts w:hint="eastAsia"/>
          <w:b/>
          <w:sz w:val="32"/>
          <w:szCs w:val="32"/>
        </w:rPr>
      </w:pPr>
    </w:p>
    <w:p w14:paraId="1F503055">
      <w:pPr>
        <w:wordWrap w:val="0"/>
        <w:spacing w:line="440" w:lineRule="exact"/>
        <w:ind w:left="424" w:leftChars="202" w:right="531" w:rightChars="253" w:firstLine="553" w:firstLineChars="172"/>
        <w:contextualSpacing/>
        <w:jc w:val="center"/>
        <w:rPr>
          <w:rFonts w:hint="eastAsia"/>
          <w:b/>
          <w:sz w:val="32"/>
          <w:szCs w:val="32"/>
        </w:rPr>
      </w:pPr>
    </w:p>
    <w:p w14:paraId="4E28F62A">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6"/>
    </w:p>
    <w:p w14:paraId="6C257CD1">
      <w:pPr>
        <w:jc w:val="center"/>
        <w:rPr>
          <w:b/>
          <w:sz w:val="36"/>
          <w:szCs w:val="36"/>
        </w:rPr>
      </w:pPr>
    </w:p>
    <w:p w14:paraId="31679BFC">
      <w:pPr>
        <w:jc w:val="center"/>
        <w:rPr>
          <w:rFonts w:ascii="宋体" w:hAnsi="宋体"/>
          <w:b/>
          <w:sz w:val="36"/>
          <w:szCs w:val="36"/>
          <w:u w:val="single"/>
        </w:rPr>
      </w:pPr>
      <w:r>
        <w:rPr>
          <w:rFonts w:hint="eastAsia"/>
          <w:b/>
          <w:sz w:val="36"/>
          <w:szCs w:val="36"/>
        </w:rPr>
        <w:t>目录</w:t>
      </w:r>
    </w:p>
    <w:p w14:paraId="12E6A946">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5BCF94B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4F7DF8C1">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56F2102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3、由社保部门出具的投标人为经办人及投标报名项目负责人缴纳的近三个月养老保险费用的证明材料（任意一个月）；</w:t>
      </w:r>
    </w:p>
    <w:p w14:paraId="530A438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4、投标单位不在供应商被“信用中国”网站（www.creditchina.gov.cn）、“中国政府采购网"(www.ccgp.gov.cn)列入失信被执行人、重大税收违法案件当事人名单、政府采购严重违法失信行为记录名单的截图，并盖章。</w:t>
      </w:r>
    </w:p>
    <w:p w14:paraId="76D157A5">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229E70E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35C78BC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40D4639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49C0F8B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528F2B45">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（三）其他（格式自拟）</w:t>
      </w:r>
    </w:p>
    <w:p w14:paraId="5C7C86D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1、服务承诺书</w:t>
      </w:r>
    </w:p>
    <w:p w14:paraId="0B292C6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2、相关项目合同</w:t>
      </w:r>
    </w:p>
    <w:p w14:paraId="7D10C9C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3、服务方案</w:t>
      </w:r>
    </w:p>
    <w:p w14:paraId="134B8DFB">
      <w:pPr>
        <w:pStyle w:val="28"/>
      </w:pPr>
    </w:p>
    <w:p w14:paraId="4C6E0ABA">
      <w:pPr>
        <w:pStyle w:val="28"/>
      </w:pPr>
    </w:p>
    <w:p w14:paraId="636B4FC3">
      <w:pPr>
        <w:pStyle w:val="28"/>
      </w:pPr>
    </w:p>
    <w:p w14:paraId="14532373">
      <w:pPr>
        <w:adjustRightInd w:val="0"/>
        <w:snapToGrid w:val="0"/>
        <w:spacing w:line="440" w:lineRule="exact"/>
        <w:ind w:left="424" w:leftChars="202" w:firstLine="371" w:firstLineChars="177"/>
        <w:contextualSpacing/>
        <w:rPr>
          <w:rFonts w:ascii="宋体" w:hAnsi="宋体"/>
          <w:bCs/>
          <w:szCs w:val="21"/>
        </w:rPr>
      </w:pPr>
    </w:p>
    <w:p w14:paraId="06B73FC1">
      <w:pPr>
        <w:pStyle w:val="6"/>
      </w:pPr>
    </w:p>
    <w:p w14:paraId="4F2CC539">
      <w:pPr>
        <w:pStyle w:val="6"/>
      </w:pPr>
    </w:p>
    <w:p w14:paraId="448F66D3">
      <w:pPr>
        <w:pStyle w:val="10"/>
        <w:rPr>
          <w:rFonts w:ascii="黑体" w:hAnsi="Times New Roman" w:eastAsia="黑体"/>
          <w:b/>
          <w:sz w:val="36"/>
        </w:rPr>
      </w:pPr>
    </w:p>
    <w:p w14:paraId="6CBCC27F">
      <w:pPr>
        <w:pStyle w:val="10"/>
        <w:rPr>
          <w:rFonts w:ascii="黑体" w:hAnsi="Times New Roman" w:eastAsia="黑体"/>
          <w:b/>
          <w:sz w:val="36"/>
        </w:rPr>
      </w:pPr>
    </w:p>
    <w:p w14:paraId="35DE0DE6">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57550D30">
      <w:pPr>
        <w:pStyle w:val="10"/>
        <w:jc w:val="center"/>
        <w:rPr>
          <w:rFonts w:asciiTheme="minorEastAsia" w:hAnsiTheme="minorEastAsia" w:eastAsiaTheme="minorEastAsia"/>
          <w:b/>
          <w:sz w:val="24"/>
          <w:szCs w:val="24"/>
        </w:rPr>
      </w:pPr>
    </w:p>
    <w:p w14:paraId="4A612948">
      <w:pPr>
        <w:pStyle w:val="10"/>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项目院内公开谈判活动中所签署的一切文件和处理与之有关的一切事务，我均予以承认。</w:t>
      </w:r>
    </w:p>
    <w:p w14:paraId="63646C95">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28A0D8D6">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75BB56F0">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63A150F8">
      <w:pPr>
        <w:pStyle w:val="10"/>
        <w:spacing w:line="480" w:lineRule="auto"/>
        <w:ind w:firstLine="360" w:firstLineChars="150"/>
        <w:rPr>
          <w:rFonts w:asciiTheme="minorEastAsia" w:hAnsiTheme="minorEastAsia" w:eastAsiaTheme="minorEastAsia"/>
          <w:sz w:val="24"/>
          <w:szCs w:val="24"/>
        </w:rPr>
      </w:pPr>
    </w:p>
    <w:p w14:paraId="23B21221">
      <w:pPr>
        <w:pStyle w:val="10"/>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7A34B2BE">
      <w:pPr>
        <w:pStyle w:val="10"/>
        <w:spacing w:line="480" w:lineRule="auto"/>
        <w:ind w:firstLine="420"/>
        <w:rPr>
          <w:rFonts w:asciiTheme="minorEastAsia" w:hAnsiTheme="minorEastAsia" w:eastAsiaTheme="minorEastAsia"/>
          <w:sz w:val="24"/>
          <w:szCs w:val="24"/>
        </w:rPr>
      </w:pPr>
    </w:p>
    <w:p w14:paraId="062CC88D">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1EF1F751">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589AFD1A">
      <w:pPr>
        <w:spacing w:line="400" w:lineRule="exact"/>
        <w:ind w:firstLine="480" w:firstLineChars="200"/>
        <w:rPr>
          <w:rFonts w:ascii="宋体" w:hAnsi="宋体"/>
          <w:sz w:val="24"/>
        </w:rPr>
      </w:pPr>
    </w:p>
    <w:p w14:paraId="1D59B449">
      <w:pPr>
        <w:spacing w:line="400" w:lineRule="exact"/>
        <w:rPr>
          <w:rFonts w:ascii="宋体" w:hAnsi="宋体"/>
          <w:sz w:val="28"/>
        </w:rPr>
      </w:pPr>
    </w:p>
    <w:p w14:paraId="1B893B20">
      <w:pPr>
        <w:spacing w:line="400" w:lineRule="exact"/>
        <w:rPr>
          <w:rFonts w:ascii="宋体" w:hAnsi="宋体"/>
          <w:sz w:val="28"/>
        </w:rPr>
      </w:pPr>
    </w:p>
    <w:p w14:paraId="4C279EFF">
      <w:pPr>
        <w:spacing w:line="500" w:lineRule="exact"/>
        <w:jc w:val="center"/>
        <w:rPr>
          <w:rFonts w:ascii="黑体" w:eastAsia="黑体"/>
          <w:b/>
          <w:bCs/>
          <w:sz w:val="36"/>
          <w:szCs w:val="36"/>
        </w:rPr>
      </w:pPr>
    </w:p>
    <w:p w14:paraId="042A5BF4">
      <w:pPr>
        <w:pStyle w:val="10"/>
        <w:jc w:val="center"/>
        <w:rPr>
          <w:rFonts w:ascii="黑体" w:hAnsi="Times New Roman" w:eastAsia="黑体"/>
          <w:b/>
          <w:sz w:val="36"/>
        </w:rPr>
      </w:pPr>
    </w:p>
    <w:p w14:paraId="64E98513">
      <w:pPr>
        <w:pStyle w:val="10"/>
        <w:rPr>
          <w:rFonts w:ascii="黑体" w:eastAsia="黑体"/>
          <w:b/>
          <w:bCs/>
          <w:sz w:val="36"/>
          <w:szCs w:val="36"/>
        </w:rPr>
      </w:pPr>
    </w:p>
    <w:p w14:paraId="226A49AE">
      <w:pPr>
        <w:pStyle w:val="11"/>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54840CB5">
      <w:pPr>
        <w:spacing w:line="540" w:lineRule="exact"/>
      </w:pPr>
    </w:p>
    <w:p w14:paraId="4C0634FE">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42E9C9D0">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质量、安全生产事故等问题，被有关部门暂停投标资格并在暂停期内。</w:t>
      </w:r>
    </w:p>
    <w:p w14:paraId="62F66332">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2EB2A349">
      <w:pPr>
        <w:pStyle w:val="11"/>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4D5981DD">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4CF7A25C">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08F480D0">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31A58897">
      <w:pPr>
        <w:adjustRightInd w:val="0"/>
        <w:snapToGrid w:val="0"/>
        <w:spacing w:line="700" w:lineRule="exact"/>
        <w:ind w:left="424" w:leftChars="202" w:right="531" w:rightChars="253" w:firstLine="424" w:firstLineChars="177"/>
        <w:contextualSpacing/>
        <w:rPr>
          <w:rFonts w:ascii="宋体" w:hAnsi="宋体"/>
          <w:sz w:val="24"/>
        </w:rPr>
      </w:pPr>
    </w:p>
    <w:p w14:paraId="0963292B">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5D710203">
      <w:pPr>
        <w:pStyle w:val="11"/>
        <w:widowControl/>
        <w:spacing w:line="540" w:lineRule="exact"/>
        <w:ind w:left="5250" w:leftChars="0"/>
        <w:jc w:val="center"/>
        <w:rPr>
          <w:rFonts w:hAnsi="宋体"/>
          <w:szCs w:val="32"/>
        </w:rPr>
      </w:pPr>
    </w:p>
    <w:p w14:paraId="099CCC5E">
      <w:pPr>
        <w:pStyle w:val="11"/>
        <w:widowControl/>
        <w:spacing w:line="540" w:lineRule="exact"/>
        <w:ind w:left="5250" w:leftChars="0"/>
        <w:jc w:val="center"/>
        <w:rPr>
          <w:rFonts w:ascii="宋体" w:hAnsi="宋体" w:eastAsia="宋体"/>
          <w:szCs w:val="32"/>
        </w:rPr>
      </w:pPr>
    </w:p>
    <w:p w14:paraId="67F83629">
      <w:pPr>
        <w:pStyle w:val="11"/>
        <w:widowControl/>
        <w:spacing w:line="540" w:lineRule="exact"/>
        <w:ind w:left="5250" w:leftChars="0"/>
        <w:jc w:val="center"/>
        <w:rPr>
          <w:rFonts w:ascii="宋体" w:hAnsi="宋体" w:eastAsia="宋体"/>
          <w:szCs w:val="32"/>
        </w:rPr>
      </w:pPr>
    </w:p>
    <w:p w14:paraId="2692C5CC">
      <w:pPr>
        <w:pStyle w:val="11"/>
        <w:widowControl/>
        <w:spacing w:line="540" w:lineRule="exact"/>
        <w:ind w:left="5250" w:leftChars="0"/>
        <w:jc w:val="center"/>
        <w:rPr>
          <w:rFonts w:ascii="宋体" w:hAnsi="宋体" w:eastAsia="宋体"/>
          <w:szCs w:val="32"/>
        </w:rPr>
      </w:pPr>
    </w:p>
    <w:p w14:paraId="1EDC41F6">
      <w:pPr>
        <w:pStyle w:val="11"/>
        <w:widowControl/>
        <w:spacing w:line="540" w:lineRule="exact"/>
        <w:ind w:left="5250" w:leftChars="0"/>
        <w:jc w:val="center"/>
        <w:rPr>
          <w:rFonts w:ascii="宋体" w:hAnsi="宋体" w:eastAsia="宋体"/>
          <w:szCs w:val="32"/>
        </w:rPr>
      </w:pPr>
    </w:p>
    <w:p w14:paraId="1C5E0BE9">
      <w:pPr>
        <w:pStyle w:val="11"/>
        <w:widowControl/>
        <w:spacing w:line="540" w:lineRule="exact"/>
        <w:ind w:left="5250" w:leftChars="0"/>
        <w:jc w:val="center"/>
        <w:rPr>
          <w:rFonts w:ascii="宋体" w:hAnsi="宋体" w:eastAsia="宋体"/>
          <w:szCs w:val="32"/>
        </w:rPr>
      </w:pPr>
    </w:p>
    <w:p w14:paraId="4FD0CEA0">
      <w:pPr>
        <w:rPr>
          <w:rFonts w:ascii="宋体" w:hAnsi="宋体"/>
          <w:szCs w:val="32"/>
        </w:rPr>
      </w:pPr>
      <w:r>
        <w:rPr>
          <w:rFonts w:hint="eastAsia" w:ascii="宋体" w:hAnsi="宋体"/>
          <w:szCs w:val="32"/>
        </w:rPr>
        <w:br w:type="page"/>
      </w:r>
    </w:p>
    <w:p w14:paraId="7D96AA4C">
      <w:pPr>
        <w:spacing w:line="360" w:lineRule="auto"/>
        <w:ind w:firstLine="3975" w:firstLineChars="1100"/>
        <w:rPr>
          <w:rFonts w:ascii="宋体" w:hAnsi="宋体"/>
          <w:b/>
          <w:sz w:val="36"/>
          <w:szCs w:val="36"/>
        </w:rPr>
      </w:pPr>
      <w:r>
        <w:rPr>
          <w:rFonts w:hint="eastAsia" w:ascii="宋体" w:hAnsi="宋体"/>
          <w:b/>
          <w:sz w:val="36"/>
          <w:szCs w:val="36"/>
        </w:rPr>
        <w:t>投标函</w:t>
      </w:r>
    </w:p>
    <w:p w14:paraId="49968D9C">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386D92DC">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项目的院内公开谈判文件，遵照扬州大学附属医院采购管理暂行办法，我单位经研究上述院内公开</w:t>
      </w:r>
      <w:r>
        <w:rPr>
          <w:rFonts w:hint="eastAsia" w:ascii="宋体" w:hAnsi="宋体"/>
          <w:bCs/>
          <w:sz w:val="24"/>
          <w:lang w:eastAsia="zh-CN"/>
        </w:rPr>
        <w:t>谈判</w:t>
      </w:r>
      <w:r>
        <w:rPr>
          <w:rFonts w:hint="eastAsia" w:ascii="宋体" w:hAnsi="宋体"/>
          <w:bCs/>
          <w:sz w:val="24"/>
        </w:rPr>
        <w:t>文件的投标须知、合同条件、技术规范、和其他有关文件后，我方投标报价为</w:t>
      </w:r>
    </w:p>
    <w:p w14:paraId="5F42D7D1">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 xml:space="preserve"> </w:t>
      </w:r>
      <w:r>
        <w:rPr>
          <w:rFonts w:hint="eastAsia" w:ascii="宋体" w:hAnsi="宋体"/>
          <w:bCs/>
          <w:sz w:val="24"/>
          <w:u w:val="single"/>
        </w:rPr>
        <w:t xml:space="preserve">       万元</w:t>
      </w:r>
      <w:r>
        <w:rPr>
          <w:rFonts w:hint="eastAsia" w:ascii="宋体" w:hAnsi="宋体"/>
          <w:bCs/>
          <w:sz w:val="24"/>
        </w:rPr>
        <w:t>。</w:t>
      </w:r>
    </w:p>
    <w:p w14:paraId="11EBEEE0">
      <w:pPr>
        <w:spacing w:line="360" w:lineRule="auto"/>
        <w:rPr>
          <w:rFonts w:ascii="宋体" w:hAnsi="宋体"/>
          <w:bCs/>
          <w:sz w:val="24"/>
        </w:rPr>
      </w:pPr>
    </w:p>
    <w:p w14:paraId="12FA150F">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11A3F1ED">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103BEE11">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4877B3B4">
      <w:pPr>
        <w:jc w:val="center"/>
        <w:rPr>
          <w:rFonts w:ascii="宋体" w:hAnsi="宋体"/>
          <w:b/>
          <w:sz w:val="24"/>
        </w:rPr>
      </w:pPr>
      <w:r>
        <w:rPr>
          <w:rFonts w:hint="eastAsia" w:ascii="宋体" w:hAnsi="宋体"/>
          <w:sz w:val="24"/>
        </w:rPr>
        <w:br w:type="page"/>
      </w:r>
    </w:p>
    <w:p w14:paraId="4717B558">
      <w:pPr>
        <w:jc w:val="center"/>
        <w:rPr>
          <w:rFonts w:ascii="宋体" w:hAnsi="宋体"/>
          <w:b/>
          <w:sz w:val="36"/>
          <w:szCs w:val="36"/>
        </w:rPr>
      </w:pPr>
      <w:r>
        <w:rPr>
          <w:rFonts w:hint="eastAsia" w:ascii="宋体" w:hAnsi="宋体"/>
          <w:b/>
          <w:sz w:val="36"/>
          <w:szCs w:val="36"/>
        </w:rPr>
        <w:t>投标报价</w:t>
      </w:r>
    </w:p>
    <w:p w14:paraId="59BBFC9D">
      <w:pPr>
        <w:jc w:val="center"/>
        <w:rPr>
          <w:rFonts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5858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0BC7A715">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1BE96250">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796E0AF2">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544EC4D6">
            <w:pPr>
              <w:jc w:val="center"/>
              <w:rPr>
                <w:rFonts w:ascii="宋体" w:hAnsi="宋体"/>
                <w:b/>
                <w:sz w:val="28"/>
                <w:szCs w:val="28"/>
              </w:rPr>
            </w:pPr>
            <w:r>
              <w:rPr>
                <w:rFonts w:hint="eastAsia" w:ascii="宋体" w:hAnsi="宋体"/>
                <w:b/>
                <w:sz w:val="28"/>
                <w:szCs w:val="28"/>
              </w:rPr>
              <w:t>报价</w:t>
            </w:r>
          </w:p>
        </w:tc>
      </w:tr>
      <w:tr w14:paraId="08E1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FA9B8AC">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584C9E9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FDE002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DA4A2DE">
            <w:pPr>
              <w:jc w:val="center"/>
              <w:rPr>
                <w:rFonts w:ascii="宋体" w:hAnsi="宋体"/>
                <w:sz w:val="24"/>
              </w:rPr>
            </w:pPr>
          </w:p>
        </w:tc>
      </w:tr>
      <w:tr w14:paraId="0B60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5EB4DB7">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1EABFF30">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6F09ED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79CEFC3">
            <w:pPr>
              <w:jc w:val="center"/>
              <w:rPr>
                <w:rFonts w:ascii="宋体" w:hAnsi="宋体"/>
                <w:sz w:val="24"/>
              </w:rPr>
            </w:pPr>
          </w:p>
        </w:tc>
      </w:tr>
      <w:tr w14:paraId="053E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6956AA1">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388AD11C">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0C61E5B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D66D161">
            <w:pPr>
              <w:jc w:val="center"/>
              <w:rPr>
                <w:rFonts w:ascii="宋体" w:hAnsi="宋体"/>
                <w:sz w:val="24"/>
              </w:rPr>
            </w:pPr>
          </w:p>
        </w:tc>
      </w:tr>
      <w:tr w14:paraId="7D79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8D9BA84">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1BDC0EB0">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6CBD7A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9056E3B">
            <w:pPr>
              <w:jc w:val="left"/>
              <w:rPr>
                <w:rFonts w:ascii="宋体" w:hAnsi="宋体"/>
                <w:sz w:val="24"/>
              </w:rPr>
            </w:pPr>
          </w:p>
        </w:tc>
      </w:tr>
      <w:tr w14:paraId="1A1C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4DA32EE">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44502775">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5B7DE1A">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6A1B4D0">
            <w:pPr>
              <w:jc w:val="left"/>
              <w:rPr>
                <w:rFonts w:ascii="宋体" w:hAnsi="宋体"/>
                <w:sz w:val="24"/>
              </w:rPr>
            </w:pPr>
          </w:p>
        </w:tc>
      </w:tr>
      <w:tr w14:paraId="66BD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B4CA5E1">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153563A4">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61F1CF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E3C08A8">
            <w:pPr>
              <w:jc w:val="left"/>
              <w:rPr>
                <w:rFonts w:ascii="宋体" w:hAnsi="宋体"/>
                <w:sz w:val="24"/>
              </w:rPr>
            </w:pPr>
          </w:p>
        </w:tc>
      </w:tr>
      <w:tr w14:paraId="4E77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5CA60C2">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EC7D4FF">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EC6042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A0415F8">
            <w:pPr>
              <w:jc w:val="left"/>
              <w:rPr>
                <w:rFonts w:ascii="宋体" w:hAnsi="宋体"/>
                <w:sz w:val="24"/>
              </w:rPr>
            </w:pPr>
          </w:p>
        </w:tc>
      </w:tr>
      <w:tr w14:paraId="78A0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F004F3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1661F8C">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08F146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8376401">
            <w:pPr>
              <w:jc w:val="center"/>
              <w:rPr>
                <w:rFonts w:ascii="宋体" w:hAnsi="宋体"/>
                <w:sz w:val="24"/>
              </w:rPr>
            </w:pPr>
          </w:p>
        </w:tc>
      </w:tr>
      <w:tr w14:paraId="7B92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7BAE44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3CA9C6F">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88B1503">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061524B">
            <w:pPr>
              <w:jc w:val="center"/>
              <w:rPr>
                <w:rFonts w:ascii="宋体" w:hAnsi="宋体"/>
                <w:sz w:val="24"/>
              </w:rPr>
            </w:pPr>
          </w:p>
        </w:tc>
      </w:tr>
      <w:tr w14:paraId="094B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B138A45">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607B3DB">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3A92E3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0883D79">
            <w:pPr>
              <w:jc w:val="center"/>
              <w:rPr>
                <w:rFonts w:ascii="宋体" w:hAnsi="宋体"/>
                <w:sz w:val="24"/>
              </w:rPr>
            </w:pPr>
          </w:p>
        </w:tc>
      </w:tr>
      <w:tr w14:paraId="74F3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269D037">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2271FE5">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AB0976A">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BC1B01B">
            <w:pPr>
              <w:jc w:val="center"/>
              <w:rPr>
                <w:rFonts w:ascii="宋体" w:hAnsi="宋体"/>
                <w:sz w:val="24"/>
              </w:rPr>
            </w:pPr>
          </w:p>
        </w:tc>
      </w:tr>
      <w:tr w14:paraId="7F1B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2A32510">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7EDFD73">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0938F912">
            <w:pPr>
              <w:jc w:val="center"/>
              <w:rPr>
                <w:rFonts w:ascii="宋体" w:hAnsi="宋体"/>
                <w:sz w:val="24"/>
              </w:rPr>
            </w:pPr>
          </w:p>
          <w:p w14:paraId="3119D172">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79A79FD8">
            <w:pPr>
              <w:jc w:val="center"/>
              <w:rPr>
                <w:rFonts w:ascii="宋体" w:hAnsi="宋体"/>
                <w:sz w:val="24"/>
              </w:rPr>
            </w:pPr>
          </w:p>
        </w:tc>
      </w:tr>
      <w:tr w14:paraId="2A5C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55E6DEE">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AD02CA1">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0928B146">
            <w:pPr>
              <w:jc w:val="center"/>
              <w:rPr>
                <w:rFonts w:ascii="宋体" w:hAnsi="宋体"/>
                <w:b/>
                <w:sz w:val="24"/>
              </w:rPr>
            </w:pPr>
          </w:p>
        </w:tc>
      </w:tr>
    </w:tbl>
    <w:p w14:paraId="42CA900E">
      <w:pPr>
        <w:jc w:val="center"/>
        <w:rPr>
          <w:rFonts w:ascii="宋体" w:hAnsi="宋体"/>
          <w:b/>
          <w:sz w:val="24"/>
        </w:rPr>
      </w:pPr>
    </w:p>
    <w:p w14:paraId="780AB2BC">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4F1E1DD8">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6B029BF9">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7BB709D2">
      <w:pPr>
        <w:jc w:val="center"/>
        <w:rPr>
          <w:rFonts w:ascii="宋体" w:hAnsi="宋体"/>
          <w:b/>
          <w:sz w:val="24"/>
        </w:rPr>
      </w:pPr>
    </w:p>
    <w:p w14:paraId="4AD669A8">
      <w:pPr>
        <w:jc w:val="center"/>
        <w:rPr>
          <w:rFonts w:ascii="宋体" w:hAnsi="宋体"/>
          <w:b/>
          <w:sz w:val="24"/>
        </w:rPr>
      </w:pPr>
    </w:p>
    <w:p w14:paraId="7413C06B">
      <w:pPr>
        <w:rPr>
          <w:rFonts w:ascii="宋体" w:hAnsi="宋体"/>
          <w:b/>
          <w:sz w:val="24"/>
        </w:rPr>
      </w:pPr>
    </w:p>
    <w:p w14:paraId="79C26D2A">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7784826B">
      <w:pPr>
        <w:rPr>
          <w:rFonts w:ascii="楷体_GB2312" w:eastAsia="楷体_GB2312"/>
        </w:rPr>
      </w:pPr>
    </w:p>
    <w:p w14:paraId="2DA2B673">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                 项目院内公开</w:t>
      </w:r>
      <w:r>
        <w:rPr>
          <w:rFonts w:hint="eastAsia" w:asciiTheme="minorEastAsia" w:hAnsiTheme="minorEastAsia" w:eastAsiaTheme="minorEastAsia"/>
          <w:bCs/>
          <w:sz w:val="24"/>
          <w:lang w:eastAsia="zh-CN"/>
        </w:rPr>
        <w:t>谈判</w:t>
      </w:r>
      <w:r>
        <w:rPr>
          <w:rFonts w:hint="eastAsia" w:asciiTheme="minorEastAsia" w:hAnsiTheme="minorEastAsia" w:eastAsiaTheme="minorEastAsia"/>
          <w:bCs/>
          <w:sz w:val="24"/>
        </w:rPr>
        <w:t>是实行公开、公平、公正的阳光工程，给予了每个供应商平等竞争的机会。作为参与此次院内公开谈判活动的承包商,我公司现郑重作出以下承诺：</w:t>
      </w:r>
    </w:p>
    <w:p w14:paraId="730A0F4D">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一、遵守《中华人民共和国政府采购法》及省、市有关政府采购的各项法律、法规和制度以及《扬州大学附属医院采购管理暂行办法》的规定。</w:t>
      </w:r>
    </w:p>
    <w:p w14:paraId="4A44BC8E">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305591D0">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680859A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2635E645">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5230B49A">
      <w:pPr>
        <w:pStyle w:val="12"/>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1C7691F2">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1808E88D">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756AF1C3">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0C063E1E">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40CDF1A2">
      <w:pPr>
        <w:pStyle w:val="7"/>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w:t>
      </w:r>
      <w:r>
        <w:rPr>
          <w:rFonts w:hint="eastAsia" w:asciiTheme="minorEastAsia" w:hAnsiTheme="minorEastAsia" w:eastAsiaTheme="minorEastAsia"/>
          <w:sz w:val="24"/>
          <w:lang w:val="en-US" w:eastAsia="zh-CN"/>
        </w:rPr>
        <w:t>26</w:t>
      </w:r>
      <w:r>
        <w:rPr>
          <w:rFonts w:hint="eastAsia" w:asciiTheme="minorEastAsia" w:hAnsiTheme="minorEastAsia" w:eastAsiaTheme="minorEastAsia"/>
          <w:sz w:val="24"/>
        </w:rPr>
        <w:t>年    月   日</w:t>
      </w:r>
    </w:p>
    <w:p w14:paraId="4195C967">
      <w:pPr>
        <w:jc w:val="center"/>
        <w:rPr>
          <w:rFonts w:ascii="宋体" w:hAnsi="宋体"/>
          <w:b/>
          <w:sz w:val="24"/>
        </w:rPr>
      </w:pPr>
    </w:p>
    <w:p w14:paraId="282F2953">
      <w:pPr>
        <w:rPr>
          <w:sz w:val="24"/>
        </w:rPr>
      </w:pPr>
    </w:p>
    <w:p w14:paraId="79F6D6C0">
      <w:pPr>
        <w:pStyle w:val="6"/>
      </w:pPr>
    </w:p>
    <w:p w14:paraId="33B8E66D">
      <w:pPr>
        <w:pStyle w:val="6"/>
      </w:pPr>
    </w:p>
    <w:p w14:paraId="40DC1F6E">
      <w:pPr>
        <w:pStyle w:val="6"/>
      </w:pPr>
    </w:p>
    <w:p w14:paraId="45E7383F">
      <w:pPr>
        <w:pStyle w:val="6"/>
      </w:pPr>
    </w:p>
    <w:p w14:paraId="16F3986D">
      <w:pPr>
        <w:spacing w:line="340" w:lineRule="exact"/>
        <w:jc w:val="center"/>
        <w:rPr>
          <w:rFonts w:eastAsia="楷体"/>
          <w:b/>
          <w:bCs/>
          <w:sz w:val="30"/>
          <w:szCs w:val="30"/>
        </w:rPr>
      </w:pPr>
      <w:r>
        <w:rPr>
          <w:rFonts w:hint="eastAsia" w:eastAsia="楷体"/>
          <w:b/>
          <w:bCs/>
          <w:sz w:val="30"/>
          <w:szCs w:val="30"/>
        </w:rPr>
        <w:t>扬州大学附属医院医学整形美容科、皮肤科、烧伤外科一体化线上推广宣传项目</w:t>
      </w:r>
      <w:r>
        <w:rPr>
          <w:rFonts w:eastAsia="楷体"/>
          <w:b/>
          <w:bCs/>
          <w:sz w:val="30"/>
          <w:szCs w:val="30"/>
        </w:rPr>
        <w:t>合同</w:t>
      </w:r>
    </w:p>
    <w:p w14:paraId="29EF057F">
      <w:pPr>
        <w:spacing w:line="360" w:lineRule="auto"/>
        <w:ind w:firstLine="420" w:firstLineChars="200"/>
        <w:textAlignment w:val="baseline"/>
        <w:rPr>
          <w:rFonts w:ascii="宋体" w:hAnsi="宋体"/>
          <w:szCs w:val="21"/>
        </w:rPr>
      </w:pPr>
      <w:r>
        <w:rPr>
          <w:rFonts w:hint="eastAsia" w:ascii="宋体" w:hAnsi="宋体"/>
          <w:szCs w:val="21"/>
        </w:rPr>
        <w:t>审计</w:t>
      </w:r>
      <w:r>
        <w:rPr>
          <w:rFonts w:ascii="宋体" w:hAnsi="宋体"/>
          <w:szCs w:val="21"/>
        </w:rPr>
        <w:t>编号：</w:t>
      </w:r>
    </w:p>
    <w:p w14:paraId="6ED1C258">
      <w:pPr>
        <w:spacing w:line="360" w:lineRule="auto"/>
        <w:ind w:firstLine="420" w:firstLineChars="200"/>
        <w:textAlignment w:val="baseline"/>
        <w:rPr>
          <w:rFonts w:ascii="宋体" w:hAnsi="宋体"/>
          <w:szCs w:val="21"/>
        </w:rPr>
      </w:pPr>
      <w:r>
        <w:rPr>
          <w:rFonts w:ascii="宋体" w:hAnsi="宋体"/>
          <w:szCs w:val="21"/>
        </w:rPr>
        <w:t>甲方：</w:t>
      </w:r>
      <w:r>
        <w:rPr>
          <w:rFonts w:hint="eastAsia" w:ascii="宋体" w:hAnsi="宋体"/>
          <w:szCs w:val="21"/>
        </w:rPr>
        <w:t>扬州大学附属医院</w:t>
      </w:r>
      <w:r>
        <w:rPr>
          <w:rFonts w:ascii="宋体" w:hAnsi="宋体"/>
          <w:szCs w:val="21"/>
        </w:rPr>
        <w:t xml:space="preserve">                        </w:t>
      </w:r>
    </w:p>
    <w:p w14:paraId="397B7D77">
      <w:pPr>
        <w:spacing w:line="360" w:lineRule="auto"/>
        <w:ind w:firstLine="420" w:firstLineChars="200"/>
        <w:textAlignment w:val="baseline"/>
        <w:rPr>
          <w:rFonts w:ascii="宋体" w:hAnsi="宋体"/>
          <w:szCs w:val="21"/>
        </w:rPr>
      </w:pPr>
      <w:r>
        <w:rPr>
          <w:rFonts w:ascii="宋体" w:hAnsi="宋体"/>
          <w:szCs w:val="21"/>
        </w:rPr>
        <w:t xml:space="preserve">乙方：                                  </w:t>
      </w:r>
    </w:p>
    <w:p w14:paraId="337611D3">
      <w:pPr>
        <w:spacing w:line="360" w:lineRule="auto"/>
        <w:ind w:firstLine="420" w:firstLineChars="200"/>
        <w:textAlignment w:val="baseline"/>
        <w:rPr>
          <w:rFonts w:ascii="宋体" w:hAnsi="宋体"/>
          <w:szCs w:val="21"/>
        </w:rPr>
      </w:pPr>
      <w:r>
        <w:rPr>
          <w:rFonts w:ascii="宋体" w:hAnsi="宋体"/>
          <w:szCs w:val="21"/>
        </w:rPr>
        <w:t>根据《中华人民共和国民法典》等相关法律法规的规定，甲乙双方在平等自愿、互利互惠的基础上，为明确双方权利义务，经双方协商一致，特签订以下合同条款。</w:t>
      </w:r>
    </w:p>
    <w:p w14:paraId="42705706">
      <w:pPr>
        <w:spacing w:line="360" w:lineRule="auto"/>
        <w:ind w:firstLine="420" w:firstLineChars="200"/>
        <w:textAlignment w:val="baseline"/>
        <w:rPr>
          <w:rFonts w:hint="eastAsia" w:ascii="宋体" w:hAnsi="宋体"/>
          <w:szCs w:val="21"/>
        </w:rPr>
      </w:pPr>
      <w:r>
        <w:rPr>
          <w:rFonts w:ascii="宋体" w:hAnsi="宋体"/>
          <w:szCs w:val="21"/>
        </w:rPr>
        <w:t>一、</w:t>
      </w:r>
      <w:r>
        <w:rPr>
          <w:rFonts w:hint="eastAsia" w:ascii="宋体" w:hAnsi="宋体"/>
          <w:szCs w:val="21"/>
        </w:rPr>
        <w:t>服务费用、内容和要求</w:t>
      </w:r>
    </w:p>
    <w:p w14:paraId="3D50F55F">
      <w:pPr>
        <w:spacing w:line="360" w:lineRule="auto"/>
        <w:ind w:firstLine="420" w:firstLineChars="200"/>
        <w:textAlignment w:val="baseline"/>
        <w:rPr>
          <w:rFonts w:ascii="宋体" w:hAnsi="宋体"/>
          <w:szCs w:val="21"/>
        </w:rPr>
      </w:pPr>
      <w:r>
        <w:rPr>
          <w:rFonts w:hint="eastAsia" w:ascii="宋体" w:hAnsi="宋体"/>
          <w:szCs w:val="21"/>
        </w:rPr>
        <w:t>1、乙方为甲方提供医院</w:t>
      </w:r>
      <w:r>
        <w:rPr>
          <w:rFonts w:hint="eastAsia" w:ascii="宋体" w:hAnsi="宋体" w:eastAsia="宋体" w:cs="Times New Roman"/>
          <w:szCs w:val="21"/>
        </w:rPr>
        <w:t>医学整形美容科、皮肤科、烧伤外科一体化线上推广宣传等相</w:t>
      </w:r>
      <w:r>
        <w:rPr>
          <w:rFonts w:hint="eastAsia" w:ascii="宋体" w:hAnsi="宋体"/>
          <w:szCs w:val="21"/>
        </w:rPr>
        <w:t>关事宜，详见招标文件。</w:t>
      </w:r>
    </w:p>
    <w:p w14:paraId="372387F5">
      <w:pPr>
        <w:spacing w:line="360" w:lineRule="auto"/>
        <w:ind w:firstLine="420" w:firstLineChars="200"/>
        <w:textAlignment w:val="baseline"/>
        <w:rPr>
          <w:rFonts w:hint="eastAsia" w:ascii="宋体" w:hAnsi="宋体"/>
          <w:szCs w:val="21"/>
        </w:rPr>
      </w:pPr>
      <w:r>
        <w:rPr>
          <w:rFonts w:hint="eastAsia" w:ascii="宋体" w:hAnsi="宋体"/>
          <w:szCs w:val="21"/>
        </w:rPr>
        <w:t>2、服务费用总计¥</w:t>
      </w:r>
      <w:r>
        <w:rPr>
          <w:rFonts w:hint="eastAsia" w:ascii="宋体" w:hAnsi="宋体"/>
          <w:szCs w:val="21"/>
          <w:lang w:val="en-US" w:eastAsia="zh-CN"/>
        </w:rPr>
        <w:t xml:space="preserve">   </w:t>
      </w:r>
      <w:r>
        <w:rPr>
          <w:rFonts w:hint="eastAsia" w:ascii="宋体" w:hAnsi="宋体"/>
          <w:szCs w:val="21"/>
        </w:rPr>
        <w:t>元（大写：人民币</w:t>
      </w:r>
      <w:r>
        <w:rPr>
          <w:rFonts w:hint="eastAsia" w:ascii="宋体" w:hAnsi="宋体"/>
          <w:szCs w:val="21"/>
          <w:lang w:val="en-US" w:eastAsia="zh-CN"/>
        </w:rPr>
        <w:t xml:space="preserve">    </w:t>
      </w:r>
      <w:r>
        <w:rPr>
          <w:rFonts w:hint="eastAsia" w:ascii="宋体" w:hAnsi="宋体"/>
          <w:szCs w:val="21"/>
        </w:rPr>
        <w:t>）。</w:t>
      </w:r>
    </w:p>
    <w:p w14:paraId="10DD986A">
      <w:pPr>
        <w:spacing w:line="360" w:lineRule="auto"/>
        <w:ind w:firstLine="420" w:firstLineChars="200"/>
        <w:textAlignment w:val="baseline"/>
        <w:rPr>
          <w:rFonts w:hint="eastAsia" w:ascii="宋体" w:hAnsi="宋体"/>
          <w:szCs w:val="21"/>
        </w:rPr>
      </w:pPr>
      <w:r>
        <w:rPr>
          <w:rFonts w:hint="eastAsia" w:ascii="宋体" w:hAnsi="宋体"/>
          <w:szCs w:val="21"/>
        </w:rPr>
        <w:t>二、</w:t>
      </w:r>
      <w:r>
        <w:rPr>
          <w:rFonts w:hint="eastAsia" w:ascii="宋体" w:hAnsi="宋体"/>
          <w:szCs w:val="21"/>
          <w:lang w:val="en-US" w:eastAsia="zh-CN"/>
        </w:rPr>
        <w:t>服务</w:t>
      </w:r>
      <w:r>
        <w:rPr>
          <w:rFonts w:hint="eastAsia" w:ascii="宋体" w:hAnsi="宋体"/>
          <w:szCs w:val="21"/>
        </w:rPr>
        <w:t>周期</w:t>
      </w:r>
    </w:p>
    <w:p w14:paraId="4C6F5F53">
      <w:pPr>
        <w:spacing w:line="360" w:lineRule="auto"/>
        <w:ind w:firstLine="420" w:firstLineChars="200"/>
        <w:textAlignment w:val="baseline"/>
        <w:rPr>
          <w:rFonts w:hint="eastAsia" w:ascii="宋体" w:hAnsi="宋体" w:eastAsia="宋体"/>
          <w:szCs w:val="21"/>
          <w:lang w:eastAsia="zh-CN"/>
        </w:rPr>
      </w:pPr>
      <w:r>
        <w:rPr>
          <w:rFonts w:hint="eastAsia" w:ascii="宋体" w:hAnsi="宋体"/>
          <w:szCs w:val="21"/>
        </w:rPr>
        <w:t>自合同生效之日期起</w:t>
      </w:r>
      <w:r>
        <w:rPr>
          <w:rFonts w:hint="eastAsia" w:ascii="宋体" w:hAnsi="宋体"/>
          <w:szCs w:val="21"/>
          <w:lang w:val="en-US" w:eastAsia="zh-CN"/>
        </w:rPr>
        <w:t>一年。</w:t>
      </w:r>
    </w:p>
    <w:p w14:paraId="15C4D360">
      <w:pPr>
        <w:spacing w:line="360" w:lineRule="auto"/>
        <w:ind w:firstLine="420" w:firstLineChars="200"/>
        <w:textAlignment w:val="baseline"/>
        <w:rPr>
          <w:rFonts w:ascii="宋体" w:hAnsi="宋体"/>
          <w:szCs w:val="21"/>
        </w:rPr>
      </w:pPr>
      <w:r>
        <w:rPr>
          <w:rFonts w:ascii="宋体" w:hAnsi="宋体"/>
          <w:szCs w:val="21"/>
        </w:rPr>
        <w:t>三、结算及付款方式</w:t>
      </w:r>
    </w:p>
    <w:p w14:paraId="4EBAA923">
      <w:pPr>
        <w:spacing w:line="360" w:lineRule="auto"/>
        <w:ind w:firstLine="420" w:firstLineChars="200"/>
        <w:textAlignment w:val="baseline"/>
        <w:rPr>
          <w:rFonts w:hint="eastAsia" w:ascii="宋体" w:hAnsi="宋体"/>
          <w:szCs w:val="21"/>
        </w:rPr>
      </w:pPr>
      <w:r>
        <w:rPr>
          <w:rFonts w:hint="eastAsia" w:ascii="宋体" w:hAnsi="宋体"/>
          <w:szCs w:val="21"/>
        </w:rPr>
        <w:t>本项目采用“绩效考核挂钩”的付款方式。合同总价款的支付将与以下关键绩效指标（KPI）的完成情况严格绑定：</w:t>
      </w:r>
    </w:p>
    <w:p w14:paraId="33455E57">
      <w:pPr>
        <w:spacing w:line="360" w:lineRule="auto"/>
        <w:ind w:firstLine="420" w:firstLineChars="200"/>
        <w:textAlignment w:val="baseline"/>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w:t>
      </w:r>
      <w:r>
        <w:rPr>
          <w:rFonts w:hint="eastAsia" w:ascii="宋体" w:hAnsi="宋体"/>
          <w:szCs w:val="21"/>
        </w:rPr>
        <w:t>过程指标（占合同价款的40%）：</w:t>
      </w:r>
    </w:p>
    <w:p w14:paraId="724F517C">
      <w:pPr>
        <w:spacing w:line="360" w:lineRule="auto"/>
        <w:ind w:firstLine="420" w:firstLineChars="200"/>
        <w:textAlignment w:val="baseline"/>
        <w:rPr>
          <w:rFonts w:hint="eastAsia" w:ascii="宋体" w:hAnsi="宋体"/>
          <w:szCs w:val="21"/>
        </w:rPr>
      </w:pPr>
      <w:r>
        <w:rPr>
          <w:rFonts w:hint="eastAsia" w:ascii="宋体" w:hAnsi="宋体"/>
          <w:szCs w:val="21"/>
          <w:lang w:val="en-US" w:eastAsia="zh-CN"/>
        </w:rPr>
        <w:t>1.账号建设与内容发布：</w:t>
      </w:r>
      <w:r>
        <w:rPr>
          <w:rFonts w:hint="eastAsia" w:ascii="宋体" w:hAnsi="宋体"/>
          <w:szCs w:val="21"/>
        </w:rPr>
        <w:t>按合同约定时间完成账号认证、装修，并严格按计划完成每月/每季度内容发布数量与质量要求（以院方审核通过为准）。</w:t>
      </w:r>
    </w:p>
    <w:p w14:paraId="5D8D69D9">
      <w:pPr>
        <w:spacing w:line="360" w:lineRule="auto"/>
        <w:ind w:firstLine="420" w:firstLineChars="200"/>
        <w:textAlignment w:val="baseline"/>
        <w:rPr>
          <w:rFonts w:hint="eastAsia" w:ascii="宋体" w:hAnsi="宋体"/>
          <w:szCs w:val="21"/>
        </w:rPr>
      </w:pPr>
      <w:r>
        <w:rPr>
          <w:rFonts w:hint="eastAsia" w:ascii="宋体" w:hAnsi="宋体"/>
          <w:szCs w:val="21"/>
          <w:lang w:val="en-US" w:eastAsia="zh-CN"/>
        </w:rPr>
        <w:t>2.报告提交：</w:t>
      </w:r>
      <w:r>
        <w:rPr>
          <w:rFonts w:hint="eastAsia" w:ascii="宋体" w:hAnsi="宋体"/>
          <w:szCs w:val="21"/>
        </w:rPr>
        <w:t>按时提交内容规划、月度报告、季度总结，报告质量符合要求。</w:t>
      </w:r>
    </w:p>
    <w:p w14:paraId="013828F3">
      <w:pPr>
        <w:spacing w:line="360" w:lineRule="auto"/>
        <w:ind w:firstLine="420" w:firstLineChars="200"/>
        <w:textAlignment w:val="baseline"/>
        <w:rPr>
          <w:rFonts w:hint="eastAsia" w:ascii="宋体" w:hAnsi="宋体"/>
          <w:szCs w:val="21"/>
        </w:rPr>
      </w:pPr>
      <w:r>
        <w:rPr>
          <w:rFonts w:hint="eastAsia" w:ascii="宋体" w:hAnsi="宋体"/>
          <w:szCs w:val="21"/>
          <w:lang w:val="en-US" w:eastAsia="zh-CN"/>
        </w:rPr>
        <w:t>3.推广活动执行：</w:t>
      </w:r>
      <w:r>
        <w:rPr>
          <w:rFonts w:hint="eastAsia" w:ascii="宋体" w:hAnsi="宋体"/>
          <w:szCs w:val="21"/>
        </w:rPr>
        <w:t>按计划完成达人联动、素人笔记、话题运营等活动的次数与数量。</w:t>
      </w:r>
    </w:p>
    <w:p w14:paraId="56294A82">
      <w:pPr>
        <w:spacing w:line="360" w:lineRule="auto"/>
        <w:ind w:firstLine="420" w:firstLineChars="200"/>
        <w:textAlignment w:val="baseline"/>
        <w:rPr>
          <w:rFonts w:hint="eastAsia" w:ascii="宋体" w:hAnsi="宋体"/>
          <w:szCs w:val="21"/>
          <w:lang w:val="en-US" w:eastAsia="zh-CN"/>
        </w:rPr>
      </w:pPr>
      <w:r>
        <w:rPr>
          <w:rFonts w:hint="eastAsia" w:ascii="宋体" w:hAnsi="宋体"/>
          <w:szCs w:val="21"/>
          <w:lang w:val="en-US" w:eastAsia="zh-CN"/>
        </w:rPr>
        <w:t>（二）效果指标（占合同价款的60%）：</w:t>
      </w:r>
    </w:p>
    <w:p w14:paraId="4A7A899A">
      <w:pPr>
        <w:spacing w:line="360" w:lineRule="auto"/>
        <w:ind w:firstLine="420" w:firstLineChars="200"/>
        <w:textAlignment w:val="baseline"/>
        <w:rPr>
          <w:rFonts w:hint="eastAsia" w:ascii="宋体" w:hAnsi="宋体"/>
          <w:szCs w:val="21"/>
        </w:rPr>
      </w:pPr>
      <w:r>
        <w:rPr>
          <w:rFonts w:hint="eastAsia" w:ascii="宋体" w:hAnsi="宋体"/>
          <w:szCs w:val="21"/>
        </w:rPr>
        <w:t>本项目效果评估不仅限于线上数据，更关注对线下实际业务的正面影响。将重点考核以下科室业务增长数据，作为评估项目成效、合同续签及后续推广合理性的核心依据。数据来源以医院信息系统（HIS）统计为准。</w:t>
      </w:r>
    </w:p>
    <w:p w14:paraId="67BFE2AE">
      <w:pPr>
        <w:spacing w:line="360" w:lineRule="auto"/>
        <w:ind w:firstLine="420" w:firstLineChars="200"/>
        <w:textAlignment w:val="baseline"/>
        <w:rPr>
          <w:rFonts w:hint="eastAsia" w:ascii="宋体" w:hAnsi="宋体"/>
          <w:szCs w:val="21"/>
        </w:rPr>
      </w:pPr>
      <w:r>
        <w:rPr>
          <w:rFonts w:hint="eastAsia" w:ascii="宋体" w:hAnsi="宋体"/>
          <w:szCs w:val="21"/>
          <w:lang w:val="en-US" w:eastAsia="zh-CN"/>
        </w:rPr>
        <w:t>1.品牌传播效果（20分）：</w:t>
      </w:r>
      <w:r>
        <w:rPr>
          <w:rFonts w:hint="eastAsia" w:ascii="宋体" w:hAnsi="宋体"/>
          <w:szCs w:val="21"/>
        </w:rPr>
        <w:t>合同期内，各运营平台总粉丝量增长不低于；总内容曝光量不低于；互动率（点赞、评论、收藏、转发）不低于行业同期平均水平。</w:t>
      </w:r>
    </w:p>
    <w:p w14:paraId="67D904F7">
      <w:pPr>
        <w:spacing w:line="360" w:lineRule="auto"/>
        <w:ind w:firstLine="420" w:firstLineChars="200"/>
        <w:textAlignment w:val="baseline"/>
        <w:rPr>
          <w:rFonts w:hint="eastAsia" w:ascii="宋体" w:hAnsi="宋体"/>
          <w:szCs w:val="21"/>
        </w:rPr>
      </w:pPr>
      <w:r>
        <w:rPr>
          <w:rFonts w:hint="eastAsia" w:ascii="宋体" w:hAnsi="宋体"/>
          <w:szCs w:val="21"/>
          <w:lang w:val="en-US" w:eastAsia="zh-CN"/>
        </w:rPr>
        <w:t>2.</w:t>
      </w:r>
      <w:r>
        <w:rPr>
          <w:rFonts w:hint="eastAsia" w:ascii="宋体" w:hAnsi="宋体"/>
          <w:szCs w:val="21"/>
        </w:rPr>
        <w:t>业务促进效果（40分）：</w:t>
      </w:r>
    </w:p>
    <w:p w14:paraId="07322B11">
      <w:pPr>
        <w:spacing w:line="360" w:lineRule="auto"/>
        <w:ind w:firstLine="420" w:firstLineChars="200"/>
        <w:textAlignment w:val="baseline"/>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科室线上总咨询量（通过运营内容引导至医院官方渠道的咨询）较服务期前六个月平均值提升_</w:t>
      </w:r>
      <w:r>
        <w:rPr>
          <w:rFonts w:hint="eastAsia" w:ascii="宋体" w:hAnsi="宋体"/>
          <w:szCs w:val="21"/>
          <w:lang w:val="en-US" w:eastAsia="zh-CN"/>
        </w:rPr>
        <w:t>15</w:t>
      </w:r>
      <w:r>
        <w:rPr>
          <w:rFonts w:hint="eastAsia" w:ascii="宋体" w:hAnsi="宋体"/>
          <w:szCs w:val="21"/>
        </w:rPr>
        <w:t>__%。</w:t>
      </w:r>
    </w:p>
    <w:p w14:paraId="284AF69D">
      <w:pPr>
        <w:spacing w:line="360" w:lineRule="auto"/>
        <w:ind w:firstLine="420" w:firstLineChars="200"/>
        <w:textAlignment w:val="baseline"/>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医学整形美容科</w:t>
      </w:r>
      <w:r>
        <w:rPr>
          <w:rFonts w:hint="eastAsia" w:ascii="宋体" w:hAnsi="宋体"/>
          <w:szCs w:val="21"/>
          <w:lang w:eastAsia="zh-CN"/>
        </w:rPr>
        <w:t>、</w:t>
      </w:r>
      <w:r>
        <w:rPr>
          <w:rFonts w:hint="eastAsia" w:ascii="宋体" w:hAnsi="宋体"/>
          <w:szCs w:val="21"/>
        </w:rPr>
        <w:t>皮肤科、烧伤外科三科的合计门诊量，在服务期内较上年同期增长率不低于_</w:t>
      </w:r>
      <w:r>
        <w:rPr>
          <w:rFonts w:hint="eastAsia" w:ascii="宋体" w:hAnsi="宋体"/>
          <w:szCs w:val="21"/>
          <w:lang w:val="en-US" w:eastAsia="zh-CN"/>
        </w:rPr>
        <w:t>15</w:t>
      </w:r>
      <w:r>
        <w:rPr>
          <w:rFonts w:hint="eastAsia" w:ascii="宋体" w:hAnsi="宋体"/>
          <w:szCs w:val="21"/>
        </w:rPr>
        <w:t>__%。</w:t>
      </w:r>
    </w:p>
    <w:p w14:paraId="2164C870">
      <w:pPr>
        <w:spacing w:line="360" w:lineRule="auto"/>
        <w:ind w:firstLine="420" w:firstLineChars="200"/>
        <w:textAlignment w:val="baseline"/>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医学整形美容科</w:t>
      </w:r>
      <w:r>
        <w:rPr>
          <w:rFonts w:hint="eastAsia" w:ascii="宋体" w:hAnsi="宋体"/>
          <w:szCs w:val="21"/>
          <w:lang w:eastAsia="zh-CN"/>
        </w:rPr>
        <w:t>、</w:t>
      </w:r>
      <w:r>
        <w:rPr>
          <w:rFonts w:hint="eastAsia" w:ascii="宋体" w:hAnsi="宋体"/>
          <w:szCs w:val="21"/>
        </w:rPr>
        <w:t>皮肤科、烧伤外科的</w:t>
      </w:r>
      <w:r>
        <w:rPr>
          <w:rFonts w:hint="eastAsia" w:ascii="宋体" w:hAnsi="宋体"/>
          <w:szCs w:val="21"/>
          <w:lang w:val="en-US" w:eastAsia="zh-CN"/>
        </w:rPr>
        <w:t>合计</w:t>
      </w:r>
      <w:r>
        <w:rPr>
          <w:rFonts w:hint="eastAsia" w:ascii="宋体" w:hAnsi="宋体"/>
          <w:szCs w:val="21"/>
        </w:rPr>
        <w:t>手术量/治疗量，在服务期内较上年同期增长率不低于_</w:t>
      </w:r>
      <w:r>
        <w:rPr>
          <w:rFonts w:hint="eastAsia" w:ascii="宋体" w:hAnsi="宋体"/>
          <w:szCs w:val="21"/>
          <w:lang w:val="en-US" w:eastAsia="zh-CN"/>
        </w:rPr>
        <w:t>15</w:t>
      </w:r>
      <w:r>
        <w:rPr>
          <w:rFonts w:hint="eastAsia" w:ascii="宋体" w:hAnsi="宋体"/>
          <w:szCs w:val="21"/>
        </w:rPr>
        <w:t>___%。</w:t>
      </w:r>
    </w:p>
    <w:p w14:paraId="3D677FA8">
      <w:pPr>
        <w:spacing w:line="360" w:lineRule="auto"/>
        <w:ind w:firstLine="420" w:firstLineChars="200"/>
        <w:textAlignment w:val="baseline"/>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三</w:t>
      </w:r>
      <w:r>
        <w:rPr>
          <w:rFonts w:hint="eastAsia" w:ascii="宋体" w:hAnsi="宋体"/>
          <w:szCs w:val="21"/>
          <w:lang w:eastAsia="zh-CN"/>
        </w:rPr>
        <w:t>）</w:t>
      </w:r>
      <w:r>
        <w:rPr>
          <w:rFonts w:hint="eastAsia" w:ascii="宋体" w:hAnsi="宋体"/>
          <w:szCs w:val="21"/>
        </w:rPr>
        <w:t>付款方式：</w:t>
      </w:r>
    </w:p>
    <w:p w14:paraId="5B7BA15C">
      <w:pPr>
        <w:spacing w:line="360" w:lineRule="auto"/>
        <w:ind w:firstLine="420" w:firstLineChars="200"/>
        <w:textAlignment w:val="baseline"/>
        <w:rPr>
          <w:rFonts w:hint="eastAsia" w:ascii="宋体" w:hAnsi="宋体"/>
          <w:szCs w:val="21"/>
        </w:rPr>
      </w:pPr>
      <w:r>
        <w:rPr>
          <w:rFonts w:hint="eastAsia" w:ascii="宋体" w:hAnsi="宋体"/>
          <w:szCs w:val="21"/>
          <w:lang w:val="en-US" w:eastAsia="zh-CN"/>
        </w:rPr>
        <w:t>1.</w:t>
      </w:r>
      <w:r>
        <w:rPr>
          <w:rFonts w:hint="eastAsia" w:ascii="宋体" w:hAnsi="宋体"/>
          <w:szCs w:val="21"/>
        </w:rPr>
        <w:t>服务期满6个月后，根据过程指标（40%）和中期效果指标（20%）的完成情况，支付至合同总价的</w:t>
      </w:r>
      <w:r>
        <w:rPr>
          <w:rFonts w:hint="eastAsia" w:ascii="宋体" w:hAnsi="宋体"/>
          <w:szCs w:val="21"/>
          <w:lang w:val="en-US" w:eastAsia="zh-CN"/>
        </w:rPr>
        <w:t>5</w:t>
      </w:r>
      <w:r>
        <w:rPr>
          <w:rFonts w:hint="eastAsia" w:ascii="宋体" w:hAnsi="宋体"/>
          <w:szCs w:val="21"/>
        </w:rPr>
        <w:t>0%。</w:t>
      </w:r>
    </w:p>
    <w:p w14:paraId="026208E7">
      <w:pPr>
        <w:spacing w:line="360" w:lineRule="auto"/>
        <w:ind w:firstLine="420" w:firstLineChars="200"/>
        <w:textAlignment w:val="baseline"/>
        <w:rPr>
          <w:rFonts w:ascii="宋体" w:hAnsi="宋体"/>
          <w:szCs w:val="21"/>
        </w:rPr>
      </w:pPr>
      <w:r>
        <w:rPr>
          <w:rFonts w:hint="eastAsia" w:ascii="宋体" w:hAnsi="宋体"/>
          <w:szCs w:val="21"/>
          <w:lang w:val="en-US" w:eastAsia="zh-CN"/>
        </w:rPr>
        <w:t>2.</w:t>
      </w:r>
      <w:r>
        <w:rPr>
          <w:rFonts w:hint="eastAsia" w:ascii="宋体" w:hAnsi="宋体"/>
          <w:szCs w:val="21"/>
        </w:rPr>
        <w:t>服务期满12个月，项目全部验收合格，并根据全年效果指标（40%）的最终完成率进行结算，支付尾款。若效果指标未达成，将按比例扣减相应合同款项。具体考核与付款细则将在合同中明确。</w:t>
      </w:r>
    </w:p>
    <w:p w14:paraId="1C9AA57A">
      <w:pPr>
        <w:spacing w:line="360" w:lineRule="auto"/>
        <w:ind w:firstLine="420" w:firstLineChars="200"/>
        <w:textAlignment w:val="baseline"/>
        <w:rPr>
          <w:rFonts w:hint="eastAsia" w:ascii="宋体" w:hAnsi="宋体"/>
          <w:szCs w:val="21"/>
        </w:rPr>
      </w:pPr>
      <w:r>
        <w:rPr>
          <w:rFonts w:ascii="宋体" w:hAnsi="宋体"/>
          <w:szCs w:val="21"/>
        </w:rPr>
        <w:t>四、</w:t>
      </w:r>
      <w:r>
        <w:rPr>
          <w:rFonts w:hint="eastAsia" w:ascii="宋体" w:hAnsi="宋体"/>
          <w:szCs w:val="21"/>
        </w:rPr>
        <w:t>知识产权</w:t>
      </w:r>
    </w:p>
    <w:p w14:paraId="41CFFE3A">
      <w:pPr>
        <w:spacing w:line="360" w:lineRule="auto"/>
        <w:ind w:firstLine="420" w:firstLineChars="200"/>
        <w:textAlignment w:val="baseline"/>
        <w:rPr>
          <w:rFonts w:ascii="宋体" w:hAnsi="宋体"/>
          <w:szCs w:val="21"/>
        </w:rPr>
      </w:pPr>
      <w:r>
        <w:rPr>
          <w:rFonts w:hint="eastAsia" w:ascii="宋体" w:hAnsi="宋体"/>
          <w:szCs w:val="21"/>
        </w:rPr>
        <w:t>乙方应保证</w:t>
      </w:r>
      <w:r>
        <w:rPr>
          <w:rFonts w:hint="eastAsia" w:ascii="宋体" w:hAnsi="宋体"/>
          <w:szCs w:val="21"/>
          <w:lang w:val="en-US" w:eastAsia="zh-CN"/>
        </w:rPr>
        <w:t>在进行相关宣传时</w:t>
      </w:r>
      <w:r>
        <w:rPr>
          <w:rFonts w:hint="eastAsia" w:ascii="宋体" w:hAnsi="宋体"/>
          <w:szCs w:val="21"/>
        </w:rPr>
        <w:t>不受第三方提出侵犯其专利权、著作权、商标权等知识产权的起诉。一旦出现侵权，乙方应承担全部责任。</w:t>
      </w:r>
    </w:p>
    <w:p w14:paraId="417E6356">
      <w:pPr>
        <w:spacing w:line="360" w:lineRule="auto"/>
        <w:ind w:firstLine="420" w:firstLineChars="200"/>
        <w:textAlignment w:val="baseline"/>
        <w:rPr>
          <w:rFonts w:ascii="宋体" w:hAnsi="宋体"/>
          <w:szCs w:val="21"/>
        </w:rPr>
      </w:pPr>
      <w:r>
        <w:rPr>
          <w:rFonts w:ascii="宋体" w:hAnsi="宋体"/>
          <w:szCs w:val="21"/>
        </w:rPr>
        <w:t>五、风险责任的承担</w:t>
      </w:r>
    </w:p>
    <w:p w14:paraId="6D7422BE">
      <w:pPr>
        <w:spacing w:line="360" w:lineRule="auto"/>
        <w:ind w:firstLine="420" w:firstLineChars="200"/>
        <w:textAlignment w:val="baseline"/>
        <w:rPr>
          <w:rFonts w:ascii="宋体" w:hAnsi="宋体"/>
          <w:szCs w:val="21"/>
        </w:rPr>
      </w:pPr>
      <w:r>
        <w:rPr>
          <w:rFonts w:ascii="宋体" w:hAnsi="宋体"/>
          <w:szCs w:val="21"/>
        </w:rPr>
        <w:t>1、在履行本合同的过程中，确因在现有水平和条件下难以克服的技术困难，导致本项目部分或全部失败所造成的损失，风险全部责任由乙方承担。</w:t>
      </w:r>
    </w:p>
    <w:p w14:paraId="50E77BA4">
      <w:pPr>
        <w:spacing w:line="360" w:lineRule="auto"/>
        <w:ind w:firstLine="420" w:firstLineChars="200"/>
        <w:textAlignment w:val="baseline"/>
        <w:rPr>
          <w:rFonts w:ascii="宋体" w:hAnsi="宋体"/>
          <w:szCs w:val="21"/>
        </w:rPr>
      </w:pPr>
      <w:r>
        <w:rPr>
          <w:rFonts w:ascii="宋体" w:hAnsi="宋体"/>
          <w:szCs w:val="21"/>
        </w:rPr>
        <w:t>2、如果乙方、甲方中任何一方因为不可抗力而使合同履行受阻时，经双方协商，履行合同的期限可适当延长。</w:t>
      </w:r>
    </w:p>
    <w:p w14:paraId="25902B8B">
      <w:pPr>
        <w:spacing w:line="360" w:lineRule="auto"/>
        <w:ind w:firstLine="420" w:firstLineChars="200"/>
        <w:textAlignment w:val="baseline"/>
        <w:rPr>
          <w:rFonts w:ascii="宋体" w:hAnsi="宋体"/>
          <w:szCs w:val="21"/>
        </w:rPr>
      </w:pPr>
      <w:r>
        <w:rPr>
          <w:rFonts w:ascii="宋体" w:hAnsi="宋体"/>
          <w:szCs w:val="21"/>
        </w:rPr>
        <w:t>3、如因乙方破产或经营状况恶化、本项目团队发生重大变化而丧失或可能丧失合同履行能力，甲方有权终止部分或全部合同。</w:t>
      </w:r>
    </w:p>
    <w:p w14:paraId="1960320D">
      <w:pPr>
        <w:spacing w:line="360" w:lineRule="auto"/>
        <w:ind w:firstLine="420" w:firstLineChars="200"/>
        <w:textAlignment w:val="baseline"/>
        <w:rPr>
          <w:rFonts w:ascii="宋体" w:hAnsi="宋体"/>
          <w:szCs w:val="21"/>
        </w:rPr>
      </w:pPr>
      <w:r>
        <w:rPr>
          <w:rFonts w:hint="eastAsia" w:ascii="宋体" w:hAnsi="宋体"/>
          <w:szCs w:val="21"/>
        </w:rPr>
        <w:t>六</w:t>
      </w:r>
      <w:r>
        <w:rPr>
          <w:rFonts w:ascii="宋体" w:hAnsi="宋体"/>
          <w:szCs w:val="21"/>
        </w:rPr>
        <w:t>、违约责任</w:t>
      </w:r>
    </w:p>
    <w:p w14:paraId="05C0AA54">
      <w:pPr>
        <w:spacing w:line="360" w:lineRule="auto"/>
        <w:ind w:firstLine="420" w:firstLineChars="200"/>
        <w:textAlignment w:val="baseline"/>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如乙方不能按本合同约定如期</w:t>
      </w:r>
      <w:r>
        <w:rPr>
          <w:rFonts w:hint="eastAsia" w:ascii="宋体" w:hAnsi="宋体"/>
          <w:szCs w:val="21"/>
          <w:lang w:val="en-US" w:eastAsia="zh-CN"/>
        </w:rPr>
        <w:t>提供相关宣传服务</w:t>
      </w:r>
      <w:r>
        <w:rPr>
          <w:rFonts w:hint="eastAsia" w:ascii="宋体" w:hAnsi="宋体"/>
          <w:szCs w:val="21"/>
        </w:rPr>
        <w:t>，视为乙方违约，乙方须向甲方支付违约金，违约金的计算办法为每延迟一天按合同额的1%计算，不足一天按一天计算，由甲方在应付款项内扣除。</w:t>
      </w:r>
    </w:p>
    <w:p w14:paraId="4A78790D">
      <w:pPr>
        <w:spacing w:line="360" w:lineRule="auto"/>
        <w:ind w:firstLine="420" w:firstLineChars="200"/>
        <w:textAlignment w:val="baseline"/>
        <w:rPr>
          <w:rFonts w:hint="eastAsia" w:ascii="宋体" w:hAnsi="宋体"/>
          <w:szCs w:val="21"/>
        </w:rPr>
      </w:pPr>
      <w:r>
        <w:rPr>
          <w:rFonts w:hint="eastAsia" w:ascii="宋体" w:hAnsi="宋体"/>
          <w:szCs w:val="21"/>
        </w:rPr>
        <w:t>2、甲方未按本合同规定如期如数付款，每逾期一天按应付金额的0.1%计算向乙方支付违约金，不足一天按一天计算。</w:t>
      </w:r>
    </w:p>
    <w:p w14:paraId="22722175">
      <w:pPr>
        <w:spacing w:line="360" w:lineRule="auto"/>
        <w:ind w:firstLine="420" w:firstLineChars="200"/>
        <w:textAlignment w:val="baseline"/>
        <w:rPr>
          <w:rFonts w:hint="eastAsia" w:ascii="宋体" w:hAnsi="宋体"/>
          <w:szCs w:val="21"/>
        </w:rPr>
      </w:pPr>
      <w:r>
        <w:rPr>
          <w:rFonts w:hint="eastAsia" w:ascii="宋体" w:hAnsi="宋体"/>
          <w:szCs w:val="21"/>
        </w:rPr>
        <w:t>3、违约金额超过合同总额的20％时，合同立即终止执行，守约方有权提出索赔，双方将在法律规定的范围内处理善后事宜。</w:t>
      </w:r>
    </w:p>
    <w:p w14:paraId="2E1AB7CB">
      <w:pPr>
        <w:spacing w:line="360" w:lineRule="auto"/>
        <w:ind w:firstLine="420" w:firstLineChars="200"/>
        <w:textAlignment w:val="baseline"/>
        <w:rPr>
          <w:rFonts w:hint="eastAsia" w:ascii="宋体" w:hAnsi="宋体"/>
          <w:szCs w:val="21"/>
        </w:rPr>
      </w:pPr>
      <w:r>
        <w:rPr>
          <w:rFonts w:hint="eastAsia" w:ascii="宋体" w:hAnsi="宋体"/>
          <w:szCs w:val="21"/>
        </w:rPr>
        <w:t>4、如果违约方在收到守约方正式书面通知的违约金额两周内没有答复，则守约方提出的违约金额将视为被违约方接受。</w:t>
      </w:r>
    </w:p>
    <w:p w14:paraId="05E9FF23">
      <w:pPr>
        <w:spacing w:line="360" w:lineRule="auto"/>
        <w:ind w:firstLine="420" w:firstLineChars="200"/>
        <w:textAlignment w:val="baseline"/>
        <w:rPr>
          <w:rFonts w:ascii="宋体" w:hAnsi="宋体"/>
          <w:szCs w:val="21"/>
        </w:rPr>
      </w:pPr>
      <w:r>
        <w:rPr>
          <w:rFonts w:hint="eastAsia" w:ascii="宋体" w:hAnsi="宋体"/>
          <w:szCs w:val="21"/>
        </w:rPr>
        <w:t>5、如甲方未按照合同规定支付相应款项，乙方有权暂停服务，直至甲方支付相关款项。</w:t>
      </w:r>
    </w:p>
    <w:p w14:paraId="7C8819B4">
      <w:pPr>
        <w:spacing w:line="360" w:lineRule="auto"/>
        <w:ind w:firstLine="420" w:firstLineChars="200"/>
        <w:textAlignment w:val="baseline"/>
        <w:rPr>
          <w:rFonts w:ascii="宋体" w:hAnsi="宋体"/>
          <w:szCs w:val="21"/>
        </w:rPr>
      </w:pPr>
      <w:r>
        <w:rPr>
          <w:rFonts w:hint="eastAsia" w:ascii="宋体" w:hAnsi="宋体"/>
          <w:szCs w:val="21"/>
        </w:rPr>
        <w:t>七</w:t>
      </w:r>
      <w:r>
        <w:rPr>
          <w:rFonts w:ascii="宋体" w:hAnsi="宋体"/>
          <w:szCs w:val="21"/>
        </w:rPr>
        <w:t>、不可抗力</w:t>
      </w:r>
    </w:p>
    <w:p w14:paraId="1FF92169">
      <w:pPr>
        <w:spacing w:line="360" w:lineRule="auto"/>
        <w:ind w:firstLine="420" w:firstLineChars="200"/>
        <w:textAlignment w:val="baseline"/>
        <w:rPr>
          <w:rFonts w:ascii="宋体" w:hAnsi="宋体"/>
          <w:szCs w:val="21"/>
        </w:rPr>
      </w:pPr>
      <w:r>
        <w:rPr>
          <w:rFonts w:ascii="宋体" w:hAnsi="宋体"/>
          <w:szCs w:val="21"/>
        </w:rPr>
        <w:t>合同履行过程中出现不可抗力情形，致使一方或双方不能履行合同约定条款时，不能履行方应在不可抗力情形发生之日起 3日内向对方书面通知，在取得合法机关有效证明后，根据不可抗力对合同履行的影响程度，经另一方同意后，履行方可延期履行、部分履行或不履行合同义务，并可根据情况部分或全部免除履行方责任。</w:t>
      </w:r>
    </w:p>
    <w:p w14:paraId="7A5F1C29">
      <w:pPr>
        <w:spacing w:line="360" w:lineRule="auto"/>
        <w:ind w:firstLine="420" w:firstLineChars="200"/>
        <w:textAlignment w:val="baseline"/>
        <w:rPr>
          <w:rFonts w:ascii="宋体" w:hAnsi="宋体"/>
          <w:szCs w:val="21"/>
        </w:rPr>
      </w:pPr>
      <w:r>
        <w:rPr>
          <w:rFonts w:hint="eastAsia" w:ascii="宋体" w:hAnsi="宋体"/>
          <w:szCs w:val="21"/>
        </w:rPr>
        <w:t>八</w:t>
      </w:r>
      <w:r>
        <w:rPr>
          <w:rFonts w:ascii="宋体" w:hAnsi="宋体"/>
          <w:szCs w:val="21"/>
        </w:rPr>
        <w:t>、保密约定</w:t>
      </w:r>
    </w:p>
    <w:p w14:paraId="114BB5F0">
      <w:pPr>
        <w:spacing w:line="360" w:lineRule="auto"/>
        <w:ind w:firstLine="420" w:firstLineChars="200"/>
        <w:textAlignment w:val="baseline"/>
        <w:rPr>
          <w:rFonts w:ascii="宋体" w:hAnsi="宋体"/>
          <w:szCs w:val="21"/>
        </w:rPr>
      </w:pPr>
      <w:r>
        <w:rPr>
          <w:rFonts w:ascii="宋体" w:hAnsi="宋体"/>
          <w:szCs w:val="21"/>
        </w:rPr>
        <w:t>乙方不得向任何第三方泄漏在履行本协议过程中所了解或接触到的甲方的商业秘密及其他机密资料和信息。本保密条款在本协议期满或终止后继续有效。</w:t>
      </w:r>
    </w:p>
    <w:p w14:paraId="2DC81522">
      <w:pPr>
        <w:spacing w:line="360" w:lineRule="auto"/>
        <w:ind w:firstLine="420" w:firstLineChars="200"/>
        <w:textAlignment w:val="baseline"/>
        <w:rPr>
          <w:rFonts w:ascii="宋体" w:hAnsi="宋体"/>
          <w:szCs w:val="21"/>
        </w:rPr>
      </w:pPr>
      <w:r>
        <w:rPr>
          <w:rFonts w:hint="eastAsia" w:ascii="宋体" w:hAnsi="宋体"/>
          <w:szCs w:val="21"/>
        </w:rPr>
        <w:t>九</w:t>
      </w:r>
      <w:r>
        <w:rPr>
          <w:rFonts w:ascii="宋体" w:hAnsi="宋体"/>
          <w:szCs w:val="21"/>
        </w:rPr>
        <w:t>、税费</w:t>
      </w:r>
    </w:p>
    <w:p w14:paraId="171EF289">
      <w:pPr>
        <w:spacing w:line="360" w:lineRule="auto"/>
        <w:ind w:firstLine="420" w:firstLineChars="200"/>
        <w:textAlignment w:val="baseline"/>
        <w:rPr>
          <w:rFonts w:ascii="宋体" w:hAnsi="宋体"/>
          <w:szCs w:val="21"/>
        </w:rPr>
      </w:pPr>
      <w:r>
        <w:rPr>
          <w:rFonts w:ascii="宋体" w:hAnsi="宋体"/>
          <w:szCs w:val="21"/>
        </w:rPr>
        <w:t>本项目交付甲方验收合格前发生的一切税费均由乙方负担。</w:t>
      </w:r>
    </w:p>
    <w:p w14:paraId="5E763542">
      <w:pPr>
        <w:spacing w:line="360" w:lineRule="auto"/>
        <w:ind w:firstLine="420" w:firstLineChars="200"/>
        <w:textAlignment w:val="baseline"/>
        <w:rPr>
          <w:rFonts w:ascii="宋体" w:hAnsi="宋体"/>
          <w:szCs w:val="21"/>
        </w:rPr>
      </w:pPr>
      <w:r>
        <w:rPr>
          <w:rFonts w:ascii="宋体" w:hAnsi="宋体"/>
          <w:szCs w:val="21"/>
        </w:rPr>
        <w:t>十、争议解决方法</w:t>
      </w:r>
    </w:p>
    <w:p w14:paraId="061CB15E">
      <w:pPr>
        <w:spacing w:line="360" w:lineRule="auto"/>
        <w:ind w:firstLine="420" w:firstLineChars="200"/>
        <w:textAlignment w:val="baseline"/>
        <w:rPr>
          <w:rFonts w:ascii="宋体" w:hAnsi="宋体"/>
          <w:szCs w:val="21"/>
        </w:rPr>
      </w:pPr>
      <w:r>
        <w:rPr>
          <w:rFonts w:ascii="宋体" w:hAnsi="宋体"/>
          <w:szCs w:val="21"/>
        </w:rPr>
        <w:t>1、凡有关本合同或执行本合同中发生的争端，双方应通过友好协商，妥善解决。如通过协商仍不能解决时，可向扬州市仲裁委员会申请仲裁。</w:t>
      </w:r>
    </w:p>
    <w:p w14:paraId="25E52851">
      <w:pPr>
        <w:spacing w:line="360" w:lineRule="auto"/>
        <w:ind w:firstLine="420" w:firstLineChars="200"/>
        <w:textAlignment w:val="baseline"/>
        <w:rPr>
          <w:rFonts w:ascii="宋体" w:hAnsi="宋体"/>
          <w:szCs w:val="21"/>
        </w:rPr>
      </w:pPr>
      <w:r>
        <w:rPr>
          <w:rFonts w:ascii="宋体" w:hAnsi="宋体"/>
          <w:szCs w:val="21"/>
        </w:rPr>
        <w:t>2、在仲裁期间，除正在进行仲裁的部分外，合同其他部分应继续执行。</w:t>
      </w:r>
    </w:p>
    <w:p w14:paraId="396FBDDF">
      <w:pPr>
        <w:spacing w:line="360" w:lineRule="auto"/>
        <w:ind w:firstLine="420" w:firstLineChars="200"/>
        <w:textAlignment w:val="baseline"/>
        <w:rPr>
          <w:rFonts w:ascii="宋体" w:hAnsi="宋体"/>
          <w:szCs w:val="21"/>
        </w:rPr>
      </w:pPr>
      <w:r>
        <w:rPr>
          <w:rFonts w:ascii="宋体" w:hAnsi="宋体"/>
          <w:szCs w:val="21"/>
        </w:rPr>
        <w:t>十一、转让</w:t>
      </w:r>
    </w:p>
    <w:p w14:paraId="47355902">
      <w:pPr>
        <w:spacing w:line="360" w:lineRule="auto"/>
        <w:ind w:firstLine="420" w:firstLineChars="200"/>
        <w:textAlignment w:val="baseline"/>
        <w:rPr>
          <w:rFonts w:ascii="宋体" w:hAnsi="宋体"/>
          <w:szCs w:val="21"/>
        </w:rPr>
      </w:pPr>
      <w:r>
        <w:rPr>
          <w:rFonts w:ascii="宋体" w:hAnsi="宋体"/>
          <w:szCs w:val="21"/>
        </w:rPr>
        <w:t>除甲方事先书面同意外，乙方不得部分转让或全部转让其应履行的合同义务。</w:t>
      </w:r>
    </w:p>
    <w:p w14:paraId="1336F1E1">
      <w:pPr>
        <w:spacing w:line="360" w:lineRule="auto"/>
        <w:ind w:firstLine="420" w:firstLineChars="200"/>
        <w:textAlignment w:val="baseline"/>
        <w:rPr>
          <w:rFonts w:ascii="宋体" w:hAnsi="宋体"/>
          <w:szCs w:val="21"/>
        </w:rPr>
      </w:pPr>
      <w:r>
        <w:rPr>
          <w:rFonts w:ascii="宋体" w:hAnsi="宋体"/>
          <w:szCs w:val="21"/>
        </w:rPr>
        <w:t>十</w:t>
      </w:r>
      <w:r>
        <w:rPr>
          <w:rFonts w:hint="eastAsia" w:ascii="宋体" w:hAnsi="宋体"/>
          <w:szCs w:val="21"/>
        </w:rPr>
        <w:t>二</w:t>
      </w:r>
      <w:r>
        <w:rPr>
          <w:rFonts w:ascii="宋体" w:hAnsi="宋体"/>
          <w:szCs w:val="21"/>
        </w:rPr>
        <w:t>、其它约定事项</w:t>
      </w:r>
    </w:p>
    <w:p w14:paraId="40C46B1E">
      <w:pPr>
        <w:spacing w:line="360" w:lineRule="auto"/>
        <w:ind w:firstLine="420" w:firstLineChars="200"/>
        <w:textAlignment w:val="baseline"/>
        <w:rPr>
          <w:rFonts w:ascii="宋体" w:hAnsi="宋体"/>
          <w:szCs w:val="21"/>
        </w:rPr>
      </w:pPr>
      <w:r>
        <w:rPr>
          <w:rFonts w:ascii="宋体" w:hAnsi="宋体"/>
          <w:szCs w:val="21"/>
        </w:rPr>
        <w:t>1、乙方在签订合同前须缴纳中标金额10%的履约保证金至甲方指定账户，乙方拒绝缴纳的视为放弃中标资格</w:t>
      </w:r>
      <w:r>
        <w:rPr>
          <w:rFonts w:hint="eastAsia" w:ascii="宋体" w:hAnsi="宋体"/>
          <w:szCs w:val="21"/>
        </w:rPr>
        <w:t>（</w:t>
      </w:r>
      <w:r>
        <w:rPr>
          <w:rFonts w:hint="eastAsia" w:ascii="宋体" w:hAnsi="宋体"/>
          <w:szCs w:val="21"/>
          <w:lang w:val="en-US" w:eastAsia="zh-CN"/>
        </w:rPr>
        <w:t>服务完成</w:t>
      </w:r>
      <w:r>
        <w:rPr>
          <w:rFonts w:hint="eastAsia" w:ascii="宋体" w:hAnsi="宋体"/>
          <w:szCs w:val="21"/>
        </w:rPr>
        <w:t>后不计利息退还）</w:t>
      </w:r>
      <w:r>
        <w:rPr>
          <w:rFonts w:ascii="宋体" w:hAnsi="宋体"/>
          <w:szCs w:val="21"/>
        </w:rPr>
        <w:t>。</w:t>
      </w:r>
    </w:p>
    <w:p w14:paraId="7D420712">
      <w:pPr>
        <w:spacing w:line="360" w:lineRule="auto"/>
        <w:ind w:firstLine="420" w:firstLineChars="200"/>
        <w:textAlignment w:val="baseline"/>
        <w:rPr>
          <w:rFonts w:ascii="宋体" w:hAnsi="宋体"/>
          <w:szCs w:val="21"/>
        </w:rPr>
      </w:pPr>
      <w:r>
        <w:rPr>
          <w:rFonts w:ascii="宋体" w:hAnsi="宋体"/>
          <w:szCs w:val="21"/>
        </w:rPr>
        <w:t>2、本项目招标文件、乙方投标文件及乙方各项承诺都作为本合同的附件，具有同样法律效力。</w:t>
      </w:r>
    </w:p>
    <w:p w14:paraId="08AF1DF3">
      <w:pPr>
        <w:spacing w:line="360" w:lineRule="auto"/>
        <w:ind w:firstLine="420" w:firstLineChars="200"/>
        <w:textAlignment w:val="baseline"/>
        <w:rPr>
          <w:rFonts w:ascii="宋体" w:hAnsi="宋体"/>
          <w:szCs w:val="21"/>
        </w:rPr>
      </w:pPr>
      <w:r>
        <w:rPr>
          <w:rFonts w:ascii="宋体" w:hAnsi="宋体"/>
          <w:szCs w:val="21"/>
        </w:rPr>
        <w:t>3、本合同自双方签字、盖章后起生效。</w:t>
      </w:r>
    </w:p>
    <w:p w14:paraId="116280B8">
      <w:pPr>
        <w:spacing w:line="360" w:lineRule="auto"/>
        <w:ind w:firstLine="420" w:firstLineChars="200"/>
        <w:textAlignment w:val="baseline"/>
        <w:rPr>
          <w:rFonts w:ascii="宋体" w:hAnsi="宋体"/>
          <w:szCs w:val="21"/>
        </w:rPr>
      </w:pPr>
      <w:r>
        <w:rPr>
          <w:rFonts w:ascii="宋体" w:hAnsi="宋体"/>
          <w:szCs w:val="21"/>
        </w:rPr>
        <w:t>4、合同</w:t>
      </w:r>
      <w:r>
        <w:rPr>
          <w:rFonts w:hint="eastAsia" w:ascii="宋体" w:hAnsi="宋体" w:cs="宋体"/>
          <w:kern w:val="0"/>
          <w:szCs w:val="21"/>
        </w:rPr>
        <w:t>一式肆份，甲、乙双方各执贰份</w:t>
      </w:r>
      <w:r>
        <w:rPr>
          <w:rFonts w:ascii="宋体" w:hAnsi="宋体"/>
          <w:szCs w:val="21"/>
        </w:rPr>
        <w:t>。</w:t>
      </w:r>
    </w:p>
    <w:p w14:paraId="418EC707">
      <w:pPr>
        <w:spacing w:line="360" w:lineRule="auto"/>
        <w:ind w:firstLine="420" w:firstLineChars="200"/>
        <w:textAlignment w:val="baseline"/>
        <w:rPr>
          <w:rFonts w:ascii="宋体" w:hAnsi="宋体"/>
          <w:szCs w:val="21"/>
        </w:rPr>
      </w:pPr>
      <w:r>
        <w:rPr>
          <w:rFonts w:ascii="宋体" w:hAnsi="宋体"/>
          <w:szCs w:val="21"/>
        </w:rPr>
        <w:t>5、其他未尽事宜，甲乙双方共同协商解决。</w:t>
      </w:r>
    </w:p>
    <w:p w14:paraId="1D8660AF">
      <w:pPr>
        <w:spacing w:line="360" w:lineRule="auto"/>
        <w:ind w:firstLine="420" w:firstLineChars="200"/>
        <w:textAlignment w:val="baseline"/>
        <w:rPr>
          <w:rFonts w:ascii="宋体" w:hAnsi="宋体"/>
          <w:szCs w:val="21"/>
        </w:rPr>
      </w:pPr>
    </w:p>
    <w:p w14:paraId="5665E625">
      <w:pPr>
        <w:tabs>
          <w:tab w:val="left" w:pos="567"/>
        </w:tabs>
        <w:snapToGrid w:val="0"/>
        <w:spacing w:line="360" w:lineRule="auto"/>
        <w:ind w:firstLine="420" w:firstLineChars="200"/>
        <w:contextualSpacing/>
        <w:rPr>
          <w:rFonts w:ascii="宋体" w:hAnsi="宋体"/>
          <w:b/>
          <w:szCs w:val="21"/>
        </w:rPr>
      </w:pPr>
      <w:r>
        <w:rPr>
          <w:rFonts w:hint="eastAsia" w:ascii="宋体" w:hAnsi="宋体" w:cs="宋体"/>
          <w:bCs/>
          <w:szCs w:val="21"/>
        </w:rPr>
        <w:t>发包人：</w:t>
      </w:r>
      <w:r>
        <w:rPr>
          <w:rFonts w:hint="eastAsia" w:ascii="宋体" w:hAnsi="宋体" w:cs="宋体"/>
          <w:b/>
          <w:bCs/>
          <w:szCs w:val="21"/>
        </w:rPr>
        <w:t xml:space="preserve">扬州大学附属医院                </w:t>
      </w:r>
      <w:r>
        <w:rPr>
          <w:rFonts w:hint="eastAsia" w:ascii="宋体" w:hAnsi="宋体" w:cs="宋体"/>
          <w:bCs/>
          <w:szCs w:val="21"/>
        </w:rPr>
        <w:t>承包人：</w:t>
      </w:r>
      <w:r>
        <w:rPr>
          <w:rFonts w:hint="eastAsia" w:ascii="宋体" w:hAnsi="宋体" w:cs="宋体"/>
          <w:b/>
          <w:szCs w:val="21"/>
        </w:rPr>
        <w:t xml:space="preserve"> </w:t>
      </w:r>
    </w:p>
    <w:p w14:paraId="5AAB4465">
      <w:pPr>
        <w:tabs>
          <w:tab w:val="left" w:pos="-235"/>
        </w:tabs>
        <w:spacing w:line="360" w:lineRule="auto"/>
        <w:ind w:firstLine="420" w:firstLineChars="200"/>
        <w:rPr>
          <w:rFonts w:ascii="宋体" w:hAnsi="宋体" w:cs="宋体"/>
          <w:bCs/>
          <w:szCs w:val="21"/>
        </w:rPr>
      </w:pPr>
      <w:r>
        <w:rPr>
          <w:rFonts w:hint="eastAsia" w:ascii="宋体" w:hAnsi="宋体" w:cs="宋体"/>
          <w:bCs/>
          <w:szCs w:val="21"/>
        </w:rPr>
        <w:t xml:space="preserve">            （盖章）                                （盖章）</w:t>
      </w:r>
    </w:p>
    <w:p w14:paraId="4F5E21E4">
      <w:pPr>
        <w:tabs>
          <w:tab w:val="left" w:pos="-235"/>
        </w:tabs>
        <w:spacing w:line="360" w:lineRule="auto"/>
        <w:ind w:firstLine="420" w:firstLineChars="200"/>
        <w:rPr>
          <w:rFonts w:ascii="宋体" w:hAnsi="宋体" w:cs="宋体"/>
          <w:bCs/>
          <w:szCs w:val="21"/>
        </w:rPr>
      </w:pPr>
      <w:r>
        <w:rPr>
          <w:rFonts w:hint="eastAsia" w:ascii="宋体" w:hAnsi="宋体" w:cs="宋体"/>
          <w:bCs/>
          <w:szCs w:val="21"/>
        </w:rPr>
        <w:t>法定代表人：                            法定代表人：</w:t>
      </w:r>
    </w:p>
    <w:p w14:paraId="1348E12D">
      <w:pPr>
        <w:tabs>
          <w:tab w:val="left" w:pos="-235"/>
        </w:tabs>
        <w:spacing w:line="360" w:lineRule="auto"/>
        <w:ind w:firstLine="420" w:firstLineChars="200"/>
        <w:rPr>
          <w:rFonts w:ascii="宋体" w:hAnsi="宋体" w:cs="宋体"/>
          <w:bCs/>
          <w:szCs w:val="21"/>
        </w:rPr>
      </w:pPr>
      <w:r>
        <w:rPr>
          <w:rFonts w:hint="eastAsia" w:ascii="宋体" w:hAnsi="宋体" w:cs="宋体"/>
          <w:bCs/>
          <w:szCs w:val="21"/>
        </w:rPr>
        <w:t>（或授权签约人）：                      （或授权签约人）：</w:t>
      </w:r>
    </w:p>
    <w:p w14:paraId="618873AF">
      <w:pPr>
        <w:tabs>
          <w:tab w:val="left" w:pos="-235"/>
        </w:tabs>
        <w:spacing w:line="360" w:lineRule="auto"/>
        <w:ind w:firstLine="420" w:firstLineChars="200"/>
        <w:rPr>
          <w:rFonts w:ascii="宋体" w:hAnsi="宋体" w:cs="宋体"/>
          <w:bCs/>
          <w:szCs w:val="21"/>
        </w:rPr>
      </w:pPr>
      <w:r>
        <w:rPr>
          <w:rFonts w:hint="eastAsia" w:ascii="宋体" w:hAnsi="宋体" w:cs="宋体"/>
          <w:bCs/>
          <w:szCs w:val="21"/>
        </w:rPr>
        <w:t>电话：                                  电话：</w:t>
      </w:r>
    </w:p>
    <w:p w14:paraId="5AEB7F6B">
      <w:pPr>
        <w:tabs>
          <w:tab w:val="left" w:pos="-235"/>
        </w:tabs>
        <w:spacing w:line="360" w:lineRule="auto"/>
        <w:ind w:firstLine="420" w:firstLineChars="200"/>
        <w:rPr>
          <w:rFonts w:ascii="宋体" w:hAnsi="宋体" w:cs="宋体"/>
          <w:bCs/>
          <w:szCs w:val="21"/>
        </w:rPr>
      </w:pPr>
      <w:r>
        <w:rPr>
          <w:rFonts w:hint="eastAsia" w:ascii="宋体" w:hAnsi="宋体" w:cs="宋体"/>
          <w:bCs/>
          <w:szCs w:val="21"/>
        </w:rPr>
        <w:t>传真：                                  传真：</w:t>
      </w:r>
    </w:p>
    <w:p w14:paraId="6E6803AA">
      <w:pPr>
        <w:tabs>
          <w:tab w:val="left" w:pos="-235"/>
        </w:tabs>
        <w:spacing w:line="360" w:lineRule="auto"/>
        <w:ind w:firstLine="420" w:firstLineChars="200"/>
        <w:rPr>
          <w:rFonts w:ascii="宋体" w:hAnsi="宋体" w:cs="宋体"/>
          <w:bCs/>
          <w:szCs w:val="21"/>
        </w:rPr>
      </w:pPr>
      <w:r>
        <w:rPr>
          <w:rFonts w:hint="eastAsia" w:ascii="宋体" w:hAnsi="宋体" w:cs="宋体"/>
          <w:bCs/>
          <w:szCs w:val="21"/>
        </w:rPr>
        <w:t>地址：                                  地址：</w:t>
      </w:r>
    </w:p>
    <w:p w14:paraId="27A76D82">
      <w:pPr>
        <w:tabs>
          <w:tab w:val="left" w:pos="-235"/>
        </w:tabs>
        <w:spacing w:line="360" w:lineRule="auto"/>
        <w:ind w:firstLine="420" w:firstLineChars="200"/>
        <w:rPr>
          <w:rFonts w:ascii="宋体" w:hAnsi="宋体" w:cs="宋体"/>
          <w:bCs/>
          <w:szCs w:val="21"/>
        </w:rPr>
      </w:pPr>
      <w:r>
        <w:rPr>
          <w:rFonts w:hint="eastAsia" w:ascii="宋体" w:hAnsi="宋体" w:cs="宋体"/>
          <w:bCs/>
          <w:szCs w:val="21"/>
        </w:rPr>
        <w:t>开户银行：江苏银行扬州邗江支行          开户银行：</w:t>
      </w:r>
    </w:p>
    <w:p w14:paraId="58602947">
      <w:pPr>
        <w:tabs>
          <w:tab w:val="left" w:pos="-235"/>
        </w:tabs>
        <w:spacing w:line="360" w:lineRule="auto"/>
        <w:ind w:firstLine="420" w:firstLineChars="200"/>
        <w:rPr>
          <w:rFonts w:ascii="宋体" w:hAnsi="宋体" w:cs="宋体"/>
          <w:bCs/>
          <w:szCs w:val="21"/>
        </w:rPr>
      </w:pPr>
      <w:r>
        <w:rPr>
          <w:rFonts w:hint="eastAsia" w:ascii="宋体" w:hAnsi="宋体" w:cs="宋体"/>
          <w:bCs/>
          <w:szCs w:val="21"/>
        </w:rPr>
        <w:t>账号：90130188000018816                 账号：</w:t>
      </w:r>
    </w:p>
    <w:p w14:paraId="20F37362">
      <w:pPr>
        <w:spacing w:line="360" w:lineRule="auto"/>
        <w:ind w:firstLine="420" w:firstLineChars="200"/>
        <w:textAlignment w:val="baseline"/>
        <w:rPr>
          <w:rFonts w:hint="eastAsia" w:ascii="宋体" w:hAnsi="宋体"/>
          <w:szCs w:val="21"/>
        </w:rPr>
      </w:pPr>
      <w:r>
        <w:rPr>
          <w:rFonts w:ascii="宋体" w:hAnsi="宋体"/>
          <w:szCs w:val="21"/>
        </w:rPr>
        <w:t xml:space="preserve"> </w:t>
      </w:r>
    </w:p>
    <w:p w14:paraId="012E5E64"/>
    <w:p w14:paraId="08CA7128"/>
    <w:p w14:paraId="11593069"/>
    <w:p w14:paraId="51AE31BB"/>
    <w:p w14:paraId="3B170DF2"/>
    <w:p w14:paraId="52010585"/>
    <w:p w14:paraId="48B77C73"/>
    <w:p w14:paraId="4B1517B5"/>
    <w:p w14:paraId="116FBCE9"/>
    <w:p w14:paraId="6DD96B49"/>
    <w:p w14:paraId="2476F387"/>
    <w:p w14:paraId="332F2A84"/>
    <w:p w14:paraId="4A50361C"/>
    <w:p w14:paraId="7CDB00FE">
      <w:pPr>
        <w:rPr>
          <w:rFonts w:hint="eastAsia"/>
        </w:rPr>
      </w:pPr>
    </w:p>
    <w:p w14:paraId="64C4D9A8"/>
    <w:p w14:paraId="2F61F7E5"/>
    <w:p w14:paraId="57C877A0"/>
    <w:p w14:paraId="303A668F"/>
    <w:p w14:paraId="1A25D479"/>
    <w:p w14:paraId="59B4598E"/>
    <w:p w14:paraId="39FF5A3D"/>
    <w:p w14:paraId="7C9DA6D5"/>
    <w:p w14:paraId="29629B9B"/>
    <w:p w14:paraId="1487F9C7"/>
    <w:p w14:paraId="27551741"/>
    <w:p w14:paraId="2BF95146"/>
    <w:p w14:paraId="415F6EA8"/>
    <w:p w14:paraId="135372B9"/>
    <w:p w14:paraId="2166C0AD"/>
    <w:p w14:paraId="7ADFA341"/>
    <w:p w14:paraId="5D6A7289"/>
    <w:p w14:paraId="5E58010A"/>
    <w:p w14:paraId="7411DECA"/>
    <w:p w14:paraId="165C7528"/>
    <w:p w14:paraId="7D101731"/>
    <w:p w14:paraId="7430AEAF"/>
    <w:p w14:paraId="26107006"/>
    <w:p w14:paraId="76112C0B"/>
    <w:p w14:paraId="5FDBD7DE"/>
    <w:p w14:paraId="2F43AAF7">
      <w:pPr>
        <w:pStyle w:val="10"/>
        <w:jc w:val="center"/>
        <w:rPr>
          <w:rFonts w:hint="eastAsia"/>
          <w:b/>
          <w:bCs/>
          <w:sz w:val="44"/>
          <w:szCs w:val="44"/>
        </w:rPr>
      </w:pPr>
      <w:r>
        <w:rPr>
          <w:rFonts w:hint="eastAsia"/>
          <w:b/>
          <w:bCs/>
          <w:sz w:val="44"/>
          <w:szCs w:val="44"/>
        </w:rPr>
        <w:t>廉洁合作协议</w:t>
      </w:r>
    </w:p>
    <w:p w14:paraId="0426D4E1">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甲方名称：</w:t>
      </w:r>
      <w:r>
        <w:rPr>
          <w:rFonts w:hint="eastAsia"/>
          <w:sz w:val="24"/>
          <w:szCs w:val="24"/>
          <w:lang w:val="en-US" w:eastAsia="zh-CN"/>
        </w:rPr>
        <w:t xml:space="preserve"> </w:t>
      </w:r>
    </w:p>
    <w:p w14:paraId="33BD9779">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乙方名称：</w:t>
      </w:r>
      <w:r>
        <w:rPr>
          <w:rFonts w:hint="eastAsia"/>
          <w:sz w:val="24"/>
          <w:szCs w:val="24"/>
          <w:lang w:val="en-US" w:eastAsia="zh-CN"/>
        </w:rPr>
        <w:t xml:space="preserve"> </w:t>
      </w:r>
    </w:p>
    <w:p w14:paraId="131225EE">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在甲乙双方订立、履行合同过程中，为保持廉洁自律的工作作风，防止各种不正当行为的发生，甲乙双方订立协议如下：</w:t>
      </w:r>
    </w:p>
    <w:p w14:paraId="348AF64A">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一、甲乙双方应当自觉遵守国家、地方法律法规以及本合同的约定，在合同的订立、履行过程中廉洁自律。</w:t>
      </w:r>
    </w:p>
    <w:p w14:paraId="19C06230">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二、甲乙双</w:t>
      </w:r>
      <w:r>
        <w:rPr>
          <w:rFonts w:hint="eastAsia"/>
          <w:sz w:val="24"/>
          <w:szCs w:val="24"/>
          <w:lang w:val="en-US" w:eastAsia="zh-CN"/>
        </w:rPr>
        <w:t>方</w:t>
      </w:r>
      <w:r>
        <w:rPr>
          <w:rFonts w:hint="eastAsia"/>
          <w:sz w:val="24"/>
          <w:szCs w:val="24"/>
        </w:rPr>
        <w:t>工作人员严禁进行商业目的的统方</w:t>
      </w:r>
      <w:r>
        <w:rPr>
          <w:rFonts w:hint="eastAsia"/>
          <w:sz w:val="24"/>
          <w:szCs w:val="24"/>
          <w:lang w:eastAsia="zh-CN"/>
        </w:rPr>
        <w:t>，</w:t>
      </w:r>
      <w:r>
        <w:rPr>
          <w:rFonts w:hint="eastAsia"/>
          <w:sz w:val="24"/>
          <w:szCs w:val="24"/>
          <w:lang w:val="en-US" w:eastAsia="zh-CN"/>
        </w:rPr>
        <w:t>不得对外泄露涉及业务或个人的隐私数据</w:t>
      </w:r>
      <w:r>
        <w:rPr>
          <w:rFonts w:hint="eastAsia"/>
          <w:sz w:val="24"/>
          <w:szCs w:val="24"/>
        </w:rPr>
        <w:t>，</w:t>
      </w:r>
      <w:r>
        <w:rPr>
          <w:rFonts w:hint="eastAsia"/>
          <w:sz w:val="24"/>
          <w:szCs w:val="24"/>
          <w:lang w:val="en-US" w:eastAsia="zh-CN"/>
        </w:rPr>
        <w:t>不得违规规提供医疗机构内未公开的数据、患者用药化验检查诊疗等信息</w:t>
      </w:r>
      <w:r>
        <w:rPr>
          <w:rFonts w:hint="eastAsia"/>
          <w:sz w:val="24"/>
          <w:szCs w:val="24"/>
        </w:rPr>
        <w:t>。</w:t>
      </w:r>
    </w:p>
    <w:p w14:paraId="62E33786">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三、甲乙双</w:t>
      </w:r>
      <w:r>
        <w:rPr>
          <w:rFonts w:hint="eastAsia"/>
          <w:sz w:val="24"/>
          <w:szCs w:val="24"/>
          <w:lang w:val="en-US" w:eastAsia="zh-CN"/>
        </w:rPr>
        <w:t>方</w:t>
      </w:r>
      <w:r>
        <w:rPr>
          <w:rFonts w:hint="eastAsia"/>
          <w:sz w:val="24"/>
          <w:szCs w:val="24"/>
        </w:rPr>
        <w:t>工作人员应当保持与</w:t>
      </w:r>
      <w:r>
        <w:rPr>
          <w:rFonts w:hint="eastAsia"/>
          <w:sz w:val="24"/>
          <w:szCs w:val="24"/>
          <w:lang w:val="en-US" w:eastAsia="zh-CN"/>
        </w:rPr>
        <w:t>合作</w:t>
      </w:r>
      <w:r>
        <w:rPr>
          <w:rFonts w:hint="eastAsia"/>
          <w:sz w:val="24"/>
          <w:szCs w:val="24"/>
        </w:rPr>
        <w:t>方的正常业务交往，不得以任何形式向</w:t>
      </w:r>
      <w:r>
        <w:rPr>
          <w:rFonts w:hint="eastAsia"/>
          <w:sz w:val="24"/>
          <w:szCs w:val="24"/>
          <w:lang w:val="en-US" w:eastAsia="zh-CN"/>
        </w:rPr>
        <w:t>合作</w:t>
      </w:r>
      <w:r>
        <w:rPr>
          <w:rFonts w:hint="eastAsia"/>
          <w:sz w:val="24"/>
          <w:szCs w:val="24"/>
        </w:rPr>
        <w:t>方索要和收受个人回扣等好处费</w:t>
      </w:r>
      <w:r>
        <w:rPr>
          <w:rFonts w:hint="eastAsia"/>
          <w:sz w:val="24"/>
          <w:szCs w:val="24"/>
          <w:lang w:eastAsia="zh-CN"/>
        </w:rPr>
        <w:t>，</w:t>
      </w:r>
      <w:r>
        <w:rPr>
          <w:rFonts w:hint="eastAsia"/>
          <w:sz w:val="24"/>
          <w:szCs w:val="24"/>
        </w:rPr>
        <w:t>不得接受</w:t>
      </w:r>
      <w:r>
        <w:rPr>
          <w:rFonts w:hint="eastAsia"/>
          <w:sz w:val="24"/>
          <w:szCs w:val="24"/>
          <w:lang w:val="en-US" w:eastAsia="zh-CN"/>
        </w:rPr>
        <w:t>合作</w:t>
      </w:r>
      <w:r>
        <w:rPr>
          <w:rFonts w:hint="eastAsia"/>
          <w:sz w:val="24"/>
          <w:szCs w:val="24"/>
        </w:rPr>
        <w:t>方</w:t>
      </w:r>
      <w:r>
        <w:rPr>
          <w:rFonts w:hint="eastAsia"/>
          <w:sz w:val="24"/>
          <w:szCs w:val="24"/>
          <w:lang w:val="en-US" w:eastAsia="zh-CN"/>
        </w:rPr>
        <w:t>或其关联机构</w:t>
      </w:r>
      <w:r>
        <w:rPr>
          <w:rFonts w:hint="eastAsia"/>
          <w:sz w:val="24"/>
          <w:szCs w:val="24"/>
        </w:rPr>
        <w:t>的礼金、有价证券和贵重物品。</w:t>
      </w:r>
    </w:p>
    <w:p w14:paraId="5D772EF0">
      <w:pPr>
        <w:keepNext w:val="0"/>
        <w:keepLines w:val="0"/>
        <w:widowControl/>
        <w:suppressLineNumbers w:val="0"/>
        <w:ind w:firstLine="480" w:firstLineChars="200"/>
        <w:jc w:val="left"/>
        <w:rPr>
          <w:rFonts w:hint="eastAsia"/>
          <w:sz w:val="24"/>
          <w:szCs w:val="24"/>
          <w:lang w:val="en-US" w:eastAsia="zh-CN"/>
        </w:rPr>
      </w:pPr>
      <w:r>
        <w:rPr>
          <w:rFonts w:hint="eastAsia"/>
          <w:sz w:val="24"/>
          <w:szCs w:val="24"/>
        </w:rPr>
        <w:t>四、甲乙双</w:t>
      </w:r>
      <w:r>
        <w:rPr>
          <w:rFonts w:hint="eastAsia"/>
          <w:sz w:val="24"/>
          <w:szCs w:val="24"/>
          <w:lang w:val="en-US" w:eastAsia="zh-CN"/>
        </w:rPr>
        <w:t>方</w:t>
      </w:r>
      <w:r>
        <w:rPr>
          <w:rFonts w:hint="eastAsia"/>
          <w:sz w:val="24"/>
          <w:szCs w:val="24"/>
        </w:rPr>
        <w:t>工作人员不得参加可能对公正开展业务有影响的</w:t>
      </w:r>
      <w:r>
        <w:rPr>
          <w:rFonts w:hint="eastAsia"/>
          <w:sz w:val="24"/>
          <w:szCs w:val="24"/>
          <w:lang w:val="en-US" w:eastAsia="zh-CN"/>
        </w:rPr>
        <w:t>宴请、旅游、学习、考察、健身、娱乐活动等，不以讲课费、顾问费、咨询费、课题费等名义牟取高额利益，不违规在对方机构等兼（任）职并取酬，不利用职权为本人及特定关系人经商办企业提供便利条件。</w:t>
      </w:r>
    </w:p>
    <w:p w14:paraId="286E21EB">
      <w:pPr>
        <w:keepNext w:val="0"/>
        <w:keepLines w:val="0"/>
        <w:widowControl/>
        <w:suppressLineNumbers w:val="0"/>
        <w:ind w:firstLine="480" w:firstLineChars="200"/>
        <w:jc w:val="left"/>
        <w:rPr>
          <w:rFonts w:hint="eastAsia"/>
          <w:sz w:val="24"/>
          <w:szCs w:val="24"/>
        </w:rPr>
      </w:pPr>
      <w:r>
        <w:rPr>
          <w:rFonts w:hint="eastAsia"/>
          <w:sz w:val="24"/>
          <w:szCs w:val="24"/>
        </w:rPr>
        <w:t>五、甲乙双</w:t>
      </w:r>
      <w:r>
        <w:rPr>
          <w:rFonts w:hint="eastAsia"/>
          <w:sz w:val="24"/>
          <w:szCs w:val="24"/>
          <w:lang w:val="en-US" w:eastAsia="zh-CN"/>
        </w:rPr>
        <w:t>方</w:t>
      </w:r>
      <w:r>
        <w:rPr>
          <w:rFonts w:hint="eastAsia"/>
          <w:sz w:val="24"/>
          <w:szCs w:val="24"/>
        </w:rPr>
        <w:t>工作人员不得要求或者接受</w:t>
      </w:r>
      <w:r>
        <w:rPr>
          <w:rFonts w:hint="eastAsia"/>
          <w:sz w:val="24"/>
          <w:szCs w:val="24"/>
          <w:lang w:val="en-US" w:eastAsia="zh-CN"/>
        </w:rPr>
        <w:t>合作</w:t>
      </w:r>
      <w:r>
        <w:rPr>
          <w:rFonts w:hint="eastAsia"/>
          <w:sz w:val="24"/>
          <w:szCs w:val="24"/>
        </w:rPr>
        <w:t>方为其住房装修、婚丧嫁娶、家属和子女的工作安排以及出国等提供方便。不得接受</w:t>
      </w:r>
      <w:r>
        <w:rPr>
          <w:rFonts w:hint="eastAsia"/>
          <w:sz w:val="24"/>
          <w:szCs w:val="24"/>
          <w:lang w:val="en-US" w:eastAsia="zh-CN"/>
        </w:rPr>
        <w:t>合作方</w:t>
      </w:r>
      <w:r>
        <w:rPr>
          <w:rFonts w:hint="eastAsia"/>
          <w:sz w:val="24"/>
          <w:szCs w:val="24"/>
        </w:rPr>
        <w:t>工作人员介绍的家属</w:t>
      </w:r>
      <w:r>
        <w:rPr>
          <w:rFonts w:hint="eastAsia"/>
          <w:sz w:val="24"/>
          <w:szCs w:val="24"/>
          <w:lang w:eastAsia="zh-CN"/>
        </w:rPr>
        <w:t>、</w:t>
      </w:r>
      <w:r>
        <w:rPr>
          <w:rFonts w:hint="eastAsia"/>
          <w:sz w:val="24"/>
          <w:szCs w:val="24"/>
        </w:rPr>
        <w:t>亲友</w:t>
      </w:r>
      <w:r>
        <w:rPr>
          <w:rFonts w:hint="eastAsia"/>
          <w:sz w:val="24"/>
          <w:szCs w:val="24"/>
          <w:lang w:val="en-US" w:eastAsia="zh-CN"/>
        </w:rPr>
        <w:t>等关系人</w:t>
      </w:r>
      <w:r>
        <w:rPr>
          <w:rFonts w:hint="eastAsia"/>
          <w:sz w:val="24"/>
          <w:szCs w:val="24"/>
        </w:rPr>
        <w:t>从事与合同相关的业务。</w:t>
      </w:r>
    </w:p>
    <w:p w14:paraId="67D77F62">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六、甲乙双</w:t>
      </w:r>
      <w:r>
        <w:rPr>
          <w:rFonts w:hint="eastAsia"/>
          <w:sz w:val="24"/>
          <w:szCs w:val="24"/>
          <w:lang w:val="en-US" w:eastAsia="zh-CN"/>
        </w:rPr>
        <w:t>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16601AD1">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七、甲乙双</w:t>
      </w:r>
      <w:r>
        <w:rPr>
          <w:rFonts w:hint="eastAsia"/>
          <w:sz w:val="24"/>
          <w:szCs w:val="24"/>
          <w:lang w:val="en-US" w:eastAsia="zh-CN"/>
        </w:rPr>
        <w:t>方</w:t>
      </w:r>
      <w:r>
        <w:rPr>
          <w:rFonts w:hint="eastAsia"/>
          <w:sz w:val="24"/>
          <w:szCs w:val="24"/>
        </w:rPr>
        <w:t>不得</w:t>
      </w:r>
      <w:r>
        <w:rPr>
          <w:rFonts w:hint="eastAsia"/>
          <w:sz w:val="24"/>
          <w:szCs w:val="24"/>
          <w:lang w:val="en-US" w:eastAsia="zh-CN"/>
        </w:rPr>
        <w:t>采用任何方式向对方索要、摊派或者变相摊派捐赠，不违规接受与医院采购、知识产权、科研成果、行业数据及信息等权利和主张相关的捐赠。</w:t>
      </w:r>
    </w:p>
    <w:p w14:paraId="1D003EF3">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八、如发现工作人员有违反</w:t>
      </w:r>
      <w:r>
        <w:rPr>
          <w:rFonts w:hint="eastAsia"/>
          <w:sz w:val="24"/>
          <w:szCs w:val="24"/>
          <w:lang w:val="en-US" w:eastAsia="zh-CN"/>
        </w:rPr>
        <w:t>上</w:t>
      </w:r>
      <w:r>
        <w:rPr>
          <w:rFonts w:hint="eastAsia"/>
          <w:sz w:val="24"/>
          <w:szCs w:val="24"/>
        </w:rPr>
        <w:t>述合同者，应向</w:t>
      </w:r>
      <w:r>
        <w:rPr>
          <w:rFonts w:hint="eastAsia"/>
          <w:sz w:val="24"/>
          <w:szCs w:val="24"/>
          <w:lang w:val="en-US" w:eastAsia="zh-CN"/>
        </w:rPr>
        <w:t>医院纪检部门举报（医院</w:t>
      </w:r>
      <w:r>
        <w:rPr>
          <w:rFonts w:hint="eastAsia"/>
          <w:sz w:val="24"/>
          <w:szCs w:val="24"/>
        </w:rPr>
        <w:t>举报接待部门：纪委办公室：举报电话：87907263</w:t>
      </w:r>
      <w:r>
        <w:rPr>
          <w:rFonts w:hint="eastAsia"/>
          <w:sz w:val="24"/>
          <w:szCs w:val="24"/>
          <w:lang w:eastAsia="zh-CN"/>
        </w:rPr>
        <w:t>，</w:t>
      </w:r>
      <w:r>
        <w:rPr>
          <w:rFonts w:hint="eastAsia"/>
          <w:sz w:val="24"/>
          <w:szCs w:val="24"/>
          <w:lang w:val="en-US" w:eastAsia="zh-CN"/>
        </w:rPr>
        <w:t>电子邮箱：</w:t>
      </w:r>
      <w:r>
        <w:rPr>
          <w:rFonts w:hint="eastAsia"/>
          <w:sz w:val="24"/>
          <w:szCs w:val="24"/>
        </w:rPr>
        <w:fldChar w:fldCharType="begin"/>
      </w:r>
      <w:r>
        <w:rPr>
          <w:rFonts w:hint="eastAsia"/>
          <w:sz w:val="24"/>
          <w:szCs w:val="24"/>
        </w:rPr>
        <w:instrText xml:space="preserve"> HYPERLINK "https://yangzhouyiyuan.com/infoSon/17/19/26" </w:instrText>
      </w:r>
      <w:r>
        <w:rPr>
          <w:rFonts w:hint="eastAsia"/>
          <w:sz w:val="24"/>
          <w:szCs w:val="24"/>
        </w:rPr>
        <w:fldChar w:fldCharType="separate"/>
      </w:r>
      <w:r>
        <w:rPr>
          <w:rFonts w:hint="eastAsia"/>
          <w:sz w:val="24"/>
          <w:szCs w:val="24"/>
        </w:rPr>
        <w:t>yyyjcs@126.com</w:t>
      </w:r>
      <w:r>
        <w:rPr>
          <w:rFonts w:hint="eastAsia"/>
          <w:sz w:val="24"/>
          <w:szCs w:val="24"/>
        </w:rPr>
        <w:fldChar w:fldCharType="end"/>
      </w:r>
      <w:r>
        <w:rPr>
          <w:rFonts w:hint="eastAsia"/>
          <w:sz w:val="24"/>
          <w:szCs w:val="24"/>
          <w:lang w:eastAsia="zh-CN"/>
        </w:rPr>
        <w:t>）</w:t>
      </w:r>
      <w:r>
        <w:rPr>
          <w:rFonts w:hint="eastAsia"/>
          <w:sz w:val="24"/>
          <w:szCs w:val="24"/>
        </w:rPr>
        <w:t>。</w:t>
      </w:r>
      <w:r>
        <w:rPr>
          <w:rFonts w:hint="eastAsia"/>
          <w:sz w:val="24"/>
          <w:szCs w:val="24"/>
          <w:lang w:val="en-US" w:eastAsia="zh-CN"/>
        </w:rPr>
        <w:t>被投诉</w:t>
      </w:r>
      <w:r>
        <w:rPr>
          <w:rFonts w:hint="eastAsia"/>
          <w:sz w:val="24"/>
          <w:szCs w:val="24"/>
        </w:rPr>
        <w:t>方不得找任何借口对</w:t>
      </w:r>
      <w:r>
        <w:rPr>
          <w:rFonts w:hint="eastAsia"/>
          <w:sz w:val="24"/>
          <w:szCs w:val="24"/>
          <w:lang w:val="en-US" w:eastAsia="zh-CN"/>
        </w:rPr>
        <w:t>投诉人进行</w:t>
      </w:r>
      <w:r>
        <w:rPr>
          <w:rFonts w:hint="eastAsia"/>
          <w:sz w:val="24"/>
          <w:szCs w:val="24"/>
        </w:rPr>
        <w:t>报复。</w:t>
      </w:r>
    </w:p>
    <w:p w14:paraId="66DDC785">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九、</w:t>
      </w:r>
      <w:r>
        <w:rPr>
          <w:rFonts w:hint="eastAsia"/>
          <w:sz w:val="24"/>
          <w:szCs w:val="24"/>
          <w:lang w:val="en-US" w:eastAsia="zh-CN"/>
        </w:rPr>
        <w:t>任何一方发现对方</w:t>
      </w:r>
      <w:r>
        <w:rPr>
          <w:rFonts w:hint="eastAsia"/>
          <w:sz w:val="24"/>
          <w:szCs w:val="24"/>
        </w:rPr>
        <w:t>有违反本合同或者采用不正当的手段行贿</w:t>
      </w:r>
      <w:r>
        <w:rPr>
          <w:rFonts w:hint="eastAsia"/>
          <w:sz w:val="24"/>
          <w:szCs w:val="24"/>
          <w:lang w:val="en-US" w:eastAsia="zh-CN"/>
        </w:rPr>
        <w:t>合作方</w:t>
      </w:r>
      <w:r>
        <w:rPr>
          <w:rFonts w:hint="eastAsia"/>
          <w:sz w:val="24"/>
          <w:szCs w:val="24"/>
        </w:rPr>
        <w:t>工作人员等不正当竞争行为的，有权解除合同。</w:t>
      </w:r>
    </w:p>
    <w:p w14:paraId="01928556">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十、本廉洁协议作为合同的附件，与合同具有同等法律效力。经合同双方签署后立即生效。</w:t>
      </w:r>
    </w:p>
    <w:p w14:paraId="458E7549">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十一、本协议一式肆份，甲、乙双方各执贰份，从签订之日起生效。</w:t>
      </w:r>
    </w:p>
    <w:p w14:paraId="34700C50">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53D500A6">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甲方：(</w:t>
      </w:r>
      <w:r>
        <w:rPr>
          <w:rFonts w:hint="eastAsia"/>
          <w:sz w:val="24"/>
          <w:szCs w:val="24"/>
          <w:lang w:val="en-US" w:eastAsia="zh-CN"/>
        </w:rPr>
        <w:t>盖</w:t>
      </w:r>
      <w:r>
        <w:rPr>
          <w:rFonts w:hint="eastAsia"/>
          <w:sz w:val="24"/>
          <w:szCs w:val="24"/>
        </w:rPr>
        <w:t>章)</w:t>
      </w:r>
      <w:r>
        <w:rPr>
          <w:rFonts w:hint="eastAsia"/>
          <w:sz w:val="24"/>
          <w:szCs w:val="24"/>
          <w:lang w:val="en-US" w:eastAsia="zh-CN"/>
        </w:rPr>
        <w:t xml:space="preserve">                            </w:t>
      </w:r>
      <w:r>
        <w:rPr>
          <w:rFonts w:hint="eastAsia"/>
          <w:sz w:val="24"/>
          <w:szCs w:val="24"/>
        </w:rPr>
        <w:t>乙方：(盖章)</w:t>
      </w:r>
    </w:p>
    <w:p w14:paraId="232D6262">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sz w:val="24"/>
          <w:szCs w:val="24"/>
        </w:rPr>
        <w:t>法定代表人(或授权签约人)：</w:t>
      </w:r>
      <w:r>
        <w:rPr>
          <w:rFonts w:hint="eastAsia"/>
          <w:sz w:val="24"/>
          <w:szCs w:val="24"/>
          <w:lang w:val="en-US" w:eastAsia="zh-CN"/>
        </w:rPr>
        <w:t xml:space="preserve">              </w:t>
      </w:r>
      <w:r>
        <w:rPr>
          <w:rFonts w:hint="eastAsia"/>
          <w:sz w:val="24"/>
          <w:szCs w:val="24"/>
        </w:rPr>
        <w:t>法定代表人(或授权签约人)：</w:t>
      </w:r>
    </w:p>
    <w:p w14:paraId="74843C04">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752521C5">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sz w:val="24"/>
          <w:szCs w:val="24"/>
          <w:lang w:val="en-US" w:eastAsia="zh-CN"/>
        </w:rPr>
      </w:pPr>
      <w:r>
        <w:rPr>
          <w:rFonts w:hint="eastAsia"/>
          <w:sz w:val="24"/>
          <w:szCs w:val="24"/>
        </w:rPr>
        <w:t>日期：</w:t>
      </w:r>
      <w:r>
        <w:rPr>
          <w:rFonts w:hint="eastAsia"/>
          <w:sz w:val="24"/>
          <w:szCs w:val="24"/>
          <w:lang w:val="en-US" w:eastAsia="zh-CN"/>
        </w:rPr>
        <w:t xml:space="preserve">     年  月  日                   </w:t>
      </w:r>
      <w:r>
        <w:rPr>
          <w:rFonts w:hint="eastAsia"/>
          <w:sz w:val="24"/>
          <w:szCs w:val="24"/>
        </w:rPr>
        <w:t>日期：</w:t>
      </w:r>
      <w:r>
        <w:rPr>
          <w:rFonts w:hint="eastAsia"/>
          <w:sz w:val="24"/>
          <w:szCs w:val="24"/>
          <w:lang w:val="en-US" w:eastAsia="zh-CN"/>
        </w:rPr>
        <w:t xml:space="preserve">     年  月  日</w:t>
      </w:r>
    </w:p>
    <w:p w14:paraId="74078C75"/>
    <w:p w14:paraId="48FB9712">
      <w:pPr>
        <w:pStyle w:val="6"/>
      </w:pPr>
    </w:p>
    <w:p w14:paraId="339A9153">
      <w:pPr>
        <w:pStyle w:val="6"/>
      </w:pPr>
    </w:p>
    <w:p w14:paraId="5DB8CF6D">
      <w:pPr>
        <w:pStyle w:val="6"/>
      </w:pPr>
    </w:p>
    <w:p w14:paraId="2983D927">
      <w:pPr>
        <w:spacing w:line="360" w:lineRule="auto"/>
        <w:jc w:val="center"/>
        <w:rPr>
          <w:rFonts w:eastAsia="楷体"/>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64FA47D6">
        <w:pPr>
          <w:pStyle w:val="14"/>
          <w:jc w:val="center"/>
        </w:pPr>
        <w:r>
          <w:fldChar w:fldCharType="begin"/>
        </w:r>
        <w:r>
          <w:instrText xml:space="preserve">PAGE   \* MERGEFORMAT</w:instrText>
        </w:r>
        <w:r>
          <w:fldChar w:fldCharType="separate"/>
        </w:r>
        <w:r>
          <w:rPr>
            <w:lang w:val="zh-CN"/>
          </w:rPr>
          <w:t>8</w:t>
        </w:r>
        <w:r>
          <w:rPr>
            <w:lang w:val="zh-CN"/>
          </w:rPr>
          <w:fldChar w:fldCharType="end"/>
        </w:r>
      </w:p>
    </w:sdtContent>
  </w:sdt>
  <w:p w14:paraId="50588B53">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D28B"/>
    <w:multiLevelType w:val="singleLevel"/>
    <w:tmpl w:val="B65BD28B"/>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5535"/>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4DBD"/>
    <w:rsid w:val="001F57B3"/>
    <w:rsid w:val="00201CF9"/>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49F0"/>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5738F"/>
    <w:rsid w:val="0045770F"/>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29F6"/>
    <w:rsid w:val="00483498"/>
    <w:rsid w:val="00484905"/>
    <w:rsid w:val="00484CED"/>
    <w:rsid w:val="00485F44"/>
    <w:rsid w:val="00486ED1"/>
    <w:rsid w:val="00490046"/>
    <w:rsid w:val="00490712"/>
    <w:rsid w:val="00490D83"/>
    <w:rsid w:val="004916F3"/>
    <w:rsid w:val="00494DAF"/>
    <w:rsid w:val="004963E9"/>
    <w:rsid w:val="00497FF3"/>
    <w:rsid w:val="004A3256"/>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2218"/>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A7FB6"/>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5A42"/>
    <w:rsid w:val="00727C39"/>
    <w:rsid w:val="00730EE1"/>
    <w:rsid w:val="007315AA"/>
    <w:rsid w:val="00733436"/>
    <w:rsid w:val="00734924"/>
    <w:rsid w:val="0073609B"/>
    <w:rsid w:val="0073705E"/>
    <w:rsid w:val="00742C2C"/>
    <w:rsid w:val="00742E50"/>
    <w:rsid w:val="007457FD"/>
    <w:rsid w:val="0075035E"/>
    <w:rsid w:val="0075332B"/>
    <w:rsid w:val="00753A07"/>
    <w:rsid w:val="0075695D"/>
    <w:rsid w:val="007574E9"/>
    <w:rsid w:val="00761227"/>
    <w:rsid w:val="00763D7D"/>
    <w:rsid w:val="00764D37"/>
    <w:rsid w:val="00764D8E"/>
    <w:rsid w:val="00766160"/>
    <w:rsid w:val="00770E16"/>
    <w:rsid w:val="00771D22"/>
    <w:rsid w:val="00774CC5"/>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6D7"/>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BD3"/>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264A6"/>
    <w:rsid w:val="009303C1"/>
    <w:rsid w:val="009337DA"/>
    <w:rsid w:val="0093404B"/>
    <w:rsid w:val="00935621"/>
    <w:rsid w:val="00940DF1"/>
    <w:rsid w:val="009413FF"/>
    <w:rsid w:val="00942348"/>
    <w:rsid w:val="00945472"/>
    <w:rsid w:val="009455EF"/>
    <w:rsid w:val="00946902"/>
    <w:rsid w:val="00950394"/>
    <w:rsid w:val="00950D08"/>
    <w:rsid w:val="0095417E"/>
    <w:rsid w:val="00954E8D"/>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265"/>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57F4D"/>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30A4B"/>
    <w:rsid w:val="00C43F09"/>
    <w:rsid w:val="00C45E59"/>
    <w:rsid w:val="00C504CE"/>
    <w:rsid w:val="00C5230C"/>
    <w:rsid w:val="00C564C2"/>
    <w:rsid w:val="00C5688F"/>
    <w:rsid w:val="00C569C1"/>
    <w:rsid w:val="00C5765C"/>
    <w:rsid w:val="00C61FAF"/>
    <w:rsid w:val="00C62657"/>
    <w:rsid w:val="00C626BF"/>
    <w:rsid w:val="00C65931"/>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0D71"/>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6549"/>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707C"/>
    <w:rsid w:val="00F82E64"/>
    <w:rsid w:val="00F8431A"/>
    <w:rsid w:val="00F869F0"/>
    <w:rsid w:val="00F90213"/>
    <w:rsid w:val="00F916AA"/>
    <w:rsid w:val="00F92509"/>
    <w:rsid w:val="00F9257C"/>
    <w:rsid w:val="00F934B0"/>
    <w:rsid w:val="00F952BC"/>
    <w:rsid w:val="00F95844"/>
    <w:rsid w:val="00F96766"/>
    <w:rsid w:val="00F979B8"/>
    <w:rsid w:val="00FA08E7"/>
    <w:rsid w:val="00FA0BA1"/>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8C6368D"/>
    <w:rsid w:val="092B7FA2"/>
    <w:rsid w:val="0CE00754"/>
    <w:rsid w:val="0E2469C0"/>
    <w:rsid w:val="0F552BE2"/>
    <w:rsid w:val="160B65B8"/>
    <w:rsid w:val="181B00DE"/>
    <w:rsid w:val="191A518B"/>
    <w:rsid w:val="1CFD4BB7"/>
    <w:rsid w:val="1D1E7436"/>
    <w:rsid w:val="1E452806"/>
    <w:rsid w:val="1EE97BD3"/>
    <w:rsid w:val="20473BA3"/>
    <w:rsid w:val="24903D54"/>
    <w:rsid w:val="27475E96"/>
    <w:rsid w:val="29AC0C5F"/>
    <w:rsid w:val="2A7028F9"/>
    <w:rsid w:val="2B0A6292"/>
    <w:rsid w:val="2EAF0755"/>
    <w:rsid w:val="345F55EB"/>
    <w:rsid w:val="34C91EAC"/>
    <w:rsid w:val="35F8791E"/>
    <w:rsid w:val="41ED07ED"/>
    <w:rsid w:val="4A1240B3"/>
    <w:rsid w:val="4D2A7712"/>
    <w:rsid w:val="4E462DBA"/>
    <w:rsid w:val="4F2B257A"/>
    <w:rsid w:val="517E2641"/>
    <w:rsid w:val="55FE375F"/>
    <w:rsid w:val="57DB69F4"/>
    <w:rsid w:val="5A3D7D56"/>
    <w:rsid w:val="5B603A70"/>
    <w:rsid w:val="5D8C204C"/>
    <w:rsid w:val="602042D5"/>
    <w:rsid w:val="639F1B94"/>
    <w:rsid w:val="66AE269A"/>
    <w:rsid w:val="69FA3B9E"/>
    <w:rsid w:val="71A45F17"/>
    <w:rsid w:val="734A47CF"/>
    <w:rsid w:val="763527EB"/>
    <w:rsid w:val="775213D7"/>
    <w:rsid w:val="775F5EBE"/>
    <w:rsid w:val="77A87B10"/>
    <w:rsid w:val="7E6C1254"/>
    <w:rsid w:val="7EF90044"/>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keepNext/>
      <w:spacing w:line="360" w:lineRule="auto"/>
      <w:jc w:val="center"/>
      <w:outlineLvl w:val="0"/>
    </w:pPr>
    <w:rPr>
      <w:rFonts w:ascii="宋体" w:hAnsi="宋体" w:cs="宋体"/>
      <w:b/>
      <w:sz w:val="28"/>
      <w:szCs w:val="20"/>
    </w:rPr>
  </w:style>
  <w:style w:type="paragraph" w:styleId="3">
    <w:name w:val="heading 3"/>
    <w:basedOn w:val="1"/>
    <w:next w:val="1"/>
    <w:link w:val="30"/>
    <w:semiHidden/>
    <w:unhideWhenUsed/>
    <w:qFormat/>
    <w:uiPriority w:val="0"/>
    <w:pPr>
      <w:keepNext/>
      <w:keepLines/>
      <w:spacing w:before="260" w:after="260" w:line="412" w:lineRule="auto"/>
      <w:outlineLvl w:val="2"/>
    </w:pPr>
    <w:rPr>
      <w:rFonts w:cs="宋体"/>
      <w:b/>
      <w:sz w:val="32"/>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pPr>
  </w:style>
  <w:style w:type="paragraph" w:styleId="5">
    <w:name w:val="annotation text"/>
    <w:basedOn w:val="1"/>
    <w:link w:val="31"/>
    <w:semiHidden/>
    <w:unhideWhenUsed/>
    <w:qFormat/>
    <w:uiPriority w:val="99"/>
    <w:pPr>
      <w:jc w:val="left"/>
    </w:pPr>
  </w:style>
  <w:style w:type="paragraph" w:styleId="6">
    <w:name w:val="Body Text"/>
    <w:basedOn w:val="1"/>
    <w:link w:val="35"/>
    <w:semiHidden/>
    <w:unhideWhenUsed/>
    <w:qFormat/>
    <w:uiPriority w:val="99"/>
    <w:pPr>
      <w:jc w:val="left"/>
    </w:pPr>
    <w:rPr>
      <w:rFonts w:ascii="楷体_GB2312" w:hAnsi="华文楷体" w:eastAsia="楷体_GB2312"/>
      <w:sz w:val="28"/>
      <w:szCs w:val="28"/>
    </w:rPr>
  </w:style>
  <w:style w:type="paragraph" w:styleId="7">
    <w:name w:val="Body Text Indent"/>
    <w:basedOn w:val="1"/>
    <w:link w:val="36"/>
    <w:semiHidden/>
    <w:unhideWhenUsed/>
    <w:qFormat/>
    <w:uiPriority w:val="99"/>
    <w:pPr>
      <w:spacing w:after="120"/>
      <w:ind w:left="420" w:leftChars="200"/>
    </w:pPr>
  </w:style>
  <w:style w:type="paragraph" w:styleId="8">
    <w:name w:val="List Bullet 2"/>
    <w:basedOn w:val="1"/>
    <w:unhideWhenUsed/>
    <w:qFormat/>
    <w:uiPriority w:val="99"/>
    <w:pPr>
      <w:numPr>
        <w:ilvl w:val="0"/>
        <w:numId w:val="1"/>
      </w:numPr>
      <w:contextualSpacing/>
    </w:pPr>
    <w:rPr>
      <w:rFonts w:ascii="Times New Roman" w:hAnsi="Times New Roman"/>
      <w:szCs w:val="22"/>
    </w:rPr>
  </w:style>
  <w:style w:type="paragraph" w:styleId="9">
    <w:name w:val="index 4"/>
    <w:basedOn w:val="1"/>
    <w:next w:val="1"/>
    <w:qFormat/>
    <w:uiPriority w:val="99"/>
    <w:pPr>
      <w:ind w:left="600" w:leftChars="600"/>
    </w:pPr>
    <w:rPr>
      <w:rFonts w:ascii="等线" w:hAnsi="等线" w:eastAsia="等线" w:cs="等线"/>
      <w:szCs w:val="21"/>
    </w:rPr>
  </w:style>
  <w:style w:type="paragraph" w:styleId="10">
    <w:name w:val="Plain Text"/>
    <w:basedOn w:val="1"/>
    <w:link w:val="39"/>
    <w:unhideWhenUsed/>
    <w:qFormat/>
    <w:uiPriority w:val="99"/>
    <w:rPr>
      <w:rFonts w:ascii="宋体" w:hAnsi="Courier New" w:cs="Courier New"/>
      <w:szCs w:val="21"/>
    </w:rPr>
  </w:style>
  <w:style w:type="paragraph" w:styleId="11">
    <w:name w:val="Date"/>
    <w:basedOn w:val="1"/>
    <w:next w:val="1"/>
    <w:link w:val="37"/>
    <w:semiHidden/>
    <w:unhideWhenUsed/>
    <w:qFormat/>
    <w:uiPriority w:val="99"/>
    <w:pPr>
      <w:ind w:left="100" w:leftChars="2500"/>
    </w:pPr>
    <w:rPr>
      <w:rFonts w:eastAsia="楷体_GB2312"/>
      <w:b/>
      <w:bCs/>
      <w:sz w:val="32"/>
    </w:rPr>
  </w:style>
  <w:style w:type="paragraph" w:styleId="12">
    <w:name w:val="Body Text Indent 2"/>
    <w:basedOn w:val="1"/>
    <w:link w:val="38"/>
    <w:semiHidden/>
    <w:unhideWhenUsed/>
    <w:qFormat/>
    <w:uiPriority w:val="99"/>
    <w:pPr>
      <w:spacing w:after="120" w:line="480" w:lineRule="auto"/>
      <w:ind w:left="420" w:leftChars="200"/>
    </w:pPr>
  </w:style>
  <w:style w:type="paragraph" w:styleId="13">
    <w:name w:val="Balloon Text"/>
    <w:basedOn w:val="1"/>
    <w:link w:val="41"/>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line="360" w:lineRule="auto"/>
    </w:pPr>
  </w:style>
  <w:style w:type="paragraph" w:styleId="17">
    <w:name w:val="Body Text 2"/>
    <w:basedOn w:val="1"/>
    <w:link w:val="57"/>
    <w:semiHidden/>
    <w:unhideWhenUsed/>
    <w:qFormat/>
    <w:uiPriority w:val="99"/>
    <w:pPr>
      <w:spacing w:after="120" w:line="480" w:lineRule="auto"/>
    </w:pPr>
  </w:style>
  <w:style w:type="paragraph" w:styleId="18">
    <w:name w:val="Normal (Web)"/>
    <w:basedOn w:val="1"/>
    <w:unhideWhenUsed/>
    <w:qFormat/>
    <w:uiPriority w:val="0"/>
    <w:pPr>
      <w:spacing w:before="100" w:beforeAutospacing="1" w:after="100" w:afterAutospacing="1"/>
      <w:jc w:val="left"/>
    </w:pPr>
    <w:rPr>
      <w:kern w:val="0"/>
      <w:sz w:val="24"/>
      <w:szCs w:val="20"/>
    </w:rPr>
  </w:style>
  <w:style w:type="paragraph" w:styleId="19">
    <w:name w:val="Title"/>
    <w:basedOn w:val="1"/>
    <w:link w:val="34"/>
    <w:qFormat/>
    <w:uiPriority w:val="99"/>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5"/>
    <w:next w:val="5"/>
    <w:link w:val="40"/>
    <w:semiHidden/>
    <w:unhideWhenUsed/>
    <w:qFormat/>
    <w:uiPriority w:val="99"/>
    <w:rPr>
      <w:b/>
      <w:bCs/>
    </w:rPr>
  </w:style>
  <w:style w:type="paragraph" w:styleId="21">
    <w:name w:val="Body Text First Indent 2"/>
    <w:basedOn w:val="7"/>
    <w:qFormat/>
    <w:uiPriority w:val="0"/>
    <w:pPr>
      <w:tabs>
        <w:tab w:val="left" w:pos="0"/>
        <w:tab w:val="left" w:pos="993"/>
        <w:tab w:val="left" w:pos="1134"/>
      </w:tabs>
      <w:ind w:firstLine="420"/>
    </w:pPr>
    <w:rPr>
      <w:rFonts w:ascii="Times New Roman" w:hAnsi="Times New Roman"/>
    </w:rPr>
  </w:style>
  <w:style w:type="table" w:styleId="23">
    <w:name w:val="Table Grid"/>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semiHidden/>
    <w:unhideWhenUsed/>
    <w:qFormat/>
    <w:uiPriority w:val="99"/>
    <w:rPr>
      <w:color w:val="800080" w:themeColor="followedHyperlink"/>
      <w:u w:val="single"/>
    </w:rPr>
  </w:style>
  <w:style w:type="character" w:styleId="26">
    <w:name w:val="Hyperlink"/>
    <w:unhideWhenUsed/>
    <w:qFormat/>
    <w:uiPriority w:val="99"/>
    <w:rPr>
      <w:color w:val="0000FF"/>
      <w:u w:val="single"/>
    </w:rPr>
  </w:style>
  <w:style w:type="character" w:styleId="27">
    <w:name w:val="annotation reference"/>
    <w:semiHidden/>
    <w:unhideWhenUsed/>
    <w:qFormat/>
    <w:uiPriority w:val="0"/>
    <w:rPr>
      <w:sz w:val="21"/>
      <w:szCs w:val="21"/>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Char"/>
    <w:basedOn w:val="24"/>
    <w:link w:val="2"/>
    <w:qFormat/>
    <w:uiPriority w:val="0"/>
    <w:rPr>
      <w:rFonts w:ascii="宋体" w:hAnsi="宋体" w:eastAsia="宋体" w:cs="宋体"/>
      <w:b/>
      <w:sz w:val="28"/>
      <w:szCs w:val="20"/>
    </w:rPr>
  </w:style>
  <w:style w:type="character" w:customStyle="1" w:styleId="30">
    <w:name w:val="标题 3 Char"/>
    <w:basedOn w:val="24"/>
    <w:link w:val="3"/>
    <w:semiHidden/>
    <w:qFormat/>
    <w:uiPriority w:val="0"/>
    <w:rPr>
      <w:rFonts w:ascii="Calibri" w:hAnsi="Calibri" w:eastAsia="宋体" w:cs="宋体"/>
      <w:b/>
      <w:sz w:val="32"/>
      <w:szCs w:val="20"/>
    </w:rPr>
  </w:style>
  <w:style w:type="character" w:customStyle="1" w:styleId="31">
    <w:name w:val="批注文字 Char"/>
    <w:basedOn w:val="24"/>
    <w:link w:val="5"/>
    <w:semiHidden/>
    <w:qFormat/>
    <w:uiPriority w:val="99"/>
    <w:rPr>
      <w:rFonts w:ascii="Calibri" w:hAnsi="Calibri" w:eastAsia="宋体" w:cs="Times New Roman"/>
      <w:szCs w:val="24"/>
    </w:rPr>
  </w:style>
  <w:style w:type="character" w:customStyle="1" w:styleId="32">
    <w:name w:val="页眉 Char"/>
    <w:basedOn w:val="24"/>
    <w:link w:val="15"/>
    <w:qFormat/>
    <w:uiPriority w:val="99"/>
    <w:rPr>
      <w:rFonts w:ascii="Calibri" w:hAnsi="Calibri" w:eastAsia="宋体" w:cs="Times New Roman"/>
      <w:sz w:val="18"/>
      <w:szCs w:val="18"/>
    </w:rPr>
  </w:style>
  <w:style w:type="character" w:customStyle="1" w:styleId="33">
    <w:name w:val="页脚 Char"/>
    <w:basedOn w:val="24"/>
    <w:link w:val="14"/>
    <w:qFormat/>
    <w:uiPriority w:val="99"/>
    <w:rPr>
      <w:rFonts w:ascii="Calibri" w:hAnsi="Calibri" w:eastAsia="宋体" w:cs="Times New Roman"/>
      <w:sz w:val="18"/>
      <w:szCs w:val="18"/>
    </w:rPr>
  </w:style>
  <w:style w:type="character" w:customStyle="1" w:styleId="34">
    <w:name w:val="标题 Char"/>
    <w:basedOn w:val="24"/>
    <w:link w:val="19"/>
    <w:qFormat/>
    <w:uiPriority w:val="99"/>
    <w:rPr>
      <w:rFonts w:ascii="Arial" w:hAnsi="Arial" w:eastAsia="宋体" w:cs="Times New Roman"/>
      <w:b/>
      <w:kern w:val="0"/>
      <w:sz w:val="32"/>
      <w:szCs w:val="20"/>
    </w:rPr>
  </w:style>
  <w:style w:type="character" w:customStyle="1" w:styleId="35">
    <w:name w:val="正文文本 Char"/>
    <w:basedOn w:val="24"/>
    <w:link w:val="6"/>
    <w:semiHidden/>
    <w:qFormat/>
    <w:uiPriority w:val="99"/>
    <w:rPr>
      <w:rFonts w:ascii="楷体_GB2312" w:hAnsi="华文楷体" w:eastAsia="楷体_GB2312" w:cs="Times New Roman"/>
      <w:sz w:val="28"/>
      <w:szCs w:val="28"/>
    </w:rPr>
  </w:style>
  <w:style w:type="character" w:customStyle="1" w:styleId="36">
    <w:name w:val="正文文本缩进 Char"/>
    <w:basedOn w:val="24"/>
    <w:link w:val="7"/>
    <w:semiHidden/>
    <w:qFormat/>
    <w:uiPriority w:val="99"/>
    <w:rPr>
      <w:rFonts w:ascii="Calibri" w:hAnsi="Calibri" w:eastAsia="宋体" w:cs="Times New Roman"/>
      <w:szCs w:val="24"/>
    </w:rPr>
  </w:style>
  <w:style w:type="character" w:customStyle="1" w:styleId="37">
    <w:name w:val="日期 Char"/>
    <w:basedOn w:val="24"/>
    <w:link w:val="11"/>
    <w:semiHidden/>
    <w:qFormat/>
    <w:uiPriority w:val="99"/>
    <w:rPr>
      <w:rFonts w:ascii="Calibri" w:hAnsi="Calibri" w:eastAsia="楷体_GB2312" w:cs="Times New Roman"/>
      <w:b/>
      <w:bCs/>
      <w:sz w:val="32"/>
      <w:szCs w:val="24"/>
    </w:rPr>
  </w:style>
  <w:style w:type="character" w:customStyle="1" w:styleId="38">
    <w:name w:val="正文文本缩进 2 Char"/>
    <w:basedOn w:val="24"/>
    <w:link w:val="12"/>
    <w:semiHidden/>
    <w:qFormat/>
    <w:uiPriority w:val="99"/>
    <w:rPr>
      <w:rFonts w:ascii="Calibri" w:hAnsi="Calibri" w:eastAsia="宋体" w:cs="Times New Roman"/>
      <w:szCs w:val="24"/>
    </w:rPr>
  </w:style>
  <w:style w:type="character" w:customStyle="1" w:styleId="39">
    <w:name w:val="纯文本 Char"/>
    <w:basedOn w:val="24"/>
    <w:link w:val="10"/>
    <w:qFormat/>
    <w:uiPriority w:val="99"/>
    <w:rPr>
      <w:rFonts w:ascii="宋体" w:hAnsi="Courier New" w:eastAsia="宋体" w:cs="Courier New"/>
      <w:szCs w:val="21"/>
    </w:rPr>
  </w:style>
  <w:style w:type="character" w:customStyle="1" w:styleId="40">
    <w:name w:val="批注主题 Char"/>
    <w:basedOn w:val="31"/>
    <w:link w:val="20"/>
    <w:semiHidden/>
    <w:qFormat/>
    <w:uiPriority w:val="99"/>
    <w:rPr>
      <w:rFonts w:ascii="Calibri" w:hAnsi="Calibri" w:eastAsia="宋体" w:cs="Times New Roman"/>
      <w:b/>
      <w:bCs/>
      <w:szCs w:val="24"/>
    </w:rPr>
  </w:style>
  <w:style w:type="character" w:customStyle="1" w:styleId="41">
    <w:name w:val="批注框文本 Char"/>
    <w:basedOn w:val="24"/>
    <w:link w:val="13"/>
    <w:semiHidden/>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99"/>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4"/>
    <w:qFormat/>
    <w:uiPriority w:val="10"/>
    <w:rPr>
      <w:rFonts w:hint="default" w:asciiTheme="majorHAnsi" w:hAnsiTheme="majorHAnsi" w:cstheme="majorBidi"/>
      <w:b/>
      <w:bCs/>
      <w:kern w:val="2"/>
      <w:sz w:val="32"/>
      <w:szCs w:val="32"/>
    </w:rPr>
  </w:style>
  <w:style w:type="character" w:customStyle="1" w:styleId="50">
    <w:name w:val="批注文字 Char1"/>
    <w:basedOn w:val="24"/>
    <w:semiHidden/>
    <w:qFormat/>
    <w:uiPriority w:val="99"/>
    <w:rPr>
      <w:kern w:val="2"/>
      <w:sz w:val="21"/>
      <w:szCs w:val="24"/>
    </w:rPr>
  </w:style>
  <w:style w:type="character" w:customStyle="1" w:styleId="51">
    <w:name w:val="批注主题 Char1"/>
    <w:basedOn w:val="50"/>
    <w:semiHidden/>
    <w:qFormat/>
    <w:uiPriority w:val="99"/>
    <w:rPr>
      <w:b/>
      <w:bCs/>
      <w:kern w:val="2"/>
      <w:sz w:val="21"/>
      <w:szCs w:val="24"/>
    </w:rPr>
  </w:style>
  <w:style w:type="paragraph" w:customStyle="1" w:styleId="52">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Char"/>
    <w:basedOn w:val="24"/>
    <w:link w:val="17"/>
    <w:semiHidden/>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theme="minorBidi"/>
      <w:color w:val="000000" w:themeColor="text1"/>
      <w:sz w:val="24"/>
      <w:szCs w:val="28"/>
    </w:rPr>
  </w:style>
  <w:style w:type="character" w:customStyle="1" w:styleId="61">
    <w:name w:val="宋体小四正文 字符"/>
    <w:basedOn w:val="24"/>
    <w:link w:val="60"/>
    <w:qFormat/>
    <w:uiPriority w:val="0"/>
    <w:rPr>
      <w:rFonts w:ascii="宋体" w:hAnsi="宋体" w:eastAsia="宋体"/>
      <w:color w:val="000000" w:themeColor="text1"/>
      <w:kern w:val="2"/>
      <w:sz w:val="24"/>
      <w:szCs w:val="28"/>
    </w:rPr>
  </w:style>
  <w:style w:type="paragraph" w:customStyle="1" w:styleId="62">
    <w:name w:val="Normal Indent1"/>
    <w:basedOn w:val="1"/>
    <w:qFormat/>
    <w:uiPriority w:val="0"/>
    <w:pPr>
      <w:ind w:firstLine="420" w:firstLineChars="200"/>
    </w:pPr>
  </w:style>
  <w:style w:type="character" w:customStyle="1" w:styleId="63">
    <w:name w:val="页脚 Char1"/>
    <w:qFormat/>
    <w:uiPriority w:val="99"/>
    <w:rPr>
      <w:sz w:val="18"/>
      <w:szCs w:val="18"/>
    </w:rPr>
  </w:style>
  <w:style w:type="character" w:customStyle="1" w:styleId="64">
    <w:name w:val="NormalCharacter1"/>
    <w:qFormat/>
    <w:uiPriority w:val="0"/>
    <w:rPr>
      <w:rFonts w:asciiTheme="minorHAnsi" w:hAnsiTheme="minorHAnsi" w:eastAsiaTheme="minorEastAsia" w:cstheme="minorBidi"/>
      <w:kern w:val="2"/>
      <w:sz w:val="21"/>
      <w:szCs w:val="22"/>
      <w:lang w:val="en-US" w:eastAsia="zh-CN" w:bidi="ar-SA"/>
    </w:rPr>
  </w:style>
  <w:style w:type="paragraph" w:customStyle="1" w:styleId="65">
    <w:name w:val="引文目录标题1"/>
    <w:basedOn w:val="1"/>
    <w:next w:val="1"/>
    <w:unhideWhenUsed/>
    <w:qFormat/>
    <w:uiPriority w:val="99"/>
    <w:pPr>
      <w:spacing w:before="120"/>
    </w:pPr>
    <w:rPr>
      <w:rFonts w:ascii="Cambria" w:hAnsi="Cambria" w:eastAsia="等线"/>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8019</Words>
  <Characters>8240</Characters>
  <Lines>71</Lines>
  <Paragraphs>20</Paragraphs>
  <TotalTime>31</TotalTime>
  <ScaleCrop>false</ScaleCrop>
  <LinksUpToDate>false</LinksUpToDate>
  <CharactersWithSpaces>8858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2022-05-05T23:35:00Z</dcterms:created>
  <dc:creator>未定义</dc:creator>
  <cp:lastModifiedBy>张长君</cp:lastModifiedBy>
  <cp:lastPrinted>2020-05-07T09:24:00Z</cp:lastPrinted>
  <dcterms:modified xsi:type="dcterms:W3CDTF">2026-03-06T06:57:30Z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eyJoZGlkIjoiN2Y4ZDNhMDVmNDIzOTA1MDMwMTAyNmQxZjFhNzlmNGYiLCJ1c2VySWQiOiIxMjEwNDIxMzA4In0=</vt:lpwstr>
  </property>
</Properties>
</file>