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4DC79AB">
      <w:pPr>
        <w:pStyle w:val="58"/>
        <w:spacing w:after="100" w:afterAutospacing="1"/>
        <w:jc w:val="center"/>
        <w:rPr>
          <w:rFonts w:hint="eastAsia"/>
        </w:rPr>
      </w:pPr>
      <w:r>
        <w:rPr>
          <w:rFonts w:hint="eastAsia"/>
        </w:rPr>
        <w:t>扬州大学附属医院</w:t>
      </w:r>
      <w:bookmarkStart w:id="0" w:name="_Hlk107648982"/>
      <w:r>
        <w:rPr>
          <w:rFonts w:hint="eastAsia"/>
        </w:rPr>
        <w:t>信息化提升工程一期</w:t>
      </w:r>
      <w:bookmarkEnd w:id="0"/>
      <w:r>
        <w:rPr>
          <w:rFonts w:hint="eastAsia"/>
        </w:rPr>
        <w:t>云资源与云安全租赁项目——需求及相关说明</w:t>
      </w:r>
    </w:p>
    <w:p w14:paraId="525E124B">
      <w:pPr>
        <w:pStyle w:val="54"/>
        <w:pageBreakBefore w:val="0"/>
        <w:rPr>
          <w:rFonts w:hint="eastAsia"/>
        </w:rPr>
      </w:pPr>
      <w:bookmarkStart w:id="1" w:name="_Toc26554097"/>
      <w:bookmarkStart w:id="2" w:name="_Toc465856615"/>
      <w:bookmarkStart w:id="3" w:name="_Toc61149622"/>
      <w:bookmarkStart w:id="4" w:name="_Toc23828480"/>
      <w:r>
        <w:rPr>
          <w:rFonts w:hint="eastAsia"/>
        </w:rPr>
        <w:t>一、项目背景</w:t>
      </w:r>
    </w:p>
    <w:p w14:paraId="7DF0B696">
      <w:pPr>
        <w:spacing w:line="360" w:lineRule="auto"/>
        <w:ind w:firstLine="400" w:firstLineChars="200"/>
        <w:rPr>
          <w:rFonts w:hint="eastAsia" w:ascii="宋体" w:hAnsi="宋体" w:cs="宋体"/>
          <w:sz w:val="20"/>
          <w:szCs w:val="20"/>
        </w:rPr>
      </w:pPr>
      <w:r>
        <w:rPr>
          <w:rFonts w:hint="eastAsia" w:ascii="宋体" w:hAnsi="宋体" w:cs="宋体"/>
          <w:sz w:val="20"/>
          <w:szCs w:val="20"/>
        </w:rPr>
        <w:t>依据医院信息化建设规划，2</w:t>
      </w:r>
      <w:r>
        <w:rPr>
          <w:rFonts w:ascii="宋体" w:hAnsi="宋体" w:cs="宋体"/>
          <w:sz w:val="20"/>
          <w:szCs w:val="20"/>
        </w:rPr>
        <w:t>021</w:t>
      </w:r>
      <w:r>
        <w:rPr>
          <w:rFonts w:hint="eastAsia" w:ascii="宋体" w:hAnsi="宋体" w:cs="宋体"/>
          <w:sz w:val="20"/>
          <w:szCs w:val="20"/>
        </w:rPr>
        <w:t>年医院实施“信息化提升工程一期”建设，为满足一期及未来信息化发展需求，本项目以一期云资源应用需求为基本需求，结合未来医院信息化建设需求，构建医院云资源与云安全管理体系。</w:t>
      </w:r>
    </w:p>
    <w:p w14:paraId="1699958D">
      <w:pPr>
        <w:spacing w:line="360" w:lineRule="auto"/>
        <w:ind w:firstLine="400" w:firstLineChars="200"/>
        <w:rPr>
          <w:rFonts w:hint="eastAsia" w:ascii="宋体" w:hAnsi="宋体" w:cs="宋体"/>
          <w:sz w:val="20"/>
          <w:szCs w:val="20"/>
        </w:rPr>
      </w:pPr>
      <w:r>
        <w:rPr>
          <w:rFonts w:hint="eastAsia" w:ascii="宋体" w:hAnsi="宋体" w:cs="宋体"/>
          <w:sz w:val="20"/>
          <w:szCs w:val="20"/>
        </w:rPr>
        <w:t>项目建设应充分体现医疗业务服务的连续性、医疗信息的安全性、政策的合规性等行业特点。</w:t>
      </w:r>
    </w:p>
    <w:p w14:paraId="1D0AFBD8">
      <w:pPr>
        <w:spacing w:line="360" w:lineRule="auto"/>
        <w:ind w:firstLine="400" w:firstLineChars="200"/>
        <w:rPr>
          <w:rFonts w:hint="eastAsia" w:ascii="宋体" w:hAnsi="宋体" w:cs="宋体"/>
          <w:b/>
          <w:i/>
          <w:color w:val="FF0000"/>
          <w:sz w:val="20"/>
          <w:szCs w:val="20"/>
        </w:rPr>
      </w:pPr>
      <w:r>
        <w:rPr>
          <w:rFonts w:hint="eastAsia" w:ascii="宋体" w:hAnsi="宋体" w:cs="宋体"/>
          <w:sz w:val="20"/>
          <w:szCs w:val="20"/>
        </w:rPr>
        <w:t>本项目预算价：</w:t>
      </w:r>
      <w:r>
        <w:rPr>
          <w:rFonts w:hint="eastAsia" w:ascii="宋体" w:hAnsi="宋体" w:cs="宋体"/>
          <w:b/>
          <w:i/>
          <w:szCs w:val="20"/>
        </w:rPr>
        <w:t>14.78万元（一年服务期费用）。</w:t>
      </w:r>
    </w:p>
    <w:p w14:paraId="496C5B18">
      <w:pPr>
        <w:spacing w:line="360" w:lineRule="auto"/>
        <w:ind w:firstLine="400" w:firstLineChars="200"/>
        <w:rPr>
          <w:rFonts w:hint="eastAsia" w:ascii="宋体" w:hAnsi="宋体" w:cs="宋体"/>
          <w:sz w:val="20"/>
          <w:szCs w:val="20"/>
        </w:rPr>
      </w:pPr>
      <w:r>
        <w:rPr>
          <w:rFonts w:hint="eastAsia" w:ascii="宋体" w:hAnsi="宋体" w:cs="宋体"/>
          <w:sz w:val="20"/>
          <w:szCs w:val="20"/>
        </w:rPr>
        <w:t>服务期：服务期一年，从合同签订之日起计算。</w:t>
      </w:r>
    </w:p>
    <w:p w14:paraId="4541E822">
      <w:pPr>
        <w:pStyle w:val="12"/>
        <w:snapToGrid w:val="0"/>
        <w:spacing w:before="120" w:after="120" w:line="360" w:lineRule="auto"/>
        <w:ind w:left="420" w:leftChars="200"/>
        <w:rPr>
          <w:rFonts w:hint="eastAsia" w:hAnsi="宋体" w:cs="宋体"/>
          <w:sz w:val="20"/>
          <w:szCs w:val="20"/>
        </w:rPr>
      </w:pPr>
      <w:r>
        <w:rPr>
          <w:rFonts w:hint="eastAsia" w:hAnsi="宋体" w:cs="宋体"/>
          <w:sz w:val="20"/>
          <w:szCs w:val="20"/>
        </w:rPr>
        <w:t>付款方式：合同签订后凭开具的正规增值税发票付款支付合同总价50%；服务期满且服务质量合格的情况下，凭验收文档及开具的正规增值税发票支付剩余合同总价50%。如资源使用不足一年，则按实际使用月数支付，月单价为（年报价/</w:t>
      </w:r>
      <w:r>
        <w:rPr>
          <w:rFonts w:hAnsi="宋体" w:cs="宋体"/>
          <w:sz w:val="20"/>
          <w:szCs w:val="20"/>
        </w:rPr>
        <w:t>12</w:t>
      </w:r>
      <w:r>
        <w:rPr>
          <w:rFonts w:hint="eastAsia" w:hAnsi="宋体" w:cs="宋体"/>
          <w:sz w:val="20"/>
          <w:szCs w:val="20"/>
        </w:rPr>
        <w:t>）。</w:t>
      </w:r>
    </w:p>
    <w:p w14:paraId="5CEF8873">
      <w:pPr>
        <w:pStyle w:val="54"/>
        <w:pageBreakBefore w:val="0"/>
        <w:rPr>
          <w:rFonts w:hint="eastAsia"/>
        </w:rPr>
      </w:pPr>
      <w:r>
        <w:rPr>
          <w:rFonts w:hint="eastAsia"/>
        </w:rPr>
        <w:t>二、建设目标</w:t>
      </w:r>
    </w:p>
    <w:p w14:paraId="6C5290B8">
      <w:pPr>
        <w:spacing w:line="360" w:lineRule="auto"/>
        <w:ind w:firstLine="400" w:firstLineChars="200"/>
        <w:rPr>
          <w:rFonts w:hint="eastAsia" w:ascii="宋体" w:hAnsi="宋体" w:cs="宋体"/>
          <w:sz w:val="20"/>
          <w:szCs w:val="20"/>
        </w:rPr>
      </w:pPr>
      <w:r>
        <w:rPr>
          <w:rFonts w:hint="eastAsia" w:ascii="宋体" w:hAnsi="宋体" w:cs="宋体"/>
          <w:sz w:val="20"/>
          <w:szCs w:val="20"/>
        </w:rPr>
        <w:t>提供云资资源与云安全管理，满足医院云应用部署要求（具体需求见建设内容）。</w:t>
      </w:r>
    </w:p>
    <w:p w14:paraId="3686E718">
      <w:pPr>
        <w:spacing w:line="360" w:lineRule="auto"/>
        <w:ind w:firstLine="400" w:firstLineChars="200"/>
        <w:rPr>
          <w:rFonts w:hint="eastAsia" w:ascii="宋体" w:hAnsi="宋体" w:cs="宋体"/>
          <w:sz w:val="20"/>
          <w:szCs w:val="20"/>
        </w:rPr>
      </w:pPr>
      <w:r>
        <w:rPr>
          <w:rFonts w:hint="eastAsia" w:ascii="宋体" w:hAnsi="宋体" w:cs="宋体"/>
          <w:sz w:val="20"/>
          <w:szCs w:val="20"/>
        </w:rPr>
        <w:t>建设医院云资源与云安全管理体系：构建医院云资源与云安全统一管理体系，充分考虑现有云资源及未来医院信息化发展对云资源与云安的全管理需要，具备多套安全产品协同、高效资源利用、平滑升级、灵活扩展、部署便捷等性能。</w:t>
      </w:r>
    </w:p>
    <w:p w14:paraId="705C4E1F">
      <w:pPr>
        <w:spacing w:line="360" w:lineRule="auto"/>
        <w:ind w:firstLine="400" w:firstLineChars="200"/>
        <w:rPr>
          <w:rFonts w:hint="eastAsia" w:ascii="宋体" w:hAnsi="宋体" w:cs="宋体"/>
          <w:sz w:val="20"/>
          <w:szCs w:val="20"/>
        </w:rPr>
      </w:pPr>
      <w:r>
        <w:rPr>
          <w:rFonts w:hint="eastAsia" w:ascii="宋体" w:hAnsi="宋体" w:cs="宋体"/>
          <w:sz w:val="20"/>
          <w:szCs w:val="20"/>
        </w:rPr>
        <w:t>实现医院外网、内外网交互等应用的统一安全管理。</w:t>
      </w:r>
    </w:p>
    <w:p w14:paraId="202DE344">
      <w:pPr>
        <w:spacing w:line="360" w:lineRule="auto"/>
        <w:ind w:firstLine="400" w:firstLineChars="200"/>
        <w:rPr>
          <w:rFonts w:hint="eastAsia" w:ascii="宋体" w:hAnsi="宋体" w:cs="宋体"/>
          <w:sz w:val="20"/>
          <w:szCs w:val="20"/>
        </w:rPr>
      </w:pPr>
      <w:r>
        <w:rPr>
          <w:rFonts w:hint="eastAsia" w:ascii="宋体" w:hAnsi="宋体" w:cs="宋体"/>
          <w:sz w:val="20"/>
          <w:szCs w:val="20"/>
        </w:rPr>
        <w:t>满足</w:t>
      </w:r>
      <w:bookmarkStart w:id="5" w:name="_Hlk107316057"/>
      <w:r>
        <w:rPr>
          <w:rFonts w:hint="eastAsia" w:ascii="宋体" w:hAnsi="宋体" w:cs="宋体"/>
          <w:sz w:val="20"/>
          <w:szCs w:val="20"/>
        </w:rPr>
        <w:t>网络安全等级保护2</w:t>
      </w:r>
      <w:r>
        <w:rPr>
          <w:rFonts w:ascii="宋体" w:hAnsi="宋体" w:cs="宋体"/>
          <w:sz w:val="20"/>
          <w:szCs w:val="20"/>
        </w:rPr>
        <w:t>.0</w:t>
      </w:r>
      <w:r>
        <w:rPr>
          <w:rFonts w:hint="eastAsia" w:ascii="宋体" w:hAnsi="宋体" w:cs="宋体"/>
          <w:sz w:val="20"/>
          <w:szCs w:val="20"/>
        </w:rPr>
        <w:t>三级（下简称等保三级）、《江苏互联网医院建设标准与规范》</w:t>
      </w:r>
      <w:bookmarkEnd w:id="5"/>
      <w:r>
        <w:rPr>
          <w:rFonts w:hint="eastAsia" w:ascii="宋体" w:hAnsi="宋体" w:cs="宋体"/>
          <w:sz w:val="20"/>
          <w:szCs w:val="20"/>
        </w:rPr>
        <w:t>、互联网医院申报等信息安全管理要求。</w:t>
      </w:r>
    </w:p>
    <w:p w14:paraId="1B745FAD">
      <w:pPr>
        <w:pStyle w:val="54"/>
        <w:pageBreakBefore w:val="0"/>
        <w:rPr>
          <w:rFonts w:hint="eastAsia"/>
        </w:rPr>
      </w:pPr>
      <w:r>
        <w:rPr>
          <w:rFonts w:hint="eastAsia"/>
        </w:rPr>
        <w:t>三、政策依据</w:t>
      </w:r>
    </w:p>
    <w:p w14:paraId="5A873D9F">
      <w:pPr>
        <w:spacing w:line="360" w:lineRule="auto"/>
        <w:ind w:firstLine="400" w:firstLineChars="200"/>
        <w:rPr>
          <w:rFonts w:hint="eastAsia" w:ascii="宋体" w:hAnsi="宋体" w:cs="宋体"/>
          <w:sz w:val="20"/>
          <w:szCs w:val="20"/>
        </w:rPr>
      </w:pPr>
      <w:r>
        <w:rPr>
          <w:rFonts w:hint="eastAsia" w:ascii="宋体" w:hAnsi="宋体" w:cs="宋体"/>
          <w:sz w:val="20"/>
          <w:szCs w:val="20"/>
        </w:rPr>
        <w:t>项目建设应满足以下标准</w:t>
      </w:r>
    </w:p>
    <w:p w14:paraId="1153EB6F">
      <w:pPr>
        <w:spacing w:line="360" w:lineRule="auto"/>
        <w:ind w:firstLine="400" w:firstLineChars="200"/>
        <w:rPr>
          <w:rFonts w:hint="eastAsia" w:ascii="宋体" w:hAnsi="宋体" w:cs="宋体"/>
          <w:sz w:val="20"/>
          <w:szCs w:val="20"/>
        </w:rPr>
      </w:pPr>
      <w:r>
        <w:rPr>
          <w:rFonts w:hint="eastAsia" w:ascii="宋体" w:hAnsi="宋体" w:cs="宋体"/>
          <w:sz w:val="20"/>
          <w:szCs w:val="20"/>
        </w:rPr>
        <w:t>1、《国家健康医疗大数据标准、安全和服务管理办法》国卫规划发〔2018〕23号</w:t>
      </w:r>
    </w:p>
    <w:p w14:paraId="5B7BBFAA">
      <w:pPr>
        <w:spacing w:line="360" w:lineRule="auto"/>
        <w:ind w:firstLine="400" w:firstLineChars="200"/>
        <w:rPr>
          <w:rFonts w:hint="eastAsia" w:ascii="宋体" w:hAnsi="宋体" w:cs="宋体"/>
          <w:sz w:val="20"/>
          <w:szCs w:val="20"/>
        </w:rPr>
      </w:pPr>
      <w:r>
        <w:rPr>
          <w:rFonts w:hint="eastAsia" w:ascii="宋体" w:hAnsi="宋体" w:cs="宋体"/>
          <w:sz w:val="20"/>
          <w:szCs w:val="20"/>
        </w:rPr>
        <w:t>2、《</w:t>
      </w:r>
      <w:r>
        <w:rPr>
          <w:rFonts w:ascii="宋体" w:hAnsi="宋体" w:cs="宋体"/>
          <w:sz w:val="20"/>
          <w:szCs w:val="20"/>
        </w:rPr>
        <w:t>互联网医院管理办法（试行）</w:t>
      </w:r>
      <w:r>
        <w:rPr>
          <w:rFonts w:hint="eastAsia" w:ascii="宋体" w:hAnsi="宋体" w:cs="宋体"/>
          <w:sz w:val="20"/>
          <w:szCs w:val="20"/>
        </w:rPr>
        <w:t>》</w:t>
      </w:r>
      <w:r>
        <w:rPr>
          <w:rFonts w:ascii="宋体" w:hAnsi="宋体" w:cs="宋体"/>
          <w:sz w:val="20"/>
          <w:szCs w:val="20"/>
        </w:rPr>
        <w:t>国卫医发〔2018〕25号</w:t>
      </w:r>
    </w:p>
    <w:p w14:paraId="3574BB65">
      <w:pPr>
        <w:spacing w:line="360" w:lineRule="auto"/>
        <w:ind w:firstLine="400" w:firstLineChars="200"/>
        <w:rPr>
          <w:rFonts w:hint="eastAsia" w:ascii="宋体" w:hAnsi="宋体" w:cs="宋体"/>
          <w:sz w:val="20"/>
          <w:szCs w:val="20"/>
        </w:rPr>
      </w:pPr>
      <w:r>
        <w:rPr>
          <w:rFonts w:ascii="宋体" w:hAnsi="宋体" w:cs="宋体"/>
          <w:sz w:val="20"/>
          <w:szCs w:val="20"/>
        </w:rPr>
        <w:t>3</w:t>
      </w:r>
      <w:r>
        <w:rPr>
          <w:rFonts w:hint="eastAsia" w:ascii="宋体" w:hAnsi="宋体" w:cs="宋体"/>
          <w:sz w:val="20"/>
          <w:szCs w:val="20"/>
        </w:rPr>
        <w:t>、</w:t>
      </w:r>
      <w:bookmarkStart w:id="6" w:name="_Hlk107316091"/>
      <w:r>
        <w:rPr>
          <w:rFonts w:hint="eastAsia" w:ascii="宋体" w:hAnsi="宋体" w:cs="宋体"/>
          <w:sz w:val="20"/>
          <w:szCs w:val="20"/>
        </w:rPr>
        <w:t>《江苏省卫生信息化项目建设网络安全管理规定（试行）》</w:t>
      </w:r>
      <w:bookmarkEnd w:id="6"/>
      <w:r>
        <w:rPr>
          <w:rFonts w:hint="eastAsia" w:ascii="宋体" w:hAnsi="宋体" w:cs="宋体"/>
          <w:sz w:val="20"/>
          <w:szCs w:val="20"/>
        </w:rPr>
        <w:t>苏卫办规划【2022】2号；</w:t>
      </w:r>
    </w:p>
    <w:p w14:paraId="5A45D4FA">
      <w:pPr>
        <w:spacing w:line="360" w:lineRule="auto"/>
        <w:ind w:firstLine="400" w:firstLineChars="200"/>
        <w:rPr>
          <w:rFonts w:hint="eastAsia" w:ascii="宋体" w:hAnsi="宋体" w:cs="宋体"/>
          <w:sz w:val="20"/>
          <w:szCs w:val="20"/>
        </w:rPr>
      </w:pPr>
      <w:r>
        <w:rPr>
          <w:rFonts w:ascii="宋体" w:hAnsi="宋体" w:cs="宋体"/>
          <w:sz w:val="20"/>
          <w:szCs w:val="20"/>
        </w:rPr>
        <w:t>4</w:t>
      </w:r>
      <w:r>
        <w:rPr>
          <w:rFonts w:hint="eastAsia" w:ascii="宋体" w:hAnsi="宋体" w:cs="宋体"/>
          <w:sz w:val="20"/>
          <w:szCs w:val="20"/>
        </w:rPr>
        <w:t>、《关于做好互联网应用IPv6升级改造工作的通知-</w:t>
      </w:r>
      <w:bookmarkStart w:id="7" w:name="_Hlk107316081"/>
      <w:r>
        <w:rPr>
          <w:rFonts w:hint="eastAsia" w:ascii="宋体" w:hAnsi="宋体" w:cs="宋体"/>
          <w:sz w:val="20"/>
          <w:szCs w:val="20"/>
        </w:rPr>
        <w:t>江苏省IPv6规模部署升级改造实施指南</w:t>
      </w:r>
      <w:bookmarkEnd w:id="7"/>
      <w:r>
        <w:rPr>
          <w:rFonts w:hint="eastAsia" w:ascii="宋体" w:hAnsi="宋体" w:cs="宋体"/>
          <w:sz w:val="20"/>
          <w:szCs w:val="20"/>
        </w:rPr>
        <w:t>》扬卫规划函【2022】1号；</w:t>
      </w:r>
    </w:p>
    <w:p w14:paraId="44085901">
      <w:pPr>
        <w:spacing w:line="360" w:lineRule="auto"/>
        <w:ind w:firstLine="400" w:firstLineChars="200"/>
        <w:rPr>
          <w:rFonts w:hint="eastAsia" w:ascii="宋体" w:hAnsi="宋体" w:cs="宋体"/>
          <w:sz w:val="20"/>
          <w:szCs w:val="20"/>
        </w:rPr>
      </w:pPr>
      <w:r>
        <w:rPr>
          <w:rFonts w:ascii="宋体" w:hAnsi="宋体" w:cs="宋体"/>
          <w:sz w:val="20"/>
          <w:szCs w:val="20"/>
        </w:rPr>
        <w:t>5</w:t>
      </w:r>
      <w:r>
        <w:rPr>
          <w:rFonts w:hint="eastAsia" w:ascii="宋体" w:hAnsi="宋体" w:cs="宋体"/>
          <w:sz w:val="20"/>
          <w:szCs w:val="20"/>
        </w:rPr>
        <w:t>、</w:t>
      </w:r>
      <w:bookmarkStart w:id="8" w:name="_Hlk107316109"/>
      <w:r>
        <w:rPr>
          <w:rFonts w:hint="eastAsia" w:ascii="宋体" w:hAnsi="宋体" w:cs="宋体"/>
          <w:sz w:val="20"/>
          <w:szCs w:val="20"/>
        </w:rPr>
        <w:t>《信息安全等保护管理办法》</w:t>
      </w:r>
      <w:bookmarkEnd w:id="8"/>
      <w:r>
        <w:rPr>
          <w:rFonts w:hint="eastAsia" w:ascii="宋体" w:hAnsi="宋体" w:cs="宋体"/>
          <w:sz w:val="20"/>
          <w:szCs w:val="20"/>
        </w:rPr>
        <w:t>、《商用密码应用安全性评估管理办法》等规定；</w:t>
      </w:r>
    </w:p>
    <w:p w14:paraId="0F4B6192">
      <w:pPr>
        <w:pStyle w:val="54"/>
        <w:pageBreakBefore w:val="0"/>
        <w:rPr>
          <w:rFonts w:hint="eastAsia"/>
        </w:rPr>
      </w:pPr>
      <w:r>
        <w:rPr>
          <w:rFonts w:hint="eastAsia"/>
        </w:rPr>
        <w:t>四、建设内容</w:t>
      </w:r>
    </w:p>
    <w:p w14:paraId="59EAC839">
      <w:pPr>
        <w:pStyle w:val="49"/>
        <w:spacing w:line="360" w:lineRule="auto"/>
        <w:ind w:left="510" w:firstLine="0" w:firstLineChars="0"/>
        <w:rPr>
          <w:b/>
          <w:sz w:val="24"/>
          <w:szCs w:val="24"/>
        </w:rPr>
      </w:pPr>
      <w:r>
        <w:rPr>
          <w:rFonts w:hint="eastAsia"/>
          <w:b/>
          <w:sz w:val="24"/>
          <w:szCs w:val="24"/>
        </w:rPr>
        <w:t>1、建设清单</w:t>
      </w:r>
    </w:p>
    <w:p w14:paraId="1F1016AA">
      <w:pPr>
        <w:spacing w:line="360" w:lineRule="auto"/>
        <w:ind w:firstLine="400" w:firstLineChars="200"/>
        <w:rPr>
          <w:rFonts w:hint="eastAsia" w:ascii="宋体" w:hAnsi="宋体" w:cs="宋体"/>
          <w:sz w:val="20"/>
          <w:szCs w:val="20"/>
        </w:rPr>
      </w:pPr>
      <w:r>
        <w:rPr>
          <w:rFonts w:hint="eastAsia" w:ascii="宋体" w:hAnsi="宋体" w:cs="宋体"/>
          <w:sz w:val="20"/>
          <w:szCs w:val="20"/>
        </w:rPr>
        <w:t>本次项目云资源与云安全应包括以下内容。</w:t>
      </w:r>
    </w:p>
    <w:tbl>
      <w:tblPr>
        <w:tblStyle w:val="21"/>
        <w:tblW w:w="860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1134"/>
        <w:gridCol w:w="1360"/>
        <w:gridCol w:w="4677"/>
        <w:gridCol w:w="709"/>
      </w:tblGrid>
      <w:tr w14:paraId="2AE0C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726" w:type="dxa"/>
            <w:vAlign w:val="center"/>
          </w:tcPr>
          <w:p w14:paraId="5E70E5D3">
            <w:pPr>
              <w:jc w:val="center"/>
              <w:rPr>
                <w:rFonts w:hint="eastAsia" w:ascii="宋体" w:hAnsi="宋体"/>
                <w:b/>
                <w:bCs/>
                <w:szCs w:val="21"/>
              </w:rPr>
            </w:pPr>
            <w:r>
              <w:rPr>
                <w:rFonts w:hint="eastAsia" w:ascii="宋体" w:hAnsi="宋体"/>
                <w:b/>
                <w:bCs/>
                <w:szCs w:val="21"/>
              </w:rPr>
              <w:t>序号</w:t>
            </w:r>
          </w:p>
        </w:tc>
        <w:tc>
          <w:tcPr>
            <w:tcW w:w="1134" w:type="dxa"/>
            <w:vAlign w:val="center"/>
          </w:tcPr>
          <w:p w14:paraId="2C2DC777">
            <w:pPr>
              <w:jc w:val="center"/>
              <w:rPr>
                <w:rFonts w:hint="eastAsia" w:ascii="宋体" w:hAnsi="宋体"/>
                <w:b/>
                <w:bCs/>
                <w:szCs w:val="21"/>
              </w:rPr>
            </w:pPr>
            <w:r>
              <w:rPr>
                <w:rFonts w:hint="eastAsia" w:ascii="宋体" w:hAnsi="宋体"/>
                <w:b/>
                <w:bCs/>
                <w:szCs w:val="21"/>
              </w:rPr>
              <w:t>内容</w:t>
            </w:r>
          </w:p>
        </w:tc>
        <w:tc>
          <w:tcPr>
            <w:tcW w:w="1360" w:type="dxa"/>
            <w:vAlign w:val="center"/>
          </w:tcPr>
          <w:p w14:paraId="7349E4B6">
            <w:pPr>
              <w:jc w:val="center"/>
              <w:rPr>
                <w:rFonts w:hint="eastAsia" w:ascii="宋体" w:hAnsi="宋体"/>
                <w:b/>
                <w:bCs/>
                <w:szCs w:val="21"/>
              </w:rPr>
            </w:pPr>
            <w:r>
              <w:rPr>
                <w:rFonts w:hint="eastAsia" w:ascii="宋体" w:hAnsi="宋体"/>
                <w:b/>
                <w:bCs/>
                <w:szCs w:val="21"/>
              </w:rPr>
              <w:t>名称</w:t>
            </w:r>
          </w:p>
        </w:tc>
        <w:tc>
          <w:tcPr>
            <w:tcW w:w="4677" w:type="dxa"/>
            <w:vAlign w:val="center"/>
          </w:tcPr>
          <w:p w14:paraId="74D81B11">
            <w:pPr>
              <w:ind w:left="-123" w:leftChars="-59" w:firstLine="123" w:firstLineChars="59"/>
              <w:jc w:val="center"/>
              <w:rPr>
                <w:rFonts w:hint="eastAsia" w:ascii="宋体" w:hAnsi="宋体"/>
                <w:b/>
                <w:bCs/>
                <w:szCs w:val="21"/>
              </w:rPr>
            </w:pPr>
            <w:r>
              <w:rPr>
                <w:rFonts w:hint="eastAsia" w:ascii="宋体" w:hAnsi="宋体"/>
                <w:b/>
                <w:bCs/>
                <w:szCs w:val="21"/>
              </w:rPr>
              <w:t>配置要求</w:t>
            </w:r>
          </w:p>
        </w:tc>
        <w:tc>
          <w:tcPr>
            <w:tcW w:w="709" w:type="dxa"/>
            <w:vAlign w:val="center"/>
          </w:tcPr>
          <w:p w14:paraId="21934C3F">
            <w:pPr>
              <w:jc w:val="center"/>
              <w:rPr>
                <w:rFonts w:hint="eastAsia" w:ascii="宋体" w:hAnsi="宋体"/>
                <w:b/>
                <w:bCs/>
                <w:szCs w:val="21"/>
              </w:rPr>
            </w:pPr>
            <w:r>
              <w:rPr>
                <w:rFonts w:hint="eastAsia" w:ascii="宋体" w:hAnsi="宋体"/>
                <w:b/>
                <w:bCs/>
                <w:szCs w:val="21"/>
              </w:rPr>
              <w:t>数量</w:t>
            </w:r>
          </w:p>
        </w:tc>
      </w:tr>
      <w:tr w14:paraId="0E6FE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726" w:type="dxa"/>
            <w:vMerge w:val="restart"/>
            <w:vAlign w:val="center"/>
          </w:tcPr>
          <w:p w14:paraId="0BD03AFF">
            <w:pPr>
              <w:jc w:val="center"/>
              <w:rPr>
                <w:rFonts w:hint="eastAsia" w:ascii="宋体" w:hAnsi="宋体"/>
                <w:szCs w:val="21"/>
              </w:rPr>
            </w:pPr>
            <w:r>
              <w:rPr>
                <w:rFonts w:ascii="宋体" w:hAnsi="宋体"/>
                <w:szCs w:val="21"/>
              </w:rPr>
              <w:t>1</w:t>
            </w:r>
          </w:p>
        </w:tc>
        <w:tc>
          <w:tcPr>
            <w:tcW w:w="1134" w:type="dxa"/>
            <w:vMerge w:val="restart"/>
            <w:vAlign w:val="center"/>
          </w:tcPr>
          <w:p w14:paraId="4E73ED6D">
            <w:pPr>
              <w:rPr>
                <w:rFonts w:hint="eastAsia" w:ascii="宋体" w:hAnsi="宋体"/>
                <w:szCs w:val="21"/>
              </w:rPr>
            </w:pPr>
            <w:r>
              <w:rPr>
                <w:rFonts w:hint="eastAsia" w:ascii="宋体" w:hAnsi="宋体"/>
                <w:szCs w:val="21"/>
              </w:rPr>
              <w:t>互联网应用服务云资源需求</w:t>
            </w:r>
          </w:p>
        </w:tc>
        <w:tc>
          <w:tcPr>
            <w:tcW w:w="1360" w:type="dxa"/>
            <w:vAlign w:val="center"/>
          </w:tcPr>
          <w:p w14:paraId="50684F8E">
            <w:pPr>
              <w:jc w:val="center"/>
              <w:rPr>
                <w:rFonts w:hint="eastAsia" w:ascii="宋体" w:hAnsi="宋体"/>
                <w:szCs w:val="21"/>
              </w:rPr>
            </w:pPr>
            <w:r>
              <w:rPr>
                <w:rFonts w:hint="eastAsia" w:ascii="宋体" w:hAnsi="宋体"/>
                <w:szCs w:val="21"/>
              </w:rPr>
              <w:t>服务器资源</w:t>
            </w:r>
          </w:p>
        </w:tc>
        <w:tc>
          <w:tcPr>
            <w:tcW w:w="4677" w:type="dxa"/>
            <w:vAlign w:val="center"/>
          </w:tcPr>
          <w:p w14:paraId="4CC0D613">
            <w:pPr>
              <w:rPr>
                <w:rFonts w:hint="eastAsia" w:ascii="宋体" w:hAnsi="宋体"/>
                <w:szCs w:val="21"/>
              </w:rPr>
            </w:pPr>
            <w:r>
              <w:rPr>
                <w:rFonts w:hint="eastAsia" w:ascii="宋体" w:hAnsi="宋体"/>
                <w:szCs w:val="21"/>
              </w:rPr>
              <w:t>不低于100核 vCPU/内存216G DDR4/ 硬盘6550GB SSD /正版操作系统（符合院方使用需求），1年服务，见详细技术指标要求。</w:t>
            </w:r>
          </w:p>
        </w:tc>
        <w:tc>
          <w:tcPr>
            <w:tcW w:w="709" w:type="dxa"/>
            <w:vAlign w:val="center"/>
          </w:tcPr>
          <w:p w14:paraId="1CE1686D">
            <w:pPr>
              <w:jc w:val="center"/>
              <w:rPr>
                <w:rFonts w:hint="eastAsia" w:ascii="宋体" w:hAnsi="宋体"/>
                <w:szCs w:val="21"/>
              </w:rPr>
            </w:pPr>
            <w:r>
              <w:rPr>
                <w:rFonts w:hint="eastAsia" w:ascii="宋体" w:hAnsi="宋体"/>
                <w:szCs w:val="21"/>
              </w:rPr>
              <w:t>1套</w:t>
            </w:r>
          </w:p>
        </w:tc>
      </w:tr>
      <w:tr w14:paraId="7CFFC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726" w:type="dxa"/>
            <w:vMerge w:val="continue"/>
            <w:vAlign w:val="center"/>
          </w:tcPr>
          <w:p w14:paraId="764C6E30">
            <w:pPr>
              <w:rPr>
                <w:rFonts w:hint="eastAsia" w:ascii="宋体" w:hAnsi="宋体"/>
                <w:szCs w:val="21"/>
              </w:rPr>
            </w:pPr>
          </w:p>
        </w:tc>
        <w:tc>
          <w:tcPr>
            <w:tcW w:w="1134" w:type="dxa"/>
            <w:vMerge w:val="continue"/>
            <w:vAlign w:val="center"/>
          </w:tcPr>
          <w:p w14:paraId="6D2C18CD">
            <w:pPr>
              <w:rPr>
                <w:rFonts w:hint="eastAsia" w:ascii="宋体" w:hAnsi="宋体"/>
                <w:szCs w:val="21"/>
              </w:rPr>
            </w:pPr>
          </w:p>
        </w:tc>
        <w:tc>
          <w:tcPr>
            <w:tcW w:w="1360" w:type="dxa"/>
            <w:vAlign w:val="center"/>
          </w:tcPr>
          <w:p w14:paraId="4FC069EE">
            <w:pPr>
              <w:jc w:val="center"/>
              <w:rPr>
                <w:rFonts w:hint="eastAsia" w:ascii="宋体" w:hAnsi="宋体"/>
                <w:szCs w:val="21"/>
              </w:rPr>
            </w:pPr>
            <w:r>
              <w:rPr>
                <w:rFonts w:hint="eastAsia" w:ascii="宋体" w:hAnsi="宋体"/>
                <w:szCs w:val="21"/>
              </w:rPr>
              <w:t>负载均衡</w:t>
            </w:r>
          </w:p>
        </w:tc>
        <w:tc>
          <w:tcPr>
            <w:tcW w:w="4677" w:type="dxa"/>
            <w:vAlign w:val="center"/>
          </w:tcPr>
          <w:p w14:paraId="23ACBA3C">
            <w:pPr>
              <w:rPr>
                <w:rFonts w:hint="eastAsia" w:ascii="宋体" w:hAnsi="宋体"/>
                <w:szCs w:val="21"/>
              </w:rPr>
            </w:pPr>
            <w:r>
              <w:rPr>
                <w:rFonts w:ascii="宋体" w:hAnsi="宋体"/>
                <w:szCs w:val="21"/>
              </w:rPr>
              <w:t>5</w:t>
            </w:r>
            <w:r>
              <w:rPr>
                <w:rFonts w:hint="eastAsia" w:ascii="宋体" w:hAnsi="宋体"/>
                <w:szCs w:val="21"/>
              </w:rPr>
              <w:t>0M带宽(主、备，支持IPV6)，1年服务，见详细技术指标要求。</w:t>
            </w:r>
          </w:p>
        </w:tc>
        <w:tc>
          <w:tcPr>
            <w:tcW w:w="709" w:type="dxa"/>
            <w:vAlign w:val="center"/>
          </w:tcPr>
          <w:p w14:paraId="3471636B">
            <w:pPr>
              <w:jc w:val="center"/>
              <w:rPr>
                <w:rFonts w:hint="eastAsia" w:ascii="宋体" w:hAnsi="宋体"/>
                <w:szCs w:val="21"/>
              </w:rPr>
            </w:pPr>
            <w:r>
              <w:rPr>
                <w:rFonts w:hint="eastAsia" w:ascii="宋体" w:hAnsi="宋体"/>
                <w:szCs w:val="21"/>
              </w:rPr>
              <w:t>2条</w:t>
            </w:r>
          </w:p>
        </w:tc>
      </w:tr>
      <w:tr w14:paraId="4DD01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726" w:type="dxa"/>
            <w:vMerge w:val="restart"/>
            <w:vAlign w:val="center"/>
          </w:tcPr>
          <w:p w14:paraId="7CA67FED">
            <w:pPr>
              <w:jc w:val="center"/>
              <w:rPr>
                <w:rFonts w:hint="eastAsia" w:ascii="宋体" w:hAnsi="宋体"/>
                <w:szCs w:val="21"/>
              </w:rPr>
            </w:pPr>
            <w:r>
              <w:rPr>
                <w:rFonts w:ascii="宋体" w:hAnsi="宋体"/>
                <w:szCs w:val="21"/>
              </w:rPr>
              <w:t>2</w:t>
            </w:r>
          </w:p>
        </w:tc>
        <w:tc>
          <w:tcPr>
            <w:tcW w:w="1134" w:type="dxa"/>
            <w:vMerge w:val="restart"/>
            <w:vAlign w:val="center"/>
          </w:tcPr>
          <w:p w14:paraId="1A86A31B">
            <w:pPr>
              <w:rPr>
                <w:rFonts w:hint="eastAsia" w:ascii="宋体" w:hAnsi="宋体"/>
                <w:szCs w:val="21"/>
              </w:rPr>
            </w:pPr>
            <w:r>
              <w:rPr>
                <w:rFonts w:hint="eastAsia" w:ascii="宋体" w:hAnsi="宋体"/>
                <w:szCs w:val="21"/>
              </w:rPr>
              <w:t>互联网应用云安全资源（包括但不限于）</w:t>
            </w:r>
          </w:p>
        </w:tc>
        <w:tc>
          <w:tcPr>
            <w:tcW w:w="1360" w:type="dxa"/>
            <w:vAlign w:val="center"/>
          </w:tcPr>
          <w:p w14:paraId="3A2C0DF6">
            <w:pPr>
              <w:jc w:val="center"/>
              <w:rPr>
                <w:rFonts w:hint="eastAsia" w:ascii="宋体" w:hAnsi="宋体"/>
                <w:szCs w:val="21"/>
              </w:rPr>
            </w:pPr>
            <w:r>
              <w:rPr>
                <w:rFonts w:hint="eastAsia" w:ascii="宋体" w:hAnsi="宋体"/>
                <w:szCs w:val="21"/>
              </w:rPr>
              <w:t>堡垒机</w:t>
            </w:r>
          </w:p>
        </w:tc>
        <w:tc>
          <w:tcPr>
            <w:tcW w:w="4677" w:type="dxa"/>
            <w:vAlign w:val="center"/>
          </w:tcPr>
          <w:p w14:paraId="47207753">
            <w:pPr>
              <w:rPr>
                <w:rFonts w:hint="eastAsia" w:ascii="宋体" w:hAnsi="宋体"/>
                <w:szCs w:val="21"/>
              </w:rPr>
            </w:pPr>
            <w:r>
              <w:rPr>
                <w:rFonts w:hint="eastAsia" w:ascii="宋体" w:hAnsi="宋体"/>
                <w:szCs w:val="21"/>
              </w:rPr>
              <w:t>用于集中管理资产访问权限，为运维人员提供统一、高效、安全的运维通道，可提供运维身份鉴别、账号管控、系统操作审计等多种功能。1年服务。</w:t>
            </w:r>
          </w:p>
        </w:tc>
        <w:tc>
          <w:tcPr>
            <w:tcW w:w="709" w:type="dxa"/>
            <w:vAlign w:val="center"/>
          </w:tcPr>
          <w:p w14:paraId="438E86A4">
            <w:pPr>
              <w:jc w:val="center"/>
              <w:rPr>
                <w:rFonts w:hint="eastAsia" w:ascii="宋体" w:hAnsi="宋体"/>
                <w:szCs w:val="21"/>
              </w:rPr>
            </w:pPr>
            <w:r>
              <w:rPr>
                <w:rFonts w:hint="eastAsia" w:ascii="宋体" w:hAnsi="宋体"/>
                <w:szCs w:val="21"/>
              </w:rPr>
              <w:t>1套</w:t>
            </w:r>
          </w:p>
        </w:tc>
      </w:tr>
      <w:tr w14:paraId="00045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726" w:type="dxa"/>
            <w:vMerge w:val="continue"/>
            <w:vAlign w:val="center"/>
          </w:tcPr>
          <w:p w14:paraId="427997E6">
            <w:pPr>
              <w:rPr>
                <w:rFonts w:hint="eastAsia" w:ascii="宋体" w:hAnsi="宋体"/>
                <w:szCs w:val="21"/>
              </w:rPr>
            </w:pPr>
          </w:p>
        </w:tc>
        <w:tc>
          <w:tcPr>
            <w:tcW w:w="1134" w:type="dxa"/>
            <w:vMerge w:val="continue"/>
            <w:vAlign w:val="center"/>
          </w:tcPr>
          <w:p w14:paraId="4DC52905">
            <w:pPr>
              <w:rPr>
                <w:rFonts w:hint="eastAsia" w:ascii="宋体" w:hAnsi="宋体"/>
                <w:szCs w:val="21"/>
              </w:rPr>
            </w:pPr>
          </w:p>
        </w:tc>
        <w:tc>
          <w:tcPr>
            <w:tcW w:w="1360" w:type="dxa"/>
            <w:vAlign w:val="center"/>
          </w:tcPr>
          <w:p w14:paraId="1FC3962F">
            <w:pPr>
              <w:jc w:val="center"/>
              <w:rPr>
                <w:rFonts w:hint="eastAsia" w:ascii="宋体" w:hAnsi="宋体"/>
                <w:szCs w:val="21"/>
              </w:rPr>
            </w:pPr>
            <w:r>
              <w:rPr>
                <w:rFonts w:hint="eastAsia" w:ascii="宋体" w:hAnsi="宋体"/>
                <w:szCs w:val="21"/>
              </w:rPr>
              <w:t>防火墙</w:t>
            </w:r>
          </w:p>
        </w:tc>
        <w:tc>
          <w:tcPr>
            <w:tcW w:w="4677" w:type="dxa"/>
            <w:vAlign w:val="center"/>
          </w:tcPr>
          <w:p w14:paraId="2D655C19">
            <w:pPr>
              <w:rPr>
                <w:rFonts w:hint="eastAsia" w:ascii="宋体" w:hAnsi="宋体"/>
                <w:szCs w:val="21"/>
              </w:rPr>
            </w:pPr>
            <w:r>
              <w:rPr>
                <w:rFonts w:hint="eastAsia" w:ascii="宋体" w:hAnsi="宋体"/>
                <w:szCs w:val="21"/>
              </w:rPr>
              <w:t>云环境下租户网络边界的下一代防火墙，具有统一管理互联网到云业务主机的精细化访问控制、高效威胁防护和高级威胁检测等功能。1年服务。</w:t>
            </w:r>
          </w:p>
        </w:tc>
        <w:tc>
          <w:tcPr>
            <w:tcW w:w="709" w:type="dxa"/>
            <w:vAlign w:val="center"/>
          </w:tcPr>
          <w:p w14:paraId="248AE873">
            <w:pPr>
              <w:jc w:val="center"/>
              <w:rPr>
                <w:rFonts w:hint="eastAsia" w:ascii="宋体" w:hAnsi="宋体"/>
                <w:szCs w:val="21"/>
              </w:rPr>
            </w:pPr>
            <w:r>
              <w:rPr>
                <w:rFonts w:hint="eastAsia" w:ascii="宋体" w:hAnsi="宋体"/>
                <w:szCs w:val="21"/>
              </w:rPr>
              <w:t>1套</w:t>
            </w:r>
          </w:p>
        </w:tc>
      </w:tr>
      <w:tr w14:paraId="78BDA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6" w:type="dxa"/>
            <w:vMerge w:val="continue"/>
            <w:vAlign w:val="center"/>
          </w:tcPr>
          <w:p w14:paraId="412C77B8">
            <w:pPr>
              <w:rPr>
                <w:rFonts w:hint="eastAsia" w:ascii="宋体" w:hAnsi="宋体"/>
                <w:szCs w:val="21"/>
              </w:rPr>
            </w:pPr>
          </w:p>
        </w:tc>
        <w:tc>
          <w:tcPr>
            <w:tcW w:w="1134" w:type="dxa"/>
            <w:vMerge w:val="continue"/>
            <w:vAlign w:val="center"/>
          </w:tcPr>
          <w:p w14:paraId="61F9A728">
            <w:pPr>
              <w:rPr>
                <w:rFonts w:hint="eastAsia" w:ascii="宋体" w:hAnsi="宋体"/>
                <w:szCs w:val="21"/>
              </w:rPr>
            </w:pPr>
          </w:p>
        </w:tc>
        <w:tc>
          <w:tcPr>
            <w:tcW w:w="1360" w:type="dxa"/>
            <w:vAlign w:val="center"/>
          </w:tcPr>
          <w:p w14:paraId="418EA503">
            <w:pPr>
              <w:jc w:val="center"/>
              <w:rPr>
                <w:rFonts w:hint="eastAsia" w:ascii="宋体" w:hAnsi="宋体"/>
                <w:szCs w:val="21"/>
              </w:rPr>
            </w:pPr>
            <w:r>
              <w:rPr>
                <w:rFonts w:hint="eastAsia" w:ascii="宋体" w:hAnsi="宋体"/>
                <w:szCs w:val="21"/>
              </w:rPr>
              <w:t>数据库审计</w:t>
            </w:r>
          </w:p>
        </w:tc>
        <w:tc>
          <w:tcPr>
            <w:tcW w:w="4677" w:type="dxa"/>
            <w:vAlign w:val="center"/>
          </w:tcPr>
          <w:p w14:paraId="185D4B1E">
            <w:pPr>
              <w:rPr>
                <w:rFonts w:hint="eastAsia" w:ascii="宋体" w:hAnsi="宋体"/>
                <w:szCs w:val="21"/>
              </w:rPr>
            </w:pPr>
            <w:r>
              <w:rPr>
                <w:rFonts w:hint="eastAsia" w:ascii="宋体" w:hAnsi="宋体"/>
                <w:szCs w:val="21"/>
              </w:rPr>
              <w:t>针对数据库系统的安全审计产品，对来自应用系统客户端和DBA对数据库的访问行为进行全面审计，对SQL注入、危险操作进行记录和实时预警、及时阻止，从而达到保护数据库的良好效果。1年服务。</w:t>
            </w:r>
          </w:p>
        </w:tc>
        <w:tc>
          <w:tcPr>
            <w:tcW w:w="709" w:type="dxa"/>
            <w:vAlign w:val="center"/>
          </w:tcPr>
          <w:p w14:paraId="4E178E5F">
            <w:pPr>
              <w:jc w:val="center"/>
              <w:rPr>
                <w:rFonts w:hint="eastAsia" w:ascii="宋体" w:hAnsi="宋体"/>
                <w:szCs w:val="21"/>
              </w:rPr>
            </w:pPr>
            <w:r>
              <w:rPr>
                <w:rFonts w:hint="eastAsia" w:ascii="宋体" w:hAnsi="宋体"/>
                <w:szCs w:val="21"/>
              </w:rPr>
              <w:t>1套</w:t>
            </w:r>
          </w:p>
        </w:tc>
      </w:tr>
      <w:tr w14:paraId="068B8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6" w:type="dxa"/>
            <w:vMerge w:val="continue"/>
            <w:vAlign w:val="center"/>
          </w:tcPr>
          <w:p w14:paraId="200284F0">
            <w:pPr>
              <w:rPr>
                <w:rFonts w:hint="eastAsia" w:ascii="宋体" w:hAnsi="宋体"/>
                <w:szCs w:val="21"/>
              </w:rPr>
            </w:pPr>
          </w:p>
        </w:tc>
        <w:tc>
          <w:tcPr>
            <w:tcW w:w="1134" w:type="dxa"/>
            <w:vMerge w:val="continue"/>
            <w:vAlign w:val="center"/>
          </w:tcPr>
          <w:p w14:paraId="1BB2B0F3">
            <w:pPr>
              <w:rPr>
                <w:rFonts w:hint="eastAsia" w:ascii="宋体" w:hAnsi="宋体"/>
                <w:szCs w:val="21"/>
              </w:rPr>
            </w:pPr>
          </w:p>
        </w:tc>
        <w:tc>
          <w:tcPr>
            <w:tcW w:w="1360" w:type="dxa"/>
            <w:vAlign w:val="center"/>
          </w:tcPr>
          <w:p w14:paraId="313B11E0">
            <w:pPr>
              <w:jc w:val="center"/>
              <w:rPr>
                <w:rFonts w:hint="eastAsia" w:ascii="宋体" w:hAnsi="宋体"/>
                <w:szCs w:val="21"/>
              </w:rPr>
            </w:pPr>
            <w:r>
              <w:rPr>
                <w:rFonts w:hint="eastAsia" w:ascii="宋体" w:hAnsi="宋体"/>
                <w:szCs w:val="21"/>
              </w:rPr>
              <w:t>Web网站安全防护</w:t>
            </w:r>
          </w:p>
        </w:tc>
        <w:tc>
          <w:tcPr>
            <w:tcW w:w="4677" w:type="dxa"/>
            <w:vAlign w:val="center"/>
          </w:tcPr>
          <w:p w14:paraId="42298FAC">
            <w:pPr>
              <w:rPr>
                <w:rFonts w:hint="eastAsia" w:ascii="宋体" w:hAnsi="宋体"/>
                <w:szCs w:val="21"/>
              </w:rPr>
            </w:pPr>
            <w:r>
              <w:rPr>
                <w:rFonts w:hint="eastAsia" w:ascii="宋体" w:hAnsi="宋体"/>
                <w:szCs w:val="21"/>
              </w:rPr>
              <w:t>对网站或者APP的业务流量进行恶意特征识别及防护，将正常、安全的流量回源到服务器。避免网站服务器被恶意入侵，保障业务的核心数据安全，解决因恶意攻击导致的服务器性能异常问题。具备</w:t>
            </w:r>
            <w:r>
              <w:rPr>
                <w:rFonts w:ascii="宋体" w:hAnsi="宋体" w:cs="宋体"/>
                <w:szCs w:val="21"/>
              </w:rPr>
              <w:t>Web安全防护</w:t>
            </w:r>
            <w:r>
              <w:rPr>
                <w:rFonts w:hint="eastAsia" w:ascii="宋体" w:hAnsi="宋体" w:cs="宋体"/>
                <w:szCs w:val="21"/>
              </w:rPr>
              <w:t>、DDoS攻击防护、CC防护等。</w:t>
            </w:r>
            <w:r>
              <w:rPr>
                <w:rFonts w:hint="eastAsia" w:ascii="宋体" w:hAnsi="宋体"/>
                <w:szCs w:val="21"/>
              </w:rPr>
              <w:t>1年服务，见详细技术指标要求。</w:t>
            </w:r>
          </w:p>
        </w:tc>
        <w:tc>
          <w:tcPr>
            <w:tcW w:w="709" w:type="dxa"/>
            <w:vAlign w:val="center"/>
          </w:tcPr>
          <w:p w14:paraId="4F799665">
            <w:pPr>
              <w:jc w:val="center"/>
              <w:rPr>
                <w:rFonts w:hint="eastAsia" w:ascii="宋体" w:hAnsi="宋体"/>
                <w:szCs w:val="21"/>
              </w:rPr>
            </w:pPr>
            <w:r>
              <w:rPr>
                <w:rFonts w:hint="eastAsia" w:ascii="宋体" w:hAnsi="宋体"/>
                <w:szCs w:val="21"/>
              </w:rPr>
              <w:t>1套</w:t>
            </w:r>
          </w:p>
        </w:tc>
      </w:tr>
      <w:tr w14:paraId="5D629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6" w:type="dxa"/>
            <w:vMerge w:val="continue"/>
            <w:vAlign w:val="center"/>
          </w:tcPr>
          <w:p w14:paraId="3141758F">
            <w:pPr>
              <w:rPr>
                <w:rFonts w:hint="eastAsia" w:ascii="宋体" w:hAnsi="宋体"/>
                <w:szCs w:val="21"/>
              </w:rPr>
            </w:pPr>
          </w:p>
        </w:tc>
        <w:tc>
          <w:tcPr>
            <w:tcW w:w="1134" w:type="dxa"/>
            <w:vMerge w:val="continue"/>
            <w:vAlign w:val="center"/>
          </w:tcPr>
          <w:p w14:paraId="3747CC89">
            <w:pPr>
              <w:rPr>
                <w:rFonts w:hint="eastAsia" w:ascii="宋体" w:hAnsi="宋体"/>
                <w:szCs w:val="21"/>
              </w:rPr>
            </w:pPr>
          </w:p>
        </w:tc>
        <w:tc>
          <w:tcPr>
            <w:tcW w:w="1360" w:type="dxa"/>
            <w:vAlign w:val="center"/>
          </w:tcPr>
          <w:p w14:paraId="587E7896">
            <w:pPr>
              <w:jc w:val="center"/>
              <w:rPr>
                <w:rFonts w:hint="eastAsia" w:ascii="宋体" w:hAnsi="宋体"/>
                <w:szCs w:val="21"/>
              </w:rPr>
            </w:pPr>
            <w:r>
              <w:rPr>
                <w:rFonts w:hint="eastAsia" w:ascii="宋体" w:hAnsi="宋体"/>
                <w:szCs w:val="21"/>
              </w:rPr>
              <w:t>S</w:t>
            </w:r>
            <w:r>
              <w:rPr>
                <w:rFonts w:ascii="宋体" w:hAnsi="宋体"/>
                <w:szCs w:val="21"/>
              </w:rPr>
              <w:t>SL</w:t>
            </w:r>
            <w:r>
              <w:rPr>
                <w:rFonts w:hint="eastAsia" w:ascii="宋体" w:hAnsi="宋体"/>
                <w:szCs w:val="21"/>
              </w:rPr>
              <w:t>证书</w:t>
            </w:r>
          </w:p>
        </w:tc>
        <w:tc>
          <w:tcPr>
            <w:tcW w:w="4677" w:type="dxa"/>
            <w:vAlign w:val="center"/>
          </w:tcPr>
          <w:p w14:paraId="06E50403">
            <w:pPr>
              <w:rPr>
                <w:rFonts w:hint="eastAsia" w:ascii="宋体" w:hAnsi="宋体"/>
                <w:szCs w:val="21"/>
              </w:rPr>
            </w:pPr>
            <w:r>
              <w:rPr>
                <w:rFonts w:ascii="宋体" w:hAnsi="宋体"/>
                <w:szCs w:val="21"/>
              </w:rPr>
              <w:t>企业型SSL证书(国际</w:t>
            </w:r>
            <w:r>
              <w:rPr>
                <w:rFonts w:hint="eastAsia" w:ascii="宋体" w:hAnsi="宋体"/>
                <w:szCs w:val="21"/>
              </w:rPr>
              <w:t>和国密各一个</w:t>
            </w:r>
            <w:r>
              <w:rPr>
                <w:rFonts w:ascii="宋体" w:hAnsi="宋体"/>
                <w:szCs w:val="21"/>
              </w:rPr>
              <w:t>)(数字证书技术支持服务)</w:t>
            </w:r>
            <w:r>
              <w:rPr>
                <w:rFonts w:hint="eastAsia" w:ascii="宋体" w:hAnsi="宋体"/>
                <w:szCs w:val="21"/>
              </w:rPr>
              <w:t>，1年服务，见详细技术指标要求。</w:t>
            </w:r>
          </w:p>
        </w:tc>
        <w:tc>
          <w:tcPr>
            <w:tcW w:w="709" w:type="dxa"/>
            <w:vAlign w:val="center"/>
          </w:tcPr>
          <w:p w14:paraId="1AD7A1B0">
            <w:pPr>
              <w:jc w:val="center"/>
              <w:rPr>
                <w:rFonts w:hint="eastAsia" w:ascii="宋体" w:hAnsi="宋体"/>
                <w:szCs w:val="21"/>
              </w:rPr>
            </w:pPr>
            <w:r>
              <w:rPr>
                <w:rFonts w:hint="eastAsia" w:ascii="宋体" w:hAnsi="宋体"/>
                <w:szCs w:val="21"/>
              </w:rPr>
              <w:t>1套</w:t>
            </w:r>
          </w:p>
        </w:tc>
      </w:tr>
      <w:tr w14:paraId="72A6A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6" w:type="dxa"/>
            <w:vMerge w:val="continue"/>
            <w:vAlign w:val="center"/>
          </w:tcPr>
          <w:p w14:paraId="298A4156">
            <w:pPr>
              <w:rPr>
                <w:rFonts w:hint="eastAsia" w:ascii="宋体" w:hAnsi="宋体"/>
                <w:szCs w:val="21"/>
              </w:rPr>
            </w:pPr>
          </w:p>
        </w:tc>
        <w:tc>
          <w:tcPr>
            <w:tcW w:w="1134" w:type="dxa"/>
            <w:vMerge w:val="continue"/>
            <w:vAlign w:val="center"/>
          </w:tcPr>
          <w:p w14:paraId="37F94BB2">
            <w:pPr>
              <w:rPr>
                <w:rFonts w:hint="eastAsia" w:ascii="宋体" w:hAnsi="宋体"/>
                <w:szCs w:val="21"/>
              </w:rPr>
            </w:pPr>
          </w:p>
        </w:tc>
        <w:tc>
          <w:tcPr>
            <w:tcW w:w="1360" w:type="dxa"/>
            <w:vAlign w:val="center"/>
          </w:tcPr>
          <w:p w14:paraId="71D9C221">
            <w:pPr>
              <w:jc w:val="center"/>
              <w:rPr>
                <w:rFonts w:hint="eastAsia" w:ascii="宋体" w:hAnsi="宋体"/>
                <w:szCs w:val="21"/>
              </w:rPr>
            </w:pPr>
            <w:r>
              <w:rPr>
                <w:rFonts w:hint="eastAsia" w:ascii="宋体" w:hAnsi="宋体"/>
                <w:szCs w:val="21"/>
              </w:rPr>
              <w:t>主机安全</w:t>
            </w:r>
          </w:p>
        </w:tc>
        <w:tc>
          <w:tcPr>
            <w:tcW w:w="4677" w:type="dxa"/>
            <w:vAlign w:val="center"/>
          </w:tcPr>
          <w:p w14:paraId="49F95D5B">
            <w:pPr>
              <w:rPr>
                <w:rFonts w:hint="eastAsia" w:ascii="宋体" w:hAnsi="宋体"/>
                <w:szCs w:val="21"/>
              </w:rPr>
            </w:pPr>
            <w:r>
              <w:rPr>
                <w:rFonts w:hint="eastAsia" w:ascii="宋体" w:hAnsi="宋体"/>
                <w:szCs w:val="21"/>
              </w:rPr>
              <w:t>提供不少于14个主机安全防护。主机安全是集防病毒、防火墙、入侵防御于一体的主机安全解决方案，旨在解决虚拟化环境下虚拟主机的病毒风险、攻击风险、管理风险及宿主主机的安全等一系列的安全问题。1年服务，见详细技术指标要求</w:t>
            </w:r>
          </w:p>
        </w:tc>
        <w:tc>
          <w:tcPr>
            <w:tcW w:w="709" w:type="dxa"/>
            <w:vAlign w:val="center"/>
          </w:tcPr>
          <w:p w14:paraId="7E7F3F27">
            <w:pPr>
              <w:jc w:val="center"/>
              <w:rPr>
                <w:rFonts w:hint="eastAsia" w:ascii="宋体" w:hAnsi="宋体"/>
                <w:szCs w:val="21"/>
              </w:rPr>
            </w:pPr>
            <w:r>
              <w:rPr>
                <w:rFonts w:hint="eastAsia" w:ascii="宋体" w:hAnsi="宋体"/>
                <w:szCs w:val="21"/>
              </w:rPr>
              <w:t>1套</w:t>
            </w:r>
          </w:p>
        </w:tc>
      </w:tr>
      <w:tr w14:paraId="5EA3A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6" w:type="dxa"/>
            <w:vAlign w:val="center"/>
          </w:tcPr>
          <w:p w14:paraId="7E36024C">
            <w:pPr>
              <w:jc w:val="center"/>
              <w:rPr>
                <w:rFonts w:hint="eastAsia" w:ascii="宋体" w:hAnsi="宋体"/>
                <w:szCs w:val="21"/>
              </w:rPr>
            </w:pPr>
            <w:r>
              <w:rPr>
                <w:rFonts w:hint="eastAsia" w:ascii="宋体" w:hAnsi="宋体"/>
                <w:szCs w:val="21"/>
              </w:rPr>
              <w:t>3</w:t>
            </w:r>
          </w:p>
        </w:tc>
        <w:tc>
          <w:tcPr>
            <w:tcW w:w="1134" w:type="dxa"/>
            <w:vAlign w:val="center"/>
          </w:tcPr>
          <w:p w14:paraId="790316EA">
            <w:pPr>
              <w:rPr>
                <w:rFonts w:hint="eastAsia" w:ascii="宋体" w:hAnsi="宋体"/>
                <w:szCs w:val="21"/>
              </w:rPr>
            </w:pPr>
            <w:r>
              <w:rPr>
                <w:rFonts w:hint="eastAsia" w:ascii="宋体" w:hAnsi="宋体"/>
                <w:szCs w:val="21"/>
              </w:rPr>
              <w:t>线路租用</w:t>
            </w:r>
          </w:p>
        </w:tc>
        <w:tc>
          <w:tcPr>
            <w:tcW w:w="1360" w:type="dxa"/>
            <w:vAlign w:val="center"/>
          </w:tcPr>
          <w:p w14:paraId="06931236">
            <w:pPr>
              <w:jc w:val="center"/>
              <w:rPr>
                <w:rFonts w:hint="eastAsia" w:ascii="宋体" w:hAnsi="宋体"/>
                <w:szCs w:val="21"/>
              </w:rPr>
            </w:pPr>
            <w:r>
              <w:rPr>
                <w:rFonts w:hint="eastAsia" w:ascii="宋体" w:hAnsi="宋体"/>
                <w:szCs w:val="21"/>
              </w:rPr>
              <w:t>连接院内网络线路</w:t>
            </w:r>
          </w:p>
        </w:tc>
        <w:tc>
          <w:tcPr>
            <w:tcW w:w="4677" w:type="dxa"/>
            <w:vAlign w:val="center"/>
          </w:tcPr>
          <w:p w14:paraId="532E5731">
            <w:pPr>
              <w:rPr>
                <w:rFonts w:hint="eastAsia" w:ascii="宋体" w:hAnsi="宋体"/>
                <w:szCs w:val="21"/>
              </w:rPr>
            </w:pPr>
            <w:r>
              <w:rPr>
                <w:rFonts w:hint="eastAsia" w:ascii="宋体" w:hAnsi="宋体"/>
                <w:szCs w:val="21"/>
              </w:rPr>
              <w:t>100Mbps VPN线路（主、备），1年服务。</w:t>
            </w:r>
          </w:p>
        </w:tc>
        <w:tc>
          <w:tcPr>
            <w:tcW w:w="709" w:type="dxa"/>
            <w:vAlign w:val="center"/>
          </w:tcPr>
          <w:p w14:paraId="33D3C7C5">
            <w:pPr>
              <w:jc w:val="center"/>
              <w:rPr>
                <w:rFonts w:hint="eastAsia" w:ascii="宋体" w:hAnsi="宋体"/>
                <w:szCs w:val="21"/>
              </w:rPr>
            </w:pPr>
            <w:r>
              <w:rPr>
                <w:rFonts w:hint="eastAsia" w:ascii="宋体" w:hAnsi="宋体"/>
                <w:szCs w:val="21"/>
              </w:rPr>
              <w:t>2条</w:t>
            </w:r>
          </w:p>
        </w:tc>
      </w:tr>
      <w:tr w14:paraId="62D04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6" w:type="dxa"/>
            <w:vAlign w:val="center"/>
          </w:tcPr>
          <w:p w14:paraId="47B06ABF">
            <w:pPr>
              <w:jc w:val="center"/>
              <w:rPr>
                <w:rFonts w:hint="eastAsia" w:ascii="宋体" w:hAnsi="宋体"/>
                <w:szCs w:val="21"/>
              </w:rPr>
            </w:pPr>
            <w:r>
              <w:rPr>
                <w:rFonts w:hint="eastAsia" w:ascii="宋体" w:hAnsi="宋体"/>
                <w:szCs w:val="21"/>
              </w:rPr>
              <w:t>4</w:t>
            </w:r>
          </w:p>
        </w:tc>
        <w:tc>
          <w:tcPr>
            <w:tcW w:w="1134" w:type="dxa"/>
            <w:vAlign w:val="center"/>
          </w:tcPr>
          <w:p w14:paraId="55FBFD9F">
            <w:pPr>
              <w:rPr>
                <w:rFonts w:hint="eastAsia" w:ascii="宋体" w:hAnsi="宋体"/>
                <w:szCs w:val="21"/>
              </w:rPr>
            </w:pPr>
            <w:r>
              <w:rPr>
                <w:rFonts w:hint="eastAsia" w:ascii="宋体" w:hAnsi="宋体"/>
                <w:szCs w:val="21"/>
              </w:rPr>
              <w:t>安全服务</w:t>
            </w:r>
          </w:p>
        </w:tc>
        <w:tc>
          <w:tcPr>
            <w:tcW w:w="1360" w:type="dxa"/>
            <w:vAlign w:val="center"/>
          </w:tcPr>
          <w:p w14:paraId="3F3DAD9B">
            <w:pPr>
              <w:jc w:val="center"/>
              <w:rPr>
                <w:rFonts w:hint="eastAsia" w:ascii="宋体" w:hAnsi="宋体"/>
                <w:szCs w:val="21"/>
              </w:rPr>
            </w:pPr>
            <w:r>
              <w:rPr>
                <w:rFonts w:hint="eastAsia" w:ascii="宋体" w:hAnsi="宋体"/>
                <w:szCs w:val="21"/>
              </w:rPr>
              <w:t>云资源安全运营服务</w:t>
            </w:r>
          </w:p>
        </w:tc>
        <w:tc>
          <w:tcPr>
            <w:tcW w:w="4677" w:type="dxa"/>
            <w:vAlign w:val="center"/>
          </w:tcPr>
          <w:p w14:paraId="3C39DBEA">
            <w:pPr>
              <w:rPr>
                <w:rFonts w:hint="eastAsia" w:ascii="宋体" w:hAnsi="宋体"/>
                <w:szCs w:val="21"/>
              </w:rPr>
            </w:pPr>
            <w:r>
              <w:rPr>
                <w:rFonts w:hint="eastAsia" w:ascii="宋体" w:hAnsi="宋体"/>
                <w:szCs w:val="21"/>
              </w:rPr>
              <w:t>提供云上业务的安全防护与闭环处置，确保业务的安全、稳定与连续性运营。</w:t>
            </w:r>
          </w:p>
          <w:p w14:paraId="12B67A39">
            <w:pPr>
              <w:rPr>
                <w:rFonts w:hint="eastAsia" w:ascii="宋体" w:hAnsi="宋体"/>
                <w:szCs w:val="21"/>
              </w:rPr>
            </w:pPr>
            <w:r>
              <w:rPr>
                <w:rFonts w:hint="eastAsia" w:ascii="宋体" w:hAnsi="宋体"/>
                <w:szCs w:val="21"/>
              </w:rPr>
              <w:t>（1）通过</w:t>
            </w:r>
            <w:r>
              <w:rPr>
                <w:rFonts w:ascii="宋体" w:hAnsi="宋体"/>
                <w:b/>
                <w:bCs/>
                <w:szCs w:val="21"/>
              </w:rPr>
              <w:t>专职专属服务经理</w:t>
            </w:r>
            <w:r>
              <w:rPr>
                <w:rFonts w:hint="eastAsia" w:ascii="宋体" w:hAnsi="宋体"/>
                <w:b/>
                <w:bCs/>
                <w:szCs w:val="21"/>
              </w:rPr>
              <w:t>与</w:t>
            </w:r>
            <w:r>
              <w:rPr>
                <w:rFonts w:ascii="宋体" w:hAnsi="宋体"/>
                <w:b/>
                <w:bCs/>
                <w:szCs w:val="21"/>
              </w:rPr>
              <w:t>技术专家团队</w:t>
            </w:r>
            <w:r>
              <w:rPr>
                <w:rFonts w:hint="eastAsia" w:ascii="宋体" w:hAnsi="宋体"/>
                <w:szCs w:val="21"/>
              </w:rPr>
              <w:t>提供</w:t>
            </w:r>
            <w:r>
              <w:rPr>
                <w:rFonts w:ascii="宋体" w:hAnsi="宋体"/>
                <w:szCs w:val="21"/>
              </w:rPr>
              <w:t>7*24小时</w:t>
            </w:r>
            <w:r>
              <w:rPr>
                <w:rFonts w:hint="eastAsia" w:ascii="宋体" w:hAnsi="宋体"/>
                <w:szCs w:val="21"/>
              </w:rPr>
              <w:t>全年无间断的监测、分析与响应服务</w:t>
            </w:r>
            <w:r>
              <w:rPr>
                <w:rFonts w:ascii="宋体" w:hAnsi="宋体"/>
                <w:szCs w:val="21"/>
              </w:rPr>
              <w:t>；</w:t>
            </w:r>
          </w:p>
          <w:p w14:paraId="7D7BAADB">
            <w:pPr>
              <w:rPr>
                <w:rFonts w:hint="eastAsia" w:ascii="宋体" w:hAnsi="宋体"/>
                <w:szCs w:val="21"/>
              </w:rPr>
            </w:pPr>
            <w:r>
              <w:rPr>
                <w:rFonts w:hint="eastAsia" w:ascii="宋体" w:hAnsi="宋体"/>
                <w:szCs w:val="21"/>
              </w:rPr>
              <w:t>（2）</w:t>
            </w:r>
            <w:r>
              <w:rPr>
                <w:rFonts w:hint="eastAsia" w:ascii="宋体" w:hAnsi="宋体"/>
                <w:b/>
                <w:bCs/>
                <w:szCs w:val="21"/>
              </w:rPr>
              <w:t>提供云态势感知平台</w:t>
            </w:r>
            <w:r>
              <w:rPr>
                <w:rFonts w:hint="eastAsia" w:ascii="宋体" w:hAnsi="宋体"/>
                <w:szCs w:val="21"/>
              </w:rPr>
              <w:t>包括：①</w:t>
            </w:r>
            <w:r>
              <w:rPr>
                <w:rFonts w:ascii="宋体" w:hAnsi="宋体"/>
                <w:szCs w:val="21"/>
              </w:rPr>
              <w:t>.接入设备情况；②.总体安全评级，并可自定义评级规则；③.业务风险总览、资产风险总览；④.资产感知情况；⑤.热点事件发生情况；</w:t>
            </w:r>
          </w:p>
          <w:p w14:paraId="0C567EB6">
            <w:pPr>
              <w:rPr>
                <w:rFonts w:hint="eastAsia" w:ascii="宋体" w:hAnsi="宋体"/>
                <w:szCs w:val="21"/>
              </w:rPr>
            </w:pPr>
            <w:r>
              <w:rPr>
                <w:rFonts w:hint="eastAsia" w:ascii="宋体" w:hAnsi="宋体"/>
                <w:szCs w:val="21"/>
              </w:rPr>
              <w:t>（</w:t>
            </w:r>
            <w:r>
              <w:rPr>
                <w:rFonts w:ascii="宋体" w:hAnsi="宋体"/>
                <w:szCs w:val="21"/>
              </w:rPr>
              <w:t>3</w:t>
            </w:r>
            <w:r>
              <w:rPr>
                <w:rFonts w:hint="eastAsia" w:ascii="宋体" w:hAnsi="宋体"/>
                <w:szCs w:val="21"/>
              </w:rPr>
              <w:t>）</w:t>
            </w:r>
            <w:r>
              <w:rPr>
                <w:rFonts w:hint="eastAsia" w:ascii="宋体" w:hAnsi="宋体"/>
                <w:b/>
                <w:bCs/>
                <w:szCs w:val="21"/>
              </w:rPr>
              <w:t>提供业务上线评估服务</w:t>
            </w:r>
            <w:r>
              <w:rPr>
                <w:rFonts w:hint="eastAsia" w:ascii="宋体" w:hAnsi="宋体"/>
                <w:szCs w:val="21"/>
              </w:rPr>
              <w:t>，对需要上云部署的业务系统进行资产梳理、漏洞发现等安全风险评估。</w:t>
            </w:r>
          </w:p>
          <w:p w14:paraId="6D47B600">
            <w:pPr>
              <w:rPr>
                <w:rFonts w:hint="eastAsia" w:ascii="宋体" w:hAnsi="宋体"/>
                <w:szCs w:val="21"/>
              </w:rPr>
            </w:pPr>
            <w:r>
              <w:rPr>
                <w:rFonts w:hint="eastAsia" w:ascii="宋体" w:hAnsi="宋体"/>
                <w:szCs w:val="21"/>
              </w:rPr>
              <w:t>1年服务，见详细技术指标要求。</w:t>
            </w:r>
          </w:p>
        </w:tc>
        <w:tc>
          <w:tcPr>
            <w:tcW w:w="709" w:type="dxa"/>
            <w:vAlign w:val="center"/>
          </w:tcPr>
          <w:p w14:paraId="731E0C71">
            <w:pPr>
              <w:jc w:val="center"/>
              <w:rPr>
                <w:rFonts w:hint="eastAsia" w:ascii="宋体" w:hAnsi="宋体"/>
                <w:szCs w:val="21"/>
              </w:rPr>
            </w:pPr>
            <w:r>
              <w:rPr>
                <w:rFonts w:hint="eastAsia" w:ascii="宋体" w:hAnsi="宋体"/>
                <w:szCs w:val="21"/>
              </w:rPr>
              <w:t>1套</w:t>
            </w:r>
          </w:p>
        </w:tc>
      </w:tr>
    </w:tbl>
    <w:p w14:paraId="46320A1F">
      <w:pPr>
        <w:pStyle w:val="7"/>
        <w:rPr>
          <w:b/>
        </w:rPr>
      </w:pPr>
    </w:p>
    <w:p w14:paraId="1C9184FD">
      <w:pPr>
        <w:pStyle w:val="49"/>
        <w:spacing w:line="360" w:lineRule="auto"/>
        <w:ind w:left="510" w:firstLine="0" w:firstLineChars="0"/>
        <w:rPr>
          <w:b/>
          <w:sz w:val="24"/>
          <w:szCs w:val="24"/>
        </w:rPr>
      </w:pPr>
      <w:r>
        <w:rPr>
          <w:rFonts w:hint="eastAsia"/>
          <w:b/>
          <w:sz w:val="24"/>
          <w:szCs w:val="24"/>
        </w:rPr>
        <w:t>2、详细技术指标要求</w:t>
      </w:r>
    </w:p>
    <w:p w14:paraId="15A7AEB0">
      <w:pPr>
        <w:pStyle w:val="49"/>
        <w:spacing w:line="360" w:lineRule="auto"/>
        <w:ind w:left="510" w:firstLine="0" w:firstLineChars="0"/>
        <w:rPr>
          <w:b/>
          <w:sz w:val="24"/>
          <w:szCs w:val="24"/>
        </w:rPr>
      </w:pPr>
      <w:r>
        <w:rPr>
          <w:rFonts w:hint="eastAsia"/>
          <w:b/>
          <w:sz w:val="24"/>
          <w:szCs w:val="24"/>
        </w:rPr>
        <w:t>（1）云计算资源</w:t>
      </w:r>
    </w:p>
    <w:tbl>
      <w:tblPr>
        <w:tblStyle w:val="21"/>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7796"/>
      </w:tblGrid>
      <w:tr w14:paraId="27307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418" w:type="dxa"/>
            <w:vAlign w:val="center"/>
          </w:tcPr>
          <w:p w14:paraId="2D6A10C5">
            <w:pPr>
              <w:widowControl/>
              <w:jc w:val="center"/>
              <w:rPr>
                <w:rFonts w:hint="eastAsia" w:ascii="宋体" w:hAnsi="宋体" w:cs="宋体"/>
                <w:b/>
                <w:bCs/>
                <w:szCs w:val="21"/>
              </w:rPr>
            </w:pPr>
            <w:r>
              <w:rPr>
                <w:rFonts w:hint="eastAsia" w:ascii="宋体" w:hAnsi="宋体" w:cs="宋体"/>
                <w:b/>
                <w:bCs/>
                <w:szCs w:val="21"/>
              </w:rPr>
              <w:t>名称</w:t>
            </w:r>
          </w:p>
        </w:tc>
        <w:tc>
          <w:tcPr>
            <w:tcW w:w="7796" w:type="dxa"/>
            <w:vAlign w:val="center"/>
          </w:tcPr>
          <w:p w14:paraId="59121EB2">
            <w:pPr>
              <w:widowControl/>
              <w:jc w:val="center"/>
              <w:rPr>
                <w:rFonts w:hint="eastAsia" w:ascii="宋体" w:hAnsi="宋体" w:cs="宋体"/>
                <w:b/>
                <w:bCs/>
                <w:szCs w:val="21"/>
              </w:rPr>
            </w:pPr>
            <w:r>
              <w:rPr>
                <w:rFonts w:hint="eastAsia" w:ascii="宋体" w:hAnsi="宋体" w:cs="宋体"/>
                <w:b/>
                <w:bCs/>
                <w:szCs w:val="21"/>
              </w:rPr>
              <w:t>指标参数要求</w:t>
            </w:r>
          </w:p>
        </w:tc>
      </w:tr>
      <w:tr w14:paraId="7AD00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1418" w:type="dxa"/>
            <w:vMerge w:val="restart"/>
            <w:vAlign w:val="center"/>
          </w:tcPr>
          <w:p w14:paraId="095D4FEA">
            <w:pPr>
              <w:widowControl/>
              <w:rPr>
                <w:rFonts w:hint="eastAsia" w:ascii="宋体" w:hAnsi="宋体" w:cs="宋体"/>
                <w:b/>
                <w:bCs/>
                <w:szCs w:val="21"/>
              </w:rPr>
            </w:pPr>
            <w:r>
              <w:rPr>
                <w:rFonts w:hint="eastAsia" w:ascii="宋体" w:hAnsi="宋体" w:cs="宋体"/>
                <w:szCs w:val="21"/>
              </w:rPr>
              <w:t>服务器资源</w:t>
            </w:r>
          </w:p>
        </w:tc>
        <w:tc>
          <w:tcPr>
            <w:tcW w:w="7796" w:type="dxa"/>
            <w:vAlign w:val="center"/>
          </w:tcPr>
          <w:p w14:paraId="5BCF8B6A">
            <w:pPr>
              <w:widowControl/>
              <w:numPr>
                <w:ilvl w:val="0"/>
                <w:numId w:val="1"/>
              </w:numPr>
              <w:rPr>
                <w:rFonts w:hint="eastAsia" w:ascii="宋体" w:hAnsi="宋体"/>
                <w:szCs w:val="21"/>
              </w:rPr>
            </w:pPr>
            <w:r>
              <w:rPr>
                <w:rFonts w:hint="eastAsia" w:ascii="宋体" w:hAnsi="宋体"/>
                <w:szCs w:val="21"/>
              </w:rPr>
              <w:t>按要求配备采购人需要的服务器资源。</w:t>
            </w:r>
          </w:p>
          <w:p w14:paraId="44243F51">
            <w:pPr>
              <w:widowControl/>
              <w:numPr>
                <w:ilvl w:val="0"/>
                <w:numId w:val="1"/>
              </w:numPr>
              <w:spacing w:line="360" w:lineRule="auto"/>
              <w:rPr>
                <w:rFonts w:hint="eastAsia" w:ascii="宋体" w:hAnsi="宋体"/>
                <w:szCs w:val="21"/>
              </w:rPr>
            </w:pPr>
            <w:r>
              <w:rPr>
                <w:rFonts w:hint="eastAsia" w:ascii="宋体" w:hAnsi="宋体"/>
                <w:szCs w:val="21"/>
              </w:rPr>
              <w:t>支持基础配置变更，可进行实例的vCPU、内存、系统盘、数据盘等配置的增加和减少</w:t>
            </w:r>
          </w:p>
          <w:p w14:paraId="3D9DF026">
            <w:pPr>
              <w:widowControl/>
              <w:numPr>
                <w:ilvl w:val="0"/>
                <w:numId w:val="1"/>
              </w:numPr>
              <w:spacing w:line="360" w:lineRule="auto"/>
            </w:pPr>
            <w:r>
              <w:rPr>
                <w:rFonts w:hint="eastAsia"/>
              </w:rPr>
              <w:t>支持IPv4地址协议和配置、支持IPv6地址协议和配置，创建实例时，手动配置内网IP</w:t>
            </w:r>
          </w:p>
          <w:p w14:paraId="6F12C6F5">
            <w:pPr>
              <w:pStyle w:val="27"/>
              <w:numPr>
                <w:ilvl w:val="0"/>
                <w:numId w:val="1"/>
              </w:numPr>
              <w:spacing w:line="360" w:lineRule="auto"/>
              <w:ind w:firstLine="0" w:firstLineChars="0"/>
            </w:pPr>
            <w:r>
              <w:t>支持</w:t>
            </w:r>
            <w:r>
              <w:rPr>
                <w:rFonts w:hint="eastAsia"/>
              </w:rPr>
              <w:t>对</w:t>
            </w:r>
            <w:r>
              <w:t>虚拟机</w:t>
            </w:r>
            <w:r>
              <w:rPr>
                <w:rFonts w:hint="eastAsia"/>
              </w:rPr>
              <w:t>蓝屏和卡死进行</w:t>
            </w:r>
            <w:r>
              <w:t>检测</w:t>
            </w:r>
            <w:r>
              <w:rPr>
                <w:rFonts w:hint="eastAsia"/>
              </w:rPr>
              <w:t>，如果发现其蓝屏或卡死可</w:t>
            </w:r>
            <w:r>
              <w:t>实现自动重启</w:t>
            </w:r>
            <w:r>
              <w:rPr>
                <w:rFonts w:hint="eastAsia"/>
              </w:rPr>
              <w:t>虚拟机</w:t>
            </w:r>
            <w:r>
              <w:t>，无需</w:t>
            </w:r>
            <w:r>
              <w:rPr>
                <w:rFonts w:hint="eastAsia"/>
              </w:rPr>
              <w:t>我单位</w:t>
            </w:r>
            <w:r>
              <w:t>人工干预，减少运维工作量</w:t>
            </w:r>
            <w:r>
              <w:rPr>
                <w:rFonts w:hint="eastAsia"/>
              </w:rPr>
              <w:t>。</w:t>
            </w:r>
          </w:p>
          <w:p w14:paraId="3E678716">
            <w:pPr>
              <w:pStyle w:val="27"/>
              <w:numPr>
                <w:ilvl w:val="0"/>
                <w:numId w:val="1"/>
              </w:numPr>
              <w:spacing w:line="360" w:lineRule="auto"/>
              <w:ind w:firstLine="0" w:firstLineChars="0"/>
            </w:pPr>
            <w:r>
              <w:rPr>
                <w:rFonts w:hint="eastAsia" w:ascii="宋体" w:hAnsi="宋体"/>
                <w:szCs w:val="21"/>
              </w:rPr>
              <w:t>▲</w:t>
            </w:r>
            <w:r>
              <w:rPr>
                <w:rFonts w:hint="eastAsia"/>
              </w:rPr>
              <w:t>支持内存ECC自动纠错机制，当云平台软件扫描到底层硬件的内存条出现ECC CE、UE错误时，能够将对应内存空间进行隔离并告警故障内存条的槽位，减少内存问题对业务的影响（需提供具有CMA资质的第三方测试机构的证明材料，至少包含报告首页，对应功能测试页和报告尾页并加盖厂商公章）</w:t>
            </w:r>
          </w:p>
          <w:p w14:paraId="24B627FE">
            <w:pPr>
              <w:widowControl/>
              <w:numPr>
                <w:ilvl w:val="0"/>
                <w:numId w:val="1"/>
              </w:numPr>
              <w:spacing w:line="360" w:lineRule="auto"/>
              <w:rPr>
                <w:rFonts w:hint="eastAsia" w:ascii="宋体" w:hAnsi="宋体" w:cs="宋体"/>
                <w:szCs w:val="21"/>
              </w:rPr>
            </w:pPr>
            <w:r>
              <w:rPr>
                <w:rFonts w:hint="eastAsia"/>
              </w:rPr>
              <w:t>支持安全组配置，更换实例所在安全组、修改实例所在安全组规则和作用范围</w:t>
            </w:r>
          </w:p>
          <w:p w14:paraId="7B28FC4F">
            <w:pPr>
              <w:widowControl/>
              <w:numPr>
                <w:ilvl w:val="0"/>
                <w:numId w:val="1"/>
              </w:numPr>
              <w:spacing w:line="360" w:lineRule="auto"/>
              <w:rPr>
                <w:rFonts w:hint="eastAsia" w:ascii="宋体" w:hAnsi="宋体" w:cs="宋体"/>
                <w:szCs w:val="21"/>
              </w:rPr>
            </w:pPr>
            <w:r>
              <w:rPr>
                <w:rFonts w:hint="eastAsia"/>
              </w:rPr>
              <w:t>▲为保障业务虚拟机安全，要求平台支持与医院外网现有安全感知平台联动对接，安全感知平台检测到安全事件时，可以自动对虚拟机进行关停或挂起处置，同时也可以创建存储快照，以便在发生安全事件时快速恢复。提供厂家承诺函并加盖厂商公章</w:t>
            </w:r>
            <w:r>
              <w:rPr>
                <w:rFonts w:hint="eastAsia" w:ascii="宋体" w:hAnsi="宋体" w:cs="宋体"/>
                <w:szCs w:val="21"/>
              </w:rPr>
              <w:t>。</w:t>
            </w:r>
            <w:r>
              <w:rPr>
                <w:rFonts w:hint="eastAsia"/>
              </w:rPr>
              <w:t>（</w:t>
            </w:r>
            <w:r>
              <w:rPr>
                <w:rFonts w:hint="eastAsia"/>
                <w:szCs w:val="20"/>
              </w:rPr>
              <w:t>可以在交付完成前通过定制开发来实现</w:t>
            </w:r>
            <w:r>
              <w:rPr>
                <w:rFonts w:hint="eastAsia"/>
              </w:rPr>
              <w:t>，产生的研发、定制、联调及后续的运维费用均由投标方承担）</w:t>
            </w:r>
          </w:p>
          <w:p w14:paraId="6E645603">
            <w:pPr>
              <w:pStyle w:val="27"/>
              <w:numPr>
                <w:ilvl w:val="0"/>
                <w:numId w:val="1"/>
              </w:numPr>
              <w:spacing w:line="360" w:lineRule="auto"/>
              <w:ind w:firstLine="0" w:firstLineChars="0"/>
            </w:pPr>
            <w:r>
              <w:rPr>
                <w:rFonts w:hint="eastAsia"/>
              </w:rPr>
              <w:t>▲平台应支持根据业务情况推荐微隔离的策略，且能够自动生成规则。（需提供产品功能截图并加盖厂商公章）</w:t>
            </w:r>
          </w:p>
          <w:p w14:paraId="1A449FE9">
            <w:pPr>
              <w:widowControl/>
              <w:numPr>
                <w:ilvl w:val="0"/>
                <w:numId w:val="1"/>
              </w:numPr>
              <w:rPr>
                <w:rFonts w:hint="eastAsia" w:ascii="宋体" w:hAnsi="宋体"/>
                <w:szCs w:val="21"/>
              </w:rPr>
            </w:pPr>
            <w:r>
              <w:rPr>
                <w:rFonts w:hint="eastAsia"/>
              </w:rPr>
              <w:t>支持实例vCPU、内存、网络、磁盘等全量实例监控</w:t>
            </w:r>
          </w:p>
          <w:p w14:paraId="55B779FF">
            <w:pPr>
              <w:widowControl/>
              <w:numPr>
                <w:ilvl w:val="0"/>
                <w:numId w:val="1"/>
              </w:numPr>
              <w:rPr>
                <w:rFonts w:hint="eastAsia" w:ascii="宋体" w:hAnsi="宋体"/>
                <w:szCs w:val="21"/>
              </w:rPr>
            </w:pPr>
            <w:r>
              <w:rPr>
                <w:rFonts w:hint="eastAsia" w:ascii="宋体" w:hAnsi="宋体"/>
                <w:szCs w:val="21"/>
              </w:rPr>
              <w:t>根据软件应用需求提供正版操作系统环境。</w:t>
            </w:r>
          </w:p>
        </w:tc>
      </w:tr>
      <w:tr w14:paraId="72657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jc w:val="center"/>
        </w:trPr>
        <w:tc>
          <w:tcPr>
            <w:tcW w:w="1418" w:type="dxa"/>
            <w:vAlign w:val="center"/>
          </w:tcPr>
          <w:p w14:paraId="19F604EB">
            <w:pPr>
              <w:widowControl/>
              <w:rPr>
                <w:rFonts w:hint="eastAsia" w:ascii="宋体" w:hAnsi="宋体" w:cs="宋体"/>
                <w:b/>
                <w:bCs/>
                <w:szCs w:val="21"/>
              </w:rPr>
            </w:pPr>
            <w:r>
              <w:rPr>
                <w:rFonts w:hint="eastAsia" w:ascii="宋体" w:hAnsi="宋体"/>
                <w:szCs w:val="21"/>
              </w:rPr>
              <w:t>负载均衡</w:t>
            </w:r>
          </w:p>
        </w:tc>
        <w:tc>
          <w:tcPr>
            <w:tcW w:w="7796" w:type="dxa"/>
            <w:vAlign w:val="center"/>
          </w:tcPr>
          <w:p w14:paraId="0E275C9A">
            <w:pPr>
              <w:widowControl/>
              <w:spacing w:line="360" w:lineRule="auto"/>
              <w:rPr>
                <w:rFonts w:hint="eastAsia" w:ascii="宋体" w:hAnsi="宋体"/>
                <w:szCs w:val="21"/>
              </w:rPr>
            </w:pPr>
            <w:r>
              <w:rPr>
                <w:rFonts w:hint="eastAsia" w:ascii="宋体" w:hAnsi="宋体"/>
                <w:szCs w:val="21"/>
              </w:rPr>
              <w:t>（1）</w:t>
            </w:r>
            <w:r>
              <w:rPr>
                <w:rFonts w:ascii="宋体" w:hAnsi="宋体"/>
                <w:szCs w:val="21"/>
              </w:rPr>
              <w:t>5</w:t>
            </w:r>
            <w:r>
              <w:rPr>
                <w:rFonts w:hint="eastAsia" w:ascii="宋体" w:hAnsi="宋体"/>
                <w:szCs w:val="21"/>
              </w:rPr>
              <w:t>0M带宽，支持IPV6</w:t>
            </w:r>
          </w:p>
          <w:p w14:paraId="17184063">
            <w:pPr>
              <w:widowControl/>
              <w:spacing w:line="360" w:lineRule="auto"/>
              <w:rPr>
                <w:rFonts w:hint="eastAsia" w:ascii="宋体" w:hAnsi="宋体"/>
                <w:szCs w:val="21"/>
              </w:rPr>
            </w:pPr>
            <w:r>
              <w:rPr>
                <w:rFonts w:hint="eastAsia" w:ascii="宋体" w:hAnsi="宋体"/>
                <w:szCs w:val="21"/>
              </w:rPr>
              <w:t>（2）基础架构采用集群部署，保证服务的稳定性</w:t>
            </w:r>
          </w:p>
          <w:p w14:paraId="186AD189">
            <w:pPr>
              <w:widowControl/>
              <w:spacing w:line="360" w:lineRule="auto"/>
              <w:rPr>
                <w:rFonts w:hint="eastAsia" w:ascii="宋体" w:hAnsi="宋体"/>
                <w:szCs w:val="21"/>
              </w:rPr>
            </w:pPr>
            <w:r>
              <w:rPr>
                <w:rFonts w:hint="eastAsia" w:ascii="宋体" w:hAnsi="宋体"/>
                <w:szCs w:val="21"/>
              </w:rPr>
              <w:t>（3）会话保持功能：可针对负载均衡服务监听器开启会话保持功能</w:t>
            </w:r>
          </w:p>
          <w:p w14:paraId="54F537C1">
            <w:pPr>
              <w:widowControl/>
              <w:spacing w:line="360" w:lineRule="auto"/>
              <w:rPr>
                <w:rFonts w:hint="eastAsia" w:ascii="宋体" w:hAnsi="宋体"/>
                <w:szCs w:val="21"/>
              </w:rPr>
            </w:pPr>
            <w:r>
              <w:rPr>
                <w:rFonts w:hint="eastAsia" w:ascii="宋体" w:hAnsi="宋体"/>
                <w:szCs w:val="21"/>
              </w:rPr>
              <w:t>（4）多种协议：支持四层(TCP/UDP)以及七层(HTTP/HTTPS)协议负载，满足不同应用场景需求</w:t>
            </w:r>
          </w:p>
          <w:p w14:paraId="5E68CFC9">
            <w:pPr>
              <w:widowControl/>
              <w:spacing w:line="360" w:lineRule="auto"/>
              <w:rPr>
                <w:rFonts w:hint="eastAsia" w:ascii="宋体" w:hAnsi="宋体"/>
                <w:szCs w:val="21"/>
              </w:rPr>
            </w:pPr>
            <w:r>
              <w:rPr>
                <w:rFonts w:hint="eastAsia" w:ascii="宋体" w:hAnsi="宋体"/>
                <w:szCs w:val="21"/>
              </w:rPr>
              <w:t>（5）▲</w:t>
            </w:r>
            <w:r>
              <w:rPr>
                <w:rFonts w:hint="eastAsia"/>
              </w:rPr>
              <w:t>支持当节点繁忙时，在</w:t>
            </w:r>
            <w:r>
              <w:t>Web页面实现“连接排队”、“强制调度”以及“调度失败”的三种动作的配置选择；</w:t>
            </w:r>
            <w:r>
              <w:rPr>
                <w:rFonts w:hint="eastAsia"/>
              </w:rPr>
              <w:t>（需提供具有CMA资质的第三方测试机构的证明材料，至少包含报告首页，对应功能测试页和报告尾页并加盖厂商公章）</w:t>
            </w:r>
          </w:p>
          <w:p w14:paraId="75F848B4">
            <w:pPr>
              <w:widowControl/>
              <w:spacing w:line="360" w:lineRule="auto"/>
              <w:rPr>
                <w:rFonts w:hint="eastAsia" w:ascii="宋体" w:hAnsi="宋体"/>
                <w:szCs w:val="21"/>
              </w:rPr>
            </w:pPr>
            <w:r>
              <w:rPr>
                <w:rFonts w:hint="eastAsia" w:ascii="宋体" w:hAnsi="宋体"/>
                <w:szCs w:val="21"/>
              </w:rPr>
              <w:t>（6）多种转发策略：支持加权轮询、加权最小连接数、源IP等均衡方式</w:t>
            </w:r>
          </w:p>
          <w:p w14:paraId="510A16CD">
            <w:pPr>
              <w:widowControl/>
              <w:spacing w:line="360" w:lineRule="auto"/>
              <w:rPr>
                <w:rFonts w:hint="eastAsia" w:ascii="宋体" w:hAnsi="宋体"/>
                <w:szCs w:val="21"/>
              </w:rPr>
            </w:pPr>
            <w:r>
              <w:rPr>
                <w:rFonts w:hint="eastAsia" w:ascii="宋体" w:hAnsi="宋体"/>
                <w:szCs w:val="21"/>
              </w:rPr>
              <w:t>（</w:t>
            </w:r>
            <w:r>
              <w:rPr>
                <w:rFonts w:ascii="宋体" w:hAnsi="宋体"/>
                <w:szCs w:val="21"/>
              </w:rPr>
              <w:t>7</w:t>
            </w:r>
            <w:r>
              <w:rPr>
                <w:rFonts w:hint="eastAsia" w:ascii="宋体" w:hAnsi="宋体"/>
                <w:szCs w:val="21"/>
              </w:rPr>
              <w:t>）健康检查：支持用户自定义健康检查方式和频率</w:t>
            </w:r>
          </w:p>
          <w:p w14:paraId="0B19A898">
            <w:pPr>
              <w:widowControl/>
              <w:spacing w:line="360" w:lineRule="auto"/>
              <w:rPr>
                <w:rFonts w:hint="eastAsia" w:ascii="宋体" w:hAnsi="宋体" w:cs="宋体"/>
                <w:szCs w:val="21"/>
              </w:rPr>
            </w:pPr>
            <w:r>
              <w:rPr>
                <w:rFonts w:hint="eastAsia" w:ascii="宋体" w:hAnsi="宋体"/>
                <w:szCs w:val="21"/>
              </w:rPr>
              <w:t>（8）▲</w:t>
            </w:r>
            <w:r>
              <w:rPr>
                <w:rFonts w:hint="eastAsia"/>
              </w:rPr>
              <w:t>支持在</w:t>
            </w:r>
            <w:r>
              <w:t>Web页面配置实现基于管理员自定义的时间计划来进行出站访问的流量调度；</w:t>
            </w:r>
            <w:r>
              <w:rPr>
                <w:rFonts w:hint="eastAsia"/>
              </w:rPr>
              <w:t>（需提供具有CMA资质的第三方测试机构的证明材料，至少包含报告首页，对应功能测试页和报告尾页并加盖厂商公章）</w:t>
            </w:r>
          </w:p>
        </w:tc>
      </w:tr>
    </w:tbl>
    <w:p w14:paraId="3086CDF4"/>
    <w:p w14:paraId="3E97C98E">
      <w:pPr>
        <w:pStyle w:val="49"/>
        <w:spacing w:line="360" w:lineRule="auto"/>
        <w:ind w:left="510" w:firstLine="0" w:firstLineChars="0"/>
        <w:rPr>
          <w:b/>
          <w:sz w:val="24"/>
          <w:szCs w:val="24"/>
        </w:rPr>
      </w:pPr>
      <w:r>
        <w:rPr>
          <w:rFonts w:hint="eastAsia"/>
          <w:b/>
          <w:sz w:val="24"/>
          <w:szCs w:val="24"/>
        </w:rPr>
        <w:t>（2）云安全资源</w:t>
      </w:r>
    </w:p>
    <w:tbl>
      <w:tblPr>
        <w:tblStyle w:val="21"/>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8"/>
        <w:gridCol w:w="7866"/>
      </w:tblGrid>
      <w:tr w14:paraId="431AE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348" w:type="dxa"/>
            <w:tcBorders>
              <w:top w:val="single" w:color="auto" w:sz="4" w:space="0"/>
              <w:left w:val="single" w:color="auto" w:sz="4" w:space="0"/>
              <w:bottom w:val="single" w:color="auto" w:sz="4" w:space="0"/>
              <w:right w:val="single" w:color="auto" w:sz="4" w:space="0"/>
            </w:tcBorders>
            <w:vAlign w:val="center"/>
          </w:tcPr>
          <w:p w14:paraId="0EA1628E">
            <w:pPr>
              <w:widowControl/>
              <w:jc w:val="center"/>
              <w:rPr>
                <w:rFonts w:hint="eastAsia" w:ascii="宋体" w:hAnsi="宋体" w:cs="宋体"/>
                <w:b/>
                <w:bCs/>
                <w:szCs w:val="21"/>
              </w:rPr>
            </w:pPr>
            <w:r>
              <w:rPr>
                <w:rFonts w:hint="eastAsia" w:ascii="宋体" w:hAnsi="宋体" w:cs="宋体"/>
                <w:b/>
                <w:bCs/>
                <w:szCs w:val="21"/>
              </w:rPr>
              <w:t>名称</w:t>
            </w:r>
          </w:p>
        </w:tc>
        <w:tc>
          <w:tcPr>
            <w:tcW w:w="7866" w:type="dxa"/>
            <w:tcBorders>
              <w:top w:val="single" w:color="auto" w:sz="4" w:space="0"/>
              <w:left w:val="single" w:color="auto" w:sz="4" w:space="0"/>
              <w:bottom w:val="single" w:color="auto" w:sz="4" w:space="0"/>
              <w:right w:val="single" w:color="auto" w:sz="4" w:space="0"/>
            </w:tcBorders>
            <w:vAlign w:val="center"/>
          </w:tcPr>
          <w:p w14:paraId="604E9E47">
            <w:pPr>
              <w:widowControl/>
              <w:jc w:val="center"/>
              <w:rPr>
                <w:rFonts w:hint="eastAsia" w:ascii="宋体" w:hAnsi="宋体" w:cs="宋体"/>
                <w:b/>
                <w:bCs/>
                <w:szCs w:val="21"/>
              </w:rPr>
            </w:pPr>
            <w:r>
              <w:rPr>
                <w:rFonts w:hint="eastAsia" w:ascii="宋体" w:hAnsi="宋体" w:cs="宋体"/>
                <w:b/>
                <w:bCs/>
                <w:szCs w:val="21"/>
              </w:rPr>
              <w:t>指标参数要求</w:t>
            </w:r>
          </w:p>
        </w:tc>
      </w:tr>
      <w:tr w14:paraId="426BA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348" w:type="dxa"/>
            <w:vAlign w:val="center"/>
          </w:tcPr>
          <w:p w14:paraId="7A5946FC">
            <w:pPr>
              <w:widowControl/>
              <w:jc w:val="center"/>
              <w:rPr>
                <w:rFonts w:hint="eastAsia" w:ascii="宋体" w:hAnsi="宋体" w:cs="宋体"/>
                <w:b/>
                <w:bCs/>
                <w:szCs w:val="21"/>
              </w:rPr>
            </w:pPr>
            <w:r>
              <w:rPr>
                <w:rFonts w:hint="eastAsia" w:ascii="宋体" w:hAnsi="宋体" w:cs="宋体"/>
                <w:szCs w:val="21"/>
              </w:rPr>
              <w:t>堡垒机</w:t>
            </w:r>
          </w:p>
        </w:tc>
        <w:tc>
          <w:tcPr>
            <w:tcW w:w="7866" w:type="dxa"/>
            <w:vAlign w:val="center"/>
          </w:tcPr>
          <w:p w14:paraId="4E052DDA">
            <w:pPr>
              <w:widowControl/>
              <w:numPr>
                <w:ilvl w:val="0"/>
                <w:numId w:val="2"/>
              </w:numPr>
              <w:rPr>
                <w:rFonts w:hint="eastAsia" w:ascii="宋体" w:hAnsi="宋体"/>
                <w:szCs w:val="21"/>
              </w:rPr>
            </w:pPr>
            <w:r>
              <w:rPr>
                <w:rFonts w:hint="eastAsia" w:ascii="宋体" w:hAnsi="宋体"/>
                <w:szCs w:val="21"/>
              </w:rPr>
              <w:t>可管理设备数量不少于20个，支持运维IPv6地址的主机。</w:t>
            </w:r>
          </w:p>
          <w:p w14:paraId="37BCEB39">
            <w:pPr>
              <w:widowControl/>
              <w:numPr>
                <w:ilvl w:val="0"/>
                <w:numId w:val="2"/>
              </w:numPr>
              <w:rPr>
                <w:rFonts w:hint="eastAsia" w:ascii="宋体" w:hAnsi="宋体"/>
                <w:szCs w:val="21"/>
              </w:rPr>
            </w:pPr>
            <w:r>
              <w:rPr>
                <w:rFonts w:hint="eastAsia" w:ascii="宋体" w:hAnsi="宋体"/>
                <w:szCs w:val="21"/>
              </w:rPr>
              <w:t>堡垒机支持采用高可用架构部署，保证各项服务正常运维。</w:t>
            </w:r>
          </w:p>
          <w:p w14:paraId="6598BA2E">
            <w:pPr>
              <w:widowControl/>
              <w:numPr>
                <w:ilvl w:val="0"/>
                <w:numId w:val="2"/>
              </w:numPr>
              <w:rPr>
                <w:rFonts w:hint="eastAsia" w:ascii="宋体" w:hAnsi="宋体"/>
                <w:szCs w:val="21"/>
              </w:rPr>
            </w:pPr>
            <w:r>
              <w:rPr>
                <w:rFonts w:hint="eastAsia" w:ascii="宋体" w:hAnsi="宋体"/>
                <w:szCs w:val="21"/>
              </w:rPr>
              <w:t>详细记录用户登录资源的所有操作，包括：资源名称、协议类型、主机或应用地址、资源账户、起止时间、会话时长、操作用户、来源IP、操作记录、文件传输记录、会话协同记录。</w:t>
            </w:r>
          </w:p>
          <w:p w14:paraId="2F2B53B3">
            <w:pPr>
              <w:widowControl/>
              <w:numPr>
                <w:ilvl w:val="0"/>
                <w:numId w:val="2"/>
              </w:numPr>
              <w:rPr>
                <w:rFonts w:hint="eastAsia" w:ascii="宋体" w:hAnsi="宋体"/>
                <w:szCs w:val="21"/>
              </w:rPr>
            </w:pPr>
            <w:bookmarkStart w:id="9" w:name="_Hlk79588426"/>
            <w:r>
              <w:rPr>
                <w:rFonts w:hint="eastAsia" w:ascii="宋体" w:hAnsi="宋体"/>
                <w:szCs w:val="21"/>
              </w:rPr>
              <w:t>内置三员角色的同时支持角色灵活自定义，可根据用户实际的管理特性或特殊的安全管理组织架构，划分管理角色的管理范畴（需提供截图证明并，盖厂商公章）</w:t>
            </w:r>
            <w:bookmarkEnd w:id="9"/>
          </w:p>
          <w:p w14:paraId="2C36BD77">
            <w:pPr>
              <w:widowControl/>
              <w:numPr>
                <w:ilvl w:val="0"/>
                <w:numId w:val="2"/>
              </w:numPr>
              <w:rPr>
                <w:rFonts w:hint="eastAsia" w:ascii="宋体" w:hAnsi="宋体"/>
                <w:szCs w:val="21"/>
              </w:rPr>
            </w:pPr>
            <w:r>
              <w:rPr>
                <w:rFonts w:hint="eastAsia" w:ascii="宋体" w:hAnsi="宋体"/>
                <w:szCs w:val="21"/>
              </w:rPr>
              <w:t>支持对SSH字符命令的审计，并可基于自定义的起止时间、内容关键字、主机IP、用户名、来源IP、会话ID进行搜索。</w:t>
            </w:r>
          </w:p>
          <w:p w14:paraId="4B0F43FD">
            <w:pPr>
              <w:widowControl/>
              <w:numPr>
                <w:ilvl w:val="0"/>
                <w:numId w:val="2"/>
              </w:numPr>
              <w:rPr>
                <w:rFonts w:hint="eastAsia" w:ascii="宋体" w:hAnsi="宋体"/>
                <w:szCs w:val="21"/>
              </w:rPr>
            </w:pPr>
            <w:r>
              <w:rPr>
                <w:rFonts w:hint="eastAsia" w:ascii="宋体" w:hAnsi="宋体"/>
                <w:szCs w:val="21"/>
              </w:rPr>
              <w:t>支持对RDP会话进行审计，并可以基于自定义的起止时间、内容关键字、主机IP、用户名、类型、来源IP、会话ID进行搜索。</w:t>
            </w:r>
          </w:p>
          <w:p w14:paraId="23B01EDF">
            <w:pPr>
              <w:widowControl/>
              <w:numPr>
                <w:ilvl w:val="0"/>
                <w:numId w:val="2"/>
              </w:numPr>
              <w:rPr>
                <w:rFonts w:hint="eastAsia" w:ascii="宋体" w:hAnsi="宋体"/>
                <w:szCs w:val="21"/>
              </w:rPr>
            </w:pPr>
            <w:r>
              <w:rPr>
                <w:rFonts w:hint="eastAsia" w:ascii="宋体" w:hAnsi="宋体"/>
                <w:szCs w:val="21"/>
              </w:rPr>
              <w:t>▲支持命令审批规则，用户执行高危命令时需要管理员审批后才允许执行；命令审批规则可以指定运维人员、访问设备、设备账号及命令审批人。（需提供截图证明，盖厂商公章）</w:t>
            </w:r>
          </w:p>
          <w:p w14:paraId="369D224F">
            <w:pPr>
              <w:widowControl/>
              <w:numPr>
                <w:ilvl w:val="0"/>
                <w:numId w:val="2"/>
              </w:numPr>
              <w:rPr>
                <w:rFonts w:hint="eastAsia" w:ascii="宋体" w:hAnsi="宋体"/>
                <w:szCs w:val="21"/>
              </w:rPr>
            </w:pPr>
            <w:r>
              <w:rPr>
                <w:rFonts w:hint="eastAsia" w:ascii="宋体" w:hAnsi="宋体"/>
                <w:szCs w:val="21"/>
              </w:rPr>
              <w:t>所有的会话审计均可通过保存搜索项实现快速查询。</w:t>
            </w:r>
          </w:p>
          <w:p w14:paraId="453A0D9C">
            <w:pPr>
              <w:widowControl/>
              <w:numPr>
                <w:ilvl w:val="0"/>
                <w:numId w:val="2"/>
              </w:numPr>
              <w:rPr>
                <w:rFonts w:hint="eastAsia" w:ascii="宋体" w:hAnsi="宋体"/>
                <w:szCs w:val="21"/>
              </w:rPr>
            </w:pPr>
            <w:r>
              <w:rPr>
                <w:rFonts w:hint="eastAsia" w:ascii="宋体" w:hAnsi="宋体"/>
                <w:szCs w:val="21"/>
              </w:rPr>
              <w:t>支持从一条命令定位到用户的操作过程；回放过程支持暂停和加速播放操作。</w:t>
            </w:r>
          </w:p>
          <w:p w14:paraId="5F28FC80">
            <w:pPr>
              <w:widowControl/>
              <w:numPr>
                <w:ilvl w:val="0"/>
                <w:numId w:val="2"/>
              </w:numPr>
              <w:rPr>
                <w:rFonts w:hint="eastAsia" w:ascii="宋体" w:hAnsi="宋体" w:cs="宋体"/>
                <w:b/>
                <w:bCs/>
                <w:szCs w:val="21"/>
              </w:rPr>
            </w:pPr>
            <w:r>
              <w:rPr>
                <w:rFonts w:hint="eastAsia" w:ascii="宋体" w:hAnsi="宋体"/>
                <w:szCs w:val="21"/>
              </w:rPr>
              <w:t>会话录像回放支持跳过空闲时段，支持设置时间类型，时间类型需包括绝对时间和相对时间。</w:t>
            </w:r>
          </w:p>
        </w:tc>
      </w:tr>
      <w:tr w14:paraId="3E76D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8" w:type="dxa"/>
            <w:vAlign w:val="center"/>
          </w:tcPr>
          <w:p w14:paraId="3782189C">
            <w:pPr>
              <w:pStyle w:val="8"/>
              <w:jc w:val="center"/>
              <w:rPr>
                <w:rFonts w:hint="eastAsia" w:ascii="宋体" w:hAnsi="宋体" w:cs="宋体"/>
                <w:szCs w:val="21"/>
              </w:rPr>
            </w:pPr>
            <w:r>
              <w:rPr>
                <w:rFonts w:hint="eastAsia" w:ascii="宋体" w:hAnsi="宋体" w:cs="宋体"/>
                <w:szCs w:val="21"/>
              </w:rPr>
              <w:t>防火墙</w:t>
            </w:r>
          </w:p>
        </w:tc>
        <w:tc>
          <w:tcPr>
            <w:tcW w:w="7866" w:type="dxa"/>
            <w:vAlign w:val="center"/>
          </w:tcPr>
          <w:p w14:paraId="14F6ED7E">
            <w:pPr>
              <w:widowControl/>
              <w:numPr>
                <w:ilvl w:val="0"/>
                <w:numId w:val="3"/>
              </w:numPr>
              <w:rPr>
                <w:rFonts w:hint="eastAsia" w:ascii="宋体" w:hAnsi="宋体"/>
                <w:szCs w:val="21"/>
              </w:rPr>
            </w:pPr>
            <w:r>
              <w:rPr>
                <w:rFonts w:hint="eastAsia" w:ascii="宋体" w:hAnsi="宋体" w:cs="微软雅黑"/>
                <w:szCs w:val="21"/>
                <w:lang w:bidi="ar"/>
              </w:rPr>
              <w:t>性能满足业务需要，且支持互联网暴露情况分析，支持IPS，防病毒等能力</w:t>
            </w:r>
            <w:r>
              <w:rPr>
                <w:rFonts w:hint="eastAsia" w:ascii="宋体" w:hAnsi="宋体"/>
                <w:szCs w:val="21"/>
              </w:rPr>
              <w:t>。</w:t>
            </w:r>
          </w:p>
          <w:p w14:paraId="6001C5ED">
            <w:pPr>
              <w:widowControl/>
              <w:numPr>
                <w:ilvl w:val="0"/>
                <w:numId w:val="3"/>
              </w:numPr>
              <w:rPr>
                <w:rFonts w:hint="eastAsia" w:ascii="宋体" w:hAnsi="宋体"/>
                <w:szCs w:val="21"/>
              </w:rPr>
            </w:pPr>
            <w:r>
              <w:rPr>
                <w:rFonts w:hint="eastAsia" w:ascii="宋体" w:hAnsi="宋体"/>
                <w:szCs w:val="21"/>
              </w:rPr>
              <w:t>支持云内资源统一外连管控。</w:t>
            </w:r>
          </w:p>
          <w:p w14:paraId="3F12F60E">
            <w:pPr>
              <w:widowControl/>
              <w:numPr>
                <w:ilvl w:val="0"/>
                <w:numId w:val="3"/>
              </w:numPr>
              <w:rPr>
                <w:rFonts w:hint="eastAsia" w:ascii="宋体" w:hAnsi="宋体"/>
                <w:szCs w:val="21"/>
              </w:rPr>
            </w:pPr>
            <w:r>
              <w:rPr>
                <w:rFonts w:hint="eastAsia" w:ascii="宋体" w:hAnsi="宋体"/>
                <w:szCs w:val="21"/>
              </w:rPr>
              <w:t>具备攻击防护功能，支持基于不同安全区域防御DNSFlood、HTTPFlood攻击，并支持警告、阻断、首包丢弃、TC反弹技术、NS重定向、自动重定向、手工确认等多种防护措施。</w:t>
            </w:r>
          </w:p>
          <w:p w14:paraId="55765293">
            <w:pPr>
              <w:widowControl/>
              <w:numPr>
                <w:ilvl w:val="0"/>
                <w:numId w:val="3"/>
              </w:numPr>
              <w:rPr>
                <w:rFonts w:hint="eastAsia" w:ascii="宋体" w:hAnsi="宋体"/>
                <w:szCs w:val="21"/>
              </w:rPr>
            </w:pPr>
            <w:r>
              <w:rPr>
                <w:rFonts w:hint="eastAsia" w:ascii="宋体" w:hAnsi="宋体"/>
                <w:szCs w:val="21"/>
              </w:rPr>
              <w:t>具备访问控制功能，支持基于源安全域、目的安全域、源用户、源地址、源地区、目的地址、目的地区、服务、应用、隧道、时间、VLAN等多种方式进行访问控制。</w:t>
            </w:r>
          </w:p>
          <w:p w14:paraId="374AA2ED">
            <w:pPr>
              <w:widowControl/>
              <w:numPr>
                <w:ilvl w:val="0"/>
                <w:numId w:val="3"/>
              </w:numPr>
              <w:rPr>
                <w:rFonts w:hint="eastAsia" w:ascii="宋体" w:hAnsi="宋体"/>
                <w:szCs w:val="21"/>
              </w:rPr>
            </w:pPr>
            <w:r>
              <w:rPr>
                <w:rFonts w:hint="eastAsia" w:ascii="宋体" w:hAnsi="宋体"/>
                <w:szCs w:val="21"/>
              </w:rPr>
              <w:t>支持云内资源主动外连检测与防御。</w:t>
            </w:r>
          </w:p>
          <w:p w14:paraId="4559298D">
            <w:pPr>
              <w:widowControl/>
              <w:numPr>
                <w:ilvl w:val="0"/>
                <w:numId w:val="3"/>
              </w:numPr>
              <w:rPr>
                <w:rFonts w:hint="eastAsia" w:ascii="宋体" w:hAnsi="宋体"/>
                <w:szCs w:val="21"/>
              </w:rPr>
            </w:pPr>
            <w:r>
              <w:rPr>
                <w:rFonts w:hint="eastAsia" w:ascii="宋体" w:hAnsi="宋体"/>
                <w:szCs w:val="21"/>
              </w:rPr>
              <w:t>▲具备独立的勒索病毒防护模块，非普通防病毒功能，支持对特定的业务进行勒索风险自动化评估，并依据评估结果自动生成防护策略。（需提供产品功能截图证明并出具原厂家关于“勒索病毒”的软件著作权证明功能有效性，盖厂商公章）</w:t>
            </w:r>
          </w:p>
          <w:p w14:paraId="089BDCB2">
            <w:pPr>
              <w:widowControl/>
              <w:numPr>
                <w:ilvl w:val="0"/>
                <w:numId w:val="3"/>
              </w:numPr>
              <w:rPr>
                <w:rFonts w:hint="eastAsia" w:ascii="宋体" w:hAnsi="宋体"/>
                <w:szCs w:val="21"/>
              </w:rPr>
            </w:pPr>
            <w:r>
              <w:rPr>
                <w:rFonts w:hint="eastAsia" w:ascii="宋体" w:hAnsi="宋体"/>
                <w:szCs w:val="21"/>
              </w:rPr>
              <w:t>▲支持对不少于9000种应用的识别和控制，应用类型包括游戏、购物、图书百科、工作招聘、P2P下载、聊天工具、旅游出行、股票软件等类型应用进行检测与控制。（需提供产品功能截图证明和具备CMA标识的第三方检测报告，盖厂商公章）</w:t>
            </w:r>
          </w:p>
          <w:p w14:paraId="5E6E3D4D">
            <w:pPr>
              <w:widowControl/>
              <w:numPr>
                <w:ilvl w:val="0"/>
                <w:numId w:val="3"/>
              </w:numPr>
              <w:rPr>
                <w:rFonts w:hint="eastAsia" w:ascii="宋体" w:hAnsi="宋体"/>
                <w:szCs w:val="21"/>
              </w:rPr>
            </w:pPr>
            <w:r>
              <w:rPr>
                <w:rFonts w:hint="eastAsia" w:ascii="宋体" w:hAnsi="宋体"/>
                <w:szCs w:val="21"/>
              </w:rPr>
              <w:t>支持策略生命周期管理功能，支持对安全策略修改的时间、原因、变更类型进行统一管理，便于策略的运维与管理。（需提供产品功能截图证明和具备CMA标识的第三方检测报告，盖厂商公章）</w:t>
            </w:r>
          </w:p>
          <w:p w14:paraId="4632AC5B">
            <w:pPr>
              <w:widowControl/>
              <w:numPr>
                <w:ilvl w:val="0"/>
                <w:numId w:val="3"/>
              </w:numPr>
              <w:rPr>
                <w:rFonts w:hint="eastAsia" w:ascii="宋体" w:hAnsi="宋体"/>
                <w:szCs w:val="21"/>
              </w:rPr>
            </w:pPr>
            <w:r>
              <w:rPr>
                <w:rFonts w:hint="eastAsia" w:ascii="宋体" w:hAnsi="宋体"/>
                <w:szCs w:val="21"/>
              </w:rPr>
              <w:t>支持三权分立管理，权限设置至少包括全部权限，仅具有策略变更权限和仅具有日志审计权限、仅具有账户配置权限、虚系统配置管理权限以及虚系统审计权限；支持以读写、只读、无权限的方式自定义权限管理，权限管理的范围至少包括策略配置、对象配置、网络配置、系统配置、统计分析、威胁处置等。</w:t>
            </w:r>
          </w:p>
          <w:p w14:paraId="210B02CA">
            <w:pPr>
              <w:widowControl/>
              <w:rPr>
                <w:rFonts w:hint="eastAsia" w:ascii="宋体" w:hAnsi="宋体" w:cs="微软雅黑"/>
                <w:szCs w:val="21"/>
                <w:lang w:bidi="ar"/>
              </w:rPr>
            </w:pPr>
            <w:r>
              <w:rPr>
                <w:rFonts w:hint="eastAsia" w:ascii="宋体" w:hAnsi="宋体"/>
                <w:szCs w:val="21"/>
              </w:rPr>
              <w:t>1年租用服务。</w:t>
            </w:r>
          </w:p>
        </w:tc>
      </w:tr>
      <w:tr w14:paraId="44383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8" w:type="dxa"/>
            <w:vAlign w:val="center"/>
          </w:tcPr>
          <w:p w14:paraId="6F1C6106">
            <w:pPr>
              <w:pStyle w:val="8"/>
              <w:jc w:val="center"/>
              <w:rPr>
                <w:rFonts w:hint="eastAsia" w:ascii="宋体" w:hAnsi="宋体" w:cs="宋体"/>
                <w:szCs w:val="21"/>
              </w:rPr>
            </w:pPr>
            <w:r>
              <w:rPr>
                <w:rFonts w:hint="eastAsia" w:ascii="宋体" w:hAnsi="宋体" w:cs="宋体"/>
                <w:szCs w:val="21"/>
              </w:rPr>
              <w:t>数据库审计</w:t>
            </w:r>
          </w:p>
        </w:tc>
        <w:tc>
          <w:tcPr>
            <w:tcW w:w="7866" w:type="dxa"/>
            <w:vAlign w:val="center"/>
          </w:tcPr>
          <w:p w14:paraId="2EC322DC">
            <w:pPr>
              <w:widowControl/>
              <w:numPr>
                <w:ilvl w:val="0"/>
                <w:numId w:val="4"/>
              </w:numPr>
              <w:rPr>
                <w:rFonts w:hint="eastAsia" w:ascii="宋体" w:hAnsi="宋体"/>
                <w:szCs w:val="21"/>
              </w:rPr>
            </w:pPr>
            <w:r>
              <w:rPr>
                <w:rFonts w:hint="eastAsia" w:ascii="宋体" w:hAnsi="宋体" w:cs="微软雅黑"/>
                <w:szCs w:val="21"/>
                <w:lang w:bidi="ar"/>
              </w:rPr>
              <w:t>性能需满足业务需要，</w:t>
            </w:r>
            <w:r>
              <w:rPr>
                <w:rFonts w:hint="eastAsia" w:ascii="宋体" w:hAnsi="宋体"/>
                <w:szCs w:val="21"/>
              </w:rPr>
              <w:t>支持在目标数据库安装agent解决云环境、虚拟化环境内部流量无法镜像场景下数据库的审计。</w:t>
            </w:r>
          </w:p>
          <w:p w14:paraId="0F1D192F">
            <w:pPr>
              <w:widowControl/>
              <w:numPr>
                <w:ilvl w:val="0"/>
                <w:numId w:val="4"/>
              </w:numPr>
              <w:rPr>
                <w:rFonts w:hint="eastAsia" w:ascii="宋体" w:hAnsi="宋体"/>
                <w:szCs w:val="21"/>
              </w:rPr>
            </w:pPr>
            <w:r>
              <w:rPr>
                <w:rFonts w:hint="eastAsia" w:ascii="宋体" w:hAnsi="宋体"/>
                <w:szCs w:val="21"/>
              </w:rPr>
              <w:t>审计Agent代理运行时CPU占用率低于3%，内存占用小于100M。</w:t>
            </w:r>
          </w:p>
          <w:p w14:paraId="6A5BC995">
            <w:pPr>
              <w:widowControl/>
              <w:numPr>
                <w:ilvl w:val="0"/>
                <w:numId w:val="4"/>
              </w:numPr>
              <w:rPr>
                <w:rFonts w:hint="eastAsia" w:ascii="宋体" w:hAnsi="宋体"/>
                <w:szCs w:val="21"/>
              </w:rPr>
            </w:pPr>
            <w:r>
              <w:rPr>
                <w:rFonts w:hint="eastAsia" w:ascii="宋体" w:hAnsi="宋体"/>
                <w:szCs w:val="21"/>
              </w:rPr>
              <w:t>支持Oracle、SQLServer、DB2、Informix、Sybase、MySQL等主流数据库审计。</w:t>
            </w:r>
          </w:p>
          <w:p w14:paraId="5E514B18">
            <w:pPr>
              <w:widowControl/>
              <w:numPr>
                <w:ilvl w:val="0"/>
                <w:numId w:val="4"/>
              </w:numPr>
              <w:rPr>
                <w:rFonts w:hint="eastAsia" w:ascii="宋体" w:hAnsi="宋体"/>
                <w:szCs w:val="21"/>
              </w:rPr>
            </w:pPr>
            <w:r>
              <w:rPr>
                <w:rFonts w:hint="eastAsia" w:ascii="宋体" w:hAnsi="宋体"/>
                <w:szCs w:val="21"/>
              </w:rPr>
              <w:t>支持PostgreSQL、人大金仓（Kingbase）、达梦（DM）、南大通用数据库（Gbase）、等数据库审计。</w:t>
            </w:r>
          </w:p>
          <w:p w14:paraId="6FBABC1F">
            <w:pPr>
              <w:widowControl/>
              <w:numPr>
                <w:ilvl w:val="0"/>
                <w:numId w:val="4"/>
              </w:numPr>
              <w:rPr>
                <w:rFonts w:hint="eastAsia" w:ascii="宋体" w:hAnsi="宋体"/>
                <w:szCs w:val="21"/>
              </w:rPr>
            </w:pPr>
            <w:r>
              <w:rPr>
                <w:rFonts w:hint="eastAsia" w:ascii="宋体" w:hAnsi="宋体"/>
                <w:szCs w:val="21"/>
              </w:rPr>
              <w:t>支持主流业务协议HTTP审计。（提供截图证明材料，加盖厂商公章）</w:t>
            </w:r>
            <w:r>
              <w:fldChar w:fldCharType="begin"/>
            </w:r>
            <w:r>
              <w:instrText xml:space="preserve">HYPERLINK \l "_截图6：支持主流业务协议_HTTP、HTTPS、Telnet、FTP的"</w:instrText>
            </w:r>
            <w:r>
              <w:fldChar w:fldCharType="separate"/>
            </w:r>
            <w:r>
              <w:fldChar w:fldCharType="end"/>
            </w:r>
          </w:p>
          <w:p w14:paraId="69CFDA62">
            <w:pPr>
              <w:widowControl/>
              <w:numPr>
                <w:ilvl w:val="0"/>
                <w:numId w:val="4"/>
              </w:numPr>
              <w:rPr>
                <w:rFonts w:hint="eastAsia" w:ascii="宋体" w:hAnsi="宋体"/>
                <w:szCs w:val="21"/>
              </w:rPr>
            </w:pPr>
            <w:r>
              <w:rPr>
                <w:rFonts w:hint="eastAsia" w:ascii="宋体" w:hAnsi="宋体"/>
                <w:szCs w:val="21"/>
              </w:rPr>
              <w:t>支持实现对SQLServer（2005及以上版本）数据库采用加密协议通讯的审计。</w:t>
            </w:r>
          </w:p>
          <w:p w14:paraId="65F9DBCF">
            <w:pPr>
              <w:widowControl/>
              <w:numPr>
                <w:ilvl w:val="0"/>
                <w:numId w:val="4"/>
              </w:numPr>
              <w:rPr>
                <w:rFonts w:hint="eastAsia" w:ascii="宋体" w:hAnsi="宋体"/>
                <w:szCs w:val="21"/>
              </w:rPr>
            </w:pPr>
            <w:r>
              <w:rPr>
                <w:rFonts w:hint="eastAsia" w:ascii="宋体" w:hAnsi="宋体"/>
                <w:szCs w:val="21"/>
              </w:rPr>
              <w:t>支持数据库操作表、视图、索引、存储过程等</w:t>
            </w:r>
            <w:r>
              <w:fldChar w:fldCharType="begin"/>
            </w:r>
            <w:r>
              <w:instrText xml:space="preserve"> HYPERLINK \l "_支持各种对象的SQL审计_1" </w:instrText>
            </w:r>
            <w:r>
              <w:fldChar w:fldCharType="separate"/>
            </w:r>
            <w:r>
              <w:rPr>
                <w:rFonts w:hint="eastAsia" w:ascii="宋体" w:hAnsi="宋体"/>
                <w:szCs w:val="21"/>
              </w:rPr>
              <w:t>各种对象的所有SQL操作审计</w:t>
            </w:r>
            <w:r>
              <w:rPr>
                <w:rFonts w:hint="eastAsia" w:ascii="宋体" w:hAnsi="宋体"/>
                <w:szCs w:val="21"/>
              </w:rPr>
              <w:fldChar w:fldCharType="end"/>
            </w:r>
            <w:r>
              <w:rPr>
                <w:rFonts w:hint="eastAsia" w:ascii="宋体" w:hAnsi="宋体"/>
                <w:szCs w:val="21"/>
              </w:rPr>
              <w:t>。</w:t>
            </w:r>
          </w:p>
          <w:p w14:paraId="3D7277DB">
            <w:pPr>
              <w:widowControl/>
              <w:numPr>
                <w:ilvl w:val="0"/>
                <w:numId w:val="4"/>
              </w:numPr>
              <w:rPr>
                <w:rFonts w:hint="eastAsia" w:ascii="宋体" w:hAnsi="宋体"/>
                <w:szCs w:val="21"/>
              </w:rPr>
            </w:pPr>
            <w:r>
              <w:rPr>
                <w:rFonts w:hint="eastAsia" w:ascii="宋体" w:hAnsi="宋体"/>
                <w:szCs w:val="21"/>
              </w:rPr>
              <w:t>支持数据库请求和返回的双向审计，特别是返回字段和结果集、执行状态、返回行数、执行时长、客户端工具、主机名等内容。</w:t>
            </w:r>
          </w:p>
          <w:p w14:paraId="6B6CD65C">
            <w:pPr>
              <w:widowControl/>
              <w:numPr>
                <w:ilvl w:val="0"/>
                <w:numId w:val="4"/>
              </w:numPr>
              <w:rPr>
                <w:rFonts w:hint="eastAsia" w:ascii="宋体" w:hAnsi="宋体"/>
                <w:szCs w:val="21"/>
              </w:rPr>
            </w:pPr>
            <w:r>
              <w:rPr>
                <w:rFonts w:hint="eastAsia" w:ascii="宋体" w:hAnsi="宋体"/>
                <w:szCs w:val="21"/>
              </w:rPr>
              <w:t>支持在系统页面对全部引擎、单个引擎、全部网口、单个网口进行抓包；（需提供产品功能截图，加盖厂商公章）</w:t>
            </w:r>
          </w:p>
          <w:p w14:paraId="49688467">
            <w:pPr>
              <w:widowControl/>
              <w:numPr>
                <w:ilvl w:val="0"/>
                <w:numId w:val="4"/>
              </w:numPr>
              <w:rPr>
                <w:rFonts w:hint="eastAsia" w:ascii="宋体" w:hAnsi="宋体"/>
                <w:szCs w:val="21"/>
              </w:rPr>
            </w:pPr>
            <w:r>
              <w:rPr>
                <w:rFonts w:hint="eastAsia" w:ascii="宋体" w:hAnsi="宋体"/>
                <w:szCs w:val="21"/>
              </w:rPr>
              <w:t>具有丰富的全文检索条件，包括数据库时间段、日期范围、数据库登录账号、客户端工具、数据库操作类型、影响行数等条件的审计查询。</w:t>
            </w:r>
          </w:p>
          <w:p w14:paraId="49AC3C5C">
            <w:pPr>
              <w:widowControl/>
              <w:numPr>
                <w:ilvl w:val="0"/>
                <w:numId w:val="4"/>
              </w:numPr>
              <w:rPr>
                <w:rFonts w:hint="eastAsia" w:ascii="宋体" w:hAnsi="宋体"/>
                <w:szCs w:val="21"/>
              </w:rPr>
            </w:pPr>
            <w:r>
              <w:rPr>
                <w:rFonts w:hint="eastAsia" w:ascii="宋体" w:hAnsi="宋体"/>
                <w:szCs w:val="21"/>
              </w:rPr>
              <w:t>系统内置</w:t>
            </w:r>
            <w:r>
              <w:fldChar w:fldCharType="begin"/>
            </w:r>
            <w:r>
              <w:instrText xml:space="preserve">HYPERLINK \l "_内置多种报表模板"</w:instrText>
            </w:r>
            <w:r>
              <w:fldChar w:fldCharType="separate"/>
            </w:r>
            <w:r>
              <w:rPr>
                <w:rFonts w:hint="eastAsia" w:ascii="宋体" w:hAnsi="宋体"/>
                <w:szCs w:val="21"/>
              </w:rPr>
              <w:t>多种报表模板库</w:t>
            </w:r>
            <w:r>
              <w:fldChar w:fldCharType="end"/>
            </w:r>
            <w:r>
              <w:rPr>
                <w:rFonts w:hint="eastAsia" w:ascii="宋体" w:hAnsi="宋体"/>
                <w:szCs w:val="21"/>
              </w:rPr>
              <w:t>，支持自定义报表。</w:t>
            </w:r>
          </w:p>
          <w:p w14:paraId="6F946033">
            <w:pPr>
              <w:widowControl/>
              <w:numPr>
                <w:ilvl w:val="0"/>
                <w:numId w:val="4"/>
              </w:numPr>
              <w:rPr>
                <w:rFonts w:hint="eastAsia" w:ascii="宋体" w:hAnsi="宋体" w:cs="微软雅黑"/>
                <w:szCs w:val="21"/>
                <w:lang w:bidi="ar"/>
              </w:rPr>
            </w:pPr>
            <w:r>
              <w:rPr>
                <w:rFonts w:hint="eastAsia" w:ascii="宋体" w:hAnsi="宋体"/>
                <w:szCs w:val="21"/>
              </w:rPr>
              <w:t>▲支持首页查看全部引擎的审计曲线，支持根据数据库引擎查看单个引擎的审计曲线。支持根据实时、小时、天、周、月的时间维度查看审计曲线（需提供产品功能截图，加盖厂商公章）</w:t>
            </w:r>
          </w:p>
          <w:p w14:paraId="2A3B6902">
            <w:pPr>
              <w:widowControl/>
              <w:rPr>
                <w:rFonts w:hint="eastAsia" w:ascii="宋体" w:hAnsi="宋体" w:cs="微软雅黑"/>
                <w:szCs w:val="21"/>
                <w:lang w:bidi="ar"/>
              </w:rPr>
            </w:pPr>
            <w:r>
              <w:rPr>
                <w:rFonts w:hint="eastAsia" w:ascii="宋体" w:hAnsi="宋体"/>
                <w:szCs w:val="21"/>
              </w:rPr>
              <w:t>1年租用服务。</w:t>
            </w:r>
          </w:p>
        </w:tc>
      </w:tr>
      <w:tr w14:paraId="09249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0" w:hRule="atLeast"/>
          <w:jc w:val="center"/>
        </w:trPr>
        <w:tc>
          <w:tcPr>
            <w:tcW w:w="1348" w:type="dxa"/>
            <w:vAlign w:val="center"/>
          </w:tcPr>
          <w:p w14:paraId="73A40DDA">
            <w:pPr>
              <w:pStyle w:val="12"/>
              <w:snapToGrid w:val="0"/>
              <w:ind w:left="5250"/>
              <w:jc w:val="center"/>
              <w:rPr>
                <w:rFonts w:hint="eastAsia" w:hAnsi="宋体"/>
                <w:szCs w:val="21"/>
              </w:rPr>
            </w:pPr>
            <w:r>
              <w:rPr>
                <w:rFonts w:hint="eastAsia" w:hAnsi="宋体"/>
                <w:szCs w:val="21"/>
              </w:rPr>
              <w:t>We防护</w:t>
            </w:r>
          </w:p>
          <w:p w14:paraId="3C50A706">
            <w:r>
              <w:rPr>
                <w:rFonts w:hint="eastAsia" w:hAnsi="宋体"/>
                <w:szCs w:val="21"/>
              </w:rPr>
              <w:t>Web网站安全防护</w:t>
            </w:r>
          </w:p>
        </w:tc>
        <w:tc>
          <w:tcPr>
            <w:tcW w:w="7866" w:type="dxa"/>
            <w:vAlign w:val="center"/>
          </w:tcPr>
          <w:p w14:paraId="143991C0">
            <w:pPr>
              <w:pStyle w:val="60"/>
              <w:widowControl/>
              <w:ind w:firstLine="0" w:firstLineChars="0"/>
              <w:textAlignment w:val="center"/>
              <w:rPr>
                <w:rFonts w:hint="eastAsia" w:ascii="宋体" w:hAnsi="宋体" w:cs="宋体"/>
                <w:szCs w:val="21"/>
              </w:rPr>
            </w:pPr>
            <w:r>
              <w:rPr>
                <w:rFonts w:hint="eastAsia" w:ascii="宋体" w:hAnsi="宋体" w:cs="宋体"/>
                <w:szCs w:val="21"/>
              </w:rPr>
              <w:t>（1）吞吐≥100M</w:t>
            </w:r>
          </w:p>
          <w:p w14:paraId="7D246A1E">
            <w:pPr>
              <w:pStyle w:val="60"/>
              <w:widowControl/>
              <w:ind w:firstLine="0" w:firstLineChars="0"/>
              <w:textAlignment w:val="center"/>
              <w:rPr>
                <w:rFonts w:hint="eastAsia" w:ascii="宋体" w:hAnsi="宋体" w:cs="宋体"/>
                <w:szCs w:val="21"/>
              </w:rPr>
            </w:pPr>
            <w:r>
              <w:rPr>
                <w:rFonts w:hint="eastAsia" w:ascii="宋体" w:hAnsi="宋体" w:cs="宋体"/>
                <w:szCs w:val="21"/>
              </w:rPr>
              <w:t>（2）防护域名数：提供不少于1个域名（域名为同一备案主体，且包含子域名）的安全防护，二级域名不限，支持扩展。</w:t>
            </w:r>
          </w:p>
          <w:p w14:paraId="7907F209">
            <w:pPr>
              <w:pStyle w:val="60"/>
              <w:widowControl/>
              <w:ind w:firstLine="0" w:firstLineChars="0"/>
              <w:textAlignment w:val="center"/>
              <w:rPr>
                <w:rFonts w:hint="eastAsia" w:ascii="宋体" w:hAnsi="宋体" w:cs="宋体"/>
                <w:szCs w:val="21"/>
              </w:rPr>
            </w:pPr>
            <w:r>
              <w:rPr>
                <w:rFonts w:hint="eastAsia" w:ascii="宋体" w:hAnsi="宋体" w:cs="宋体"/>
                <w:szCs w:val="21"/>
              </w:rPr>
              <w:t>（3）防护端口：包含5个非标准端口配置，可支持除80、443之外的端口，支持扩展</w:t>
            </w:r>
          </w:p>
          <w:p w14:paraId="15932AFB">
            <w:pPr>
              <w:pStyle w:val="60"/>
              <w:widowControl/>
              <w:ind w:firstLine="0" w:firstLineChars="0"/>
              <w:textAlignment w:val="center"/>
              <w:rPr>
                <w:rFonts w:hint="eastAsia" w:ascii="宋体" w:hAnsi="宋体" w:cs="宋体"/>
                <w:szCs w:val="21"/>
              </w:rPr>
            </w:pPr>
            <w:r>
              <w:rPr>
                <w:rFonts w:hint="eastAsia" w:ascii="宋体" w:hAnsi="宋体" w:cs="宋体"/>
                <w:szCs w:val="21"/>
              </w:rPr>
              <w:t>（4）▲支持Cookie攻击防护功能，并通过日志记录Cookie被篡改。（需提供产品功能截图证明和具备CMA标识的第三方检测报告，盖厂商公章）。</w:t>
            </w:r>
          </w:p>
          <w:p w14:paraId="40DD4E43">
            <w:pPr>
              <w:pStyle w:val="60"/>
              <w:widowControl/>
              <w:ind w:firstLine="0" w:firstLineChars="0"/>
              <w:textAlignment w:val="center"/>
              <w:rPr>
                <w:rFonts w:hint="eastAsia" w:ascii="宋体" w:hAnsi="宋体" w:cs="宋体"/>
                <w:szCs w:val="21"/>
              </w:rPr>
            </w:pPr>
            <w:r>
              <w:rPr>
                <w:rFonts w:hint="eastAsia" w:ascii="宋体" w:hAnsi="宋体" w:cs="宋体"/>
                <w:szCs w:val="21"/>
              </w:rPr>
              <w:t>（5）▲内置超过4500种WEB应用攻击特征，支持对跨站脚本（XSS）攻击、SQL注入、文件包含攻击、信息泄露攻击、WEBSHELL、网站扫描、网页木马等攻击类型进行防护。（需提供产品功能截图证明和具备CMA标识的第三方检测报告，盖厂商公章）</w:t>
            </w:r>
          </w:p>
          <w:p w14:paraId="143F9348">
            <w:pPr>
              <w:pStyle w:val="60"/>
              <w:widowControl/>
              <w:ind w:firstLine="0" w:firstLineChars="0"/>
              <w:textAlignment w:val="center"/>
              <w:rPr>
                <w:rFonts w:hint="eastAsia" w:ascii="宋体" w:hAnsi="宋体" w:cs="宋体"/>
                <w:szCs w:val="21"/>
              </w:rPr>
            </w:pPr>
            <w:r>
              <w:rPr>
                <w:rFonts w:hint="eastAsia" w:ascii="宋体" w:hAnsi="宋体" w:cs="宋体"/>
                <w:szCs w:val="21"/>
              </w:rPr>
              <w:t>（6）支持DDoS攻击防护：包含：SYNFlood、ACKFlood、UDPFlood、ICMPFlood等攻击类型的防护</w:t>
            </w:r>
          </w:p>
          <w:p w14:paraId="769F8288">
            <w:pPr>
              <w:pStyle w:val="60"/>
              <w:widowControl/>
              <w:ind w:firstLine="0" w:firstLineChars="0"/>
              <w:textAlignment w:val="center"/>
              <w:rPr>
                <w:rFonts w:hint="eastAsia" w:ascii="宋体" w:hAnsi="宋体" w:cs="宋体"/>
                <w:szCs w:val="21"/>
              </w:rPr>
            </w:pPr>
            <w:r>
              <w:rPr>
                <w:rFonts w:hint="eastAsia" w:ascii="宋体" w:hAnsi="宋体" w:cs="宋体"/>
                <w:szCs w:val="21"/>
              </w:rPr>
              <w:t>（7）支持https防护</w:t>
            </w:r>
          </w:p>
          <w:p w14:paraId="69DF1568">
            <w:pPr>
              <w:pStyle w:val="60"/>
              <w:widowControl/>
              <w:ind w:firstLine="0" w:firstLineChars="0"/>
              <w:textAlignment w:val="center"/>
              <w:rPr>
                <w:rFonts w:hint="eastAsia" w:ascii="宋体" w:hAnsi="宋体" w:cs="宋体"/>
                <w:szCs w:val="21"/>
              </w:rPr>
            </w:pPr>
            <w:r>
              <w:rPr>
                <w:rFonts w:hint="eastAsia" w:ascii="宋体" w:hAnsi="宋体" w:cs="宋体"/>
                <w:szCs w:val="21"/>
              </w:rPr>
              <w:t>（8）CC防护：支持默认CC防护规则和自定义CC防护规则</w:t>
            </w:r>
          </w:p>
          <w:p w14:paraId="05103816">
            <w:pPr>
              <w:pStyle w:val="60"/>
              <w:widowControl/>
              <w:ind w:firstLine="0" w:firstLineChars="0"/>
              <w:textAlignment w:val="center"/>
              <w:rPr>
                <w:rFonts w:hint="eastAsia" w:ascii="宋体" w:hAnsi="宋体" w:cs="宋体"/>
                <w:szCs w:val="21"/>
              </w:rPr>
            </w:pPr>
            <w:r>
              <w:rPr>
                <w:rFonts w:hint="eastAsia" w:ascii="宋体" w:hAnsi="宋体" w:cs="宋体"/>
                <w:szCs w:val="21"/>
              </w:rPr>
              <w:t>（9）防扫描及探测：支持高频Web攻击封禁（可自定义）、目录遍历防护（可自定义）、扫描工具封禁、协同防御</w:t>
            </w:r>
          </w:p>
          <w:p w14:paraId="3E1F03A1">
            <w:pPr>
              <w:pStyle w:val="60"/>
              <w:widowControl/>
              <w:ind w:firstLine="0" w:firstLineChars="0"/>
              <w:textAlignment w:val="center"/>
              <w:rPr>
                <w:rFonts w:hint="eastAsia" w:ascii="宋体" w:hAnsi="宋体" w:cs="宋体"/>
                <w:szCs w:val="21"/>
              </w:rPr>
            </w:pPr>
            <w:r>
              <w:rPr>
                <w:rFonts w:hint="eastAsia" w:ascii="宋体" w:hAnsi="宋体" w:cs="宋体"/>
                <w:szCs w:val="21"/>
              </w:rPr>
              <w:t>（10）、安全域流量审计</w:t>
            </w:r>
          </w:p>
          <w:p w14:paraId="5A444C01">
            <w:pPr>
              <w:pStyle w:val="60"/>
              <w:widowControl/>
              <w:ind w:firstLine="0" w:firstLineChars="0"/>
              <w:textAlignment w:val="center"/>
              <w:rPr>
                <w:rFonts w:hint="eastAsia" w:ascii="宋体" w:hAnsi="宋体" w:cs="宋体"/>
                <w:szCs w:val="21"/>
              </w:rPr>
            </w:pPr>
            <w:r>
              <w:rPr>
                <w:rFonts w:hint="eastAsia" w:ascii="宋体" w:hAnsi="宋体" w:cs="宋体"/>
                <w:szCs w:val="21"/>
              </w:rPr>
              <w:t>1年租用服务。</w:t>
            </w:r>
          </w:p>
        </w:tc>
      </w:tr>
      <w:tr w14:paraId="26524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8" w:hRule="atLeast"/>
          <w:jc w:val="center"/>
        </w:trPr>
        <w:tc>
          <w:tcPr>
            <w:tcW w:w="1348" w:type="dxa"/>
            <w:vAlign w:val="center"/>
          </w:tcPr>
          <w:p w14:paraId="775583CE">
            <w:pPr>
              <w:pStyle w:val="12"/>
              <w:snapToGrid w:val="0"/>
              <w:ind w:left="5250"/>
              <w:jc w:val="center"/>
              <w:rPr>
                <w:rFonts w:hint="eastAsia" w:hAnsi="宋体"/>
                <w:szCs w:val="21"/>
              </w:rPr>
            </w:pPr>
            <w:r>
              <w:rPr>
                <w:rFonts w:hint="eastAsia" w:hAnsi="宋体"/>
                <w:szCs w:val="21"/>
              </w:rPr>
              <w:t>SS书</w:t>
            </w:r>
          </w:p>
          <w:p w14:paraId="5C8388D2">
            <w:r>
              <w:rPr>
                <w:rFonts w:hint="eastAsia" w:hAnsi="宋体"/>
                <w:szCs w:val="21"/>
              </w:rPr>
              <w:t>SSL证书</w:t>
            </w:r>
          </w:p>
        </w:tc>
        <w:tc>
          <w:tcPr>
            <w:tcW w:w="7866" w:type="dxa"/>
            <w:vAlign w:val="center"/>
          </w:tcPr>
          <w:p w14:paraId="3D24C1EC">
            <w:pPr>
              <w:widowControl/>
              <w:numPr>
                <w:ilvl w:val="0"/>
                <w:numId w:val="5"/>
              </w:numPr>
              <w:rPr>
                <w:rFonts w:hint="eastAsia" w:ascii="宋体" w:hAnsi="宋体"/>
                <w:szCs w:val="21"/>
              </w:rPr>
            </w:pPr>
            <w:r>
              <w:rPr>
                <w:rFonts w:hint="eastAsia" w:ascii="宋体" w:hAnsi="宋体"/>
                <w:szCs w:val="21"/>
              </w:rPr>
              <w:t>保护1个通配符域名或单域名。</w:t>
            </w:r>
          </w:p>
          <w:p w14:paraId="46304836">
            <w:pPr>
              <w:widowControl/>
              <w:numPr>
                <w:ilvl w:val="0"/>
                <w:numId w:val="5"/>
              </w:numPr>
              <w:rPr>
                <w:rFonts w:hint="eastAsia" w:ascii="宋体" w:hAnsi="宋体"/>
                <w:szCs w:val="21"/>
              </w:rPr>
            </w:pPr>
            <w:r>
              <w:rPr>
                <w:rFonts w:hint="eastAsia" w:ascii="宋体" w:hAnsi="宋体"/>
                <w:szCs w:val="21"/>
              </w:rPr>
              <w:t>支持RSA、ECC、SM2国密算法，</w:t>
            </w:r>
          </w:p>
          <w:p w14:paraId="454F126A">
            <w:pPr>
              <w:widowControl/>
              <w:numPr>
                <w:ilvl w:val="0"/>
                <w:numId w:val="5"/>
              </w:numPr>
              <w:rPr>
                <w:rFonts w:hint="eastAsia" w:ascii="宋体" w:hAnsi="宋体"/>
                <w:szCs w:val="21"/>
              </w:rPr>
            </w:pPr>
            <w:r>
              <w:rPr>
                <w:rFonts w:hint="eastAsia" w:ascii="宋体" w:hAnsi="宋体"/>
                <w:szCs w:val="21"/>
              </w:rPr>
              <w:t>支持在云防护平台、WAF、VPN等安全设备上使用；</w:t>
            </w:r>
          </w:p>
          <w:p w14:paraId="05823B56">
            <w:pPr>
              <w:widowControl/>
              <w:numPr>
                <w:ilvl w:val="0"/>
                <w:numId w:val="5"/>
              </w:numPr>
              <w:rPr>
                <w:rFonts w:hint="eastAsia" w:ascii="宋体" w:hAnsi="宋体"/>
                <w:szCs w:val="21"/>
              </w:rPr>
            </w:pPr>
            <w:r>
              <w:rPr>
                <w:rFonts w:hint="eastAsia" w:ascii="宋体" w:hAnsi="宋体"/>
                <w:szCs w:val="21"/>
              </w:rPr>
              <w:t>支持目前市面上主流浏览器，包含但不限于Chrome、Firefox、Safari和IE等；</w:t>
            </w:r>
          </w:p>
          <w:p w14:paraId="702B0903">
            <w:pPr>
              <w:widowControl/>
              <w:numPr>
                <w:ilvl w:val="0"/>
                <w:numId w:val="5"/>
              </w:numPr>
              <w:rPr>
                <w:rFonts w:hint="eastAsia" w:ascii="宋体" w:hAnsi="宋体"/>
                <w:szCs w:val="21"/>
              </w:rPr>
            </w:pPr>
            <w:r>
              <w:rPr>
                <w:rFonts w:hint="eastAsia" w:ascii="宋体" w:hAnsi="宋体"/>
                <w:szCs w:val="21"/>
              </w:rPr>
              <w:t>支持实时PCI DSS&amp;ATS的合规监测，提供证书安全监测标徽；</w:t>
            </w:r>
          </w:p>
          <w:p w14:paraId="3E05AFD3">
            <w:pPr>
              <w:widowControl/>
              <w:numPr>
                <w:ilvl w:val="0"/>
                <w:numId w:val="5"/>
              </w:numPr>
              <w:rPr>
                <w:rFonts w:hint="eastAsia" w:ascii="宋体" w:hAnsi="宋体"/>
                <w:szCs w:val="21"/>
              </w:rPr>
            </w:pPr>
            <w:r>
              <w:rPr>
                <w:rFonts w:hint="eastAsia" w:ascii="宋体" w:hAnsi="宋体"/>
                <w:szCs w:val="21"/>
              </w:rPr>
              <w:t>支持 RSA公钥SHA-2算法（支持哈希：256，384，512），支持2048/3072/4096公钥加密；</w:t>
            </w:r>
          </w:p>
          <w:p w14:paraId="7B3715AE">
            <w:pPr>
              <w:widowControl/>
              <w:numPr>
                <w:ilvl w:val="0"/>
                <w:numId w:val="5"/>
              </w:numPr>
              <w:rPr>
                <w:rFonts w:hint="eastAsia" w:ascii="宋体" w:hAnsi="宋体"/>
                <w:szCs w:val="21"/>
              </w:rPr>
            </w:pPr>
            <w:r>
              <w:rPr>
                <w:rFonts w:hint="eastAsia" w:ascii="宋体" w:hAnsi="宋体"/>
                <w:szCs w:val="21"/>
              </w:rPr>
              <w:t>证书使用国内OCSP服务，净网护网行动期间证书应确保证书验证无延迟；</w:t>
            </w:r>
          </w:p>
          <w:p w14:paraId="0B47A0DC">
            <w:pPr>
              <w:widowControl/>
              <w:numPr>
                <w:ilvl w:val="0"/>
                <w:numId w:val="5"/>
              </w:numPr>
              <w:rPr>
                <w:rFonts w:hint="eastAsia" w:ascii="宋体" w:hAnsi="宋体"/>
                <w:szCs w:val="21"/>
              </w:rPr>
            </w:pPr>
            <w:r>
              <w:rPr>
                <w:rFonts w:hint="eastAsia" w:ascii="宋体" w:hAnsi="宋体"/>
                <w:szCs w:val="21"/>
              </w:rPr>
              <w:t>证书到期提醒服务，90天、60天、30天邮件通知及人工主动提醒续费</w:t>
            </w:r>
          </w:p>
          <w:p w14:paraId="55F2DA15">
            <w:pPr>
              <w:widowControl/>
              <w:numPr>
                <w:ilvl w:val="0"/>
                <w:numId w:val="5"/>
              </w:numPr>
              <w:rPr>
                <w:rFonts w:hint="eastAsia" w:ascii="宋体" w:hAnsi="宋体"/>
                <w:szCs w:val="21"/>
              </w:rPr>
            </w:pPr>
            <w:r>
              <w:rPr>
                <w:rFonts w:hint="eastAsia" w:ascii="宋体" w:hAnsi="宋体"/>
                <w:szCs w:val="21"/>
              </w:rPr>
              <w:t xml:space="preserve"> SSL协议配置、加密套件检测及优化建议</w:t>
            </w:r>
          </w:p>
          <w:p w14:paraId="60A54061">
            <w:pPr>
              <w:widowControl/>
              <w:numPr>
                <w:ilvl w:val="0"/>
                <w:numId w:val="5"/>
              </w:numPr>
              <w:rPr>
                <w:rFonts w:hint="eastAsia" w:ascii="宋体" w:hAnsi="宋体"/>
                <w:szCs w:val="21"/>
              </w:rPr>
            </w:pPr>
            <w:r>
              <w:rPr>
                <w:rFonts w:hint="eastAsia" w:ascii="宋体" w:hAnsi="宋体"/>
                <w:szCs w:val="21"/>
              </w:rPr>
              <w:t xml:space="preserve"> SSL证书或服务器漏洞通知提醒，行业动态或更新服务通知</w:t>
            </w:r>
          </w:p>
          <w:p w14:paraId="3EA3A088">
            <w:pPr>
              <w:widowControl/>
              <w:rPr>
                <w:rFonts w:hint="eastAsia" w:ascii="宋体" w:hAnsi="宋体" w:cs="宋体"/>
                <w:szCs w:val="21"/>
              </w:rPr>
            </w:pPr>
            <w:r>
              <w:rPr>
                <w:rFonts w:hint="eastAsia" w:ascii="宋体" w:hAnsi="宋体"/>
                <w:szCs w:val="21"/>
              </w:rPr>
              <w:t>1年租用服务。</w:t>
            </w:r>
          </w:p>
        </w:tc>
      </w:tr>
      <w:tr w14:paraId="4A77F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5" w:hRule="atLeast"/>
          <w:jc w:val="center"/>
        </w:trPr>
        <w:tc>
          <w:tcPr>
            <w:tcW w:w="1348" w:type="dxa"/>
            <w:vAlign w:val="center"/>
          </w:tcPr>
          <w:p w14:paraId="335EA022">
            <w:pPr>
              <w:pStyle w:val="12"/>
              <w:snapToGrid w:val="0"/>
              <w:ind w:left="5250"/>
              <w:jc w:val="center"/>
              <w:rPr>
                <w:rFonts w:hint="eastAsia" w:hAnsi="宋体"/>
                <w:szCs w:val="21"/>
              </w:rPr>
            </w:pPr>
            <w:r>
              <w:rPr>
                <w:rFonts w:hint="eastAsia" w:hAnsi="宋体"/>
                <w:szCs w:val="21"/>
              </w:rPr>
              <w:t>主机安全</w:t>
            </w:r>
          </w:p>
          <w:p w14:paraId="3E474B4B">
            <w:r>
              <w:rPr>
                <w:rFonts w:hint="eastAsia" w:hAnsi="宋体"/>
                <w:szCs w:val="21"/>
              </w:rPr>
              <w:t>主机安全</w:t>
            </w:r>
          </w:p>
        </w:tc>
        <w:tc>
          <w:tcPr>
            <w:tcW w:w="7866" w:type="dxa"/>
            <w:vAlign w:val="center"/>
          </w:tcPr>
          <w:p w14:paraId="50206419">
            <w:pPr>
              <w:widowControl/>
              <w:numPr>
                <w:ilvl w:val="0"/>
                <w:numId w:val="6"/>
              </w:numPr>
              <w:rPr>
                <w:rFonts w:hint="eastAsia" w:ascii="宋体" w:hAnsi="宋体"/>
                <w:szCs w:val="21"/>
              </w:rPr>
            </w:pPr>
            <w:r>
              <w:rPr>
                <w:rFonts w:hint="eastAsia" w:ascii="宋体" w:hAnsi="宋体"/>
                <w:szCs w:val="21"/>
              </w:rPr>
              <w:t>保护主机数量不少于14个。</w:t>
            </w:r>
          </w:p>
          <w:p w14:paraId="05ACE37C">
            <w:pPr>
              <w:widowControl/>
              <w:numPr>
                <w:ilvl w:val="0"/>
                <w:numId w:val="6"/>
              </w:numPr>
              <w:rPr>
                <w:rFonts w:hint="eastAsia" w:ascii="宋体" w:hAnsi="宋体"/>
                <w:szCs w:val="21"/>
              </w:rPr>
            </w:pPr>
            <w:r>
              <w:rPr>
                <w:rFonts w:hint="eastAsia" w:ascii="宋体" w:hAnsi="宋体"/>
                <w:szCs w:val="21"/>
              </w:rPr>
              <w:t>采用B/S架构设计，管理控制中心高度集成化，无需额外安装或外接数据库即可实现日志存储和分析展示，无需额外安装或对接升级服务器即可实现文件、特征库的升级和分发</w:t>
            </w:r>
          </w:p>
          <w:p w14:paraId="549FBBB3">
            <w:pPr>
              <w:widowControl/>
              <w:numPr>
                <w:ilvl w:val="0"/>
                <w:numId w:val="6"/>
              </w:numPr>
              <w:rPr>
                <w:rFonts w:hint="eastAsia" w:ascii="宋体" w:hAnsi="宋体"/>
                <w:szCs w:val="21"/>
              </w:rPr>
            </w:pPr>
            <w:r>
              <w:rPr>
                <w:rFonts w:hint="eastAsia" w:ascii="宋体" w:hAnsi="宋体"/>
                <w:szCs w:val="21"/>
              </w:rPr>
              <w:t>支持查杀病毒木马，勒索软件，挖矿病毒，实时监控进程可疑行为，网站后门，主机异常事件，敏感文件篡改，异常网络连接，异常账号，应用入侵事件。</w:t>
            </w:r>
          </w:p>
          <w:p w14:paraId="0EF0AFF3">
            <w:pPr>
              <w:widowControl/>
              <w:numPr>
                <w:ilvl w:val="0"/>
                <w:numId w:val="6"/>
              </w:numPr>
              <w:rPr>
                <w:rFonts w:hint="eastAsia" w:ascii="宋体" w:hAnsi="宋体"/>
                <w:szCs w:val="21"/>
              </w:rPr>
            </w:pPr>
            <w:r>
              <w:rPr>
                <w:rFonts w:hint="eastAsia" w:ascii="宋体" w:hAnsi="宋体"/>
                <w:szCs w:val="21"/>
              </w:rPr>
              <w:t>提供不少于3种病毒查杀引擎，可根据不同虚拟化环境和查杀要求灵活开启与关闭；同时产品应支持利用CPU虚拟化技术提升系统的安全防护能力</w:t>
            </w:r>
          </w:p>
          <w:p w14:paraId="429AC2A9">
            <w:pPr>
              <w:widowControl/>
              <w:numPr>
                <w:ilvl w:val="0"/>
                <w:numId w:val="6"/>
              </w:numPr>
              <w:rPr>
                <w:rFonts w:hint="eastAsia" w:ascii="宋体" w:hAnsi="宋体"/>
                <w:szCs w:val="21"/>
              </w:rPr>
            </w:pPr>
            <w:r>
              <w:rPr>
                <w:rFonts w:hint="eastAsia" w:ascii="宋体" w:hAnsi="宋体"/>
                <w:szCs w:val="21"/>
              </w:rPr>
              <w:t>提供快速扫描、全盘扫描、指定扫描等多种扫描防护模式，支持自定义路径、指定引擎、自定义处理动作的个性化扫描防护</w:t>
            </w:r>
          </w:p>
          <w:p w14:paraId="462AAEE0">
            <w:pPr>
              <w:widowControl/>
              <w:numPr>
                <w:ilvl w:val="0"/>
                <w:numId w:val="6"/>
              </w:numPr>
              <w:rPr>
                <w:rFonts w:hint="eastAsia" w:ascii="宋体" w:hAnsi="宋体"/>
                <w:szCs w:val="21"/>
              </w:rPr>
            </w:pPr>
            <w:r>
              <w:rPr>
                <w:rFonts w:hint="eastAsia" w:ascii="宋体" w:hAnsi="宋体"/>
                <w:szCs w:val="21"/>
              </w:rPr>
              <w:t>支持对主机安全缺陷、配置进行扫描评估，通过打分形式展现不合规和风险程度。能够对windows操作系统上的策略、服务、组件等进行扫描凭，对linux操作系统上的账号、服务、安全参数、进程、配置等进行扫描评估，并给出修复建议，修复建议包括自动修复和手动提示修复</w:t>
            </w:r>
          </w:p>
          <w:p w14:paraId="6E83AD46">
            <w:pPr>
              <w:widowControl/>
              <w:numPr>
                <w:ilvl w:val="0"/>
                <w:numId w:val="6"/>
              </w:numPr>
              <w:rPr>
                <w:rFonts w:hint="eastAsia" w:ascii="宋体" w:hAnsi="宋体"/>
                <w:szCs w:val="21"/>
              </w:rPr>
            </w:pPr>
            <w:r>
              <w:rPr>
                <w:rFonts w:hint="eastAsia" w:ascii="宋体" w:hAnsi="宋体"/>
                <w:szCs w:val="21"/>
              </w:rPr>
              <w:t>支持勒索可疑行为检测，通过行为AI能力对勒索信、命令行、修改文件等多种躲避式投放勒索病毒的高危高频场景进行精准告警和自动拦截（需提供产品功能截图证明</w:t>
            </w:r>
            <w:r>
              <w:rPr>
                <w:rFonts w:hint="eastAsia" w:ascii="宋体" w:hAnsi="宋体" w:cs="宋体"/>
                <w:szCs w:val="21"/>
              </w:rPr>
              <w:t>，加盖厂商公章</w:t>
            </w:r>
            <w:r>
              <w:rPr>
                <w:rFonts w:hint="eastAsia" w:ascii="宋体" w:hAnsi="宋体"/>
                <w:szCs w:val="21"/>
              </w:rPr>
              <w:t>）</w:t>
            </w:r>
          </w:p>
          <w:p w14:paraId="4C9B57D5">
            <w:pPr>
              <w:widowControl/>
              <w:numPr>
                <w:ilvl w:val="0"/>
                <w:numId w:val="6"/>
              </w:numPr>
              <w:rPr>
                <w:rFonts w:hint="eastAsia" w:ascii="宋体" w:hAnsi="宋体"/>
                <w:szCs w:val="21"/>
              </w:rPr>
            </w:pPr>
            <w:r>
              <w:rPr>
                <w:rFonts w:hint="eastAsia" w:ascii="宋体" w:hAnsi="宋体"/>
                <w:szCs w:val="21"/>
              </w:rPr>
              <w:t>支持入侵防御，可对来自网络层的拒绝服务、缓冲区溢出、木马后门、web攻击、恶意网络扫描、恶意入侵提权等各类威胁流量的检测与防护。</w:t>
            </w:r>
          </w:p>
          <w:p w14:paraId="7E855487">
            <w:pPr>
              <w:widowControl/>
              <w:numPr>
                <w:ilvl w:val="0"/>
                <w:numId w:val="6"/>
              </w:numPr>
              <w:rPr>
                <w:rFonts w:hint="eastAsia" w:ascii="宋体" w:hAnsi="宋体"/>
                <w:szCs w:val="21"/>
              </w:rPr>
            </w:pPr>
            <w:r>
              <w:rPr>
                <w:rFonts w:hint="eastAsia" w:ascii="宋体" w:hAnsi="宋体"/>
                <w:szCs w:val="21"/>
              </w:rPr>
              <w:t>支持手动、自动升级系统文件、引擎版本、特征库信息，能够基于分组、时间设定灰度升级策略</w:t>
            </w:r>
          </w:p>
          <w:p w14:paraId="5C08AA30">
            <w:pPr>
              <w:widowControl/>
              <w:numPr>
                <w:ilvl w:val="0"/>
                <w:numId w:val="6"/>
              </w:numPr>
              <w:rPr>
                <w:rFonts w:hint="eastAsia" w:ascii="宋体" w:hAnsi="宋体"/>
                <w:szCs w:val="21"/>
              </w:rPr>
            </w:pPr>
            <w:r>
              <w:rPr>
                <w:rFonts w:hint="eastAsia" w:ascii="宋体" w:hAnsi="宋体"/>
                <w:szCs w:val="21"/>
              </w:rPr>
              <w:t>▲支持服务器RDP远程登录保护，可开启RDP远程登录二次认证，以防止黑客对服务器的入侵。（需提供产品截图证明，并提供第三方权威机构关于“远程桌面二次认证”的产品功能检测报告。至少包括首页，正文页和尾页，加盖厂商公章）</w:t>
            </w:r>
          </w:p>
          <w:p w14:paraId="5375EA0C">
            <w:pPr>
              <w:widowControl/>
              <w:numPr>
                <w:ilvl w:val="0"/>
                <w:numId w:val="6"/>
              </w:numPr>
              <w:rPr>
                <w:rFonts w:hint="eastAsia" w:ascii="宋体" w:hAnsi="宋体"/>
                <w:szCs w:val="21"/>
              </w:rPr>
            </w:pPr>
            <w:r>
              <w:rPr>
                <w:rFonts w:hint="eastAsia" w:ascii="宋体" w:hAnsi="宋体"/>
                <w:szCs w:val="21"/>
              </w:rPr>
              <w:t>支持勒索可疑行为检测，通过行为AI能力对勒索信、命令行、修改文件等多种躲避式投放勒索病毒的高危高频场景进行精准告警和自动拦截（需提供产品功能截图证明</w:t>
            </w:r>
            <w:r>
              <w:rPr>
                <w:rFonts w:hint="eastAsia" w:ascii="宋体" w:hAnsi="宋体" w:cs="宋体"/>
                <w:szCs w:val="21"/>
              </w:rPr>
              <w:t>，加盖厂商公章</w:t>
            </w:r>
            <w:r>
              <w:rPr>
                <w:rFonts w:hint="eastAsia" w:ascii="宋体" w:hAnsi="宋体"/>
                <w:szCs w:val="21"/>
              </w:rPr>
              <w:t>）</w:t>
            </w:r>
          </w:p>
          <w:p w14:paraId="6DA0BCCD">
            <w:pPr>
              <w:widowControl/>
              <w:rPr>
                <w:rFonts w:hint="eastAsia" w:ascii="宋体" w:hAnsi="宋体" w:cs="宋体"/>
                <w:szCs w:val="21"/>
              </w:rPr>
            </w:pPr>
            <w:r>
              <w:rPr>
                <w:rFonts w:hint="eastAsia" w:ascii="宋体" w:hAnsi="宋体"/>
                <w:szCs w:val="21"/>
              </w:rPr>
              <w:t>1年租用服务。</w:t>
            </w:r>
          </w:p>
        </w:tc>
      </w:tr>
    </w:tbl>
    <w:p w14:paraId="614E1BDD">
      <w:pPr>
        <w:pStyle w:val="50"/>
      </w:pPr>
    </w:p>
    <w:p w14:paraId="4A12F2D2">
      <w:pPr>
        <w:pStyle w:val="49"/>
        <w:numPr>
          <w:ilvl w:val="0"/>
          <w:numId w:val="7"/>
        </w:numPr>
        <w:spacing w:line="360" w:lineRule="auto"/>
        <w:ind w:left="510" w:firstLine="0" w:firstLineChars="0"/>
        <w:rPr>
          <w:b/>
          <w:sz w:val="24"/>
          <w:szCs w:val="24"/>
        </w:rPr>
      </w:pPr>
      <w:r>
        <w:rPr>
          <w:rFonts w:hint="eastAsia"/>
          <w:b/>
          <w:sz w:val="24"/>
          <w:szCs w:val="24"/>
        </w:rPr>
        <w:t>专线或者VPN</w:t>
      </w:r>
    </w:p>
    <w:p w14:paraId="53FA2D84">
      <w:pPr>
        <w:pStyle w:val="49"/>
        <w:spacing w:line="360" w:lineRule="auto"/>
        <w:ind w:left="142" w:firstLine="472" w:firstLineChars="236"/>
        <w:rPr>
          <w:rFonts w:hint="eastAsia" w:ascii="宋体" w:hAnsi="宋体"/>
          <w:sz w:val="24"/>
          <w:szCs w:val="24"/>
        </w:rPr>
      </w:pPr>
      <w:r>
        <w:rPr>
          <w:rFonts w:hint="eastAsia" w:ascii="宋体" w:hAnsi="宋体" w:cs="宋体"/>
          <w:sz w:val="20"/>
          <w:szCs w:val="20"/>
        </w:rPr>
        <w:t>提供不低于100M带宽1个公网IP，实现云上网络与院内网络内网加密打通，一主一备2条网络专线或其它线路冗余措施，保障网络安全。</w:t>
      </w:r>
    </w:p>
    <w:p w14:paraId="3FB108E1">
      <w:pPr>
        <w:pStyle w:val="49"/>
        <w:numPr>
          <w:ilvl w:val="0"/>
          <w:numId w:val="7"/>
        </w:numPr>
        <w:spacing w:line="360" w:lineRule="auto"/>
        <w:ind w:left="510" w:firstLine="0" w:firstLineChars="0"/>
        <w:rPr>
          <w:rFonts w:hint="eastAsia" w:ascii="宋体" w:hAnsi="宋体"/>
          <w:b/>
          <w:bCs/>
          <w:sz w:val="24"/>
          <w:szCs w:val="24"/>
        </w:rPr>
      </w:pPr>
      <w:r>
        <w:rPr>
          <w:rFonts w:hint="eastAsia" w:ascii="宋体" w:hAnsi="宋体"/>
          <w:b/>
          <w:bCs/>
          <w:sz w:val="24"/>
          <w:szCs w:val="24"/>
        </w:rPr>
        <w:t>安全服务</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7"/>
        <w:gridCol w:w="7403"/>
      </w:tblGrid>
      <w:tr w14:paraId="25792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1" w:type="dxa"/>
            <w:vAlign w:val="center"/>
          </w:tcPr>
          <w:p w14:paraId="6C75ED7A">
            <w:pPr>
              <w:pStyle w:val="60"/>
              <w:spacing w:line="360" w:lineRule="auto"/>
              <w:ind w:firstLine="0" w:firstLineChars="0"/>
              <w:jc w:val="center"/>
              <w:rPr>
                <w:rFonts w:hint="eastAsia" w:ascii="宋体" w:hAnsi="宋体"/>
                <w:b/>
                <w:bCs/>
                <w:sz w:val="24"/>
                <w:szCs w:val="24"/>
              </w:rPr>
            </w:pPr>
            <w:r>
              <w:rPr>
                <w:rFonts w:hint="eastAsia" w:ascii="宋体" w:hAnsi="宋体"/>
                <w:b/>
                <w:bCs/>
                <w:sz w:val="24"/>
                <w:szCs w:val="24"/>
              </w:rPr>
              <w:t>名称</w:t>
            </w:r>
          </w:p>
        </w:tc>
        <w:tc>
          <w:tcPr>
            <w:tcW w:w="7786" w:type="dxa"/>
            <w:vAlign w:val="center"/>
          </w:tcPr>
          <w:p w14:paraId="03245FBA">
            <w:pPr>
              <w:pStyle w:val="60"/>
              <w:spacing w:line="360" w:lineRule="auto"/>
              <w:ind w:firstLine="0" w:firstLineChars="0"/>
              <w:jc w:val="center"/>
              <w:rPr>
                <w:rFonts w:hint="eastAsia" w:ascii="宋体" w:hAnsi="宋体" w:cs="宋体"/>
                <w:szCs w:val="21"/>
              </w:rPr>
            </w:pPr>
            <w:r>
              <w:rPr>
                <w:rFonts w:hint="eastAsia" w:ascii="宋体" w:hAnsi="宋体" w:cs="宋体"/>
                <w:szCs w:val="21"/>
              </w:rPr>
              <w:t>技术参数</w:t>
            </w:r>
          </w:p>
        </w:tc>
      </w:tr>
      <w:tr w14:paraId="1F736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1" w:type="dxa"/>
            <w:vAlign w:val="center"/>
          </w:tcPr>
          <w:p w14:paraId="33C7FF95">
            <w:pPr>
              <w:pStyle w:val="60"/>
              <w:spacing w:line="360" w:lineRule="auto"/>
              <w:ind w:leftChars="-96" w:hanging="201" w:hangingChars="84"/>
              <w:jc w:val="center"/>
              <w:rPr>
                <w:rFonts w:hint="eastAsia" w:ascii="宋体" w:hAnsi="宋体"/>
                <w:b/>
                <w:bCs/>
                <w:sz w:val="24"/>
                <w:szCs w:val="24"/>
              </w:rPr>
            </w:pPr>
            <w:r>
              <w:rPr>
                <w:rFonts w:hint="eastAsia" w:ascii="宋体" w:hAnsi="宋体"/>
                <w:b/>
                <w:bCs/>
                <w:sz w:val="24"/>
                <w:szCs w:val="24"/>
              </w:rPr>
              <w:t>安全服务</w:t>
            </w:r>
          </w:p>
        </w:tc>
        <w:tc>
          <w:tcPr>
            <w:tcW w:w="7786" w:type="dxa"/>
          </w:tcPr>
          <w:p w14:paraId="1AA4CF3F">
            <w:pPr>
              <w:widowControl/>
              <w:numPr>
                <w:ilvl w:val="0"/>
                <w:numId w:val="8"/>
              </w:numPr>
              <w:rPr>
                <w:rFonts w:hint="eastAsia" w:ascii="宋体" w:hAnsi="宋体"/>
                <w:szCs w:val="21"/>
              </w:rPr>
            </w:pPr>
            <w:r>
              <w:rPr>
                <w:rFonts w:hint="eastAsia" w:ascii="宋体" w:hAnsi="宋体"/>
                <w:szCs w:val="21"/>
              </w:rPr>
              <w:t>提供不少于10个资产的安全运营，免费提供业务上线评估服务，对需要上云部署的业务系统进行资产梳理、漏洞发现等安全风险评估。</w:t>
            </w:r>
          </w:p>
          <w:p w14:paraId="3FAF6EBE">
            <w:pPr>
              <w:widowControl/>
              <w:numPr>
                <w:ilvl w:val="0"/>
                <w:numId w:val="8"/>
              </w:numPr>
              <w:rPr>
                <w:rFonts w:hint="eastAsia" w:ascii="宋体" w:hAnsi="宋体"/>
                <w:szCs w:val="21"/>
              </w:rPr>
            </w:pPr>
            <w:r>
              <w:rPr>
                <w:rFonts w:hint="eastAsia" w:ascii="宋体" w:hAnsi="宋体"/>
                <w:szCs w:val="21"/>
              </w:rPr>
              <w:t>提供独立安全服务平台（非虚拟化安全感知平台），专属管家服务：提供专属服务经理，可以通过移动电话、微信、QQ、邮件等方式即时响应客户的需求，并7*24小时全年无中断服务。</w:t>
            </w:r>
          </w:p>
          <w:p w14:paraId="4838341B">
            <w:pPr>
              <w:widowControl/>
              <w:numPr>
                <w:ilvl w:val="0"/>
                <w:numId w:val="8"/>
              </w:numPr>
              <w:rPr>
                <w:rFonts w:hint="eastAsia" w:ascii="宋体" w:hAnsi="宋体"/>
                <w:szCs w:val="21"/>
              </w:rPr>
            </w:pPr>
            <w:r>
              <w:rPr>
                <w:rFonts w:hint="eastAsia" w:ascii="宋体" w:hAnsi="宋体"/>
                <w:szCs w:val="21"/>
              </w:rPr>
              <w:t>问题上报与安全预警：实时监测客户VPC安全基线状态，针对存在安全风险的项通过邮件或IM群实时通告客户并告知解决方案处置措施。如：防火墙暂停服务、开放高危端口至公网、堡垒机未使用、EDR防护策略未开启、主机并发会话瞬时过高等资源及配置优化：提供基于云产品与服务的云资源及配置的优化建议。</w:t>
            </w:r>
          </w:p>
          <w:p w14:paraId="2F33DBC8">
            <w:pPr>
              <w:widowControl/>
              <w:numPr>
                <w:ilvl w:val="0"/>
                <w:numId w:val="8"/>
              </w:numPr>
              <w:rPr>
                <w:rFonts w:hint="eastAsia" w:ascii="宋体" w:hAnsi="宋体"/>
                <w:szCs w:val="21"/>
              </w:rPr>
            </w:pPr>
            <w:r>
              <w:rPr>
                <w:rFonts w:hint="eastAsia" w:ascii="宋体" w:hAnsi="宋体"/>
                <w:szCs w:val="21"/>
              </w:rPr>
              <w:t>为保证安全问题发现与闭环处置的准确度，要求提供部署虚拟化安全感知平台和流量检测探针组件，结合云端实时在线的安全值守工程师，实现7*24小时的安全运营服务，支持使用服务工具支持将收集的安全日志上传到安全服务平台上，并支持在该平台上对服务工具进行管理（需提供组件产品彩页及功能截图，并加盖厂商公章）</w:t>
            </w:r>
          </w:p>
          <w:p w14:paraId="738357AD">
            <w:pPr>
              <w:widowControl/>
              <w:numPr>
                <w:ilvl w:val="0"/>
                <w:numId w:val="8"/>
              </w:numPr>
              <w:rPr>
                <w:rFonts w:hint="eastAsia" w:ascii="宋体" w:hAnsi="宋体"/>
                <w:szCs w:val="21"/>
              </w:rPr>
            </w:pPr>
            <w:r>
              <w:rPr>
                <w:rFonts w:hint="eastAsia" w:ascii="宋体" w:hAnsi="宋体"/>
                <w:szCs w:val="21"/>
              </w:rPr>
              <w:t>资产发现与识别：借助安全工具对用户资产进行全面发现和深度识别，并在后续服务过程中触发资产变更等相关服务流程，确保安全运营中心中资产信息的准确性和全面性。</w:t>
            </w:r>
          </w:p>
          <w:p w14:paraId="10C787C1">
            <w:pPr>
              <w:widowControl/>
              <w:numPr>
                <w:ilvl w:val="0"/>
                <w:numId w:val="8"/>
              </w:numPr>
              <w:rPr>
                <w:rFonts w:hint="eastAsia" w:ascii="宋体" w:hAnsi="宋体"/>
                <w:szCs w:val="21"/>
              </w:rPr>
            </w:pPr>
            <w:r>
              <w:rPr>
                <w:rFonts w:hint="eastAsia" w:ascii="宋体" w:hAnsi="宋体"/>
                <w:szCs w:val="21"/>
              </w:rPr>
              <w:t>安全现状评估：包含脆弱性、病毒类事件、攻击行为、失陷类事件等安全现状的评估。</w:t>
            </w:r>
          </w:p>
          <w:p w14:paraId="51AFACFC">
            <w:pPr>
              <w:widowControl/>
              <w:numPr>
                <w:ilvl w:val="0"/>
                <w:numId w:val="8"/>
              </w:numPr>
              <w:rPr>
                <w:rFonts w:hint="eastAsia" w:ascii="宋体" w:hAnsi="宋体"/>
                <w:szCs w:val="21"/>
              </w:rPr>
            </w:pPr>
            <w:r>
              <w:rPr>
                <w:rFonts w:hint="eastAsia" w:ascii="宋体" w:hAnsi="宋体"/>
                <w:szCs w:val="21"/>
              </w:rPr>
              <w:t>▲服务厂商需为采购人提供的服务成果展示门户（或用户Portal），可以直观的管理服务过程中生产的服务报告和交付物，包括但不限于《项目启动会PPT》、《首次安全风险分析报告》、《威胁情报半月刊》、《安全运营周报》、《安全运营月报》、《安全运营季报》、《年度总结汇报》等。（需提供服务成果展示门户中支持下载和管理上述交付物的相关截图证明并加盖厂商公章）</w:t>
            </w:r>
          </w:p>
          <w:p w14:paraId="5B8C3063">
            <w:pPr>
              <w:widowControl/>
              <w:numPr>
                <w:ilvl w:val="0"/>
                <w:numId w:val="8"/>
              </w:numPr>
              <w:rPr>
                <w:rFonts w:hint="eastAsia" w:ascii="宋体" w:hAnsi="宋体"/>
                <w:szCs w:val="21"/>
              </w:rPr>
            </w:pPr>
            <w:r>
              <w:rPr>
                <w:rFonts w:hint="eastAsia" w:ascii="宋体" w:hAnsi="宋体"/>
                <w:szCs w:val="21"/>
              </w:rPr>
              <w:t>漏洞分析与管理：通过漏洞扫描工具识别系统安全漏洞，结合多种信息对识别的漏洞进行优先级排序，最后提出切实可行的漏洞修复指导。同时，借助漏洞跟踪管理平台，可以有效地追踪资产漏洞生命周期，清楚地掌握资产的脆弱性状况，实现漏洞全生命周期的可视、可控和可管。</w:t>
            </w:r>
          </w:p>
          <w:p w14:paraId="2C2934EF">
            <w:pPr>
              <w:widowControl/>
              <w:numPr>
                <w:ilvl w:val="0"/>
                <w:numId w:val="8"/>
              </w:numPr>
              <w:rPr>
                <w:rFonts w:hint="eastAsia" w:ascii="宋体" w:hAnsi="宋体"/>
                <w:szCs w:val="21"/>
              </w:rPr>
            </w:pPr>
            <w:r>
              <w:rPr>
                <w:rFonts w:hint="eastAsia" w:ascii="宋体" w:hAnsi="宋体"/>
                <w:szCs w:val="21"/>
              </w:rPr>
              <w:t>策略调整：安全专家根据安全事件分析的结果以及处置方式，根据用户授权情况按需对安全组件上的安全策略进行调整工作（需提供用户授权界面截图，并加盖厂商公章）</w:t>
            </w:r>
          </w:p>
          <w:p w14:paraId="43E08F0A">
            <w:pPr>
              <w:widowControl/>
              <w:numPr>
                <w:ilvl w:val="0"/>
                <w:numId w:val="8"/>
              </w:numPr>
              <w:rPr>
                <w:rFonts w:hint="eastAsia" w:ascii="宋体" w:hAnsi="宋体"/>
                <w:szCs w:val="21"/>
              </w:rPr>
            </w:pPr>
            <w:r>
              <w:rPr>
                <w:rFonts w:hint="eastAsia" w:ascii="宋体" w:hAnsi="宋体"/>
                <w:szCs w:val="21"/>
              </w:rPr>
              <w:t>▲服务厂商</w:t>
            </w:r>
            <w:r>
              <w:rPr>
                <w:rFonts w:hint="eastAsia" w:ascii="宋体" w:hAnsi="宋体"/>
                <w:szCs w:val="21"/>
                <w:lang w:eastAsia="zh-Hans"/>
              </w:rPr>
              <w:t>托管服务平台应具备GPT服务工具，支持集成在服务微信群、服务工作台，该工具能力项应支持告警数据包研判、情报查询分析、Payload解码、事件研判定性、自动调用安全设备遏制（IP、域名封堵）、事件调查溯源、运营数据统计（支持在线统计、分析并下载数据）等。</w:t>
            </w:r>
            <w:r>
              <w:rPr>
                <w:rFonts w:hint="eastAsia" w:ascii="宋体" w:hAnsi="宋体"/>
                <w:szCs w:val="21"/>
              </w:rPr>
              <w:t>（需</w:t>
            </w:r>
            <w:r>
              <w:rPr>
                <w:rFonts w:hint="eastAsia" w:ascii="宋体" w:hAnsi="宋体"/>
                <w:szCs w:val="21"/>
                <w:lang w:eastAsia="zh-Hans"/>
              </w:rPr>
              <w:t>提供安全托服务平台GPT能力项的证明截图</w:t>
            </w:r>
            <w:r>
              <w:rPr>
                <w:rFonts w:hint="eastAsia" w:ascii="宋体" w:hAnsi="宋体" w:cs="宋体"/>
                <w:szCs w:val="21"/>
              </w:rPr>
              <w:t>，加盖厂商公章</w:t>
            </w:r>
            <w:r>
              <w:rPr>
                <w:rFonts w:hint="eastAsia" w:ascii="宋体" w:hAnsi="宋体"/>
                <w:szCs w:val="21"/>
              </w:rPr>
              <w:t>）</w:t>
            </w:r>
            <w:r>
              <w:rPr>
                <w:rFonts w:hint="eastAsia" w:ascii="宋体" w:hAnsi="宋体"/>
                <w:szCs w:val="21"/>
                <w:lang w:eastAsia="zh-Hans"/>
              </w:rPr>
              <w:t>；</w:t>
            </w:r>
          </w:p>
          <w:p w14:paraId="18DC40C9">
            <w:pPr>
              <w:widowControl/>
              <w:numPr>
                <w:ilvl w:val="0"/>
                <w:numId w:val="8"/>
              </w:numPr>
              <w:rPr>
                <w:rFonts w:hint="eastAsia" w:ascii="宋体" w:hAnsi="宋体"/>
                <w:szCs w:val="21"/>
              </w:rPr>
            </w:pPr>
            <w:r>
              <w:rPr>
                <w:rFonts w:hint="eastAsia" w:ascii="宋体" w:hAnsi="宋体"/>
                <w:szCs w:val="21"/>
              </w:rPr>
              <w:t>安全隐患分析：提供系统级的安全隐患分析服务，包括外部访问、系统维护、资源使用等信息汇总。提供系统安全分析，包括可疑访问、恶意访问、安全试探、异常访问数据分析等安全隐患的预警性分析。每月一份安全分析报告，全年十二份报告，提供报表查看页面。</w:t>
            </w:r>
          </w:p>
          <w:p w14:paraId="54AE23CE">
            <w:pPr>
              <w:widowControl/>
              <w:numPr>
                <w:ilvl w:val="0"/>
                <w:numId w:val="8"/>
              </w:numPr>
              <w:rPr>
                <w:rFonts w:hint="eastAsia" w:ascii="宋体" w:hAnsi="宋体"/>
                <w:szCs w:val="21"/>
              </w:rPr>
            </w:pPr>
            <w:r>
              <w:rPr>
                <w:rFonts w:hint="eastAsia" w:ascii="宋体" w:hAnsi="宋体"/>
                <w:szCs w:val="21"/>
              </w:rPr>
              <w:t>▲服务厂商</w:t>
            </w:r>
            <w:r>
              <w:rPr>
                <w:rFonts w:hint="eastAsia" w:ascii="宋体" w:hAnsi="宋体"/>
                <w:szCs w:val="21"/>
                <w:lang w:eastAsia="zh-Hans"/>
              </w:rPr>
              <w:t>云端服务平台应当做好严格的安全防护，并严格按照《</w:t>
            </w:r>
            <w:r>
              <w:fldChar w:fldCharType="begin"/>
            </w:r>
            <w:r>
              <w:instrText xml:space="preserve"> HYPERLINK "https://baike.baidu.com/item/%E4%BF%A1%E6%81%AF%E5%AE%89%E5%85%A8%E6%8A%80%E6%9C%AF%E2%80%94%E7%BD%91%E7%BB%9C%E5%AE%89%E5%85%A8%E7%AD%89%E7%BA%A7%E4%BF%9D%E6%8A%A4%E5%9F%BA%E6%9C%AC%E8%A6%81%E6%B1%82/53703710?fromModule=lemma_inlink" \t "/Users/duan/Documentsx/_blank" </w:instrText>
            </w:r>
            <w:r>
              <w:fldChar w:fldCharType="separate"/>
            </w:r>
            <w:r>
              <w:rPr>
                <w:rFonts w:hint="eastAsia" w:ascii="宋体" w:hAnsi="宋体"/>
                <w:szCs w:val="21"/>
                <w:lang w:eastAsia="zh-Hans"/>
              </w:rPr>
              <w:t>信息安全技术—网络安全等级保护基本要求</w:t>
            </w:r>
            <w:r>
              <w:rPr>
                <w:rFonts w:hint="eastAsia" w:ascii="宋体" w:hAnsi="宋体"/>
                <w:szCs w:val="21"/>
                <w:lang w:eastAsia="zh-Hans"/>
              </w:rPr>
              <w:fldChar w:fldCharType="end"/>
            </w:r>
            <w:r>
              <w:rPr>
                <w:rFonts w:hint="eastAsia" w:ascii="宋体" w:hAnsi="宋体"/>
                <w:szCs w:val="21"/>
                <w:lang w:eastAsia="zh-Hans"/>
              </w:rPr>
              <w:t>》完成等级保护测评工作，服务平台至少通过等级保护三级测评；</w:t>
            </w:r>
            <w:r>
              <w:rPr>
                <w:rFonts w:hint="eastAsia" w:ascii="宋体" w:hAnsi="宋体"/>
                <w:szCs w:val="21"/>
              </w:rPr>
              <w:t>服务厂商</w:t>
            </w:r>
            <w:r>
              <w:rPr>
                <w:rFonts w:hint="eastAsia" w:ascii="宋体" w:hAnsi="宋体"/>
                <w:szCs w:val="21"/>
                <w:lang w:eastAsia="zh-Hans"/>
              </w:rPr>
              <w:t>应当提供云端服务平台等级保护三级测评通过证明，提供报告首页、基本信息表、等级测评结论首页，以上内容中必须明确指出该平台用于为用户提供7*24小时的安全托管服务</w:t>
            </w:r>
            <w:r>
              <w:rPr>
                <w:rFonts w:hint="eastAsia" w:ascii="宋体" w:hAnsi="宋体"/>
                <w:szCs w:val="21"/>
              </w:rPr>
              <w:t>并加盖厂商公章</w:t>
            </w:r>
            <w:r>
              <w:rPr>
                <w:rFonts w:hint="eastAsia" w:ascii="宋体" w:hAnsi="宋体"/>
                <w:szCs w:val="21"/>
                <w:lang w:eastAsia="zh-Hans"/>
              </w:rPr>
              <w:t>；</w:t>
            </w:r>
          </w:p>
          <w:p w14:paraId="37A065EF">
            <w:pPr>
              <w:widowControl/>
              <w:numPr>
                <w:ilvl w:val="0"/>
                <w:numId w:val="8"/>
              </w:numPr>
              <w:rPr>
                <w:rFonts w:hint="eastAsia" w:ascii="宋体" w:hAnsi="宋体" w:cs="宋体"/>
                <w:szCs w:val="21"/>
              </w:rPr>
            </w:pPr>
            <w:r>
              <w:rPr>
                <w:rFonts w:hint="eastAsia" w:ascii="宋体" w:hAnsi="宋体"/>
                <w:szCs w:val="21"/>
              </w:rPr>
              <w:t>提供1年安全运营的原厂服务，提供原厂关于7*24小时安全服务以及原厂管家运维的承诺函。</w:t>
            </w:r>
          </w:p>
        </w:tc>
      </w:tr>
    </w:tbl>
    <w:p w14:paraId="75417D6E">
      <w:pPr>
        <w:pStyle w:val="50"/>
      </w:pPr>
    </w:p>
    <w:p w14:paraId="368B4C40">
      <w:pPr>
        <w:pStyle w:val="54"/>
        <w:pageBreakBefore w:val="0"/>
        <w:rPr>
          <w:rFonts w:hint="eastAsia"/>
        </w:rPr>
      </w:pPr>
      <w:r>
        <w:rPr>
          <w:rFonts w:hint="eastAsia"/>
        </w:rPr>
        <w:t>五、售后服务要求</w:t>
      </w:r>
    </w:p>
    <w:p w14:paraId="18F90766">
      <w:pPr>
        <w:pStyle w:val="49"/>
        <w:spacing w:line="360" w:lineRule="auto"/>
        <w:ind w:firstLine="482"/>
        <w:rPr>
          <w:rFonts w:hint="eastAsia" w:ascii="宋体" w:hAnsi="宋体"/>
          <w:b/>
          <w:bCs/>
          <w:sz w:val="24"/>
          <w:szCs w:val="24"/>
        </w:rPr>
      </w:pPr>
      <w:r>
        <w:rPr>
          <w:rFonts w:hint="eastAsia" w:ascii="宋体" w:hAnsi="宋体"/>
          <w:b/>
          <w:bCs/>
          <w:sz w:val="24"/>
          <w:szCs w:val="24"/>
        </w:rPr>
        <w:t>1、安全服务要求</w:t>
      </w:r>
    </w:p>
    <w:p w14:paraId="249D86DC">
      <w:pPr>
        <w:spacing w:line="360" w:lineRule="auto"/>
        <w:ind w:left="142" w:firstLine="472" w:firstLineChars="236"/>
        <w:rPr>
          <w:rFonts w:hint="eastAsia" w:ascii="宋体" w:hAnsi="宋体" w:cs="宋体"/>
          <w:sz w:val="20"/>
          <w:szCs w:val="20"/>
        </w:rPr>
      </w:pPr>
      <w:r>
        <w:rPr>
          <w:rFonts w:hint="eastAsia" w:ascii="宋体" w:hAnsi="宋体" w:cs="宋体"/>
          <w:sz w:val="20"/>
          <w:szCs w:val="20"/>
        </w:rPr>
        <w:t>投标人应保证业务应用系统的支撑环境，包括但不限于服务器、网络、存储等相关物理环境能满足安全</w:t>
      </w:r>
      <w:r>
        <w:rPr>
          <w:rFonts w:hint="eastAsia" w:ascii="宋体" w:hAnsi="宋体" w:cs="宋体"/>
          <w:b/>
          <w:i/>
          <w:sz w:val="20"/>
          <w:szCs w:val="20"/>
        </w:rPr>
        <w:t>三级等保</w:t>
      </w:r>
      <w:r>
        <w:rPr>
          <w:rFonts w:hint="eastAsia" w:ascii="宋体" w:hAnsi="宋体" w:cs="宋体"/>
          <w:sz w:val="20"/>
          <w:szCs w:val="20"/>
        </w:rPr>
        <w:t>要求，依据招标需求向采购人提供本次项目中所涉及安全服务内容。同时供应商需提供完整、可行的安全防护设计方案。</w:t>
      </w:r>
    </w:p>
    <w:p w14:paraId="4A4B5F3E">
      <w:pPr>
        <w:pStyle w:val="49"/>
        <w:spacing w:line="360" w:lineRule="auto"/>
        <w:ind w:firstLine="482"/>
        <w:rPr>
          <w:rFonts w:hint="eastAsia" w:ascii="宋体" w:hAnsi="宋体"/>
          <w:b/>
          <w:bCs/>
          <w:sz w:val="24"/>
          <w:szCs w:val="24"/>
        </w:rPr>
      </w:pPr>
      <w:r>
        <w:rPr>
          <w:rFonts w:hint="eastAsia" w:ascii="宋体" w:hAnsi="宋体"/>
          <w:b/>
          <w:bCs/>
          <w:sz w:val="24"/>
          <w:szCs w:val="24"/>
        </w:rPr>
        <w:t>2、技术支持与服务要求</w:t>
      </w:r>
    </w:p>
    <w:p w14:paraId="4891A5A4">
      <w:pPr>
        <w:pStyle w:val="49"/>
        <w:spacing w:line="360" w:lineRule="auto"/>
        <w:ind w:firstLine="482"/>
        <w:rPr>
          <w:rFonts w:hint="eastAsia" w:ascii="宋体" w:hAnsi="宋体"/>
          <w:b/>
          <w:bCs/>
          <w:sz w:val="24"/>
          <w:szCs w:val="24"/>
        </w:rPr>
      </w:pPr>
      <w:r>
        <w:rPr>
          <w:rFonts w:hint="eastAsia" w:ascii="宋体" w:hAnsi="宋体"/>
          <w:b/>
          <w:bCs/>
          <w:sz w:val="24"/>
          <w:szCs w:val="24"/>
        </w:rPr>
        <w:t>（1）日常运维服务</w:t>
      </w:r>
    </w:p>
    <w:p w14:paraId="7E941F2E">
      <w:pPr>
        <w:spacing w:line="360" w:lineRule="auto"/>
        <w:ind w:left="142" w:firstLine="472" w:firstLineChars="236"/>
        <w:rPr>
          <w:rFonts w:hint="eastAsia" w:ascii="宋体" w:hAnsi="宋体" w:cs="宋体"/>
          <w:sz w:val="20"/>
          <w:szCs w:val="20"/>
        </w:rPr>
      </w:pPr>
      <w:r>
        <w:rPr>
          <w:rFonts w:hint="eastAsia" w:ascii="宋体" w:hAnsi="宋体" w:cs="宋体"/>
          <w:sz w:val="20"/>
          <w:szCs w:val="20"/>
        </w:rPr>
        <w:t>投标人提供专门运维服务团队完成日常运维服务，设立专职人员，由其负责组织和协调采购人处理云平台使用过程中出现的各类问题，包括系统使用、管理、升级和维护。利用监控系统或人工对硬件设备及应用系统的运行情况进行7*24小时的不间断巡检监控，及时发现安全隐患，包括用户信息检查及帐号安全检查、WEB运行状态实时监控、磁盘空间监控、授权异常异常访问、参数优化、垃圾清理等服务，对发现的问题及时处理并形成监控报告，及时通知采购人。定期开展安全培训，提升院内人员服务水平。</w:t>
      </w:r>
    </w:p>
    <w:p w14:paraId="168C4F6F">
      <w:pPr>
        <w:spacing w:line="360" w:lineRule="auto"/>
        <w:ind w:left="142" w:firstLine="472" w:firstLineChars="236"/>
        <w:rPr>
          <w:rFonts w:hint="eastAsia" w:ascii="宋体" w:hAnsi="宋体" w:cs="宋体"/>
          <w:sz w:val="20"/>
          <w:szCs w:val="20"/>
        </w:rPr>
      </w:pPr>
      <w:r>
        <w:rPr>
          <w:rFonts w:hint="eastAsia" w:ascii="宋体" w:hAnsi="宋体" w:cs="宋体"/>
          <w:sz w:val="20"/>
          <w:szCs w:val="20"/>
        </w:rPr>
        <w:t>投标人团队在日常安全运维管理中应包括但不限于以下方面工作：1.组织定期评估网络运行安全风险；2.防范计算机病毒和网络攻击、入侵等危害网络安全行为的防护措施；3.监测、记录网络运行状态、网络安全事件的技术手段，做好安全防护；4.做好网络、数据库操作日志，日志留存不少于六个月。投标人每月形成书面报告报告以上平台运行安全情况，及时处置上级通报以及自我检查发现的网络安全隐患、漏洞和事件，并在规定时间期限内向采购人反馈处置整改情况，实在因第三方因素无法整改的，应具备及时关闭业务；</w:t>
      </w:r>
    </w:p>
    <w:p w14:paraId="1FD01A69">
      <w:pPr>
        <w:pStyle w:val="49"/>
        <w:spacing w:line="360" w:lineRule="auto"/>
        <w:ind w:firstLine="482"/>
        <w:rPr>
          <w:rFonts w:hint="eastAsia" w:ascii="宋体" w:hAnsi="宋体"/>
          <w:b/>
          <w:bCs/>
          <w:sz w:val="24"/>
          <w:szCs w:val="24"/>
        </w:rPr>
      </w:pPr>
      <w:r>
        <w:rPr>
          <w:rFonts w:hint="eastAsia" w:ascii="宋体" w:hAnsi="宋体"/>
          <w:b/>
          <w:bCs/>
          <w:sz w:val="24"/>
          <w:szCs w:val="24"/>
        </w:rPr>
        <w:t>（2）故障响应服务</w:t>
      </w:r>
    </w:p>
    <w:p w14:paraId="0D91F3C2">
      <w:pPr>
        <w:spacing w:line="360" w:lineRule="auto"/>
        <w:ind w:left="142" w:firstLine="472" w:firstLineChars="236"/>
        <w:rPr>
          <w:rFonts w:hint="eastAsia" w:ascii="宋体" w:hAnsi="宋体" w:cs="宋体"/>
          <w:sz w:val="20"/>
          <w:szCs w:val="20"/>
        </w:rPr>
      </w:pPr>
      <w:r>
        <w:rPr>
          <w:rFonts w:hint="eastAsia" w:ascii="宋体" w:hAnsi="宋体" w:cs="宋体"/>
          <w:sz w:val="20"/>
          <w:szCs w:val="20"/>
        </w:rPr>
        <w:t>投标人应当提供高效的系统维护服务，有效防范系统风险，需保持7*24小时电话畅通，能够在系统发生故障问题时，能够协调人力资源在5分钟内响应，30分钟内解决故障。</w:t>
      </w:r>
    </w:p>
    <w:p w14:paraId="33410323">
      <w:pPr>
        <w:pStyle w:val="49"/>
        <w:spacing w:line="360" w:lineRule="auto"/>
        <w:ind w:firstLine="480"/>
        <w:rPr>
          <w:rFonts w:hint="eastAsia" w:ascii="宋体" w:hAnsi="宋体"/>
          <w:b/>
          <w:bCs/>
          <w:sz w:val="24"/>
          <w:szCs w:val="24"/>
        </w:rPr>
      </w:pPr>
      <w:r>
        <w:rPr>
          <w:rFonts w:hint="eastAsia" w:ascii="宋体" w:hAnsi="宋体"/>
          <w:sz w:val="24"/>
          <w:szCs w:val="24"/>
        </w:rPr>
        <w:t>（</w:t>
      </w:r>
      <w:r>
        <w:rPr>
          <w:rFonts w:hint="eastAsia" w:ascii="宋体" w:hAnsi="宋体"/>
          <w:b/>
          <w:bCs/>
          <w:sz w:val="24"/>
          <w:szCs w:val="24"/>
        </w:rPr>
        <w:t>3）重点保障要求</w:t>
      </w:r>
    </w:p>
    <w:p w14:paraId="60222F41">
      <w:pPr>
        <w:spacing w:line="360" w:lineRule="auto"/>
        <w:ind w:left="142" w:firstLine="472" w:firstLineChars="236"/>
        <w:rPr>
          <w:rFonts w:hint="eastAsia" w:ascii="宋体" w:hAnsi="宋体" w:cs="宋体"/>
          <w:sz w:val="20"/>
          <w:szCs w:val="20"/>
        </w:rPr>
      </w:pPr>
      <w:r>
        <w:rPr>
          <w:rFonts w:hint="eastAsia" w:ascii="宋体" w:hAnsi="宋体" w:cs="宋体"/>
          <w:sz w:val="20"/>
          <w:szCs w:val="20"/>
        </w:rPr>
        <w:t>为保障业务高峰期内系统平稳运行，缓解系统高峰期内因业务发生量增大而带来系统压力风险，要求供应商根据业务周期性特点，加大运维保障力度，保证在业务高峰期内系统平稳运行。对安全厂商、上级部门的漏扫报告及时进行一对一技术分析与处理，并形成书面报告。</w:t>
      </w:r>
    </w:p>
    <w:p w14:paraId="1A7BACC7">
      <w:pPr>
        <w:pStyle w:val="49"/>
        <w:spacing w:line="360" w:lineRule="auto"/>
        <w:ind w:firstLine="482"/>
        <w:rPr>
          <w:rFonts w:hint="eastAsia" w:ascii="宋体" w:hAnsi="宋体"/>
          <w:b/>
          <w:bCs/>
          <w:sz w:val="24"/>
          <w:szCs w:val="24"/>
        </w:rPr>
      </w:pPr>
      <w:r>
        <w:rPr>
          <w:rFonts w:hint="eastAsia" w:ascii="宋体" w:hAnsi="宋体"/>
          <w:b/>
          <w:bCs/>
          <w:sz w:val="24"/>
          <w:szCs w:val="24"/>
        </w:rPr>
        <w:t>（4）部署迁移服务</w:t>
      </w:r>
    </w:p>
    <w:p w14:paraId="15A011CE">
      <w:pPr>
        <w:spacing w:line="360" w:lineRule="auto"/>
        <w:ind w:left="142" w:firstLine="472" w:firstLineChars="236"/>
        <w:rPr>
          <w:rFonts w:hint="eastAsia" w:ascii="宋体" w:hAnsi="宋体" w:cs="宋体"/>
          <w:b/>
          <w:sz w:val="20"/>
          <w:szCs w:val="20"/>
        </w:rPr>
      </w:pPr>
      <w:r>
        <w:rPr>
          <w:rFonts w:hint="eastAsia" w:ascii="宋体" w:hAnsi="宋体" w:cs="宋体"/>
          <w:b/>
          <w:sz w:val="20"/>
          <w:szCs w:val="20"/>
        </w:rPr>
        <w:t>采购人如因业务或安全服务需要涉及到项目的迁移，投标人应根据采购人要求无条件支持业务系统及其相关数据迁移工作，系统中断时间不得超过3小时，迁移过程中产生的所有费用由投标人承担。</w:t>
      </w:r>
    </w:p>
    <w:p w14:paraId="38D7D890">
      <w:pPr>
        <w:pStyle w:val="49"/>
        <w:spacing w:line="360" w:lineRule="auto"/>
        <w:ind w:firstLine="400"/>
        <w:rPr>
          <w:rFonts w:hint="eastAsia" w:ascii="宋体" w:hAnsi="宋体" w:cs="宋体"/>
          <w:sz w:val="20"/>
          <w:szCs w:val="20"/>
        </w:rPr>
      </w:pPr>
      <w:r>
        <w:rPr>
          <w:rFonts w:hint="eastAsia" w:ascii="宋体" w:hAnsi="宋体" w:cs="宋体"/>
          <w:sz w:val="20"/>
          <w:szCs w:val="20"/>
        </w:rPr>
        <w:t>投标人在建设期除了提供安全云服务外，还需要将医院内网映射在互联网的资产统一扎口管理，包括但不限于打卡小程序、OA、体检信息查询、电子发票、设备管理软件等，以一个二级域名+多个端口+多个路径的模式（举例如http://xxx.aaa.com:80/1/2/3---、https://xxx.aaa.com:443/1/2/3---等）对照映射以上多个业务，支持日志管理记录用户访问、系统运行等完整日志并具备完整性验证功能，协助开通互联网8</w:t>
      </w:r>
      <w:r>
        <w:rPr>
          <w:rFonts w:ascii="宋体" w:hAnsi="宋体" w:cs="宋体"/>
          <w:sz w:val="20"/>
          <w:szCs w:val="20"/>
        </w:rPr>
        <w:t>0</w:t>
      </w:r>
      <w:r>
        <w:rPr>
          <w:rFonts w:hint="eastAsia" w:ascii="宋体" w:hAnsi="宋体" w:cs="宋体"/>
          <w:sz w:val="20"/>
          <w:szCs w:val="20"/>
        </w:rPr>
        <w:t>和4</w:t>
      </w:r>
      <w:r>
        <w:rPr>
          <w:rFonts w:ascii="宋体" w:hAnsi="宋体" w:cs="宋体"/>
          <w:sz w:val="20"/>
          <w:szCs w:val="20"/>
        </w:rPr>
        <w:t>43</w:t>
      </w:r>
      <w:r>
        <w:rPr>
          <w:rFonts w:hint="eastAsia" w:ascii="宋体" w:hAnsi="宋体" w:cs="宋体"/>
          <w:sz w:val="20"/>
          <w:szCs w:val="20"/>
        </w:rPr>
        <w:t>端口并备案；（需要提供完整解决方案和承诺函）</w:t>
      </w:r>
    </w:p>
    <w:p w14:paraId="6EADD91C">
      <w:pPr>
        <w:pStyle w:val="49"/>
        <w:spacing w:line="360" w:lineRule="auto"/>
        <w:ind w:firstLine="482"/>
        <w:rPr>
          <w:rFonts w:hint="eastAsia" w:ascii="宋体" w:hAnsi="宋体"/>
          <w:sz w:val="24"/>
          <w:szCs w:val="24"/>
        </w:rPr>
      </w:pPr>
      <w:r>
        <w:rPr>
          <w:rFonts w:hint="eastAsia" w:ascii="宋体" w:hAnsi="宋体"/>
          <w:b/>
          <w:bCs/>
          <w:sz w:val="24"/>
          <w:szCs w:val="24"/>
        </w:rPr>
        <w:t>（5）服务承诺</w:t>
      </w:r>
      <w:r>
        <w:rPr>
          <w:rFonts w:hint="eastAsia" w:ascii="宋体" w:hAnsi="宋体"/>
          <w:sz w:val="24"/>
          <w:szCs w:val="24"/>
        </w:rPr>
        <w:t>：</w:t>
      </w:r>
    </w:p>
    <w:p w14:paraId="246F4E87">
      <w:pPr>
        <w:pStyle w:val="49"/>
        <w:spacing w:line="360" w:lineRule="auto"/>
        <w:ind w:firstLine="400"/>
        <w:rPr>
          <w:rFonts w:hint="eastAsia" w:ascii="宋体" w:hAnsi="宋体" w:cs="宋体"/>
          <w:sz w:val="20"/>
          <w:szCs w:val="20"/>
        </w:rPr>
      </w:pPr>
      <w:r>
        <w:rPr>
          <w:rFonts w:hint="eastAsia" w:ascii="宋体" w:hAnsi="宋体" w:cs="宋体"/>
          <w:sz w:val="20"/>
          <w:szCs w:val="20"/>
        </w:rPr>
        <w:t>1、投标人应签署SLA服务协议承诺，云主机服务可用性≥99.97%，数据库审计服务可用性≥99.95%，堡垒机服务可用性≥99.9%，日志审计服务可用性≥99.9%，下一代防火墙服务可用性≥99.5%，以上产品服务可用性未达到承诺时，按照服务不可用时间的十倍补偿服务时间，提供原厂盖章承诺函；</w:t>
      </w:r>
    </w:p>
    <w:p w14:paraId="561FF490">
      <w:pPr>
        <w:pStyle w:val="49"/>
        <w:spacing w:line="360" w:lineRule="auto"/>
        <w:ind w:firstLine="400"/>
        <w:rPr>
          <w:rFonts w:hint="eastAsia" w:ascii="宋体" w:hAnsi="宋体" w:cs="宋体"/>
          <w:sz w:val="20"/>
          <w:szCs w:val="20"/>
        </w:rPr>
      </w:pPr>
      <w:r>
        <w:rPr>
          <w:rFonts w:hint="eastAsia" w:ascii="宋体" w:hAnsi="宋体" w:cs="宋体"/>
          <w:sz w:val="20"/>
          <w:szCs w:val="20"/>
        </w:rPr>
        <w:t>2、在协助采购人完成互联网医院建设、云平台建设、等保2.0测评、IPv6改造等相关实施过程中，采购人将不予额外支出完成项目所需的其它费用，包括人工、运输、安装、辅材及其它一切与本项目相关的衍生费用。（需要提供承诺函）</w:t>
      </w:r>
    </w:p>
    <w:p w14:paraId="54799B78">
      <w:pPr>
        <w:pStyle w:val="49"/>
        <w:spacing w:line="360" w:lineRule="auto"/>
        <w:ind w:firstLine="400"/>
        <w:rPr>
          <w:rFonts w:hint="eastAsia" w:ascii="宋体" w:hAnsi="宋体" w:cs="宋体"/>
          <w:sz w:val="20"/>
          <w:szCs w:val="20"/>
        </w:rPr>
      </w:pPr>
      <w:r>
        <w:rPr>
          <w:rFonts w:hint="eastAsia" w:ascii="宋体" w:hAnsi="宋体" w:cs="宋体"/>
          <w:sz w:val="20"/>
          <w:szCs w:val="20"/>
        </w:rPr>
        <w:t>3、投标人应知晓且明确“整体建设方案满足《GB∕T22239-2019信息安全技术网络安全等级保护基本要求》内第三级要求”，必须协助医院完成基于网络安全等级保护2.0标准的第三方机构测评，综合得分不低于80分；（需要提供承诺函）</w:t>
      </w:r>
    </w:p>
    <w:p w14:paraId="7548E09E">
      <w:pPr>
        <w:pStyle w:val="49"/>
        <w:spacing w:line="360" w:lineRule="auto"/>
        <w:ind w:firstLine="400"/>
        <w:rPr>
          <w:rFonts w:hint="eastAsia" w:ascii="宋体" w:hAnsi="宋体" w:cs="宋体"/>
          <w:sz w:val="20"/>
          <w:szCs w:val="20"/>
        </w:rPr>
      </w:pPr>
      <w:r>
        <w:rPr>
          <w:rFonts w:hint="eastAsia" w:ascii="宋体" w:hAnsi="宋体" w:cs="宋体"/>
          <w:sz w:val="20"/>
          <w:szCs w:val="20"/>
        </w:rPr>
        <w:t>4、按照“谁建设、运营，谁负责”、“谁管理、使用，谁负责”的原则落实网络安全工作责任，保障安全防护措施与信息化项目同步规划、同步建设、同步使用。投标人应明确对IPv6互联网业务安全管理平台的运维和安全管理责任。</w:t>
      </w:r>
    </w:p>
    <w:p w14:paraId="6CB6DEF3">
      <w:pPr>
        <w:pStyle w:val="49"/>
        <w:spacing w:line="360" w:lineRule="auto"/>
        <w:ind w:firstLine="400"/>
        <w:rPr>
          <w:rFonts w:hint="eastAsia" w:ascii="宋体" w:hAnsi="宋体" w:cs="宋体"/>
          <w:sz w:val="20"/>
          <w:szCs w:val="20"/>
        </w:rPr>
      </w:pPr>
      <w:r>
        <w:rPr>
          <w:rFonts w:hint="eastAsia" w:ascii="宋体" w:hAnsi="宋体" w:cs="宋体"/>
          <w:sz w:val="20"/>
          <w:szCs w:val="20"/>
        </w:rPr>
        <w:t>5、采购人在租赁过程中收集、产生、存储的数据和文档属于采购人、采购人有权对这些资源访问、利用支配，承建商须严格遵守采购人的相关信息安全规定，不得利用系统维护服务时的便利对采购人数据及其他信息擅自修改或透漏给第三方，未经采购人许可不得访问、修改、披露、转文具、销毁。</w:t>
      </w:r>
    </w:p>
    <w:p w14:paraId="41649597">
      <w:pPr>
        <w:pStyle w:val="49"/>
        <w:spacing w:line="360" w:lineRule="auto"/>
        <w:ind w:firstLine="400"/>
        <w:rPr>
          <w:rFonts w:hint="eastAsia" w:ascii="宋体" w:hAnsi="宋体" w:cs="宋体"/>
          <w:sz w:val="20"/>
          <w:szCs w:val="20"/>
        </w:rPr>
      </w:pPr>
      <w:r>
        <w:rPr>
          <w:rFonts w:hint="eastAsia" w:ascii="宋体" w:hAnsi="宋体" w:cs="宋体"/>
          <w:sz w:val="20"/>
          <w:szCs w:val="20"/>
        </w:rPr>
        <w:t>6、如采购人提前终止某项业务，应在</w:t>
      </w:r>
      <w:r>
        <w:rPr>
          <w:rFonts w:ascii="宋体" w:hAnsi="宋体" w:cs="宋体"/>
          <w:sz w:val="20"/>
          <w:szCs w:val="20"/>
        </w:rPr>
        <w:t>1</w:t>
      </w:r>
      <w:r>
        <w:rPr>
          <w:rFonts w:hint="eastAsia" w:ascii="宋体" w:hAnsi="宋体" w:cs="宋体"/>
          <w:sz w:val="20"/>
          <w:szCs w:val="20"/>
        </w:rPr>
        <w:t>个月内提前告知投标人，投标人应对停止的业务所涉数据进行安全迁移或可靠的销毁，对账号、地址、域名等及时注销或关闭。（需要提供承诺函）</w:t>
      </w:r>
    </w:p>
    <w:p w14:paraId="4B9BE627">
      <w:pPr>
        <w:pStyle w:val="49"/>
        <w:spacing w:line="360" w:lineRule="auto"/>
        <w:ind w:firstLine="400"/>
        <w:rPr>
          <w:rFonts w:hint="eastAsia" w:ascii="宋体" w:hAnsi="宋体" w:cs="宋体"/>
          <w:sz w:val="20"/>
          <w:szCs w:val="20"/>
        </w:rPr>
      </w:pPr>
      <w:r>
        <w:rPr>
          <w:rFonts w:hint="eastAsia" w:ascii="宋体" w:hAnsi="宋体" w:cs="宋体"/>
          <w:sz w:val="20"/>
          <w:szCs w:val="20"/>
        </w:rPr>
        <w:t>7、发生纠纷时仍能保证采购人数据安全。</w:t>
      </w:r>
    </w:p>
    <w:p w14:paraId="36D937D7">
      <w:pPr>
        <w:pStyle w:val="49"/>
        <w:numPr>
          <w:ilvl w:val="0"/>
          <w:numId w:val="9"/>
        </w:numPr>
        <w:spacing w:line="360" w:lineRule="auto"/>
        <w:ind w:firstLineChars="0"/>
        <w:rPr>
          <w:sz w:val="24"/>
        </w:rPr>
      </w:pPr>
      <w:r>
        <w:rPr>
          <w:rFonts w:hint="eastAsia" w:ascii="宋体" w:hAnsi="宋体"/>
          <w:b/>
          <w:bCs/>
          <w:sz w:val="24"/>
          <w:szCs w:val="24"/>
        </w:rPr>
        <w:t>服务考核</w:t>
      </w:r>
    </w:p>
    <w:p w14:paraId="46400C7F">
      <w:pPr>
        <w:spacing w:line="360" w:lineRule="auto"/>
        <w:ind w:firstLine="400" w:firstLineChars="200"/>
        <w:rPr>
          <w:rFonts w:hint="eastAsia" w:ascii="宋体" w:hAnsi="宋体" w:cs="宋体"/>
          <w:sz w:val="20"/>
          <w:szCs w:val="20"/>
        </w:rPr>
      </w:pPr>
      <w:r>
        <w:rPr>
          <w:rFonts w:hint="eastAsia" w:ascii="宋体" w:hAnsi="宋体" w:cs="宋体"/>
          <w:sz w:val="20"/>
          <w:szCs w:val="20"/>
        </w:rPr>
        <w:t>1、因服务不到位导致医院出现重大安全问题，导致业务中断（包括但不限于勒索病毒攻击等导致日常业务中断等），应第一时间采取救援措施（包括但不限于支付勒索赎金等），同时根据业务中断时间、影响后果等计赔付额，赔付金额最高可达合同总金额的5倍（需要提供承诺函）；业务虽未中断，但服务响应不及时，发生用户投诉，每次实质性投诉扣款人民币1</w:t>
      </w:r>
      <w:r>
        <w:rPr>
          <w:rFonts w:ascii="宋体" w:hAnsi="宋体" w:cs="宋体"/>
          <w:sz w:val="20"/>
          <w:szCs w:val="20"/>
        </w:rPr>
        <w:t>0</w:t>
      </w:r>
      <w:r>
        <w:rPr>
          <w:rFonts w:hint="eastAsia" w:ascii="宋体" w:hAnsi="宋体" w:cs="宋体"/>
          <w:sz w:val="20"/>
          <w:szCs w:val="20"/>
        </w:rPr>
        <w:t>00元（以院方函告为准），如连续每月三次或以上有责任投诉，采购人可单方面解除服务合同；（需要提供承诺函和应急方案）。</w:t>
      </w:r>
    </w:p>
    <w:p w14:paraId="222C325D">
      <w:pPr>
        <w:spacing w:line="360" w:lineRule="auto"/>
        <w:ind w:firstLine="400" w:firstLineChars="200"/>
        <w:rPr>
          <w:rFonts w:hint="eastAsia" w:ascii="宋体" w:hAnsi="宋体" w:cs="宋体"/>
          <w:sz w:val="20"/>
          <w:szCs w:val="20"/>
        </w:rPr>
      </w:pPr>
      <w:r>
        <w:rPr>
          <w:rFonts w:hint="eastAsia" w:ascii="宋体" w:hAnsi="宋体" w:cs="宋体"/>
          <w:sz w:val="20"/>
          <w:szCs w:val="20"/>
        </w:rPr>
        <w:t>2、投标人应定期组织对云业务、安全、等保、应急等开展业务培训，每年培训不低于2次、应急演练不低于1次，具体培训内容及应急演练内容由双方协定。每少一次扣1</w:t>
      </w:r>
      <w:r>
        <w:rPr>
          <w:rFonts w:ascii="宋体" w:hAnsi="宋体" w:cs="宋体"/>
          <w:sz w:val="20"/>
          <w:szCs w:val="20"/>
        </w:rPr>
        <w:t>000</w:t>
      </w:r>
      <w:r>
        <w:rPr>
          <w:rFonts w:hint="eastAsia" w:ascii="宋体" w:hAnsi="宋体" w:cs="宋体"/>
          <w:sz w:val="20"/>
          <w:szCs w:val="20"/>
        </w:rPr>
        <w:t>元。</w:t>
      </w:r>
    </w:p>
    <w:bookmarkEnd w:id="1"/>
    <w:bookmarkEnd w:id="2"/>
    <w:bookmarkEnd w:id="3"/>
    <w:bookmarkEnd w:id="4"/>
    <w:p w14:paraId="6C959E38">
      <w:pPr>
        <w:pStyle w:val="54"/>
        <w:pageBreakBefore w:val="0"/>
        <w:rPr>
          <w:rFonts w:hint="eastAsia"/>
        </w:rPr>
      </w:pPr>
      <w:r>
        <w:rPr>
          <w:rFonts w:hint="eastAsia"/>
        </w:rPr>
        <w:t>六、评分表（综合评分法）</w:t>
      </w:r>
    </w:p>
    <w:tbl>
      <w:tblPr>
        <w:tblStyle w:val="21"/>
        <w:tblW w:w="4999" w:type="pct"/>
        <w:tblInd w:w="0" w:type="dxa"/>
        <w:tblLayout w:type="autofit"/>
        <w:tblCellMar>
          <w:top w:w="0" w:type="dxa"/>
          <w:left w:w="108" w:type="dxa"/>
          <w:bottom w:w="0" w:type="dxa"/>
          <w:right w:w="108" w:type="dxa"/>
        </w:tblCellMar>
      </w:tblPr>
      <w:tblGrid>
        <w:gridCol w:w="1137"/>
        <w:gridCol w:w="6760"/>
        <w:gridCol w:w="821"/>
      </w:tblGrid>
      <w:tr w14:paraId="43390A09">
        <w:tblPrEx>
          <w:tblCellMar>
            <w:top w:w="0" w:type="dxa"/>
            <w:left w:w="108" w:type="dxa"/>
            <w:bottom w:w="0" w:type="dxa"/>
            <w:right w:w="108" w:type="dxa"/>
          </w:tblCellMar>
        </w:tblPrEx>
        <w:trPr>
          <w:trHeight w:val="288" w:hRule="atLeast"/>
        </w:trPr>
        <w:tc>
          <w:tcPr>
            <w:tcW w:w="652" w:type="pct"/>
            <w:tcBorders>
              <w:top w:val="single" w:color="000000" w:sz="4" w:space="0"/>
              <w:left w:val="single" w:color="000000" w:sz="4" w:space="0"/>
              <w:bottom w:val="single" w:color="000000" w:sz="4" w:space="0"/>
              <w:right w:val="single" w:color="000000" w:sz="4" w:space="0"/>
            </w:tcBorders>
            <w:noWrap/>
            <w:vAlign w:val="center"/>
          </w:tcPr>
          <w:p w14:paraId="0BE1F5AB">
            <w:pPr>
              <w:widowControl/>
              <w:jc w:val="center"/>
              <w:textAlignment w:val="center"/>
              <w:rPr>
                <w:rFonts w:hint="eastAsia" w:ascii="宋体" w:hAnsi="宋体" w:cs="宋体"/>
                <w:b/>
                <w:bCs/>
                <w:sz w:val="22"/>
              </w:rPr>
            </w:pPr>
            <w:r>
              <w:rPr>
                <w:rFonts w:hint="eastAsia" w:ascii="宋体" w:hAnsi="宋体" w:cs="宋体"/>
                <w:b/>
                <w:bCs/>
                <w:kern w:val="0"/>
                <w:sz w:val="22"/>
                <w:lang w:bidi="ar"/>
              </w:rPr>
              <w:t>评分项</w:t>
            </w:r>
          </w:p>
        </w:tc>
        <w:tc>
          <w:tcPr>
            <w:tcW w:w="3877" w:type="pct"/>
            <w:tcBorders>
              <w:top w:val="single" w:color="000000" w:sz="4" w:space="0"/>
              <w:left w:val="single" w:color="000000" w:sz="4" w:space="0"/>
              <w:bottom w:val="single" w:color="000000" w:sz="4" w:space="0"/>
              <w:right w:val="single" w:color="000000" w:sz="4" w:space="0"/>
            </w:tcBorders>
            <w:noWrap/>
            <w:vAlign w:val="center"/>
          </w:tcPr>
          <w:p w14:paraId="769A6261">
            <w:pPr>
              <w:widowControl/>
              <w:jc w:val="center"/>
              <w:textAlignment w:val="center"/>
              <w:rPr>
                <w:rFonts w:hint="eastAsia" w:ascii="宋体" w:hAnsi="宋体" w:cs="宋体"/>
                <w:b/>
                <w:bCs/>
                <w:sz w:val="22"/>
              </w:rPr>
            </w:pPr>
            <w:r>
              <w:rPr>
                <w:rFonts w:hint="eastAsia" w:ascii="宋体" w:hAnsi="宋体" w:cs="宋体"/>
                <w:b/>
                <w:bCs/>
                <w:kern w:val="0"/>
                <w:sz w:val="22"/>
                <w:lang w:bidi="ar"/>
              </w:rPr>
              <w:t>评分标准</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1BBD2B76">
            <w:pPr>
              <w:widowControl/>
              <w:jc w:val="center"/>
              <w:textAlignment w:val="center"/>
              <w:rPr>
                <w:rFonts w:hint="eastAsia" w:ascii="宋体" w:hAnsi="宋体" w:cs="宋体"/>
                <w:b/>
                <w:bCs/>
                <w:sz w:val="22"/>
              </w:rPr>
            </w:pPr>
            <w:r>
              <w:rPr>
                <w:rFonts w:hint="eastAsia" w:ascii="宋体" w:hAnsi="宋体" w:cs="宋体"/>
                <w:b/>
                <w:bCs/>
                <w:kern w:val="0"/>
                <w:sz w:val="22"/>
                <w:lang w:bidi="ar"/>
              </w:rPr>
              <w:t>分值</w:t>
            </w:r>
          </w:p>
        </w:tc>
      </w:tr>
      <w:tr w14:paraId="094D4638">
        <w:tblPrEx>
          <w:tblCellMar>
            <w:top w:w="0" w:type="dxa"/>
            <w:left w:w="108" w:type="dxa"/>
            <w:bottom w:w="0" w:type="dxa"/>
            <w:right w:w="108" w:type="dxa"/>
          </w:tblCellMar>
        </w:tblPrEx>
        <w:trPr>
          <w:trHeight w:val="2304" w:hRule="atLeast"/>
        </w:trPr>
        <w:tc>
          <w:tcPr>
            <w:tcW w:w="652" w:type="pct"/>
            <w:tcBorders>
              <w:top w:val="single" w:color="000000" w:sz="4" w:space="0"/>
              <w:left w:val="single" w:color="000000" w:sz="4" w:space="0"/>
              <w:bottom w:val="single" w:color="000000" w:sz="4" w:space="0"/>
              <w:right w:val="single" w:color="000000" w:sz="4" w:space="0"/>
            </w:tcBorders>
            <w:noWrap/>
            <w:vAlign w:val="center"/>
          </w:tcPr>
          <w:p w14:paraId="7E42CFA3">
            <w:pPr>
              <w:widowControl/>
              <w:jc w:val="center"/>
              <w:textAlignment w:val="center"/>
              <w:rPr>
                <w:rFonts w:hint="eastAsia" w:ascii="宋体" w:hAnsi="宋体" w:cs="宋体"/>
                <w:sz w:val="22"/>
              </w:rPr>
            </w:pPr>
            <w:r>
              <w:rPr>
                <w:rFonts w:hint="eastAsia" w:ascii="宋体" w:hAnsi="宋体" w:cs="宋体"/>
                <w:kern w:val="0"/>
                <w:sz w:val="22"/>
                <w:lang w:bidi="ar"/>
              </w:rPr>
              <w:t>价格</w:t>
            </w:r>
          </w:p>
        </w:tc>
        <w:tc>
          <w:tcPr>
            <w:tcW w:w="3877" w:type="pct"/>
            <w:tcBorders>
              <w:top w:val="single" w:color="000000" w:sz="4" w:space="0"/>
              <w:left w:val="single" w:color="000000" w:sz="4" w:space="0"/>
              <w:bottom w:val="single" w:color="000000" w:sz="4" w:space="0"/>
              <w:right w:val="single" w:color="000000" w:sz="4" w:space="0"/>
            </w:tcBorders>
            <w:vAlign w:val="center"/>
          </w:tcPr>
          <w:p w14:paraId="2A9ED5C1">
            <w:pPr>
              <w:widowControl/>
              <w:jc w:val="left"/>
              <w:textAlignment w:val="center"/>
              <w:rPr>
                <w:rFonts w:hint="eastAsia" w:ascii="宋体" w:hAnsi="宋体" w:cs="宋体"/>
                <w:kern w:val="0"/>
                <w:sz w:val="22"/>
                <w:lang w:bidi="ar"/>
              </w:rPr>
            </w:pPr>
            <w:r>
              <w:rPr>
                <w:rFonts w:hint="eastAsia" w:ascii="宋体" w:hAnsi="宋体" w:cs="宋体"/>
                <w:kern w:val="0"/>
                <w:sz w:val="22"/>
                <w:lang w:bidi="ar"/>
              </w:rPr>
              <w:t>投标单位价格分采用低价优先法计算，即满足招标文件要求且投标价格最低的投标报价为评标基准价，其价格分为满分。其他投标单位的价格分统一按照下列公式计算：</w:t>
            </w:r>
          </w:p>
          <w:p w14:paraId="0C6A1CA2">
            <w:pPr>
              <w:widowControl/>
              <w:jc w:val="left"/>
              <w:textAlignment w:val="center"/>
              <w:rPr>
                <w:rFonts w:hint="eastAsia" w:ascii="宋体" w:hAnsi="宋体" w:cs="宋体"/>
                <w:kern w:val="0"/>
                <w:sz w:val="22"/>
                <w:lang w:bidi="ar"/>
              </w:rPr>
            </w:pPr>
            <w:r>
              <w:rPr>
                <w:rFonts w:hint="eastAsia" w:ascii="宋体" w:hAnsi="宋体" w:cs="宋体"/>
                <w:kern w:val="0"/>
                <w:sz w:val="22"/>
                <w:lang w:bidi="ar"/>
              </w:rPr>
              <w:t>投标报价得分=（评标基准价/投标报价）×10（四舍五入小数点后保留两位数字）</w:t>
            </w:r>
          </w:p>
          <w:p w14:paraId="64248E48">
            <w:pPr>
              <w:widowControl/>
              <w:jc w:val="left"/>
              <w:textAlignment w:val="center"/>
              <w:rPr>
                <w:rFonts w:hint="eastAsia" w:ascii="宋体" w:hAnsi="宋体" w:cs="宋体"/>
                <w:sz w:val="22"/>
              </w:rPr>
            </w:pPr>
            <w:r>
              <w:rPr>
                <w:rFonts w:hint="eastAsia" w:ascii="宋体" w:hAnsi="宋体" w:cs="宋体"/>
                <w:kern w:val="0"/>
                <w:sz w:val="22"/>
                <w:lang w:bidi="ar"/>
              </w:rPr>
              <w:t>评标委员会认为投标人的报价明显低于其他通过符合性审查投标人的报价，有可能影响产品质量或者不能诚信履约的，评标委员会有权要求其在评标现场合理的时间内提供书面说明，必要时提交相关证明材料；投标人如不能证明其报价合理性的，评标委员会应当将其作为无效投标处理。</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697359EA">
            <w:pPr>
              <w:widowControl/>
              <w:jc w:val="center"/>
              <w:textAlignment w:val="center"/>
              <w:rPr>
                <w:rFonts w:hint="eastAsia" w:ascii="宋体" w:hAnsi="宋体" w:cs="宋体"/>
                <w:sz w:val="22"/>
              </w:rPr>
            </w:pPr>
            <w:r>
              <w:rPr>
                <w:rFonts w:hint="eastAsia" w:ascii="宋体" w:hAnsi="宋体" w:cs="宋体"/>
                <w:kern w:val="0"/>
                <w:sz w:val="22"/>
                <w:lang w:bidi="ar"/>
              </w:rPr>
              <w:t>10</w:t>
            </w:r>
          </w:p>
        </w:tc>
      </w:tr>
      <w:tr w14:paraId="4022FFF7">
        <w:tblPrEx>
          <w:tblCellMar>
            <w:top w:w="0" w:type="dxa"/>
            <w:left w:w="108" w:type="dxa"/>
            <w:bottom w:w="0" w:type="dxa"/>
            <w:right w:w="108" w:type="dxa"/>
          </w:tblCellMar>
        </w:tblPrEx>
        <w:trPr>
          <w:trHeight w:val="1152" w:hRule="atLeast"/>
        </w:trPr>
        <w:tc>
          <w:tcPr>
            <w:tcW w:w="652" w:type="pct"/>
            <w:tcBorders>
              <w:top w:val="single" w:color="000000" w:sz="4" w:space="0"/>
              <w:left w:val="single" w:color="000000" w:sz="4" w:space="0"/>
              <w:bottom w:val="single" w:color="000000" w:sz="4" w:space="0"/>
              <w:right w:val="single" w:color="000000" w:sz="4" w:space="0"/>
            </w:tcBorders>
            <w:noWrap/>
            <w:vAlign w:val="center"/>
          </w:tcPr>
          <w:p w14:paraId="748B8E82">
            <w:pPr>
              <w:widowControl/>
              <w:jc w:val="center"/>
              <w:textAlignment w:val="center"/>
              <w:rPr>
                <w:rFonts w:hint="eastAsia" w:ascii="宋体" w:hAnsi="宋体" w:cs="宋体"/>
                <w:sz w:val="22"/>
              </w:rPr>
            </w:pPr>
            <w:r>
              <w:rPr>
                <w:rFonts w:hint="eastAsia" w:ascii="宋体" w:hAnsi="宋体" w:cs="宋体"/>
                <w:sz w:val="22"/>
              </w:rPr>
              <w:t>参数响应</w:t>
            </w:r>
          </w:p>
        </w:tc>
        <w:tc>
          <w:tcPr>
            <w:tcW w:w="3877" w:type="pct"/>
            <w:tcBorders>
              <w:top w:val="single" w:color="000000" w:sz="4" w:space="0"/>
              <w:left w:val="single" w:color="000000" w:sz="4" w:space="0"/>
              <w:bottom w:val="single" w:color="000000" w:sz="4" w:space="0"/>
              <w:right w:val="single" w:color="000000" w:sz="4" w:space="0"/>
            </w:tcBorders>
            <w:vAlign w:val="center"/>
          </w:tcPr>
          <w:p w14:paraId="28E70BF6">
            <w:pPr>
              <w:widowControl/>
              <w:jc w:val="left"/>
              <w:textAlignment w:val="center"/>
              <w:rPr>
                <w:rFonts w:hint="eastAsia" w:ascii="宋体" w:hAnsi="宋体" w:cs="宋体"/>
                <w:sz w:val="22"/>
              </w:rPr>
            </w:pPr>
            <w:r>
              <w:rPr>
                <w:rFonts w:hint="eastAsia" w:ascii="宋体" w:hAnsi="宋体" w:cs="宋体"/>
                <w:kern w:val="0"/>
                <w:sz w:val="22"/>
                <w:lang w:bidi="ar"/>
              </w:rPr>
              <w:t>根据采购文件提供的技术参数逐条对比，完全满足采购文件要求得30分；其中打“▲”号为重要指标参数、软件功能及其他要求逐条对比，有一条负偏离每项扣2分，扣完为止；非打 “▲”号指标参数、软件功能及其他要求逐条对比，有一条负偏离每项扣1分，扣完为止。</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42C2A439">
            <w:pPr>
              <w:widowControl/>
              <w:jc w:val="center"/>
              <w:textAlignment w:val="center"/>
              <w:rPr>
                <w:rFonts w:hint="eastAsia" w:ascii="宋体" w:hAnsi="宋体" w:cs="宋体"/>
                <w:sz w:val="22"/>
              </w:rPr>
            </w:pPr>
            <w:r>
              <w:rPr>
                <w:rFonts w:hint="eastAsia" w:ascii="宋体" w:hAnsi="宋体" w:cs="宋体"/>
                <w:kern w:val="0"/>
                <w:sz w:val="22"/>
                <w:lang w:bidi="ar"/>
              </w:rPr>
              <w:t>30</w:t>
            </w:r>
          </w:p>
        </w:tc>
      </w:tr>
      <w:tr w14:paraId="1694D687">
        <w:tblPrEx>
          <w:tblCellMar>
            <w:top w:w="0" w:type="dxa"/>
            <w:left w:w="108" w:type="dxa"/>
            <w:bottom w:w="0" w:type="dxa"/>
            <w:right w:w="108" w:type="dxa"/>
          </w:tblCellMar>
        </w:tblPrEx>
        <w:trPr>
          <w:trHeight w:val="2016" w:hRule="atLeast"/>
        </w:trPr>
        <w:tc>
          <w:tcPr>
            <w:tcW w:w="652" w:type="pct"/>
            <w:vMerge w:val="restart"/>
            <w:tcBorders>
              <w:top w:val="single" w:color="000000" w:sz="4" w:space="0"/>
              <w:left w:val="single" w:color="000000" w:sz="4" w:space="0"/>
              <w:bottom w:val="single" w:color="000000" w:sz="4" w:space="0"/>
              <w:right w:val="single" w:color="000000" w:sz="4" w:space="0"/>
            </w:tcBorders>
            <w:noWrap/>
            <w:vAlign w:val="center"/>
          </w:tcPr>
          <w:p w14:paraId="19C277BB">
            <w:pPr>
              <w:widowControl/>
              <w:jc w:val="center"/>
              <w:textAlignment w:val="center"/>
              <w:rPr>
                <w:rFonts w:hint="eastAsia" w:ascii="宋体" w:hAnsi="宋体" w:cs="宋体"/>
                <w:sz w:val="22"/>
              </w:rPr>
            </w:pPr>
            <w:r>
              <w:rPr>
                <w:rFonts w:hint="eastAsia" w:ascii="宋体" w:hAnsi="宋体" w:cs="宋体"/>
                <w:kern w:val="0"/>
                <w:sz w:val="22"/>
                <w:lang w:bidi="ar"/>
              </w:rPr>
              <w:t>技术方案</w:t>
            </w:r>
          </w:p>
        </w:tc>
        <w:tc>
          <w:tcPr>
            <w:tcW w:w="3877" w:type="pct"/>
            <w:tcBorders>
              <w:top w:val="single" w:color="000000" w:sz="4" w:space="0"/>
              <w:left w:val="single" w:color="000000" w:sz="4" w:space="0"/>
              <w:bottom w:val="single" w:color="000000" w:sz="4" w:space="0"/>
              <w:right w:val="single" w:color="000000" w:sz="4" w:space="0"/>
            </w:tcBorders>
            <w:vAlign w:val="center"/>
          </w:tcPr>
          <w:p w14:paraId="019212B9">
            <w:pPr>
              <w:widowControl/>
              <w:jc w:val="left"/>
              <w:textAlignment w:val="center"/>
              <w:rPr>
                <w:rFonts w:hint="eastAsia" w:ascii="宋体" w:hAnsi="宋体" w:cs="宋体"/>
                <w:kern w:val="0"/>
                <w:sz w:val="22"/>
                <w:lang w:bidi="ar"/>
              </w:rPr>
            </w:pPr>
            <w:r>
              <w:rPr>
                <w:rFonts w:hint="eastAsia" w:ascii="宋体" w:hAnsi="宋体" w:cs="宋体"/>
                <w:kern w:val="0"/>
                <w:sz w:val="22"/>
                <w:lang w:bidi="ar"/>
              </w:rPr>
              <w:t>1、整体建设方案（8分）</w:t>
            </w:r>
          </w:p>
          <w:p w14:paraId="02FDFD3E">
            <w:pPr>
              <w:widowControl/>
              <w:jc w:val="left"/>
              <w:textAlignment w:val="center"/>
              <w:rPr>
                <w:rFonts w:hint="eastAsia" w:ascii="宋体" w:hAnsi="宋体" w:cs="宋体"/>
                <w:kern w:val="0"/>
                <w:sz w:val="22"/>
                <w:lang w:bidi="ar"/>
              </w:rPr>
            </w:pPr>
            <w:r>
              <w:rPr>
                <w:rFonts w:hint="eastAsia" w:ascii="宋体" w:hAnsi="宋体" w:cs="宋体"/>
                <w:kern w:val="0"/>
                <w:sz w:val="22"/>
                <w:lang w:bidi="ar"/>
              </w:rPr>
              <w:t>投标人需充分理解采购人对本项目的整体要求，提供项目整体建设方案，包括系统架构、技术路线、安全保障等内容。</w:t>
            </w:r>
          </w:p>
          <w:p w14:paraId="09AF17D9">
            <w:pPr>
              <w:widowControl/>
              <w:jc w:val="left"/>
              <w:textAlignment w:val="center"/>
              <w:rPr>
                <w:rFonts w:hint="eastAsia" w:ascii="宋体" w:hAnsi="宋体" w:cs="宋体"/>
                <w:kern w:val="0"/>
                <w:sz w:val="22"/>
                <w:lang w:bidi="ar"/>
              </w:rPr>
            </w:pPr>
            <w:r>
              <w:rPr>
                <w:rFonts w:hint="eastAsia" w:ascii="宋体" w:hAnsi="宋体" w:cs="宋体"/>
                <w:kern w:val="0"/>
                <w:sz w:val="22"/>
                <w:lang w:bidi="ar"/>
              </w:rPr>
              <w:t>（1）方案科学、合理，扩展性强，得8分。</w:t>
            </w:r>
          </w:p>
          <w:p w14:paraId="18608FEE">
            <w:pPr>
              <w:widowControl/>
              <w:jc w:val="left"/>
              <w:textAlignment w:val="center"/>
              <w:rPr>
                <w:rFonts w:hint="eastAsia" w:ascii="宋体" w:hAnsi="宋体" w:cs="宋体"/>
                <w:kern w:val="0"/>
                <w:sz w:val="22"/>
                <w:lang w:bidi="ar"/>
              </w:rPr>
            </w:pPr>
            <w:r>
              <w:rPr>
                <w:rFonts w:hint="eastAsia" w:ascii="宋体" w:hAnsi="宋体" w:cs="宋体"/>
                <w:kern w:val="0"/>
                <w:sz w:val="22"/>
                <w:lang w:bidi="ar"/>
              </w:rPr>
              <w:t>（2）方案较科学、合理，具备一定的扩展性，得4分；</w:t>
            </w:r>
          </w:p>
          <w:p w14:paraId="028CDF6D">
            <w:pPr>
              <w:widowControl/>
              <w:jc w:val="left"/>
              <w:textAlignment w:val="center"/>
              <w:rPr>
                <w:rFonts w:hint="eastAsia" w:ascii="宋体" w:hAnsi="宋体" w:cs="宋体"/>
                <w:kern w:val="0"/>
                <w:sz w:val="22"/>
                <w:lang w:bidi="ar"/>
              </w:rPr>
            </w:pPr>
            <w:r>
              <w:rPr>
                <w:rFonts w:hint="eastAsia" w:ascii="宋体" w:hAnsi="宋体" w:cs="宋体"/>
                <w:kern w:val="0"/>
                <w:sz w:val="22"/>
                <w:lang w:bidi="ar"/>
              </w:rPr>
              <w:t>（3）方案基本合理，不可扩展，得2分；</w:t>
            </w:r>
          </w:p>
          <w:p w14:paraId="547801F8">
            <w:pPr>
              <w:widowControl/>
              <w:jc w:val="left"/>
              <w:textAlignment w:val="center"/>
              <w:rPr>
                <w:rFonts w:hint="eastAsia" w:ascii="宋体" w:hAnsi="宋体" w:cs="宋体"/>
                <w:sz w:val="22"/>
              </w:rPr>
            </w:pPr>
            <w:r>
              <w:rPr>
                <w:rFonts w:hint="eastAsia" w:ascii="宋体" w:hAnsi="宋体" w:cs="宋体"/>
                <w:kern w:val="0"/>
                <w:sz w:val="22"/>
                <w:lang w:bidi="ar"/>
              </w:rPr>
              <w:t>（4）不提供不得分。</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1AF07A69">
            <w:pPr>
              <w:widowControl/>
              <w:jc w:val="center"/>
              <w:textAlignment w:val="center"/>
              <w:rPr>
                <w:rFonts w:hint="eastAsia" w:ascii="宋体" w:hAnsi="宋体" w:cs="宋体"/>
                <w:sz w:val="22"/>
              </w:rPr>
            </w:pPr>
            <w:r>
              <w:rPr>
                <w:rFonts w:hint="eastAsia" w:ascii="宋体" w:hAnsi="宋体" w:cs="宋体"/>
                <w:kern w:val="0"/>
                <w:sz w:val="22"/>
                <w:lang w:bidi="ar"/>
              </w:rPr>
              <w:t>8</w:t>
            </w:r>
          </w:p>
        </w:tc>
      </w:tr>
      <w:tr w14:paraId="0E581276">
        <w:tblPrEx>
          <w:tblCellMar>
            <w:top w:w="0" w:type="dxa"/>
            <w:left w:w="108" w:type="dxa"/>
            <w:bottom w:w="0" w:type="dxa"/>
            <w:right w:w="108" w:type="dxa"/>
          </w:tblCellMar>
        </w:tblPrEx>
        <w:trPr>
          <w:trHeight w:val="2304" w:hRule="atLeast"/>
        </w:trPr>
        <w:tc>
          <w:tcPr>
            <w:tcW w:w="652" w:type="pct"/>
            <w:vMerge w:val="continue"/>
            <w:tcBorders>
              <w:top w:val="single" w:color="000000" w:sz="4" w:space="0"/>
              <w:left w:val="single" w:color="000000" w:sz="4" w:space="0"/>
              <w:bottom w:val="single" w:color="000000" w:sz="4" w:space="0"/>
              <w:right w:val="single" w:color="000000" w:sz="4" w:space="0"/>
            </w:tcBorders>
            <w:noWrap/>
            <w:vAlign w:val="center"/>
          </w:tcPr>
          <w:p w14:paraId="66F6BE59">
            <w:pPr>
              <w:jc w:val="center"/>
              <w:rPr>
                <w:rFonts w:hint="eastAsia" w:ascii="宋体" w:hAnsi="宋体" w:cs="宋体"/>
                <w:sz w:val="22"/>
              </w:rPr>
            </w:pPr>
          </w:p>
        </w:tc>
        <w:tc>
          <w:tcPr>
            <w:tcW w:w="3877" w:type="pct"/>
            <w:tcBorders>
              <w:top w:val="single" w:color="000000" w:sz="4" w:space="0"/>
              <w:left w:val="single" w:color="000000" w:sz="4" w:space="0"/>
              <w:bottom w:val="single" w:color="000000" w:sz="4" w:space="0"/>
              <w:right w:val="single" w:color="000000" w:sz="4" w:space="0"/>
            </w:tcBorders>
            <w:vAlign w:val="center"/>
          </w:tcPr>
          <w:p w14:paraId="2F76F75D">
            <w:pPr>
              <w:widowControl/>
              <w:jc w:val="left"/>
              <w:textAlignment w:val="center"/>
              <w:rPr>
                <w:rFonts w:hint="eastAsia" w:ascii="宋体" w:hAnsi="宋体" w:cs="宋体"/>
                <w:kern w:val="0"/>
                <w:sz w:val="22"/>
                <w:lang w:bidi="ar"/>
              </w:rPr>
            </w:pPr>
            <w:r>
              <w:rPr>
                <w:rFonts w:hint="eastAsia" w:ascii="宋体" w:hAnsi="宋体" w:cs="宋体"/>
                <w:kern w:val="0"/>
                <w:sz w:val="22"/>
                <w:lang w:bidi="ar"/>
              </w:rPr>
              <w:t>2、实施及培训方案（6分）</w:t>
            </w:r>
          </w:p>
          <w:p w14:paraId="500DEBBF">
            <w:pPr>
              <w:widowControl/>
              <w:jc w:val="left"/>
              <w:textAlignment w:val="center"/>
              <w:rPr>
                <w:rFonts w:hint="eastAsia" w:ascii="宋体" w:hAnsi="宋体" w:cs="宋体"/>
                <w:kern w:val="0"/>
                <w:sz w:val="22"/>
                <w:lang w:bidi="ar"/>
              </w:rPr>
            </w:pPr>
            <w:r>
              <w:rPr>
                <w:rFonts w:hint="eastAsia" w:ascii="宋体" w:hAnsi="宋体" w:cs="宋体"/>
                <w:kern w:val="0"/>
                <w:sz w:val="22"/>
                <w:lang w:bidi="ar"/>
              </w:rPr>
              <w:t>投标人需提供针对本项目的实施及培训方案，包括单不限于包括但不限于项目人员计划、项目组织计划、项目集成计划、项目文档计划、培训目标、培训计划、培训人员等内容。（6分）</w:t>
            </w:r>
          </w:p>
          <w:p w14:paraId="473FD08D">
            <w:pPr>
              <w:widowControl/>
              <w:jc w:val="left"/>
              <w:textAlignment w:val="center"/>
              <w:rPr>
                <w:rFonts w:hint="eastAsia" w:ascii="宋体" w:hAnsi="宋体" w:cs="宋体"/>
                <w:kern w:val="0"/>
                <w:sz w:val="22"/>
                <w:lang w:bidi="ar"/>
              </w:rPr>
            </w:pPr>
            <w:r>
              <w:rPr>
                <w:rFonts w:hint="eastAsia" w:ascii="宋体" w:hAnsi="宋体" w:cs="宋体"/>
                <w:kern w:val="0"/>
                <w:sz w:val="22"/>
                <w:lang w:bidi="ar"/>
              </w:rPr>
              <w:t>（1）方案科学、合理，可操作性强，得6分；</w:t>
            </w:r>
          </w:p>
          <w:p w14:paraId="11857417">
            <w:pPr>
              <w:widowControl/>
              <w:jc w:val="left"/>
              <w:textAlignment w:val="center"/>
              <w:rPr>
                <w:rFonts w:hint="eastAsia" w:ascii="宋体" w:hAnsi="宋体" w:cs="宋体"/>
                <w:kern w:val="0"/>
                <w:sz w:val="22"/>
                <w:lang w:bidi="ar"/>
              </w:rPr>
            </w:pPr>
            <w:r>
              <w:rPr>
                <w:rFonts w:hint="eastAsia" w:ascii="宋体" w:hAnsi="宋体" w:cs="宋体"/>
                <w:kern w:val="0"/>
                <w:sz w:val="22"/>
                <w:lang w:bidi="ar"/>
              </w:rPr>
              <w:t>（2）方案较科学、合理，具有一定的可操作性，得3分；</w:t>
            </w:r>
          </w:p>
          <w:p w14:paraId="1A396ECB">
            <w:pPr>
              <w:widowControl/>
              <w:jc w:val="left"/>
              <w:textAlignment w:val="center"/>
              <w:rPr>
                <w:rFonts w:hint="eastAsia" w:ascii="宋体" w:hAnsi="宋体" w:cs="宋体"/>
                <w:kern w:val="0"/>
                <w:sz w:val="22"/>
                <w:lang w:bidi="ar"/>
              </w:rPr>
            </w:pPr>
            <w:r>
              <w:rPr>
                <w:rFonts w:hint="eastAsia" w:ascii="宋体" w:hAnsi="宋体" w:cs="宋体"/>
                <w:kern w:val="0"/>
                <w:sz w:val="22"/>
                <w:lang w:bidi="ar"/>
              </w:rPr>
              <w:t>（3）方案基本合理，基本可操作，得1分；</w:t>
            </w:r>
          </w:p>
          <w:p w14:paraId="22F15D36">
            <w:pPr>
              <w:widowControl/>
              <w:jc w:val="left"/>
              <w:textAlignment w:val="center"/>
              <w:rPr>
                <w:rFonts w:hint="eastAsia" w:ascii="宋体" w:hAnsi="宋体" w:cs="宋体"/>
                <w:sz w:val="22"/>
              </w:rPr>
            </w:pPr>
            <w:r>
              <w:rPr>
                <w:rFonts w:hint="eastAsia" w:ascii="宋体" w:hAnsi="宋体" w:cs="宋体"/>
                <w:kern w:val="0"/>
                <w:sz w:val="22"/>
                <w:lang w:bidi="ar"/>
              </w:rPr>
              <w:t>（4）不提供不得分。</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2091A448">
            <w:pPr>
              <w:widowControl/>
              <w:jc w:val="center"/>
              <w:textAlignment w:val="center"/>
              <w:rPr>
                <w:rFonts w:hint="eastAsia" w:ascii="宋体" w:hAnsi="宋体" w:cs="宋体"/>
                <w:sz w:val="22"/>
              </w:rPr>
            </w:pPr>
            <w:r>
              <w:rPr>
                <w:rFonts w:hint="eastAsia" w:ascii="宋体" w:hAnsi="宋体" w:cs="宋体"/>
                <w:kern w:val="0"/>
                <w:sz w:val="22"/>
                <w:lang w:bidi="ar"/>
              </w:rPr>
              <w:t>6</w:t>
            </w:r>
          </w:p>
        </w:tc>
      </w:tr>
      <w:tr w14:paraId="437C2304">
        <w:tblPrEx>
          <w:tblCellMar>
            <w:top w:w="0" w:type="dxa"/>
            <w:left w:w="108" w:type="dxa"/>
            <w:bottom w:w="0" w:type="dxa"/>
            <w:right w:w="108" w:type="dxa"/>
          </w:tblCellMar>
        </w:tblPrEx>
        <w:trPr>
          <w:trHeight w:val="2016" w:hRule="atLeast"/>
        </w:trPr>
        <w:tc>
          <w:tcPr>
            <w:tcW w:w="652" w:type="pct"/>
            <w:vMerge w:val="continue"/>
            <w:tcBorders>
              <w:top w:val="single" w:color="000000" w:sz="4" w:space="0"/>
              <w:left w:val="single" w:color="000000" w:sz="4" w:space="0"/>
              <w:bottom w:val="single" w:color="000000" w:sz="4" w:space="0"/>
              <w:right w:val="single" w:color="000000" w:sz="4" w:space="0"/>
            </w:tcBorders>
            <w:noWrap/>
            <w:vAlign w:val="center"/>
          </w:tcPr>
          <w:p w14:paraId="63C8E419">
            <w:pPr>
              <w:jc w:val="center"/>
              <w:rPr>
                <w:rFonts w:hint="eastAsia" w:ascii="宋体" w:hAnsi="宋体" w:cs="宋体"/>
                <w:sz w:val="22"/>
              </w:rPr>
            </w:pPr>
          </w:p>
        </w:tc>
        <w:tc>
          <w:tcPr>
            <w:tcW w:w="3877" w:type="pct"/>
            <w:tcBorders>
              <w:top w:val="single" w:color="000000" w:sz="4" w:space="0"/>
              <w:left w:val="single" w:color="000000" w:sz="4" w:space="0"/>
              <w:bottom w:val="single" w:color="000000" w:sz="4" w:space="0"/>
              <w:right w:val="single" w:color="000000" w:sz="4" w:space="0"/>
            </w:tcBorders>
            <w:vAlign w:val="center"/>
          </w:tcPr>
          <w:p w14:paraId="210AB1F4">
            <w:pPr>
              <w:widowControl/>
              <w:jc w:val="left"/>
              <w:textAlignment w:val="center"/>
              <w:rPr>
                <w:rFonts w:hint="eastAsia" w:ascii="宋体" w:hAnsi="宋体" w:cs="宋体"/>
                <w:kern w:val="0"/>
                <w:sz w:val="22"/>
                <w:lang w:bidi="ar"/>
              </w:rPr>
            </w:pPr>
            <w:r>
              <w:rPr>
                <w:rFonts w:hint="eastAsia" w:ascii="宋体" w:hAnsi="宋体" w:cs="宋体"/>
                <w:kern w:val="0"/>
                <w:sz w:val="22"/>
                <w:lang w:bidi="ar"/>
              </w:rPr>
              <w:t>3、运维服务方案（8分）</w:t>
            </w:r>
          </w:p>
          <w:p w14:paraId="61D7F1FC">
            <w:pPr>
              <w:widowControl/>
              <w:jc w:val="left"/>
              <w:textAlignment w:val="center"/>
              <w:rPr>
                <w:rFonts w:hint="eastAsia" w:ascii="宋体" w:hAnsi="宋体" w:cs="宋体"/>
                <w:kern w:val="0"/>
                <w:sz w:val="22"/>
                <w:lang w:bidi="ar"/>
              </w:rPr>
            </w:pPr>
            <w:r>
              <w:rPr>
                <w:rFonts w:hint="eastAsia" w:ascii="宋体" w:hAnsi="宋体" w:cs="宋体"/>
                <w:kern w:val="0"/>
                <w:sz w:val="22"/>
                <w:lang w:bidi="ar"/>
              </w:rPr>
              <w:t>投标人需提供运维服务方案，要点清晰合理、针对性强（包括运维计划、信息上报、管理制度、日常维护、定期巡检和故障维修等具体方案）</w:t>
            </w:r>
          </w:p>
          <w:p w14:paraId="36E79B4F">
            <w:pPr>
              <w:widowControl/>
              <w:jc w:val="left"/>
              <w:textAlignment w:val="center"/>
              <w:rPr>
                <w:rFonts w:hint="eastAsia" w:ascii="宋体" w:hAnsi="宋体" w:cs="宋体"/>
                <w:kern w:val="0"/>
                <w:sz w:val="22"/>
                <w:lang w:bidi="ar"/>
              </w:rPr>
            </w:pPr>
            <w:r>
              <w:rPr>
                <w:rFonts w:hint="eastAsia" w:ascii="宋体" w:hAnsi="宋体" w:cs="宋体"/>
                <w:kern w:val="0"/>
                <w:sz w:val="22"/>
                <w:lang w:bidi="ar"/>
              </w:rPr>
              <w:t>（1）方案科学、合理、针对性强、详实具体，得8分</w:t>
            </w:r>
          </w:p>
          <w:p w14:paraId="7A6063B0">
            <w:pPr>
              <w:widowControl/>
              <w:jc w:val="left"/>
              <w:textAlignment w:val="center"/>
              <w:rPr>
                <w:rFonts w:hint="eastAsia" w:ascii="宋体" w:hAnsi="宋体" w:cs="宋体"/>
                <w:kern w:val="0"/>
                <w:sz w:val="22"/>
                <w:lang w:bidi="ar"/>
              </w:rPr>
            </w:pPr>
            <w:r>
              <w:rPr>
                <w:rFonts w:hint="eastAsia" w:ascii="宋体" w:hAnsi="宋体" w:cs="宋体"/>
                <w:kern w:val="0"/>
                <w:sz w:val="22"/>
                <w:lang w:bidi="ar"/>
              </w:rPr>
              <w:t>（2）方案较科学、合理，具有一定的可操作性，得4分；</w:t>
            </w:r>
          </w:p>
          <w:p w14:paraId="0A438E2F">
            <w:pPr>
              <w:widowControl/>
              <w:jc w:val="left"/>
              <w:textAlignment w:val="center"/>
              <w:rPr>
                <w:rFonts w:hint="eastAsia" w:ascii="宋体" w:hAnsi="宋体" w:cs="宋体"/>
                <w:kern w:val="0"/>
                <w:sz w:val="22"/>
                <w:lang w:bidi="ar"/>
              </w:rPr>
            </w:pPr>
            <w:r>
              <w:rPr>
                <w:rFonts w:hint="eastAsia" w:ascii="宋体" w:hAnsi="宋体" w:cs="宋体"/>
                <w:kern w:val="0"/>
                <w:sz w:val="22"/>
                <w:lang w:bidi="ar"/>
              </w:rPr>
              <w:t>（3）方案基本合理，基本可操作，得2分；</w:t>
            </w:r>
          </w:p>
          <w:p w14:paraId="2CE38BDE">
            <w:pPr>
              <w:widowControl/>
              <w:jc w:val="left"/>
              <w:textAlignment w:val="center"/>
              <w:rPr>
                <w:rFonts w:hint="eastAsia" w:ascii="宋体" w:hAnsi="宋体" w:cs="宋体"/>
                <w:sz w:val="22"/>
              </w:rPr>
            </w:pPr>
            <w:r>
              <w:rPr>
                <w:rFonts w:hint="eastAsia" w:ascii="宋体" w:hAnsi="宋体" w:cs="宋体"/>
                <w:kern w:val="0"/>
                <w:sz w:val="22"/>
                <w:lang w:bidi="ar"/>
              </w:rPr>
              <w:t>（4）不提供不得分。</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307995FF">
            <w:pPr>
              <w:widowControl/>
              <w:jc w:val="center"/>
              <w:textAlignment w:val="center"/>
              <w:rPr>
                <w:rFonts w:hint="eastAsia" w:ascii="宋体" w:hAnsi="宋体" w:cs="宋体"/>
                <w:sz w:val="22"/>
              </w:rPr>
            </w:pPr>
            <w:r>
              <w:rPr>
                <w:rFonts w:hint="eastAsia" w:ascii="宋体" w:hAnsi="宋体" w:cs="宋体"/>
                <w:kern w:val="0"/>
                <w:sz w:val="22"/>
                <w:lang w:bidi="ar"/>
              </w:rPr>
              <w:t>8</w:t>
            </w:r>
          </w:p>
        </w:tc>
      </w:tr>
      <w:tr w14:paraId="0D9E6B16">
        <w:tblPrEx>
          <w:tblCellMar>
            <w:top w:w="0" w:type="dxa"/>
            <w:left w:w="108" w:type="dxa"/>
            <w:bottom w:w="0" w:type="dxa"/>
            <w:right w:w="108" w:type="dxa"/>
          </w:tblCellMar>
        </w:tblPrEx>
        <w:trPr>
          <w:trHeight w:val="2880" w:hRule="atLeast"/>
        </w:trPr>
        <w:tc>
          <w:tcPr>
            <w:tcW w:w="652" w:type="pct"/>
            <w:vMerge w:val="continue"/>
            <w:tcBorders>
              <w:top w:val="single" w:color="000000" w:sz="4" w:space="0"/>
              <w:left w:val="single" w:color="000000" w:sz="4" w:space="0"/>
              <w:bottom w:val="single" w:color="000000" w:sz="4" w:space="0"/>
              <w:right w:val="single" w:color="000000" w:sz="4" w:space="0"/>
            </w:tcBorders>
            <w:noWrap/>
            <w:vAlign w:val="center"/>
          </w:tcPr>
          <w:p w14:paraId="0C581FF5">
            <w:pPr>
              <w:jc w:val="center"/>
              <w:rPr>
                <w:rFonts w:hint="eastAsia" w:ascii="宋体" w:hAnsi="宋体" w:cs="宋体"/>
                <w:sz w:val="22"/>
              </w:rPr>
            </w:pPr>
          </w:p>
        </w:tc>
        <w:tc>
          <w:tcPr>
            <w:tcW w:w="3877" w:type="pct"/>
            <w:tcBorders>
              <w:top w:val="single" w:color="000000" w:sz="4" w:space="0"/>
              <w:left w:val="single" w:color="000000" w:sz="4" w:space="0"/>
              <w:bottom w:val="single" w:color="000000" w:sz="4" w:space="0"/>
              <w:right w:val="single" w:color="000000" w:sz="4" w:space="0"/>
            </w:tcBorders>
            <w:vAlign w:val="center"/>
          </w:tcPr>
          <w:p w14:paraId="47488AD7">
            <w:pPr>
              <w:widowControl/>
              <w:jc w:val="left"/>
              <w:textAlignment w:val="center"/>
              <w:rPr>
                <w:rFonts w:hint="eastAsia" w:ascii="宋体" w:hAnsi="宋体" w:cs="宋体"/>
                <w:kern w:val="0"/>
                <w:sz w:val="22"/>
                <w:lang w:bidi="ar"/>
              </w:rPr>
            </w:pPr>
            <w:r>
              <w:rPr>
                <w:rFonts w:hint="eastAsia" w:ascii="宋体" w:hAnsi="宋体" w:cs="宋体"/>
                <w:kern w:val="0"/>
                <w:sz w:val="22"/>
                <w:lang w:bidi="ar"/>
              </w:rPr>
              <w:t>4、应急预案（6分）</w:t>
            </w:r>
          </w:p>
          <w:p w14:paraId="0C42121D">
            <w:pPr>
              <w:widowControl/>
              <w:jc w:val="left"/>
              <w:textAlignment w:val="center"/>
              <w:rPr>
                <w:rFonts w:hint="eastAsia" w:ascii="宋体" w:hAnsi="宋体" w:cs="宋体"/>
                <w:kern w:val="0"/>
                <w:sz w:val="22"/>
                <w:lang w:bidi="ar"/>
              </w:rPr>
            </w:pPr>
            <w:r>
              <w:rPr>
                <w:rFonts w:hint="eastAsia" w:ascii="宋体" w:hAnsi="宋体" w:cs="宋体"/>
                <w:kern w:val="0"/>
                <w:sz w:val="22"/>
                <w:lang w:bidi="ar"/>
              </w:rPr>
              <w:t xml:space="preserve">    投标人提供完整的应急预案，对运营期间可能出现的严重影响系统运行和数据质量的重大问题，提供有效的预防和补救措施。</w:t>
            </w:r>
          </w:p>
          <w:p w14:paraId="4DB5FA72">
            <w:pPr>
              <w:widowControl/>
              <w:ind w:firstLine="440" w:firstLineChars="200"/>
              <w:jc w:val="left"/>
              <w:textAlignment w:val="center"/>
              <w:rPr>
                <w:rFonts w:hint="eastAsia" w:ascii="宋体" w:hAnsi="宋体" w:cs="宋体"/>
                <w:kern w:val="0"/>
                <w:sz w:val="22"/>
                <w:lang w:bidi="ar"/>
              </w:rPr>
            </w:pPr>
            <w:r>
              <w:rPr>
                <w:rFonts w:hint="eastAsia" w:ascii="宋体" w:hAnsi="宋体" w:cs="宋体"/>
                <w:kern w:val="0"/>
                <w:sz w:val="22"/>
                <w:lang w:bidi="ar"/>
              </w:rPr>
              <w:t>根据投标人的应急预案的合理性、可操作性进行综合打分。投标人提供的应急响应方案规范合理、可操作性强，突发状况的调度安排、应急处理及时、符合本项目实际情况得6分；</w:t>
            </w:r>
          </w:p>
          <w:p w14:paraId="6232A739">
            <w:pPr>
              <w:widowControl/>
              <w:jc w:val="left"/>
              <w:textAlignment w:val="center"/>
              <w:rPr>
                <w:rFonts w:hint="eastAsia" w:ascii="宋体" w:hAnsi="宋体" w:cs="宋体"/>
                <w:kern w:val="0"/>
                <w:sz w:val="22"/>
                <w:lang w:bidi="ar"/>
              </w:rPr>
            </w:pPr>
            <w:r>
              <w:rPr>
                <w:rFonts w:hint="eastAsia" w:ascii="宋体" w:hAnsi="宋体" w:cs="宋体"/>
                <w:kern w:val="0"/>
                <w:sz w:val="22"/>
                <w:lang w:bidi="ar"/>
              </w:rPr>
              <w:t>（1）方案科学、合理、可操作性强、应急处理及时，得6分</w:t>
            </w:r>
          </w:p>
          <w:p w14:paraId="14410552">
            <w:pPr>
              <w:widowControl/>
              <w:jc w:val="left"/>
              <w:textAlignment w:val="center"/>
              <w:rPr>
                <w:rFonts w:hint="eastAsia" w:ascii="宋体" w:hAnsi="宋体" w:cs="宋体"/>
                <w:kern w:val="0"/>
                <w:sz w:val="22"/>
                <w:lang w:bidi="ar"/>
              </w:rPr>
            </w:pPr>
            <w:r>
              <w:rPr>
                <w:rFonts w:hint="eastAsia" w:ascii="宋体" w:hAnsi="宋体" w:cs="宋体"/>
                <w:kern w:val="0"/>
                <w:sz w:val="22"/>
                <w:lang w:bidi="ar"/>
              </w:rPr>
              <w:t>（2）方案较科学、合理，具有一定的可操作性，得3分；</w:t>
            </w:r>
          </w:p>
          <w:p w14:paraId="564D54CD">
            <w:pPr>
              <w:widowControl/>
              <w:jc w:val="left"/>
              <w:textAlignment w:val="center"/>
              <w:rPr>
                <w:rFonts w:hint="eastAsia" w:ascii="宋体" w:hAnsi="宋体" w:cs="宋体"/>
                <w:kern w:val="0"/>
                <w:sz w:val="22"/>
                <w:lang w:bidi="ar"/>
              </w:rPr>
            </w:pPr>
            <w:r>
              <w:rPr>
                <w:rFonts w:hint="eastAsia" w:ascii="宋体" w:hAnsi="宋体" w:cs="宋体"/>
                <w:kern w:val="0"/>
                <w:sz w:val="22"/>
                <w:lang w:bidi="ar"/>
              </w:rPr>
              <w:t>（3）方案基本合理，基本可操作，得1分；</w:t>
            </w:r>
          </w:p>
          <w:p w14:paraId="2BCEA2C4">
            <w:pPr>
              <w:widowControl/>
              <w:jc w:val="left"/>
              <w:textAlignment w:val="center"/>
              <w:rPr>
                <w:rFonts w:hint="eastAsia" w:ascii="宋体" w:hAnsi="宋体" w:cs="宋体"/>
                <w:sz w:val="22"/>
              </w:rPr>
            </w:pPr>
            <w:r>
              <w:rPr>
                <w:rFonts w:hint="eastAsia" w:ascii="宋体" w:hAnsi="宋体" w:cs="宋体"/>
                <w:kern w:val="0"/>
                <w:sz w:val="22"/>
                <w:lang w:bidi="ar"/>
              </w:rPr>
              <w:t>（4）不提供不得分。</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31470BDA">
            <w:pPr>
              <w:widowControl/>
              <w:jc w:val="center"/>
              <w:textAlignment w:val="center"/>
              <w:rPr>
                <w:rFonts w:hint="eastAsia" w:ascii="宋体" w:hAnsi="宋体" w:cs="宋体"/>
                <w:sz w:val="22"/>
              </w:rPr>
            </w:pPr>
            <w:r>
              <w:rPr>
                <w:rFonts w:hint="eastAsia" w:ascii="宋体" w:hAnsi="宋体" w:cs="宋体"/>
                <w:kern w:val="0"/>
                <w:sz w:val="22"/>
                <w:lang w:bidi="ar"/>
              </w:rPr>
              <w:t>6</w:t>
            </w:r>
          </w:p>
        </w:tc>
      </w:tr>
      <w:tr w14:paraId="3C2BC57E">
        <w:tblPrEx>
          <w:tblCellMar>
            <w:top w:w="0" w:type="dxa"/>
            <w:left w:w="108" w:type="dxa"/>
            <w:bottom w:w="0" w:type="dxa"/>
            <w:right w:w="108" w:type="dxa"/>
          </w:tblCellMar>
        </w:tblPrEx>
        <w:trPr>
          <w:trHeight w:val="416" w:hRule="atLeast"/>
        </w:trPr>
        <w:tc>
          <w:tcPr>
            <w:tcW w:w="652" w:type="pct"/>
            <w:vMerge w:val="restart"/>
            <w:tcBorders>
              <w:top w:val="single" w:color="000000" w:sz="4" w:space="0"/>
              <w:left w:val="single" w:color="000000" w:sz="4" w:space="0"/>
              <w:bottom w:val="single" w:color="000000" w:sz="4" w:space="0"/>
              <w:right w:val="single" w:color="000000" w:sz="4" w:space="0"/>
            </w:tcBorders>
            <w:noWrap/>
            <w:vAlign w:val="center"/>
          </w:tcPr>
          <w:p w14:paraId="117EEA03">
            <w:pPr>
              <w:widowControl/>
              <w:jc w:val="center"/>
              <w:textAlignment w:val="center"/>
              <w:rPr>
                <w:rFonts w:hint="eastAsia" w:ascii="宋体" w:hAnsi="宋体" w:cs="宋体"/>
                <w:sz w:val="22"/>
              </w:rPr>
            </w:pPr>
            <w:r>
              <w:rPr>
                <w:rFonts w:hint="eastAsia" w:ascii="宋体" w:hAnsi="宋体" w:cs="宋体"/>
                <w:kern w:val="0"/>
                <w:sz w:val="22"/>
                <w:lang w:bidi="ar"/>
              </w:rPr>
              <w:t>综合实力</w:t>
            </w:r>
          </w:p>
        </w:tc>
        <w:tc>
          <w:tcPr>
            <w:tcW w:w="3877" w:type="pct"/>
            <w:tcBorders>
              <w:top w:val="single" w:color="000000" w:sz="4" w:space="0"/>
              <w:left w:val="single" w:color="000000" w:sz="4" w:space="0"/>
              <w:bottom w:val="single" w:color="000000" w:sz="4" w:space="0"/>
              <w:right w:val="single" w:color="000000" w:sz="4" w:space="0"/>
            </w:tcBorders>
            <w:vAlign w:val="center"/>
          </w:tcPr>
          <w:p w14:paraId="74385F60">
            <w:pPr>
              <w:widowControl/>
              <w:jc w:val="left"/>
              <w:textAlignment w:val="center"/>
              <w:rPr>
                <w:rFonts w:hint="eastAsia" w:ascii="宋体" w:hAnsi="宋体" w:cs="宋体"/>
                <w:kern w:val="0"/>
                <w:sz w:val="22"/>
                <w:lang w:bidi="ar"/>
              </w:rPr>
            </w:pPr>
            <w:r>
              <w:rPr>
                <w:rFonts w:hint="eastAsia" w:ascii="宋体" w:hAnsi="宋体" w:cs="宋体"/>
                <w:kern w:val="0"/>
                <w:sz w:val="22"/>
                <w:lang w:bidi="ar"/>
              </w:rPr>
              <w:t>（1）投标人具有有效的国家信息安全测评CNIT-SEC信息安全服务资质证书（安全工程类）证书，得3分，不提供不得分。</w:t>
            </w:r>
          </w:p>
          <w:p w14:paraId="2EFC3F2B">
            <w:pPr>
              <w:widowControl/>
              <w:jc w:val="left"/>
              <w:textAlignment w:val="center"/>
              <w:rPr>
                <w:rFonts w:hint="eastAsia" w:ascii="宋体" w:hAnsi="宋体" w:cs="宋体"/>
                <w:kern w:val="0"/>
                <w:sz w:val="22"/>
                <w:lang w:bidi="ar"/>
              </w:rPr>
            </w:pPr>
            <w:r>
              <w:rPr>
                <w:rFonts w:hint="eastAsia" w:ascii="宋体" w:hAnsi="宋体" w:cs="宋体"/>
                <w:kern w:val="0"/>
                <w:sz w:val="22"/>
                <w:lang w:bidi="ar"/>
              </w:rPr>
              <w:t>（2）投标人具有有效的ITSS信息技术服务标准符合性证书云服务（SAAS云）证书，得3分，不提供不得分。</w:t>
            </w:r>
          </w:p>
          <w:p w14:paraId="025F5416">
            <w:pPr>
              <w:widowControl/>
              <w:jc w:val="left"/>
              <w:textAlignment w:val="center"/>
              <w:rPr>
                <w:rFonts w:hint="eastAsia" w:ascii="宋体" w:hAnsi="宋体" w:cs="宋体"/>
                <w:kern w:val="0"/>
                <w:sz w:val="22"/>
                <w:lang w:bidi="ar"/>
              </w:rPr>
            </w:pPr>
            <w:r>
              <w:rPr>
                <w:rFonts w:hint="eastAsia" w:ascii="宋体" w:hAnsi="宋体" w:cs="宋体"/>
                <w:kern w:val="0"/>
                <w:sz w:val="22"/>
                <w:lang w:bidi="ar"/>
              </w:rPr>
              <w:t>（3）投标人售后服务能力符合国家标准GB/T27922，具备星级售后服务认证证书（认证范围包括计算机信息系统集成及相关软件开发的售后服务）。五星级认证的得2分；四星级认证的得1分；其他不得分</w:t>
            </w:r>
          </w:p>
          <w:p w14:paraId="1A573101">
            <w:pPr>
              <w:widowControl/>
              <w:jc w:val="left"/>
              <w:textAlignment w:val="center"/>
              <w:rPr>
                <w:rFonts w:hint="eastAsia" w:ascii="宋体" w:hAnsi="宋体" w:cs="宋体"/>
                <w:kern w:val="0"/>
                <w:sz w:val="22"/>
                <w:lang w:bidi="ar"/>
              </w:rPr>
            </w:pPr>
            <w:r>
              <w:rPr>
                <w:rFonts w:hint="eastAsia" w:ascii="宋体" w:hAnsi="宋体" w:cs="宋体"/>
                <w:kern w:val="0"/>
                <w:sz w:val="22"/>
                <w:lang w:bidi="ar"/>
              </w:rPr>
              <w:t>（4）投标人具有①ISO14001环境管理体系认证证书②ISO45001职业健康安全管理体系认证证书③ISO9001质量管理体系认证证书④ISO20000信息技术服务管理体系认证证书，有一个证书得0.5分，满分2分；</w:t>
            </w:r>
          </w:p>
          <w:p w14:paraId="4CE41F59">
            <w:pPr>
              <w:widowControl/>
              <w:jc w:val="left"/>
              <w:textAlignment w:val="center"/>
              <w:rPr>
                <w:rFonts w:hint="eastAsia" w:ascii="宋体" w:hAnsi="宋体" w:cs="宋体"/>
                <w:b/>
                <w:bCs/>
                <w:kern w:val="0"/>
                <w:sz w:val="22"/>
                <w:lang w:bidi="ar"/>
              </w:rPr>
            </w:pPr>
            <w:r>
              <w:rPr>
                <w:rFonts w:hint="eastAsia" w:ascii="宋体" w:hAnsi="宋体" w:cs="宋体"/>
                <w:b/>
                <w:bCs/>
                <w:kern w:val="0"/>
                <w:sz w:val="22"/>
                <w:lang w:bidi="ar"/>
              </w:rPr>
              <w:t>（注：1-4项须提供相关证书扫描件，加盖投标人公章）</w:t>
            </w:r>
          </w:p>
          <w:p w14:paraId="1BA02E35">
            <w:pPr>
              <w:widowControl/>
              <w:jc w:val="left"/>
              <w:textAlignment w:val="center"/>
              <w:rPr>
                <w:rFonts w:hint="eastAsia" w:ascii="宋体" w:hAnsi="宋体" w:cs="宋体"/>
                <w:kern w:val="0"/>
                <w:sz w:val="22"/>
                <w:lang w:bidi="ar"/>
              </w:rPr>
            </w:pPr>
            <w:r>
              <w:rPr>
                <w:rFonts w:hint="eastAsia" w:ascii="宋体" w:hAnsi="宋体" w:cs="宋体"/>
                <w:kern w:val="0"/>
                <w:sz w:val="22"/>
                <w:lang w:bidi="ar"/>
              </w:rPr>
              <w:t>（5）项目经理具备系统规划与管理师、CISAW信息安全保障人员（应急服务）、CISP、IT服务项目经理证书，每提供一个证书得1.5分，满分6分。</w:t>
            </w:r>
          </w:p>
          <w:p w14:paraId="44F2FAA3">
            <w:pPr>
              <w:widowControl/>
              <w:jc w:val="left"/>
              <w:textAlignment w:val="center"/>
              <w:rPr>
                <w:rFonts w:ascii="宋体" w:hAnsi="宋体" w:cs="宋体"/>
                <w:kern w:val="0"/>
                <w:sz w:val="22"/>
                <w:lang w:bidi="ar"/>
              </w:rPr>
            </w:pPr>
            <w:r>
              <w:rPr>
                <w:rFonts w:hint="eastAsia" w:ascii="宋体" w:hAnsi="宋体" w:cs="宋体"/>
                <w:kern w:val="0"/>
                <w:sz w:val="22"/>
                <w:lang w:bidi="ar"/>
              </w:rPr>
              <w:t>（6）团队成员具有公有云能力认证资格证书、网络工程师、IT服务工程师，每提供一个1人，得1分，满分3分。</w:t>
            </w:r>
          </w:p>
          <w:p w14:paraId="66938441">
            <w:pPr>
              <w:pStyle w:val="27"/>
              <w:ind w:firstLine="0" w:firstLineChars="0"/>
              <w:rPr>
                <w:rFonts w:hint="eastAsia"/>
                <w:lang w:bidi="ar"/>
              </w:rPr>
            </w:pPr>
            <w:r>
              <w:rPr>
                <w:rFonts w:hint="eastAsia"/>
                <w:lang w:bidi="ar"/>
              </w:rPr>
              <w:t>(</w:t>
            </w:r>
            <w:r>
              <w:rPr>
                <w:rFonts w:hint="eastAsia"/>
                <w:b/>
                <w:bCs/>
                <w:lang w:bidi="ar"/>
              </w:rPr>
              <w:t>注:5-6项须提供人员证书扫描件，及投标人为相关人人员缴纳的近六个月内任意一个月社保证明材料复印件加盖投标人公章</w:t>
            </w:r>
            <w:r>
              <w:rPr>
                <w:rFonts w:hint="eastAsia"/>
                <w:lang w:bidi="ar"/>
              </w:rPr>
              <w:t>)</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4445932C">
            <w:pPr>
              <w:widowControl/>
              <w:jc w:val="center"/>
              <w:textAlignment w:val="center"/>
              <w:rPr>
                <w:rFonts w:hint="eastAsia" w:ascii="宋体" w:hAnsi="宋体" w:cs="宋体"/>
                <w:sz w:val="22"/>
              </w:rPr>
            </w:pPr>
            <w:r>
              <w:rPr>
                <w:rFonts w:hint="eastAsia" w:ascii="宋体" w:hAnsi="宋体" w:cs="宋体"/>
                <w:kern w:val="0"/>
                <w:sz w:val="22"/>
                <w:lang w:bidi="ar"/>
              </w:rPr>
              <w:t>19</w:t>
            </w:r>
          </w:p>
        </w:tc>
      </w:tr>
      <w:tr w14:paraId="2ECFA060">
        <w:tblPrEx>
          <w:tblCellMar>
            <w:top w:w="0" w:type="dxa"/>
            <w:left w:w="108" w:type="dxa"/>
            <w:bottom w:w="0" w:type="dxa"/>
            <w:right w:w="108" w:type="dxa"/>
          </w:tblCellMar>
        </w:tblPrEx>
        <w:trPr>
          <w:trHeight w:val="2880" w:hRule="atLeast"/>
        </w:trPr>
        <w:tc>
          <w:tcPr>
            <w:tcW w:w="652" w:type="pct"/>
            <w:vMerge w:val="continue"/>
            <w:tcBorders>
              <w:top w:val="single" w:color="000000" w:sz="4" w:space="0"/>
              <w:left w:val="single" w:color="000000" w:sz="4" w:space="0"/>
              <w:bottom w:val="single" w:color="000000" w:sz="4" w:space="0"/>
              <w:right w:val="single" w:color="000000" w:sz="4" w:space="0"/>
            </w:tcBorders>
            <w:noWrap/>
            <w:vAlign w:val="center"/>
          </w:tcPr>
          <w:p w14:paraId="764449B0">
            <w:pPr>
              <w:jc w:val="center"/>
              <w:rPr>
                <w:rFonts w:hint="eastAsia" w:ascii="宋体" w:hAnsi="宋体" w:cs="宋体"/>
                <w:sz w:val="22"/>
              </w:rPr>
            </w:pPr>
          </w:p>
        </w:tc>
        <w:tc>
          <w:tcPr>
            <w:tcW w:w="3877" w:type="pct"/>
            <w:tcBorders>
              <w:top w:val="single" w:color="000000" w:sz="4" w:space="0"/>
              <w:left w:val="single" w:color="000000" w:sz="4" w:space="0"/>
              <w:bottom w:val="single" w:color="000000" w:sz="4" w:space="0"/>
              <w:right w:val="single" w:color="000000" w:sz="4" w:space="0"/>
            </w:tcBorders>
            <w:vAlign w:val="center"/>
          </w:tcPr>
          <w:p w14:paraId="06C04D2C">
            <w:pPr>
              <w:widowControl/>
              <w:jc w:val="left"/>
              <w:textAlignment w:val="center"/>
              <w:rPr>
                <w:rFonts w:hint="eastAsia" w:ascii="宋体" w:hAnsi="宋体" w:cs="宋体"/>
                <w:kern w:val="0"/>
                <w:sz w:val="22"/>
                <w:lang w:bidi="ar"/>
              </w:rPr>
            </w:pPr>
            <w:r>
              <w:rPr>
                <w:rFonts w:hint="eastAsia" w:ascii="宋体" w:hAnsi="宋体" w:cs="宋体"/>
                <w:kern w:val="0"/>
                <w:sz w:val="22"/>
                <w:lang w:bidi="ar"/>
              </w:rPr>
              <w:t>（1）要求所投产品的生产厂商具备中国网络安全审查技术与认证中心CCRC的软件安全开发服务资质（一级）；</w:t>
            </w:r>
          </w:p>
          <w:p w14:paraId="370FF3B1">
            <w:pPr>
              <w:widowControl/>
              <w:jc w:val="left"/>
              <w:textAlignment w:val="center"/>
              <w:rPr>
                <w:rFonts w:hint="eastAsia" w:ascii="宋体" w:hAnsi="宋体" w:cs="宋体"/>
                <w:kern w:val="0"/>
                <w:sz w:val="22"/>
                <w:lang w:bidi="ar"/>
              </w:rPr>
            </w:pPr>
            <w:r>
              <w:rPr>
                <w:rFonts w:hint="eastAsia" w:ascii="宋体" w:hAnsi="宋体" w:cs="宋体"/>
                <w:kern w:val="0"/>
                <w:sz w:val="22"/>
                <w:lang w:bidi="ar"/>
              </w:rPr>
              <w:t xml:space="preserve">（2）为保障产品自身安全及厂商技术实力，要求所投产品的生产厂商具备企业行业信用等级证书-系统集成领域AAA级信用企业。 </w:t>
            </w:r>
          </w:p>
          <w:p w14:paraId="7508B018">
            <w:pPr>
              <w:widowControl/>
              <w:jc w:val="left"/>
              <w:textAlignment w:val="center"/>
              <w:rPr>
                <w:rFonts w:hint="eastAsia" w:ascii="宋体" w:hAnsi="宋体" w:cs="宋体"/>
                <w:kern w:val="0"/>
                <w:sz w:val="22"/>
                <w:lang w:bidi="ar"/>
              </w:rPr>
            </w:pPr>
            <w:r>
              <w:rPr>
                <w:rFonts w:hint="eastAsia" w:ascii="宋体" w:hAnsi="宋体" w:cs="宋体"/>
                <w:kern w:val="0"/>
                <w:sz w:val="22"/>
                <w:lang w:bidi="ar"/>
              </w:rPr>
              <w:t>（3）要求所投产品的生产厂商为国家信息安全漏洞共享平台(CNVD)技术组和用户组成员。</w:t>
            </w:r>
          </w:p>
          <w:p w14:paraId="6796C3DD">
            <w:pPr>
              <w:widowControl/>
              <w:jc w:val="left"/>
              <w:textAlignment w:val="center"/>
              <w:rPr>
                <w:rFonts w:hint="eastAsia" w:ascii="宋体" w:hAnsi="宋体" w:cs="宋体"/>
                <w:kern w:val="0"/>
                <w:sz w:val="22"/>
                <w:lang w:bidi="ar"/>
              </w:rPr>
            </w:pPr>
            <w:r>
              <w:rPr>
                <w:rFonts w:hint="eastAsia" w:ascii="宋体" w:hAnsi="宋体" w:cs="宋体"/>
                <w:kern w:val="0"/>
                <w:sz w:val="22"/>
                <w:lang w:bidi="ar"/>
              </w:rPr>
              <w:t>（4）为保障云平台安全能力的成熟度与技术程度，所投产品厂商需通过CS-CMMI5云安全能力成熟度集成认证</w:t>
            </w:r>
          </w:p>
          <w:p w14:paraId="34CBD9C0">
            <w:pPr>
              <w:widowControl/>
              <w:ind w:firstLine="220" w:firstLineChars="100"/>
              <w:jc w:val="left"/>
              <w:textAlignment w:val="center"/>
              <w:rPr>
                <w:rFonts w:hint="eastAsia" w:ascii="宋体" w:hAnsi="宋体" w:cs="宋体"/>
                <w:kern w:val="0"/>
                <w:sz w:val="22"/>
                <w:lang w:bidi="ar"/>
              </w:rPr>
            </w:pPr>
            <w:r>
              <w:rPr>
                <w:rFonts w:hint="eastAsia" w:ascii="宋体" w:hAnsi="宋体" w:cs="宋体"/>
                <w:kern w:val="0"/>
                <w:sz w:val="22"/>
                <w:lang w:bidi="ar"/>
              </w:rPr>
              <w:t>每符合一项得2分，全部符合得8分，不符合不得分。</w:t>
            </w:r>
          </w:p>
          <w:p w14:paraId="0B6D7B7C">
            <w:pPr>
              <w:widowControl/>
              <w:jc w:val="left"/>
              <w:textAlignment w:val="center"/>
              <w:rPr>
                <w:rFonts w:hint="eastAsia" w:ascii="宋体" w:hAnsi="宋体" w:cs="宋体"/>
                <w:sz w:val="22"/>
              </w:rPr>
            </w:pPr>
            <w:r>
              <w:rPr>
                <w:rFonts w:hint="eastAsia" w:ascii="宋体" w:hAnsi="宋体" w:cs="宋体"/>
                <w:kern w:val="0"/>
                <w:sz w:val="22"/>
                <w:lang w:bidi="ar"/>
              </w:rPr>
              <w:t>（</w:t>
            </w:r>
            <w:r>
              <w:rPr>
                <w:rFonts w:hint="eastAsia" w:ascii="宋体" w:hAnsi="宋体" w:cs="宋体"/>
                <w:b/>
                <w:bCs/>
                <w:kern w:val="0"/>
                <w:sz w:val="22"/>
                <w:lang w:bidi="ar"/>
              </w:rPr>
              <w:t>注：1-4项须提供相关证明材料，并加盖厂家公章</w:t>
            </w:r>
            <w:r>
              <w:rPr>
                <w:rFonts w:hint="eastAsia" w:ascii="宋体" w:hAnsi="宋体" w:cs="宋体"/>
                <w:kern w:val="0"/>
                <w:sz w:val="22"/>
                <w:lang w:bidi="ar"/>
              </w:rPr>
              <w:t>）</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02270AA2">
            <w:pPr>
              <w:widowControl/>
              <w:jc w:val="center"/>
              <w:textAlignment w:val="center"/>
              <w:rPr>
                <w:rFonts w:hint="eastAsia" w:ascii="宋体" w:hAnsi="宋体" w:cs="宋体"/>
                <w:sz w:val="22"/>
              </w:rPr>
            </w:pPr>
            <w:r>
              <w:rPr>
                <w:rFonts w:hint="eastAsia" w:ascii="宋体" w:hAnsi="宋体" w:cs="宋体"/>
                <w:kern w:val="0"/>
                <w:sz w:val="22"/>
                <w:lang w:bidi="ar"/>
              </w:rPr>
              <w:t>8</w:t>
            </w:r>
          </w:p>
        </w:tc>
      </w:tr>
      <w:tr w14:paraId="189CE561">
        <w:tblPrEx>
          <w:tblCellMar>
            <w:top w:w="0" w:type="dxa"/>
            <w:left w:w="108" w:type="dxa"/>
            <w:bottom w:w="0" w:type="dxa"/>
            <w:right w:w="108" w:type="dxa"/>
          </w:tblCellMar>
        </w:tblPrEx>
        <w:trPr>
          <w:trHeight w:val="800" w:hRule="atLeast"/>
        </w:trPr>
        <w:tc>
          <w:tcPr>
            <w:tcW w:w="652" w:type="pct"/>
            <w:tcBorders>
              <w:top w:val="single" w:color="000000" w:sz="4" w:space="0"/>
              <w:left w:val="single" w:color="000000" w:sz="4" w:space="0"/>
              <w:bottom w:val="single" w:color="000000" w:sz="4" w:space="0"/>
              <w:right w:val="single" w:color="000000" w:sz="4" w:space="0"/>
            </w:tcBorders>
            <w:noWrap/>
            <w:vAlign w:val="center"/>
          </w:tcPr>
          <w:p w14:paraId="6E484D34">
            <w:pPr>
              <w:widowControl/>
              <w:jc w:val="left"/>
              <w:textAlignment w:val="center"/>
              <w:rPr>
                <w:rFonts w:hint="eastAsia" w:ascii="宋体" w:hAnsi="宋体" w:cs="宋体"/>
                <w:sz w:val="22"/>
              </w:rPr>
            </w:pPr>
            <w:r>
              <w:rPr>
                <w:rFonts w:hint="eastAsia" w:ascii="宋体" w:hAnsi="宋体" w:cs="宋体"/>
                <w:kern w:val="0"/>
                <w:sz w:val="22"/>
                <w:lang w:bidi="ar"/>
              </w:rPr>
              <w:t>业绩</w:t>
            </w:r>
          </w:p>
        </w:tc>
        <w:tc>
          <w:tcPr>
            <w:tcW w:w="3877" w:type="pct"/>
            <w:tcBorders>
              <w:top w:val="single" w:color="000000" w:sz="4" w:space="0"/>
              <w:left w:val="single" w:color="000000" w:sz="4" w:space="0"/>
              <w:bottom w:val="single" w:color="000000" w:sz="4" w:space="0"/>
              <w:right w:val="single" w:color="000000" w:sz="4" w:space="0"/>
            </w:tcBorders>
            <w:vAlign w:val="center"/>
          </w:tcPr>
          <w:p w14:paraId="66C6BBEC">
            <w:pPr>
              <w:widowControl/>
              <w:jc w:val="left"/>
              <w:textAlignment w:val="center"/>
              <w:rPr>
                <w:rFonts w:hint="eastAsia" w:ascii="宋体" w:hAnsi="宋体" w:cs="宋体"/>
                <w:sz w:val="22"/>
              </w:rPr>
            </w:pPr>
            <w:r>
              <w:rPr>
                <w:rFonts w:hint="eastAsia" w:ascii="宋体" w:hAnsi="宋体" w:cs="宋体"/>
                <w:kern w:val="0"/>
                <w:sz w:val="22"/>
                <w:lang w:bidi="ar"/>
              </w:rPr>
              <w:t>投标人提供 2023年1月1日至今(以合同签订目期为准)，与本项目类似的业绩，每提供一份合同得1分，满分5分。(须提供合同，原件扫描上传)</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71244CA2">
            <w:pPr>
              <w:widowControl/>
              <w:jc w:val="center"/>
              <w:textAlignment w:val="center"/>
              <w:rPr>
                <w:rFonts w:hint="eastAsia" w:ascii="宋体" w:hAnsi="宋体" w:cs="宋体"/>
                <w:sz w:val="22"/>
              </w:rPr>
            </w:pPr>
            <w:r>
              <w:rPr>
                <w:rFonts w:hint="eastAsia" w:ascii="宋体" w:hAnsi="宋体" w:cs="宋体"/>
                <w:kern w:val="0"/>
                <w:sz w:val="22"/>
                <w:lang w:bidi="ar"/>
              </w:rPr>
              <w:t>5</w:t>
            </w:r>
          </w:p>
        </w:tc>
      </w:tr>
      <w:tr w14:paraId="649703F8">
        <w:tblPrEx>
          <w:tblCellMar>
            <w:top w:w="0" w:type="dxa"/>
            <w:left w:w="108" w:type="dxa"/>
            <w:bottom w:w="0" w:type="dxa"/>
            <w:right w:w="108" w:type="dxa"/>
          </w:tblCellMar>
        </w:tblPrEx>
        <w:trPr>
          <w:trHeight w:val="620" w:hRule="atLeast"/>
        </w:trPr>
        <w:tc>
          <w:tcPr>
            <w:tcW w:w="652" w:type="pct"/>
            <w:tcBorders>
              <w:top w:val="single" w:color="000000" w:sz="4" w:space="0"/>
              <w:left w:val="single" w:color="000000" w:sz="4" w:space="0"/>
              <w:bottom w:val="single" w:color="000000" w:sz="4" w:space="0"/>
              <w:right w:val="single" w:color="000000" w:sz="4" w:space="0"/>
            </w:tcBorders>
            <w:noWrap/>
            <w:vAlign w:val="center"/>
          </w:tcPr>
          <w:p w14:paraId="56187DE6">
            <w:pPr>
              <w:widowControl/>
              <w:jc w:val="left"/>
              <w:textAlignment w:val="center"/>
              <w:rPr>
                <w:rFonts w:hint="eastAsia" w:ascii="宋体" w:hAnsi="宋体" w:cs="宋体"/>
                <w:b/>
                <w:bCs/>
                <w:sz w:val="22"/>
              </w:rPr>
            </w:pPr>
            <w:r>
              <w:rPr>
                <w:rFonts w:hint="eastAsia" w:ascii="宋体" w:hAnsi="宋体" w:cs="宋体"/>
                <w:b/>
                <w:bCs/>
                <w:kern w:val="0"/>
                <w:sz w:val="22"/>
                <w:lang w:bidi="ar"/>
              </w:rPr>
              <w:t>合计</w:t>
            </w:r>
          </w:p>
        </w:tc>
        <w:tc>
          <w:tcPr>
            <w:tcW w:w="3877" w:type="pct"/>
            <w:tcBorders>
              <w:top w:val="single" w:color="000000" w:sz="4" w:space="0"/>
              <w:left w:val="single" w:color="000000" w:sz="4" w:space="0"/>
              <w:bottom w:val="single" w:color="000000" w:sz="4" w:space="0"/>
              <w:right w:val="single" w:color="000000" w:sz="4" w:space="0"/>
            </w:tcBorders>
            <w:noWrap/>
            <w:vAlign w:val="center"/>
          </w:tcPr>
          <w:p w14:paraId="04A2BB39">
            <w:pPr>
              <w:rPr>
                <w:rFonts w:hint="eastAsia" w:ascii="宋体" w:hAnsi="宋体" w:cs="宋体"/>
                <w:b/>
                <w:bCs/>
                <w:sz w:val="22"/>
              </w:rPr>
            </w:pPr>
            <w:r>
              <w:rPr>
                <w:rFonts w:hint="eastAsia" w:ascii="宋体" w:hAnsi="宋体" w:cs="宋体"/>
                <w:b/>
                <w:bCs/>
                <w:sz w:val="22"/>
              </w:rPr>
              <w:t>-</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71F524F0">
            <w:pPr>
              <w:widowControl/>
              <w:jc w:val="center"/>
              <w:textAlignment w:val="center"/>
              <w:rPr>
                <w:rFonts w:hint="eastAsia" w:ascii="宋体" w:hAnsi="宋体" w:cs="宋体"/>
                <w:b/>
                <w:bCs/>
                <w:sz w:val="22"/>
              </w:rPr>
            </w:pPr>
            <w:r>
              <w:rPr>
                <w:rFonts w:hint="eastAsia" w:ascii="宋体" w:hAnsi="宋体" w:cs="宋体"/>
                <w:b/>
                <w:bCs/>
                <w:kern w:val="0"/>
                <w:sz w:val="22"/>
                <w:lang w:bidi="ar"/>
              </w:rPr>
              <w:t>100</w:t>
            </w:r>
          </w:p>
        </w:tc>
      </w:tr>
    </w:tbl>
    <w:p w14:paraId="61DF46FB">
      <w:pPr>
        <w:pStyle w:val="27"/>
        <w:ind w:firstLine="0" w:firstLineChars="0"/>
        <w:sectPr>
          <w:headerReference r:id="rId4" w:type="first"/>
          <w:headerReference r:id="rId3" w:type="default"/>
          <w:footerReference r:id="rId5" w:type="default"/>
          <w:pgSz w:w="11906" w:h="16838"/>
          <w:pgMar w:top="1440" w:right="1701" w:bottom="1440" w:left="1701" w:header="624" w:footer="907" w:gutter="0"/>
          <w:cols w:space="720" w:num="1"/>
          <w:titlePg/>
          <w:docGrid w:type="linesAndChars" w:linePitch="312" w:charSpace="0"/>
        </w:sectPr>
      </w:pPr>
    </w:p>
    <w:p w14:paraId="639E0E98">
      <w:pPr>
        <w:pStyle w:val="58"/>
        <w:jc w:val="center"/>
        <w:rPr>
          <w:rFonts w:hint="eastAsia"/>
        </w:rPr>
      </w:pPr>
      <w:r>
        <w:rPr>
          <w:rFonts w:hint="eastAsia"/>
        </w:rPr>
        <w:t>合同条款及格式</w:t>
      </w:r>
    </w:p>
    <w:p w14:paraId="41A2C7D8">
      <w:pPr>
        <w:pStyle w:val="12"/>
        <w:spacing w:line="360" w:lineRule="auto"/>
        <w:ind w:firstLine="420" w:firstLineChars="200"/>
        <w:rPr>
          <w:rFonts w:hint="eastAsia" w:hAnsi="宋体" w:cs="宋体"/>
          <w:bCs/>
        </w:rPr>
      </w:pPr>
      <w:r>
        <w:rPr>
          <w:rFonts w:hint="eastAsia" w:hAnsi="宋体" w:cs="宋体"/>
          <w:bCs/>
        </w:rPr>
        <w:t>以下为成交后签定本项目合同的通用条款，成交供应商不得提出实质性的修改，关于专用条款将由采购人与成交供应商结合本项目具体情况协商后签订。</w:t>
      </w:r>
    </w:p>
    <w:p w14:paraId="1CD96F28">
      <w:pPr>
        <w:pStyle w:val="12"/>
        <w:spacing w:line="360" w:lineRule="auto"/>
        <w:ind w:firstLine="420" w:firstLineChars="200"/>
        <w:rPr>
          <w:rFonts w:hint="eastAsia" w:hAnsi="宋体" w:cs="宋体"/>
          <w:bCs/>
        </w:rPr>
      </w:pPr>
    </w:p>
    <w:p w14:paraId="5C8A0229">
      <w:pPr>
        <w:rPr>
          <w:rFonts w:hint="eastAsia" w:hAnsi="宋体" w:cs="宋体"/>
        </w:rPr>
      </w:pPr>
      <w:r>
        <w:rPr>
          <w:rFonts w:hint="eastAsia" w:hAnsi="宋体" w:cs="宋体"/>
        </w:rPr>
        <w:t>项目名称：扬州大学附属医院信息化提升工程一期云资源与云安全租赁项目</w:t>
      </w:r>
    </w:p>
    <w:p w14:paraId="3581B450">
      <w:pPr>
        <w:pStyle w:val="12"/>
        <w:snapToGrid w:val="0"/>
        <w:spacing w:before="120" w:after="120" w:line="360" w:lineRule="auto"/>
        <w:rPr>
          <w:rFonts w:hint="default" w:hAnsi="宋体" w:eastAsia="宋体" w:cs="宋体"/>
          <w:lang w:val="en-US" w:eastAsia="zh-CN"/>
        </w:rPr>
      </w:pPr>
      <w:r>
        <w:rPr>
          <w:rFonts w:hint="eastAsia" w:hAnsi="宋体" w:cs="宋体"/>
        </w:rPr>
        <w:t>编号：</w:t>
      </w:r>
      <w:r>
        <w:rPr>
          <w:rFonts w:hint="eastAsia" w:hAnsi="宋体" w:cs="宋体"/>
          <w:lang w:val="en-US" w:eastAsia="zh-CN"/>
        </w:rPr>
        <w:t>CGZX2026XX2014</w:t>
      </w:r>
      <w:bookmarkStart w:id="10" w:name="_GoBack"/>
      <w:bookmarkEnd w:id="10"/>
    </w:p>
    <w:p w14:paraId="4BEF3D99">
      <w:pPr>
        <w:pStyle w:val="12"/>
        <w:snapToGrid w:val="0"/>
        <w:spacing w:before="120" w:after="120" w:line="360" w:lineRule="auto"/>
        <w:rPr>
          <w:rFonts w:hint="eastAsia" w:hAnsi="宋体" w:cs="宋体"/>
        </w:rPr>
      </w:pPr>
      <w:r>
        <w:rPr>
          <w:rFonts w:hint="eastAsia" w:hAnsi="宋体" w:cs="宋体"/>
        </w:rPr>
        <w:t xml:space="preserve">甲方（采购人/买方）：扬州大学附属医院     </w:t>
      </w:r>
    </w:p>
    <w:p w14:paraId="341AFCEF">
      <w:pPr>
        <w:pStyle w:val="12"/>
        <w:snapToGrid w:val="0"/>
        <w:spacing w:before="120" w:after="120" w:line="360" w:lineRule="auto"/>
        <w:rPr>
          <w:rFonts w:hint="eastAsia" w:hAnsi="宋体" w:cs="宋体"/>
          <w:u w:val="single"/>
        </w:rPr>
      </w:pPr>
      <w:r>
        <w:rPr>
          <w:rFonts w:hint="eastAsia" w:hAnsi="宋体" w:cs="宋体"/>
        </w:rPr>
        <w:t>乙方（供应商/卖方）：</w:t>
      </w:r>
      <w:r>
        <w:rPr>
          <w:rFonts w:hint="eastAsia" w:hAnsi="宋体" w:cs="宋体"/>
          <w:u w:val="single"/>
        </w:rPr>
        <w:t xml:space="preserve">              </w:t>
      </w:r>
    </w:p>
    <w:p w14:paraId="0A663B50">
      <w:pPr>
        <w:pStyle w:val="12"/>
        <w:snapToGrid w:val="0"/>
        <w:spacing w:before="120" w:after="120" w:line="360" w:lineRule="auto"/>
        <w:ind w:firstLine="420" w:firstLineChars="200"/>
        <w:rPr>
          <w:rFonts w:hint="eastAsia" w:hAnsi="宋体" w:cs="宋体"/>
          <w:b/>
          <w:bCs/>
        </w:rPr>
      </w:pPr>
      <w:r>
        <w:rPr>
          <w:rFonts w:hint="eastAsia" w:hAnsi="宋体" w:cs="宋体"/>
          <w:b/>
          <w:bCs/>
        </w:rPr>
        <w:t>1、合同标的</w:t>
      </w:r>
    </w:p>
    <w:p w14:paraId="0EFE216A">
      <w:pPr>
        <w:pStyle w:val="12"/>
        <w:snapToGrid w:val="0"/>
        <w:spacing w:before="120" w:after="120" w:line="360" w:lineRule="auto"/>
        <w:ind w:firstLine="420" w:firstLineChars="200"/>
        <w:rPr>
          <w:rFonts w:hint="eastAsia" w:hAnsi="宋体" w:cs="宋体"/>
          <w:u w:val="single"/>
        </w:rPr>
      </w:pPr>
      <w:r>
        <w:rPr>
          <w:rFonts w:hint="eastAsia" w:hAnsi="宋体" w:cs="宋体"/>
        </w:rPr>
        <w:t>乙方根据甲方需求，提供下列服务：</w:t>
      </w:r>
      <w:r>
        <w:rPr>
          <w:rFonts w:hint="eastAsia" w:hAnsi="宋体" w:cs="宋体"/>
          <w:u w:val="single"/>
        </w:rPr>
        <w:t xml:space="preserve">  云服务器资源、云安全资源、云专线、安全服务  。</w:t>
      </w:r>
    </w:p>
    <w:p w14:paraId="46549F92">
      <w:pPr>
        <w:pStyle w:val="12"/>
        <w:snapToGrid w:val="0"/>
        <w:spacing w:before="120" w:after="120" w:line="360" w:lineRule="auto"/>
        <w:ind w:firstLine="420" w:firstLineChars="200"/>
        <w:rPr>
          <w:rFonts w:hint="eastAsia" w:hAnsi="宋体" w:cs="宋体"/>
          <w:b/>
        </w:rPr>
      </w:pPr>
      <w:r>
        <w:rPr>
          <w:rFonts w:hint="eastAsia" w:hAnsi="宋体" w:cs="宋体"/>
        </w:rPr>
        <w:t>服务内容等要求详见磋商文件及乙方响应文件。</w:t>
      </w:r>
    </w:p>
    <w:p w14:paraId="377A897E">
      <w:pPr>
        <w:pStyle w:val="12"/>
        <w:snapToGrid w:val="0"/>
        <w:spacing w:before="120" w:after="120" w:line="360" w:lineRule="auto"/>
        <w:ind w:firstLine="420" w:firstLineChars="200"/>
        <w:rPr>
          <w:rFonts w:hint="eastAsia" w:hAnsi="宋体" w:cs="宋体"/>
          <w:b/>
          <w:bCs/>
        </w:rPr>
      </w:pPr>
      <w:r>
        <w:rPr>
          <w:rFonts w:hint="eastAsia" w:hAnsi="宋体" w:cs="宋体"/>
          <w:b/>
          <w:bCs/>
        </w:rPr>
        <w:t>2、合同总金额</w:t>
      </w:r>
    </w:p>
    <w:p w14:paraId="72F97E5D">
      <w:pPr>
        <w:pStyle w:val="12"/>
        <w:snapToGrid w:val="0"/>
        <w:spacing w:before="120" w:after="120" w:line="360" w:lineRule="auto"/>
        <w:ind w:left="315" w:leftChars="150" w:firstLine="105" w:firstLineChars="50"/>
        <w:rPr>
          <w:rFonts w:hint="eastAsia" w:hAnsi="宋体" w:cs="宋体"/>
        </w:rPr>
      </w:pPr>
      <w:r>
        <w:rPr>
          <w:rFonts w:hint="eastAsia" w:hAnsi="宋体" w:cs="宋体"/>
        </w:rPr>
        <w:t>2.1 本合同金额为（大写）：_______________________________元人民币（¥_____元）。</w:t>
      </w:r>
    </w:p>
    <w:p w14:paraId="68719C96">
      <w:pPr>
        <w:pStyle w:val="12"/>
        <w:snapToGrid w:val="0"/>
        <w:spacing w:before="120" w:after="120" w:line="360" w:lineRule="auto"/>
        <w:ind w:left="315" w:leftChars="150" w:firstLine="105" w:firstLineChars="50"/>
        <w:rPr>
          <w:rFonts w:hint="eastAsia" w:hAnsi="宋体" w:cs="宋体"/>
        </w:rPr>
      </w:pPr>
      <w:r>
        <w:rPr>
          <w:rFonts w:hint="eastAsia" w:hAnsi="宋体" w:cs="宋体"/>
        </w:rPr>
        <w:t>2.2 本项目合同中总金额是包括为完成磋商文件、项目需求、采购人要求服务内容中的</w:t>
      </w:r>
    </w:p>
    <w:p w14:paraId="6991086C">
      <w:pPr>
        <w:pStyle w:val="12"/>
        <w:snapToGrid w:val="0"/>
        <w:spacing w:before="120" w:after="120" w:line="360" w:lineRule="auto"/>
        <w:rPr>
          <w:rFonts w:hint="eastAsia" w:hAnsi="宋体" w:cs="宋体"/>
        </w:rPr>
      </w:pPr>
      <w:r>
        <w:rPr>
          <w:rFonts w:hint="eastAsia" w:hAnsi="宋体" w:cs="宋体"/>
        </w:rPr>
        <w:t>的所有内容，供应商应充分考虑为完成上述内容所必须的全部服务所需的所有费用。</w:t>
      </w:r>
    </w:p>
    <w:p w14:paraId="7BFD0095">
      <w:pPr>
        <w:pStyle w:val="12"/>
        <w:snapToGrid w:val="0"/>
        <w:spacing w:before="120" w:after="120" w:line="360" w:lineRule="auto"/>
        <w:ind w:firstLine="420" w:firstLineChars="200"/>
        <w:rPr>
          <w:rFonts w:hint="eastAsia" w:hAnsi="宋体" w:cs="宋体"/>
        </w:rPr>
      </w:pPr>
      <w:r>
        <w:rPr>
          <w:rFonts w:hint="eastAsia" w:hAnsi="宋体" w:cs="宋体"/>
        </w:rPr>
        <w:t>2.3 在竞争性磋商文件未列明，而乙方认为履行本合同必需的费用也包含在合同总金额中。</w:t>
      </w:r>
    </w:p>
    <w:p w14:paraId="340C3CCE">
      <w:pPr>
        <w:pStyle w:val="12"/>
        <w:snapToGrid w:val="0"/>
        <w:spacing w:before="120" w:after="120" w:line="360" w:lineRule="auto"/>
        <w:ind w:firstLine="420" w:firstLineChars="200"/>
        <w:rPr>
          <w:rFonts w:hint="eastAsia" w:hAnsi="宋体" w:cs="宋体"/>
        </w:rPr>
      </w:pPr>
      <w:r>
        <w:rPr>
          <w:rFonts w:hint="eastAsia" w:hAnsi="宋体" w:cs="宋体"/>
        </w:rPr>
        <w:t>2.4 本合同总金额还包含乙方提供的伴随服务/售后服务费用。</w:t>
      </w:r>
    </w:p>
    <w:p w14:paraId="1FD582D1">
      <w:pPr>
        <w:pStyle w:val="12"/>
        <w:snapToGrid w:val="0"/>
        <w:spacing w:before="120" w:after="120" w:line="360" w:lineRule="auto"/>
        <w:ind w:firstLine="420" w:firstLineChars="200"/>
        <w:rPr>
          <w:rFonts w:hint="eastAsia" w:hAnsi="宋体" w:cs="宋体"/>
          <w:b/>
          <w:bCs/>
        </w:rPr>
      </w:pPr>
      <w:r>
        <w:rPr>
          <w:rFonts w:hint="eastAsia" w:hAnsi="宋体" w:cs="宋体"/>
          <w:b/>
          <w:bCs/>
        </w:rPr>
        <w:t>3、组成本合同的有关文件</w:t>
      </w:r>
    </w:p>
    <w:p w14:paraId="5D08537B">
      <w:pPr>
        <w:pStyle w:val="12"/>
        <w:snapToGrid w:val="0"/>
        <w:spacing w:before="120" w:after="120" w:line="360" w:lineRule="auto"/>
        <w:ind w:left="315" w:leftChars="150" w:firstLine="105" w:firstLineChars="50"/>
        <w:rPr>
          <w:rFonts w:hint="eastAsia" w:hAnsi="宋体" w:cs="宋体"/>
        </w:rPr>
      </w:pPr>
      <w:r>
        <w:rPr>
          <w:rFonts w:hint="eastAsia" w:hAnsi="宋体" w:cs="宋体"/>
        </w:rPr>
        <w:t>3.1乙方应按磋商文件规定的时间向甲方提供服务的有关技术资料。</w:t>
      </w:r>
    </w:p>
    <w:p w14:paraId="2377816F">
      <w:pPr>
        <w:pStyle w:val="12"/>
        <w:snapToGrid w:val="0"/>
        <w:spacing w:before="120" w:after="120" w:line="360" w:lineRule="auto"/>
        <w:ind w:firstLine="420" w:firstLineChars="200"/>
        <w:rPr>
          <w:rFonts w:hint="eastAsia" w:hAnsi="宋体" w:cs="宋体"/>
        </w:rPr>
      </w:pPr>
      <w:r>
        <w:rPr>
          <w:rFonts w:hint="eastAsia" w:hAnsi="宋体" w:cs="宋体"/>
        </w:rPr>
        <w:t>3.2 没有甲方事先书面同意，乙方不得将由甲方提供的有关合同或任何合同条文或资料提供给任何其他人。即使向履行本合同有关的人员提供，也应注意保密并限于履行合同的必需范围。</w:t>
      </w:r>
    </w:p>
    <w:p w14:paraId="3AAD3A71">
      <w:pPr>
        <w:pStyle w:val="12"/>
        <w:snapToGrid w:val="0"/>
        <w:spacing w:before="120" w:after="120" w:line="360" w:lineRule="auto"/>
        <w:ind w:firstLine="420" w:firstLineChars="200"/>
        <w:rPr>
          <w:rFonts w:hint="eastAsia" w:hAnsi="宋体" w:cs="宋体"/>
        </w:rPr>
      </w:pPr>
      <w:r>
        <w:rPr>
          <w:rFonts w:hint="eastAsia" w:hAnsi="宋体" w:cs="宋体"/>
        </w:rPr>
        <w:t>3.3 关于本项目政府采购的磋商文件、磋商响应文件或与本次采购活动方式相适应的文件及有关附件是本合同不可分割的组成部分，这些文件包括但不限于：</w:t>
      </w:r>
    </w:p>
    <w:p w14:paraId="22A7E6F5">
      <w:pPr>
        <w:pStyle w:val="12"/>
        <w:snapToGrid w:val="0"/>
        <w:spacing w:before="120" w:after="120" w:line="360" w:lineRule="auto"/>
        <w:ind w:left="359" w:hanging="359" w:hangingChars="171"/>
        <w:rPr>
          <w:rFonts w:hint="eastAsia" w:hAnsi="宋体" w:cs="宋体"/>
        </w:rPr>
      </w:pPr>
      <w:r>
        <w:rPr>
          <w:rFonts w:hint="eastAsia" w:hAnsi="宋体" w:cs="宋体"/>
        </w:rPr>
        <w:t xml:space="preserve">   （1）磋商响应文件；               （2）磋商报价文件；</w:t>
      </w:r>
    </w:p>
    <w:p w14:paraId="1E53F9AE">
      <w:pPr>
        <w:pStyle w:val="12"/>
        <w:snapToGrid w:val="0"/>
        <w:spacing w:before="120" w:after="120" w:line="360" w:lineRule="auto"/>
        <w:ind w:left="359" w:hanging="359" w:hangingChars="171"/>
        <w:rPr>
          <w:rFonts w:hint="eastAsia" w:hAnsi="宋体" w:cs="宋体"/>
        </w:rPr>
      </w:pPr>
      <w:r>
        <w:rPr>
          <w:rFonts w:hint="eastAsia" w:hAnsi="宋体" w:cs="宋体"/>
        </w:rPr>
        <w:t xml:space="preserve">   （3）项目组人员表                 （4）技术参数、商务条款响应及偏离表；</w:t>
      </w:r>
    </w:p>
    <w:p w14:paraId="169E564A">
      <w:pPr>
        <w:pStyle w:val="12"/>
        <w:snapToGrid w:val="0"/>
        <w:spacing w:before="120" w:after="120" w:line="360" w:lineRule="auto"/>
        <w:ind w:left="359" w:hanging="359" w:hangingChars="171"/>
        <w:rPr>
          <w:rFonts w:hint="eastAsia" w:hAnsi="宋体" w:cs="宋体"/>
        </w:rPr>
      </w:pPr>
      <w:r>
        <w:rPr>
          <w:rFonts w:hint="eastAsia" w:hAnsi="宋体" w:cs="宋体"/>
        </w:rPr>
        <w:t xml:space="preserve">   （5）服务承诺；                   （6）成交通知书；</w:t>
      </w:r>
    </w:p>
    <w:p w14:paraId="536112B3">
      <w:pPr>
        <w:pStyle w:val="12"/>
        <w:snapToGrid w:val="0"/>
        <w:spacing w:before="120" w:after="120" w:line="360" w:lineRule="auto"/>
        <w:ind w:left="359" w:hanging="359" w:hangingChars="171"/>
        <w:rPr>
          <w:rFonts w:hint="eastAsia" w:hAnsi="宋体" w:cs="宋体"/>
        </w:rPr>
      </w:pPr>
      <w:r>
        <w:rPr>
          <w:rFonts w:hint="eastAsia" w:hAnsi="宋体" w:cs="宋体"/>
        </w:rPr>
        <w:t xml:space="preserve">   （7）甲乙双方补充协议；           （8）乙方磋商时提供的响应文件。</w:t>
      </w:r>
    </w:p>
    <w:p w14:paraId="4E17313F">
      <w:pPr>
        <w:pStyle w:val="12"/>
        <w:snapToGrid w:val="0"/>
        <w:spacing w:before="120" w:after="120" w:line="360" w:lineRule="auto"/>
        <w:ind w:left="315" w:leftChars="150" w:firstLine="105" w:firstLineChars="50"/>
        <w:rPr>
          <w:rFonts w:hint="eastAsia" w:hAnsi="宋体" w:cs="宋体"/>
          <w:b/>
          <w:bCs/>
        </w:rPr>
      </w:pPr>
      <w:r>
        <w:rPr>
          <w:rFonts w:hint="eastAsia" w:hAnsi="宋体" w:cs="宋体"/>
          <w:b/>
          <w:bCs/>
        </w:rPr>
        <w:t>4、知识产权保证</w:t>
      </w:r>
    </w:p>
    <w:p w14:paraId="6AC91E04">
      <w:pPr>
        <w:autoSpaceDE w:val="0"/>
        <w:autoSpaceDN w:val="0"/>
        <w:spacing w:line="360" w:lineRule="auto"/>
        <w:ind w:firstLine="420" w:firstLineChars="200"/>
        <w:rPr>
          <w:rFonts w:hint="eastAsia" w:ascii="宋体" w:hAnsi="宋体" w:cs="宋体"/>
          <w:szCs w:val="21"/>
        </w:rPr>
      </w:pPr>
      <w:r>
        <w:rPr>
          <w:rFonts w:hint="eastAsia" w:ascii="宋体" w:hAnsi="宋体" w:cs="宋体"/>
          <w:szCs w:val="21"/>
        </w:rPr>
        <w:t>乙方保证甲方在使用、接受本合同服务或其任何一部分时，不受第三方提出侵犯其专利权、版权、商标权和工业设计权等知识产权的起诉。一旦出现侵权，由乙方负全部责任。</w:t>
      </w:r>
    </w:p>
    <w:p w14:paraId="40918161">
      <w:pPr>
        <w:pStyle w:val="12"/>
        <w:snapToGrid w:val="0"/>
        <w:spacing w:before="120" w:after="120" w:line="360" w:lineRule="auto"/>
        <w:ind w:firstLine="420" w:firstLineChars="200"/>
        <w:rPr>
          <w:rFonts w:hint="eastAsia" w:hAnsi="宋体" w:cs="宋体"/>
          <w:b/>
          <w:bCs/>
        </w:rPr>
      </w:pPr>
      <w:r>
        <w:rPr>
          <w:rFonts w:hint="eastAsia" w:hAnsi="宋体" w:cs="宋体"/>
          <w:b/>
          <w:bCs/>
        </w:rPr>
        <w:t>5、产权保证</w:t>
      </w:r>
    </w:p>
    <w:p w14:paraId="291D3EE1">
      <w:pPr>
        <w:autoSpaceDE w:val="0"/>
        <w:autoSpaceDN w:val="0"/>
        <w:spacing w:line="360" w:lineRule="auto"/>
        <w:ind w:firstLine="420" w:firstLineChars="200"/>
        <w:rPr>
          <w:rFonts w:hint="eastAsia" w:ascii="宋体" w:hAnsi="宋体" w:cs="宋体"/>
          <w:szCs w:val="21"/>
        </w:rPr>
      </w:pPr>
      <w:r>
        <w:rPr>
          <w:rFonts w:hint="eastAsia" w:ascii="宋体" w:hAnsi="宋体" w:cs="宋体"/>
          <w:szCs w:val="21"/>
        </w:rPr>
        <w:t>乙方保证所交付的服务和服务所涉及的物品所有权无任何抵押、查封等权利瑕疵。</w:t>
      </w:r>
    </w:p>
    <w:p w14:paraId="62021301">
      <w:pPr>
        <w:pStyle w:val="12"/>
        <w:snapToGrid w:val="0"/>
        <w:spacing w:before="120" w:after="120" w:line="360" w:lineRule="auto"/>
        <w:ind w:left="315" w:leftChars="150" w:firstLine="105" w:firstLineChars="50"/>
        <w:rPr>
          <w:rFonts w:hint="eastAsia" w:hAnsi="宋体" w:cs="宋体"/>
          <w:b/>
          <w:bCs/>
        </w:rPr>
      </w:pPr>
      <w:r>
        <w:rPr>
          <w:rFonts w:hint="eastAsia" w:hAnsi="宋体" w:cs="宋体"/>
          <w:b/>
          <w:bCs/>
        </w:rPr>
        <w:t>6、保证金</w:t>
      </w:r>
    </w:p>
    <w:p w14:paraId="04A00255">
      <w:pPr>
        <w:pStyle w:val="12"/>
        <w:snapToGrid w:val="0"/>
        <w:spacing w:before="120" w:after="120" w:line="360" w:lineRule="auto"/>
        <w:ind w:firstLine="420" w:firstLineChars="200"/>
        <w:rPr>
          <w:rFonts w:hint="eastAsia" w:hAnsi="宋体" w:cs="宋体"/>
        </w:rPr>
      </w:pPr>
      <w:r>
        <w:rPr>
          <w:rFonts w:hint="eastAsia" w:hAnsi="宋体" w:cs="宋体"/>
        </w:rPr>
        <w:t>6.1 无</w:t>
      </w:r>
    </w:p>
    <w:p w14:paraId="098618C0">
      <w:pPr>
        <w:pStyle w:val="12"/>
        <w:snapToGrid w:val="0"/>
        <w:spacing w:before="120" w:after="120" w:line="360" w:lineRule="auto"/>
        <w:ind w:left="315" w:leftChars="150" w:firstLine="105" w:firstLineChars="50"/>
        <w:rPr>
          <w:rFonts w:hint="eastAsia" w:hAnsi="宋体" w:cs="宋体"/>
          <w:b/>
          <w:bCs/>
        </w:rPr>
      </w:pPr>
      <w:r>
        <w:rPr>
          <w:rFonts w:hint="eastAsia" w:hAnsi="宋体" w:cs="宋体"/>
          <w:b/>
          <w:bCs/>
        </w:rPr>
        <w:t>7、转包或分包</w:t>
      </w:r>
    </w:p>
    <w:p w14:paraId="7870351E">
      <w:pPr>
        <w:pStyle w:val="12"/>
        <w:snapToGrid w:val="0"/>
        <w:spacing w:before="120" w:after="120" w:line="360" w:lineRule="auto"/>
        <w:ind w:firstLine="420" w:firstLineChars="200"/>
        <w:rPr>
          <w:rFonts w:hint="eastAsia" w:hAnsi="宋体" w:cs="宋体"/>
        </w:rPr>
      </w:pPr>
      <w:r>
        <w:rPr>
          <w:rFonts w:hint="eastAsia" w:hAnsi="宋体" w:cs="宋体"/>
        </w:rPr>
        <w:t>7.1 本合同禁止转包和分包，本合同范围的服务，应由乙方直接提供的，不得转让或分包给他人提供。</w:t>
      </w:r>
    </w:p>
    <w:p w14:paraId="03B2C905">
      <w:pPr>
        <w:pStyle w:val="12"/>
        <w:snapToGrid w:val="0"/>
        <w:spacing w:before="120" w:after="120" w:line="360" w:lineRule="auto"/>
        <w:ind w:left="315" w:leftChars="150" w:firstLine="105" w:firstLineChars="50"/>
        <w:rPr>
          <w:rFonts w:hint="eastAsia" w:hAnsi="宋体" w:cs="宋体"/>
          <w:b/>
          <w:bCs/>
        </w:rPr>
      </w:pPr>
      <w:r>
        <w:rPr>
          <w:rFonts w:hint="eastAsia" w:hAnsi="宋体" w:cs="宋体"/>
          <w:b/>
          <w:bCs/>
        </w:rPr>
        <w:t>8、服务期</w:t>
      </w:r>
    </w:p>
    <w:p w14:paraId="7CD687E0">
      <w:pPr>
        <w:spacing w:line="360" w:lineRule="auto"/>
        <w:ind w:firstLine="420" w:firstLineChars="200"/>
        <w:rPr>
          <w:rFonts w:hint="eastAsia" w:ascii="宋体" w:hAnsi="宋体" w:cs="宋体"/>
          <w:szCs w:val="21"/>
        </w:rPr>
      </w:pPr>
      <w:r>
        <w:rPr>
          <w:rFonts w:hint="eastAsia" w:ascii="宋体" w:hAnsi="宋体" w:cs="宋体"/>
          <w:szCs w:val="21"/>
        </w:rPr>
        <w:t>8.1本项目服务期为：2026年  月   日至2027年  月   日。</w:t>
      </w:r>
    </w:p>
    <w:p w14:paraId="4D278C05">
      <w:pPr>
        <w:spacing w:line="560" w:lineRule="exact"/>
        <w:ind w:right="-92" w:rightChars="-44" w:firstLine="420" w:firstLineChars="200"/>
        <w:rPr>
          <w:rFonts w:hint="eastAsia" w:asciiTheme="minorEastAsia" w:hAnsiTheme="minorEastAsia" w:cstheme="minorEastAsia"/>
          <w:sz w:val="28"/>
          <w:szCs w:val="28"/>
        </w:rPr>
      </w:pPr>
      <w:r>
        <w:rPr>
          <w:rFonts w:hint="eastAsia" w:ascii="宋体" w:hAnsi="宋体" w:cs="宋体"/>
          <w:szCs w:val="21"/>
        </w:rPr>
        <w:t>8.2本次合同有效期为：2026年   月   日至2027年   月   日；合同有效期内，乙方违反合同规定或达不到甲方考核要求的，甲方有权提前终止合同，由此造成的所有责任和损失由乙方自行承担。</w:t>
      </w:r>
    </w:p>
    <w:p w14:paraId="0133682C">
      <w:pPr>
        <w:spacing w:line="560" w:lineRule="exact"/>
        <w:ind w:right="-92" w:rightChars="-44" w:firstLine="420" w:firstLineChars="200"/>
        <w:rPr>
          <w:rFonts w:hint="eastAsia" w:ascii="宋体" w:hAnsi="宋体" w:cs="宋体"/>
          <w:szCs w:val="21"/>
        </w:rPr>
      </w:pPr>
      <w:r>
        <w:rPr>
          <w:rFonts w:hint="eastAsia" w:ascii="宋体" w:hAnsi="宋体" w:cs="宋体"/>
          <w:szCs w:val="21"/>
        </w:rPr>
        <w:t>8.3合同期满后，甲方有权视乙方合同执行情况决定是否签署下一年度服务合同。甲方如无异议，双方另行签署下一年度合同。</w:t>
      </w:r>
    </w:p>
    <w:p w14:paraId="2C3016FC">
      <w:pPr>
        <w:pStyle w:val="12"/>
        <w:snapToGrid w:val="0"/>
        <w:spacing w:before="120" w:after="120" w:line="360" w:lineRule="auto"/>
        <w:ind w:left="315" w:leftChars="150" w:firstLine="105" w:firstLineChars="50"/>
        <w:rPr>
          <w:rFonts w:hint="eastAsia" w:hAnsi="宋体" w:cs="宋体"/>
          <w:b/>
          <w:bCs/>
        </w:rPr>
      </w:pPr>
      <w:r>
        <w:rPr>
          <w:rFonts w:hint="eastAsia" w:hAnsi="宋体" w:cs="宋体"/>
          <w:b/>
          <w:bCs/>
        </w:rPr>
        <w:t>9、货款支付</w:t>
      </w:r>
    </w:p>
    <w:p w14:paraId="4BEE8176">
      <w:pPr>
        <w:autoSpaceDE w:val="0"/>
        <w:autoSpaceDN w:val="0"/>
        <w:spacing w:line="360" w:lineRule="auto"/>
        <w:ind w:firstLine="420" w:firstLineChars="200"/>
        <w:rPr>
          <w:rFonts w:hint="eastAsia" w:ascii="宋体" w:hAnsi="宋体" w:cs="宋体"/>
          <w:kern w:val="0"/>
          <w:szCs w:val="21"/>
        </w:rPr>
      </w:pPr>
      <w:r>
        <w:rPr>
          <w:rFonts w:hint="eastAsia" w:ascii="宋体" w:hAnsi="宋体" w:cs="宋体"/>
          <w:kern w:val="0"/>
          <w:szCs w:val="21"/>
        </w:rPr>
        <w:t xml:space="preserve">9.1 本合同项下所有款项均以人民币支付。 </w:t>
      </w:r>
    </w:p>
    <w:p w14:paraId="17E96EE3">
      <w:pPr>
        <w:autoSpaceDE w:val="0"/>
        <w:autoSpaceDN w:val="0"/>
        <w:spacing w:line="360" w:lineRule="auto"/>
        <w:ind w:firstLine="420" w:firstLineChars="200"/>
        <w:rPr>
          <w:rFonts w:hint="eastAsia" w:ascii="宋体" w:hAnsi="宋体" w:cs="宋体"/>
          <w:kern w:val="0"/>
          <w:szCs w:val="21"/>
        </w:rPr>
      </w:pPr>
      <w:r>
        <w:rPr>
          <w:rFonts w:hint="eastAsia" w:ascii="宋体" w:hAnsi="宋体" w:cs="宋体"/>
          <w:kern w:val="0"/>
          <w:szCs w:val="21"/>
        </w:rPr>
        <w:t>9.2 本合同项下的采购资金由甲方支付，付款前乙方向甲方开具发票。</w:t>
      </w:r>
    </w:p>
    <w:p w14:paraId="714FC28B">
      <w:pPr>
        <w:autoSpaceDE w:val="0"/>
        <w:autoSpaceDN w:val="0"/>
        <w:spacing w:line="360" w:lineRule="auto"/>
        <w:ind w:firstLine="420" w:firstLineChars="200"/>
        <w:rPr>
          <w:rFonts w:hint="eastAsia" w:ascii="宋体" w:hAnsi="宋体" w:cs="宋体"/>
          <w:kern w:val="0"/>
          <w:szCs w:val="21"/>
        </w:rPr>
      </w:pPr>
      <w:r>
        <w:rPr>
          <w:rFonts w:hint="eastAsia" w:ascii="宋体" w:hAnsi="宋体" w:cs="宋体"/>
          <w:kern w:val="0"/>
          <w:szCs w:val="21"/>
        </w:rPr>
        <w:t>9.3 支付方式：</w:t>
      </w:r>
    </w:p>
    <w:p w14:paraId="1BE744A9">
      <w:pPr>
        <w:pStyle w:val="12"/>
        <w:snapToGrid w:val="0"/>
        <w:spacing w:before="120" w:after="120" w:line="360" w:lineRule="auto"/>
        <w:ind w:left="420" w:leftChars="200" w:firstLine="400" w:firstLineChars="200"/>
        <w:rPr>
          <w:rFonts w:hint="eastAsia" w:hAnsi="宋体" w:cs="宋体"/>
          <w:sz w:val="20"/>
          <w:szCs w:val="20"/>
        </w:rPr>
      </w:pPr>
      <w:r>
        <w:rPr>
          <w:rFonts w:hint="eastAsia" w:hAnsi="宋体" w:cs="宋体"/>
          <w:sz w:val="20"/>
          <w:szCs w:val="20"/>
        </w:rPr>
        <w:t>合同签订后凭开具的正规增值税发票付款支付合同总价50%；服务期满且服务质量合格的情况下，凭验收文档及开具的正规增值税发票支付剩余合同总价50%。如资源使用不足一年，则按实际使用月数支付，月单价为（年报价/</w:t>
      </w:r>
      <w:r>
        <w:rPr>
          <w:rFonts w:hAnsi="宋体" w:cs="宋体"/>
          <w:sz w:val="20"/>
          <w:szCs w:val="20"/>
        </w:rPr>
        <w:t>12</w:t>
      </w:r>
      <w:r>
        <w:rPr>
          <w:rFonts w:hint="eastAsia" w:hAnsi="宋体" w:cs="宋体"/>
          <w:sz w:val="20"/>
          <w:szCs w:val="20"/>
        </w:rPr>
        <w:t>）。</w:t>
      </w:r>
    </w:p>
    <w:p w14:paraId="1241CC1B">
      <w:pPr>
        <w:pStyle w:val="12"/>
        <w:snapToGrid w:val="0"/>
        <w:spacing w:before="120" w:after="120" w:line="360" w:lineRule="auto"/>
        <w:ind w:left="315" w:leftChars="150" w:firstLine="105" w:firstLineChars="50"/>
        <w:rPr>
          <w:rFonts w:hint="eastAsia" w:hAnsi="宋体" w:cs="宋体"/>
          <w:b/>
          <w:bCs/>
        </w:rPr>
      </w:pPr>
      <w:r>
        <w:rPr>
          <w:rFonts w:hint="eastAsia" w:hAnsi="宋体" w:cs="宋体"/>
          <w:b/>
          <w:bCs/>
        </w:rPr>
        <w:t>10、税费</w:t>
      </w:r>
    </w:p>
    <w:p w14:paraId="013FF0F1">
      <w:pPr>
        <w:pStyle w:val="12"/>
        <w:snapToGrid w:val="0"/>
        <w:spacing w:before="120" w:after="120" w:line="360" w:lineRule="auto"/>
        <w:ind w:firstLine="420" w:firstLineChars="200"/>
        <w:rPr>
          <w:rFonts w:hint="eastAsia" w:hAnsi="宋体" w:cs="宋体"/>
          <w:b/>
          <w:bCs/>
        </w:rPr>
      </w:pPr>
      <w:r>
        <w:rPr>
          <w:rFonts w:hint="eastAsia" w:hAnsi="宋体" w:cs="宋体"/>
        </w:rPr>
        <w:t>本合同执行中相关的一切税费均由乙方负担。</w:t>
      </w:r>
    </w:p>
    <w:p w14:paraId="0D0B0BD2">
      <w:pPr>
        <w:pStyle w:val="12"/>
        <w:snapToGrid w:val="0"/>
        <w:spacing w:before="120" w:after="120" w:line="360" w:lineRule="auto"/>
        <w:ind w:left="315" w:leftChars="150" w:firstLine="105" w:firstLineChars="50"/>
        <w:rPr>
          <w:rFonts w:hint="eastAsia" w:hAnsi="宋体" w:cs="宋体"/>
          <w:b/>
          <w:bCs/>
        </w:rPr>
      </w:pPr>
      <w:r>
        <w:rPr>
          <w:rFonts w:hint="eastAsia" w:hAnsi="宋体" w:cs="宋体"/>
          <w:b/>
          <w:bCs/>
        </w:rPr>
        <w:t>11、质量保证及售后服务</w:t>
      </w:r>
    </w:p>
    <w:p w14:paraId="7BD12897">
      <w:pPr>
        <w:spacing w:before="156" w:beforeLines="50" w:after="156" w:afterLines="50" w:line="360" w:lineRule="auto"/>
        <w:ind w:firstLine="420" w:firstLineChars="200"/>
        <w:rPr>
          <w:rFonts w:hint="eastAsia" w:ascii="宋体" w:hAnsi="宋体" w:cs="宋体"/>
          <w:szCs w:val="21"/>
        </w:rPr>
      </w:pPr>
      <w:r>
        <w:rPr>
          <w:rFonts w:hint="eastAsia" w:ascii="宋体" w:hAnsi="宋体" w:cs="宋体"/>
          <w:szCs w:val="21"/>
        </w:rPr>
        <w:t>11.1 乙方应按磋商文件规定及响应文件承诺的技术性能、技术要求、质量标准向甲方提供服务；若无特殊说明，则按国家有关部门最新颁布的标准及规范为准。</w:t>
      </w:r>
    </w:p>
    <w:p w14:paraId="220F2221">
      <w:pPr>
        <w:spacing w:before="156" w:beforeLines="50" w:after="156" w:afterLines="50" w:line="360" w:lineRule="auto"/>
        <w:ind w:firstLine="420" w:firstLineChars="200"/>
        <w:rPr>
          <w:rFonts w:hint="eastAsia" w:ascii="宋体" w:hAnsi="宋体" w:cs="宋体"/>
          <w:szCs w:val="21"/>
        </w:rPr>
      </w:pPr>
      <w:r>
        <w:rPr>
          <w:rFonts w:hint="eastAsia" w:ascii="宋体" w:hAnsi="宋体" w:cs="宋体"/>
          <w:szCs w:val="21"/>
        </w:rPr>
        <w:t>11.2乙方应保证其提供的服务是全面和规范的，并完全符合磋商及响应文件。如因乙方提供的服务有瑕疵造成甲方损失的，所需费用由乙方承担。</w:t>
      </w:r>
    </w:p>
    <w:p w14:paraId="399D1232">
      <w:pPr>
        <w:spacing w:before="156" w:beforeLines="50" w:after="156" w:afterLines="50" w:line="360" w:lineRule="auto"/>
        <w:ind w:firstLine="420" w:firstLineChars="200"/>
        <w:rPr>
          <w:rFonts w:hint="eastAsia" w:ascii="宋体" w:hAnsi="宋体" w:cs="宋体"/>
          <w:szCs w:val="21"/>
        </w:rPr>
      </w:pPr>
      <w:r>
        <w:rPr>
          <w:rFonts w:hint="eastAsia" w:ascii="宋体" w:hAnsi="宋体" w:cs="宋体"/>
          <w:szCs w:val="21"/>
        </w:rPr>
        <w:t>11.3 服务过程中，乙方应对所提供服务出现的质量及安全问题负责处理解决并承担一切费用。</w:t>
      </w:r>
    </w:p>
    <w:p w14:paraId="7BD4B904">
      <w:pPr>
        <w:spacing w:before="156" w:beforeLines="50" w:after="156" w:afterLines="50" w:line="360" w:lineRule="auto"/>
        <w:ind w:firstLine="420" w:firstLineChars="200"/>
        <w:rPr>
          <w:rFonts w:hint="eastAsia" w:ascii="宋体" w:hAnsi="宋体" w:cs="宋体"/>
          <w:szCs w:val="21"/>
        </w:rPr>
      </w:pPr>
      <w:r>
        <w:rPr>
          <w:rFonts w:ascii="宋体" w:hAnsi="宋体" w:cs="宋体"/>
          <w:szCs w:val="21"/>
        </w:rPr>
        <w:t>1</w:t>
      </w:r>
      <w:r>
        <w:rPr>
          <w:rFonts w:hint="eastAsia" w:ascii="宋体" w:hAnsi="宋体" w:cs="宋体"/>
          <w:szCs w:val="21"/>
        </w:rPr>
        <w:t>1.</w:t>
      </w:r>
      <w:r>
        <w:rPr>
          <w:rFonts w:ascii="宋体" w:hAnsi="宋体" w:cs="宋体"/>
          <w:szCs w:val="21"/>
        </w:rPr>
        <w:t xml:space="preserve">4 </w:t>
      </w:r>
      <w:r>
        <w:rPr>
          <w:rFonts w:hint="eastAsia" w:ascii="宋体" w:hAnsi="宋体" w:cs="宋体"/>
          <w:szCs w:val="21"/>
        </w:rPr>
        <w:t>按照谁建设谁运营谁负责的原则，本次项目安全工作责任由服务提供方负责。项目内信息系统按等级保护（三）级要求，项目内赠送的系统和软件，也需纳入整体项目安全管理。</w:t>
      </w:r>
    </w:p>
    <w:p w14:paraId="2ACACF1B">
      <w:pPr>
        <w:spacing w:before="156" w:beforeLines="50" w:after="156" w:afterLines="50" w:line="360" w:lineRule="auto"/>
        <w:ind w:firstLine="420" w:firstLineChars="200"/>
        <w:rPr>
          <w:rFonts w:hint="eastAsia" w:ascii="宋体" w:hAnsi="宋体" w:cs="宋体"/>
          <w:szCs w:val="21"/>
        </w:rPr>
      </w:pPr>
      <w:r>
        <w:rPr>
          <w:rFonts w:ascii="宋体" w:hAnsi="宋体" w:cs="宋体"/>
          <w:szCs w:val="21"/>
        </w:rPr>
        <w:t>11</w:t>
      </w:r>
      <w:r>
        <w:rPr>
          <w:rFonts w:hint="eastAsia" w:ascii="宋体" w:hAnsi="宋体" w:cs="宋体"/>
          <w:szCs w:val="21"/>
        </w:rPr>
        <w:t>.</w:t>
      </w:r>
      <w:r>
        <w:rPr>
          <w:rFonts w:ascii="宋体" w:hAnsi="宋体" w:cs="宋体"/>
          <w:szCs w:val="21"/>
        </w:rPr>
        <w:t xml:space="preserve">5 </w:t>
      </w:r>
      <w:r>
        <w:rPr>
          <w:rFonts w:hint="eastAsia" w:ascii="宋体" w:hAnsi="宋体" w:cs="宋体"/>
          <w:szCs w:val="21"/>
        </w:rPr>
        <w:t>项目提供的云服务，需要通过国家信息互联网办公室等开展的“云计算安全评估”。</w:t>
      </w:r>
    </w:p>
    <w:p w14:paraId="41781401">
      <w:pPr>
        <w:spacing w:before="156" w:beforeLines="50" w:after="156" w:afterLines="50" w:line="360" w:lineRule="auto"/>
        <w:ind w:firstLine="420" w:firstLineChars="200"/>
        <w:rPr>
          <w:rFonts w:hint="eastAsia" w:ascii="宋体" w:hAnsi="宋体" w:cs="宋体"/>
          <w:szCs w:val="21"/>
        </w:rPr>
      </w:pPr>
      <w:r>
        <w:rPr>
          <w:rFonts w:ascii="宋体" w:hAnsi="宋体" w:cs="宋体"/>
          <w:szCs w:val="21"/>
        </w:rPr>
        <w:t>11</w:t>
      </w:r>
      <w:r>
        <w:rPr>
          <w:rFonts w:hint="eastAsia" w:ascii="宋体" w:hAnsi="宋体" w:cs="宋体"/>
          <w:szCs w:val="21"/>
        </w:rPr>
        <w:t>.</w:t>
      </w:r>
      <w:r>
        <w:rPr>
          <w:rFonts w:ascii="宋体" w:hAnsi="宋体" w:cs="宋体"/>
          <w:szCs w:val="21"/>
        </w:rPr>
        <w:t xml:space="preserve">6 </w:t>
      </w:r>
      <w:r>
        <w:rPr>
          <w:rFonts w:hint="eastAsia" w:ascii="宋体" w:hAnsi="宋体" w:cs="宋体"/>
          <w:szCs w:val="21"/>
        </w:rPr>
        <w:t>整体项目组所有成员需要与医院签订安全承诺和保密协议。停止服务后的系统数据，经医院确认后需要安全销毁；</w:t>
      </w:r>
    </w:p>
    <w:p w14:paraId="36A431FF">
      <w:pPr>
        <w:spacing w:before="156" w:beforeLines="50" w:after="156" w:afterLines="50" w:line="360" w:lineRule="auto"/>
        <w:ind w:firstLine="420" w:firstLineChars="200"/>
        <w:rPr>
          <w:rFonts w:hint="eastAsia" w:ascii="宋体" w:hAnsi="宋体" w:cs="宋体"/>
          <w:szCs w:val="21"/>
        </w:rPr>
      </w:pPr>
      <w:r>
        <w:rPr>
          <w:rFonts w:ascii="宋体" w:hAnsi="宋体" w:cs="宋体"/>
          <w:szCs w:val="21"/>
        </w:rPr>
        <w:t>11</w:t>
      </w:r>
      <w:r>
        <w:rPr>
          <w:rFonts w:hint="eastAsia" w:ascii="宋体" w:hAnsi="宋体" w:cs="宋体"/>
          <w:szCs w:val="21"/>
        </w:rPr>
        <w:t>.</w:t>
      </w:r>
      <w:r>
        <w:rPr>
          <w:rFonts w:ascii="宋体" w:hAnsi="宋体" w:cs="宋体"/>
          <w:szCs w:val="21"/>
        </w:rPr>
        <w:t xml:space="preserve">7 </w:t>
      </w:r>
      <w:r>
        <w:rPr>
          <w:rFonts w:hint="eastAsia" w:ascii="宋体" w:hAnsi="宋体" w:cs="宋体"/>
          <w:szCs w:val="21"/>
        </w:rPr>
        <w:t>服务项目需要定期组织安全监测评估安全风险，对中高风险漏洞、安全防护存在的问题进行修复，采取防范病毒、攻击、入侵等危害行为的防护措施，做好网络、数据库操作日志留存（不低于六个月）。</w:t>
      </w:r>
    </w:p>
    <w:p w14:paraId="08388861">
      <w:pPr>
        <w:pStyle w:val="27"/>
        <w:ind w:firstLine="420"/>
      </w:pPr>
    </w:p>
    <w:p w14:paraId="59CFE992">
      <w:pPr>
        <w:pStyle w:val="12"/>
        <w:snapToGrid w:val="0"/>
        <w:spacing w:before="120" w:after="120" w:line="360" w:lineRule="auto"/>
        <w:ind w:left="315" w:leftChars="150" w:firstLine="105" w:firstLineChars="50"/>
        <w:rPr>
          <w:rFonts w:hint="eastAsia" w:hAnsi="宋体" w:cs="宋体"/>
          <w:b/>
          <w:bCs/>
        </w:rPr>
      </w:pPr>
      <w:r>
        <w:rPr>
          <w:rFonts w:hint="eastAsia" w:hAnsi="宋体" w:cs="宋体"/>
          <w:b/>
          <w:bCs/>
        </w:rPr>
        <w:t>12、交付和验收</w:t>
      </w:r>
    </w:p>
    <w:p w14:paraId="184064FA">
      <w:pPr>
        <w:spacing w:line="360" w:lineRule="auto"/>
        <w:ind w:firstLine="420" w:firstLineChars="200"/>
        <w:rPr>
          <w:rFonts w:hint="eastAsia" w:ascii="宋体" w:hAnsi="宋体" w:cs="宋体"/>
          <w:szCs w:val="21"/>
        </w:rPr>
      </w:pPr>
      <w:r>
        <w:rPr>
          <w:rFonts w:hint="eastAsia" w:ascii="宋体" w:hAnsi="宋体" w:cs="宋体"/>
          <w:szCs w:val="21"/>
        </w:rPr>
        <w:t>12.1 乙方应当在</w:t>
      </w:r>
      <w:r>
        <w:rPr>
          <w:rFonts w:hint="eastAsia" w:ascii="宋体" w:hAnsi="宋体" w:cs="宋体"/>
          <w:szCs w:val="21"/>
          <w:u w:val="single"/>
        </w:rPr>
        <w:t xml:space="preserve">     年   月    日</w:t>
      </w:r>
      <w:r>
        <w:rPr>
          <w:rFonts w:hint="eastAsia" w:ascii="宋体" w:hAnsi="宋体" w:cs="宋体"/>
          <w:szCs w:val="21"/>
        </w:rPr>
        <w:t>前完成服务事项，竞争性磋商文件有约定的，从其约定。</w:t>
      </w:r>
    </w:p>
    <w:p w14:paraId="796E839D">
      <w:pPr>
        <w:spacing w:line="360" w:lineRule="auto"/>
        <w:ind w:firstLine="420" w:firstLineChars="200"/>
        <w:rPr>
          <w:rFonts w:hint="eastAsia" w:ascii="宋体" w:hAnsi="宋体" w:cs="宋体"/>
          <w:szCs w:val="21"/>
        </w:rPr>
      </w:pPr>
      <w:r>
        <w:rPr>
          <w:rFonts w:hint="eastAsia" w:ascii="宋体" w:hAnsi="宋体" w:cs="宋体"/>
          <w:szCs w:val="21"/>
        </w:rPr>
        <w:t>在交付前，乙方应作出全面检查和对验收文件进行整理，并列出清单，检验的结果交甲方。</w:t>
      </w:r>
    </w:p>
    <w:p w14:paraId="1FBC121A">
      <w:pPr>
        <w:pStyle w:val="9"/>
        <w:spacing w:line="360" w:lineRule="auto"/>
        <w:ind w:firstLine="6"/>
        <w:rPr>
          <w:rFonts w:hint="eastAsia" w:ascii="宋体" w:hAnsi="宋体" w:cs="宋体"/>
          <w:szCs w:val="21"/>
        </w:rPr>
      </w:pPr>
      <w:r>
        <w:rPr>
          <w:rFonts w:hint="eastAsia" w:ascii="宋体" w:hAnsi="宋体" w:cs="宋体"/>
          <w:szCs w:val="21"/>
        </w:rPr>
        <w:t>12.2 验收标准：按乙方磋商响应文件的承诺。</w:t>
      </w:r>
    </w:p>
    <w:p w14:paraId="0D0F30DC">
      <w:pPr>
        <w:pStyle w:val="12"/>
        <w:snapToGrid w:val="0"/>
        <w:spacing w:before="120" w:after="120" w:line="360" w:lineRule="auto"/>
        <w:ind w:left="315" w:leftChars="150" w:firstLine="105" w:firstLineChars="50"/>
        <w:rPr>
          <w:rFonts w:hint="eastAsia" w:hAnsi="宋体" w:cs="宋体"/>
          <w:b/>
          <w:bCs/>
        </w:rPr>
      </w:pPr>
      <w:r>
        <w:rPr>
          <w:rFonts w:hint="eastAsia" w:hAnsi="宋体" w:cs="宋体"/>
          <w:b/>
          <w:bCs/>
        </w:rPr>
        <w:t>13、违约责任</w:t>
      </w:r>
    </w:p>
    <w:p w14:paraId="1AD2315B">
      <w:pPr>
        <w:pStyle w:val="12"/>
        <w:snapToGrid w:val="0"/>
        <w:spacing w:before="120" w:after="120" w:line="360" w:lineRule="auto"/>
        <w:ind w:firstLine="420" w:firstLineChars="200"/>
        <w:rPr>
          <w:rFonts w:hint="eastAsia" w:hAnsi="宋体" w:cs="宋体"/>
        </w:rPr>
      </w:pPr>
      <w:r>
        <w:rPr>
          <w:rFonts w:hint="eastAsia" w:hAnsi="宋体" w:cs="宋体"/>
        </w:rPr>
        <w:t>13.1 甲方无故逾期验收和无故逾期办理款项支付手续的,甲方应按逾期付款金额每日万分之五向乙方支付违约金。</w:t>
      </w:r>
    </w:p>
    <w:p w14:paraId="0CBC23D6">
      <w:pPr>
        <w:pStyle w:val="12"/>
        <w:snapToGrid w:val="0"/>
        <w:spacing w:before="120" w:after="120" w:line="360" w:lineRule="auto"/>
        <w:ind w:firstLine="420" w:firstLineChars="200"/>
        <w:rPr>
          <w:rFonts w:hint="eastAsia" w:hAnsi="宋体" w:cs="宋体"/>
        </w:rPr>
      </w:pPr>
      <w:r>
        <w:rPr>
          <w:rFonts w:hint="eastAsia" w:hAnsi="宋体" w:cs="宋体"/>
        </w:rPr>
        <w:t>13.2乙方违约，在消除违约情形前，应按本合同项目总额每日万分之五向甲方支付违约金，甲方可以从待付款项中扣除。</w:t>
      </w:r>
    </w:p>
    <w:p w14:paraId="28B78FED">
      <w:pPr>
        <w:pStyle w:val="12"/>
        <w:snapToGrid w:val="0"/>
        <w:spacing w:before="120" w:after="120" w:line="360" w:lineRule="auto"/>
        <w:ind w:firstLine="420" w:firstLineChars="200"/>
        <w:rPr>
          <w:rFonts w:hint="eastAsia" w:hAnsi="宋体" w:cs="宋体"/>
        </w:rPr>
      </w:pPr>
      <w:r>
        <w:rPr>
          <w:rFonts w:hint="eastAsia" w:hAnsi="宋体" w:cs="宋体"/>
        </w:rPr>
        <w:t>13.3乙方因逾期交付服务项目或因其他违约行为，导致甲方解除合同的，乙方应向甲方支付合同总值5%的违约金，如造成甲方损失超过违约金的，超出部分由乙方继续承担赔偿责任。</w:t>
      </w:r>
    </w:p>
    <w:p w14:paraId="25194001">
      <w:pPr>
        <w:pStyle w:val="12"/>
        <w:snapToGrid w:val="0"/>
        <w:spacing w:before="120" w:after="120" w:line="360" w:lineRule="auto"/>
        <w:ind w:firstLine="420" w:firstLineChars="200"/>
        <w:rPr>
          <w:rFonts w:hint="eastAsia" w:hAnsi="宋体" w:cs="宋体"/>
        </w:rPr>
      </w:pPr>
      <w:r>
        <w:rPr>
          <w:rFonts w:hint="eastAsia" w:hAnsi="宋体" w:cs="宋体"/>
        </w:rPr>
        <w:t>13.4 乙方所交的服务项目全部或部分品种、型号、规格、技术参数、质量不符合合同规定及磋商文件规定标准的，乙方更换服务但逾期交付的（甲方拒绝接受的除外），按乙方逾期交付处理；乙方拒绝更换的，甲方可选择解除本合同或本合同的一部分，并可追究乙方的其他违约责任。</w:t>
      </w:r>
    </w:p>
    <w:p w14:paraId="54B93616">
      <w:pPr>
        <w:pStyle w:val="12"/>
        <w:snapToGrid w:val="0"/>
        <w:spacing w:before="120" w:after="120" w:line="360" w:lineRule="auto"/>
        <w:ind w:firstLine="420" w:firstLineChars="200"/>
        <w:rPr>
          <w:rFonts w:hint="eastAsia" w:hAnsi="宋体" w:cs="宋体"/>
          <w:b/>
          <w:bCs/>
        </w:rPr>
      </w:pPr>
      <w:r>
        <w:rPr>
          <w:rFonts w:hint="eastAsia" w:hAnsi="宋体" w:cs="宋体"/>
          <w:b/>
          <w:bCs/>
        </w:rPr>
        <w:t>14、不可抗力事件处理</w:t>
      </w:r>
    </w:p>
    <w:p w14:paraId="605CCE05">
      <w:pPr>
        <w:pStyle w:val="12"/>
        <w:snapToGrid w:val="0"/>
        <w:spacing w:before="120" w:after="120" w:line="360" w:lineRule="auto"/>
        <w:ind w:firstLine="420" w:firstLineChars="200"/>
        <w:rPr>
          <w:rFonts w:hint="eastAsia" w:hAnsi="宋体" w:cs="宋体"/>
        </w:rPr>
      </w:pPr>
      <w:r>
        <w:rPr>
          <w:rFonts w:hint="eastAsia" w:hAnsi="宋体" w:cs="宋体"/>
        </w:rPr>
        <w:t>14.1 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14:paraId="63588276">
      <w:pPr>
        <w:pStyle w:val="12"/>
        <w:snapToGrid w:val="0"/>
        <w:spacing w:before="120" w:after="120" w:line="360" w:lineRule="auto"/>
        <w:ind w:firstLine="420" w:firstLineChars="200"/>
        <w:rPr>
          <w:rFonts w:hint="eastAsia" w:hAnsi="宋体" w:cs="宋体"/>
        </w:rPr>
      </w:pPr>
      <w:r>
        <w:rPr>
          <w:rFonts w:hint="eastAsia" w:hAnsi="宋体" w:cs="宋体"/>
        </w:rPr>
        <w:t>14.2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14:paraId="5591D13E">
      <w:pPr>
        <w:pStyle w:val="12"/>
        <w:snapToGrid w:val="0"/>
        <w:spacing w:before="120" w:after="120" w:line="360" w:lineRule="auto"/>
        <w:ind w:left="315" w:leftChars="150" w:firstLine="105" w:firstLineChars="50"/>
        <w:rPr>
          <w:rFonts w:hint="eastAsia" w:hAnsi="宋体" w:cs="宋体"/>
          <w:b/>
          <w:bCs/>
        </w:rPr>
      </w:pPr>
      <w:r>
        <w:rPr>
          <w:rFonts w:hint="eastAsia" w:hAnsi="宋体" w:cs="宋体"/>
          <w:b/>
          <w:bCs/>
        </w:rPr>
        <w:t>15、争议解决</w:t>
      </w:r>
    </w:p>
    <w:p w14:paraId="56151256">
      <w:pPr>
        <w:pStyle w:val="12"/>
        <w:snapToGrid w:val="0"/>
        <w:spacing w:before="120" w:after="120" w:line="360" w:lineRule="auto"/>
        <w:ind w:firstLine="420" w:firstLineChars="200"/>
        <w:rPr>
          <w:rFonts w:hint="eastAsia" w:hAnsi="宋体" w:cs="宋体"/>
        </w:rPr>
      </w:pPr>
      <w:r>
        <w:rPr>
          <w:rFonts w:hint="eastAsia" w:hAnsi="宋体" w:cs="宋体"/>
        </w:rPr>
        <w:t>15.1 因履行本合同引起的或与本合同有关的争议，甲、乙双方应首先通过友好协商解决；如果协商不能解决争议，甲乙双方同意采取下列两种方式的第</w:t>
      </w:r>
      <w:r>
        <w:rPr>
          <w:rFonts w:hint="eastAsia" w:hAnsi="宋体" w:cs="宋体"/>
          <w:u w:val="single"/>
        </w:rPr>
        <w:t>（1）</w:t>
      </w:r>
      <w:r>
        <w:rPr>
          <w:rFonts w:hint="eastAsia" w:hAnsi="宋体" w:cs="宋体"/>
        </w:rPr>
        <w:t>种方式解决争议。</w:t>
      </w:r>
    </w:p>
    <w:p w14:paraId="016D4CC8">
      <w:pPr>
        <w:pStyle w:val="12"/>
        <w:snapToGrid w:val="0"/>
        <w:spacing w:before="120" w:after="120" w:line="360" w:lineRule="auto"/>
        <w:ind w:firstLine="420" w:firstLineChars="200"/>
        <w:rPr>
          <w:rFonts w:hint="eastAsia" w:hAnsi="宋体" w:cs="宋体"/>
        </w:rPr>
      </w:pPr>
      <w:r>
        <w:rPr>
          <w:rFonts w:hint="eastAsia" w:hAnsi="宋体" w:cs="宋体"/>
        </w:rPr>
        <w:t>（1）向甲方所在地有管辖权的人民法院提起诉讼，适用中华人民共和国法律；</w:t>
      </w:r>
    </w:p>
    <w:p w14:paraId="59273879">
      <w:pPr>
        <w:pStyle w:val="12"/>
        <w:snapToGrid w:val="0"/>
        <w:spacing w:before="120" w:after="120" w:line="360" w:lineRule="auto"/>
        <w:ind w:firstLine="420" w:firstLineChars="200"/>
        <w:rPr>
          <w:rFonts w:hint="eastAsia" w:hAnsi="宋体" w:cs="宋体"/>
        </w:rPr>
      </w:pPr>
      <w:r>
        <w:rPr>
          <w:rFonts w:hint="eastAsia" w:hAnsi="宋体" w:cs="宋体"/>
        </w:rPr>
        <w:t>（2）向扬州仲裁委员会按其仲裁规则申请仲裁。</w:t>
      </w:r>
    </w:p>
    <w:p w14:paraId="50AE4D0E">
      <w:pPr>
        <w:pStyle w:val="12"/>
        <w:snapToGrid w:val="0"/>
        <w:spacing w:before="120" w:after="120" w:line="360" w:lineRule="auto"/>
        <w:ind w:firstLine="420" w:firstLineChars="200"/>
        <w:rPr>
          <w:rFonts w:hint="eastAsia" w:hAnsi="宋体" w:cs="宋体"/>
        </w:rPr>
      </w:pPr>
      <w:r>
        <w:rPr>
          <w:rFonts w:hint="eastAsia" w:hAnsi="宋体" w:cs="宋体"/>
        </w:rPr>
        <w:t>15.2 若甲乙双方任何一方都没有选择解除合同的，为避免扩大损失，在诉讼或仲裁期间，双方应继续履行。</w:t>
      </w:r>
    </w:p>
    <w:p w14:paraId="49CEE1E2">
      <w:pPr>
        <w:pStyle w:val="12"/>
        <w:snapToGrid w:val="0"/>
        <w:spacing w:before="120" w:after="120" w:line="360" w:lineRule="auto"/>
        <w:ind w:left="315" w:leftChars="150" w:firstLine="105" w:firstLineChars="50"/>
        <w:rPr>
          <w:rFonts w:hint="eastAsia" w:hAnsi="宋体" w:cs="宋体"/>
          <w:b/>
          <w:bCs/>
        </w:rPr>
      </w:pPr>
      <w:r>
        <w:rPr>
          <w:rFonts w:hint="eastAsia" w:hAnsi="宋体" w:cs="宋体"/>
          <w:b/>
          <w:bCs/>
        </w:rPr>
        <w:t>16、合同其它</w:t>
      </w:r>
    </w:p>
    <w:p w14:paraId="20BC861A">
      <w:pPr>
        <w:pStyle w:val="12"/>
        <w:snapToGrid w:val="0"/>
        <w:spacing w:before="120" w:after="120" w:line="360" w:lineRule="auto"/>
        <w:ind w:firstLine="420" w:firstLineChars="200"/>
        <w:rPr>
          <w:rFonts w:hint="eastAsia" w:hAnsi="宋体" w:cs="宋体"/>
        </w:rPr>
      </w:pPr>
      <w:r>
        <w:rPr>
          <w:rFonts w:hint="eastAsia" w:hAnsi="宋体" w:cs="宋体"/>
        </w:rPr>
        <w:t>16.1 乙方在服务全过程中的生命、财产等安全工作由乙方全权负责，发生任何的安全事故与甲方无关。</w:t>
      </w:r>
    </w:p>
    <w:p w14:paraId="7B71559B">
      <w:pPr>
        <w:pStyle w:val="12"/>
        <w:snapToGrid w:val="0"/>
        <w:spacing w:before="120" w:after="120" w:line="360" w:lineRule="auto"/>
        <w:ind w:firstLine="420" w:firstLineChars="200"/>
        <w:rPr>
          <w:rFonts w:hint="eastAsia" w:hAnsi="宋体" w:cs="宋体"/>
        </w:rPr>
      </w:pPr>
      <w:r>
        <w:rPr>
          <w:rFonts w:hint="eastAsia" w:hAnsi="宋体" w:cs="宋体"/>
        </w:rPr>
        <w:t>16.2 乙方应诚实信用，严格按照磋商文件要求和响应承诺履行合同，不向甲方进行商业贿赂或者提供不正当利益。</w:t>
      </w:r>
    </w:p>
    <w:p w14:paraId="45EE040F">
      <w:pPr>
        <w:pStyle w:val="12"/>
        <w:snapToGrid w:val="0"/>
        <w:spacing w:before="120" w:after="120" w:line="360" w:lineRule="auto"/>
        <w:ind w:firstLine="420" w:firstLineChars="200"/>
        <w:rPr>
          <w:rFonts w:hint="eastAsia" w:hAnsi="宋体" w:cs="宋体"/>
          <w:u w:val="single"/>
        </w:rPr>
      </w:pPr>
      <w:r>
        <w:rPr>
          <w:rFonts w:hint="eastAsia" w:hAnsi="宋体" w:cs="宋体"/>
        </w:rPr>
        <w:t>16.3合同经双方法定代表人或授权代表签字并加盖单位公章后并经见证方见证盖章后生效。</w:t>
      </w:r>
    </w:p>
    <w:p w14:paraId="571E8AE4">
      <w:pPr>
        <w:pStyle w:val="12"/>
        <w:snapToGrid w:val="0"/>
        <w:spacing w:before="120" w:after="120" w:line="360" w:lineRule="auto"/>
        <w:ind w:firstLine="420" w:firstLineChars="200"/>
        <w:rPr>
          <w:rFonts w:hint="eastAsia" w:hAnsi="宋体" w:cs="宋体"/>
        </w:rPr>
      </w:pPr>
      <w:r>
        <w:rPr>
          <w:rFonts w:hint="eastAsia" w:hAnsi="宋体" w:cs="宋体"/>
        </w:rPr>
        <w:t>16.4 本合同未尽事宜，遵照《民法典》有关条文执行。</w:t>
      </w:r>
    </w:p>
    <w:p w14:paraId="49C325B1">
      <w:pPr>
        <w:pStyle w:val="12"/>
        <w:snapToGrid w:val="0"/>
        <w:spacing w:before="120" w:after="120" w:line="360" w:lineRule="auto"/>
        <w:ind w:firstLine="420" w:firstLineChars="200"/>
        <w:rPr>
          <w:rFonts w:hint="eastAsia" w:hAnsi="宋体" w:cs="宋体"/>
        </w:rPr>
      </w:pPr>
      <w:r>
        <w:rPr>
          <w:rFonts w:hint="eastAsia" w:hAnsi="宋体" w:cs="宋体"/>
        </w:rPr>
        <w:t>16.5 本合同正本一式四份，具有同等法律效力，甲方、乙方、见证方及财政监管部门各执一份。</w:t>
      </w:r>
    </w:p>
    <w:p w14:paraId="77E6EF4A">
      <w:pPr>
        <w:pStyle w:val="12"/>
        <w:snapToGrid w:val="0"/>
        <w:spacing w:before="120" w:after="120" w:line="360" w:lineRule="auto"/>
        <w:ind w:firstLine="420" w:firstLineChars="200"/>
        <w:rPr>
          <w:rFonts w:hint="eastAsia" w:hAnsi="宋体" w:cs="宋体"/>
        </w:rPr>
      </w:pPr>
    </w:p>
    <w:p w14:paraId="7B71EEFA">
      <w:pPr>
        <w:pStyle w:val="12"/>
        <w:snapToGrid w:val="0"/>
        <w:spacing w:before="120" w:after="120" w:line="360" w:lineRule="auto"/>
        <w:ind w:firstLine="420" w:firstLineChars="200"/>
        <w:rPr>
          <w:rFonts w:hint="eastAsia" w:hAnsi="宋体" w:cs="宋体"/>
        </w:rPr>
      </w:pPr>
    </w:p>
    <w:p w14:paraId="5E89E179">
      <w:pPr>
        <w:pStyle w:val="12"/>
        <w:snapToGrid w:val="0"/>
        <w:spacing w:before="120" w:after="120" w:line="360" w:lineRule="auto"/>
        <w:ind w:left="420" w:hanging="420" w:hangingChars="200"/>
        <w:rPr>
          <w:rFonts w:hint="eastAsia" w:hAnsi="宋体" w:cs="宋体"/>
        </w:rPr>
      </w:pPr>
      <w:r>
        <w:rPr>
          <w:rFonts w:hint="eastAsia" w:hAnsi="宋体" w:cs="宋体"/>
        </w:rPr>
        <w:t xml:space="preserve">  甲方：扬州大学附属医院  </w:t>
      </w:r>
      <w:r>
        <w:rPr>
          <w:rFonts w:hint="eastAsia" w:hAnsi="宋体" w:cs="宋体"/>
        </w:rPr>
        <w:tab/>
      </w:r>
      <w:r>
        <w:rPr>
          <w:rFonts w:hint="eastAsia" w:hAnsi="宋体" w:cs="宋体"/>
        </w:rPr>
        <w:t xml:space="preserve">                      乙方： </w:t>
      </w:r>
    </w:p>
    <w:p w14:paraId="6A9BC78E">
      <w:pPr>
        <w:pStyle w:val="12"/>
        <w:snapToGrid w:val="0"/>
        <w:spacing w:before="120" w:after="120" w:line="360" w:lineRule="auto"/>
        <w:rPr>
          <w:rFonts w:hint="eastAsia" w:hAnsi="宋体" w:cs="宋体"/>
        </w:rPr>
      </w:pPr>
      <w:r>
        <w:rPr>
          <w:rFonts w:hint="eastAsia" w:hAnsi="宋体" w:cs="宋体"/>
        </w:rPr>
        <w:t xml:space="preserve">  地址：</w:t>
      </w:r>
      <w:r>
        <w:rPr>
          <w:rFonts w:hint="eastAsia" w:hAnsi="宋体" w:cs="宋体"/>
        </w:rPr>
        <w:tab/>
      </w:r>
      <w:r>
        <w:rPr>
          <w:rFonts w:hint="eastAsia" w:hAnsi="宋体" w:cs="宋体"/>
        </w:rPr>
        <w:tab/>
      </w:r>
      <w:r>
        <w:rPr>
          <w:rFonts w:hint="eastAsia" w:hAnsi="宋体" w:cs="宋体"/>
        </w:rPr>
        <w:tab/>
      </w:r>
      <w:r>
        <w:rPr>
          <w:rFonts w:hint="eastAsia" w:hAnsi="宋体" w:cs="宋体"/>
        </w:rPr>
        <w:tab/>
      </w:r>
      <w:r>
        <w:rPr>
          <w:rFonts w:hint="eastAsia" w:hAnsi="宋体" w:cs="宋体"/>
        </w:rPr>
        <w:t xml:space="preserve">                          地址： </w:t>
      </w:r>
    </w:p>
    <w:p w14:paraId="7543824D">
      <w:pPr>
        <w:pStyle w:val="12"/>
        <w:snapToGrid w:val="0"/>
        <w:spacing w:before="120" w:after="120" w:line="360" w:lineRule="auto"/>
        <w:rPr>
          <w:rFonts w:hint="eastAsia" w:hAnsi="宋体" w:cs="宋体"/>
        </w:rPr>
      </w:pPr>
      <w:r>
        <w:rPr>
          <w:rFonts w:hint="eastAsia" w:hAnsi="宋体" w:cs="宋体"/>
        </w:rPr>
        <w:t xml:space="preserve">  法定代表人或授权代表：                          法定代表人或授权代表：</w:t>
      </w:r>
    </w:p>
    <w:p w14:paraId="39EABD82">
      <w:pPr>
        <w:pStyle w:val="12"/>
        <w:snapToGrid w:val="0"/>
        <w:spacing w:before="120" w:after="120" w:line="360" w:lineRule="auto"/>
        <w:rPr>
          <w:rFonts w:hint="eastAsia" w:hAnsi="宋体" w:cs="宋体"/>
        </w:rPr>
      </w:pPr>
      <w:r>
        <w:rPr>
          <w:rFonts w:hint="eastAsia" w:hAnsi="宋体" w:cs="宋体"/>
        </w:rPr>
        <w:t xml:space="preserve">  联系电话：                                      联系电话：</w:t>
      </w:r>
    </w:p>
    <w:p w14:paraId="7D74EFAD">
      <w:pPr>
        <w:pStyle w:val="12"/>
        <w:snapToGrid w:val="0"/>
        <w:spacing w:before="120" w:after="120" w:line="360" w:lineRule="auto"/>
        <w:ind w:firstLine="210" w:firstLineChars="100"/>
        <w:rPr>
          <w:rFonts w:hint="eastAsia" w:hAnsi="宋体" w:cs="宋体"/>
        </w:rPr>
      </w:pPr>
      <w:r>
        <w:rPr>
          <w:rFonts w:hint="eastAsia" w:hAnsi="宋体" w:cs="宋体"/>
        </w:rPr>
        <w:t xml:space="preserve">日期： 2026年    月    日                      日期： 2026年    月    日     </w:t>
      </w:r>
    </w:p>
    <w:p w14:paraId="0A1BBCAF">
      <w:pPr>
        <w:pStyle w:val="12"/>
        <w:snapToGrid w:val="0"/>
        <w:spacing w:before="120" w:after="120" w:line="360" w:lineRule="auto"/>
        <w:ind w:left="420" w:hanging="420" w:hangingChars="200"/>
        <w:rPr>
          <w:rFonts w:hint="eastAsia" w:hAnsi="宋体" w:cs="宋体"/>
        </w:rPr>
      </w:pPr>
      <w:r>
        <w:rPr>
          <w:rFonts w:hint="eastAsia" w:hAnsi="宋体" w:cs="宋体"/>
        </w:rPr>
        <w:t xml:space="preserve"> </w:t>
      </w:r>
    </w:p>
    <w:p w14:paraId="508BC6C4">
      <w:pPr>
        <w:rPr>
          <w:rFonts w:hint="eastAsia"/>
          <w:b/>
          <w:bCs/>
          <w:sz w:val="44"/>
          <w:szCs w:val="44"/>
        </w:rPr>
      </w:pPr>
      <w:r>
        <w:rPr>
          <w:rFonts w:hint="eastAsia"/>
          <w:b/>
          <w:bCs/>
          <w:sz w:val="44"/>
          <w:szCs w:val="44"/>
        </w:rPr>
        <w:br w:type="page"/>
      </w:r>
    </w:p>
    <w:p w14:paraId="2F43AAF7">
      <w:pPr>
        <w:pStyle w:val="12"/>
        <w:jc w:val="center"/>
        <w:rPr>
          <w:rFonts w:hint="eastAsia"/>
          <w:b/>
          <w:bCs/>
          <w:sz w:val="44"/>
          <w:szCs w:val="44"/>
        </w:rPr>
      </w:pPr>
      <w:r>
        <w:rPr>
          <w:rFonts w:hint="eastAsia"/>
          <w:b/>
          <w:bCs/>
          <w:sz w:val="44"/>
          <w:szCs w:val="44"/>
        </w:rPr>
        <w:t>廉洁合作协议</w:t>
      </w:r>
    </w:p>
    <w:p w14:paraId="0426D4E1">
      <w:pPr>
        <w:pStyle w:val="1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sz w:val="24"/>
          <w:szCs w:val="24"/>
          <w:lang w:eastAsia="zh-CN"/>
        </w:rPr>
      </w:pPr>
      <w:r>
        <w:rPr>
          <w:rFonts w:hint="eastAsia"/>
          <w:sz w:val="24"/>
          <w:szCs w:val="24"/>
        </w:rPr>
        <w:t>甲方名称：</w:t>
      </w:r>
      <w:r>
        <w:rPr>
          <w:rFonts w:hint="eastAsia"/>
          <w:sz w:val="24"/>
          <w:szCs w:val="24"/>
          <w:lang w:val="en-US" w:eastAsia="zh-CN"/>
        </w:rPr>
        <w:t xml:space="preserve">扬州大学附属医院 </w:t>
      </w:r>
    </w:p>
    <w:p w14:paraId="33BD9779">
      <w:pPr>
        <w:pStyle w:val="1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sz w:val="24"/>
          <w:szCs w:val="24"/>
          <w:lang w:eastAsia="zh-CN"/>
        </w:rPr>
      </w:pPr>
      <w:r>
        <w:rPr>
          <w:rFonts w:hint="eastAsia"/>
          <w:sz w:val="24"/>
          <w:szCs w:val="24"/>
        </w:rPr>
        <w:t>乙方名称：</w:t>
      </w:r>
      <w:r>
        <w:rPr>
          <w:rFonts w:hint="eastAsia"/>
          <w:sz w:val="24"/>
          <w:szCs w:val="24"/>
          <w:lang w:val="en-US" w:eastAsia="zh-CN"/>
        </w:rPr>
        <w:t xml:space="preserve"> </w:t>
      </w:r>
    </w:p>
    <w:p w14:paraId="131225EE">
      <w:pPr>
        <w:pStyle w:val="12"/>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sz w:val="24"/>
          <w:szCs w:val="24"/>
        </w:rPr>
      </w:pPr>
      <w:r>
        <w:rPr>
          <w:rFonts w:hint="eastAsia"/>
          <w:sz w:val="24"/>
          <w:szCs w:val="24"/>
        </w:rPr>
        <w:t>在甲乙双方订立、履行合同过程中，为保持廉洁自律的工作作风，防止各种不正当行为的发生，甲乙双方订立协议如下：</w:t>
      </w:r>
    </w:p>
    <w:p w14:paraId="348AF64A">
      <w:pPr>
        <w:pStyle w:val="12"/>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sz w:val="24"/>
          <w:szCs w:val="24"/>
        </w:rPr>
      </w:pPr>
      <w:r>
        <w:rPr>
          <w:rFonts w:hint="eastAsia"/>
          <w:sz w:val="24"/>
          <w:szCs w:val="24"/>
        </w:rPr>
        <w:t>一、甲乙双方应当自觉遵守国家、地方法律法规以及本合同的约定，在合同的订立、履行过程中廉洁自律。</w:t>
      </w:r>
    </w:p>
    <w:p w14:paraId="19C06230">
      <w:pPr>
        <w:pStyle w:val="12"/>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sz w:val="24"/>
          <w:szCs w:val="24"/>
        </w:rPr>
      </w:pPr>
      <w:r>
        <w:rPr>
          <w:rFonts w:hint="eastAsia"/>
          <w:sz w:val="24"/>
          <w:szCs w:val="24"/>
        </w:rPr>
        <w:t>二、甲乙双</w:t>
      </w:r>
      <w:r>
        <w:rPr>
          <w:rFonts w:hint="eastAsia"/>
          <w:sz w:val="24"/>
          <w:szCs w:val="24"/>
          <w:lang w:val="en-US" w:eastAsia="zh-CN"/>
        </w:rPr>
        <w:t>方</w:t>
      </w:r>
      <w:r>
        <w:rPr>
          <w:rFonts w:hint="eastAsia"/>
          <w:sz w:val="24"/>
          <w:szCs w:val="24"/>
        </w:rPr>
        <w:t>工作人员严禁进行商业目的的统方</w:t>
      </w:r>
      <w:r>
        <w:rPr>
          <w:rFonts w:hint="eastAsia"/>
          <w:sz w:val="24"/>
          <w:szCs w:val="24"/>
          <w:lang w:eastAsia="zh-CN"/>
        </w:rPr>
        <w:t>，</w:t>
      </w:r>
      <w:r>
        <w:rPr>
          <w:rFonts w:hint="eastAsia"/>
          <w:sz w:val="24"/>
          <w:szCs w:val="24"/>
          <w:lang w:val="en-US" w:eastAsia="zh-CN"/>
        </w:rPr>
        <w:t>不得对外泄露涉及业务或个人的隐私数据</w:t>
      </w:r>
      <w:r>
        <w:rPr>
          <w:rFonts w:hint="eastAsia"/>
          <w:sz w:val="24"/>
          <w:szCs w:val="24"/>
        </w:rPr>
        <w:t>，</w:t>
      </w:r>
      <w:r>
        <w:rPr>
          <w:rFonts w:hint="eastAsia"/>
          <w:sz w:val="24"/>
          <w:szCs w:val="24"/>
          <w:lang w:val="en-US" w:eastAsia="zh-CN"/>
        </w:rPr>
        <w:t>不得违规规提供医疗机构内未公开的数据、患者用药化验检查诊疗等信息</w:t>
      </w:r>
      <w:r>
        <w:rPr>
          <w:rFonts w:hint="eastAsia"/>
          <w:sz w:val="24"/>
          <w:szCs w:val="24"/>
        </w:rPr>
        <w:t>。</w:t>
      </w:r>
    </w:p>
    <w:p w14:paraId="62E33786">
      <w:pPr>
        <w:pStyle w:val="12"/>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sz w:val="24"/>
          <w:szCs w:val="24"/>
        </w:rPr>
      </w:pPr>
      <w:r>
        <w:rPr>
          <w:rFonts w:hint="eastAsia"/>
          <w:sz w:val="24"/>
          <w:szCs w:val="24"/>
        </w:rPr>
        <w:t>三、甲乙双</w:t>
      </w:r>
      <w:r>
        <w:rPr>
          <w:rFonts w:hint="eastAsia"/>
          <w:sz w:val="24"/>
          <w:szCs w:val="24"/>
          <w:lang w:val="en-US" w:eastAsia="zh-CN"/>
        </w:rPr>
        <w:t>方</w:t>
      </w:r>
      <w:r>
        <w:rPr>
          <w:rFonts w:hint="eastAsia"/>
          <w:sz w:val="24"/>
          <w:szCs w:val="24"/>
        </w:rPr>
        <w:t>工作人员应当保持与</w:t>
      </w:r>
      <w:r>
        <w:rPr>
          <w:rFonts w:hint="eastAsia"/>
          <w:sz w:val="24"/>
          <w:szCs w:val="24"/>
          <w:lang w:val="en-US" w:eastAsia="zh-CN"/>
        </w:rPr>
        <w:t>合作</w:t>
      </w:r>
      <w:r>
        <w:rPr>
          <w:rFonts w:hint="eastAsia"/>
          <w:sz w:val="24"/>
          <w:szCs w:val="24"/>
        </w:rPr>
        <w:t>方的正常业务交往，不得以任何形式向</w:t>
      </w:r>
      <w:r>
        <w:rPr>
          <w:rFonts w:hint="eastAsia"/>
          <w:sz w:val="24"/>
          <w:szCs w:val="24"/>
          <w:lang w:val="en-US" w:eastAsia="zh-CN"/>
        </w:rPr>
        <w:t>合作</w:t>
      </w:r>
      <w:r>
        <w:rPr>
          <w:rFonts w:hint="eastAsia"/>
          <w:sz w:val="24"/>
          <w:szCs w:val="24"/>
        </w:rPr>
        <w:t>方索要和收受个人回扣等好处费</w:t>
      </w:r>
      <w:r>
        <w:rPr>
          <w:rFonts w:hint="eastAsia"/>
          <w:sz w:val="24"/>
          <w:szCs w:val="24"/>
          <w:lang w:eastAsia="zh-CN"/>
        </w:rPr>
        <w:t>，</w:t>
      </w:r>
      <w:r>
        <w:rPr>
          <w:rFonts w:hint="eastAsia"/>
          <w:sz w:val="24"/>
          <w:szCs w:val="24"/>
        </w:rPr>
        <w:t>不得接受</w:t>
      </w:r>
      <w:r>
        <w:rPr>
          <w:rFonts w:hint="eastAsia"/>
          <w:sz w:val="24"/>
          <w:szCs w:val="24"/>
          <w:lang w:val="en-US" w:eastAsia="zh-CN"/>
        </w:rPr>
        <w:t>合作</w:t>
      </w:r>
      <w:r>
        <w:rPr>
          <w:rFonts w:hint="eastAsia"/>
          <w:sz w:val="24"/>
          <w:szCs w:val="24"/>
        </w:rPr>
        <w:t>方</w:t>
      </w:r>
      <w:r>
        <w:rPr>
          <w:rFonts w:hint="eastAsia"/>
          <w:sz w:val="24"/>
          <w:szCs w:val="24"/>
          <w:lang w:val="en-US" w:eastAsia="zh-CN"/>
        </w:rPr>
        <w:t>或其关联机构</w:t>
      </w:r>
      <w:r>
        <w:rPr>
          <w:rFonts w:hint="eastAsia"/>
          <w:sz w:val="24"/>
          <w:szCs w:val="24"/>
        </w:rPr>
        <w:t>的礼金、有价证券和贵重物品。</w:t>
      </w:r>
    </w:p>
    <w:p w14:paraId="5D772EF0">
      <w:pPr>
        <w:keepNext w:val="0"/>
        <w:keepLines w:val="0"/>
        <w:widowControl/>
        <w:suppressLineNumbers w:val="0"/>
        <w:ind w:firstLine="480" w:firstLineChars="200"/>
        <w:jc w:val="left"/>
        <w:rPr>
          <w:rFonts w:hint="eastAsia"/>
          <w:sz w:val="24"/>
          <w:szCs w:val="24"/>
          <w:lang w:val="en-US" w:eastAsia="zh-CN"/>
        </w:rPr>
      </w:pPr>
      <w:r>
        <w:rPr>
          <w:rFonts w:hint="eastAsia"/>
          <w:sz w:val="24"/>
          <w:szCs w:val="24"/>
        </w:rPr>
        <w:t>四、甲乙双</w:t>
      </w:r>
      <w:r>
        <w:rPr>
          <w:rFonts w:hint="eastAsia"/>
          <w:sz w:val="24"/>
          <w:szCs w:val="24"/>
          <w:lang w:val="en-US" w:eastAsia="zh-CN"/>
        </w:rPr>
        <w:t>方</w:t>
      </w:r>
      <w:r>
        <w:rPr>
          <w:rFonts w:hint="eastAsia"/>
          <w:sz w:val="24"/>
          <w:szCs w:val="24"/>
        </w:rPr>
        <w:t>工作人员不得参加可能对公正开展业务有影响的</w:t>
      </w:r>
      <w:r>
        <w:rPr>
          <w:rFonts w:hint="eastAsia"/>
          <w:sz w:val="24"/>
          <w:szCs w:val="24"/>
          <w:lang w:val="en-US" w:eastAsia="zh-CN"/>
        </w:rPr>
        <w:t>宴请、旅游、学习、考察、健身、娱乐活动等，不以讲课费、顾问费、咨询费、课题费等名义牟取高额利益，不违规在对方机构等兼（任）职并取酬，不利用职权为本人及特定关系人经商办企业提供便利条件。</w:t>
      </w:r>
    </w:p>
    <w:p w14:paraId="286E21EB">
      <w:pPr>
        <w:keepNext w:val="0"/>
        <w:keepLines w:val="0"/>
        <w:widowControl/>
        <w:suppressLineNumbers w:val="0"/>
        <w:ind w:firstLine="480" w:firstLineChars="200"/>
        <w:jc w:val="left"/>
        <w:rPr>
          <w:rFonts w:hint="eastAsia"/>
          <w:sz w:val="24"/>
          <w:szCs w:val="24"/>
        </w:rPr>
      </w:pPr>
      <w:r>
        <w:rPr>
          <w:rFonts w:hint="eastAsia"/>
          <w:sz w:val="24"/>
          <w:szCs w:val="24"/>
        </w:rPr>
        <w:t>五、甲乙双</w:t>
      </w:r>
      <w:r>
        <w:rPr>
          <w:rFonts w:hint="eastAsia"/>
          <w:sz w:val="24"/>
          <w:szCs w:val="24"/>
          <w:lang w:val="en-US" w:eastAsia="zh-CN"/>
        </w:rPr>
        <w:t>方</w:t>
      </w:r>
      <w:r>
        <w:rPr>
          <w:rFonts w:hint="eastAsia"/>
          <w:sz w:val="24"/>
          <w:szCs w:val="24"/>
        </w:rPr>
        <w:t>工作人员不得要求或者接受</w:t>
      </w:r>
      <w:r>
        <w:rPr>
          <w:rFonts w:hint="eastAsia"/>
          <w:sz w:val="24"/>
          <w:szCs w:val="24"/>
          <w:lang w:val="en-US" w:eastAsia="zh-CN"/>
        </w:rPr>
        <w:t>合作</w:t>
      </w:r>
      <w:r>
        <w:rPr>
          <w:rFonts w:hint="eastAsia"/>
          <w:sz w:val="24"/>
          <w:szCs w:val="24"/>
        </w:rPr>
        <w:t>方为其住房装修、婚丧嫁娶、家属和子女的工作安排以及出国等提供方便。不得接受</w:t>
      </w:r>
      <w:r>
        <w:rPr>
          <w:rFonts w:hint="eastAsia"/>
          <w:sz w:val="24"/>
          <w:szCs w:val="24"/>
          <w:lang w:val="en-US" w:eastAsia="zh-CN"/>
        </w:rPr>
        <w:t>合作方</w:t>
      </w:r>
      <w:r>
        <w:rPr>
          <w:rFonts w:hint="eastAsia"/>
          <w:sz w:val="24"/>
          <w:szCs w:val="24"/>
        </w:rPr>
        <w:t>工作人员介绍的家属</w:t>
      </w:r>
      <w:r>
        <w:rPr>
          <w:rFonts w:hint="eastAsia"/>
          <w:sz w:val="24"/>
          <w:szCs w:val="24"/>
          <w:lang w:eastAsia="zh-CN"/>
        </w:rPr>
        <w:t>、</w:t>
      </w:r>
      <w:r>
        <w:rPr>
          <w:rFonts w:hint="eastAsia"/>
          <w:sz w:val="24"/>
          <w:szCs w:val="24"/>
        </w:rPr>
        <w:t>亲友</w:t>
      </w:r>
      <w:r>
        <w:rPr>
          <w:rFonts w:hint="eastAsia"/>
          <w:sz w:val="24"/>
          <w:szCs w:val="24"/>
          <w:lang w:val="en-US" w:eastAsia="zh-CN"/>
        </w:rPr>
        <w:t>等关系人</w:t>
      </w:r>
      <w:r>
        <w:rPr>
          <w:rFonts w:hint="eastAsia"/>
          <w:sz w:val="24"/>
          <w:szCs w:val="24"/>
        </w:rPr>
        <w:t>从事与合同相关的业务。</w:t>
      </w:r>
    </w:p>
    <w:p w14:paraId="67D77F62">
      <w:pPr>
        <w:pStyle w:val="12"/>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sz w:val="24"/>
          <w:szCs w:val="24"/>
        </w:rPr>
      </w:pPr>
      <w:r>
        <w:rPr>
          <w:rFonts w:hint="eastAsia"/>
          <w:sz w:val="24"/>
          <w:szCs w:val="24"/>
        </w:rPr>
        <w:t>六、甲乙双</w:t>
      </w:r>
      <w:r>
        <w:rPr>
          <w:rFonts w:hint="eastAsia"/>
          <w:sz w:val="24"/>
          <w:szCs w:val="24"/>
          <w:lang w:val="en-US" w:eastAsia="zh-CN"/>
        </w:rPr>
        <w:t>方工作人员不在交往中发生违背公序良俗行为，不通过合作方机构或关联机构支付或报销应当由本人支付的费用，不接受合作方提供的学术论文发表、个人关系疏通、工作生活照护等便利，不在医药产品院内推荐、采购、使用、管理等环节中接受不当利益，不通过编造学术讲课虚假理由等方式收受利益、收取超标准报酬、接受超规格接待等。</w:t>
      </w:r>
    </w:p>
    <w:p w14:paraId="16601AD1">
      <w:pPr>
        <w:pStyle w:val="12"/>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sz w:val="24"/>
          <w:szCs w:val="24"/>
        </w:rPr>
      </w:pPr>
      <w:r>
        <w:rPr>
          <w:rFonts w:hint="eastAsia"/>
          <w:sz w:val="24"/>
          <w:szCs w:val="24"/>
        </w:rPr>
        <w:t>七、甲乙双</w:t>
      </w:r>
      <w:r>
        <w:rPr>
          <w:rFonts w:hint="eastAsia"/>
          <w:sz w:val="24"/>
          <w:szCs w:val="24"/>
          <w:lang w:val="en-US" w:eastAsia="zh-CN"/>
        </w:rPr>
        <w:t>方</w:t>
      </w:r>
      <w:r>
        <w:rPr>
          <w:rFonts w:hint="eastAsia"/>
          <w:sz w:val="24"/>
          <w:szCs w:val="24"/>
        </w:rPr>
        <w:t>不得</w:t>
      </w:r>
      <w:r>
        <w:rPr>
          <w:rFonts w:hint="eastAsia"/>
          <w:sz w:val="24"/>
          <w:szCs w:val="24"/>
          <w:lang w:val="en-US" w:eastAsia="zh-CN"/>
        </w:rPr>
        <w:t>采用任何方式向对方索要、摊派或者变相摊派捐赠，不违规接受与医院采购、知识产权、科研成果、行业数据及信息等权利和主张相关的捐赠。</w:t>
      </w:r>
    </w:p>
    <w:p w14:paraId="1D003EF3">
      <w:pPr>
        <w:pStyle w:val="12"/>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sz w:val="24"/>
          <w:szCs w:val="24"/>
        </w:rPr>
      </w:pPr>
      <w:r>
        <w:rPr>
          <w:rFonts w:hint="eastAsia"/>
          <w:sz w:val="24"/>
          <w:szCs w:val="24"/>
        </w:rPr>
        <w:t>八、如发现工作人员有违反</w:t>
      </w:r>
      <w:r>
        <w:rPr>
          <w:rFonts w:hint="eastAsia"/>
          <w:sz w:val="24"/>
          <w:szCs w:val="24"/>
          <w:lang w:val="en-US" w:eastAsia="zh-CN"/>
        </w:rPr>
        <w:t>上</w:t>
      </w:r>
      <w:r>
        <w:rPr>
          <w:rFonts w:hint="eastAsia"/>
          <w:sz w:val="24"/>
          <w:szCs w:val="24"/>
        </w:rPr>
        <w:t>述合同者，应向</w:t>
      </w:r>
      <w:r>
        <w:rPr>
          <w:rFonts w:hint="eastAsia"/>
          <w:sz w:val="24"/>
          <w:szCs w:val="24"/>
          <w:lang w:val="en-US" w:eastAsia="zh-CN"/>
        </w:rPr>
        <w:t>医院纪检部门举报（医院</w:t>
      </w:r>
      <w:r>
        <w:rPr>
          <w:rFonts w:hint="eastAsia"/>
          <w:sz w:val="24"/>
          <w:szCs w:val="24"/>
        </w:rPr>
        <w:t>举报接待部门：纪委办公室：举报电话：87907263</w:t>
      </w:r>
      <w:r>
        <w:rPr>
          <w:rFonts w:hint="eastAsia"/>
          <w:sz w:val="24"/>
          <w:szCs w:val="24"/>
          <w:lang w:eastAsia="zh-CN"/>
        </w:rPr>
        <w:t>，</w:t>
      </w:r>
      <w:r>
        <w:rPr>
          <w:rFonts w:hint="eastAsia"/>
          <w:sz w:val="24"/>
          <w:szCs w:val="24"/>
          <w:lang w:val="en-US" w:eastAsia="zh-CN"/>
        </w:rPr>
        <w:t>电子邮箱：</w:t>
      </w:r>
      <w:r>
        <w:rPr>
          <w:rFonts w:hint="eastAsia"/>
          <w:sz w:val="24"/>
          <w:szCs w:val="24"/>
        </w:rPr>
        <w:fldChar w:fldCharType="begin"/>
      </w:r>
      <w:r>
        <w:rPr>
          <w:rFonts w:hint="eastAsia"/>
          <w:sz w:val="24"/>
          <w:szCs w:val="24"/>
        </w:rPr>
        <w:instrText xml:space="preserve"> HYPERLINK "https://yangzhouyiyuan.com/infoSon/17/19/26" </w:instrText>
      </w:r>
      <w:r>
        <w:rPr>
          <w:rFonts w:hint="eastAsia"/>
          <w:sz w:val="24"/>
          <w:szCs w:val="24"/>
        </w:rPr>
        <w:fldChar w:fldCharType="separate"/>
      </w:r>
      <w:r>
        <w:rPr>
          <w:rFonts w:hint="eastAsia"/>
          <w:sz w:val="24"/>
          <w:szCs w:val="24"/>
        </w:rPr>
        <w:t>yyyjcs@126.com</w:t>
      </w:r>
      <w:r>
        <w:rPr>
          <w:rFonts w:hint="eastAsia"/>
          <w:sz w:val="24"/>
          <w:szCs w:val="24"/>
        </w:rPr>
        <w:fldChar w:fldCharType="end"/>
      </w:r>
      <w:r>
        <w:rPr>
          <w:rFonts w:hint="eastAsia"/>
          <w:sz w:val="24"/>
          <w:szCs w:val="24"/>
          <w:lang w:eastAsia="zh-CN"/>
        </w:rPr>
        <w:t>）</w:t>
      </w:r>
      <w:r>
        <w:rPr>
          <w:rFonts w:hint="eastAsia"/>
          <w:sz w:val="24"/>
          <w:szCs w:val="24"/>
        </w:rPr>
        <w:t>。</w:t>
      </w:r>
      <w:r>
        <w:rPr>
          <w:rFonts w:hint="eastAsia"/>
          <w:sz w:val="24"/>
          <w:szCs w:val="24"/>
          <w:lang w:val="en-US" w:eastAsia="zh-CN"/>
        </w:rPr>
        <w:t>被投诉</w:t>
      </w:r>
      <w:r>
        <w:rPr>
          <w:rFonts w:hint="eastAsia"/>
          <w:sz w:val="24"/>
          <w:szCs w:val="24"/>
        </w:rPr>
        <w:t>方不得找任何借口对</w:t>
      </w:r>
      <w:r>
        <w:rPr>
          <w:rFonts w:hint="eastAsia"/>
          <w:sz w:val="24"/>
          <w:szCs w:val="24"/>
          <w:lang w:val="en-US" w:eastAsia="zh-CN"/>
        </w:rPr>
        <w:t>投诉人进行</w:t>
      </w:r>
      <w:r>
        <w:rPr>
          <w:rFonts w:hint="eastAsia"/>
          <w:sz w:val="24"/>
          <w:szCs w:val="24"/>
        </w:rPr>
        <w:t>报复。</w:t>
      </w:r>
    </w:p>
    <w:p w14:paraId="66DDC785">
      <w:pPr>
        <w:pStyle w:val="12"/>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sz w:val="24"/>
          <w:szCs w:val="24"/>
        </w:rPr>
      </w:pPr>
      <w:r>
        <w:rPr>
          <w:rFonts w:hint="eastAsia"/>
          <w:sz w:val="24"/>
          <w:szCs w:val="24"/>
        </w:rPr>
        <w:t>九、</w:t>
      </w:r>
      <w:r>
        <w:rPr>
          <w:rFonts w:hint="eastAsia"/>
          <w:sz w:val="24"/>
          <w:szCs w:val="24"/>
          <w:lang w:val="en-US" w:eastAsia="zh-CN"/>
        </w:rPr>
        <w:t>任何一方发现对方</w:t>
      </w:r>
      <w:r>
        <w:rPr>
          <w:rFonts w:hint="eastAsia"/>
          <w:sz w:val="24"/>
          <w:szCs w:val="24"/>
        </w:rPr>
        <w:t>有违反本合同或者采用不正当的手段行贿</w:t>
      </w:r>
      <w:r>
        <w:rPr>
          <w:rFonts w:hint="eastAsia"/>
          <w:sz w:val="24"/>
          <w:szCs w:val="24"/>
          <w:lang w:val="en-US" w:eastAsia="zh-CN"/>
        </w:rPr>
        <w:t>合作方</w:t>
      </w:r>
      <w:r>
        <w:rPr>
          <w:rFonts w:hint="eastAsia"/>
          <w:sz w:val="24"/>
          <w:szCs w:val="24"/>
        </w:rPr>
        <w:t>工作人员等不正当竞争行为的，有权解除合同。</w:t>
      </w:r>
    </w:p>
    <w:p w14:paraId="01928556">
      <w:pPr>
        <w:pStyle w:val="12"/>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sz w:val="24"/>
          <w:szCs w:val="24"/>
        </w:rPr>
      </w:pPr>
      <w:r>
        <w:rPr>
          <w:rFonts w:hint="eastAsia"/>
          <w:sz w:val="24"/>
          <w:szCs w:val="24"/>
        </w:rPr>
        <w:t>十、本廉洁协议作为合同的附件，与合同具有同等法律效力。经合同双方签署后立即生效。</w:t>
      </w:r>
    </w:p>
    <w:p w14:paraId="458E7549">
      <w:pPr>
        <w:pStyle w:val="12"/>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sz w:val="24"/>
          <w:szCs w:val="24"/>
        </w:rPr>
      </w:pPr>
      <w:r>
        <w:rPr>
          <w:rFonts w:hint="eastAsia"/>
          <w:sz w:val="24"/>
          <w:szCs w:val="24"/>
        </w:rPr>
        <w:t>十一、本协议一式肆份，甲、乙双方各执贰份，从签订之日起生效。</w:t>
      </w:r>
    </w:p>
    <w:p w14:paraId="34700C50">
      <w:pPr>
        <w:pStyle w:val="1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p>
    <w:p w14:paraId="53D500A6">
      <w:pPr>
        <w:pStyle w:val="1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甲方：(</w:t>
      </w:r>
      <w:r>
        <w:rPr>
          <w:rFonts w:hint="eastAsia"/>
          <w:sz w:val="24"/>
          <w:szCs w:val="24"/>
          <w:lang w:val="en-US" w:eastAsia="zh-CN"/>
        </w:rPr>
        <w:t>盖</w:t>
      </w:r>
      <w:r>
        <w:rPr>
          <w:rFonts w:hint="eastAsia"/>
          <w:sz w:val="24"/>
          <w:szCs w:val="24"/>
        </w:rPr>
        <w:t>章)</w:t>
      </w:r>
      <w:r>
        <w:rPr>
          <w:rFonts w:hint="eastAsia"/>
          <w:sz w:val="24"/>
          <w:szCs w:val="24"/>
          <w:lang w:val="en-US" w:eastAsia="zh-CN"/>
        </w:rPr>
        <w:t xml:space="preserve"> 扬州大学附属医院           </w:t>
      </w:r>
      <w:r>
        <w:rPr>
          <w:rFonts w:hint="eastAsia"/>
          <w:sz w:val="24"/>
          <w:szCs w:val="24"/>
        </w:rPr>
        <w:t>乙方：(盖章)</w:t>
      </w:r>
    </w:p>
    <w:p w14:paraId="232D6262">
      <w:pPr>
        <w:pStyle w:val="12"/>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eastAsia="宋体"/>
          <w:sz w:val="24"/>
          <w:szCs w:val="24"/>
          <w:lang w:val="en-US" w:eastAsia="zh-CN"/>
        </w:rPr>
      </w:pPr>
      <w:r>
        <w:rPr>
          <w:rFonts w:hint="eastAsia"/>
          <w:sz w:val="24"/>
          <w:szCs w:val="24"/>
        </w:rPr>
        <w:t>法定代表人(或授权签约人)：</w:t>
      </w:r>
      <w:r>
        <w:rPr>
          <w:rFonts w:hint="eastAsia"/>
          <w:sz w:val="24"/>
          <w:szCs w:val="24"/>
          <w:lang w:val="en-US" w:eastAsia="zh-CN"/>
        </w:rPr>
        <w:t xml:space="preserve">              </w:t>
      </w:r>
      <w:r>
        <w:rPr>
          <w:rFonts w:hint="eastAsia"/>
          <w:sz w:val="24"/>
          <w:szCs w:val="24"/>
        </w:rPr>
        <w:t>法定代表人(或授权签约人)：</w:t>
      </w:r>
    </w:p>
    <w:p w14:paraId="74843C04">
      <w:pPr>
        <w:pStyle w:val="1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p>
    <w:p w14:paraId="752521C5">
      <w:pPr>
        <w:pStyle w:val="12"/>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default" w:eastAsia="宋体"/>
          <w:sz w:val="24"/>
          <w:szCs w:val="24"/>
          <w:lang w:val="en-US" w:eastAsia="zh-CN"/>
        </w:rPr>
      </w:pPr>
      <w:r>
        <w:rPr>
          <w:rFonts w:hint="eastAsia"/>
          <w:sz w:val="24"/>
          <w:szCs w:val="24"/>
        </w:rPr>
        <w:t>日期：</w:t>
      </w:r>
      <w:r>
        <w:rPr>
          <w:rFonts w:hint="eastAsia"/>
          <w:sz w:val="24"/>
          <w:szCs w:val="24"/>
          <w:lang w:val="en-US" w:eastAsia="zh-CN"/>
        </w:rPr>
        <w:t xml:space="preserve">     年  月  日                   </w:t>
      </w:r>
      <w:r>
        <w:rPr>
          <w:rFonts w:hint="eastAsia"/>
          <w:sz w:val="24"/>
          <w:szCs w:val="24"/>
        </w:rPr>
        <w:t>日期：</w:t>
      </w:r>
      <w:r>
        <w:rPr>
          <w:rFonts w:hint="eastAsia"/>
          <w:sz w:val="24"/>
          <w:szCs w:val="24"/>
          <w:lang w:val="en-US" w:eastAsia="zh-CN"/>
        </w:rPr>
        <w:t xml:space="preserve">     年  月  日</w:t>
      </w:r>
    </w:p>
    <w:p w14:paraId="1DB07817">
      <w:pPr>
        <w:pStyle w:val="14"/>
        <w:spacing w:line="360" w:lineRule="auto"/>
        <w:ind w:right="-50" w:rightChars="-24"/>
        <w:rPr>
          <w:rFonts w:hint="eastAsia" w:ascii="宋体" w:hAnsi="宋体" w:cs="宋体"/>
          <w:sz w:val="24"/>
          <w:szCs w:val="24"/>
        </w:rPr>
      </w:pPr>
    </w:p>
    <w:p w14:paraId="7BB18090">
      <w:pPr>
        <w:widowControl/>
        <w:jc w:val="left"/>
        <w:rPr>
          <w:rFonts w:hint="eastAsia" w:ascii="宋体" w:hAnsi="宋体"/>
          <w:sz w:val="28"/>
          <w:szCs w:val="28"/>
        </w:rPr>
      </w:pPr>
      <w:r>
        <w:rPr>
          <w:rFonts w:ascii="宋体" w:hAnsi="宋体"/>
          <w:sz w:val="28"/>
          <w:szCs w:val="28"/>
        </w:rPr>
        <w:br w:type="page"/>
      </w:r>
    </w:p>
    <w:p w14:paraId="168DE90E">
      <w:pPr>
        <w:pStyle w:val="58"/>
        <w:pageBreakBefore/>
        <w:jc w:val="center"/>
        <w:rPr>
          <w:rFonts w:hint="eastAsia"/>
        </w:rPr>
      </w:pPr>
      <w:r>
        <w:rPr>
          <w:rFonts w:hint="eastAsia"/>
        </w:rPr>
        <w:t>信息安全保密协议</w:t>
      </w:r>
    </w:p>
    <w:p w14:paraId="5D327801">
      <w:pPr>
        <w:jc w:val="center"/>
        <w:rPr>
          <w:rFonts w:hint="eastAsia" w:ascii="仿宋_GB2312" w:hAnsi="微软雅黑" w:eastAsia="仿宋_GB2312" w:cs="微软雅黑"/>
          <w:b/>
          <w:sz w:val="36"/>
          <w:szCs w:val="36"/>
        </w:rPr>
      </w:pPr>
    </w:p>
    <w:p w14:paraId="7432A7DC">
      <w:pPr>
        <w:spacing w:line="580" w:lineRule="exact"/>
        <w:rPr>
          <w:rFonts w:hint="eastAsia" w:ascii="仿宋_GB2312" w:hAnsi="微软雅黑" w:eastAsia="仿宋_GB2312" w:cs="微软雅黑"/>
          <w:sz w:val="28"/>
          <w:szCs w:val="28"/>
          <w:u w:val="single"/>
        </w:rPr>
      </w:pPr>
      <w:r>
        <w:rPr>
          <w:rFonts w:hint="eastAsia" w:ascii="仿宋_GB2312" w:hAnsi="微软雅黑" w:eastAsia="仿宋_GB2312" w:cs="微软雅黑"/>
          <w:b/>
          <w:sz w:val="28"/>
          <w:szCs w:val="28"/>
        </w:rPr>
        <w:t>甲方</w:t>
      </w:r>
      <w:r>
        <w:rPr>
          <w:rFonts w:hint="eastAsia" w:ascii="仿宋_GB2312" w:hAnsi="微软雅黑" w:eastAsia="仿宋_GB2312" w:cs="微软雅黑"/>
          <w:sz w:val="28"/>
          <w:szCs w:val="28"/>
        </w:rPr>
        <w:t>：扬州大学附属医院（扬州市第一人民医院）</w:t>
      </w:r>
    </w:p>
    <w:p w14:paraId="565E9988">
      <w:pPr>
        <w:spacing w:before="93" w:beforeLines="30" w:line="400" w:lineRule="exact"/>
        <w:rPr>
          <w:rFonts w:hint="eastAsia" w:ascii="仿宋_GB2312" w:hAnsi="微软雅黑" w:eastAsia="仿宋_GB2312" w:cs="微软雅黑"/>
          <w:sz w:val="28"/>
          <w:szCs w:val="28"/>
          <w:u w:val="single"/>
        </w:rPr>
      </w:pPr>
      <w:r>
        <w:rPr>
          <w:rFonts w:hint="eastAsia" w:ascii="仿宋_GB2312" w:hAnsi="微软雅黑" w:eastAsia="仿宋_GB2312" w:cs="微软雅黑"/>
          <w:b/>
          <w:sz w:val="28"/>
          <w:szCs w:val="28"/>
        </w:rPr>
        <w:t>乙方</w:t>
      </w:r>
      <w:r>
        <w:rPr>
          <w:rFonts w:hint="eastAsia" w:ascii="仿宋_GB2312" w:hAnsi="微软雅黑" w:eastAsia="仿宋_GB2312" w:cs="微软雅黑"/>
          <w:sz w:val="28"/>
          <w:szCs w:val="28"/>
        </w:rPr>
        <w:t>：（医疗信息化、系统集成、网络服务、维保服务企业）</w:t>
      </w:r>
      <w:r>
        <w:rPr>
          <w:rFonts w:hint="eastAsia" w:ascii="仿宋_GB2312" w:hAnsi="微软雅黑" w:eastAsia="仿宋_GB2312" w:cs="微软雅黑"/>
          <w:sz w:val="28"/>
          <w:szCs w:val="28"/>
          <w:u w:val="single"/>
        </w:rPr>
        <w:t xml:space="preserve">               </w:t>
      </w:r>
    </w:p>
    <w:p w14:paraId="0634E4EE">
      <w:pPr>
        <w:spacing w:before="93" w:beforeLines="30" w:line="400" w:lineRule="exact"/>
        <w:rPr>
          <w:rFonts w:hint="eastAsia" w:ascii="仿宋_GB2312" w:hAnsi="微软雅黑" w:eastAsia="仿宋_GB2312" w:cs="微软雅黑"/>
          <w:sz w:val="28"/>
          <w:szCs w:val="28"/>
          <w:u w:val="single"/>
        </w:rPr>
      </w:pPr>
    </w:p>
    <w:p w14:paraId="363F2EDE">
      <w:pPr>
        <w:spacing w:before="93" w:beforeLines="30" w:line="380" w:lineRule="exact"/>
        <w:ind w:firstLine="560" w:firstLineChars="200"/>
        <w:rPr>
          <w:rFonts w:hint="eastAsia" w:ascii="仿宋_GB2312" w:hAnsi="微软雅黑" w:eastAsia="仿宋_GB2312" w:cs="微软雅黑"/>
          <w:sz w:val="28"/>
          <w:szCs w:val="28"/>
        </w:rPr>
      </w:pPr>
      <w:r>
        <w:rPr>
          <w:rFonts w:hint="eastAsia" w:ascii="仿宋_GB2312" w:hAnsi="微软雅黑" w:eastAsia="仿宋_GB2312" w:cs="微软雅黑"/>
          <w:sz w:val="28"/>
          <w:szCs w:val="28"/>
        </w:rPr>
        <w:t>鉴于乙方受甲方委托承担</w:t>
      </w:r>
      <w:r>
        <w:rPr>
          <w:rFonts w:hint="eastAsia" w:ascii="仿宋_GB2312" w:hAnsi="微软雅黑" w:eastAsia="仿宋_GB2312" w:cs="微软雅黑"/>
          <w:sz w:val="28"/>
          <w:szCs w:val="28"/>
          <w:u w:val="single"/>
        </w:rPr>
        <w:t>  </w:t>
      </w:r>
      <w:r>
        <w:rPr>
          <w:rFonts w:hint="eastAsia" w:ascii="仿宋_GB2312" w:hAnsi="宋体" w:eastAsia="仿宋_GB2312"/>
          <w:sz w:val="28"/>
          <w:szCs w:val="28"/>
          <w:u w:val="single"/>
        </w:rPr>
        <w:t xml:space="preserve">                      </w:t>
      </w:r>
      <w:r>
        <w:rPr>
          <w:rFonts w:hint="eastAsia" w:ascii="仿宋_GB2312" w:hAnsi="微软雅黑" w:eastAsia="仿宋_GB2312" w:cs="微软雅黑"/>
          <w:sz w:val="28"/>
          <w:szCs w:val="28"/>
          <w:u w:val="single"/>
        </w:rPr>
        <w:t> </w:t>
      </w:r>
      <w:r>
        <w:rPr>
          <w:rFonts w:hint="eastAsia" w:ascii="仿宋_GB2312" w:hAnsi="微软雅黑" w:eastAsia="仿宋_GB2312" w:cs="微软雅黑"/>
          <w:sz w:val="28"/>
          <w:szCs w:val="28"/>
        </w:rPr>
        <w:t>项目，该项目将涉及甲方业务系统的系统结构、系统原代码、系统帐号及口令、数据库内容、业务核心数据，项目建设需了解甲方的业务流程、各业务系统相关数据和信息，并获取相关文档资料。为进一步加强医疗卫生信息化党风廉政和行风建设，规范医疗卫生信息化机构操作行为，有效保障数据安全性、信息保密性等行为，营造隐私保密、安全和谐的实施环境，经甲、乙双方协商，现就文档资料、数据和信息使用所涉及的保密信息达成以下协议：</w:t>
      </w:r>
    </w:p>
    <w:p w14:paraId="30F5BB2A">
      <w:pPr>
        <w:spacing w:before="93" w:beforeLines="30" w:line="380" w:lineRule="exact"/>
        <w:ind w:firstLine="560" w:firstLineChars="200"/>
        <w:rPr>
          <w:rFonts w:hint="eastAsia" w:ascii="仿宋_GB2312" w:hAnsi="微软雅黑" w:eastAsia="仿宋_GB2312" w:cs="微软雅黑"/>
          <w:sz w:val="28"/>
          <w:szCs w:val="28"/>
        </w:rPr>
      </w:pPr>
    </w:p>
    <w:p w14:paraId="5E19FCCB">
      <w:pPr>
        <w:spacing w:before="93" w:beforeLines="30" w:line="380" w:lineRule="exact"/>
        <w:rPr>
          <w:rFonts w:hint="eastAsia" w:ascii="仿宋_GB2312" w:hAnsi="微软雅黑" w:eastAsia="仿宋_GB2312" w:cs="微软雅黑"/>
          <w:sz w:val="28"/>
          <w:szCs w:val="28"/>
        </w:rPr>
      </w:pPr>
      <w:r>
        <w:rPr>
          <w:rFonts w:hint="eastAsia" w:ascii="仿宋_GB2312" w:hAnsi="微软雅黑" w:eastAsia="仿宋_GB2312" w:cs="微软雅黑"/>
          <w:sz w:val="28"/>
          <w:szCs w:val="28"/>
        </w:rPr>
        <w:t>一、保密信息 </w:t>
      </w:r>
    </w:p>
    <w:p w14:paraId="2603DCFA">
      <w:pPr>
        <w:pStyle w:val="19"/>
        <w:shd w:val="clear" w:color="auto" w:fill="FFFFFF"/>
        <w:spacing w:before="93" w:beforeLines="30" w:beforeAutospacing="0" w:after="0" w:afterAutospacing="0" w:line="380" w:lineRule="exact"/>
        <w:ind w:firstLine="560" w:firstLineChars="200"/>
        <w:jc w:val="both"/>
        <w:rPr>
          <w:rFonts w:hint="eastAsia" w:ascii="仿宋_GB2312" w:hAnsi="微软雅黑" w:eastAsia="仿宋_GB2312" w:cs="微软雅黑"/>
          <w:sz w:val="28"/>
          <w:szCs w:val="28"/>
        </w:rPr>
      </w:pPr>
      <w:r>
        <w:rPr>
          <w:rFonts w:hint="eastAsia" w:ascii="仿宋_GB2312" w:hAnsi="微软雅黑" w:eastAsia="仿宋_GB2312" w:cs="微软雅黑"/>
          <w:sz w:val="28"/>
          <w:szCs w:val="28"/>
        </w:rPr>
        <w:t>1.本协议所称“保密信息”是指由本协议甲方以任何形式（包括但不限于：书面，口头，或以样品、范本、计算机程序或其他形式）向本协议乙方披露的任何信息和资料，以及乙方在工作中接触到的一切属于甲方的信息和资料。</w:t>
      </w:r>
    </w:p>
    <w:p w14:paraId="7D412581">
      <w:pPr>
        <w:pStyle w:val="19"/>
        <w:shd w:val="clear" w:color="auto" w:fill="FFFFFF"/>
        <w:spacing w:before="93" w:beforeLines="30" w:beforeAutospacing="0" w:after="0" w:afterAutospacing="0" w:line="380" w:lineRule="exact"/>
        <w:ind w:left="496" w:firstLine="496"/>
        <w:jc w:val="both"/>
        <w:rPr>
          <w:rFonts w:hint="eastAsia" w:ascii="仿宋_GB2312" w:hAnsi="微软雅黑" w:eastAsia="仿宋_GB2312" w:cs="微软雅黑"/>
          <w:spacing w:val="-16"/>
          <w:sz w:val="28"/>
          <w:szCs w:val="28"/>
        </w:rPr>
      </w:pPr>
      <w:r>
        <w:rPr>
          <w:rFonts w:hint="eastAsia" w:ascii="仿宋_GB2312" w:hAnsi="微软雅黑" w:eastAsia="仿宋_GB2312" w:cs="微软雅黑"/>
          <w:spacing w:val="-16"/>
          <w:sz w:val="28"/>
          <w:szCs w:val="28"/>
          <w:shd w:val="clear" w:color="auto" w:fill="FFFFFF"/>
        </w:rPr>
        <w:t>2.上述“保密信息”包括但不限于：</w:t>
      </w:r>
    </w:p>
    <w:p w14:paraId="4748B907">
      <w:pPr>
        <w:pStyle w:val="19"/>
        <w:shd w:val="clear" w:color="auto" w:fill="FFFFFF"/>
        <w:spacing w:before="93" w:beforeLines="30" w:beforeAutospacing="0" w:after="0" w:afterAutospacing="0" w:line="380" w:lineRule="exact"/>
        <w:ind w:firstLine="560" w:firstLineChars="200"/>
        <w:jc w:val="both"/>
        <w:rPr>
          <w:rFonts w:hint="eastAsia" w:ascii="仿宋_GB2312" w:hAnsi="微软雅黑" w:eastAsia="仿宋_GB2312" w:cs="微软雅黑"/>
          <w:sz w:val="28"/>
          <w:szCs w:val="28"/>
        </w:rPr>
      </w:pPr>
      <w:r>
        <w:rPr>
          <w:rFonts w:hint="eastAsia" w:ascii="仿宋_GB2312" w:hAnsi="微软雅黑" w:eastAsia="仿宋_GB2312" w:cs="微软雅黑"/>
          <w:sz w:val="28"/>
          <w:szCs w:val="28"/>
        </w:rPr>
        <w:t>医疗领域敏感信息（药品和耗材数量），</w:t>
      </w:r>
      <w:r>
        <w:rPr>
          <w:rFonts w:hint="eastAsia" w:ascii="仿宋_GB2312" w:hAnsi="微软雅黑" w:eastAsia="仿宋_GB2312" w:cs="微软雅黑"/>
          <w:spacing w:val="-10"/>
          <w:sz w:val="28"/>
          <w:szCs w:val="28"/>
          <w:shd w:val="clear" w:color="auto" w:fill="FFFFFF"/>
        </w:rPr>
        <w:t>业务系统的系统结构、系</w:t>
      </w:r>
      <w:r>
        <w:rPr>
          <w:rFonts w:hint="eastAsia" w:ascii="仿宋_GB2312" w:hAnsi="微软雅黑" w:eastAsia="仿宋_GB2312" w:cs="微软雅黑"/>
          <w:spacing w:val="-15"/>
          <w:sz w:val="28"/>
          <w:szCs w:val="28"/>
          <w:shd w:val="clear" w:color="auto" w:fill="FFFFFF"/>
        </w:rPr>
        <w:t>统原代码、系统帐号及口令、数据库内容、业务核心数据及业务流程、</w:t>
      </w:r>
      <w:r>
        <w:rPr>
          <w:rFonts w:hint="eastAsia" w:ascii="仿宋_GB2312" w:hAnsi="微软雅黑" w:eastAsia="仿宋_GB2312" w:cs="微软雅黑"/>
          <w:spacing w:val="-5"/>
          <w:sz w:val="28"/>
          <w:szCs w:val="28"/>
          <w:shd w:val="clear" w:color="auto" w:fill="FFFFFF"/>
        </w:rPr>
        <w:t>各业务系统相关数据和信息</w:t>
      </w:r>
      <w:r>
        <w:rPr>
          <w:rFonts w:hint="eastAsia" w:ascii="仿宋_GB2312" w:hAnsi="微软雅黑" w:eastAsia="仿宋_GB2312" w:cs="微软雅黑"/>
          <w:spacing w:val="-9"/>
          <w:sz w:val="28"/>
          <w:szCs w:val="28"/>
          <w:shd w:val="clear" w:color="auto" w:fill="FFFFFF"/>
        </w:rPr>
        <w:t>内容，病人隐私信息</w:t>
      </w:r>
      <w:r>
        <w:rPr>
          <w:rFonts w:hint="eastAsia" w:ascii="仿宋_GB2312" w:hAnsi="微软雅黑" w:eastAsia="仿宋_GB2312" w:cs="微软雅黑"/>
          <w:spacing w:val="-7"/>
          <w:sz w:val="28"/>
          <w:szCs w:val="28"/>
          <w:shd w:val="clear" w:color="auto" w:fill="FFFFFF"/>
        </w:rPr>
        <w:t>以及其他专有信息等</w:t>
      </w:r>
      <w:r>
        <w:rPr>
          <w:rFonts w:hint="eastAsia" w:ascii="仿宋_GB2312" w:hAnsi="微软雅黑" w:eastAsia="仿宋_GB2312" w:cs="微软雅黑"/>
          <w:spacing w:val="-5"/>
          <w:sz w:val="28"/>
          <w:szCs w:val="28"/>
          <w:shd w:val="clear" w:color="auto" w:fill="FFFFFF"/>
        </w:rPr>
        <w:t>（以下统称</w:t>
      </w:r>
      <w:r>
        <w:rPr>
          <w:rFonts w:hint="eastAsia" w:ascii="仿宋_GB2312" w:hAnsi="微软雅黑" w:eastAsia="仿宋_GB2312" w:cs="微软雅黑"/>
          <w:sz w:val="28"/>
          <w:szCs w:val="28"/>
          <w:shd w:val="clear" w:color="auto" w:fill="FFFFFF"/>
        </w:rPr>
        <w:t>“保</w:t>
      </w:r>
      <w:r>
        <w:rPr>
          <w:rFonts w:hint="eastAsia" w:ascii="仿宋_GB2312" w:hAnsi="微软雅黑" w:eastAsia="仿宋_GB2312" w:cs="微软雅黑"/>
          <w:spacing w:val="-6"/>
          <w:sz w:val="28"/>
          <w:szCs w:val="28"/>
          <w:shd w:val="clear" w:color="auto" w:fill="FFFFFF"/>
        </w:rPr>
        <w:t>密信息”</w:t>
      </w:r>
      <w:r>
        <w:rPr>
          <w:rFonts w:hint="eastAsia" w:ascii="仿宋_GB2312" w:hAnsi="微软雅黑" w:eastAsia="仿宋_GB2312" w:cs="微软雅黑"/>
          <w:sz w:val="28"/>
          <w:szCs w:val="28"/>
          <w:shd w:val="clear" w:color="auto" w:fill="FFFFFF"/>
        </w:rPr>
        <w:t>）。</w:t>
      </w:r>
    </w:p>
    <w:p w14:paraId="4BEF226D">
      <w:pPr>
        <w:pStyle w:val="19"/>
        <w:shd w:val="clear" w:color="auto" w:fill="FFFFFF"/>
        <w:spacing w:before="93" w:beforeLines="30" w:beforeAutospacing="0" w:after="0" w:afterAutospacing="0" w:line="380" w:lineRule="exact"/>
        <w:ind w:firstLine="560" w:firstLineChars="200"/>
        <w:jc w:val="both"/>
        <w:rPr>
          <w:rFonts w:hint="eastAsia" w:ascii="仿宋_GB2312" w:hAnsi="微软雅黑" w:eastAsia="仿宋_GB2312" w:cs="微软雅黑"/>
          <w:spacing w:val="-6"/>
          <w:sz w:val="28"/>
          <w:szCs w:val="28"/>
          <w:shd w:val="clear" w:color="auto" w:fill="FFFFFF"/>
        </w:rPr>
      </w:pPr>
      <w:r>
        <w:rPr>
          <w:rFonts w:hint="eastAsia" w:ascii="仿宋_GB2312" w:hAnsi="微软雅黑" w:eastAsia="仿宋_GB2312" w:cs="微软雅黑"/>
          <w:sz w:val="28"/>
          <w:szCs w:val="28"/>
          <w:shd w:val="clear" w:color="auto" w:fill="FFFFFF"/>
        </w:rPr>
        <w:t>3.</w:t>
      </w:r>
      <w:r>
        <w:rPr>
          <w:rFonts w:hint="eastAsia" w:ascii="仿宋_GB2312" w:hAnsi="微软雅黑" w:eastAsia="仿宋_GB2312" w:cs="微软雅黑"/>
          <w:spacing w:val="-6"/>
          <w:sz w:val="28"/>
          <w:szCs w:val="28"/>
          <w:shd w:val="clear" w:color="auto" w:fill="FFFFFF"/>
        </w:rPr>
        <w:t>“保密信息”不包括下列信息：</w:t>
      </w:r>
    </w:p>
    <w:p w14:paraId="3008841E">
      <w:pPr>
        <w:pStyle w:val="19"/>
        <w:shd w:val="clear" w:color="auto" w:fill="FFFFFF"/>
        <w:spacing w:before="0" w:beforeAutospacing="0" w:after="0" w:afterAutospacing="0" w:line="380" w:lineRule="exact"/>
        <w:ind w:firstLine="560" w:firstLineChars="200"/>
        <w:jc w:val="both"/>
        <w:rPr>
          <w:rFonts w:hint="eastAsia" w:ascii="仿宋_GB2312" w:hAnsi="微软雅黑" w:eastAsia="仿宋_GB2312" w:cs="微软雅黑"/>
          <w:sz w:val="28"/>
          <w:szCs w:val="28"/>
        </w:rPr>
      </w:pPr>
      <w:r>
        <w:rPr>
          <w:rFonts w:hint="eastAsia" w:ascii="仿宋_GB2312" w:hAnsi="微软雅黑" w:eastAsia="仿宋_GB2312" w:cs="微软雅黑"/>
          <w:sz w:val="28"/>
          <w:szCs w:val="28"/>
          <w:shd w:val="clear" w:color="auto" w:fill="FFFFFF"/>
        </w:rPr>
        <w:t>（1</w:t>
      </w:r>
      <w:r>
        <w:rPr>
          <w:rFonts w:hint="eastAsia" w:ascii="仿宋_GB2312" w:hAnsi="微软雅黑" w:eastAsia="仿宋_GB2312" w:cs="微软雅黑"/>
          <w:spacing w:val="-6"/>
          <w:sz w:val="28"/>
          <w:szCs w:val="28"/>
          <w:shd w:val="clear" w:color="auto" w:fill="FFFFFF"/>
        </w:rPr>
        <w:t>）在生效日之前或之后成为公众所知（非因乙方的过错）</w:t>
      </w:r>
      <w:r>
        <w:rPr>
          <w:rFonts w:hint="eastAsia" w:ascii="仿宋_GB2312" w:hAnsi="微软雅黑" w:eastAsia="仿宋_GB2312" w:cs="微软雅黑"/>
          <w:sz w:val="28"/>
          <w:szCs w:val="28"/>
          <w:shd w:val="clear" w:color="auto" w:fill="FFFFFF"/>
        </w:rPr>
        <w:t>；</w:t>
      </w:r>
    </w:p>
    <w:p w14:paraId="51C1488A">
      <w:pPr>
        <w:pStyle w:val="19"/>
        <w:shd w:val="clear" w:color="auto" w:fill="FFFFFF"/>
        <w:spacing w:before="0" w:beforeAutospacing="0" w:after="0" w:afterAutospacing="0" w:line="380" w:lineRule="exact"/>
        <w:ind w:firstLine="560" w:firstLineChars="200"/>
        <w:jc w:val="both"/>
        <w:rPr>
          <w:rFonts w:hint="eastAsia" w:ascii="仿宋_GB2312" w:hAnsi="微软雅黑" w:eastAsia="仿宋_GB2312" w:cs="微软雅黑"/>
          <w:sz w:val="28"/>
          <w:szCs w:val="28"/>
        </w:rPr>
      </w:pPr>
      <w:r>
        <w:rPr>
          <w:rFonts w:hint="eastAsia" w:ascii="仿宋_GB2312" w:hAnsi="微软雅黑" w:eastAsia="仿宋_GB2312" w:cs="微软雅黑"/>
          <w:sz w:val="28"/>
          <w:szCs w:val="28"/>
          <w:shd w:val="clear" w:color="auto" w:fill="FFFFFF"/>
        </w:rPr>
        <w:t>（2</w:t>
      </w:r>
      <w:r>
        <w:rPr>
          <w:rFonts w:hint="eastAsia" w:ascii="仿宋_GB2312" w:hAnsi="微软雅黑" w:eastAsia="仿宋_GB2312" w:cs="微软雅黑"/>
          <w:spacing w:val="-5"/>
          <w:sz w:val="28"/>
          <w:szCs w:val="28"/>
          <w:shd w:val="clear" w:color="auto" w:fill="FFFFFF"/>
        </w:rPr>
        <w:t>）乙方没有使用保密信息而独立开发的信息；</w:t>
      </w:r>
      <w:r>
        <w:rPr>
          <w:rFonts w:hint="eastAsia" w:ascii="仿宋_GB2312" w:hAnsi="微软雅黑" w:eastAsia="仿宋_GB2312" w:cs="微软雅黑"/>
          <w:sz w:val="28"/>
          <w:szCs w:val="28"/>
          <w:shd w:val="clear" w:color="auto" w:fill="FFFFFF"/>
        </w:rPr>
        <w:t> </w:t>
      </w:r>
    </w:p>
    <w:p w14:paraId="7F08C792">
      <w:pPr>
        <w:pStyle w:val="19"/>
        <w:shd w:val="clear" w:color="auto" w:fill="FFFFFF"/>
        <w:spacing w:before="0" w:beforeAutospacing="0" w:after="0" w:afterAutospacing="0" w:line="380" w:lineRule="exact"/>
        <w:ind w:firstLine="560" w:firstLineChars="200"/>
        <w:jc w:val="both"/>
        <w:rPr>
          <w:rFonts w:hint="eastAsia" w:ascii="仿宋_GB2312" w:hAnsi="微软雅黑" w:eastAsia="仿宋_GB2312" w:cs="微软雅黑"/>
          <w:spacing w:val="-6"/>
          <w:sz w:val="28"/>
          <w:szCs w:val="28"/>
          <w:shd w:val="clear" w:color="auto" w:fill="FFFFFF"/>
        </w:rPr>
      </w:pPr>
      <w:r>
        <w:rPr>
          <w:rFonts w:hint="eastAsia" w:ascii="仿宋_GB2312" w:hAnsi="微软雅黑" w:eastAsia="仿宋_GB2312" w:cs="微软雅黑"/>
          <w:sz w:val="28"/>
          <w:szCs w:val="28"/>
          <w:shd w:val="clear" w:color="auto" w:fill="FFFFFF"/>
        </w:rPr>
        <w:t>（3</w:t>
      </w:r>
      <w:r>
        <w:rPr>
          <w:rFonts w:hint="eastAsia" w:ascii="仿宋_GB2312" w:hAnsi="微软雅黑" w:eastAsia="仿宋_GB2312" w:cs="微软雅黑"/>
          <w:spacing w:val="-6"/>
          <w:sz w:val="28"/>
          <w:szCs w:val="28"/>
          <w:shd w:val="clear" w:color="auto" w:fill="FFFFFF"/>
        </w:rPr>
        <w:t>）乙方从第三方合法获取的信息。</w:t>
      </w:r>
    </w:p>
    <w:p w14:paraId="0EDD2C65">
      <w:pPr>
        <w:pStyle w:val="19"/>
        <w:shd w:val="clear" w:color="auto" w:fill="FFFFFF"/>
        <w:spacing w:before="0" w:beforeAutospacing="0" w:after="0" w:afterAutospacing="0" w:line="380" w:lineRule="exact"/>
        <w:ind w:firstLine="536"/>
        <w:jc w:val="both"/>
        <w:rPr>
          <w:rFonts w:hint="eastAsia" w:ascii="仿宋_GB2312" w:hAnsi="微软雅黑" w:eastAsia="仿宋_GB2312" w:cs="微软雅黑"/>
          <w:spacing w:val="-6"/>
          <w:sz w:val="28"/>
          <w:szCs w:val="28"/>
        </w:rPr>
      </w:pPr>
    </w:p>
    <w:p w14:paraId="55FCD803">
      <w:pPr>
        <w:spacing w:before="93" w:beforeLines="30" w:line="380" w:lineRule="exact"/>
        <w:rPr>
          <w:rFonts w:hint="eastAsia" w:ascii="仿宋_GB2312" w:hAnsi="微软雅黑" w:eastAsia="仿宋_GB2312" w:cs="微软雅黑"/>
          <w:sz w:val="28"/>
          <w:szCs w:val="28"/>
        </w:rPr>
      </w:pPr>
      <w:r>
        <w:rPr>
          <w:rFonts w:hint="eastAsia" w:ascii="仿宋_GB2312" w:hAnsi="微软雅黑" w:eastAsia="仿宋_GB2312" w:cs="微软雅黑"/>
          <w:sz w:val="28"/>
          <w:szCs w:val="28"/>
        </w:rPr>
        <w:t>二、权利保证 </w:t>
      </w:r>
    </w:p>
    <w:p w14:paraId="5FF7C334">
      <w:pPr>
        <w:spacing w:before="93" w:beforeLines="30" w:line="380" w:lineRule="exact"/>
        <w:rPr>
          <w:rFonts w:hint="eastAsia" w:ascii="仿宋_GB2312" w:hAnsi="微软雅黑" w:eastAsia="仿宋_GB2312" w:cs="微软雅黑"/>
          <w:sz w:val="28"/>
          <w:szCs w:val="28"/>
        </w:rPr>
      </w:pPr>
      <w:r>
        <w:rPr>
          <w:rFonts w:hint="eastAsia" w:ascii="仿宋_GB2312" w:hAnsi="微软雅黑" w:eastAsia="仿宋_GB2312" w:cs="微软雅黑"/>
          <w:sz w:val="28"/>
          <w:szCs w:val="28"/>
        </w:rPr>
        <w:t xml:space="preserve">   甲方保证其向乙方披露的专有信息不侵犯任何第三方的知识产权及其它合法权益。</w:t>
      </w:r>
    </w:p>
    <w:p w14:paraId="3F08931C">
      <w:pPr>
        <w:spacing w:before="93" w:beforeLines="30" w:line="380" w:lineRule="exact"/>
        <w:rPr>
          <w:rFonts w:hint="eastAsia" w:ascii="仿宋_GB2312" w:hAnsi="微软雅黑" w:eastAsia="仿宋_GB2312" w:cs="微软雅黑"/>
          <w:sz w:val="28"/>
          <w:szCs w:val="28"/>
        </w:rPr>
      </w:pPr>
    </w:p>
    <w:p w14:paraId="47005E41">
      <w:pPr>
        <w:spacing w:before="93" w:beforeLines="30" w:line="380" w:lineRule="exact"/>
        <w:rPr>
          <w:rFonts w:hint="eastAsia" w:ascii="仿宋_GB2312" w:hAnsi="微软雅黑" w:eastAsia="仿宋_GB2312" w:cs="微软雅黑"/>
          <w:sz w:val="28"/>
          <w:szCs w:val="28"/>
        </w:rPr>
      </w:pPr>
      <w:r>
        <w:rPr>
          <w:rFonts w:hint="eastAsia" w:ascii="仿宋_GB2312" w:hAnsi="微软雅黑" w:eastAsia="仿宋_GB2312" w:cs="微软雅黑"/>
          <w:sz w:val="28"/>
          <w:szCs w:val="28"/>
        </w:rPr>
        <w:t>三、保密义务 </w:t>
      </w:r>
    </w:p>
    <w:p w14:paraId="742CCF95">
      <w:pPr>
        <w:pStyle w:val="19"/>
        <w:shd w:val="clear" w:color="auto" w:fill="FFFFFF"/>
        <w:spacing w:before="0" w:beforeAutospacing="0" w:after="0" w:afterAutospacing="0" w:line="380" w:lineRule="exact"/>
        <w:ind w:firstLine="560" w:firstLineChars="200"/>
        <w:jc w:val="both"/>
        <w:rPr>
          <w:rFonts w:hint="eastAsia" w:ascii="仿宋_GB2312" w:hAnsi="微软雅黑" w:eastAsia="仿宋_GB2312" w:cs="微软雅黑"/>
          <w:sz w:val="28"/>
          <w:szCs w:val="28"/>
          <w:shd w:val="clear" w:color="auto" w:fill="FFFFFF"/>
        </w:rPr>
      </w:pPr>
      <w:r>
        <w:rPr>
          <w:rFonts w:hint="eastAsia" w:ascii="仿宋_GB2312" w:hAnsi="微软雅黑" w:eastAsia="仿宋_GB2312" w:cs="微软雅黑"/>
          <w:sz w:val="28"/>
          <w:szCs w:val="28"/>
          <w:shd w:val="clear" w:color="auto" w:fill="FFFFFF"/>
        </w:rPr>
        <w:t>1、乙方从甲方获得所有保密信息，乙方仅对保密信息具有使用权，而没有所有权、知识产权及解释权。</w:t>
      </w:r>
    </w:p>
    <w:p w14:paraId="76247D83">
      <w:pPr>
        <w:pStyle w:val="19"/>
        <w:shd w:val="clear" w:color="auto" w:fill="FFFFFF"/>
        <w:spacing w:before="0" w:beforeAutospacing="0" w:after="0" w:afterAutospacing="0" w:line="380" w:lineRule="exact"/>
        <w:ind w:firstLine="560" w:firstLineChars="200"/>
        <w:jc w:val="both"/>
        <w:rPr>
          <w:rFonts w:hint="eastAsia" w:ascii="仿宋_GB2312" w:hAnsi="微软雅黑" w:eastAsia="仿宋_GB2312" w:cs="微软雅黑"/>
          <w:sz w:val="28"/>
          <w:szCs w:val="28"/>
          <w:shd w:val="clear" w:color="auto" w:fill="FFFFFF"/>
        </w:rPr>
      </w:pPr>
      <w:r>
        <w:rPr>
          <w:rFonts w:hint="eastAsia" w:ascii="仿宋_GB2312" w:hAnsi="微软雅黑" w:eastAsia="仿宋_GB2312" w:cs="微软雅黑"/>
          <w:sz w:val="28"/>
          <w:szCs w:val="28"/>
          <w:shd w:val="clear" w:color="auto" w:fill="FFFFFF"/>
        </w:rPr>
        <w:t>2、甲方所披露的保密信息只能被乙方用于本项目的实施工作，不得将甲方所披露的保密信息用于其它任何目的。</w:t>
      </w:r>
    </w:p>
    <w:p w14:paraId="70F00A7D">
      <w:pPr>
        <w:pStyle w:val="19"/>
        <w:shd w:val="clear" w:color="auto" w:fill="FFFFFF"/>
        <w:spacing w:before="0" w:beforeAutospacing="0" w:after="0" w:afterAutospacing="0" w:line="380" w:lineRule="exact"/>
        <w:ind w:firstLine="560" w:firstLineChars="200"/>
        <w:jc w:val="both"/>
        <w:rPr>
          <w:rFonts w:hint="eastAsia" w:ascii="仿宋_GB2312" w:hAnsi="微软雅黑" w:eastAsia="仿宋_GB2312" w:cs="微软雅黑"/>
          <w:sz w:val="28"/>
          <w:szCs w:val="28"/>
          <w:shd w:val="clear" w:color="auto" w:fill="FFFFFF"/>
        </w:rPr>
      </w:pPr>
      <w:r>
        <w:rPr>
          <w:rFonts w:hint="eastAsia" w:ascii="仿宋_GB2312" w:hAnsi="微软雅黑" w:eastAsia="仿宋_GB2312" w:cs="微软雅黑"/>
          <w:sz w:val="28"/>
          <w:szCs w:val="28"/>
          <w:shd w:val="clear" w:color="auto" w:fill="FFFFFF"/>
        </w:rPr>
        <w:t>3、乙方有义务妥善保管保密信息。乙方承诺采取合理的措施以保证保密信息不被泄露，此种措施应至少与甲方对自己的保密信息所采取的措施相当。</w:t>
      </w:r>
    </w:p>
    <w:p w14:paraId="43CF6003">
      <w:pPr>
        <w:pStyle w:val="19"/>
        <w:shd w:val="clear" w:color="auto" w:fill="FFFFFF"/>
        <w:spacing w:before="0" w:beforeAutospacing="0" w:after="0" w:afterAutospacing="0" w:line="380" w:lineRule="exact"/>
        <w:ind w:firstLine="560" w:firstLineChars="200"/>
        <w:jc w:val="both"/>
        <w:rPr>
          <w:rFonts w:hint="eastAsia" w:ascii="仿宋_GB2312" w:hAnsi="微软雅黑" w:eastAsia="仿宋_GB2312" w:cs="微软雅黑"/>
          <w:sz w:val="28"/>
          <w:szCs w:val="28"/>
          <w:shd w:val="clear" w:color="auto" w:fill="FFFFFF"/>
        </w:rPr>
      </w:pPr>
      <w:r>
        <w:rPr>
          <w:rFonts w:hint="eastAsia" w:ascii="仿宋_GB2312" w:hAnsi="微软雅黑" w:eastAsia="仿宋_GB2312" w:cs="微软雅黑"/>
          <w:sz w:val="28"/>
          <w:szCs w:val="28"/>
          <w:shd w:val="clear" w:color="auto" w:fill="FFFFFF"/>
        </w:rPr>
        <w:t>4、乙方仅能向有知悉必要的乙方人员披露保密信息。一经发现对保密信息的任何未经授权的披露或乙方及其人员违反本协议时，乙方应立即通知甲方，并采取措施防止进一步未经授权而使用保密信息。</w:t>
      </w:r>
    </w:p>
    <w:p w14:paraId="05A31DA6">
      <w:pPr>
        <w:pStyle w:val="19"/>
        <w:shd w:val="clear" w:color="auto" w:fill="FFFFFF"/>
        <w:spacing w:before="0" w:beforeAutospacing="0" w:after="0" w:afterAutospacing="0" w:line="380" w:lineRule="exact"/>
        <w:ind w:firstLine="560" w:firstLineChars="200"/>
        <w:jc w:val="both"/>
        <w:rPr>
          <w:rFonts w:hint="eastAsia" w:ascii="仿宋_GB2312" w:hAnsi="微软雅黑" w:eastAsia="仿宋_GB2312" w:cs="微软雅黑"/>
          <w:sz w:val="28"/>
          <w:szCs w:val="28"/>
          <w:shd w:val="clear" w:color="auto" w:fill="FFFFFF"/>
        </w:rPr>
      </w:pPr>
      <w:r>
        <w:rPr>
          <w:rFonts w:hint="eastAsia" w:ascii="仿宋_GB2312" w:hAnsi="微软雅黑" w:eastAsia="仿宋_GB2312" w:cs="微软雅黑"/>
          <w:sz w:val="28"/>
          <w:szCs w:val="28"/>
          <w:shd w:val="clear" w:color="auto" w:fill="FFFFFF"/>
        </w:rPr>
        <w:t>5、未经甲方的事先书面批准，乙方不得直接或间接以任何形式或任何方式把保密信息或其中的任何部分，披露、透露给任何第三方或者公开，乙方保证不向任何第三方披露本协议的存在或本协议的任何内容。</w:t>
      </w:r>
    </w:p>
    <w:p w14:paraId="5DB51284">
      <w:pPr>
        <w:pStyle w:val="19"/>
        <w:shd w:val="clear" w:color="auto" w:fill="FFFFFF"/>
        <w:spacing w:before="0" w:beforeAutospacing="0" w:after="0" w:afterAutospacing="0" w:line="380" w:lineRule="exact"/>
        <w:ind w:firstLine="560" w:firstLineChars="200"/>
        <w:jc w:val="both"/>
        <w:rPr>
          <w:rFonts w:hint="eastAsia" w:ascii="仿宋_GB2312" w:hAnsi="微软雅黑" w:eastAsia="仿宋_GB2312" w:cs="微软雅黑"/>
          <w:sz w:val="28"/>
          <w:szCs w:val="28"/>
          <w:shd w:val="clear" w:color="auto" w:fill="FFFFFF"/>
        </w:rPr>
      </w:pPr>
      <w:r>
        <w:rPr>
          <w:rFonts w:hint="eastAsia" w:ascii="仿宋_GB2312" w:hAnsi="微软雅黑" w:eastAsia="仿宋_GB2312" w:cs="微软雅黑"/>
          <w:sz w:val="28"/>
          <w:szCs w:val="28"/>
          <w:shd w:val="clear" w:color="auto" w:fill="FFFFFF"/>
        </w:rPr>
        <w:t>6、</w:t>
      </w:r>
      <w:r>
        <w:rPr>
          <w:rFonts w:hint="eastAsia" w:ascii="仿宋_GB2312" w:hAnsi="微软雅黑" w:eastAsia="仿宋_GB2312" w:cs="微软雅黑"/>
          <w:b/>
          <w:sz w:val="28"/>
          <w:szCs w:val="28"/>
          <w:shd w:val="clear" w:color="auto" w:fill="FFFFFF"/>
        </w:rPr>
        <w:t>严禁乙方工作人员利用工作便利以任何途径和方式，为甲方统计医师个人及临床科室有关医药产品（药品、耗材等）用量信息以及病人隐私信息，或为第三方统计提供便利。</w:t>
      </w:r>
      <w:r>
        <w:rPr>
          <w:rFonts w:hint="eastAsia" w:ascii="仿宋_GB2312" w:hAnsi="微软雅黑" w:eastAsia="仿宋_GB2312" w:cs="微软雅黑"/>
          <w:sz w:val="28"/>
          <w:szCs w:val="28"/>
          <w:shd w:val="clear" w:color="auto" w:fill="FFFFFF"/>
        </w:rPr>
        <w:t>若工作中发现其他人员有相关违法违纪或泄露相关信息的行为，应立即与甲方或乙方负责人反馈。</w:t>
      </w:r>
    </w:p>
    <w:p w14:paraId="0694280D">
      <w:pPr>
        <w:pStyle w:val="19"/>
        <w:shd w:val="clear" w:color="auto" w:fill="FFFFFF"/>
        <w:spacing w:before="0" w:beforeAutospacing="0" w:after="0" w:afterAutospacing="0" w:line="380" w:lineRule="exact"/>
        <w:ind w:firstLine="560" w:firstLineChars="200"/>
        <w:jc w:val="both"/>
        <w:rPr>
          <w:rFonts w:hint="eastAsia" w:ascii="仿宋_GB2312" w:hAnsi="微软雅黑" w:eastAsia="仿宋_GB2312" w:cs="微软雅黑"/>
          <w:sz w:val="28"/>
          <w:szCs w:val="28"/>
          <w:shd w:val="clear" w:color="auto" w:fill="FFFFFF"/>
        </w:rPr>
      </w:pPr>
      <w:r>
        <w:rPr>
          <w:rFonts w:hint="eastAsia" w:ascii="仿宋_GB2312" w:hAnsi="微软雅黑" w:eastAsia="仿宋_GB2312" w:cs="微软雅黑"/>
          <w:sz w:val="28"/>
          <w:szCs w:val="28"/>
          <w:shd w:val="clear" w:color="auto" w:fill="FFFFFF"/>
        </w:rPr>
        <w:t>7、乙方应当告知要求其参与本项工作之雇员遵守本协议规定，乙方人员向第三方披露保密信息，或依据该等保密信息向第三方做出任何建议，都被视为乙方违反本协议。如有人员离职需要向甲方报备，并除去相应系统权限。</w:t>
      </w:r>
    </w:p>
    <w:p w14:paraId="7CD122E1">
      <w:pPr>
        <w:pStyle w:val="19"/>
        <w:shd w:val="clear" w:color="auto" w:fill="FFFFFF"/>
        <w:spacing w:before="0" w:beforeAutospacing="0" w:after="0" w:afterAutospacing="0" w:line="380" w:lineRule="exact"/>
        <w:ind w:firstLine="560" w:firstLineChars="200"/>
        <w:jc w:val="both"/>
        <w:rPr>
          <w:rFonts w:hint="eastAsia" w:ascii="仿宋_GB2312" w:hAnsi="微软雅黑" w:eastAsia="仿宋_GB2312" w:cs="微软雅黑"/>
          <w:sz w:val="28"/>
          <w:szCs w:val="28"/>
          <w:shd w:val="clear" w:color="auto" w:fill="FFFFFF"/>
        </w:rPr>
      </w:pPr>
      <w:r>
        <w:rPr>
          <w:rFonts w:hint="eastAsia" w:ascii="仿宋_GB2312" w:hAnsi="微软雅黑" w:eastAsia="仿宋_GB2312" w:cs="微软雅黑"/>
          <w:sz w:val="28"/>
          <w:szCs w:val="28"/>
          <w:shd w:val="clear" w:color="auto" w:fill="FFFFFF"/>
        </w:rPr>
        <w:t>8、乙方参加本项目的所有人员必须与乙方签有正式的保密协议，并且该人员在知晓保密信息前应已充分了解本协议的内容。</w:t>
      </w:r>
    </w:p>
    <w:p w14:paraId="7E341FB9">
      <w:pPr>
        <w:pStyle w:val="19"/>
        <w:shd w:val="clear" w:color="auto" w:fill="FFFFFF"/>
        <w:spacing w:before="0" w:beforeAutospacing="0" w:after="0" w:afterAutospacing="0" w:line="380" w:lineRule="exact"/>
        <w:ind w:firstLine="560" w:firstLineChars="200"/>
        <w:jc w:val="both"/>
        <w:rPr>
          <w:rFonts w:hint="eastAsia" w:ascii="仿宋_GB2312" w:hAnsi="微软雅黑" w:eastAsia="仿宋_GB2312" w:cs="微软雅黑"/>
          <w:sz w:val="28"/>
          <w:szCs w:val="28"/>
          <w:shd w:val="clear" w:color="auto" w:fill="FFFFFF"/>
        </w:rPr>
      </w:pPr>
      <w:r>
        <w:rPr>
          <w:rFonts w:hint="eastAsia" w:ascii="仿宋_GB2312" w:hAnsi="微软雅黑" w:eastAsia="仿宋_GB2312" w:cs="微软雅黑"/>
          <w:sz w:val="28"/>
          <w:szCs w:val="28"/>
          <w:shd w:val="clear" w:color="auto" w:fill="FFFFFF"/>
        </w:rPr>
        <w:t>9、乙方不得全部或部分复制或仿造保密信息。</w:t>
      </w:r>
    </w:p>
    <w:p w14:paraId="30B20481">
      <w:pPr>
        <w:pStyle w:val="19"/>
        <w:shd w:val="clear" w:color="auto" w:fill="FFFFFF"/>
        <w:spacing w:before="0" w:beforeAutospacing="0" w:after="0" w:afterAutospacing="0" w:line="380" w:lineRule="exact"/>
        <w:ind w:firstLine="560" w:firstLineChars="200"/>
        <w:jc w:val="both"/>
        <w:rPr>
          <w:rFonts w:hint="eastAsia" w:ascii="仿宋_GB2312" w:hAnsi="微软雅黑" w:eastAsia="仿宋_GB2312" w:cs="微软雅黑"/>
          <w:sz w:val="28"/>
          <w:szCs w:val="28"/>
          <w:shd w:val="clear" w:color="auto" w:fill="FFFFFF"/>
        </w:rPr>
      </w:pPr>
      <w:r>
        <w:rPr>
          <w:rFonts w:hint="eastAsia" w:ascii="仿宋_GB2312" w:hAnsi="微软雅黑" w:eastAsia="仿宋_GB2312" w:cs="微软雅黑"/>
          <w:sz w:val="28"/>
          <w:szCs w:val="28"/>
          <w:shd w:val="clear" w:color="auto" w:fill="FFFFFF"/>
        </w:rPr>
        <w:t>10、甲方人员不得要求乙方为其统计医师个人及临床科室有关医药产品用量信息与患者隐私，或要求其以任何方式向第三方透露保密信息或其中的任何部分，如确实有要求请到信息处备案，并两个以上甲方人员签字确认。</w:t>
      </w:r>
    </w:p>
    <w:p w14:paraId="38638BED">
      <w:pPr>
        <w:pStyle w:val="19"/>
        <w:shd w:val="clear" w:color="auto" w:fill="FFFFFF"/>
        <w:spacing w:before="0" w:beforeAutospacing="0" w:after="0" w:afterAutospacing="0" w:line="380" w:lineRule="exact"/>
        <w:ind w:firstLine="560"/>
        <w:jc w:val="both"/>
        <w:rPr>
          <w:rFonts w:hint="eastAsia" w:ascii="仿宋_GB2312" w:hAnsi="微软雅黑" w:eastAsia="仿宋_GB2312" w:cs="微软雅黑"/>
          <w:sz w:val="28"/>
          <w:szCs w:val="28"/>
          <w:shd w:val="clear" w:color="auto" w:fill="FFFFFF"/>
        </w:rPr>
      </w:pPr>
    </w:p>
    <w:p w14:paraId="5DFBCC60">
      <w:pPr>
        <w:spacing w:before="93" w:beforeLines="30" w:line="380" w:lineRule="exact"/>
        <w:rPr>
          <w:rFonts w:hint="eastAsia" w:ascii="仿宋_GB2312" w:hAnsi="微软雅黑" w:eastAsia="仿宋_GB2312" w:cs="微软雅黑"/>
          <w:sz w:val="28"/>
          <w:szCs w:val="28"/>
        </w:rPr>
      </w:pPr>
      <w:r>
        <w:rPr>
          <w:rFonts w:hint="eastAsia" w:ascii="仿宋_GB2312" w:hAnsi="微软雅黑" w:eastAsia="仿宋_GB2312" w:cs="微软雅黑"/>
          <w:sz w:val="28"/>
          <w:szCs w:val="28"/>
        </w:rPr>
        <w:t>四、违约责任</w:t>
      </w:r>
    </w:p>
    <w:p w14:paraId="1FDC7171">
      <w:pPr>
        <w:spacing w:before="93" w:beforeLines="30" w:line="380" w:lineRule="exact"/>
        <w:ind w:firstLine="560" w:firstLineChars="200"/>
        <w:rPr>
          <w:rFonts w:hint="eastAsia" w:ascii="仿宋_GB2312" w:hAnsi="微软雅黑" w:eastAsia="仿宋_GB2312" w:cs="微软雅黑"/>
          <w:sz w:val="28"/>
          <w:szCs w:val="28"/>
        </w:rPr>
      </w:pPr>
      <w:r>
        <w:rPr>
          <w:rFonts w:hint="eastAsia" w:ascii="仿宋_GB2312" w:hAnsi="微软雅黑" w:eastAsia="仿宋_GB2312" w:cs="微软雅黑"/>
          <w:sz w:val="28"/>
          <w:szCs w:val="28"/>
        </w:rPr>
        <w:t>乙方违反本协议任何规定，均视为违约。</w:t>
      </w:r>
      <w:r>
        <w:rPr>
          <w:rFonts w:hint="eastAsia" w:ascii="仿宋_GB2312" w:hAnsi="微软雅黑" w:eastAsia="仿宋_GB2312" w:cs="微软雅黑"/>
          <w:b/>
          <w:sz w:val="28"/>
          <w:szCs w:val="28"/>
        </w:rPr>
        <w:t>一旦违约立即终止所有项目合作，</w:t>
      </w:r>
      <w:r>
        <w:rPr>
          <w:rFonts w:hint="eastAsia" w:ascii="仿宋_GB2312" w:hAnsi="微软雅黑" w:eastAsia="仿宋_GB2312" w:cs="微软雅黑"/>
          <w:sz w:val="28"/>
          <w:szCs w:val="28"/>
        </w:rPr>
        <w:t>同时向有关主管部门报告，并严格按照相关规定处理。</w:t>
      </w:r>
    </w:p>
    <w:p w14:paraId="66F8CB79">
      <w:pPr>
        <w:spacing w:before="93" w:beforeLines="30" w:line="380" w:lineRule="exact"/>
        <w:ind w:firstLine="560" w:firstLineChars="200"/>
        <w:rPr>
          <w:rFonts w:hint="eastAsia" w:ascii="仿宋_GB2312" w:hAnsi="微软雅黑" w:eastAsia="仿宋_GB2312" w:cs="微软雅黑"/>
          <w:sz w:val="28"/>
          <w:szCs w:val="28"/>
        </w:rPr>
      </w:pPr>
    </w:p>
    <w:p w14:paraId="71A2CF79">
      <w:pPr>
        <w:numPr>
          <w:ilvl w:val="0"/>
          <w:numId w:val="10"/>
        </w:numPr>
        <w:spacing w:before="93" w:beforeLines="30" w:line="380" w:lineRule="exact"/>
        <w:rPr>
          <w:rFonts w:hint="eastAsia" w:ascii="仿宋_GB2312" w:hAnsi="微软雅黑" w:eastAsia="仿宋_GB2312" w:cs="微软雅黑"/>
          <w:sz w:val="28"/>
          <w:szCs w:val="28"/>
        </w:rPr>
      </w:pPr>
      <w:r>
        <w:rPr>
          <w:rFonts w:hint="eastAsia" w:ascii="仿宋_GB2312" w:hAnsi="微软雅黑" w:eastAsia="仿宋_GB2312" w:cs="微软雅黑"/>
          <w:sz w:val="28"/>
          <w:szCs w:val="28"/>
        </w:rPr>
        <w:t>保密期限</w:t>
      </w:r>
    </w:p>
    <w:p w14:paraId="0DFE5217">
      <w:pPr>
        <w:spacing w:before="93" w:beforeLines="30" w:line="380" w:lineRule="exact"/>
        <w:ind w:firstLine="560" w:firstLineChars="200"/>
        <w:rPr>
          <w:rFonts w:hint="eastAsia" w:ascii="仿宋_GB2312" w:hAnsi="微软雅黑" w:eastAsia="仿宋_GB2312" w:cs="微软雅黑"/>
          <w:sz w:val="28"/>
          <w:szCs w:val="28"/>
        </w:rPr>
      </w:pPr>
      <w:r>
        <w:rPr>
          <w:rFonts w:hint="eastAsia" w:ascii="仿宋_GB2312" w:hAnsi="微软雅黑" w:eastAsia="仿宋_GB2312" w:cs="微软雅黑"/>
          <w:sz w:val="28"/>
          <w:szCs w:val="28"/>
        </w:rPr>
        <w:t>自甲方第一次向乙方披露任何保密信息之日后起直至该保密信息合法公开时止，乙方不得向任何第三方披露该保密信息。如果所涉及的保密信息依照国家主管机关或相关法律、法规另有规定的，适用其相关规定。任何一方违反本保密协议，违约方应赔偿守约方因此遭受的损失。</w:t>
      </w:r>
    </w:p>
    <w:p w14:paraId="709FFD04">
      <w:pPr>
        <w:spacing w:before="93" w:beforeLines="30" w:line="380" w:lineRule="exact"/>
        <w:rPr>
          <w:rFonts w:hint="eastAsia" w:ascii="仿宋_GB2312" w:hAnsi="微软雅黑" w:eastAsia="仿宋_GB2312" w:cs="微软雅黑"/>
          <w:sz w:val="28"/>
          <w:szCs w:val="28"/>
        </w:rPr>
      </w:pPr>
    </w:p>
    <w:p w14:paraId="44BA794A">
      <w:pPr>
        <w:spacing w:before="93" w:beforeLines="30" w:line="380" w:lineRule="exact"/>
        <w:rPr>
          <w:rFonts w:hint="eastAsia" w:ascii="仿宋_GB2312" w:hAnsi="微软雅黑" w:eastAsia="仿宋_GB2312" w:cs="微软雅黑"/>
          <w:sz w:val="28"/>
          <w:szCs w:val="28"/>
        </w:rPr>
      </w:pPr>
      <w:r>
        <w:rPr>
          <w:rFonts w:hint="eastAsia" w:ascii="仿宋_GB2312" w:hAnsi="微软雅黑" w:eastAsia="仿宋_GB2312" w:cs="微软雅黑"/>
          <w:sz w:val="28"/>
          <w:szCs w:val="28"/>
        </w:rPr>
        <w:t>六、争议解决</w:t>
      </w:r>
    </w:p>
    <w:p w14:paraId="40CBE905">
      <w:pPr>
        <w:spacing w:before="93" w:beforeLines="30" w:line="380" w:lineRule="exact"/>
        <w:ind w:firstLine="560" w:firstLineChars="200"/>
        <w:rPr>
          <w:rFonts w:hint="eastAsia" w:ascii="仿宋_GB2312" w:hAnsi="微软雅黑" w:eastAsia="仿宋_GB2312" w:cs="微软雅黑"/>
          <w:sz w:val="28"/>
          <w:szCs w:val="28"/>
        </w:rPr>
      </w:pPr>
      <w:r>
        <w:rPr>
          <w:rFonts w:hint="eastAsia" w:ascii="仿宋_GB2312" w:hAnsi="微软雅黑" w:eastAsia="仿宋_GB2312" w:cs="微软雅黑"/>
          <w:sz w:val="28"/>
          <w:szCs w:val="28"/>
        </w:rPr>
        <w:t>凡因执行本协议所发生的或与本协议有关的一切争议，双方应通过友好协商解决。如果协商不能解决时，可以向协议履行地或有管辖权的法院提起诉讼处理。</w:t>
      </w:r>
    </w:p>
    <w:p w14:paraId="69B73630">
      <w:pPr>
        <w:spacing w:before="93" w:beforeLines="30" w:line="380" w:lineRule="exact"/>
        <w:rPr>
          <w:rFonts w:hint="eastAsia" w:ascii="仿宋_GB2312" w:hAnsi="微软雅黑" w:eastAsia="仿宋_GB2312" w:cs="微软雅黑"/>
          <w:sz w:val="28"/>
          <w:szCs w:val="28"/>
        </w:rPr>
      </w:pPr>
      <w:r>
        <w:rPr>
          <w:rFonts w:hint="eastAsia" w:ascii="仿宋_GB2312" w:hAnsi="微软雅黑" w:eastAsia="仿宋_GB2312" w:cs="微软雅黑"/>
          <w:sz w:val="28"/>
          <w:szCs w:val="28"/>
        </w:rPr>
        <w:t>七、其他</w:t>
      </w:r>
    </w:p>
    <w:p w14:paraId="34A6B351">
      <w:pPr>
        <w:pStyle w:val="19"/>
        <w:shd w:val="clear" w:color="auto" w:fill="FFFFFF"/>
        <w:spacing w:before="0" w:beforeAutospacing="0" w:after="0" w:afterAutospacing="0" w:line="380" w:lineRule="exact"/>
        <w:ind w:firstLine="560" w:firstLineChars="200"/>
        <w:jc w:val="both"/>
        <w:rPr>
          <w:rFonts w:hint="eastAsia" w:ascii="仿宋_GB2312" w:hAnsi="微软雅黑" w:eastAsia="仿宋_GB2312" w:cs="微软雅黑"/>
          <w:sz w:val="28"/>
          <w:szCs w:val="28"/>
          <w:shd w:val="clear" w:color="auto" w:fill="FFFFFF"/>
        </w:rPr>
      </w:pPr>
      <w:r>
        <w:rPr>
          <w:rFonts w:hint="eastAsia" w:ascii="仿宋_GB2312" w:hAnsi="微软雅黑" w:eastAsia="仿宋_GB2312" w:cs="微软雅黑"/>
          <w:sz w:val="28"/>
          <w:szCs w:val="28"/>
          <w:shd w:val="clear" w:color="auto" w:fill="FFFFFF"/>
        </w:rPr>
        <w:t>1、对于本协议条款的修改，只有经双方授权的代表书面签署方可生效并对双方具有约束力。</w:t>
      </w:r>
    </w:p>
    <w:p w14:paraId="7A3A0922">
      <w:pPr>
        <w:pStyle w:val="19"/>
        <w:shd w:val="clear" w:color="auto" w:fill="FFFFFF"/>
        <w:spacing w:before="0" w:beforeAutospacing="0" w:after="0" w:afterAutospacing="0" w:line="380" w:lineRule="exact"/>
        <w:ind w:firstLine="560" w:firstLineChars="200"/>
        <w:jc w:val="both"/>
        <w:rPr>
          <w:rFonts w:hint="eastAsia" w:ascii="仿宋_GB2312" w:hAnsi="微软雅黑" w:eastAsia="仿宋_GB2312" w:cs="微软雅黑"/>
          <w:sz w:val="28"/>
          <w:szCs w:val="28"/>
          <w:shd w:val="clear" w:color="auto" w:fill="FFFFFF"/>
        </w:rPr>
      </w:pPr>
      <w:r>
        <w:rPr>
          <w:rFonts w:hint="eastAsia" w:ascii="仿宋_GB2312" w:hAnsi="微软雅黑" w:eastAsia="仿宋_GB2312" w:cs="微软雅黑"/>
          <w:sz w:val="28"/>
          <w:szCs w:val="28"/>
          <w:shd w:val="clear" w:color="auto" w:fill="FFFFFF"/>
        </w:rPr>
        <w:t>2、本协议正本一式两份，甲乙双方各执一份，均具同等法律效力。</w:t>
      </w:r>
    </w:p>
    <w:p w14:paraId="1F7D4DF9">
      <w:pPr>
        <w:pStyle w:val="19"/>
        <w:shd w:val="clear" w:color="auto" w:fill="FFFFFF"/>
        <w:spacing w:before="0" w:beforeAutospacing="0" w:after="0" w:afterAutospacing="0" w:line="380" w:lineRule="exact"/>
        <w:ind w:firstLine="560" w:firstLineChars="200"/>
        <w:jc w:val="both"/>
        <w:rPr>
          <w:rFonts w:hint="eastAsia" w:ascii="仿宋_GB2312" w:hAnsi="微软雅黑" w:eastAsia="仿宋_GB2312" w:cs="微软雅黑"/>
          <w:sz w:val="28"/>
          <w:szCs w:val="28"/>
          <w:shd w:val="clear" w:color="auto" w:fill="FFFFFF"/>
        </w:rPr>
      </w:pPr>
      <w:r>
        <w:rPr>
          <w:rFonts w:hint="eastAsia" w:ascii="仿宋_GB2312" w:hAnsi="微软雅黑" w:eastAsia="仿宋_GB2312" w:cs="微软雅黑"/>
          <w:sz w:val="28"/>
          <w:szCs w:val="28"/>
          <w:shd w:val="clear" w:color="auto" w:fill="FFFFFF"/>
        </w:rPr>
        <w:t>3、合同生效日期以乙方第一个代表签字日为准。</w:t>
      </w:r>
    </w:p>
    <w:p w14:paraId="2524FD3C">
      <w:pPr>
        <w:spacing w:line="380" w:lineRule="exact"/>
        <w:rPr>
          <w:rFonts w:hint="eastAsia" w:ascii="仿宋_GB2312" w:hAnsi="微软雅黑" w:eastAsia="仿宋_GB2312" w:cs="微软雅黑"/>
          <w:sz w:val="28"/>
          <w:szCs w:val="28"/>
        </w:rPr>
      </w:pPr>
    </w:p>
    <w:p w14:paraId="1713ADFB">
      <w:pPr>
        <w:spacing w:line="380" w:lineRule="exact"/>
        <w:rPr>
          <w:rFonts w:hint="eastAsia" w:ascii="仿宋_GB2312" w:hAnsi="微软雅黑" w:eastAsia="仿宋_GB2312" w:cs="微软雅黑"/>
          <w:sz w:val="28"/>
          <w:szCs w:val="28"/>
        </w:rPr>
      </w:pPr>
    </w:p>
    <w:p w14:paraId="69063F16">
      <w:pPr>
        <w:spacing w:line="380" w:lineRule="exact"/>
        <w:rPr>
          <w:rFonts w:hint="eastAsia" w:ascii="仿宋_GB2312" w:hAnsi="微软雅黑" w:eastAsia="仿宋_GB2312" w:cs="微软雅黑"/>
          <w:sz w:val="28"/>
          <w:szCs w:val="28"/>
        </w:rPr>
      </w:pPr>
      <w:r>
        <w:rPr>
          <w:rFonts w:hint="eastAsia" w:ascii="仿宋_GB2312" w:hAnsi="微软雅黑" w:eastAsia="仿宋_GB2312" w:cs="微软雅黑"/>
          <w:sz w:val="28"/>
          <w:szCs w:val="28"/>
        </w:rPr>
        <w:t>甲方（签章）：                           乙方（签章）：</w:t>
      </w:r>
    </w:p>
    <w:p w14:paraId="2FAF2515">
      <w:pPr>
        <w:spacing w:line="380" w:lineRule="exact"/>
        <w:rPr>
          <w:rFonts w:hint="eastAsia" w:ascii="仿宋_GB2312" w:hAnsi="微软雅黑" w:eastAsia="仿宋_GB2312" w:cs="微软雅黑"/>
          <w:sz w:val="28"/>
          <w:szCs w:val="28"/>
        </w:rPr>
      </w:pPr>
      <w:r>
        <w:rPr>
          <w:rFonts w:hint="eastAsia" w:ascii="仿宋_GB2312" w:hAnsi="微软雅黑" w:eastAsia="仿宋_GB2312" w:cs="微软雅黑"/>
          <w:sz w:val="28"/>
          <w:szCs w:val="28"/>
        </w:rPr>
        <w:t>日期：                                    日期：</w:t>
      </w:r>
    </w:p>
    <w:p w14:paraId="6D2E544B">
      <w:pPr>
        <w:spacing w:line="380" w:lineRule="exact"/>
        <w:rPr>
          <w:rFonts w:hint="eastAsia" w:ascii="仿宋_GB2312" w:hAnsi="微软雅黑" w:eastAsia="仿宋_GB2312" w:cs="微软雅黑"/>
          <w:sz w:val="28"/>
          <w:szCs w:val="28"/>
        </w:rPr>
      </w:pPr>
    </w:p>
    <w:p w14:paraId="2564ADE5">
      <w:pPr>
        <w:spacing w:line="380" w:lineRule="exact"/>
        <w:rPr>
          <w:rFonts w:hint="eastAsia" w:ascii="仿宋_GB2312" w:hAnsi="微软雅黑" w:eastAsia="仿宋_GB2312" w:cs="微软雅黑"/>
          <w:sz w:val="28"/>
          <w:szCs w:val="28"/>
        </w:rPr>
      </w:pPr>
      <w:r>
        <w:rPr>
          <w:rFonts w:hint="eastAsia" w:ascii="仿宋_GB2312" w:hAnsi="微软雅黑" w:eastAsia="仿宋_GB2312" w:cs="微软雅黑"/>
          <w:sz w:val="28"/>
          <w:szCs w:val="28"/>
        </w:rPr>
        <w:t xml:space="preserve">乙方项目组其他成员签字：                                                                       </w:t>
      </w:r>
    </w:p>
    <w:p w14:paraId="226FEC5B">
      <w:pPr>
        <w:spacing w:line="380" w:lineRule="exact"/>
        <w:rPr>
          <w:rFonts w:hint="eastAsia" w:ascii="仿宋_GB2312" w:hAnsi="微软雅黑" w:eastAsia="仿宋_GB2312" w:cs="微软雅黑"/>
          <w:sz w:val="28"/>
          <w:szCs w:val="28"/>
          <w:u w:val="single"/>
        </w:rPr>
      </w:pPr>
      <w:r>
        <w:rPr>
          <w:rFonts w:hint="eastAsia" w:ascii="仿宋_GB2312" w:hAnsi="微软雅黑" w:eastAsia="仿宋_GB2312" w:cs="微软雅黑"/>
          <w:sz w:val="28"/>
          <w:szCs w:val="28"/>
          <w:u w:val="single"/>
        </w:rPr>
        <w:t xml:space="preserve">                                                                     </w:t>
      </w:r>
    </w:p>
    <w:p w14:paraId="3ACB2172">
      <w:pPr>
        <w:spacing w:line="380" w:lineRule="exact"/>
        <w:rPr>
          <w:rFonts w:hint="eastAsia" w:ascii="仿宋_GB2312" w:hAnsi="微软雅黑" w:eastAsia="仿宋_GB2312" w:cs="微软雅黑"/>
          <w:sz w:val="28"/>
          <w:szCs w:val="28"/>
          <w:u w:val="single"/>
        </w:rPr>
      </w:pPr>
      <w:r>
        <w:rPr>
          <w:rFonts w:hint="eastAsia" w:ascii="仿宋_GB2312" w:hAnsi="微软雅黑" w:eastAsia="仿宋_GB2312" w:cs="微软雅黑"/>
          <w:sz w:val="28"/>
          <w:szCs w:val="28"/>
          <w:u w:val="single"/>
        </w:rPr>
        <w:t xml:space="preserve">                                                                     </w:t>
      </w:r>
    </w:p>
    <w:p w14:paraId="1DCEE9B5">
      <w:pPr>
        <w:spacing w:line="380" w:lineRule="exact"/>
        <w:rPr>
          <w:rFonts w:hint="eastAsia" w:ascii="仿宋_GB2312" w:hAnsi="微软雅黑" w:eastAsia="仿宋_GB2312" w:cs="微软雅黑"/>
          <w:sz w:val="28"/>
          <w:szCs w:val="28"/>
          <w:u w:val="single"/>
        </w:rPr>
      </w:pPr>
      <w:r>
        <w:rPr>
          <w:rFonts w:hint="eastAsia" w:ascii="仿宋_GB2312" w:hAnsi="微软雅黑" w:eastAsia="仿宋_GB2312" w:cs="微软雅黑"/>
          <w:sz w:val="28"/>
          <w:szCs w:val="28"/>
          <w:u w:val="single"/>
        </w:rPr>
        <w:t xml:space="preserve">                                                                                                                                          </w:t>
      </w:r>
    </w:p>
    <w:p w14:paraId="25E88FAF">
      <w:pPr>
        <w:spacing w:line="380" w:lineRule="exact"/>
        <w:rPr>
          <w:rFonts w:hint="eastAsia" w:ascii="仿宋_GB2312" w:hAnsi="微软雅黑" w:eastAsia="仿宋_GB2312" w:cs="微软雅黑"/>
          <w:sz w:val="28"/>
          <w:szCs w:val="28"/>
          <w:u w:val="single"/>
        </w:rPr>
      </w:pPr>
      <w:r>
        <w:rPr>
          <w:rFonts w:hint="eastAsia" w:ascii="仿宋_GB2312" w:hAnsi="微软雅黑" w:eastAsia="仿宋_GB2312" w:cs="微软雅黑"/>
          <w:sz w:val="28"/>
          <w:szCs w:val="28"/>
          <w:u w:val="single"/>
        </w:rPr>
        <w:t xml:space="preserve">                                                                     </w:t>
      </w:r>
    </w:p>
    <w:p w14:paraId="65DCF8A0">
      <w:pPr>
        <w:spacing w:line="380" w:lineRule="exact"/>
        <w:rPr>
          <w:rFonts w:hint="eastAsia" w:ascii="仿宋_GB2312" w:hAnsi="微软雅黑" w:eastAsia="仿宋_GB2312" w:cs="微软雅黑"/>
          <w:sz w:val="28"/>
          <w:szCs w:val="28"/>
          <w:u w:val="single"/>
        </w:rPr>
      </w:pPr>
      <w:r>
        <w:rPr>
          <w:rFonts w:hint="eastAsia" w:ascii="仿宋_GB2312" w:hAnsi="微软雅黑" w:eastAsia="仿宋_GB2312" w:cs="微软雅黑"/>
          <w:sz w:val="28"/>
          <w:szCs w:val="28"/>
          <w:u w:val="single"/>
        </w:rPr>
        <w:t xml:space="preserve">                                                                     </w:t>
      </w:r>
    </w:p>
    <w:p w14:paraId="693AF9F9">
      <w:pPr>
        <w:spacing w:line="380" w:lineRule="exact"/>
        <w:rPr>
          <w:rFonts w:hint="eastAsia" w:ascii="仿宋_GB2312" w:hAnsi="微软雅黑" w:eastAsia="仿宋_GB2312" w:cs="微软雅黑"/>
          <w:sz w:val="28"/>
          <w:szCs w:val="28"/>
          <w:u w:val="single"/>
        </w:rPr>
      </w:pPr>
      <w:r>
        <w:rPr>
          <w:rFonts w:hint="eastAsia" w:ascii="仿宋_GB2312" w:hAnsi="微软雅黑" w:eastAsia="仿宋_GB2312" w:cs="微软雅黑"/>
          <w:sz w:val="28"/>
          <w:szCs w:val="28"/>
          <w:u w:val="single"/>
        </w:rPr>
        <w:t xml:space="preserve">                                                                     </w:t>
      </w:r>
    </w:p>
    <w:p w14:paraId="1694BC39">
      <w:pPr>
        <w:spacing w:line="380" w:lineRule="exact"/>
        <w:rPr>
          <w:rFonts w:hint="eastAsia" w:ascii="仿宋_GB2312" w:hAnsi="微软雅黑" w:eastAsia="仿宋_GB2312" w:cs="微软雅黑"/>
          <w:sz w:val="28"/>
          <w:szCs w:val="28"/>
          <w:u w:val="single"/>
        </w:rPr>
      </w:pPr>
      <w:r>
        <w:rPr>
          <w:rFonts w:hint="eastAsia" w:ascii="仿宋_GB2312" w:hAnsi="微软雅黑" w:eastAsia="仿宋_GB2312" w:cs="微软雅黑"/>
          <w:sz w:val="28"/>
          <w:szCs w:val="28"/>
          <w:u w:val="single"/>
        </w:rPr>
        <w:t xml:space="preserve">                                                                     </w:t>
      </w:r>
    </w:p>
    <w:p w14:paraId="6305865C">
      <w:pPr>
        <w:spacing w:line="380" w:lineRule="exact"/>
        <w:rPr>
          <w:rFonts w:hint="eastAsia" w:ascii="仿宋_GB2312" w:hAnsi="微软雅黑" w:eastAsia="仿宋_GB2312" w:cs="微软雅黑"/>
          <w:sz w:val="28"/>
          <w:szCs w:val="28"/>
          <w:u w:val="single"/>
        </w:rPr>
      </w:pPr>
      <w:r>
        <w:rPr>
          <w:rFonts w:hint="eastAsia" w:ascii="仿宋_GB2312" w:hAnsi="微软雅黑" w:eastAsia="仿宋_GB2312" w:cs="微软雅黑"/>
          <w:sz w:val="28"/>
          <w:szCs w:val="28"/>
          <w:u w:val="single"/>
        </w:rPr>
        <w:t xml:space="preserve">                                                                     </w:t>
      </w:r>
    </w:p>
    <w:p w14:paraId="778F98A9">
      <w:pPr>
        <w:pStyle w:val="27"/>
        <w:ind w:firstLine="420"/>
      </w:pPr>
    </w:p>
    <w:p w14:paraId="6FF42562">
      <w:pPr>
        <w:pStyle w:val="27"/>
        <w:ind w:firstLine="420"/>
      </w:pPr>
    </w:p>
    <w:p w14:paraId="3EBD7746">
      <w:pPr>
        <w:pStyle w:val="27"/>
        <w:ind w:firstLine="420"/>
      </w:pPr>
    </w:p>
    <w:p w14:paraId="66006557">
      <w:pPr>
        <w:pStyle w:val="58"/>
        <w:pageBreakBefore/>
        <w:jc w:val="center"/>
        <w:rPr>
          <w:rFonts w:hint="eastAsia"/>
        </w:rPr>
      </w:pPr>
      <w:r>
        <w:rPr>
          <w:rFonts w:hint="eastAsia"/>
        </w:rPr>
        <w:t>网络安全协议书</w:t>
      </w:r>
    </w:p>
    <w:p w14:paraId="383CA65A">
      <w:pPr>
        <w:jc w:val="center"/>
        <w:rPr>
          <w:rFonts w:hint="eastAsia" w:ascii="仿宋_GB2312" w:hAnsi="微软雅黑" w:eastAsia="仿宋_GB2312" w:cs="微软雅黑"/>
          <w:b/>
          <w:sz w:val="36"/>
          <w:szCs w:val="36"/>
        </w:rPr>
      </w:pPr>
    </w:p>
    <w:p w14:paraId="09C6AC2E">
      <w:pPr>
        <w:spacing w:line="440" w:lineRule="exact"/>
        <w:rPr>
          <w:rFonts w:hint="eastAsia" w:ascii="仿宋_GB2312" w:hAnsi="微软雅黑" w:eastAsia="仿宋_GB2312" w:cs="微软雅黑"/>
          <w:sz w:val="28"/>
          <w:szCs w:val="28"/>
          <w:u w:val="single"/>
        </w:rPr>
      </w:pPr>
      <w:r>
        <w:rPr>
          <w:rFonts w:hint="eastAsia" w:ascii="仿宋_GB2312" w:hAnsi="微软雅黑" w:eastAsia="仿宋_GB2312" w:cs="微软雅黑"/>
          <w:b/>
          <w:sz w:val="28"/>
          <w:szCs w:val="28"/>
        </w:rPr>
        <w:t>甲方</w:t>
      </w:r>
      <w:r>
        <w:rPr>
          <w:rFonts w:hint="eastAsia" w:ascii="仿宋_GB2312" w:hAnsi="微软雅黑" w:eastAsia="仿宋_GB2312" w:cs="微软雅黑"/>
          <w:sz w:val="28"/>
          <w:szCs w:val="28"/>
        </w:rPr>
        <w:t>：扬州大学附属医院（扬州市第一人民医院）</w:t>
      </w:r>
    </w:p>
    <w:p w14:paraId="25C82041">
      <w:pPr>
        <w:spacing w:line="440" w:lineRule="exact"/>
        <w:rPr>
          <w:rFonts w:hint="eastAsia" w:ascii="仿宋_GB2312" w:hAnsi="微软雅黑" w:eastAsia="仿宋_GB2312" w:cs="微软雅黑"/>
          <w:sz w:val="28"/>
          <w:szCs w:val="28"/>
          <w:u w:val="single"/>
        </w:rPr>
      </w:pPr>
      <w:r>
        <w:rPr>
          <w:rFonts w:hint="eastAsia" w:ascii="仿宋_GB2312" w:hAnsi="微软雅黑" w:eastAsia="仿宋_GB2312" w:cs="微软雅黑"/>
          <w:b/>
          <w:sz w:val="28"/>
          <w:szCs w:val="28"/>
        </w:rPr>
        <w:t>乙方</w:t>
      </w:r>
      <w:r>
        <w:rPr>
          <w:rFonts w:hint="eastAsia" w:ascii="仿宋_GB2312" w:hAnsi="微软雅黑" w:eastAsia="仿宋_GB2312" w:cs="微软雅黑"/>
          <w:sz w:val="28"/>
          <w:szCs w:val="28"/>
        </w:rPr>
        <w:t>：（医疗信息化、系统集成、网络服务、维保服务企业）</w:t>
      </w:r>
      <w:r>
        <w:rPr>
          <w:rFonts w:hint="eastAsia" w:ascii="仿宋_GB2312" w:hAnsi="微软雅黑" w:eastAsia="仿宋_GB2312" w:cs="微软雅黑"/>
          <w:sz w:val="28"/>
          <w:szCs w:val="28"/>
          <w:u w:val="single"/>
        </w:rPr>
        <w:t xml:space="preserve">               </w:t>
      </w:r>
    </w:p>
    <w:p w14:paraId="098A124B">
      <w:pPr>
        <w:spacing w:line="440" w:lineRule="exact"/>
        <w:rPr>
          <w:rFonts w:hint="eastAsia" w:ascii="仿宋_GB2312" w:hAnsi="微软雅黑" w:eastAsia="仿宋_GB2312" w:cs="微软雅黑"/>
          <w:sz w:val="28"/>
          <w:szCs w:val="28"/>
          <w:u w:val="single"/>
        </w:rPr>
      </w:pPr>
    </w:p>
    <w:p w14:paraId="10EC6EF6">
      <w:pPr>
        <w:spacing w:line="440" w:lineRule="exact"/>
        <w:ind w:firstLine="560" w:firstLineChars="200"/>
        <w:jc w:val="left"/>
        <w:rPr>
          <w:rFonts w:hint="eastAsia" w:ascii="仿宋_GB2312" w:hAnsi="微软雅黑" w:eastAsia="仿宋_GB2312" w:cs="微软雅黑"/>
          <w:sz w:val="28"/>
          <w:szCs w:val="28"/>
        </w:rPr>
      </w:pPr>
      <w:r>
        <w:rPr>
          <w:rFonts w:hint="eastAsia" w:ascii="仿宋_GB2312" w:hAnsi="微软雅黑" w:eastAsia="仿宋_GB2312" w:cs="微软雅黑"/>
          <w:sz w:val="28"/>
          <w:szCs w:val="28"/>
        </w:rPr>
        <w:t>鉴于乙方受甲方委托承担</w:t>
      </w:r>
      <w:r>
        <w:rPr>
          <w:rFonts w:hint="eastAsia" w:ascii="仿宋_GB2312" w:hAnsi="微软雅黑" w:eastAsia="仿宋_GB2312" w:cs="微软雅黑"/>
          <w:sz w:val="28"/>
          <w:szCs w:val="28"/>
          <w:u w:val="single"/>
        </w:rPr>
        <w:t xml:space="preserve">                         </w:t>
      </w:r>
      <w:r>
        <w:rPr>
          <w:rFonts w:hint="eastAsia" w:ascii="仿宋_GB2312" w:hAnsi="微软雅黑" w:eastAsia="仿宋_GB2312" w:cs="微软雅黑"/>
          <w:sz w:val="28"/>
          <w:szCs w:val="28"/>
        </w:rPr>
        <w:t>项目，该项目将涉及甲方业务网络信息安全，项目建设需进入甲方的网络。根据《网络安全法》有关规定，为进一步加强网络安全建设，有效保障医院各类网络安全性、落实等级保护工作，营造绿色健康的网络环境，保证双方的合法利益，经甲、乙双方协商，现就网络安全责任达成以下协议：</w:t>
      </w:r>
    </w:p>
    <w:p w14:paraId="5969912F">
      <w:pPr>
        <w:spacing w:line="440" w:lineRule="exact"/>
        <w:ind w:firstLine="560" w:firstLineChars="200"/>
        <w:jc w:val="left"/>
        <w:rPr>
          <w:rFonts w:hint="eastAsia" w:ascii="仿宋_GB2312" w:hAnsi="微软雅黑" w:eastAsia="仿宋_GB2312" w:cs="微软雅黑"/>
          <w:sz w:val="28"/>
          <w:szCs w:val="28"/>
        </w:rPr>
      </w:pPr>
      <w:r>
        <w:rPr>
          <w:rFonts w:hint="eastAsia" w:ascii="仿宋_GB2312" w:hAnsi="微软雅黑" w:eastAsia="仿宋_GB2312" w:cs="微软雅黑"/>
          <w:sz w:val="28"/>
          <w:szCs w:val="28"/>
        </w:rPr>
        <w:t>一、双方严格遵守《网络安全法》、《全国人民代表大会常务委员会关于维护互联网安全的决定》、《中华人民共和国计算机信息系统安全保护条例》、计算机信息网络国际联网安全保护管理办法》、《互联网安全保护技术措施规定》等法律法规和规章的有关规定，依法从事相关服务。乙方需要实施的服务行为承担法律、行政、民事责任。</w:t>
      </w:r>
    </w:p>
    <w:p w14:paraId="41F38C4B">
      <w:pPr>
        <w:spacing w:line="440" w:lineRule="exact"/>
        <w:ind w:firstLine="560" w:firstLineChars="200"/>
        <w:jc w:val="left"/>
        <w:rPr>
          <w:rFonts w:hint="eastAsia" w:ascii="仿宋_GB2312" w:hAnsi="微软雅黑" w:eastAsia="仿宋_GB2312" w:cs="微软雅黑"/>
          <w:sz w:val="28"/>
          <w:szCs w:val="28"/>
        </w:rPr>
      </w:pPr>
      <w:r>
        <w:rPr>
          <w:rFonts w:hint="eastAsia" w:ascii="仿宋_GB2312" w:hAnsi="微软雅黑" w:eastAsia="仿宋_GB2312" w:cs="微软雅黑"/>
          <w:sz w:val="28"/>
          <w:szCs w:val="28"/>
        </w:rPr>
        <w:t>二、甲方建立信息安全责任制度，法定代表人为本单位网络与信息安全第一责任人，相关负责人及相关人员依法承担直接责任或其他相应责任。在甲方通知删除违法和有害信息、责令暂时关闭业务或有关系统时，乙方应立即执行。</w:t>
      </w:r>
    </w:p>
    <w:p w14:paraId="3759F961">
      <w:pPr>
        <w:spacing w:line="440" w:lineRule="exact"/>
        <w:ind w:firstLine="560" w:firstLineChars="200"/>
        <w:jc w:val="left"/>
        <w:rPr>
          <w:rFonts w:hint="eastAsia" w:ascii="仿宋_GB2312" w:hAnsi="微软雅黑" w:eastAsia="仿宋_GB2312" w:cs="微软雅黑"/>
          <w:sz w:val="28"/>
          <w:szCs w:val="28"/>
        </w:rPr>
      </w:pPr>
      <w:r>
        <w:rPr>
          <w:rFonts w:hint="eastAsia" w:ascii="仿宋_GB2312" w:hAnsi="微软雅黑" w:eastAsia="仿宋_GB2312" w:cs="微软雅黑"/>
          <w:sz w:val="28"/>
          <w:szCs w:val="28"/>
        </w:rPr>
        <w:t>三、甲方应在项目实施前、项目实施过程中、项目实施后，就网络信息安全相关事项保持与乙方沟通，并根据沟通意见提供相应的软硬件设施。</w:t>
      </w:r>
    </w:p>
    <w:p w14:paraId="11C0D9CE">
      <w:pPr>
        <w:spacing w:line="440" w:lineRule="exact"/>
        <w:ind w:firstLine="560" w:firstLineChars="200"/>
        <w:jc w:val="left"/>
        <w:rPr>
          <w:rFonts w:hint="eastAsia" w:ascii="仿宋_GB2312" w:hAnsi="微软雅黑" w:eastAsia="仿宋_GB2312" w:cs="微软雅黑"/>
          <w:sz w:val="28"/>
          <w:szCs w:val="28"/>
        </w:rPr>
      </w:pPr>
      <w:r>
        <w:rPr>
          <w:rFonts w:hint="eastAsia" w:ascii="仿宋_GB2312" w:hAnsi="微软雅黑" w:eastAsia="仿宋_GB2312" w:cs="微软雅黑"/>
          <w:sz w:val="28"/>
          <w:szCs w:val="28"/>
        </w:rPr>
        <w:t>乙方应建立和完善网络安全技术措施，定期进行安全风险分析与系统漏洞测试，防止病毒传播和被非法控制为网络攻击的跳板，适时对软硬件进行升级，确保系统安全可靠运行。</w:t>
      </w:r>
    </w:p>
    <w:p w14:paraId="2E7065F7">
      <w:pPr>
        <w:spacing w:line="440" w:lineRule="exact"/>
        <w:ind w:firstLine="560" w:firstLineChars="200"/>
        <w:jc w:val="left"/>
        <w:rPr>
          <w:rFonts w:hint="eastAsia" w:ascii="仿宋_GB2312" w:hAnsi="微软雅黑" w:eastAsia="仿宋_GB2312" w:cs="微软雅黑"/>
          <w:sz w:val="28"/>
          <w:szCs w:val="28"/>
        </w:rPr>
      </w:pPr>
      <w:r>
        <w:rPr>
          <w:rFonts w:hint="eastAsia" w:ascii="仿宋_GB2312" w:hAnsi="微软雅黑" w:eastAsia="仿宋_GB2312" w:cs="微软雅黑"/>
          <w:sz w:val="28"/>
          <w:szCs w:val="28"/>
        </w:rPr>
        <w:t>四、乙方完善信息安全管理制度和技术防范手段，建立健全公共信息内容自动过滤系统和人工值班监控制度，不制作、复制、发布、传播《计算机信息网络国际联网安全保护管理办法》第五条规定的禁止性信息，自觉遵守法律规范，认真履行社会责任。</w:t>
      </w:r>
    </w:p>
    <w:p w14:paraId="29047C10">
      <w:pPr>
        <w:spacing w:line="440" w:lineRule="exact"/>
        <w:ind w:firstLine="560" w:firstLineChars="200"/>
        <w:jc w:val="left"/>
        <w:rPr>
          <w:rFonts w:hint="eastAsia" w:ascii="仿宋_GB2312" w:hAnsi="微软雅黑" w:eastAsia="仿宋_GB2312" w:cs="微软雅黑"/>
          <w:sz w:val="28"/>
          <w:szCs w:val="28"/>
        </w:rPr>
      </w:pPr>
      <w:r>
        <w:rPr>
          <w:rFonts w:hint="eastAsia" w:ascii="仿宋_GB2312" w:hAnsi="微软雅黑" w:eastAsia="仿宋_GB2312" w:cs="微软雅黑"/>
          <w:sz w:val="28"/>
          <w:szCs w:val="28"/>
        </w:rPr>
        <w:t>五、甲方依法保存备份系统网络运行日志和用户使用日志记录不少于60日，在国家有关机关依法查询时乙方应予以提供。</w:t>
      </w:r>
    </w:p>
    <w:p w14:paraId="2C1848A8">
      <w:pPr>
        <w:spacing w:line="440" w:lineRule="exact"/>
        <w:ind w:firstLine="560" w:firstLineChars="200"/>
        <w:jc w:val="left"/>
        <w:rPr>
          <w:rFonts w:hint="eastAsia" w:ascii="仿宋_GB2312" w:hAnsi="微软雅黑" w:eastAsia="仿宋_GB2312" w:cs="微软雅黑"/>
          <w:sz w:val="28"/>
          <w:szCs w:val="28"/>
        </w:rPr>
      </w:pPr>
      <w:r>
        <w:rPr>
          <w:rFonts w:hint="eastAsia" w:ascii="仿宋_GB2312" w:hAnsi="微软雅黑" w:eastAsia="仿宋_GB2312" w:cs="微软雅黑"/>
          <w:sz w:val="28"/>
          <w:szCs w:val="28"/>
        </w:rPr>
        <w:t>六、甲方依法建立信息安全保密制度和用户信息安全管理制度，乙方在服务过程中应遵守进（驻）场工程师管理有关要求，遵守保密制度，确保用户和病人隐私资料不泄露。</w:t>
      </w:r>
    </w:p>
    <w:p w14:paraId="3AA81C83">
      <w:pPr>
        <w:spacing w:line="440" w:lineRule="exact"/>
        <w:ind w:firstLine="560" w:firstLineChars="200"/>
        <w:jc w:val="left"/>
        <w:rPr>
          <w:rFonts w:hint="eastAsia" w:ascii="仿宋_GB2312" w:hAnsi="微软雅黑" w:eastAsia="仿宋_GB2312" w:cs="微软雅黑"/>
          <w:sz w:val="28"/>
          <w:szCs w:val="28"/>
        </w:rPr>
      </w:pPr>
      <w:r>
        <w:rPr>
          <w:rFonts w:hint="eastAsia" w:ascii="仿宋_GB2312" w:hAnsi="微软雅黑" w:eastAsia="仿宋_GB2312" w:cs="微软雅黑"/>
          <w:sz w:val="28"/>
          <w:szCs w:val="28"/>
        </w:rPr>
        <w:t>七、甲方实施不良事件上报制度，对所有信息不安全事件进行记录，乙方在服务过程中发现有害信息应及时控制和处理，保留有关原始记录，并在2小时内报告甲方。</w:t>
      </w:r>
    </w:p>
    <w:p w14:paraId="5E5AB25E">
      <w:pPr>
        <w:spacing w:line="440" w:lineRule="exact"/>
        <w:ind w:firstLine="560" w:firstLineChars="200"/>
        <w:jc w:val="left"/>
        <w:rPr>
          <w:rFonts w:hint="eastAsia" w:ascii="仿宋_GB2312" w:hAnsi="微软雅黑" w:eastAsia="仿宋_GB2312" w:cs="微软雅黑"/>
          <w:sz w:val="28"/>
          <w:szCs w:val="28"/>
        </w:rPr>
      </w:pPr>
      <w:r>
        <w:rPr>
          <w:rFonts w:hint="eastAsia" w:ascii="仿宋_GB2312" w:hAnsi="微软雅黑" w:eastAsia="仿宋_GB2312" w:cs="微软雅黑"/>
          <w:sz w:val="28"/>
          <w:szCs w:val="28"/>
        </w:rPr>
        <w:t>八、甲方依法接受相关管理部门的监督管理和检查，主动向公安机关提供案件线索和工作中所需资料，及时报告计算机信息系统中发生的案（事）件，乙方应无条件及时响应。</w:t>
      </w:r>
    </w:p>
    <w:p w14:paraId="5879A5C0">
      <w:pPr>
        <w:spacing w:line="440" w:lineRule="exact"/>
        <w:ind w:firstLine="560" w:firstLineChars="200"/>
        <w:jc w:val="left"/>
        <w:rPr>
          <w:rFonts w:hint="eastAsia" w:ascii="仿宋_GB2312" w:hAnsi="微软雅黑" w:eastAsia="仿宋_GB2312" w:cs="微软雅黑"/>
          <w:sz w:val="28"/>
          <w:szCs w:val="28"/>
        </w:rPr>
      </w:pPr>
      <w:r>
        <w:rPr>
          <w:rFonts w:hint="eastAsia" w:ascii="仿宋_GB2312" w:hAnsi="微软雅黑" w:eastAsia="仿宋_GB2312" w:cs="微软雅黑"/>
          <w:sz w:val="28"/>
          <w:szCs w:val="28"/>
        </w:rPr>
        <w:t>九、甲方由于发生信息安全事件未及时采取措施造成严重影响的，公安机关将依据相关法律法规规定予以警告、罚款、直至停止联网、停机整顿等处罚，依法追宄甲方责任，如该行为是乙方服务引起，将追究乙方责任。</w:t>
      </w:r>
    </w:p>
    <w:p w14:paraId="4DD89C47">
      <w:pPr>
        <w:spacing w:line="440" w:lineRule="exact"/>
        <w:ind w:firstLine="560" w:firstLineChars="200"/>
        <w:jc w:val="left"/>
        <w:rPr>
          <w:rFonts w:hint="eastAsia" w:ascii="仿宋_GB2312" w:hAnsi="微软雅黑" w:eastAsia="仿宋_GB2312" w:cs="微软雅黑"/>
          <w:sz w:val="28"/>
          <w:szCs w:val="28"/>
        </w:rPr>
      </w:pPr>
      <w:r>
        <w:rPr>
          <w:rFonts w:hint="eastAsia" w:ascii="仿宋_GB2312" w:hAnsi="微软雅黑" w:eastAsia="仿宋_GB2312" w:cs="微软雅黑"/>
          <w:sz w:val="28"/>
          <w:szCs w:val="28"/>
        </w:rPr>
        <w:t>十、甲方按网络安全法要求实施等级保护制度，乙方按照相应要求无条件配合，相关费用双方协商解决。</w:t>
      </w:r>
    </w:p>
    <w:p w14:paraId="09F02E5B">
      <w:pPr>
        <w:spacing w:line="440" w:lineRule="exact"/>
        <w:ind w:firstLine="560" w:firstLineChars="200"/>
        <w:jc w:val="left"/>
        <w:rPr>
          <w:rFonts w:hint="eastAsia" w:ascii="仿宋_GB2312" w:hAnsi="微软雅黑" w:eastAsia="仿宋_GB2312" w:cs="微软雅黑"/>
          <w:sz w:val="28"/>
          <w:szCs w:val="28"/>
        </w:rPr>
      </w:pPr>
      <w:r>
        <w:rPr>
          <w:rFonts w:hint="eastAsia" w:ascii="仿宋_GB2312" w:hAnsi="微软雅黑" w:eastAsia="仿宋_GB2312" w:cs="微软雅黑"/>
          <w:sz w:val="28"/>
          <w:szCs w:val="28"/>
        </w:rPr>
        <w:t>十一、本责任书（承诺书）自签定之日起生效。</w:t>
      </w:r>
    </w:p>
    <w:p w14:paraId="5E2F1560">
      <w:pPr>
        <w:spacing w:line="440" w:lineRule="exact"/>
        <w:jc w:val="center"/>
        <w:rPr>
          <w:rFonts w:hint="eastAsia" w:ascii="仿宋_GB2312" w:hAnsi="微软雅黑" w:eastAsia="仿宋_GB2312" w:cs="微软雅黑"/>
          <w:sz w:val="28"/>
          <w:szCs w:val="28"/>
        </w:rPr>
      </w:pPr>
    </w:p>
    <w:p w14:paraId="4F53E62E">
      <w:pPr>
        <w:spacing w:line="440" w:lineRule="exact"/>
        <w:jc w:val="center"/>
        <w:rPr>
          <w:rFonts w:hint="eastAsia" w:ascii="仿宋_GB2312" w:hAnsi="微软雅黑" w:eastAsia="仿宋_GB2312" w:cs="微软雅黑"/>
          <w:sz w:val="28"/>
          <w:szCs w:val="28"/>
        </w:rPr>
      </w:pPr>
      <w:r>
        <w:rPr>
          <w:rFonts w:hint="eastAsia" w:ascii="仿宋_GB2312" w:hAnsi="微软雅黑" w:eastAsia="仿宋_GB2312" w:cs="微软雅黑"/>
          <w:sz w:val="28"/>
          <w:szCs w:val="28"/>
        </w:rPr>
        <w:t>甲方（签章）：                           乙方（签章）：</w:t>
      </w:r>
    </w:p>
    <w:p w14:paraId="60B25889">
      <w:pPr>
        <w:spacing w:line="440" w:lineRule="exact"/>
        <w:jc w:val="center"/>
        <w:rPr>
          <w:rFonts w:hint="eastAsia" w:ascii="仿宋_GB2312" w:hAnsi="微软雅黑" w:eastAsia="仿宋_GB2312" w:cs="微软雅黑"/>
          <w:sz w:val="28"/>
          <w:szCs w:val="28"/>
        </w:rPr>
      </w:pPr>
      <w:r>
        <w:rPr>
          <w:rFonts w:hint="eastAsia" w:ascii="仿宋_GB2312" w:hAnsi="微软雅黑" w:eastAsia="仿宋_GB2312" w:cs="微软雅黑"/>
          <w:sz w:val="28"/>
          <w:szCs w:val="28"/>
        </w:rPr>
        <w:t>日期：                                    日期：</w:t>
      </w:r>
    </w:p>
    <w:p w14:paraId="34FB7A34">
      <w:pPr>
        <w:spacing w:line="440" w:lineRule="exact"/>
        <w:jc w:val="center"/>
        <w:rPr>
          <w:rFonts w:hint="eastAsia" w:ascii="仿宋_GB2312" w:hAnsi="微软雅黑" w:eastAsia="仿宋_GB2312" w:cs="微软雅黑"/>
          <w:sz w:val="28"/>
          <w:szCs w:val="28"/>
        </w:rPr>
      </w:pPr>
    </w:p>
    <w:p w14:paraId="2E8BEF17">
      <w:pPr>
        <w:spacing w:line="440" w:lineRule="exact"/>
        <w:jc w:val="center"/>
        <w:rPr>
          <w:rFonts w:hint="eastAsia" w:ascii="仿宋_GB2312" w:hAnsi="微软雅黑" w:eastAsia="仿宋_GB2312" w:cs="微软雅黑"/>
          <w:sz w:val="28"/>
          <w:szCs w:val="28"/>
        </w:rPr>
      </w:pPr>
      <w:r>
        <w:rPr>
          <w:rFonts w:hint="eastAsia" w:ascii="仿宋_GB2312" w:hAnsi="微软雅黑" w:eastAsia="仿宋_GB2312" w:cs="微软雅黑"/>
          <w:sz w:val="28"/>
          <w:szCs w:val="28"/>
        </w:rPr>
        <w:t xml:space="preserve">乙方项目组其他成员签字：                                                                       </w:t>
      </w:r>
    </w:p>
    <w:p w14:paraId="496002CC">
      <w:pPr>
        <w:spacing w:line="440" w:lineRule="exact"/>
        <w:jc w:val="left"/>
        <w:rPr>
          <w:rFonts w:hint="eastAsia" w:ascii="仿宋_GB2312" w:hAnsi="微软雅黑" w:eastAsia="仿宋_GB2312" w:cs="微软雅黑"/>
          <w:sz w:val="28"/>
          <w:szCs w:val="28"/>
          <w:u w:val="single"/>
        </w:rPr>
      </w:pPr>
      <w:r>
        <w:rPr>
          <w:rFonts w:ascii="仿宋_GB2312" w:hAnsi="微软雅黑" w:eastAsia="仿宋_GB2312" w:cs="微软雅黑"/>
          <w:sz w:val="28"/>
          <w:szCs w:val="28"/>
        </w:rPr>
        <w:t xml:space="preserve">    </w:t>
      </w:r>
      <w:r>
        <w:rPr>
          <w:rFonts w:ascii="仿宋_GB2312" w:hAnsi="微软雅黑" w:eastAsia="仿宋_GB2312" w:cs="微软雅黑"/>
          <w:sz w:val="28"/>
          <w:szCs w:val="28"/>
          <w:u w:val="single"/>
        </w:rPr>
        <w:t xml:space="preserve">                                                                 </w:t>
      </w:r>
    </w:p>
    <w:p w14:paraId="035823DB">
      <w:pPr>
        <w:spacing w:line="440" w:lineRule="exact"/>
        <w:jc w:val="left"/>
        <w:rPr>
          <w:rFonts w:hint="eastAsia" w:ascii="仿宋_GB2312" w:hAnsi="微软雅黑" w:eastAsia="仿宋_GB2312" w:cs="微软雅黑"/>
          <w:sz w:val="28"/>
          <w:szCs w:val="28"/>
          <w:u w:val="single"/>
        </w:rPr>
      </w:pPr>
      <w:r>
        <w:rPr>
          <w:rFonts w:ascii="仿宋_GB2312" w:hAnsi="微软雅黑" w:eastAsia="仿宋_GB2312" w:cs="微软雅黑"/>
          <w:sz w:val="28"/>
          <w:szCs w:val="28"/>
          <w:u w:val="single"/>
        </w:rPr>
        <w:t xml:space="preserve">                                                                     </w:t>
      </w:r>
    </w:p>
    <w:p w14:paraId="67643091">
      <w:pPr>
        <w:spacing w:line="440" w:lineRule="exact"/>
        <w:jc w:val="left"/>
        <w:rPr>
          <w:rFonts w:hint="eastAsia" w:ascii="仿宋_GB2312" w:hAnsi="微软雅黑" w:eastAsia="仿宋_GB2312" w:cs="微软雅黑"/>
          <w:sz w:val="28"/>
          <w:szCs w:val="28"/>
          <w:u w:val="single"/>
        </w:rPr>
      </w:pPr>
      <w:r>
        <w:rPr>
          <w:rFonts w:ascii="仿宋_GB2312" w:hAnsi="微软雅黑" w:eastAsia="仿宋_GB2312" w:cs="微软雅黑"/>
          <w:sz w:val="28"/>
          <w:szCs w:val="28"/>
          <w:u w:val="single"/>
        </w:rPr>
        <w:t xml:space="preserve">                                                                     </w:t>
      </w:r>
    </w:p>
    <w:p w14:paraId="09A82ABB">
      <w:pPr>
        <w:spacing w:line="440" w:lineRule="exact"/>
        <w:jc w:val="left"/>
        <w:rPr>
          <w:rFonts w:hint="eastAsia" w:ascii="仿宋_GB2312" w:hAnsi="微软雅黑" w:eastAsia="仿宋_GB2312" w:cs="微软雅黑"/>
          <w:sz w:val="28"/>
          <w:szCs w:val="28"/>
          <w:u w:val="single"/>
        </w:rPr>
      </w:pPr>
      <w:r>
        <w:rPr>
          <w:rFonts w:ascii="仿宋_GB2312" w:hAnsi="微软雅黑" w:eastAsia="仿宋_GB2312" w:cs="微软雅黑"/>
          <w:sz w:val="28"/>
          <w:szCs w:val="28"/>
          <w:u w:val="single"/>
        </w:rPr>
        <w:t xml:space="preserve">                                                                     </w:t>
      </w:r>
    </w:p>
    <w:p w14:paraId="137C0BAC">
      <w:pPr>
        <w:spacing w:line="440" w:lineRule="exact"/>
        <w:jc w:val="left"/>
        <w:rPr>
          <w:rFonts w:hint="eastAsia" w:ascii="仿宋_GB2312" w:hAnsi="微软雅黑" w:eastAsia="仿宋_GB2312" w:cs="微软雅黑"/>
          <w:sz w:val="28"/>
          <w:szCs w:val="28"/>
          <w:u w:val="single"/>
        </w:rPr>
      </w:pPr>
      <w:r>
        <w:rPr>
          <w:rFonts w:ascii="仿宋_GB2312" w:hAnsi="微软雅黑" w:eastAsia="仿宋_GB2312" w:cs="微软雅黑"/>
          <w:sz w:val="28"/>
          <w:szCs w:val="28"/>
          <w:u w:val="single"/>
        </w:rPr>
        <w:t xml:space="preserve">                                                                     </w:t>
      </w:r>
      <w:r>
        <w:rPr>
          <w:rFonts w:ascii="仿宋_GB2312" w:hAnsi="微软雅黑" w:eastAsia="仿宋_GB2312" w:cs="微软雅黑"/>
          <w:sz w:val="28"/>
          <w:szCs w:val="28"/>
        </w:rPr>
        <w:t xml:space="preserve">                                                                </w:t>
      </w:r>
    </w:p>
    <w:p w14:paraId="460DB2B7">
      <w:pPr>
        <w:pStyle w:val="27"/>
        <w:ind w:firstLine="0" w:firstLineChars="0"/>
        <w:rPr>
          <w:rFonts w:hint="eastAsia" w:ascii="宋体" w:hAnsi="宋体"/>
          <w:sz w:val="28"/>
          <w:szCs w:val="28"/>
        </w:rPr>
      </w:pPr>
    </w:p>
    <w:sectPr>
      <w:headerReference r:id="rId7" w:type="first"/>
      <w:headerReference r:id="rId6" w:type="default"/>
      <w:footerReference r:id="rId8" w:type="default"/>
      <w:pgSz w:w="11906" w:h="16838"/>
      <w:pgMar w:top="1440" w:right="1701" w:bottom="1440" w:left="1701" w:header="624" w:footer="907"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E9252">
    <w:pPr>
      <w:pStyle w:val="16"/>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kern w:val="0"/>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CA157">
    <w:pPr>
      <w:pStyle w:val="16"/>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2FF3F">
    <w:pPr>
      <w:pStyle w:val="17"/>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D25BF">
    <w:pPr>
      <w:pStyle w:val="1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321C3">
    <w:pPr>
      <w:pStyle w:val="17"/>
      <w:pBdr>
        <w:bottom w:val="none" w:color="auto" w:sz="0" w:space="0"/>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486D3">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D6CF16"/>
    <w:multiLevelType w:val="singleLevel"/>
    <w:tmpl w:val="C2D6CF16"/>
    <w:lvl w:ilvl="0" w:tentative="0">
      <w:start w:val="1"/>
      <w:numFmt w:val="decimal"/>
      <w:suff w:val="nothing"/>
      <w:lvlText w:val="（%1）"/>
      <w:lvlJc w:val="left"/>
    </w:lvl>
  </w:abstractNum>
  <w:abstractNum w:abstractNumId="1">
    <w:nsid w:val="E6643A7C"/>
    <w:multiLevelType w:val="singleLevel"/>
    <w:tmpl w:val="E6643A7C"/>
    <w:lvl w:ilvl="0" w:tentative="0">
      <w:start w:val="1"/>
      <w:numFmt w:val="decimal"/>
      <w:suff w:val="nothing"/>
      <w:lvlText w:val="（%1）"/>
      <w:lvlJc w:val="left"/>
    </w:lvl>
  </w:abstractNum>
  <w:abstractNum w:abstractNumId="2">
    <w:nsid w:val="08E69270"/>
    <w:multiLevelType w:val="singleLevel"/>
    <w:tmpl w:val="08E69270"/>
    <w:lvl w:ilvl="0" w:tentative="0">
      <w:start w:val="1"/>
      <w:numFmt w:val="decimal"/>
      <w:suff w:val="nothing"/>
      <w:lvlText w:val="（%1）"/>
      <w:lvlJc w:val="left"/>
    </w:lvl>
  </w:abstractNum>
  <w:abstractNum w:abstractNumId="3">
    <w:nsid w:val="2087187C"/>
    <w:multiLevelType w:val="singleLevel"/>
    <w:tmpl w:val="2087187C"/>
    <w:lvl w:ilvl="0" w:tentative="0">
      <w:start w:val="1"/>
      <w:numFmt w:val="decimal"/>
      <w:suff w:val="nothing"/>
      <w:lvlText w:val="（%1）"/>
      <w:lvlJc w:val="left"/>
    </w:lvl>
  </w:abstractNum>
  <w:abstractNum w:abstractNumId="4">
    <w:nsid w:val="4FDDDB54"/>
    <w:multiLevelType w:val="singleLevel"/>
    <w:tmpl w:val="4FDDDB54"/>
    <w:lvl w:ilvl="0" w:tentative="0">
      <w:start w:val="1"/>
      <w:numFmt w:val="decimal"/>
      <w:suff w:val="nothing"/>
      <w:lvlText w:val="（%1）"/>
      <w:lvlJc w:val="left"/>
    </w:lvl>
  </w:abstractNum>
  <w:abstractNum w:abstractNumId="5">
    <w:nsid w:val="557F6109"/>
    <w:multiLevelType w:val="singleLevel"/>
    <w:tmpl w:val="557F6109"/>
    <w:lvl w:ilvl="0" w:tentative="0">
      <w:start w:val="5"/>
      <w:numFmt w:val="chineseCounting"/>
      <w:suff w:val="nothing"/>
      <w:lvlText w:val="%1、"/>
      <w:lvlJc w:val="left"/>
    </w:lvl>
  </w:abstractNum>
  <w:abstractNum w:abstractNumId="6">
    <w:nsid w:val="692F1858"/>
    <w:multiLevelType w:val="singleLevel"/>
    <w:tmpl w:val="692F1858"/>
    <w:lvl w:ilvl="0" w:tentative="0">
      <w:start w:val="1"/>
      <w:numFmt w:val="decimal"/>
      <w:suff w:val="nothing"/>
      <w:lvlText w:val="（%1）"/>
      <w:lvlJc w:val="left"/>
    </w:lvl>
  </w:abstractNum>
  <w:abstractNum w:abstractNumId="7">
    <w:nsid w:val="6AA2155B"/>
    <w:multiLevelType w:val="multilevel"/>
    <w:tmpl w:val="6AA2155B"/>
    <w:lvl w:ilvl="0" w:tentative="0">
      <w:start w:val="6"/>
      <w:numFmt w:val="decimal"/>
      <w:lvlText w:val="（%1）"/>
      <w:lvlJc w:val="left"/>
      <w:pPr>
        <w:ind w:left="1003" w:hanging="720"/>
      </w:pPr>
      <w:rPr>
        <w:rFonts w:hint="default" w:ascii="宋体" w:hAnsi="宋体"/>
        <w:b/>
      </w:rPr>
    </w:lvl>
    <w:lvl w:ilvl="1" w:tentative="0">
      <w:start w:val="1"/>
      <w:numFmt w:val="lowerLetter"/>
      <w:lvlText w:val="%2)"/>
      <w:lvlJc w:val="left"/>
      <w:pPr>
        <w:ind w:left="1123" w:hanging="420"/>
      </w:pPr>
    </w:lvl>
    <w:lvl w:ilvl="2" w:tentative="0">
      <w:start w:val="1"/>
      <w:numFmt w:val="lowerRoman"/>
      <w:lvlText w:val="%3."/>
      <w:lvlJc w:val="right"/>
      <w:pPr>
        <w:ind w:left="1543" w:hanging="420"/>
      </w:pPr>
    </w:lvl>
    <w:lvl w:ilvl="3" w:tentative="0">
      <w:start w:val="1"/>
      <w:numFmt w:val="decimal"/>
      <w:lvlText w:val="%4."/>
      <w:lvlJc w:val="left"/>
      <w:pPr>
        <w:ind w:left="1963" w:hanging="420"/>
      </w:pPr>
    </w:lvl>
    <w:lvl w:ilvl="4" w:tentative="0">
      <w:start w:val="1"/>
      <w:numFmt w:val="lowerLetter"/>
      <w:lvlText w:val="%5)"/>
      <w:lvlJc w:val="left"/>
      <w:pPr>
        <w:ind w:left="2383" w:hanging="420"/>
      </w:pPr>
    </w:lvl>
    <w:lvl w:ilvl="5" w:tentative="0">
      <w:start w:val="1"/>
      <w:numFmt w:val="lowerRoman"/>
      <w:lvlText w:val="%6."/>
      <w:lvlJc w:val="right"/>
      <w:pPr>
        <w:ind w:left="2803" w:hanging="420"/>
      </w:pPr>
    </w:lvl>
    <w:lvl w:ilvl="6" w:tentative="0">
      <w:start w:val="1"/>
      <w:numFmt w:val="decimal"/>
      <w:lvlText w:val="%7."/>
      <w:lvlJc w:val="left"/>
      <w:pPr>
        <w:ind w:left="3223" w:hanging="420"/>
      </w:pPr>
    </w:lvl>
    <w:lvl w:ilvl="7" w:tentative="0">
      <w:start w:val="1"/>
      <w:numFmt w:val="lowerLetter"/>
      <w:lvlText w:val="%8)"/>
      <w:lvlJc w:val="left"/>
      <w:pPr>
        <w:ind w:left="3643" w:hanging="420"/>
      </w:pPr>
    </w:lvl>
    <w:lvl w:ilvl="8" w:tentative="0">
      <w:start w:val="1"/>
      <w:numFmt w:val="lowerRoman"/>
      <w:lvlText w:val="%9."/>
      <w:lvlJc w:val="right"/>
      <w:pPr>
        <w:ind w:left="4063" w:hanging="420"/>
      </w:pPr>
    </w:lvl>
  </w:abstractNum>
  <w:abstractNum w:abstractNumId="8">
    <w:nsid w:val="6C65A06F"/>
    <w:multiLevelType w:val="multilevel"/>
    <w:tmpl w:val="6C65A06F"/>
    <w:lvl w:ilvl="0" w:tentative="0">
      <w:start w:val="3"/>
      <w:numFmt w:val="decimal"/>
      <w:suff w:val="nothing"/>
      <w:lvlText w:val="（%1）"/>
      <w:lvlJc w:val="left"/>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7C1D2525"/>
    <w:multiLevelType w:val="singleLevel"/>
    <w:tmpl w:val="7C1D2525"/>
    <w:lvl w:ilvl="0" w:tentative="0">
      <w:start w:val="1"/>
      <w:numFmt w:val="decimal"/>
      <w:suff w:val="nothing"/>
      <w:lvlText w:val="（%1）"/>
      <w:lvlJc w:val="left"/>
    </w:lvl>
  </w:abstractNum>
  <w:num w:numId="1">
    <w:abstractNumId w:val="3"/>
  </w:num>
  <w:num w:numId="2">
    <w:abstractNumId w:val="0"/>
  </w:num>
  <w:num w:numId="3">
    <w:abstractNumId w:val="2"/>
  </w:num>
  <w:num w:numId="4">
    <w:abstractNumId w:val="9"/>
  </w:num>
  <w:num w:numId="5">
    <w:abstractNumId w:val="6"/>
  </w:num>
  <w:num w:numId="6">
    <w:abstractNumId w:val="1"/>
  </w:num>
  <w:num w:numId="7">
    <w:abstractNumId w:val="8"/>
  </w:num>
  <w:num w:numId="8">
    <w:abstractNumId w:val="4"/>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0AF"/>
    <w:rsid w:val="000049E8"/>
    <w:rsid w:val="00013012"/>
    <w:rsid w:val="00015410"/>
    <w:rsid w:val="00022F7F"/>
    <w:rsid w:val="00032AC9"/>
    <w:rsid w:val="000372B3"/>
    <w:rsid w:val="000405EF"/>
    <w:rsid w:val="00043DEB"/>
    <w:rsid w:val="000463CF"/>
    <w:rsid w:val="00052E8E"/>
    <w:rsid w:val="00054F1B"/>
    <w:rsid w:val="00060AD8"/>
    <w:rsid w:val="00063676"/>
    <w:rsid w:val="00063D8C"/>
    <w:rsid w:val="000642C5"/>
    <w:rsid w:val="00070FE4"/>
    <w:rsid w:val="0007748E"/>
    <w:rsid w:val="00081EBE"/>
    <w:rsid w:val="00083D5A"/>
    <w:rsid w:val="000853CB"/>
    <w:rsid w:val="00092E07"/>
    <w:rsid w:val="000958ED"/>
    <w:rsid w:val="00095922"/>
    <w:rsid w:val="000A1041"/>
    <w:rsid w:val="000A5FC1"/>
    <w:rsid w:val="000B4031"/>
    <w:rsid w:val="000C0454"/>
    <w:rsid w:val="000C11A6"/>
    <w:rsid w:val="000C7B5D"/>
    <w:rsid w:val="000D3A2A"/>
    <w:rsid w:val="000E001A"/>
    <w:rsid w:val="000E27B2"/>
    <w:rsid w:val="000E3363"/>
    <w:rsid w:val="000E60AF"/>
    <w:rsid w:val="000E7953"/>
    <w:rsid w:val="000F00EC"/>
    <w:rsid w:val="000F2D33"/>
    <w:rsid w:val="000F2E28"/>
    <w:rsid w:val="000F38AC"/>
    <w:rsid w:val="00103266"/>
    <w:rsid w:val="00105617"/>
    <w:rsid w:val="00105952"/>
    <w:rsid w:val="00105E17"/>
    <w:rsid w:val="001072ED"/>
    <w:rsid w:val="00121BC4"/>
    <w:rsid w:val="00135388"/>
    <w:rsid w:val="00136C04"/>
    <w:rsid w:val="00140127"/>
    <w:rsid w:val="00140E4D"/>
    <w:rsid w:val="001430CB"/>
    <w:rsid w:val="00151EDF"/>
    <w:rsid w:val="001522E4"/>
    <w:rsid w:val="00152549"/>
    <w:rsid w:val="00155BD1"/>
    <w:rsid w:val="00157134"/>
    <w:rsid w:val="001648B5"/>
    <w:rsid w:val="0016581C"/>
    <w:rsid w:val="00171DEA"/>
    <w:rsid w:val="00176F02"/>
    <w:rsid w:val="00177677"/>
    <w:rsid w:val="0017785A"/>
    <w:rsid w:val="00180BB9"/>
    <w:rsid w:val="001A5EC6"/>
    <w:rsid w:val="001B1372"/>
    <w:rsid w:val="001C57FB"/>
    <w:rsid w:val="001C70D4"/>
    <w:rsid w:val="001D37AE"/>
    <w:rsid w:val="001D659B"/>
    <w:rsid w:val="001E562F"/>
    <w:rsid w:val="001F096B"/>
    <w:rsid w:val="001F0AF5"/>
    <w:rsid w:val="001F115B"/>
    <w:rsid w:val="001F27FA"/>
    <w:rsid w:val="001F34E5"/>
    <w:rsid w:val="001F7809"/>
    <w:rsid w:val="00206C4E"/>
    <w:rsid w:val="00207596"/>
    <w:rsid w:val="00207835"/>
    <w:rsid w:val="00207917"/>
    <w:rsid w:val="002113EA"/>
    <w:rsid w:val="00216528"/>
    <w:rsid w:val="00220681"/>
    <w:rsid w:val="00220933"/>
    <w:rsid w:val="002231FB"/>
    <w:rsid w:val="002259CA"/>
    <w:rsid w:val="00226201"/>
    <w:rsid w:val="00230281"/>
    <w:rsid w:val="00236003"/>
    <w:rsid w:val="00243EAB"/>
    <w:rsid w:val="00252E8F"/>
    <w:rsid w:val="002602B9"/>
    <w:rsid w:val="0026070C"/>
    <w:rsid w:val="002614DC"/>
    <w:rsid w:val="0026257D"/>
    <w:rsid w:val="00270B57"/>
    <w:rsid w:val="00271990"/>
    <w:rsid w:val="00273F0B"/>
    <w:rsid w:val="00276405"/>
    <w:rsid w:val="002859D5"/>
    <w:rsid w:val="00295ECF"/>
    <w:rsid w:val="002A09DF"/>
    <w:rsid w:val="002A0CA8"/>
    <w:rsid w:val="002A5F33"/>
    <w:rsid w:val="002A6488"/>
    <w:rsid w:val="002B5F06"/>
    <w:rsid w:val="002C3AFC"/>
    <w:rsid w:val="002D2D73"/>
    <w:rsid w:val="002D4E60"/>
    <w:rsid w:val="002D6758"/>
    <w:rsid w:val="002E3A46"/>
    <w:rsid w:val="002E7488"/>
    <w:rsid w:val="002F5315"/>
    <w:rsid w:val="002F5A63"/>
    <w:rsid w:val="002F7C8A"/>
    <w:rsid w:val="00304743"/>
    <w:rsid w:val="00311B68"/>
    <w:rsid w:val="00313350"/>
    <w:rsid w:val="00314EC9"/>
    <w:rsid w:val="003255DC"/>
    <w:rsid w:val="00327766"/>
    <w:rsid w:val="00333EC4"/>
    <w:rsid w:val="00334254"/>
    <w:rsid w:val="00340303"/>
    <w:rsid w:val="00340914"/>
    <w:rsid w:val="003421CE"/>
    <w:rsid w:val="0034279C"/>
    <w:rsid w:val="00343471"/>
    <w:rsid w:val="00344009"/>
    <w:rsid w:val="00351EF5"/>
    <w:rsid w:val="00355336"/>
    <w:rsid w:val="00356000"/>
    <w:rsid w:val="00356523"/>
    <w:rsid w:val="003576D8"/>
    <w:rsid w:val="0036702D"/>
    <w:rsid w:val="00377085"/>
    <w:rsid w:val="003857A6"/>
    <w:rsid w:val="00390509"/>
    <w:rsid w:val="003906F8"/>
    <w:rsid w:val="00393A1E"/>
    <w:rsid w:val="003970E7"/>
    <w:rsid w:val="003A71D3"/>
    <w:rsid w:val="003B1165"/>
    <w:rsid w:val="003B1B54"/>
    <w:rsid w:val="003B5EF5"/>
    <w:rsid w:val="003C2B91"/>
    <w:rsid w:val="003C6EE3"/>
    <w:rsid w:val="003D1C6E"/>
    <w:rsid w:val="003E29C1"/>
    <w:rsid w:val="003E5389"/>
    <w:rsid w:val="003E75EF"/>
    <w:rsid w:val="003E7652"/>
    <w:rsid w:val="004026C8"/>
    <w:rsid w:val="00402FEB"/>
    <w:rsid w:val="004061B6"/>
    <w:rsid w:val="004070B7"/>
    <w:rsid w:val="0041042D"/>
    <w:rsid w:val="00410E9A"/>
    <w:rsid w:val="00411D6A"/>
    <w:rsid w:val="004132ED"/>
    <w:rsid w:val="004243AB"/>
    <w:rsid w:val="00427313"/>
    <w:rsid w:val="00427D7F"/>
    <w:rsid w:val="00430FF8"/>
    <w:rsid w:val="004335DA"/>
    <w:rsid w:val="00447ECE"/>
    <w:rsid w:val="00451DBB"/>
    <w:rsid w:val="00452559"/>
    <w:rsid w:val="00452A19"/>
    <w:rsid w:val="004535BA"/>
    <w:rsid w:val="00454469"/>
    <w:rsid w:val="00460185"/>
    <w:rsid w:val="00461725"/>
    <w:rsid w:val="0048108D"/>
    <w:rsid w:val="00481F73"/>
    <w:rsid w:val="00483FD5"/>
    <w:rsid w:val="004840A7"/>
    <w:rsid w:val="00493212"/>
    <w:rsid w:val="004A4D59"/>
    <w:rsid w:val="004A61E1"/>
    <w:rsid w:val="004B10E3"/>
    <w:rsid w:val="004B5431"/>
    <w:rsid w:val="004C15B2"/>
    <w:rsid w:val="004C1E99"/>
    <w:rsid w:val="004C7FF2"/>
    <w:rsid w:val="004D0590"/>
    <w:rsid w:val="004D3BFB"/>
    <w:rsid w:val="004D6AB9"/>
    <w:rsid w:val="004D77EA"/>
    <w:rsid w:val="004E1571"/>
    <w:rsid w:val="004F3017"/>
    <w:rsid w:val="005002F4"/>
    <w:rsid w:val="005052D5"/>
    <w:rsid w:val="005052E9"/>
    <w:rsid w:val="005266C2"/>
    <w:rsid w:val="005370FB"/>
    <w:rsid w:val="00542617"/>
    <w:rsid w:val="005517C7"/>
    <w:rsid w:val="005548F1"/>
    <w:rsid w:val="00557627"/>
    <w:rsid w:val="00563228"/>
    <w:rsid w:val="00564B6E"/>
    <w:rsid w:val="00564FDB"/>
    <w:rsid w:val="0056635E"/>
    <w:rsid w:val="0057686A"/>
    <w:rsid w:val="0057702B"/>
    <w:rsid w:val="005828E7"/>
    <w:rsid w:val="00585305"/>
    <w:rsid w:val="00586144"/>
    <w:rsid w:val="0059604B"/>
    <w:rsid w:val="005A3DA2"/>
    <w:rsid w:val="005B1F36"/>
    <w:rsid w:val="005B3274"/>
    <w:rsid w:val="005B458B"/>
    <w:rsid w:val="005B5771"/>
    <w:rsid w:val="005B7628"/>
    <w:rsid w:val="005D0149"/>
    <w:rsid w:val="005D1432"/>
    <w:rsid w:val="005E2806"/>
    <w:rsid w:val="005E48D0"/>
    <w:rsid w:val="005E4D72"/>
    <w:rsid w:val="005F0284"/>
    <w:rsid w:val="005F1429"/>
    <w:rsid w:val="005F3023"/>
    <w:rsid w:val="005F5BE9"/>
    <w:rsid w:val="005F6F01"/>
    <w:rsid w:val="0060310E"/>
    <w:rsid w:val="00613971"/>
    <w:rsid w:val="00617BF6"/>
    <w:rsid w:val="00622239"/>
    <w:rsid w:val="00623E34"/>
    <w:rsid w:val="0062423C"/>
    <w:rsid w:val="00631CDC"/>
    <w:rsid w:val="0064018C"/>
    <w:rsid w:val="006459A0"/>
    <w:rsid w:val="00650CFC"/>
    <w:rsid w:val="00652FDB"/>
    <w:rsid w:val="00654B49"/>
    <w:rsid w:val="0066444D"/>
    <w:rsid w:val="00670C77"/>
    <w:rsid w:val="00673ADE"/>
    <w:rsid w:val="00680780"/>
    <w:rsid w:val="00681857"/>
    <w:rsid w:val="00683B21"/>
    <w:rsid w:val="00684DF1"/>
    <w:rsid w:val="00687016"/>
    <w:rsid w:val="006914BA"/>
    <w:rsid w:val="006A3214"/>
    <w:rsid w:val="006A393F"/>
    <w:rsid w:val="006A7C1E"/>
    <w:rsid w:val="006B0FCD"/>
    <w:rsid w:val="006B7B91"/>
    <w:rsid w:val="006E1485"/>
    <w:rsid w:val="006F314F"/>
    <w:rsid w:val="006F32D2"/>
    <w:rsid w:val="006F4913"/>
    <w:rsid w:val="006F570A"/>
    <w:rsid w:val="006F6443"/>
    <w:rsid w:val="00700BCA"/>
    <w:rsid w:val="00710DDB"/>
    <w:rsid w:val="007149A9"/>
    <w:rsid w:val="00723F2D"/>
    <w:rsid w:val="007409B8"/>
    <w:rsid w:val="00747941"/>
    <w:rsid w:val="007536C8"/>
    <w:rsid w:val="00760C15"/>
    <w:rsid w:val="00764E9E"/>
    <w:rsid w:val="00767840"/>
    <w:rsid w:val="00770974"/>
    <w:rsid w:val="007716DC"/>
    <w:rsid w:val="007719D7"/>
    <w:rsid w:val="00772253"/>
    <w:rsid w:val="007733BD"/>
    <w:rsid w:val="00775148"/>
    <w:rsid w:val="00776881"/>
    <w:rsid w:val="00785374"/>
    <w:rsid w:val="00787479"/>
    <w:rsid w:val="007919E6"/>
    <w:rsid w:val="007B0DE3"/>
    <w:rsid w:val="007B2447"/>
    <w:rsid w:val="007B26F5"/>
    <w:rsid w:val="007B7AEC"/>
    <w:rsid w:val="007C11FA"/>
    <w:rsid w:val="007C34A7"/>
    <w:rsid w:val="007D0A23"/>
    <w:rsid w:val="007D15A4"/>
    <w:rsid w:val="007D1DE2"/>
    <w:rsid w:val="007D3AFE"/>
    <w:rsid w:val="007E427E"/>
    <w:rsid w:val="007E79FC"/>
    <w:rsid w:val="007F13E3"/>
    <w:rsid w:val="0080537B"/>
    <w:rsid w:val="00807825"/>
    <w:rsid w:val="008101A4"/>
    <w:rsid w:val="00810858"/>
    <w:rsid w:val="00814A4C"/>
    <w:rsid w:val="00815199"/>
    <w:rsid w:val="008159F4"/>
    <w:rsid w:val="008201B1"/>
    <w:rsid w:val="008213D1"/>
    <w:rsid w:val="008215D3"/>
    <w:rsid w:val="00833F3F"/>
    <w:rsid w:val="00840EB8"/>
    <w:rsid w:val="0084515A"/>
    <w:rsid w:val="00853A4C"/>
    <w:rsid w:val="00856F91"/>
    <w:rsid w:val="0086022C"/>
    <w:rsid w:val="008603F3"/>
    <w:rsid w:val="008635B0"/>
    <w:rsid w:val="00864326"/>
    <w:rsid w:val="00865078"/>
    <w:rsid w:val="00865737"/>
    <w:rsid w:val="008716D7"/>
    <w:rsid w:val="00872267"/>
    <w:rsid w:val="00876EF9"/>
    <w:rsid w:val="008815C0"/>
    <w:rsid w:val="008856AB"/>
    <w:rsid w:val="00887FE0"/>
    <w:rsid w:val="00894503"/>
    <w:rsid w:val="00894886"/>
    <w:rsid w:val="00896ED8"/>
    <w:rsid w:val="008974FA"/>
    <w:rsid w:val="008A3A0B"/>
    <w:rsid w:val="008A7435"/>
    <w:rsid w:val="008D00CF"/>
    <w:rsid w:val="008D3208"/>
    <w:rsid w:val="008D6829"/>
    <w:rsid w:val="008E4488"/>
    <w:rsid w:val="008E4D44"/>
    <w:rsid w:val="008E56CA"/>
    <w:rsid w:val="009049C6"/>
    <w:rsid w:val="00905A18"/>
    <w:rsid w:val="00912224"/>
    <w:rsid w:val="00913634"/>
    <w:rsid w:val="00921984"/>
    <w:rsid w:val="00921CCD"/>
    <w:rsid w:val="0092590E"/>
    <w:rsid w:val="009271CA"/>
    <w:rsid w:val="00931C75"/>
    <w:rsid w:val="009369E2"/>
    <w:rsid w:val="00940D97"/>
    <w:rsid w:val="00941028"/>
    <w:rsid w:val="00945B91"/>
    <w:rsid w:val="0095361D"/>
    <w:rsid w:val="00957A65"/>
    <w:rsid w:val="009639A9"/>
    <w:rsid w:val="0096613D"/>
    <w:rsid w:val="0097384C"/>
    <w:rsid w:val="00985725"/>
    <w:rsid w:val="009938EA"/>
    <w:rsid w:val="009A4C5A"/>
    <w:rsid w:val="009B1DB6"/>
    <w:rsid w:val="009B5804"/>
    <w:rsid w:val="009B5C72"/>
    <w:rsid w:val="009C11CD"/>
    <w:rsid w:val="009C2CD1"/>
    <w:rsid w:val="009C5BD4"/>
    <w:rsid w:val="009D759D"/>
    <w:rsid w:val="009E0902"/>
    <w:rsid w:val="009E3AA5"/>
    <w:rsid w:val="009E4462"/>
    <w:rsid w:val="009E6F70"/>
    <w:rsid w:val="009F027F"/>
    <w:rsid w:val="009F0CFE"/>
    <w:rsid w:val="00A00C54"/>
    <w:rsid w:val="00A013B2"/>
    <w:rsid w:val="00A01CC9"/>
    <w:rsid w:val="00A05BB5"/>
    <w:rsid w:val="00A112B5"/>
    <w:rsid w:val="00A1171F"/>
    <w:rsid w:val="00A1557A"/>
    <w:rsid w:val="00A222C5"/>
    <w:rsid w:val="00A22962"/>
    <w:rsid w:val="00A27536"/>
    <w:rsid w:val="00A30FD8"/>
    <w:rsid w:val="00A318EC"/>
    <w:rsid w:val="00A32695"/>
    <w:rsid w:val="00A32E22"/>
    <w:rsid w:val="00A36680"/>
    <w:rsid w:val="00A37103"/>
    <w:rsid w:val="00A431AA"/>
    <w:rsid w:val="00A45A35"/>
    <w:rsid w:val="00A45DE7"/>
    <w:rsid w:val="00A51A6E"/>
    <w:rsid w:val="00A5371E"/>
    <w:rsid w:val="00A54905"/>
    <w:rsid w:val="00A6372D"/>
    <w:rsid w:val="00A65DD3"/>
    <w:rsid w:val="00A72673"/>
    <w:rsid w:val="00A8120F"/>
    <w:rsid w:val="00A831AF"/>
    <w:rsid w:val="00A900DF"/>
    <w:rsid w:val="00A90A41"/>
    <w:rsid w:val="00A97F83"/>
    <w:rsid w:val="00AB22E5"/>
    <w:rsid w:val="00AC0A9D"/>
    <w:rsid w:val="00AC0EED"/>
    <w:rsid w:val="00AC4D21"/>
    <w:rsid w:val="00AC5C65"/>
    <w:rsid w:val="00AD0947"/>
    <w:rsid w:val="00AD4AAF"/>
    <w:rsid w:val="00AD6922"/>
    <w:rsid w:val="00AE2484"/>
    <w:rsid w:val="00AF0E2F"/>
    <w:rsid w:val="00AF1FB0"/>
    <w:rsid w:val="00AF541C"/>
    <w:rsid w:val="00B03F25"/>
    <w:rsid w:val="00B3073F"/>
    <w:rsid w:val="00B34243"/>
    <w:rsid w:val="00B370D1"/>
    <w:rsid w:val="00B37FF4"/>
    <w:rsid w:val="00B412C6"/>
    <w:rsid w:val="00B451F8"/>
    <w:rsid w:val="00B45FCE"/>
    <w:rsid w:val="00B47789"/>
    <w:rsid w:val="00B50CAD"/>
    <w:rsid w:val="00B51581"/>
    <w:rsid w:val="00B522C7"/>
    <w:rsid w:val="00B56242"/>
    <w:rsid w:val="00B57F0C"/>
    <w:rsid w:val="00B6317D"/>
    <w:rsid w:val="00B82DCF"/>
    <w:rsid w:val="00B95321"/>
    <w:rsid w:val="00BA2854"/>
    <w:rsid w:val="00BA3027"/>
    <w:rsid w:val="00BA392B"/>
    <w:rsid w:val="00BB080B"/>
    <w:rsid w:val="00BB73A1"/>
    <w:rsid w:val="00BC30A2"/>
    <w:rsid w:val="00BC5F74"/>
    <w:rsid w:val="00BC7122"/>
    <w:rsid w:val="00BE246E"/>
    <w:rsid w:val="00BE431F"/>
    <w:rsid w:val="00BF1559"/>
    <w:rsid w:val="00BF341F"/>
    <w:rsid w:val="00BF3C4C"/>
    <w:rsid w:val="00BF7696"/>
    <w:rsid w:val="00C04FD4"/>
    <w:rsid w:val="00C137A4"/>
    <w:rsid w:val="00C16700"/>
    <w:rsid w:val="00C16E5A"/>
    <w:rsid w:val="00C2047D"/>
    <w:rsid w:val="00C2164A"/>
    <w:rsid w:val="00C27C79"/>
    <w:rsid w:val="00C330F2"/>
    <w:rsid w:val="00C33A58"/>
    <w:rsid w:val="00C34037"/>
    <w:rsid w:val="00C50725"/>
    <w:rsid w:val="00C51A22"/>
    <w:rsid w:val="00C54661"/>
    <w:rsid w:val="00C5471D"/>
    <w:rsid w:val="00C554DB"/>
    <w:rsid w:val="00C64DD6"/>
    <w:rsid w:val="00C65A3E"/>
    <w:rsid w:val="00C660A6"/>
    <w:rsid w:val="00C671F3"/>
    <w:rsid w:val="00C707B0"/>
    <w:rsid w:val="00C74301"/>
    <w:rsid w:val="00C75B79"/>
    <w:rsid w:val="00C760A1"/>
    <w:rsid w:val="00C818A7"/>
    <w:rsid w:val="00C82370"/>
    <w:rsid w:val="00C83D5E"/>
    <w:rsid w:val="00C84EA0"/>
    <w:rsid w:val="00C85C46"/>
    <w:rsid w:val="00C86550"/>
    <w:rsid w:val="00C872F1"/>
    <w:rsid w:val="00C87DA0"/>
    <w:rsid w:val="00C945D7"/>
    <w:rsid w:val="00C95DF6"/>
    <w:rsid w:val="00CA5019"/>
    <w:rsid w:val="00CC39E4"/>
    <w:rsid w:val="00CC3C3A"/>
    <w:rsid w:val="00CC637F"/>
    <w:rsid w:val="00CF0874"/>
    <w:rsid w:val="00CF2B18"/>
    <w:rsid w:val="00CF4276"/>
    <w:rsid w:val="00D0383A"/>
    <w:rsid w:val="00D055A7"/>
    <w:rsid w:val="00D06954"/>
    <w:rsid w:val="00D06D57"/>
    <w:rsid w:val="00D134D8"/>
    <w:rsid w:val="00D20F5A"/>
    <w:rsid w:val="00D22346"/>
    <w:rsid w:val="00D254AC"/>
    <w:rsid w:val="00D26139"/>
    <w:rsid w:val="00D265DE"/>
    <w:rsid w:val="00D26FA2"/>
    <w:rsid w:val="00D3233F"/>
    <w:rsid w:val="00D4396E"/>
    <w:rsid w:val="00D43F0E"/>
    <w:rsid w:val="00D53884"/>
    <w:rsid w:val="00D612C7"/>
    <w:rsid w:val="00D713C2"/>
    <w:rsid w:val="00D82F66"/>
    <w:rsid w:val="00D86737"/>
    <w:rsid w:val="00D869D5"/>
    <w:rsid w:val="00D87F91"/>
    <w:rsid w:val="00D900A0"/>
    <w:rsid w:val="00D95CD7"/>
    <w:rsid w:val="00DA2083"/>
    <w:rsid w:val="00DA4F65"/>
    <w:rsid w:val="00DB0C59"/>
    <w:rsid w:val="00DC2DB0"/>
    <w:rsid w:val="00DD6A32"/>
    <w:rsid w:val="00DE1CBA"/>
    <w:rsid w:val="00DE2B86"/>
    <w:rsid w:val="00DF43F2"/>
    <w:rsid w:val="00DF4723"/>
    <w:rsid w:val="00E0272A"/>
    <w:rsid w:val="00E14424"/>
    <w:rsid w:val="00E178EF"/>
    <w:rsid w:val="00E22D09"/>
    <w:rsid w:val="00E31185"/>
    <w:rsid w:val="00E535A5"/>
    <w:rsid w:val="00E57254"/>
    <w:rsid w:val="00E66FDF"/>
    <w:rsid w:val="00E707CB"/>
    <w:rsid w:val="00E73AA2"/>
    <w:rsid w:val="00E7609A"/>
    <w:rsid w:val="00E80BE5"/>
    <w:rsid w:val="00E81046"/>
    <w:rsid w:val="00E843CA"/>
    <w:rsid w:val="00E90B37"/>
    <w:rsid w:val="00EB0A7D"/>
    <w:rsid w:val="00EC0A4B"/>
    <w:rsid w:val="00EC1365"/>
    <w:rsid w:val="00EC70E0"/>
    <w:rsid w:val="00ED188F"/>
    <w:rsid w:val="00ED3327"/>
    <w:rsid w:val="00EE2D54"/>
    <w:rsid w:val="00EE387B"/>
    <w:rsid w:val="00EE63D9"/>
    <w:rsid w:val="00EE78C6"/>
    <w:rsid w:val="00EF40D1"/>
    <w:rsid w:val="00F00250"/>
    <w:rsid w:val="00F22063"/>
    <w:rsid w:val="00F4486F"/>
    <w:rsid w:val="00F45427"/>
    <w:rsid w:val="00F50E80"/>
    <w:rsid w:val="00F65825"/>
    <w:rsid w:val="00F65C49"/>
    <w:rsid w:val="00F714BB"/>
    <w:rsid w:val="00F80475"/>
    <w:rsid w:val="00F834CD"/>
    <w:rsid w:val="00F838AC"/>
    <w:rsid w:val="00F86228"/>
    <w:rsid w:val="00F862BD"/>
    <w:rsid w:val="00F867FE"/>
    <w:rsid w:val="00F9191E"/>
    <w:rsid w:val="00F96EF5"/>
    <w:rsid w:val="00FA6D9B"/>
    <w:rsid w:val="00FA70FA"/>
    <w:rsid w:val="00FB02C1"/>
    <w:rsid w:val="00FD2A74"/>
    <w:rsid w:val="00FD377B"/>
    <w:rsid w:val="00FD6100"/>
    <w:rsid w:val="00FE6D6D"/>
    <w:rsid w:val="01127F09"/>
    <w:rsid w:val="011C1159"/>
    <w:rsid w:val="01343FD3"/>
    <w:rsid w:val="018846F6"/>
    <w:rsid w:val="018C6C05"/>
    <w:rsid w:val="01A4748B"/>
    <w:rsid w:val="01C84928"/>
    <w:rsid w:val="02D6242B"/>
    <w:rsid w:val="02E97170"/>
    <w:rsid w:val="0421067B"/>
    <w:rsid w:val="048421BB"/>
    <w:rsid w:val="04A13831"/>
    <w:rsid w:val="05201084"/>
    <w:rsid w:val="052C5CF5"/>
    <w:rsid w:val="0581212F"/>
    <w:rsid w:val="06274945"/>
    <w:rsid w:val="06424F0F"/>
    <w:rsid w:val="07081660"/>
    <w:rsid w:val="075D6403"/>
    <w:rsid w:val="0956659C"/>
    <w:rsid w:val="09841387"/>
    <w:rsid w:val="09915CB3"/>
    <w:rsid w:val="09947012"/>
    <w:rsid w:val="09E2134D"/>
    <w:rsid w:val="09E83639"/>
    <w:rsid w:val="0A14234A"/>
    <w:rsid w:val="0AB26078"/>
    <w:rsid w:val="0AC03B00"/>
    <w:rsid w:val="0AF45342"/>
    <w:rsid w:val="0C621FC1"/>
    <w:rsid w:val="0C686720"/>
    <w:rsid w:val="0D13270B"/>
    <w:rsid w:val="0E0D51A4"/>
    <w:rsid w:val="0E4643FB"/>
    <w:rsid w:val="0E5C1447"/>
    <w:rsid w:val="0EC2063B"/>
    <w:rsid w:val="0F0531CE"/>
    <w:rsid w:val="0F490F7B"/>
    <w:rsid w:val="10277962"/>
    <w:rsid w:val="1028781C"/>
    <w:rsid w:val="10D26B06"/>
    <w:rsid w:val="12A36CBD"/>
    <w:rsid w:val="12C10E55"/>
    <w:rsid w:val="13313D83"/>
    <w:rsid w:val="13997D72"/>
    <w:rsid w:val="13C83D4B"/>
    <w:rsid w:val="14CB2864"/>
    <w:rsid w:val="14F64FB4"/>
    <w:rsid w:val="150566CB"/>
    <w:rsid w:val="161D28DF"/>
    <w:rsid w:val="17B56CFB"/>
    <w:rsid w:val="18010653"/>
    <w:rsid w:val="180847B0"/>
    <w:rsid w:val="190D728B"/>
    <w:rsid w:val="19BE4ECA"/>
    <w:rsid w:val="1AE909FA"/>
    <w:rsid w:val="1BF40F40"/>
    <w:rsid w:val="1CD42551"/>
    <w:rsid w:val="1EA96003"/>
    <w:rsid w:val="1FEF02D0"/>
    <w:rsid w:val="208E0F9C"/>
    <w:rsid w:val="20915900"/>
    <w:rsid w:val="21045FB1"/>
    <w:rsid w:val="21843C8D"/>
    <w:rsid w:val="22166D6A"/>
    <w:rsid w:val="221F6DE2"/>
    <w:rsid w:val="223D26DD"/>
    <w:rsid w:val="23CD22EE"/>
    <w:rsid w:val="24226ED0"/>
    <w:rsid w:val="24B35976"/>
    <w:rsid w:val="25E22C7C"/>
    <w:rsid w:val="25E34B6F"/>
    <w:rsid w:val="26172450"/>
    <w:rsid w:val="263627F6"/>
    <w:rsid w:val="277A5B71"/>
    <w:rsid w:val="278434DB"/>
    <w:rsid w:val="27D57CCC"/>
    <w:rsid w:val="27DD6722"/>
    <w:rsid w:val="284625A0"/>
    <w:rsid w:val="28845BD0"/>
    <w:rsid w:val="292D25FD"/>
    <w:rsid w:val="2A640104"/>
    <w:rsid w:val="2B0D6BE9"/>
    <w:rsid w:val="2CB117C3"/>
    <w:rsid w:val="2E42503C"/>
    <w:rsid w:val="2E4D0215"/>
    <w:rsid w:val="2E8414A2"/>
    <w:rsid w:val="2EA6442B"/>
    <w:rsid w:val="2F262EB9"/>
    <w:rsid w:val="2FA64100"/>
    <w:rsid w:val="2FC20796"/>
    <w:rsid w:val="2FC239B5"/>
    <w:rsid w:val="300D268B"/>
    <w:rsid w:val="314C482C"/>
    <w:rsid w:val="31622C04"/>
    <w:rsid w:val="31F67EF5"/>
    <w:rsid w:val="320C562D"/>
    <w:rsid w:val="325A67DA"/>
    <w:rsid w:val="326762E4"/>
    <w:rsid w:val="32EC478B"/>
    <w:rsid w:val="332C0428"/>
    <w:rsid w:val="333E2E6A"/>
    <w:rsid w:val="33AA082A"/>
    <w:rsid w:val="33AC6028"/>
    <w:rsid w:val="33B05EAD"/>
    <w:rsid w:val="33CA51D8"/>
    <w:rsid w:val="348D42FA"/>
    <w:rsid w:val="35934620"/>
    <w:rsid w:val="36A45E28"/>
    <w:rsid w:val="38297DFD"/>
    <w:rsid w:val="38F07566"/>
    <w:rsid w:val="39954E56"/>
    <w:rsid w:val="39B57D90"/>
    <w:rsid w:val="39BC31E9"/>
    <w:rsid w:val="3AB00A01"/>
    <w:rsid w:val="3AE57026"/>
    <w:rsid w:val="3B6F3B9D"/>
    <w:rsid w:val="3B90577C"/>
    <w:rsid w:val="3C8F7FF5"/>
    <w:rsid w:val="3C983A02"/>
    <w:rsid w:val="3DD652F7"/>
    <w:rsid w:val="3ED92B04"/>
    <w:rsid w:val="3F6D56DF"/>
    <w:rsid w:val="3F881A69"/>
    <w:rsid w:val="402C2CEA"/>
    <w:rsid w:val="402F73BF"/>
    <w:rsid w:val="40333F85"/>
    <w:rsid w:val="40677FAF"/>
    <w:rsid w:val="408852CC"/>
    <w:rsid w:val="40A64D50"/>
    <w:rsid w:val="430F4BE7"/>
    <w:rsid w:val="43272960"/>
    <w:rsid w:val="43704AD0"/>
    <w:rsid w:val="43731C27"/>
    <w:rsid w:val="43B21289"/>
    <w:rsid w:val="44410461"/>
    <w:rsid w:val="447B6632"/>
    <w:rsid w:val="451236F7"/>
    <w:rsid w:val="45815571"/>
    <w:rsid w:val="46661BDF"/>
    <w:rsid w:val="46B24AE1"/>
    <w:rsid w:val="4717213B"/>
    <w:rsid w:val="47A42871"/>
    <w:rsid w:val="47A94FDB"/>
    <w:rsid w:val="483201FE"/>
    <w:rsid w:val="48773C40"/>
    <w:rsid w:val="49223665"/>
    <w:rsid w:val="4A071224"/>
    <w:rsid w:val="4A2A3BB5"/>
    <w:rsid w:val="4AB76040"/>
    <w:rsid w:val="4AE5026A"/>
    <w:rsid w:val="4AE775B9"/>
    <w:rsid w:val="4B0721E4"/>
    <w:rsid w:val="4B2C7A59"/>
    <w:rsid w:val="4B5F52F7"/>
    <w:rsid w:val="4B8F25C1"/>
    <w:rsid w:val="4B930B0C"/>
    <w:rsid w:val="4C5F4212"/>
    <w:rsid w:val="4CA96EF1"/>
    <w:rsid w:val="4CD570A1"/>
    <w:rsid w:val="4EA00C46"/>
    <w:rsid w:val="4EA5073F"/>
    <w:rsid w:val="4EB4550D"/>
    <w:rsid w:val="501F6F80"/>
    <w:rsid w:val="50AC6F17"/>
    <w:rsid w:val="50AE31FD"/>
    <w:rsid w:val="50B147E0"/>
    <w:rsid w:val="50F9646D"/>
    <w:rsid w:val="51F20426"/>
    <w:rsid w:val="522138A4"/>
    <w:rsid w:val="52517CA3"/>
    <w:rsid w:val="525856DB"/>
    <w:rsid w:val="52680509"/>
    <w:rsid w:val="52872FFF"/>
    <w:rsid w:val="52A93ED0"/>
    <w:rsid w:val="53076691"/>
    <w:rsid w:val="53C05A22"/>
    <w:rsid w:val="53EA23EA"/>
    <w:rsid w:val="54620B72"/>
    <w:rsid w:val="55C33DCD"/>
    <w:rsid w:val="55FF07E4"/>
    <w:rsid w:val="560B2964"/>
    <w:rsid w:val="561720E4"/>
    <w:rsid w:val="563118B3"/>
    <w:rsid w:val="564E603E"/>
    <w:rsid w:val="57183B87"/>
    <w:rsid w:val="58DF7F7F"/>
    <w:rsid w:val="59C1292E"/>
    <w:rsid w:val="5A195BC7"/>
    <w:rsid w:val="5B105BD8"/>
    <w:rsid w:val="5C8377C0"/>
    <w:rsid w:val="5D182559"/>
    <w:rsid w:val="5D736FBF"/>
    <w:rsid w:val="5DC2447B"/>
    <w:rsid w:val="5E234741"/>
    <w:rsid w:val="5E7454FF"/>
    <w:rsid w:val="5EB35545"/>
    <w:rsid w:val="5F7B2641"/>
    <w:rsid w:val="60592752"/>
    <w:rsid w:val="606A2396"/>
    <w:rsid w:val="60D40304"/>
    <w:rsid w:val="61011BCD"/>
    <w:rsid w:val="61297EAB"/>
    <w:rsid w:val="61F074D0"/>
    <w:rsid w:val="62E032F3"/>
    <w:rsid w:val="62F66F35"/>
    <w:rsid w:val="63E16403"/>
    <w:rsid w:val="65295F1C"/>
    <w:rsid w:val="65DA0791"/>
    <w:rsid w:val="666F0353"/>
    <w:rsid w:val="66721106"/>
    <w:rsid w:val="668176A1"/>
    <w:rsid w:val="67442400"/>
    <w:rsid w:val="687E18FD"/>
    <w:rsid w:val="68C42CA9"/>
    <w:rsid w:val="690D6EE4"/>
    <w:rsid w:val="69E479BE"/>
    <w:rsid w:val="6B565566"/>
    <w:rsid w:val="6C001A04"/>
    <w:rsid w:val="6CE45D6D"/>
    <w:rsid w:val="6CF25421"/>
    <w:rsid w:val="6D963700"/>
    <w:rsid w:val="6DBF5C07"/>
    <w:rsid w:val="6E1039BC"/>
    <w:rsid w:val="6E2D4E88"/>
    <w:rsid w:val="6E7509A5"/>
    <w:rsid w:val="6EAA1639"/>
    <w:rsid w:val="6EE07DD3"/>
    <w:rsid w:val="702E0BAC"/>
    <w:rsid w:val="70BF6C3B"/>
    <w:rsid w:val="711E5B9A"/>
    <w:rsid w:val="71674127"/>
    <w:rsid w:val="718A7619"/>
    <w:rsid w:val="71D970E5"/>
    <w:rsid w:val="721243ED"/>
    <w:rsid w:val="72175892"/>
    <w:rsid w:val="72A41D1E"/>
    <w:rsid w:val="73A0265C"/>
    <w:rsid w:val="740037F5"/>
    <w:rsid w:val="742E4E1E"/>
    <w:rsid w:val="743520B7"/>
    <w:rsid w:val="75034820"/>
    <w:rsid w:val="75164BBA"/>
    <w:rsid w:val="75806D2F"/>
    <w:rsid w:val="7707211D"/>
    <w:rsid w:val="77854CB3"/>
    <w:rsid w:val="78347255"/>
    <w:rsid w:val="79643B82"/>
    <w:rsid w:val="7A7D4AC1"/>
    <w:rsid w:val="7B076566"/>
    <w:rsid w:val="7B0E2681"/>
    <w:rsid w:val="7B540C79"/>
    <w:rsid w:val="7B651C07"/>
    <w:rsid w:val="7C1D54EE"/>
    <w:rsid w:val="7CB517DC"/>
    <w:rsid w:val="7D0F3B7C"/>
    <w:rsid w:val="7D823627"/>
    <w:rsid w:val="7E1235D1"/>
    <w:rsid w:val="7E450A00"/>
    <w:rsid w:val="7E684338"/>
    <w:rsid w:val="7F344F83"/>
    <w:rsid w:val="7FD30D25"/>
    <w:rsid w:val="7FFD50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qFormat="1" w:uiPriority="99" w:semiHidden="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qFormat="1" w:unhideWhenUsed="0" w:uiPriority="0" w:semiHidden="0" w:name="table of authorities"/>
    <w:lsdException w:uiPriority="0" w:name="macro"/>
    <w:lsdException w:qFormat="1" w:uiPriority="99" w:semiHidden="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qFormat="1" w:unhideWhenUsed="0" w:uiPriority="0" w:semiHidden="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43"/>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4">
    <w:name w:val="table of authorities"/>
    <w:basedOn w:val="1"/>
    <w:next w:val="1"/>
    <w:qFormat/>
    <w:uiPriority w:val="0"/>
    <w:pPr>
      <w:spacing w:line="360" w:lineRule="auto"/>
      <w:ind w:left="420" w:leftChars="200" w:firstLine="200" w:firstLineChars="200"/>
    </w:pPr>
    <w:rPr>
      <w:sz w:val="24"/>
      <w:szCs w:val="24"/>
    </w:rPr>
  </w:style>
  <w:style w:type="paragraph" w:styleId="5">
    <w:name w:val="Normal Indent"/>
    <w:basedOn w:val="1"/>
    <w:qFormat/>
    <w:uiPriority w:val="0"/>
    <w:pPr>
      <w:ind w:firstLine="420"/>
    </w:pPr>
  </w:style>
  <w:style w:type="paragraph" w:styleId="6">
    <w:name w:val="toa heading"/>
    <w:basedOn w:val="1"/>
    <w:next w:val="1"/>
    <w:unhideWhenUsed/>
    <w:qFormat/>
    <w:uiPriority w:val="99"/>
    <w:pPr>
      <w:spacing w:before="120"/>
    </w:pPr>
    <w:rPr>
      <w:rFonts w:ascii="Cambria" w:hAnsi="Cambria"/>
      <w:sz w:val="24"/>
    </w:rPr>
  </w:style>
  <w:style w:type="paragraph" w:styleId="7">
    <w:name w:val="annotation text"/>
    <w:basedOn w:val="1"/>
    <w:link w:val="47"/>
    <w:qFormat/>
    <w:uiPriority w:val="0"/>
    <w:pPr>
      <w:jc w:val="left"/>
    </w:pPr>
    <w:rPr>
      <w:szCs w:val="24"/>
    </w:rPr>
  </w:style>
  <w:style w:type="paragraph" w:styleId="8">
    <w:name w:val="Body Text"/>
    <w:basedOn w:val="1"/>
    <w:link w:val="44"/>
    <w:qFormat/>
    <w:uiPriority w:val="0"/>
    <w:pPr>
      <w:spacing w:after="120"/>
    </w:pPr>
  </w:style>
  <w:style w:type="paragraph" w:styleId="9">
    <w:name w:val="Body Text Indent"/>
    <w:basedOn w:val="1"/>
    <w:next w:val="10"/>
    <w:unhideWhenUsed/>
    <w:qFormat/>
    <w:uiPriority w:val="99"/>
    <w:pPr>
      <w:spacing w:after="120"/>
      <w:ind w:left="420" w:leftChars="200"/>
    </w:pPr>
  </w:style>
  <w:style w:type="paragraph" w:styleId="10">
    <w:name w:val="envelope return"/>
    <w:basedOn w:val="1"/>
    <w:qFormat/>
    <w:uiPriority w:val="0"/>
    <w:pPr>
      <w:snapToGrid w:val="0"/>
      <w:spacing w:line="360" w:lineRule="auto"/>
      <w:ind w:firstLine="200" w:firstLineChars="200"/>
    </w:pPr>
    <w:rPr>
      <w:rFonts w:ascii="Arial" w:hAnsi="Arial" w:cs="Arial"/>
      <w:sz w:val="24"/>
      <w:szCs w:val="24"/>
    </w:rPr>
  </w:style>
  <w:style w:type="paragraph" w:styleId="11">
    <w:name w:val="index 4"/>
    <w:basedOn w:val="1"/>
    <w:next w:val="1"/>
    <w:unhideWhenUsed/>
    <w:qFormat/>
    <w:uiPriority w:val="99"/>
    <w:pPr>
      <w:ind w:left="600" w:leftChars="600"/>
    </w:pPr>
    <w:rPr>
      <w:rFonts w:ascii="Verdana" w:hAnsi="Verdana" w:eastAsia="微软雅黑"/>
      <w:szCs w:val="20"/>
    </w:rPr>
  </w:style>
  <w:style w:type="paragraph" w:styleId="12">
    <w:name w:val="Plain Text"/>
    <w:basedOn w:val="1"/>
    <w:link w:val="28"/>
    <w:qFormat/>
    <w:uiPriority w:val="0"/>
    <w:rPr>
      <w:rFonts w:ascii="宋体" w:hAnsi="Courier New"/>
    </w:rPr>
  </w:style>
  <w:style w:type="paragraph" w:styleId="13">
    <w:name w:val="Date"/>
    <w:basedOn w:val="1"/>
    <w:next w:val="1"/>
    <w:link w:val="29"/>
    <w:qFormat/>
    <w:uiPriority w:val="0"/>
    <w:pPr>
      <w:ind w:left="100" w:leftChars="2500"/>
    </w:pPr>
  </w:style>
  <w:style w:type="paragraph" w:styleId="14">
    <w:name w:val="Body Text Indent 2"/>
    <w:basedOn w:val="1"/>
    <w:link w:val="45"/>
    <w:qFormat/>
    <w:uiPriority w:val="0"/>
    <w:pPr>
      <w:spacing w:after="120" w:line="480" w:lineRule="auto"/>
      <w:ind w:left="420" w:leftChars="200"/>
    </w:pPr>
  </w:style>
  <w:style w:type="paragraph" w:styleId="15">
    <w:name w:val="Balloon Text"/>
    <w:basedOn w:val="1"/>
    <w:semiHidden/>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rPr>
  </w:style>
  <w:style w:type="paragraph" w:styleId="18">
    <w:name w:val="Body Text Indent 3"/>
    <w:basedOn w:val="1"/>
    <w:link w:val="30"/>
    <w:qFormat/>
    <w:uiPriority w:val="0"/>
    <w:pPr>
      <w:ind w:left="359" w:leftChars="171" w:firstLine="359" w:firstLineChars="171"/>
    </w:pPr>
    <w:rPr>
      <w:szCs w:val="20"/>
    </w:r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0">
    <w:name w:val="Body Text First Indent 2"/>
    <w:basedOn w:val="9"/>
    <w:qFormat/>
    <w:uiPriority w:val="0"/>
    <w:pPr>
      <w:spacing w:beforeLines="50" w:afterLines="50" w:line="360" w:lineRule="auto"/>
      <w:ind w:firstLine="420" w:firstLineChars="200"/>
    </w:pPr>
    <w:rPr>
      <w:sz w:val="24"/>
      <w:szCs w:val="24"/>
    </w:rPr>
  </w:style>
  <w:style w:type="table" w:styleId="22">
    <w:name w:val="Table Grid"/>
    <w:basedOn w:val="2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qFormat/>
    <w:uiPriority w:val="0"/>
    <w:rPr>
      <w:color w:val="auto"/>
      <w:u w:val="none"/>
    </w:rPr>
  </w:style>
  <w:style w:type="character" w:styleId="25">
    <w:name w:val="HTML Typewriter"/>
    <w:qFormat/>
    <w:uiPriority w:val="0"/>
    <w:rPr>
      <w:rFonts w:ascii="宋体" w:hAnsi="宋体" w:eastAsia="宋体" w:cs="宋体"/>
      <w:sz w:val="24"/>
      <w:szCs w:val="24"/>
    </w:rPr>
  </w:style>
  <w:style w:type="character" w:styleId="26">
    <w:name w:val="Hyperlink"/>
    <w:basedOn w:val="23"/>
    <w:qFormat/>
    <w:uiPriority w:val="0"/>
    <w:rPr>
      <w:color w:val="0000FF"/>
      <w:u w:val="single"/>
    </w:rPr>
  </w:style>
  <w:style w:type="paragraph" w:customStyle="1" w:styleId="27">
    <w:name w:val="正文（缩进）"/>
    <w:basedOn w:val="1"/>
    <w:qFormat/>
    <w:uiPriority w:val="99"/>
    <w:pPr>
      <w:ind w:firstLine="480" w:firstLineChars="200"/>
    </w:pPr>
  </w:style>
  <w:style w:type="character" w:customStyle="1" w:styleId="28">
    <w:name w:val="纯文本 字符"/>
    <w:link w:val="12"/>
    <w:qFormat/>
    <w:uiPriority w:val="0"/>
    <w:rPr>
      <w:rFonts w:ascii="宋体" w:hAnsi="Courier New"/>
      <w:kern w:val="2"/>
      <w:sz w:val="21"/>
      <w:szCs w:val="22"/>
    </w:rPr>
  </w:style>
  <w:style w:type="character" w:customStyle="1" w:styleId="29">
    <w:name w:val="日期 字符"/>
    <w:basedOn w:val="23"/>
    <w:link w:val="13"/>
    <w:qFormat/>
    <w:uiPriority w:val="0"/>
    <w:rPr>
      <w:kern w:val="2"/>
      <w:sz w:val="21"/>
      <w:szCs w:val="22"/>
    </w:rPr>
  </w:style>
  <w:style w:type="character" w:customStyle="1" w:styleId="30">
    <w:name w:val="正文文本缩进 3 字符"/>
    <w:basedOn w:val="23"/>
    <w:link w:val="18"/>
    <w:qFormat/>
    <w:uiPriority w:val="0"/>
    <w:rPr>
      <w:rFonts w:ascii="Times New Roman" w:hAnsi="Times New Roman"/>
      <w:kern w:val="2"/>
      <w:sz w:val="21"/>
    </w:rPr>
  </w:style>
  <w:style w:type="character" w:customStyle="1" w:styleId="31">
    <w:name w:val="纯文本 Char"/>
    <w:qFormat/>
    <w:uiPriority w:val="0"/>
    <w:rPr>
      <w:rFonts w:ascii="宋体" w:hAnsi="Courier New" w:eastAsia="宋体" w:cs="Times New Roman"/>
      <w:szCs w:val="21"/>
    </w:rPr>
  </w:style>
  <w:style w:type="character" w:customStyle="1" w:styleId="32">
    <w:name w:val="font91"/>
    <w:basedOn w:val="23"/>
    <w:qFormat/>
    <w:uiPriority w:val="0"/>
    <w:rPr>
      <w:rFonts w:hint="eastAsia" w:ascii="宋体" w:hAnsi="宋体" w:eastAsia="宋体" w:cs="宋体"/>
      <w:color w:val="000000"/>
      <w:sz w:val="22"/>
      <w:szCs w:val="22"/>
      <w:u w:val="none"/>
    </w:rPr>
  </w:style>
  <w:style w:type="character" w:customStyle="1" w:styleId="33">
    <w:name w:val="font81"/>
    <w:basedOn w:val="23"/>
    <w:qFormat/>
    <w:uiPriority w:val="0"/>
    <w:rPr>
      <w:rFonts w:hint="eastAsia" w:ascii="宋体" w:hAnsi="宋体" w:eastAsia="宋体" w:cs="宋体"/>
      <w:color w:val="000000"/>
      <w:sz w:val="20"/>
      <w:szCs w:val="20"/>
      <w:u w:val="none"/>
    </w:rPr>
  </w:style>
  <w:style w:type="paragraph" w:customStyle="1" w:styleId="34">
    <w:name w:val="普通文字"/>
    <w:basedOn w:val="1"/>
    <w:next w:val="1"/>
    <w:qFormat/>
    <w:uiPriority w:val="0"/>
    <w:rPr>
      <w:rFonts w:ascii="宋体"/>
      <w:kern w:val="0"/>
      <w:sz w:val="24"/>
      <w:u w:color="000000"/>
    </w:rPr>
  </w:style>
  <w:style w:type="paragraph" w:customStyle="1" w:styleId="35">
    <w:name w:val="Char"/>
    <w:basedOn w:val="1"/>
    <w:qFormat/>
    <w:uiPriority w:val="0"/>
    <w:pPr>
      <w:tabs>
        <w:tab w:val="left" w:pos="360"/>
      </w:tabs>
      <w:ind w:firstLine="200" w:firstLineChars="200"/>
    </w:pPr>
    <w:rPr>
      <w:sz w:val="28"/>
      <w:szCs w:val="30"/>
    </w:rPr>
  </w:style>
  <w:style w:type="paragraph" w:customStyle="1" w:styleId="36">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列出段落1"/>
    <w:basedOn w:val="1"/>
    <w:qFormat/>
    <w:uiPriority w:val="34"/>
    <w:pPr>
      <w:ind w:firstLine="420" w:firstLineChars="200"/>
    </w:pPr>
  </w:style>
  <w:style w:type="paragraph" w:customStyle="1" w:styleId="38">
    <w:name w:val="正文文本缩进 3 Char Char"/>
    <w:basedOn w:val="1"/>
    <w:qFormat/>
    <w:uiPriority w:val="0"/>
    <w:pPr>
      <w:suppressAutoHyphens/>
      <w:spacing w:line="220" w:lineRule="exact"/>
      <w:ind w:firstLine="306"/>
    </w:pPr>
    <w:rPr>
      <w:kern w:val="0"/>
      <w:szCs w:val="20"/>
    </w:rPr>
  </w:style>
  <w:style w:type="paragraph" w:customStyle="1" w:styleId="39">
    <w:name w:val="列出段落11"/>
    <w:basedOn w:val="1"/>
    <w:qFormat/>
    <w:uiPriority w:val="0"/>
    <w:pPr>
      <w:spacing w:beforeLines="50" w:afterLines="50"/>
      <w:ind w:firstLine="200" w:firstLineChars="200"/>
    </w:pPr>
    <w:rPr>
      <w:rFonts w:ascii="Calibri" w:hAnsi="Calibri" w:cs="宋体"/>
      <w:kern w:val="0"/>
      <w:sz w:val="24"/>
    </w:rPr>
  </w:style>
  <w:style w:type="paragraph" w:customStyle="1" w:styleId="40">
    <w:name w:val="Style 1"/>
    <w:basedOn w:val="1"/>
    <w:qFormat/>
    <w:uiPriority w:val="0"/>
    <w:pPr>
      <w:autoSpaceDE w:val="0"/>
      <w:autoSpaceDN w:val="0"/>
      <w:adjustRightInd w:val="0"/>
      <w:jc w:val="left"/>
    </w:pPr>
    <w:rPr>
      <w:kern w:val="0"/>
      <w:sz w:val="20"/>
      <w:szCs w:val="20"/>
    </w:rPr>
  </w:style>
  <w:style w:type="character" w:customStyle="1" w:styleId="41">
    <w:name w:val="Character Style 2"/>
    <w:qFormat/>
    <w:uiPriority w:val="0"/>
    <w:rPr>
      <w:sz w:val="20"/>
    </w:rPr>
  </w:style>
  <w:style w:type="paragraph" w:customStyle="1" w:styleId="42">
    <w:name w:val="普通正文"/>
    <w:basedOn w:val="1"/>
    <w:qFormat/>
    <w:uiPriority w:val="99"/>
    <w:pPr>
      <w:adjustRightInd w:val="0"/>
      <w:spacing w:before="120" w:after="120" w:line="360" w:lineRule="auto"/>
      <w:ind w:firstLine="480"/>
      <w:jc w:val="left"/>
    </w:pPr>
    <w:rPr>
      <w:rFonts w:ascii="Arial" w:hAnsi="Arial"/>
      <w:kern w:val="0"/>
      <w:sz w:val="24"/>
      <w:szCs w:val="24"/>
    </w:rPr>
  </w:style>
  <w:style w:type="character" w:customStyle="1" w:styleId="43">
    <w:name w:val="标题 1 字符"/>
    <w:link w:val="2"/>
    <w:qFormat/>
    <w:uiPriority w:val="9"/>
    <w:rPr>
      <w:b/>
      <w:bCs/>
      <w:kern w:val="44"/>
      <w:sz w:val="44"/>
      <w:szCs w:val="44"/>
    </w:rPr>
  </w:style>
  <w:style w:type="character" w:customStyle="1" w:styleId="44">
    <w:name w:val="正文文本 字符"/>
    <w:basedOn w:val="23"/>
    <w:link w:val="8"/>
    <w:qFormat/>
    <w:uiPriority w:val="0"/>
    <w:rPr>
      <w:kern w:val="2"/>
      <w:sz w:val="21"/>
      <w:szCs w:val="22"/>
    </w:rPr>
  </w:style>
  <w:style w:type="character" w:customStyle="1" w:styleId="45">
    <w:name w:val="正文文本缩进 2 字符"/>
    <w:basedOn w:val="23"/>
    <w:link w:val="14"/>
    <w:qFormat/>
    <w:uiPriority w:val="0"/>
    <w:rPr>
      <w:kern w:val="2"/>
      <w:sz w:val="21"/>
      <w:szCs w:val="22"/>
    </w:rPr>
  </w:style>
  <w:style w:type="character" w:customStyle="1" w:styleId="46">
    <w:name w:val="批注文字 Char"/>
    <w:basedOn w:val="23"/>
    <w:qFormat/>
    <w:uiPriority w:val="0"/>
    <w:rPr>
      <w:kern w:val="2"/>
      <w:sz w:val="21"/>
      <w:szCs w:val="22"/>
    </w:rPr>
  </w:style>
  <w:style w:type="character" w:customStyle="1" w:styleId="47">
    <w:name w:val="批注文字 字符"/>
    <w:link w:val="7"/>
    <w:qFormat/>
    <w:uiPriority w:val="0"/>
    <w:rPr>
      <w:kern w:val="2"/>
      <w:sz w:val="21"/>
      <w:szCs w:val="24"/>
    </w:rPr>
  </w:style>
  <w:style w:type="character" w:customStyle="1" w:styleId="48">
    <w:name w:val="纯文本 字符1"/>
    <w:qFormat/>
    <w:uiPriority w:val="0"/>
    <w:rPr>
      <w:rFonts w:ascii="宋体" w:hAnsi="Courier New"/>
      <w:kern w:val="2"/>
      <w:sz w:val="21"/>
    </w:rPr>
  </w:style>
  <w:style w:type="paragraph" w:customStyle="1" w:styleId="49">
    <w:name w:val="_Style 47"/>
    <w:basedOn w:val="1"/>
    <w:next w:val="50"/>
    <w:qFormat/>
    <w:uiPriority w:val="34"/>
    <w:pPr>
      <w:ind w:firstLine="420" w:firstLineChars="200"/>
    </w:pPr>
    <w:rPr>
      <w:rFonts w:ascii="Calibri" w:hAnsi="Calibri"/>
    </w:rPr>
  </w:style>
  <w:style w:type="paragraph" w:styleId="50">
    <w:name w:val="List Paragraph"/>
    <w:basedOn w:val="1"/>
    <w:qFormat/>
    <w:uiPriority w:val="34"/>
    <w:pPr>
      <w:ind w:firstLine="420" w:firstLineChars="200"/>
    </w:pPr>
  </w:style>
  <w:style w:type="paragraph" w:customStyle="1" w:styleId="51">
    <w:name w:val="样式 正文缩进 + 首行缩进:  2 字符"/>
    <w:basedOn w:val="5"/>
    <w:link w:val="52"/>
    <w:qFormat/>
    <w:uiPriority w:val="0"/>
    <w:pPr>
      <w:spacing w:line="360" w:lineRule="auto"/>
      <w:ind w:firstLine="200" w:firstLineChars="200"/>
    </w:pPr>
    <w:rPr>
      <w:sz w:val="24"/>
      <w:szCs w:val="18"/>
      <w:lang w:val="zh-CN"/>
    </w:rPr>
  </w:style>
  <w:style w:type="character" w:customStyle="1" w:styleId="52">
    <w:name w:val="样式 正文缩进 + 首行缩进:  2 字符 Char"/>
    <w:link w:val="51"/>
    <w:qFormat/>
    <w:uiPriority w:val="0"/>
    <w:rPr>
      <w:kern w:val="2"/>
      <w:sz w:val="24"/>
      <w:szCs w:val="18"/>
      <w:lang w:val="zh-CN"/>
    </w:rPr>
  </w:style>
  <w:style w:type="paragraph" w:customStyle="1" w:styleId="53">
    <w:name w:val="_Style 119"/>
    <w:basedOn w:val="1"/>
    <w:next w:val="50"/>
    <w:qFormat/>
    <w:uiPriority w:val="34"/>
    <w:pPr>
      <w:ind w:firstLine="420" w:firstLineChars="200"/>
    </w:pPr>
    <w:rPr>
      <w:rFonts w:ascii="Calibri" w:hAnsi="Calibri"/>
    </w:rPr>
  </w:style>
  <w:style w:type="paragraph" w:customStyle="1" w:styleId="54">
    <w:name w:val="71e7dc79-1ff7-45e8-997d-0ebda3762b91"/>
    <w:basedOn w:val="3"/>
    <w:next w:val="55"/>
    <w:link w:val="56"/>
    <w:qFormat/>
    <w:uiPriority w:val="0"/>
    <w:pPr>
      <w:pageBreakBefore/>
      <w:adjustRightInd w:val="0"/>
      <w:spacing w:before="0" w:after="0" w:line="288" w:lineRule="auto"/>
      <w:jc w:val="left"/>
    </w:pPr>
    <w:rPr>
      <w:rFonts w:ascii="微软雅黑" w:hAnsi="微软雅黑" w:eastAsia="微软雅黑" w:cs="微软雅黑"/>
      <w:color w:val="000000"/>
      <w:sz w:val="28"/>
      <w:szCs w:val="36"/>
    </w:rPr>
  </w:style>
  <w:style w:type="paragraph" w:customStyle="1" w:styleId="55">
    <w:name w:val="acbfdd8b-e11b-4d36-88ff-6049b138f862"/>
    <w:basedOn w:val="1"/>
    <w:link w:val="57"/>
    <w:qFormat/>
    <w:uiPriority w:val="0"/>
    <w:pPr>
      <w:pageBreakBefore/>
      <w:adjustRightInd w:val="0"/>
      <w:spacing w:line="288" w:lineRule="auto"/>
      <w:jc w:val="left"/>
    </w:pPr>
    <w:rPr>
      <w:rFonts w:ascii="微软雅黑" w:hAnsi="微软雅黑" w:eastAsia="微软雅黑" w:cs="微软雅黑"/>
      <w:color w:val="000000"/>
      <w:sz w:val="22"/>
      <w:szCs w:val="36"/>
    </w:rPr>
  </w:style>
  <w:style w:type="character" w:customStyle="1" w:styleId="56">
    <w:name w:val="71e7dc79-1ff7-45e8-997d-0ebda3762b91 字符"/>
    <w:basedOn w:val="23"/>
    <w:link w:val="54"/>
    <w:qFormat/>
    <w:uiPriority w:val="0"/>
    <w:rPr>
      <w:rFonts w:ascii="微软雅黑" w:hAnsi="微软雅黑" w:eastAsia="微软雅黑" w:cs="微软雅黑"/>
      <w:b/>
      <w:bCs/>
      <w:color w:val="000000"/>
      <w:kern w:val="2"/>
      <w:sz w:val="28"/>
      <w:szCs w:val="36"/>
    </w:rPr>
  </w:style>
  <w:style w:type="character" w:customStyle="1" w:styleId="57">
    <w:name w:val="acbfdd8b-e11b-4d36-88ff-6049b138f862 字符"/>
    <w:basedOn w:val="23"/>
    <w:link w:val="55"/>
    <w:qFormat/>
    <w:uiPriority w:val="0"/>
    <w:rPr>
      <w:rFonts w:ascii="微软雅黑" w:hAnsi="微软雅黑" w:eastAsia="微软雅黑" w:cs="微软雅黑"/>
      <w:color w:val="000000"/>
      <w:kern w:val="2"/>
      <w:sz w:val="22"/>
      <w:szCs w:val="36"/>
    </w:rPr>
  </w:style>
  <w:style w:type="paragraph" w:customStyle="1" w:styleId="58">
    <w:name w:val="21bc9c4b-6a32-43e5-beaa-fd2d792c5735"/>
    <w:basedOn w:val="2"/>
    <w:next w:val="55"/>
    <w:link w:val="59"/>
    <w:qFormat/>
    <w:uiPriority w:val="0"/>
    <w:pPr>
      <w:adjustRightInd w:val="0"/>
      <w:spacing w:before="0" w:after="0" w:line="288" w:lineRule="auto"/>
      <w:jc w:val="left"/>
    </w:pPr>
    <w:rPr>
      <w:rFonts w:ascii="微软雅黑" w:hAnsi="微软雅黑" w:eastAsia="微软雅黑"/>
      <w:bCs w:val="0"/>
      <w:color w:val="000000"/>
      <w:sz w:val="32"/>
      <w:szCs w:val="28"/>
    </w:rPr>
  </w:style>
  <w:style w:type="character" w:customStyle="1" w:styleId="59">
    <w:name w:val="21bc9c4b-6a32-43e5-beaa-fd2d792c5735 字符"/>
    <w:basedOn w:val="23"/>
    <w:link w:val="58"/>
    <w:qFormat/>
    <w:uiPriority w:val="0"/>
    <w:rPr>
      <w:rFonts w:ascii="微软雅黑" w:hAnsi="微软雅黑" w:eastAsia="微软雅黑"/>
      <w:b/>
      <w:color w:val="000000"/>
      <w:kern w:val="44"/>
      <w:sz w:val="32"/>
      <w:szCs w:val="28"/>
    </w:rPr>
  </w:style>
  <w:style w:type="paragraph" w:customStyle="1" w:styleId="60">
    <w:name w:val="_Style 471"/>
    <w:basedOn w:val="1"/>
    <w:next w:val="50"/>
    <w:qFormat/>
    <w:uiPriority w:val="34"/>
    <w:pPr>
      <w:ind w:firstLine="420" w:firstLineChars="200"/>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24</Pages>
  <Words>7154</Words>
  <Characters>7648</Characters>
  <Lines>525</Lines>
  <Paragraphs>489</Paragraphs>
  <TotalTime>2</TotalTime>
  <ScaleCrop>false</ScaleCrop>
  <LinksUpToDate>false</LinksUpToDate>
  <CharactersWithSpaces>7659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2022-09-01T06:15:00Z</dcterms:created>
  <dc:creator>Administrator</dc:creator>
  <cp:lastModifiedBy>艾伦小天使</cp:lastModifiedBy>
  <cp:lastPrinted>2020-11-09T01:49:00Z</cp:lastPrinted>
  <dcterms:modified xsi:type="dcterms:W3CDTF">2026-03-25T05:03:01Z</dcterms:modified>
  <dc:title>扬 州 市 政 府 采 购</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BAD92864621A40039FC1BCAAB8C9AFE7_13</vt:lpwstr>
  </property>
  <property fmtid="{D5CDD505-2E9C-101B-9397-08002B2CF9AE}" pid="4" name="KSOTemplateDocerSaveRecord">
    <vt:lpwstr>eyJoZGlkIjoiYTBhZWI3NWRmZjY0ZGIxMWVjM2QyOTRhYjhiZjJiYWMiLCJ1c2VySWQiOiIzNTEzODI1MDgifQ==</vt:lpwstr>
  </property>
</Properties>
</file>