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A6FD7">
      <w:pPr>
        <w:adjustRightInd w:val="0"/>
        <w:snapToGrid w:val="0"/>
        <w:spacing w:line="560" w:lineRule="exact"/>
        <w:jc w:val="center"/>
        <w:rPr>
          <w:rFonts w:ascii="宋体" w:hAnsi="宋体" w:cs="仿宋"/>
          <w:spacing w:val="28"/>
          <w:sz w:val="44"/>
          <w:szCs w:val="44"/>
        </w:rPr>
      </w:pPr>
    </w:p>
    <w:p w14:paraId="59808E7C">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扬州大学附属医院2026-2029年度网络舆情</w:t>
      </w:r>
    </w:p>
    <w:p w14:paraId="1536445A">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监测项目院内公开谈判文件</w:t>
      </w:r>
    </w:p>
    <w:p w14:paraId="394989E4">
      <w:pPr>
        <w:adjustRightInd w:val="0"/>
        <w:snapToGrid w:val="0"/>
        <w:spacing w:line="560" w:lineRule="exact"/>
        <w:jc w:val="center"/>
        <w:rPr>
          <w:rFonts w:ascii="宋体" w:hAnsi="宋体" w:cs="仿宋"/>
          <w:spacing w:val="28"/>
          <w:sz w:val="44"/>
          <w:szCs w:val="44"/>
        </w:rPr>
      </w:pPr>
    </w:p>
    <w:p w14:paraId="351D6DFE">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7EF10E51">
      <w:pPr>
        <w:spacing w:line="360" w:lineRule="auto"/>
        <w:ind w:firstLine="848" w:firstLineChars="265"/>
        <w:jc w:val="center"/>
        <w:rPr>
          <w:rFonts w:ascii="宋体" w:hAnsi="宋体" w:cs="宋体"/>
          <w:sz w:val="32"/>
          <w:szCs w:val="32"/>
        </w:rPr>
      </w:pPr>
    </w:p>
    <w:p w14:paraId="3D2EABB1">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02E41840">
      <w:pPr>
        <w:spacing w:line="360" w:lineRule="auto"/>
        <w:ind w:firstLine="848" w:firstLineChars="265"/>
        <w:rPr>
          <w:rFonts w:ascii="宋体" w:hAnsi="宋体" w:cs="宋体"/>
          <w:sz w:val="32"/>
          <w:szCs w:val="32"/>
        </w:rPr>
      </w:pPr>
    </w:p>
    <w:p w14:paraId="64453540">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4</w:t>
      </w:r>
      <w:r>
        <w:rPr>
          <w:rFonts w:hint="eastAsia" w:ascii="宋体" w:hAnsi="宋体" w:cs="宋体"/>
          <w:b/>
          <w:sz w:val="32"/>
          <w:szCs w:val="32"/>
        </w:rPr>
        <w:t>月</w:t>
      </w:r>
      <w:bookmarkEnd w:id="0"/>
    </w:p>
    <w:p w14:paraId="7618CCC8">
      <w:pPr>
        <w:jc w:val="center"/>
        <w:rPr>
          <w:rFonts w:ascii="宋体" w:hAnsi="宋体"/>
          <w:b/>
          <w:bCs/>
          <w:sz w:val="48"/>
          <w:szCs w:val="48"/>
        </w:rPr>
      </w:pPr>
    </w:p>
    <w:p w14:paraId="6CBB42EA">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6CFB65B6">
      <w:pPr>
        <w:pStyle w:val="16"/>
        <w:ind w:firstLine="630" w:firstLineChars="300"/>
      </w:pPr>
    </w:p>
    <w:p w14:paraId="70FE35CE">
      <w:pPr>
        <w:pStyle w:val="16"/>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723C8BC5">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0F342FCB">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7</w:t>
      </w:r>
    </w:p>
    <w:p w14:paraId="0E14A75D">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9</w:t>
      </w:r>
    </w:p>
    <w:p w14:paraId="3CD4577C">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14</w:t>
      </w:r>
    </w:p>
    <w:p w14:paraId="1D179822">
      <w:pPr>
        <w:spacing w:line="360" w:lineRule="auto"/>
        <w:contextualSpacing/>
        <w:jc w:val="center"/>
        <w:rPr>
          <w:rFonts w:ascii="宋体" w:hAnsi="宋体"/>
          <w:bCs/>
          <w:sz w:val="24"/>
        </w:rPr>
      </w:pPr>
    </w:p>
    <w:p w14:paraId="6369F84C">
      <w:pPr>
        <w:rPr>
          <w:rFonts w:ascii="宋体" w:hAnsi="宋体"/>
          <w:sz w:val="30"/>
          <w:szCs w:val="30"/>
        </w:rPr>
      </w:pPr>
    </w:p>
    <w:p w14:paraId="06A38969">
      <w:pPr>
        <w:spacing w:line="360" w:lineRule="auto"/>
        <w:jc w:val="center"/>
      </w:pPr>
      <w:bookmarkStart w:id="1" w:name="_Toc39744251"/>
    </w:p>
    <w:p w14:paraId="002AA38E">
      <w:pPr>
        <w:spacing w:line="360" w:lineRule="auto"/>
        <w:jc w:val="center"/>
      </w:pPr>
    </w:p>
    <w:p w14:paraId="20D27AEE">
      <w:pPr>
        <w:spacing w:line="360" w:lineRule="auto"/>
        <w:jc w:val="center"/>
      </w:pPr>
    </w:p>
    <w:p w14:paraId="2C5CE44A">
      <w:pPr>
        <w:spacing w:line="360" w:lineRule="auto"/>
        <w:jc w:val="center"/>
      </w:pPr>
    </w:p>
    <w:p w14:paraId="13BE85BC">
      <w:pPr>
        <w:spacing w:line="360" w:lineRule="auto"/>
        <w:jc w:val="center"/>
      </w:pPr>
    </w:p>
    <w:p w14:paraId="7075DD70">
      <w:pPr>
        <w:spacing w:line="360" w:lineRule="auto"/>
        <w:jc w:val="center"/>
      </w:pPr>
    </w:p>
    <w:p w14:paraId="27986E95">
      <w:pPr>
        <w:spacing w:line="360" w:lineRule="auto"/>
        <w:jc w:val="center"/>
      </w:pPr>
    </w:p>
    <w:p w14:paraId="433E8948">
      <w:pPr>
        <w:spacing w:line="360" w:lineRule="auto"/>
        <w:jc w:val="center"/>
      </w:pPr>
    </w:p>
    <w:p w14:paraId="0B68E8E5">
      <w:pPr>
        <w:spacing w:line="360" w:lineRule="auto"/>
        <w:jc w:val="center"/>
      </w:pPr>
    </w:p>
    <w:p w14:paraId="1FAF8ACE">
      <w:pPr>
        <w:spacing w:line="360" w:lineRule="auto"/>
        <w:jc w:val="center"/>
      </w:pPr>
    </w:p>
    <w:p w14:paraId="4E171C63">
      <w:pPr>
        <w:spacing w:line="360" w:lineRule="auto"/>
        <w:jc w:val="center"/>
      </w:pPr>
    </w:p>
    <w:p w14:paraId="7A93C38F">
      <w:pPr>
        <w:spacing w:line="360" w:lineRule="auto"/>
        <w:jc w:val="center"/>
      </w:pPr>
    </w:p>
    <w:p w14:paraId="2F21203A">
      <w:pPr>
        <w:spacing w:line="360" w:lineRule="auto"/>
        <w:jc w:val="center"/>
      </w:pPr>
    </w:p>
    <w:p w14:paraId="03A47D50">
      <w:pPr>
        <w:spacing w:line="360" w:lineRule="auto"/>
        <w:jc w:val="center"/>
      </w:pPr>
    </w:p>
    <w:p w14:paraId="1D002014">
      <w:pPr>
        <w:spacing w:line="360" w:lineRule="auto"/>
        <w:jc w:val="center"/>
      </w:pPr>
    </w:p>
    <w:p w14:paraId="7BD388DB">
      <w:pPr>
        <w:spacing w:line="360" w:lineRule="auto"/>
        <w:jc w:val="center"/>
      </w:pPr>
    </w:p>
    <w:p w14:paraId="302F0436">
      <w:pPr>
        <w:spacing w:line="360" w:lineRule="auto"/>
        <w:jc w:val="center"/>
      </w:pPr>
    </w:p>
    <w:p w14:paraId="2BDA4434">
      <w:pPr>
        <w:spacing w:line="360" w:lineRule="auto"/>
        <w:jc w:val="center"/>
      </w:pPr>
    </w:p>
    <w:p w14:paraId="42DC3C3B">
      <w:pPr>
        <w:spacing w:line="360" w:lineRule="auto"/>
        <w:jc w:val="center"/>
        <w:rPr>
          <w:rFonts w:ascii="宋体" w:hAnsi="宋体" w:cs="宋体"/>
          <w:b/>
          <w:sz w:val="28"/>
          <w:szCs w:val="20"/>
        </w:rPr>
      </w:pPr>
    </w:p>
    <w:p w14:paraId="64CF9E57">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7BF4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24C84C1">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BD341F9">
            <w:pPr>
              <w:jc w:val="center"/>
              <w:rPr>
                <w:rFonts w:eastAsia="楷体"/>
                <w:b/>
                <w:bCs/>
                <w:sz w:val="44"/>
                <w:szCs w:val="44"/>
              </w:rPr>
            </w:pPr>
            <w:r>
              <w:rPr>
                <w:rFonts w:hint="eastAsia" w:ascii="宋体" w:hAnsi="宋体"/>
                <w:szCs w:val="21"/>
              </w:rPr>
              <w:t>扬州大学附属医院2026-2029年度网络舆情监测项目</w:t>
            </w:r>
          </w:p>
        </w:tc>
      </w:tr>
      <w:tr w14:paraId="7EA5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DD04161">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7BC33FA">
            <w:pPr>
              <w:rPr>
                <w:rFonts w:ascii="宋体" w:hAnsi="宋体"/>
                <w:b/>
                <w:szCs w:val="21"/>
              </w:rPr>
            </w:pPr>
            <w:r>
              <w:rPr>
                <w:rFonts w:hint="eastAsia" w:ascii="宋体" w:hAnsi="宋体"/>
                <w:b/>
                <w:szCs w:val="21"/>
              </w:rPr>
              <w:t>扬州大学附属医院</w:t>
            </w:r>
          </w:p>
        </w:tc>
      </w:tr>
      <w:tr w14:paraId="60DE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1E930B01">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6B938F0C">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500BFCB4">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1585B5E4">
            <w:pPr>
              <w:jc w:val="center"/>
              <w:rPr>
                <w:rFonts w:ascii="宋体" w:hAnsi="宋体"/>
                <w:szCs w:val="21"/>
              </w:rPr>
            </w:pPr>
            <w:r>
              <w:rPr>
                <w:rFonts w:hint="eastAsia" w:ascii="宋体" w:hAnsi="宋体"/>
                <w:szCs w:val="21"/>
              </w:rPr>
              <w:t>合 格</w:t>
            </w:r>
          </w:p>
        </w:tc>
      </w:tr>
      <w:tr w14:paraId="4744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274B7FF3">
            <w:pPr>
              <w:jc w:val="center"/>
              <w:rPr>
                <w:rFonts w:ascii="宋体" w:hAnsi="宋体"/>
                <w:szCs w:val="21"/>
              </w:rPr>
            </w:pPr>
            <w:r>
              <w:rPr>
                <w:rFonts w:hint="eastAsia" w:ascii="宋体" w:hAnsi="宋体"/>
                <w:szCs w:val="21"/>
              </w:rPr>
              <w:t>院内公开</w:t>
            </w:r>
            <w:r>
              <w:rPr>
                <w:rFonts w:hint="eastAsia" w:ascii="宋体" w:hAnsi="宋体"/>
                <w:szCs w:val="21"/>
                <w:lang w:eastAsia="zh-CN"/>
              </w:rPr>
              <w:t>谈判</w:t>
            </w: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2A4C0A12">
            <w:pPr>
              <w:spacing w:line="320" w:lineRule="exact"/>
              <w:rPr>
                <w:rFonts w:hint="default" w:ascii="宋体" w:hAnsi="宋体" w:eastAsia="宋体"/>
                <w:szCs w:val="21"/>
                <w:lang w:val="en-US" w:eastAsia="zh-CN"/>
              </w:rPr>
            </w:pPr>
            <w:r>
              <w:rPr>
                <w:rFonts w:hint="eastAsia" w:ascii="宋体" w:hAnsi="宋体"/>
                <w:szCs w:val="21"/>
                <w:lang w:val="en-US" w:eastAsia="zh-CN"/>
              </w:rPr>
              <w:t>12.9</w:t>
            </w:r>
            <w:r>
              <w:rPr>
                <w:rFonts w:hint="eastAsia" w:ascii="宋体" w:hAnsi="宋体"/>
                <w:szCs w:val="21"/>
              </w:rPr>
              <w:t>万元</w:t>
            </w:r>
            <w:r>
              <w:rPr>
                <w:rFonts w:hint="eastAsia" w:ascii="宋体" w:hAnsi="宋体"/>
                <w:szCs w:val="21"/>
                <w:lang w:eastAsia="zh-CN"/>
              </w:rPr>
              <w:t>（</w:t>
            </w:r>
            <w:r>
              <w:rPr>
                <w:rFonts w:hint="eastAsia" w:ascii="宋体" w:hAnsi="宋体"/>
                <w:szCs w:val="21"/>
                <w:lang w:val="en-US" w:eastAsia="zh-CN"/>
              </w:rPr>
              <w:t>三年总价）</w:t>
            </w:r>
          </w:p>
        </w:tc>
        <w:tc>
          <w:tcPr>
            <w:tcW w:w="885" w:type="pct"/>
            <w:gridSpan w:val="2"/>
            <w:tcBorders>
              <w:top w:val="single" w:color="auto" w:sz="4" w:space="0"/>
              <w:left w:val="single" w:color="auto" w:sz="4" w:space="0"/>
              <w:right w:val="single" w:color="auto" w:sz="4" w:space="0"/>
            </w:tcBorders>
            <w:vAlign w:val="center"/>
          </w:tcPr>
          <w:p w14:paraId="0DA806C8">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7D7D4E30">
            <w:pPr>
              <w:jc w:val="center"/>
              <w:rPr>
                <w:rFonts w:ascii="宋体" w:hAnsi="宋体"/>
                <w:szCs w:val="21"/>
              </w:rPr>
            </w:pPr>
            <w:r>
              <w:rPr>
                <w:rFonts w:hint="eastAsia" w:ascii="宋体" w:hAnsi="宋体"/>
                <w:szCs w:val="21"/>
              </w:rPr>
              <w:t>/</w:t>
            </w:r>
          </w:p>
        </w:tc>
      </w:tr>
      <w:tr w14:paraId="53BC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6F1A248">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F7E1685">
            <w:pPr>
              <w:spacing w:line="360" w:lineRule="auto"/>
              <w:rPr>
                <w:rFonts w:ascii="宋体" w:hAnsi="宋体"/>
                <w:szCs w:val="21"/>
              </w:rPr>
            </w:pPr>
            <w:r>
              <w:rPr>
                <w:rFonts w:hint="eastAsia" w:ascii="宋体" w:hAnsi="宋体"/>
                <w:szCs w:val="21"/>
              </w:rPr>
              <w:t>投标文件正本1份，副本</w:t>
            </w:r>
            <w:r>
              <w:rPr>
                <w:rFonts w:hint="eastAsia" w:ascii="宋体" w:hAnsi="宋体"/>
                <w:szCs w:val="21"/>
                <w:lang w:val="en-US" w:eastAsia="zh-CN"/>
              </w:rPr>
              <w:t>4</w:t>
            </w:r>
            <w:r>
              <w:rPr>
                <w:rFonts w:hint="eastAsia" w:ascii="宋体" w:hAnsi="宋体"/>
                <w:szCs w:val="21"/>
              </w:rPr>
              <w:t>份；所有投标文件的封面及封袋上都必须加盖投标单位法人公章及其法定代表人或授权委托人的签字。</w:t>
            </w:r>
          </w:p>
        </w:tc>
      </w:tr>
      <w:tr w14:paraId="0275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2154BECA">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AC07E03">
            <w:pPr>
              <w:spacing w:line="360" w:lineRule="auto"/>
              <w:rPr>
                <w:rFonts w:ascii="宋体" w:hAnsi="宋体"/>
                <w:szCs w:val="21"/>
                <w:highlight w:val="yellow"/>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日17：</w:t>
            </w:r>
            <w:r>
              <w:rPr>
                <w:rFonts w:hint="eastAsia" w:ascii="宋体" w:hAnsi="宋体"/>
                <w:szCs w:val="21"/>
                <w:lang w:val="en-US" w:eastAsia="zh-CN"/>
              </w:rPr>
              <w:t>3</w:t>
            </w:r>
            <w:r>
              <w:rPr>
                <w:rFonts w:hint="eastAsia" w:ascii="宋体" w:hAnsi="宋体"/>
                <w:szCs w:val="21"/>
              </w:rPr>
              <w:t>0</w:t>
            </w:r>
            <w:bookmarkStart w:id="7" w:name="_GoBack"/>
            <w:bookmarkEnd w:id="7"/>
          </w:p>
        </w:tc>
      </w:tr>
      <w:tr w14:paraId="15E9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4313D1D4">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28813E2">
            <w:pPr>
              <w:spacing w:line="360" w:lineRule="auto"/>
              <w:rPr>
                <w:rFonts w:ascii="宋体" w:hAnsi="宋体"/>
                <w:szCs w:val="21"/>
              </w:rPr>
            </w:pPr>
            <w:r>
              <w:rPr>
                <w:rFonts w:hint="eastAsia" w:ascii="宋体" w:hAnsi="宋体"/>
                <w:szCs w:val="21"/>
              </w:rPr>
              <w:t>扬大附院西区行政楼407办公室</w:t>
            </w:r>
          </w:p>
        </w:tc>
      </w:tr>
      <w:tr w14:paraId="5AC6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EEA1549">
            <w:pPr>
              <w:spacing w:line="360" w:lineRule="auto"/>
              <w:jc w:val="center"/>
              <w:rPr>
                <w:rFonts w:ascii="宋体" w:hAnsi="宋体" w:eastAsia="微软雅黑"/>
                <w:szCs w:val="21"/>
              </w:rPr>
            </w:pPr>
            <w:r>
              <w:rPr>
                <w:rFonts w:hint="eastAsia" w:ascii="宋体" w:hAnsi="宋体"/>
                <w:szCs w:val="21"/>
              </w:rPr>
              <w:t>开标时间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0B5CB57B">
            <w:pPr>
              <w:spacing w:line="360" w:lineRule="auto"/>
              <w:jc w:val="center"/>
              <w:rPr>
                <w:rFonts w:ascii="宋体" w:hAnsi="宋体"/>
                <w:b/>
                <w:szCs w:val="21"/>
              </w:rPr>
            </w:pPr>
            <w:r>
              <w:rPr>
                <w:rFonts w:hint="eastAsia" w:ascii="宋体" w:hAnsi="宋体"/>
                <w:b/>
                <w:szCs w:val="21"/>
                <w:lang w:val="en-US" w:eastAsia="zh-CN"/>
              </w:rPr>
              <w:t xml:space="preserve">2026.4.29 </w:t>
            </w:r>
            <w:r>
              <w:rPr>
                <w:rFonts w:hint="eastAsia" w:ascii="宋体" w:hAnsi="宋体"/>
                <w:b/>
                <w:szCs w:val="21"/>
              </w:rPr>
              <w:t xml:space="preserve">  </w:t>
            </w:r>
            <w:r>
              <w:rPr>
                <w:rFonts w:hint="eastAsia" w:ascii="宋体" w:hAnsi="宋体"/>
                <w:b/>
                <w:szCs w:val="21"/>
                <w:lang w:val="en-US" w:eastAsia="zh-CN"/>
              </w:rPr>
              <w:t>9</w:t>
            </w:r>
            <w:r>
              <w:rPr>
                <w:rFonts w:hint="eastAsia" w:ascii="宋体" w:hAnsi="宋体"/>
                <w:b/>
                <w:szCs w:val="21"/>
              </w:rPr>
              <w:t>：30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397B8A47">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7C5B9AE3">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0E7D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EA350FC">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5615FE2">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287DB4FA">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2D37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2A82CDE">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56A2F9A">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39B6D962">
      <w:pPr>
        <w:ind w:firstLine="4176" w:firstLineChars="1300"/>
        <w:rPr>
          <w:b/>
          <w:sz w:val="32"/>
          <w:szCs w:val="32"/>
        </w:rPr>
      </w:pPr>
      <w:bookmarkStart w:id="2" w:name="_Toc39744253"/>
    </w:p>
    <w:p w14:paraId="7A40FB86">
      <w:pPr>
        <w:ind w:firstLine="4176" w:firstLineChars="1300"/>
        <w:rPr>
          <w:b/>
          <w:sz w:val="32"/>
          <w:szCs w:val="32"/>
        </w:rPr>
      </w:pPr>
    </w:p>
    <w:p w14:paraId="39851DF3">
      <w:pPr>
        <w:ind w:firstLine="4176" w:firstLineChars="1300"/>
        <w:rPr>
          <w:b/>
          <w:sz w:val="32"/>
          <w:szCs w:val="32"/>
        </w:rPr>
      </w:pPr>
    </w:p>
    <w:p w14:paraId="7D0D6723">
      <w:pPr>
        <w:ind w:firstLine="4176" w:firstLineChars="1300"/>
        <w:rPr>
          <w:b/>
          <w:sz w:val="32"/>
          <w:szCs w:val="32"/>
        </w:rPr>
      </w:pPr>
    </w:p>
    <w:p w14:paraId="36AF3887">
      <w:pPr>
        <w:ind w:firstLine="4176" w:firstLineChars="1300"/>
        <w:rPr>
          <w:b/>
          <w:sz w:val="32"/>
          <w:szCs w:val="32"/>
        </w:rPr>
      </w:pPr>
    </w:p>
    <w:p w14:paraId="7FD21542">
      <w:pPr>
        <w:ind w:firstLine="4176" w:firstLineChars="1300"/>
        <w:rPr>
          <w:b/>
          <w:sz w:val="32"/>
          <w:szCs w:val="32"/>
        </w:rPr>
      </w:pPr>
    </w:p>
    <w:p w14:paraId="24E113B4">
      <w:pPr>
        <w:ind w:firstLine="4176" w:firstLineChars="1300"/>
        <w:rPr>
          <w:b/>
          <w:sz w:val="32"/>
          <w:szCs w:val="32"/>
        </w:rPr>
      </w:pPr>
    </w:p>
    <w:p w14:paraId="404384AA">
      <w:pPr>
        <w:ind w:firstLine="4176" w:firstLineChars="1300"/>
        <w:rPr>
          <w:b/>
          <w:sz w:val="32"/>
          <w:szCs w:val="32"/>
        </w:rPr>
      </w:pPr>
    </w:p>
    <w:p w14:paraId="724EF4FA">
      <w:pPr>
        <w:ind w:firstLine="4176" w:firstLineChars="1300"/>
        <w:rPr>
          <w:b/>
          <w:sz w:val="32"/>
          <w:szCs w:val="32"/>
        </w:rPr>
      </w:pPr>
    </w:p>
    <w:p w14:paraId="3A1538AF">
      <w:pPr>
        <w:pStyle w:val="28"/>
      </w:pPr>
    </w:p>
    <w:p w14:paraId="37A1124C">
      <w:pPr>
        <w:jc w:val="center"/>
        <w:rPr>
          <w:b/>
          <w:sz w:val="32"/>
          <w:szCs w:val="32"/>
        </w:rPr>
      </w:pPr>
      <w:r>
        <w:rPr>
          <w:rFonts w:hint="eastAsia"/>
          <w:b/>
          <w:sz w:val="32"/>
          <w:szCs w:val="32"/>
        </w:rPr>
        <w:t>二、项目需求</w:t>
      </w:r>
    </w:p>
    <w:p w14:paraId="01751675">
      <w:pPr>
        <w:spacing w:line="360" w:lineRule="auto"/>
        <w:ind w:firstLine="562" w:firstLineChars="200"/>
        <w:outlineLvl w:val="2"/>
        <w:rPr>
          <w:rFonts w:hint="eastAsia" w:ascii="宋体" w:hAnsi="宋体" w:cs="宋体"/>
          <w:b/>
          <w:color w:val="000000"/>
          <w:kern w:val="0"/>
          <w:sz w:val="28"/>
          <w:szCs w:val="28"/>
        </w:rPr>
      </w:pPr>
      <w:r>
        <w:rPr>
          <w:rFonts w:hint="eastAsia" w:ascii="宋体" w:hAnsi="宋体" w:cs="宋体"/>
          <w:b/>
          <w:color w:val="000000"/>
          <w:kern w:val="0"/>
          <w:sz w:val="28"/>
          <w:szCs w:val="28"/>
        </w:rPr>
        <w:t>一、项目概况</w:t>
      </w:r>
    </w:p>
    <w:p w14:paraId="4DBE48CE">
      <w:pPr>
        <w:spacing w:line="360" w:lineRule="auto"/>
        <w:ind w:firstLine="420" w:firstLineChars="200"/>
        <w:outlineLvl w:val="2"/>
        <w:rPr>
          <w:rFonts w:hint="eastAsia" w:ascii="宋体" w:hAnsi="宋体" w:cs="宋体"/>
          <w:b/>
          <w:kern w:val="0"/>
          <w:sz w:val="28"/>
          <w:szCs w:val="28"/>
        </w:rPr>
      </w:pPr>
      <w:r>
        <w:rPr>
          <w:rFonts w:hint="eastAsia" w:ascii="宋体" w:hAnsi="宋体" w:cs="宋体"/>
          <w:color w:val="000000"/>
          <w:kern w:val="0"/>
        </w:rPr>
        <w:t>为进一步加强网络舆情监测，不断深化完善舆情监测工作模式，重点突出监测工作及时、高效、精准，提升科学服务领导决策水平。扬州大学附属医院将组织采购网络舆情监测项目，该项目采取</w:t>
      </w:r>
      <w:r>
        <w:rPr>
          <w:rFonts w:hint="eastAsia" w:ascii="宋体" w:hAnsi="宋体" w:cs="宋体"/>
          <w:color w:val="000000"/>
          <w:kern w:val="0"/>
          <w:lang w:eastAsia="zh-CN"/>
        </w:rPr>
        <w:t>谈判</w:t>
      </w:r>
      <w:r>
        <w:rPr>
          <w:rFonts w:hint="eastAsia" w:ascii="宋体" w:hAnsi="宋体" w:cs="宋体"/>
          <w:color w:val="000000"/>
          <w:kern w:val="0"/>
        </w:rPr>
        <w:t>的方式</w:t>
      </w:r>
      <w:r>
        <w:rPr>
          <w:rFonts w:hint="eastAsia" w:ascii="宋体" w:hAnsi="宋体" w:cs="宋体"/>
          <w:kern w:val="0"/>
        </w:rPr>
        <w:t>，通过</w:t>
      </w:r>
      <w:r>
        <w:rPr>
          <w:rFonts w:ascii="宋体" w:hAnsi="宋体" w:cs="宋体"/>
          <w:kern w:val="0"/>
        </w:rPr>
        <w:t>购买</w:t>
      </w:r>
      <w:r>
        <w:rPr>
          <w:rFonts w:hint="eastAsia" w:ascii="宋体" w:hAnsi="宋体" w:cs="宋体"/>
          <w:kern w:val="0"/>
        </w:rPr>
        <w:t>网络舆情监测软件</w:t>
      </w:r>
      <w:r>
        <w:rPr>
          <w:rFonts w:ascii="宋体" w:hAnsi="宋体" w:cs="宋体"/>
          <w:kern w:val="0"/>
        </w:rPr>
        <w:t>服务</w:t>
      </w:r>
      <w:r>
        <w:rPr>
          <w:rFonts w:hint="eastAsia" w:ascii="宋体" w:hAnsi="宋体" w:cs="宋体"/>
          <w:kern w:val="0"/>
        </w:rPr>
        <w:t>，开展互联网舆情监测工作。</w:t>
      </w:r>
    </w:p>
    <w:p w14:paraId="025614B7">
      <w:pPr>
        <w:numPr>
          <w:ilvl w:val="0"/>
          <w:numId w:val="0"/>
        </w:numPr>
        <w:spacing w:line="360" w:lineRule="auto"/>
        <w:ind w:left="0" w:firstLine="562" w:firstLineChars="200"/>
        <w:outlineLvl w:val="2"/>
        <w:rPr>
          <w:rFonts w:hint="eastAsia" w:ascii="宋体" w:hAnsi="宋体" w:cs="宋体"/>
          <w:b/>
          <w:kern w:val="0"/>
          <w:sz w:val="28"/>
          <w:szCs w:val="28"/>
        </w:rPr>
      </w:pPr>
      <w:r>
        <w:rPr>
          <w:rFonts w:hint="eastAsia" w:ascii="宋体" w:hAnsi="宋体" w:cs="宋体"/>
          <w:b/>
          <w:kern w:val="0"/>
          <w:sz w:val="28"/>
          <w:szCs w:val="28"/>
          <w:lang w:val="en-US" w:eastAsia="zh-CN"/>
        </w:rPr>
        <w:t>二、</w:t>
      </w:r>
      <w:r>
        <w:rPr>
          <w:rFonts w:hint="eastAsia" w:ascii="宋体" w:hAnsi="宋体" w:cs="宋体"/>
          <w:b/>
          <w:kern w:val="0"/>
          <w:sz w:val="28"/>
          <w:szCs w:val="28"/>
        </w:rPr>
        <w:t>项目内容</w:t>
      </w:r>
    </w:p>
    <w:p w14:paraId="2EF7F3DC">
      <w:pPr>
        <w:spacing w:line="360" w:lineRule="auto"/>
        <w:ind w:firstLine="420" w:firstLineChars="200"/>
        <w:outlineLvl w:val="2"/>
        <w:rPr>
          <w:rFonts w:ascii="宋体" w:hAnsi="宋体" w:cs="宋体"/>
          <w:kern w:val="0"/>
        </w:rPr>
      </w:pPr>
      <w:r>
        <w:rPr>
          <w:rFonts w:hint="eastAsia" w:ascii="宋体" w:hAnsi="宋体" w:cs="宋体"/>
          <w:kern w:val="0"/>
        </w:rPr>
        <w:t>成交供应商主要负责提供合同期内的舆情监测软件</w:t>
      </w:r>
      <w:r>
        <w:rPr>
          <w:rFonts w:ascii="宋体" w:hAnsi="宋体" w:cs="宋体"/>
          <w:kern w:val="0"/>
        </w:rPr>
        <w:t>服务</w:t>
      </w:r>
      <w:r>
        <w:rPr>
          <w:rFonts w:hint="eastAsia" w:ascii="宋体" w:hAnsi="宋体" w:cs="宋体"/>
          <w:kern w:val="0"/>
        </w:rPr>
        <w:t>。按照采购单位要求，提供舆情监测专业软件，为采购人开设用户使用权限，监测范围应涵盖电视、广播、报刊、网站、新媒体等网络媒体，重点突出对互联网、微博、微信等新媒体，同时对舆情信息实现自动化预警，系统功能包含：舆情信息监测、舆情信息分析、自动化预警、定向信源监测、定向信源排除、舆情简报。</w:t>
      </w:r>
    </w:p>
    <w:p w14:paraId="4D644412">
      <w:pPr>
        <w:widowControl/>
        <w:shd w:val="clear" w:color="auto" w:fill="FFFFFF"/>
        <w:spacing w:line="480" w:lineRule="atLeast"/>
        <w:ind w:firstLine="562" w:firstLineChars="200"/>
        <w:jc w:val="left"/>
        <w:rPr>
          <w:rFonts w:ascii="微软雅黑" w:hAnsi="微软雅黑" w:eastAsia="微软雅黑" w:cs="微软雅黑"/>
          <w:sz w:val="14"/>
          <w:szCs w:val="14"/>
        </w:rPr>
      </w:pPr>
      <w:r>
        <w:rPr>
          <w:rFonts w:hint="eastAsia" w:ascii="宋体" w:hAnsi="宋体" w:cs="宋体"/>
          <w:b/>
          <w:bCs/>
          <w:kern w:val="0"/>
          <w:sz w:val="28"/>
          <w:szCs w:val="28"/>
          <w:shd w:val="clear" w:color="auto" w:fill="FFFFFF"/>
          <w:lang w:bidi="ar"/>
        </w:rPr>
        <w:t>三、系统总体要求</w:t>
      </w:r>
    </w:p>
    <w:p w14:paraId="24ADB6D0">
      <w:pPr>
        <w:spacing w:line="360" w:lineRule="auto"/>
        <w:ind w:firstLine="420" w:firstLineChars="200"/>
        <w:outlineLvl w:val="2"/>
        <w:rPr>
          <w:rFonts w:ascii="宋体" w:hAnsi="宋体" w:cs="宋体"/>
          <w:kern w:val="0"/>
        </w:rPr>
      </w:pPr>
      <w:r>
        <w:rPr>
          <w:rFonts w:hint="eastAsia" w:ascii="宋体" w:hAnsi="宋体" w:cs="宋体"/>
          <w:kern w:val="0"/>
        </w:rPr>
        <w:t>1.系统全面性。软件需要能够7*24小时全天候的监控本单位所应关注的互联网舆情信息，其监控范围覆盖网站、论坛、博客、微博、微信、视频、APP等各类易发舆情事件的网络媒体。</w:t>
      </w:r>
    </w:p>
    <w:p w14:paraId="60152FBE">
      <w:pPr>
        <w:spacing w:line="360" w:lineRule="auto"/>
        <w:ind w:firstLine="420" w:firstLineChars="200"/>
        <w:outlineLvl w:val="2"/>
        <w:rPr>
          <w:rFonts w:ascii="宋体" w:hAnsi="宋体" w:cs="宋体"/>
          <w:kern w:val="0"/>
        </w:rPr>
      </w:pPr>
      <w:r>
        <w:rPr>
          <w:rFonts w:hint="eastAsia" w:ascii="宋体" w:hAnsi="宋体" w:cs="宋体"/>
          <w:kern w:val="0"/>
        </w:rPr>
        <w:t>2.系统稳定性。软件系统需要保障全天候状态下对海量数据采集、分析、监控运行平稳，不可发生数据读写拥塞、系统停止响应等非正常情况。</w:t>
      </w:r>
    </w:p>
    <w:p w14:paraId="5F0AD9DA">
      <w:pPr>
        <w:spacing w:line="360" w:lineRule="auto"/>
        <w:ind w:firstLine="420" w:firstLineChars="200"/>
        <w:outlineLvl w:val="2"/>
        <w:rPr>
          <w:rFonts w:ascii="宋体" w:hAnsi="宋体" w:cs="宋体"/>
          <w:kern w:val="0"/>
        </w:rPr>
      </w:pPr>
      <w:r>
        <w:rPr>
          <w:rFonts w:hint="eastAsia" w:ascii="宋体" w:hAnsi="宋体" w:cs="宋体"/>
          <w:kern w:val="0"/>
        </w:rPr>
        <w:t>3.系统准确性。系统需要将采集到的信息经过分析处理，过滤分类，去重提取等功能，根据关键词、排除词、精准地域、精准字距等设置，为用户提供准确无杂质的信息服务。</w:t>
      </w:r>
    </w:p>
    <w:p w14:paraId="0DDB495A">
      <w:pPr>
        <w:spacing w:line="360" w:lineRule="auto"/>
        <w:ind w:firstLine="420" w:firstLineChars="200"/>
        <w:outlineLvl w:val="2"/>
        <w:rPr>
          <w:rFonts w:ascii="宋体" w:hAnsi="宋体" w:cs="宋体"/>
          <w:kern w:val="0"/>
        </w:rPr>
      </w:pPr>
      <w:r>
        <w:rPr>
          <w:rFonts w:hint="eastAsia" w:ascii="宋体" w:hAnsi="宋体" w:cs="宋体"/>
          <w:kern w:val="0"/>
        </w:rPr>
        <w:t>4.系统及时性。实现不高于5分钟的扫描频率对互联网全网信息进行监测和采集，尽量做到分钟级采集水平。并且用户关注信息需要第一时间以预警的方式进行提醒推送。便于用户高效掌握与处理。 </w:t>
      </w:r>
    </w:p>
    <w:p w14:paraId="4CCDD459">
      <w:pPr>
        <w:spacing w:line="360" w:lineRule="auto"/>
        <w:ind w:firstLine="420" w:firstLineChars="200"/>
        <w:outlineLvl w:val="2"/>
        <w:rPr>
          <w:rFonts w:ascii="宋体" w:hAnsi="宋体" w:cs="宋体"/>
          <w:kern w:val="0"/>
        </w:rPr>
      </w:pPr>
      <w:r>
        <w:rPr>
          <w:rFonts w:hint="eastAsia" w:ascii="宋体" w:hAnsi="宋体" w:cs="宋体"/>
          <w:kern w:val="0"/>
        </w:rPr>
        <w:t>5.系统便捷性。系统需同时提供PC登陆平台和手机客户端登陆平台，随时随地登陆查看网络舆情信息，使信息监控真正做到了7*24小时全天候无遗漏，无空白。</w:t>
      </w:r>
    </w:p>
    <w:p w14:paraId="2C57E67A">
      <w:pPr>
        <w:spacing w:line="360" w:lineRule="auto"/>
        <w:ind w:firstLine="420" w:firstLineChars="200"/>
        <w:outlineLvl w:val="2"/>
        <w:rPr>
          <w:rFonts w:ascii="宋体" w:hAnsi="宋体" w:cs="宋体"/>
          <w:kern w:val="0"/>
        </w:rPr>
      </w:pPr>
      <w:r>
        <w:rPr>
          <w:rFonts w:hint="eastAsia" w:ascii="宋体" w:hAnsi="宋体" w:cs="宋体"/>
          <w:kern w:val="0"/>
        </w:rPr>
        <w:t>6.舆情预警。预警类型支持主动速报、关键词匹配预警；预警方式支持微信、邮箱、短信。</w:t>
      </w:r>
    </w:p>
    <w:p w14:paraId="6354B782">
      <w:pPr>
        <w:spacing w:line="360" w:lineRule="auto"/>
        <w:ind w:firstLine="420" w:firstLineChars="200"/>
        <w:outlineLvl w:val="2"/>
        <w:rPr>
          <w:rFonts w:ascii="宋体" w:hAnsi="宋体" w:cs="宋体"/>
          <w:kern w:val="0"/>
        </w:rPr>
      </w:pPr>
      <w:r>
        <w:rPr>
          <w:rFonts w:hint="eastAsia" w:ascii="宋体" w:hAnsi="宋体" w:cs="宋体"/>
          <w:kern w:val="0"/>
        </w:rPr>
        <w:t>7.舆情简报。支持把关注重点舆情信息加入简报进行导出，自动生成舆情简报；支持把关注重点舆情信息进行收藏并进行批量导出。</w:t>
      </w:r>
    </w:p>
    <w:p w14:paraId="76680858">
      <w:pPr>
        <w:spacing w:line="360" w:lineRule="auto"/>
        <w:ind w:firstLine="420" w:firstLineChars="200"/>
        <w:outlineLvl w:val="2"/>
        <w:rPr>
          <w:rFonts w:ascii="宋体" w:hAnsi="宋体" w:cs="宋体"/>
          <w:kern w:val="0"/>
        </w:rPr>
      </w:pPr>
      <w:r>
        <w:rPr>
          <w:rFonts w:hint="eastAsia" w:ascii="宋体" w:hAnsi="宋体" w:cs="宋体"/>
          <w:kern w:val="0"/>
        </w:rPr>
        <w:t>8.手机客户端支持。系统提供手机客户端应用直接查看舆情信息。</w:t>
      </w:r>
    </w:p>
    <w:p w14:paraId="2CAC073A">
      <w:pPr>
        <w:spacing w:line="360" w:lineRule="auto"/>
        <w:ind w:firstLine="562" w:firstLineChars="200"/>
        <w:outlineLvl w:val="2"/>
        <w:rPr>
          <w:rFonts w:ascii="宋体" w:hAnsi="宋体" w:cs="宋体"/>
          <w:b/>
          <w:kern w:val="0"/>
          <w:sz w:val="28"/>
          <w:szCs w:val="28"/>
        </w:rPr>
      </w:pPr>
      <w:r>
        <w:rPr>
          <w:rFonts w:hint="eastAsia" w:ascii="宋体" w:hAnsi="宋体" w:cs="宋体"/>
          <w:b/>
          <w:kern w:val="0"/>
          <w:sz w:val="28"/>
          <w:szCs w:val="28"/>
        </w:rPr>
        <w:t>四、技术要求</w:t>
      </w:r>
    </w:p>
    <w:p w14:paraId="4BB3B489">
      <w:pPr>
        <w:spacing w:line="360" w:lineRule="auto"/>
        <w:ind w:firstLine="420" w:firstLineChars="200"/>
        <w:outlineLvl w:val="2"/>
        <w:rPr>
          <w:rFonts w:ascii="宋体" w:hAnsi="宋体" w:cs="宋体"/>
          <w:kern w:val="0"/>
        </w:rPr>
      </w:pPr>
      <w:r>
        <w:rPr>
          <w:rFonts w:hint="eastAsia" w:ascii="宋体" w:hAnsi="宋体" w:cs="宋体"/>
          <w:kern w:val="0"/>
        </w:rPr>
        <w:t>1.监测范围</w:t>
      </w:r>
    </w:p>
    <w:p w14:paraId="00E438EC">
      <w:pPr>
        <w:spacing w:line="360" w:lineRule="auto"/>
        <w:ind w:firstLine="420" w:firstLineChars="200"/>
        <w:outlineLvl w:val="2"/>
        <w:rPr>
          <w:rFonts w:ascii="宋体" w:hAnsi="宋体" w:cs="宋体"/>
          <w:kern w:val="0"/>
        </w:rPr>
      </w:pPr>
      <w:r>
        <w:rPr>
          <w:rFonts w:hint="eastAsia" w:ascii="宋体" w:hAnsi="宋体" w:cs="宋体"/>
          <w:kern w:val="0"/>
        </w:rPr>
        <w:t>（1）实现对新闻、论坛、博客、贴吧、评论、报刊、微博、微信、手机APP、电视媒体等互联网主流媒体的7*24小时监控。</w:t>
      </w:r>
    </w:p>
    <w:p w14:paraId="75EC3A3C">
      <w:pPr>
        <w:spacing w:line="360" w:lineRule="auto"/>
        <w:ind w:firstLine="420" w:firstLineChars="200"/>
        <w:outlineLvl w:val="2"/>
        <w:rPr>
          <w:rFonts w:ascii="宋体" w:hAnsi="宋体" w:cs="宋体"/>
          <w:kern w:val="0"/>
        </w:rPr>
      </w:pPr>
      <w:r>
        <w:rPr>
          <w:rFonts w:hint="eastAsia" w:ascii="宋体" w:hAnsi="宋体" w:cs="宋体"/>
          <w:kern w:val="0"/>
        </w:rPr>
        <w:t>（2）可抓取抖音、快手、西瓜、</w:t>
      </w:r>
      <w:r>
        <w:rPr>
          <w:rFonts w:hint="eastAsia" w:ascii="宋体" w:hAnsi="宋体" w:eastAsia="宋体" w:cs="宋体"/>
          <w:kern w:val="0"/>
        </w:rPr>
        <w:t>优酷、</w:t>
      </w:r>
      <w:r>
        <w:rPr>
          <w:rFonts w:hint="eastAsia" w:ascii="宋体" w:hAnsi="宋体" w:cs="宋体"/>
          <w:kern w:val="0"/>
        </w:rPr>
        <w:t>腾讯、火山、好看等自媒体平台的小视频。</w:t>
      </w:r>
    </w:p>
    <w:p w14:paraId="34CBF321">
      <w:pPr>
        <w:spacing w:line="360" w:lineRule="auto"/>
        <w:ind w:firstLine="420" w:firstLineChars="200"/>
        <w:outlineLvl w:val="2"/>
        <w:rPr>
          <w:rFonts w:ascii="宋体" w:hAnsi="宋体" w:cs="宋体"/>
          <w:kern w:val="0"/>
        </w:rPr>
      </w:pPr>
      <w:r>
        <w:rPr>
          <w:rFonts w:hint="eastAsia" w:ascii="宋体" w:hAnsi="宋体" w:cs="宋体"/>
          <w:kern w:val="0"/>
        </w:rPr>
        <w:t>（3）★ 平台需提供18个月的历史数据，直接在系统上可查询。</w:t>
      </w:r>
    </w:p>
    <w:p w14:paraId="5B884A9B">
      <w:pPr>
        <w:spacing w:line="360" w:lineRule="auto"/>
        <w:ind w:firstLine="420" w:firstLineChars="200"/>
        <w:outlineLvl w:val="2"/>
        <w:rPr>
          <w:rFonts w:ascii="宋体" w:hAnsi="宋体" w:cs="宋体"/>
          <w:kern w:val="0"/>
        </w:rPr>
      </w:pPr>
      <w:r>
        <w:rPr>
          <w:rFonts w:hint="eastAsia" w:ascii="宋体" w:hAnsi="宋体" w:cs="宋体"/>
          <w:kern w:val="0"/>
        </w:rPr>
        <w:t>2.系统功能</w:t>
      </w:r>
    </w:p>
    <w:p w14:paraId="154531D9">
      <w:pPr>
        <w:spacing w:line="360" w:lineRule="auto"/>
        <w:ind w:firstLine="420" w:firstLineChars="200"/>
        <w:outlineLvl w:val="2"/>
        <w:rPr>
          <w:rFonts w:ascii="宋体" w:hAnsi="宋体" w:cs="宋体"/>
          <w:kern w:val="0"/>
        </w:rPr>
      </w:pPr>
      <w:r>
        <w:rPr>
          <w:rFonts w:hint="eastAsia" w:ascii="宋体" w:hAnsi="宋体" w:cs="宋体"/>
          <w:kern w:val="0"/>
        </w:rPr>
        <w:t>（1）★ 系统需包含3个账号（3个账号可同时登陆使用），3个专题方案，300个关键字，30个定向信源。</w:t>
      </w:r>
    </w:p>
    <w:p w14:paraId="29FA8E5B">
      <w:pPr>
        <w:spacing w:line="360" w:lineRule="auto"/>
        <w:ind w:firstLine="420" w:firstLineChars="200"/>
        <w:outlineLvl w:val="2"/>
        <w:rPr>
          <w:rFonts w:ascii="宋体" w:hAnsi="宋体" w:cs="宋体"/>
          <w:kern w:val="0"/>
        </w:rPr>
      </w:pPr>
      <w:r>
        <w:rPr>
          <w:rFonts w:hint="eastAsia" w:ascii="宋体" w:hAnsi="宋体" w:cs="宋体"/>
          <w:kern w:val="0"/>
        </w:rPr>
        <w:t>（2）信息列表页包括时间范围、文章排序、呈现结果、相似文章、</w:t>
      </w:r>
      <w:r>
        <w:rPr>
          <w:rFonts w:hint="eastAsia" w:ascii="宋体" w:hAnsi="宋体" w:cs="宋体"/>
          <w:strike w:val="0"/>
          <w:dstrike w:val="0"/>
          <w:kern w:val="0"/>
          <w:lang w:val="en-US" w:eastAsia="zh-CN"/>
        </w:rPr>
        <w:t>信源级别</w:t>
      </w:r>
      <w:r>
        <w:rPr>
          <w:rFonts w:hint="eastAsia" w:ascii="宋体" w:hAnsi="宋体" w:cs="宋体"/>
          <w:kern w:val="0"/>
        </w:rPr>
        <w:t>、</w:t>
      </w:r>
      <w:r>
        <w:rPr>
          <w:rFonts w:hint="eastAsia" w:ascii="宋体" w:hAnsi="宋体" w:cs="宋体"/>
          <w:strike w:val="0"/>
          <w:dstrike w:val="0"/>
          <w:kern w:val="0"/>
          <w:lang w:val="en-US" w:eastAsia="zh-CN"/>
        </w:rPr>
        <w:t>浏览</w:t>
      </w:r>
      <w:r>
        <w:rPr>
          <w:rFonts w:hint="eastAsia" w:ascii="宋体" w:hAnsi="宋体" w:cs="宋体"/>
          <w:kern w:val="0"/>
        </w:rPr>
        <w:t>方式、信源区域、匹配方式等模块，针对不同的模块，可进行自主选择。</w:t>
      </w:r>
    </w:p>
    <w:p w14:paraId="40921567">
      <w:pPr>
        <w:spacing w:line="360" w:lineRule="auto"/>
        <w:ind w:firstLine="420" w:firstLineChars="200"/>
        <w:outlineLvl w:val="2"/>
        <w:rPr>
          <w:rFonts w:ascii="宋体" w:hAnsi="宋体" w:cs="宋体"/>
          <w:kern w:val="0"/>
        </w:rPr>
      </w:pPr>
      <w:r>
        <w:rPr>
          <w:rFonts w:hint="eastAsia" w:ascii="宋体" w:hAnsi="宋体" w:cs="宋体"/>
          <w:kern w:val="0"/>
        </w:rPr>
        <w:t>（3）可对微博信息进行单独选择，可根据微博用户认证信息、微博内容、微博类型和涉及方式信息筛选。</w:t>
      </w:r>
    </w:p>
    <w:p w14:paraId="350C5C0D">
      <w:pPr>
        <w:spacing w:line="360" w:lineRule="auto"/>
        <w:ind w:firstLine="420" w:firstLineChars="200"/>
        <w:outlineLvl w:val="2"/>
        <w:rPr>
          <w:rFonts w:ascii="宋体" w:hAnsi="宋体" w:cs="宋体"/>
          <w:kern w:val="0"/>
        </w:rPr>
      </w:pPr>
      <w:r>
        <w:rPr>
          <w:rFonts w:hint="eastAsia" w:ascii="宋体" w:hAnsi="宋体" w:cs="宋体"/>
          <w:kern w:val="0"/>
        </w:rPr>
        <w:t>（4）★ 支持全量微博的采集，且轮巡速度不高于5分钟/次，即任意用户发送的微博内容需在5分钟之内采集入库，同时可对网络大V，活跃个人微博进行定向添加采集。 </w:t>
      </w:r>
    </w:p>
    <w:p w14:paraId="4E13665B">
      <w:pPr>
        <w:spacing w:line="360" w:lineRule="auto"/>
        <w:ind w:firstLine="420" w:firstLineChars="200"/>
        <w:outlineLvl w:val="2"/>
        <w:rPr>
          <w:rFonts w:ascii="宋体" w:hAnsi="宋体" w:cs="宋体"/>
          <w:kern w:val="0"/>
        </w:rPr>
      </w:pPr>
      <w:r>
        <w:rPr>
          <w:rFonts w:hint="eastAsia" w:ascii="宋体" w:hAnsi="宋体" w:cs="宋体"/>
          <w:kern w:val="0"/>
        </w:rPr>
        <w:t>（5）具备对信息进行批量操作的功能，批量操作包括对批量信息的收藏、加素材库、删除、标已读、分发、导出、属性等功能。</w:t>
      </w:r>
    </w:p>
    <w:p w14:paraId="659636D7">
      <w:pPr>
        <w:spacing w:line="360" w:lineRule="auto"/>
        <w:ind w:firstLine="420" w:firstLineChars="200"/>
        <w:outlineLvl w:val="2"/>
        <w:rPr>
          <w:rFonts w:ascii="宋体" w:hAnsi="宋体" w:cs="宋体"/>
          <w:kern w:val="0"/>
        </w:rPr>
      </w:pPr>
      <w:r>
        <w:rPr>
          <w:rFonts w:hint="eastAsia" w:ascii="宋体" w:hAnsi="宋体" w:cs="宋体"/>
          <w:kern w:val="0"/>
        </w:rPr>
        <w:t>（6）★ 支持超级方案设置，支持3000字的大方案创建以及10天内的数据查询。</w:t>
      </w:r>
    </w:p>
    <w:p w14:paraId="51FF5992">
      <w:pPr>
        <w:spacing w:line="360" w:lineRule="auto"/>
        <w:ind w:firstLine="420" w:firstLineChars="200"/>
        <w:outlineLvl w:val="2"/>
        <w:rPr>
          <w:rFonts w:ascii="宋体" w:hAnsi="宋体" w:cs="宋体"/>
          <w:kern w:val="0"/>
        </w:rPr>
      </w:pPr>
      <w:r>
        <w:rPr>
          <w:rFonts w:hint="eastAsia" w:ascii="宋体" w:hAnsi="宋体" w:cs="宋体"/>
          <w:kern w:val="0"/>
        </w:rPr>
        <w:t>3.数据采集、分析及统计</w:t>
      </w:r>
    </w:p>
    <w:p w14:paraId="339817B0">
      <w:pPr>
        <w:spacing w:line="360" w:lineRule="auto"/>
        <w:ind w:firstLine="420" w:firstLineChars="200"/>
        <w:outlineLvl w:val="2"/>
        <w:rPr>
          <w:rFonts w:ascii="宋体" w:hAnsi="宋体" w:cs="宋体"/>
          <w:kern w:val="0"/>
        </w:rPr>
      </w:pPr>
      <w:r>
        <w:rPr>
          <w:rFonts w:hint="eastAsia" w:ascii="宋体" w:hAnsi="宋体" w:cs="宋体"/>
          <w:kern w:val="0"/>
        </w:rPr>
        <w:t>（1）支持标题匹配、内容匹配等组合进行采集。采集的频率每10秒自动更新，7×24小时不间断采集。</w:t>
      </w:r>
    </w:p>
    <w:p w14:paraId="432F01EB">
      <w:pPr>
        <w:spacing w:line="360" w:lineRule="auto"/>
        <w:ind w:firstLine="420" w:firstLineChars="200"/>
        <w:outlineLvl w:val="2"/>
        <w:rPr>
          <w:rFonts w:ascii="宋体" w:hAnsi="宋体" w:cs="宋体"/>
          <w:kern w:val="0"/>
        </w:rPr>
      </w:pPr>
      <w:r>
        <w:rPr>
          <w:rFonts w:hint="eastAsia" w:ascii="宋体" w:hAnsi="宋体" w:cs="宋体"/>
          <w:kern w:val="0"/>
        </w:rPr>
        <w:t>（2）实现对国内重大新闻、论坛、微博、博客进行全面监测，并可根据关键词筛选出有效信息；支持新闻网站、论坛、</w:t>
      </w:r>
      <w:r>
        <w:rPr>
          <w:rFonts w:hint="eastAsia" w:ascii="宋体" w:hAnsi="宋体" w:cs="宋体"/>
          <w:strike w:val="0"/>
          <w:dstrike w:val="0"/>
          <w:kern w:val="0"/>
          <w:lang w:val="en-US" w:eastAsia="zh-CN"/>
        </w:rPr>
        <w:t>微信、抖音、快手</w:t>
      </w:r>
      <w:r>
        <w:rPr>
          <w:rFonts w:hint="eastAsia" w:ascii="宋体" w:hAnsi="宋体" w:cs="宋体"/>
          <w:kern w:val="0"/>
        </w:rPr>
        <w:t>、微博定向采集。</w:t>
      </w:r>
    </w:p>
    <w:p w14:paraId="35C8CEF2">
      <w:pPr>
        <w:spacing w:line="360" w:lineRule="auto"/>
        <w:ind w:firstLine="420" w:firstLineChars="200"/>
        <w:outlineLvl w:val="2"/>
        <w:rPr>
          <w:rFonts w:ascii="宋体" w:hAnsi="宋体" w:cs="宋体"/>
          <w:kern w:val="0"/>
        </w:rPr>
      </w:pPr>
      <w:r>
        <w:rPr>
          <w:rFonts w:hint="eastAsia" w:ascii="宋体" w:hAnsi="宋体" w:cs="宋体"/>
          <w:kern w:val="0"/>
        </w:rPr>
        <w:t>（3）正负面判断、统计：对任意新闻、博客、微博、论坛等互联网数据进行情感分析中表达情绪的正负面识别，以及对其发生事件的地域进行判断，并过滤掉历史、小说和广告等垃圾数据；</w:t>
      </w:r>
    </w:p>
    <w:p w14:paraId="200CEC0C">
      <w:pPr>
        <w:spacing w:line="360" w:lineRule="auto"/>
        <w:ind w:firstLine="420" w:firstLineChars="200"/>
        <w:outlineLvl w:val="2"/>
        <w:rPr>
          <w:rFonts w:ascii="宋体" w:hAnsi="宋体" w:cs="宋体"/>
          <w:kern w:val="0"/>
        </w:rPr>
      </w:pPr>
      <w:r>
        <w:rPr>
          <w:rFonts w:hint="eastAsia" w:ascii="宋体" w:hAnsi="宋体" w:cs="宋体"/>
          <w:kern w:val="0"/>
        </w:rPr>
        <w:t>（4）舆情性质分析：按照区域对信息进行统计，形成舆情地图；实现对信息来源的分析，按照传播媒体分类统计周期内的信息；实现对数据发展趋势的分析，通过历史搜集数据量生成数据走势图。</w:t>
      </w:r>
    </w:p>
    <w:p w14:paraId="3A97D793">
      <w:pPr>
        <w:spacing w:line="360" w:lineRule="auto"/>
        <w:ind w:firstLine="420" w:firstLineChars="200"/>
        <w:outlineLvl w:val="2"/>
        <w:rPr>
          <w:rFonts w:ascii="宋体" w:hAnsi="宋体" w:cs="宋体"/>
          <w:kern w:val="0"/>
        </w:rPr>
      </w:pPr>
      <w:r>
        <w:rPr>
          <w:rFonts w:hint="eastAsia" w:ascii="宋体" w:hAnsi="宋体" w:cs="宋体"/>
          <w:kern w:val="0"/>
        </w:rPr>
        <w:t>（5）舆情信息可以按照预设的专题进行浏览，支持智能检索，支持全文、标题、来源等筛选。全文搜索支持模糊搜索和精确搜索。支持对信息的快速标记，可以对浏览的信息逐条或批量进行正负面标注，并可以快捷“加入简报”、“加入预警”。</w:t>
      </w:r>
    </w:p>
    <w:p w14:paraId="0645D9AE">
      <w:pPr>
        <w:spacing w:line="360" w:lineRule="auto"/>
        <w:ind w:firstLine="420" w:firstLineChars="200"/>
        <w:outlineLvl w:val="2"/>
        <w:rPr>
          <w:rFonts w:ascii="宋体" w:hAnsi="宋体" w:cs="宋体"/>
          <w:kern w:val="0"/>
        </w:rPr>
      </w:pPr>
      <w:r>
        <w:rPr>
          <w:rFonts w:hint="eastAsia" w:ascii="宋体" w:hAnsi="宋体" w:cs="宋体"/>
          <w:kern w:val="0"/>
        </w:rPr>
        <w:t>（6）一键追溯功能：支持对舆情事件的报道追踪进行采集，并按语义进行过滤整理，实时更新突发性、群体性 、重大性舆情事件。按首发信息概况、网友参与详情、传播途径等进行分析。</w:t>
      </w:r>
    </w:p>
    <w:p w14:paraId="55A8F1D2">
      <w:pPr>
        <w:spacing w:line="360" w:lineRule="auto"/>
        <w:ind w:firstLine="420" w:firstLineChars="200"/>
        <w:outlineLvl w:val="2"/>
        <w:rPr>
          <w:rFonts w:ascii="宋体" w:hAnsi="宋体" w:cs="宋体"/>
          <w:kern w:val="0"/>
        </w:rPr>
      </w:pPr>
      <w:r>
        <w:rPr>
          <w:rFonts w:hint="eastAsia" w:ascii="宋体" w:hAnsi="宋体" w:cs="宋体"/>
          <w:kern w:val="0"/>
        </w:rPr>
        <w:t>4.舆情预警</w:t>
      </w:r>
    </w:p>
    <w:p w14:paraId="017A7250">
      <w:pPr>
        <w:spacing w:line="360" w:lineRule="auto"/>
        <w:ind w:firstLine="420" w:firstLineChars="200"/>
        <w:outlineLvl w:val="2"/>
        <w:rPr>
          <w:rFonts w:ascii="宋体" w:hAnsi="宋体" w:cs="宋体"/>
          <w:kern w:val="0"/>
        </w:rPr>
      </w:pPr>
      <w:r>
        <w:rPr>
          <w:rFonts w:hint="eastAsia" w:ascii="宋体" w:hAnsi="宋体" w:cs="宋体"/>
          <w:kern w:val="0"/>
        </w:rPr>
        <w:t>（1）对全网信息的地域、语义、正负面的自动判断，实现敏感词的自动预警。支持自定义关键词，可根据需求添加、修改预警关键词。</w:t>
      </w:r>
    </w:p>
    <w:p w14:paraId="5DAB4765">
      <w:pPr>
        <w:spacing w:line="360" w:lineRule="auto"/>
        <w:ind w:firstLine="420" w:firstLineChars="200"/>
        <w:outlineLvl w:val="2"/>
        <w:rPr>
          <w:rFonts w:ascii="宋体" w:hAnsi="宋体" w:cs="宋体"/>
          <w:kern w:val="0"/>
        </w:rPr>
      </w:pPr>
      <w:r>
        <w:rPr>
          <w:rFonts w:hint="eastAsia" w:ascii="宋体" w:hAnsi="宋体" w:cs="宋体"/>
          <w:kern w:val="0"/>
        </w:rPr>
        <w:t>（2）预警设置：相似文章合并、预警间隔、来源</w:t>
      </w:r>
      <w:r>
        <w:rPr>
          <w:rFonts w:hint="eastAsia" w:ascii="宋体" w:hAnsi="宋体" w:cs="宋体"/>
          <w:kern w:val="0"/>
          <w:lang w:val="en-US" w:eastAsia="zh-CN"/>
        </w:rPr>
        <w:t>网站</w:t>
      </w:r>
      <w:r>
        <w:rPr>
          <w:rFonts w:hint="eastAsia" w:ascii="宋体" w:hAnsi="宋体" w:cs="宋体"/>
          <w:kern w:val="0"/>
        </w:rPr>
        <w:t>、</w:t>
      </w:r>
      <w:r>
        <w:rPr>
          <w:rFonts w:hint="eastAsia" w:ascii="宋体" w:hAnsi="宋体" w:cs="宋体"/>
          <w:kern w:val="0"/>
          <w:lang w:val="en-US" w:eastAsia="zh-CN"/>
        </w:rPr>
        <w:t>敏感属性</w:t>
      </w:r>
      <w:r>
        <w:rPr>
          <w:rFonts w:hint="eastAsia" w:ascii="宋体" w:hAnsi="宋体" w:cs="宋体"/>
          <w:kern w:val="0"/>
        </w:rPr>
        <w:t>(正负面)、是否去重等支持自定义设置。支持预警信息通过设置预警词进行二次过滤。可对预警时间段、预警频率和周末是否预警进行设置。</w:t>
      </w:r>
    </w:p>
    <w:p w14:paraId="173F62DF">
      <w:pPr>
        <w:spacing w:line="360" w:lineRule="auto"/>
        <w:ind w:firstLine="420" w:firstLineChars="200"/>
        <w:outlineLvl w:val="2"/>
        <w:rPr>
          <w:rFonts w:ascii="宋体" w:hAnsi="宋体" w:cs="宋体"/>
          <w:kern w:val="0"/>
        </w:rPr>
      </w:pPr>
      <w:r>
        <w:rPr>
          <w:rFonts w:hint="eastAsia" w:ascii="宋体" w:hAnsi="宋体" w:cs="宋体"/>
          <w:kern w:val="0"/>
        </w:rPr>
        <w:t>（3）实现手机客户端、微信端的自动预警推送。预警时间不高于5分钟。</w:t>
      </w:r>
    </w:p>
    <w:p w14:paraId="2CEA2326">
      <w:pPr>
        <w:spacing w:line="360" w:lineRule="auto"/>
        <w:ind w:firstLine="420" w:firstLineChars="200"/>
        <w:outlineLvl w:val="2"/>
        <w:rPr>
          <w:rFonts w:ascii="宋体" w:hAnsi="宋体" w:cs="宋体"/>
          <w:kern w:val="0"/>
        </w:rPr>
      </w:pPr>
      <w:r>
        <w:rPr>
          <w:rFonts w:hint="eastAsia" w:ascii="宋体" w:hAnsi="宋体" w:cs="宋体"/>
          <w:kern w:val="0"/>
        </w:rPr>
        <w:t>5.定向监测与排除</w:t>
      </w:r>
    </w:p>
    <w:p w14:paraId="000E42C5">
      <w:pPr>
        <w:spacing w:line="360" w:lineRule="auto"/>
        <w:ind w:firstLine="420" w:firstLineChars="200"/>
        <w:outlineLvl w:val="2"/>
        <w:rPr>
          <w:rFonts w:ascii="宋体" w:hAnsi="宋体" w:cs="宋体"/>
          <w:kern w:val="0"/>
        </w:rPr>
      </w:pPr>
      <w:r>
        <w:rPr>
          <w:rFonts w:hint="eastAsia" w:ascii="宋体" w:hAnsi="宋体" w:cs="宋体"/>
          <w:kern w:val="0"/>
        </w:rPr>
        <w:t>具备定向监测功能，对某些指定的网站、微博用户、公众号、贴吧（细到子吧）和客户端自媒体进行定向监测或定向排除。</w:t>
      </w:r>
    </w:p>
    <w:p w14:paraId="2C34E013">
      <w:pPr>
        <w:spacing w:line="360" w:lineRule="auto"/>
        <w:ind w:firstLine="420" w:firstLineChars="200"/>
        <w:outlineLvl w:val="2"/>
        <w:rPr>
          <w:rFonts w:ascii="宋体" w:hAnsi="宋体" w:cs="宋体"/>
          <w:kern w:val="0"/>
        </w:rPr>
      </w:pPr>
      <w:r>
        <w:rPr>
          <w:rFonts w:hint="eastAsia" w:ascii="宋体" w:hAnsi="宋体" w:cs="宋体"/>
          <w:kern w:val="0"/>
        </w:rPr>
        <w:t>6.去重与过滤</w:t>
      </w:r>
    </w:p>
    <w:p w14:paraId="44E1731A">
      <w:pPr>
        <w:spacing w:line="360" w:lineRule="auto"/>
        <w:ind w:firstLine="420" w:firstLineChars="200"/>
        <w:outlineLvl w:val="2"/>
        <w:rPr>
          <w:rFonts w:ascii="宋体" w:hAnsi="宋体" w:cs="宋体"/>
          <w:kern w:val="0"/>
        </w:rPr>
      </w:pPr>
      <w:r>
        <w:rPr>
          <w:rFonts w:hint="eastAsia" w:ascii="宋体" w:hAnsi="宋体" w:cs="宋体"/>
          <w:kern w:val="0"/>
        </w:rPr>
        <w:t>支持对相同相似网页内容进行合并去重，避免过多重复信息，给用户造成干扰。支持排除词设置，包含排除词的信息自动排除。</w:t>
      </w:r>
    </w:p>
    <w:p w14:paraId="462EB9BC">
      <w:pPr>
        <w:spacing w:line="360" w:lineRule="auto"/>
        <w:ind w:firstLine="420" w:firstLineChars="200"/>
        <w:outlineLvl w:val="2"/>
        <w:rPr>
          <w:rFonts w:ascii="宋体" w:hAnsi="宋体" w:cs="宋体"/>
          <w:kern w:val="0"/>
        </w:rPr>
      </w:pPr>
      <w:r>
        <w:rPr>
          <w:rFonts w:hint="eastAsia" w:ascii="宋体" w:hAnsi="宋体" w:cs="宋体"/>
          <w:kern w:val="0"/>
        </w:rPr>
        <w:t>7.舆情简报</w:t>
      </w:r>
    </w:p>
    <w:p w14:paraId="48D0C27F">
      <w:pPr>
        <w:spacing w:line="360" w:lineRule="auto"/>
        <w:ind w:firstLine="420" w:firstLineChars="200"/>
        <w:outlineLvl w:val="2"/>
        <w:rPr>
          <w:rFonts w:ascii="宋体" w:hAnsi="宋体" w:cs="宋体"/>
          <w:kern w:val="0"/>
        </w:rPr>
      </w:pPr>
      <w:r>
        <w:rPr>
          <w:rFonts w:hint="eastAsia" w:ascii="宋体" w:hAnsi="宋体" w:cs="宋体"/>
          <w:kern w:val="0"/>
        </w:rPr>
        <w:t>支持简报查看、修改、分享、导出为word、导出为excel、导出为pdf、删除；支持多种简报模板，如网宣版、摘要版、党政版、经典版、标准版；简报内容至少包括本期导读、主要舆情、信息来源类型统计、情感分析、媒体活跃度、处置建议、舆情导读等。</w:t>
      </w:r>
    </w:p>
    <w:p w14:paraId="42FDFD6C">
      <w:pPr>
        <w:spacing w:line="360" w:lineRule="auto"/>
        <w:ind w:firstLine="420" w:firstLineChars="200"/>
        <w:outlineLvl w:val="2"/>
        <w:rPr>
          <w:rFonts w:ascii="宋体" w:hAnsi="宋体" w:cs="宋体"/>
          <w:kern w:val="0"/>
        </w:rPr>
      </w:pPr>
      <w:r>
        <w:rPr>
          <w:rFonts w:hint="eastAsia" w:ascii="宋体" w:hAnsi="宋体" w:cs="宋体"/>
          <w:kern w:val="0"/>
        </w:rPr>
        <w:t>8.手机客户端</w:t>
      </w:r>
    </w:p>
    <w:p w14:paraId="0EC01E8C">
      <w:pPr>
        <w:spacing w:line="360" w:lineRule="auto"/>
        <w:ind w:firstLine="420" w:firstLineChars="200"/>
        <w:outlineLvl w:val="2"/>
        <w:rPr>
          <w:rFonts w:ascii="宋体" w:hAnsi="宋体" w:cs="宋体"/>
          <w:kern w:val="0"/>
        </w:rPr>
      </w:pPr>
      <w:r>
        <w:rPr>
          <w:rFonts w:hint="eastAsia" w:ascii="宋体" w:hAnsi="宋体" w:cs="宋体"/>
          <w:kern w:val="0"/>
        </w:rPr>
        <w:t>支持PC端和手机客户端数据共享，手机客户端与PC端服务完全匹配，实现WEB端和手机客户端无缝连接。支持手机客户端和PC客户端同时登陆。</w:t>
      </w:r>
    </w:p>
    <w:p w14:paraId="1507FFBB">
      <w:pPr>
        <w:spacing w:line="360" w:lineRule="auto"/>
        <w:ind w:firstLine="420" w:firstLineChars="200"/>
        <w:outlineLvl w:val="2"/>
        <w:rPr>
          <w:rFonts w:ascii="宋体" w:hAnsi="宋体" w:cs="宋体"/>
          <w:kern w:val="0"/>
        </w:rPr>
      </w:pPr>
      <w:r>
        <w:rPr>
          <w:rFonts w:hint="eastAsia" w:ascii="宋体" w:hAnsi="宋体" w:cs="宋体"/>
          <w:kern w:val="0"/>
        </w:rPr>
        <w:t>手机客户端支持设置关键词、全文搜索、预警信息查看。</w:t>
      </w:r>
    </w:p>
    <w:p w14:paraId="3BE75FFF">
      <w:pPr>
        <w:numPr>
          <w:ilvl w:val="-1"/>
          <w:numId w:val="0"/>
        </w:numPr>
        <w:spacing w:line="360" w:lineRule="auto"/>
        <w:ind w:firstLine="420" w:firstLineChars="200"/>
        <w:outlineLvl w:val="2"/>
        <w:rPr>
          <w:rFonts w:ascii="宋体" w:hAnsi="宋体" w:cs="宋体"/>
          <w:kern w:val="0"/>
        </w:rPr>
      </w:pPr>
      <w:r>
        <w:rPr>
          <w:rFonts w:hint="eastAsia" w:ascii="宋体" w:hAnsi="宋体" w:cs="宋体"/>
          <w:kern w:val="0"/>
          <w:lang w:val="en-US" w:eastAsia="zh-CN"/>
        </w:rPr>
        <w:t>9.</w:t>
      </w:r>
      <w:r>
        <w:rPr>
          <w:rFonts w:hint="eastAsia" w:ascii="宋体" w:hAnsi="宋体" w:cs="宋体"/>
          <w:kern w:val="0"/>
        </w:rPr>
        <w:t>★ 舆情月报</w:t>
      </w:r>
    </w:p>
    <w:p w14:paraId="02691283">
      <w:pPr>
        <w:ind w:firstLine="420" w:firstLineChars="200"/>
        <w:jc w:val="left"/>
        <w:rPr>
          <w:rFonts w:hint="eastAsia" w:ascii="宋体" w:hAnsi="宋体" w:cs="宋体"/>
          <w:kern w:val="0"/>
          <w:lang w:val="en-US" w:eastAsia="zh-CN"/>
        </w:rPr>
      </w:pPr>
      <w:r>
        <w:rPr>
          <w:rFonts w:hint="eastAsia" w:ascii="宋体" w:hAnsi="宋体" w:cs="宋体"/>
          <w:kern w:val="0"/>
        </w:rPr>
        <w:t>提供标准的舆情月度分析报告12次（每月1次），包含舆情综述、舆情走势分析、舆情情感分析、舆情判研、舆情小结等内容。</w:t>
      </w:r>
      <w:r>
        <w:rPr>
          <w:rFonts w:hint="eastAsia" w:ascii="宋体" w:hAnsi="宋体" w:cs="宋体"/>
          <w:kern w:val="0"/>
          <w:lang w:val="en-US" w:eastAsia="zh-CN"/>
        </w:rPr>
        <w:t>合同到期后，提供一份舆情年度分析报告。</w:t>
      </w:r>
    </w:p>
    <w:p w14:paraId="588830D2">
      <w:pPr>
        <w:ind w:firstLine="422" w:firstLineChars="200"/>
        <w:jc w:val="left"/>
        <w:rPr>
          <w:rFonts w:ascii="宋体" w:hAnsi="宋体" w:cs="宋体"/>
          <w:b/>
          <w:bCs/>
          <w:color w:val="auto"/>
          <w:kern w:val="0"/>
        </w:rPr>
      </w:pPr>
      <w:r>
        <w:rPr>
          <w:rFonts w:hint="eastAsia" w:ascii="宋体" w:hAnsi="宋体" w:cs="宋体"/>
          <w:b/>
          <w:bCs/>
          <w:color w:val="auto"/>
          <w:kern w:val="0"/>
        </w:rPr>
        <w:t>确定中标单位后，3个工作日内甲方会对</w:t>
      </w:r>
      <w:r>
        <w:rPr>
          <w:rFonts w:hint="eastAsia" w:ascii="宋体" w:hAnsi="宋体" w:cs="宋体"/>
          <w:b/>
          <w:bCs/>
          <w:color w:val="auto"/>
          <w:kern w:val="0"/>
          <w:lang w:eastAsia="zh-CN"/>
        </w:rPr>
        <w:t>谈判</w:t>
      </w:r>
      <w:r>
        <w:rPr>
          <w:rFonts w:hint="eastAsia" w:ascii="宋体" w:hAnsi="宋体" w:cs="宋体"/>
          <w:b/>
          <w:bCs/>
          <w:color w:val="auto"/>
          <w:kern w:val="0"/>
        </w:rPr>
        <w:t>中技术要求星号项进行核查，如不满足则取消中标资格</w:t>
      </w:r>
    </w:p>
    <w:p w14:paraId="2E0A874A">
      <w:pPr>
        <w:spacing w:line="360" w:lineRule="auto"/>
        <w:outlineLvl w:val="2"/>
        <w:rPr>
          <w:rFonts w:ascii="宋体" w:hAnsi="宋体" w:cs="宋体"/>
          <w:b/>
          <w:kern w:val="0"/>
          <w:sz w:val="28"/>
          <w:szCs w:val="28"/>
        </w:rPr>
      </w:pPr>
      <w:r>
        <w:rPr>
          <w:rFonts w:hint="eastAsia" w:ascii="宋体" w:hAnsi="宋体" w:cs="宋体"/>
          <w:b/>
          <w:kern w:val="0"/>
          <w:sz w:val="28"/>
          <w:szCs w:val="28"/>
        </w:rPr>
        <w:t xml:space="preserve">    五、项目售后要求</w:t>
      </w:r>
    </w:p>
    <w:p w14:paraId="410F9F11">
      <w:pPr>
        <w:spacing w:line="360" w:lineRule="auto"/>
        <w:rPr>
          <w:rFonts w:ascii="宋体" w:hAnsi="宋体" w:cs="宋体"/>
          <w:kern w:val="0"/>
        </w:rPr>
      </w:pPr>
      <w:r>
        <w:rPr>
          <w:rFonts w:hint="eastAsia" w:ascii="宋体" w:hAnsi="宋体" w:cs="宋体"/>
          <w:kern w:val="0"/>
        </w:rPr>
        <w:t xml:space="preserve">    </w:t>
      </w:r>
      <w:r>
        <w:rPr>
          <w:rFonts w:hint="eastAsia" w:ascii="宋体" w:hAnsi="宋体" w:cs="宋体"/>
          <w:kern w:val="0"/>
          <w:lang w:val="en-US" w:eastAsia="zh-CN"/>
        </w:rPr>
        <w:t>1.</w:t>
      </w:r>
      <w:r>
        <w:rPr>
          <w:rFonts w:hint="eastAsia" w:ascii="宋体" w:hAnsi="宋体" w:cs="宋体"/>
          <w:kern w:val="0"/>
        </w:rPr>
        <w:t>中标单位需明确一名项目经理具体负责协调平台服务中出现的问题。</w:t>
      </w:r>
    </w:p>
    <w:p w14:paraId="49B15548">
      <w:pPr>
        <w:spacing w:line="360" w:lineRule="auto"/>
        <w:ind w:firstLine="420" w:firstLineChars="200"/>
        <w:rPr>
          <w:rFonts w:ascii="宋体" w:hAnsi="宋体" w:cs="宋体"/>
          <w:kern w:val="0"/>
        </w:rPr>
      </w:pPr>
      <w:r>
        <w:rPr>
          <w:rFonts w:hint="eastAsia" w:ascii="宋体" w:hAnsi="宋体" w:cs="宋体"/>
          <w:kern w:val="0"/>
          <w:lang w:val="en-US" w:eastAsia="zh-CN"/>
        </w:rPr>
        <w:t>2.</w:t>
      </w:r>
      <w:r>
        <w:rPr>
          <w:rFonts w:hint="eastAsia" w:ascii="宋体" w:hAnsi="宋体" w:cs="宋体"/>
          <w:kern w:val="0"/>
        </w:rPr>
        <w:t>7*24小时的售后服务群，专业技术工程师全天候提供在线技术支持，1小时内响应客户问题，保障产品的连续使用性，配置售后服务人员。</w:t>
      </w:r>
    </w:p>
    <w:p w14:paraId="0CF2A8AD">
      <w:pPr>
        <w:spacing w:line="360" w:lineRule="auto"/>
        <w:ind w:firstLine="420" w:firstLineChars="200"/>
        <w:rPr>
          <w:rFonts w:ascii="宋体" w:hAnsi="宋体" w:cs="宋体"/>
          <w:kern w:val="0"/>
        </w:rPr>
      </w:pPr>
      <w:r>
        <w:rPr>
          <w:rFonts w:hint="eastAsia" w:ascii="宋体" w:hAnsi="宋体" w:cs="宋体"/>
          <w:kern w:val="0"/>
          <w:lang w:val="en-US" w:eastAsia="zh-CN"/>
        </w:rPr>
        <w:t>3.</w:t>
      </w:r>
      <w:r>
        <w:rPr>
          <w:rFonts w:hint="eastAsia" w:ascii="宋体" w:hAnsi="宋体" w:cs="宋体"/>
          <w:kern w:val="0"/>
        </w:rPr>
        <w:t>系统优化建议与实施，投标方的技术人员需要根据客户网络系统的特点和运行现状，帮助用户在系统应用过程中不断的优化系统性能，以满足不断变化的业务发展情况。</w:t>
      </w:r>
    </w:p>
    <w:p w14:paraId="18BD62CF">
      <w:pPr>
        <w:spacing w:line="360" w:lineRule="auto"/>
        <w:ind w:firstLine="420" w:firstLineChars="200"/>
        <w:rPr>
          <w:rFonts w:ascii="宋体" w:hAnsi="宋体" w:cs="宋体"/>
          <w:kern w:val="0"/>
        </w:rPr>
      </w:pPr>
      <w:r>
        <w:rPr>
          <w:rFonts w:hint="eastAsia" w:ascii="宋体" w:hAnsi="宋体" w:cs="宋体"/>
          <w:kern w:val="0"/>
          <w:lang w:val="en-US" w:eastAsia="zh-CN"/>
        </w:rPr>
        <w:t>4.</w:t>
      </w:r>
      <w:r>
        <w:rPr>
          <w:rFonts w:hint="eastAsia" w:ascii="宋体" w:hAnsi="宋体" w:cs="宋体"/>
          <w:kern w:val="0"/>
        </w:rPr>
        <w:t>采用专人不定期走访方式，调研日常使用和维护情况，听取用户对厂商的售后服务工作的意见和建议，并依此进行调整优化。</w:t>
      </w:r>
    </w:p>
    <w:p w14:paraId="58BF7997">
      <w:pPr>
        <w:ind w:firstLine="420" w:firstLineChars="200"/>
        <w:jc w:val="both"/>
        <w:rPr>
          <w:b/>
          <w:sz w:val="32"/>
          <w:szCs w:val="32"/>
        </w:rPr>
      </w:pPr>
      <w:r>
        <w:rPr>
          <w:rFonts w:hint="eastAsia" w:ascii="宋体" w:hAnsi="宋体" w:cs="宋体"/>
          <w:kern w:val="0"/>
          <w:lang w:val="en-US" w:eastAsia="zh-CN"/>
        </w:rPr>
        <w:t>5.</w:t>
      </w:r>
      <w:r>
        <w:rPr>
          <w:rFonts w:hint="eastAsia" w:ascii="宋体" w:hAnsi="宋体" w:cs="宋体"/>
          <w:kern w:val="0"/>
        </w:rPr>
        <w:t>中标单位需要提供电子版纸质版使用说明，并安排专人现场为用户提供培训服务。</w:t>
      </w:r>
    </w:p>
    <w:p w14:paraId="0A237BDB">
      <w:pPr>
        <w:spacing w:line="360" w:lineRule="auto"/>
        <w:ind w:firstLine="562" w:firstLineChars="200"/>
        <w:outlineLvl w:val="2"/>
        <w:rPr>
          <w:rFonts w:ascii="宋体" w:hAnsi="宋体" w:cs="宋体"/>
          <w:b/>
          <w:kern w:val="0"/>
          <w:sz w:val="28"/>
          <w:szCs w:val="28"/>
        </w:rPr>
      </w:pPr>
      <w:r>
        <w:rPr>
          <w:rFonts w:hint="eastAsia" w:ascii="宋体" w:hAnsi="宋体" w:cs="宋体"/>
          <w:b/>
          <w:kern w:val="0"/>
          <w:sz w:val="28"/>
          <w:szCs w:val="28"/>
        </w:rPr>
        <w:t>六、评分标准</w:t>
      </w:r>
    </w:p>
    <w:tbl>
      <w:tblPr>
        <w:tblStyle w:val="22"/>
        <w:tblW w:w="9145" w:type="dxa"/>
        <w:jc w:val="center"/>
        <w:tblLayout w:type="fixed"/>
        <w:tblCellMar>
          <w:top w:w="0" w:type="dxa"/>
          <w:left w:w="0" w:type="dxa"/>
          <w:bottom w:w="0" w:type="dxa"/>
          <w:right w:w="0" w:type="dxa"/>
        </w:tblCellMar>
      </w:tblPr>
      <w:tblGrid>
        <w:gridCol w:w="834"/>
        <w:gridCol w:w="8311"/>
      </w:tblGrid>
      <w:tr w14:paraId="7CC1F4DC">
        <w:tblPrEx>
          <w:tblCellMar>
            <w:top w:w="0" w:type="dxa"/>
            <w:left w:w="0" w:type="dxa"/>
            <w:bottom w:w="0" w:type="dxa"/>
            <w:right w:w="0" w:type="dxa"/>
          </w:tblCellMar>
        </w:tblPrEx>
        <w:trPr>
          <w:trHeight w:val="267"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06E36025">
            <w:pPr>
              <w:jc w:val="center"/>
              <w:rPr>
                <w:rStyle w:val="64"/>
                <w:rFonts w:ascii="宋体" w:hAnsi="宋体" w:cs="宋体"/>
                <w:szCs w:val="21"/>
              </w:rPr>
            </w:pPr>
            <w:r>
              <w:rPr>
                <w:rStyle w:val="64"/>
                <w:rFonts w:hint="eastAsia" w:ascii="宋体" w:hAnsi="宋体" w:cs="宋体"/>
                <w:szCs w:val="21"/>
              </w:rPr>
              <w:t>项目</w:t>
            </w:r>
          </w:p>
        </w:tc>
        <w:tc>
          <w:tcPr>
            <w:tcW w:w="8311" w:type="dxa"/>
            <w:tcBorders>
              <w:top w:val="single" w:color="000000" w:sz="4" w:space="0"/>
              <w:left w:val="nil"/>
              <w:bottom w:val="single" w:color="000000" w:sz="4" w:space="0"/>
              <w:right w:val="single" w:color="000000" w:sz="4" w:space="0"/>
            </w:tcBorders>
            <w:vAlign w:val="center"/>
          </w:tcPr>
          <w:p w14:paraId="6C2A663A">
            <w:pPr>
              <w:jc w:val="center"/>
              <w:rPr>
                <w:rStyle w:val="64"/>
                <w:rFonts w:ascii="宋体" w:hAnsi="宋体" w:cs="宋体"/>
                <w:szCs w:val="21"/>
              </w:rPr>
            </w:pPr>
            <w:r>
              <w:rPr>
                <w:rStyle w:val="64"/>
                <w:rFonts w:hint="eastAsia" w:ascii="宋体" w:hAnsi="宋体" w:cs="宋体"/>
                <w:szCs w:val="21"/>
              </w:rPr>
              <w:t>评分标准</w:t>
            </w:r>
          </w:p>
        </w:tc>
      </w:tr>
      <w:tr w14:paraId="5191E8C1">
        <w:tblPrEx>
          <w:tblCellMar>
            <w:top w:w="0" w:type="dxa"/>
            <w:left w:w="0" w:type="dxa"/>
            <w:bottom w:w="0" w:type="dxa"/>
            <w:right w:w="0" w:type="dxa"/>
          </w:tblCellMar>
        </w:tblPrEx>
        <w:trPr>
          <w:trHeight w:val="510" w:hRule="atLeast"/>
          <w:jc w:val="center"/>
        </w:trPr>
        <w:tc>
          <w:tcPr>
            <w:tcW w:w="834" w:type="dxa"/>
            <w:tcBorders>
              <w:top w:val="nil"/>
              <w:left w:val="single" w:color="000000" w:sz="4" w:space="0"/>
              <w:bottom w:val="single" w:color="000000" w:sz="4" w:space="0"/>
              <w:right w:val="single" w:color="000000" w:sz="4" w:space="0"/>
            </w:tcBorders>
            <w:vAlign w:val="center"/>
          </w:tcPr>
          <w:p w14:paraId="5E9F35F7">
            <w:pPr>
              <w:jc w:val="center"/>
              <w:rPr>
                <w:rStyle w:val="64"/>
                <w:rFonts w:ascii="宋体" w:hAnsi="宋体" w:cs="宋体"/>
                <w:szCs w:val="21"/>
              </w:rPr>
            </w:pPr>
            <w:r>
              <w:rPr>
                <w:rStyle w:val="64"/>
                <w:rFonts w:hint="eastAsia" w:ascii="宋体" w:hAnsi="宋体" w:cs="宋体"/>
                <w:szCs w:val="21"/>
              </w:rPr>
              <w:t>价格（30</w:t>
            </w:r>
            <w:r>
              <w:rPr>
                <w:rStyle w:val="64"/>
                <w:rFonts w:hint="eastAsia" w:ascii="宋体" w:hAnsi="宋体" w:cs="宋体"/>
                <w:szCs w:val="21"/>
                <w:lang w:val="en-US"/>
              </w:rPr>
              <w:t>分</w:t>
            </w:r>
            <w:r>
              <w:rPr>
                <w:rStyle w:val="64"/>
                <w:rFonts w:hint="eastAsia" w:ascii="宋体" w:hAnsi="宋体" w:cs="宋体"/>
                <w:szCs w:val="21"/>
              </w:rPr>
              <w:t>）</w:t>
            </w:r>
          </w:p>
        </w:tc>
        <w:tc>
          <w:tcPr>
            <w:tcW w:w="8311" w:type="dxa"/>
            <w:tcBorders>
              <w:top w:val="nil"/>
              <w:left w:val="nil"/>
              <w:bottom w:val="single" w:color="000000" w:sz="4" w:space="0"/>
              <w:right w:val="single" w:color="000000" w:sz="4" w:space="0"/>
            </w:tcBorders>
            <w:vAlign w:val="center"/>
          </w:tcPr>
          <w:p w14:paraId="20C017C8">
            <w:pPr>
              <w:jc w:val="left"/>
              <w:rPr>
                <w:rStyle w:val="64"/>
                <w:rFonts w:ascii="宋体" w:hAnsi="宋体" w:cs="宋体"/>
                <w:szCs w:val="21"/>
              </w:rPr>
            </w:pPr>
            <w:r>
              <w:rPr>
                <w:rFonts w:hint="eastAsia" w:ascii="宋体" w:hAnsi="宋体" w:cs="宋体"/>
                <w:szCs w:val="21"/>
              </w:rPr>
              <w:t>投标最低报价为评标基准价：满足招标文件要求且投标价格最低的投标报价为评标基准价，其价格分为满分。其他投标人的价格分统一按照下列公式计算：投标报价得分=(评标基准价/投标报价)×30。</w:t>
            </w:r>
          </w:p>
        </w:tc>
      </w:tr>
      <w:tr w14:paraId="67103246">
        <w:tblPrEx>
          <w:tblCellMar>
            <w:top w:w="0" w:type="dxa"/>
            <w:left w:w="0" w:type="dxa"/>
            <w:bottom w:w="0" w:type="dxa"/>
            <w:right w:w="0" w:type="dxa"/>
          </w:tblCellMar>
        </w:tblPrEx>
        <w:trPr>
          <w:trHeight w:val="51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3C9E0FBA">
            <w:pPr>
              <w:jc w:val="center"/>
              <w:rPr>
                <w:rStyle w:val="64"/>
                <w:rFonts w:ascii="宋体" w:hAnsi="宋体" w:cs="宋体"/>
                <w:szCs w:val="21"/>
              </w:rPr>
            </w:pPr>
            <w:r>
              <w:rPr>
                <w:rStyle w:val="64"/>
                <w:rFonts w:hint="eastAsia" w:ascii="宋体" w:hAnsi="宋体" w:cs="宋体"/>
                <w:szCs w:val="21"/>
              </w:rPr>
              <w:t>技术方案（20分）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1780B407">
            <w:pPr>
              <w:jc w:val="left"/>
              <w:rPr>
                <w:rFonts w:ascii="宋体" w:hAnsi="宋体" w:cs="宋体"/>
                <w:szCs w:val="21"/>
              </w:rPr>
            </w:pPr>
            <w:r>
              <w:rPr>
                <w:rFonts w:hint="eastAsia" w:ascii="宋体" w:hAnsi="宋体" w:cs="宋体"/>
                <w:szCs w:val="21"/>
              </w:rPr>
              <w:t>评委根据投标人提供详细的项目技术方案（包含：项目需求分析、项目重难点及风险分析、合理化建议、项目方案深化等方面）内容进行评审：</w:t>
            </w:r>
          </w:p>
          <w:p w14:paraId="4384E8DE">
            <w:pPr>
              <w:jc w:val="left"/>
              <w:rPr>
                <w:rFonts w:ascii="宋体" w:hAnsi="宋体" w:cs="宋体"/>
                <w:szCs w:val="21"/>
              </w:rPr>
            </w:pPr>
            <w:r>
              <w:rPr>
                <w:rFonts w:hint="eastAsia" w:ascii="宋体" w:hAnsi="宋体" w:cs="宋体"/>
                <w:szCs w:val="21"/>
              </w:rPr>
              <w:t>方案具体、可实施性强、贴近项目需求，得20分；方案较具体、具备可实施性、较贴近项目需求，得10分；方案内容有欠缺、基本贴近项目需求，得5分；方案明显不合理或未提供，得0分。</w:t>
            </w:r>
          </w:p>
        </w:tc>
      </w:tr>
      <w:tr w14:paraId="2DFE1C11">
        <w:tblPrEx>
          <w:tblCellMar>
            <w:top w:w="0" w:type="dxa"/>
            <w:left w:w="0" w:type="dxa"/>
            <w:bottom w:w="0" w:type="dxa"/>
            <w:right w:w="0" w:type="dxa"/>
          </w:tblCellMar>
        </w:tblPrEx>
        <w:trPr>
          <w:trHeight w:val="51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55F094ED">
            <w:pPr>
              <w:pStyle w:val="65"/>
              <w:jc w:val="center"/>
              <w:rPr>
                <w:rStyle w:val="64"/>
                <w:rFonts w:ascii="宋体" w:hAnsi="宋体" w:cs="宋体"/>
                <w:szCs w:val="21"/>
              </w:rPr>
            </w:pPr>
            <w:r>
              <w:rPr>
                <w:rStyle w:val="64"/>
                <w:rFonts w:hint="eastAsia" w:ascii="宋体" w:hAnsi="宋体" w:cs="宋体"/>
                <w:szCs w:val="21"/>
              </w:rPr>
              <w:t>技术响应（20分）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676E4C12">
            <w:pPr>
              <w:jc w:val="left"/>
              <w:rPr>
                <w:rFonts w:ascii="宋体" w:hAnsi="宋体" w:cs="宋体"/>
                <w:szCs w:val="21"/>
              </w:rPr>
            </w:pPr>
            <w:r>
              <w:rPr>
                <w:rFonts w:hint="eastAsia" w:ascii="宋体" w:hAnsi="宋体" w:cs="宋体"/>
                <w:szCs w:val="21"/>
              </w:rPr>
              <w:t>投标人完全响应招标文件中技术参数要求的得20分。标注“★”为重要指标，每有一项负偏离扣2分，其他无标识的指标为一般指标，每有一项负偏离扣1分，扣完为止。</w:t>
            </w:r>
            <w:r>
              <w:rPr>
                <w:rFonts w:hint="eastAsia" w:ascii="宋体" w:hAnsi="宋体" w:cs="宋体"/>
                <w:b/>
                <w:bCs/>
                <w:szCs w:val="21"/>
              </w:rPr>
              <w:t>（“★”项需提供相关证明材料，否则作为虚假响应，不得分）</w:t>
            </w:r>
          </w:p>
        </w:tc>
      </w:tr>
      <w:tr w14:paraId="4C714D8D">
        <w:tblPrEx>
          <w:tblCellMar>
            <w:top w:w="0" w:type="dxa"/>
            <w:left w:w="0" w:type="dxa"/>
            <w:bottom w:w="0" w:type="dxa"/>
            <w:right w:w="0" w:type="dxa"/>
          </w:tblCellMar>
        </w:tblPrEx>
        <w:trPr>
          <w:trHeight w:val="510" w:hRule="atLeast"/>
          <w:jc w:val="center"/>
        </w:trPr>
        <w:tc>
          <w:tcPr>
            <w:tcW w:w="834" w:type="dxa"/>
            <w:vMerge w:val="restart"/>
            <w:tcBorders>
              <w:top w:val="single" w:color="000000" w:sz="4" w:space="0"/>
              <w:left w:val="single" w:color="000000" w:sz="4" w:space="0"/>
              <w:right w:val="single" w:color="000000" w:sz="4" w:space="0"/>
            </w:tcBorders>
            <w:vAlign w:val="center"/>
          </w:tcPr>
          <w:p w14:paraId="30BC28E5">
            <w:pPr>
              <w:pStyle w:val="65"/>
              <w:jc w:val="center"/>
              <w:rPr>
                <w:rStyle w:val="64"/>
                <w:rFonts w:ascii="宋体" w:hAnsi="宋体" w:eastAsia="宋体" w:cs="宋体"/>
                <w:szCs w:val="21"/>
              </w:rPr>
            </w:pPr>
            <w:r>
              <w:rPr>
                <w:rStyle w:val="64"/>
                <w:rFonts w:hint="eastAsia" w:ascii="宋体" w:hAnsi="宋体" w:eastAsia="宋体" w:cs="宋体"/>
                <w:szCs w:val="21"/>
              </w:rPr>
              <w:t>系统演示（20分）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7AB0BD9E">
            <w:pPr>
              <w:spacing w:line="276" w:lineRule="auto"/>
              <w:jc w:val="left"/>
              <w:rPr>
                <w:rFonts w:ascii="宋体" w:hAnsi="宋体" w:cs="宋体"/>
                <w:szCs w:val="21"/>
              </w:rPr>
            </w:pPr>
            <w:r>
              <w:rPr>
                <w:rFonts w:hint="eastAsia" w:ascii="宋体" w:hAnsi="宋体" w:cs="宋体"/>
                <w:szCs w:val="21"/>
              </w:rPr>
              <w:t>根据项目需求，演示舆情系统：包含方案配置、信息列表展示、舆情信息可自定义查看、定向信源监测及定向信源排除功能。</w:t>
            </w:r>
          </w:p>
          <w:p w14:paraId="0A562BD2">
            <w:pPr>
              <w:spacing w:line="276" w:lineRule="auto"/>
              <w:jc w:val="left"/>
              <w:rPr>
                <w:rFonts w:ascii="宋体" w:hAnsi="宋体" w:cs="宋体"/>
                <w:szCs w:val="21"/>
              </w:rPr>
            </w:pPr>
            <w:r>
              <w:rPr>
                <w:rFonts w:hint="eastAsia" w:ascii="宋体" w:hAnsi="宋体" w:cs="宋体"/>
                <w:szCs w:val="21"/>
              </w:rPr>
              <w:t>（1）演示内容完整明确，能完全实现项目需求，得5分；</w:t>
            </w:r>
          </w:p>
          <w:p w14:paraId="0338D002">
            <w:pPr>
              <w:spacing w:line="276" w:lineRule="auto"/>
              <w:jc w:val="left"/>
              <w:rPr>
                <w:rFonts w:ascii="宋体" w:hAnsi="宋体" w:cs="宋体"/>
                <w:szCs w:val="21"/>
              </w:rPr>
            </w:pPr>
            <w:r>
              <w:rPr>
                <w:rFonts w:hint="eastAsia" w:ascii="宋体" w:hAnsi="宋体" w:cs="宋体"/>
                <w:szCs w:val="21"/>
              </w:rPr>
              <w:t>（2）演示内容较完整明确，能基本实现项目需求，得3分；</w:t>
            </w:r>
          </w:p>
          <w:p w14:paraId="66C067A7">
            <w:pPr>
              <w:spacing w:line="276" w:lineRule="auto"/>
              <w:jc w:val="left"/>
              <w:rPr>
                <w:rFonts w:ascii="宋体" w:hAnsi="宋体" w:cs="宋体"/>
                <w:szCs w:val="21"/>
              </w:rPr>
            </w:pPr>
            <w:r>
              <w:rPr>
                <w:rFonts w:hint="eastAsia" w:ascii="宋体" w:hAnsi="宋体" w:cs="宋体"/>
                <w:szCs w:val="21"/>
              </w:rPr>
              <w:t>（3）演示内容不够完整明确，不能实现项目需求，得1分；</w:t>
            </w:r>
          </w:p>
          <w:p w14:paraId="05E02C4F">
            <w:pPr>
              <w:jc w:val="left"/>
              <w:rPr>
                <w:rFonts w:ascii="宋体" w:hAnsi="宋体" w:cs="宋体"/>
                <w:szCs w:val="21"/>
              </w:rPr>
            </w:pPr>
            <w:r>
              <w:rPr>
                <w:rFonts w:hint="eastAsia" w:ascii="宋体" w:hAnsi="宋体" w:cs="宋体"/>
                <w:szCs w:val="21"/>
              </w:rPr>
              <w:t>（4）无演示不得分。</w:t>
            </w:r>
          </w:p>
        </w:tc>
      </w:tr>
      <w:tr w14:paraId="28D976DA">
        <w:tblPrEx>
          <w:tblCellMar>
            <w:top w:w="0" w:type="dxa"/>
            <w:left w:w="0" w:type="dxa"/>
            <w:bottom w:w="0" w:type="dxa"/>
            <w:right w:w="0" w:type="dxa"/>
          </w:tblCellMar>
        </w:tblPrEx>
        <w:trPr>
          <w:trHeight w:val="510" w:hRule="atLeast"/>
          <w:jc w:val="center"/>
        </w:trPr>
        <w:tc>
          <w:tcPr>
            <w:tcW w:w="834" w:type="dxa"/>
            <w:vMerge w:val="continue"/>
            <w:tcBorders>
              <w:left w:val="single" w:color="000000" w:sz="4" w:space="0"/>
              <w:right w:val="single" w:color="000000" w:sz="4" w:space="0"/>
            </w:tcBorders>
            <w:vAlign w:val="center"/>
          </w:tcPr>
          <w:p w14:paraId="6810DC39">
            <w:pPr>
              <w:pStyle w:val="65"/>
              <w:ind w:left="1260"/>
              <w:jc w:val="center"/>
              <w:rPr>
                <w:rStyle w:val="64"/>
                <w:rFonts w:ascii="宋体" w:hAnsi="宋体" w:eastAsia="宋体" w:cs="宋体"/>
                <w:szCs w:val="21"/>
              </w:rPr>
            </w:pPr>
          </w:p>
        </w:tc>
        <w:tc>
          <w:tcPr>
            <w:tcW w:w="8311" w:type="dxa"/>
            <w:tcBorders>
              <w:top w:val="single" w:color="000000" w:sz="4" w:space="0"/>
              <w:left w:val="single" w:color="000000" w:sz="4" w:space="0"/>
              <w:bottom w:val="single" w:color="000000" w:sz="4" w:space="0"/>
              <w:right w:val="single" w:color="000000" w:sz="4" w:space="0"/>
            </w:tcBorders>
            <w:vAlign w:val="center"/>
          </w:tcPr>
          <w:p w14:paraId="4B75F2C2">
            <w:pPr>
              <w:jc w:val="left"/>
              <w:rPr>
                <w:rFonts w:ascii="宋体" w:hAnsi="宋体" w:cs="宋体"/>
                <w:szCs w:val="21"/>
              </w:rPr>
            </w:pPr>
            <w:r>
              <w:rPr>
                <w:rFonts w:hint="eastAsia" w:ascii="宋体" w:hAnsi="宋体" w:cs="宋体"/>
                <w:szCs w:val="21"/>
              </w:rPr>
              <w:t>根据项目需求，能体现系统具备预警设置功能，预警信息的信息类型、预警间隔、是否敏感(正负面)等支持自定义设置。支持预警信息通过设置预警词进行二次过滤。可对预警时间段、预警频率和周末是否预警进行设置。</w:t>
            </w:r>
          </w:p>
          <w:p w14:paraId="3E02F2A5">
            <w:pPr>
              <w:jc w:val="left"/>
              <w:rPr>
                <w:rFonts w:ascii="宋体" w:hAnsi="宋体" w:cs="宋体"/>
                <w:szCs w:val="21"/>
              </w:rPr>
            </w:pPr>
            <w:r>
              <w:rPr>
                <w:rFonts w:hint="eastAsia" w:ascii="宋体" w:hAnsi="宋体" w:cs="宋体"/>
                <w:szCs w:val="21"/>
              </w:rPr>
              <w:t>（1）演示内容完整明确，能完全实现项目需求，得5分；</w:t>
            </w:r>
          </w:p>
          <w:p w14:paraId="52846824">
            <w:pPr>
              <w:jc w:val="left"/>
              <w:rPr>
                <w:rFonts w:ascii="宋体" w:hAnsi="宋体" w:cs="宋体"/>
                <w:szCs w:val="21"/>
              </w:rPr>
            </w:pPr>
            <w:r>
              <w:rPr>
                <w:rFonts w:hint="eastAsia" w:ascii="宋体" w:hAnsi="宋体" w:cs="宋体"/>
                <w:szCs w:val="21"/>
              </w:rPr>
              <w:t>（2）演示内容较完整明确，能基本实现项目需求，得3分；</w:t>
            </w:r>
          </w:p>
          <w:p w14:paraId="7DC371EA">
            <w:pPr>
              <w:jc w:val="left"/>
              <w:rPr>
                <w:rFonts w:ascii="宋体" w:hAnsi="宋体" w:cs="宋体"/>
                <w:szCs w:val="21"/>
              </w:rPr>
            </w:pPr>
            <w:r>
              <w:rPr>
                <w:rFonts w:hint="eastAsia" w:ascii="宋体" w:hAnsi="宋体" w:cs="宋体"/>
                <w:szCs w:val="21"/>
              </w:rPr>
              <w:t>（3）演示内容不够完整明确，不能实现项目需求，得1分；</w:t>
            </w:r>
          </w:p>
          <w:p w14:paraId="0B73B48A">
            <w:pPr>
              <w:jc w:val="left"/>
              <w:rPr>
                <w:rFonts w:ascii="宋体" w:hAnsi="宋体" w:cs="宋体"/>
                <w:szCs w:val="21"/>
              </w:rPr>
            </w:pPr>
            <w:r>
              <w:rPr>
                <w:rFonts w:hint="eastAsia" w:ascii="宋体" w:hAnsi="宋体" w:cs="宋体"/>
                <w:szCs w:val="21"/>
              </w:rPr>
              <w:t>（4）无演示不得分。</w:t>
            </w:r>
          </w:p>
        </w:tc>
      </w:tr>
      <w:tr w14:paraId="43FC048D">
        <w:tblPrEx>
          <w:tblCellMar>
            <w:top w:w="0" w:type="dxa"/>
            <w:left w:w="0" w:type="dxa"/>
            <w:bottom w:w="0" w:type="dxa"/>
            <w:right w:w="0" w:type="dxa"/>
          </w:tblCellMar>
        </w:tblPrEx>
        <w:trPr>
          <w:trHeight w:val="510" w:hRule="atLeast"/>
          <w:jc w:val="center"/>
        </w:trPr>
        <w:tc>
          <w:tcPr>
            <w:tcW w:w="834" w:type="dxa"/>
            <w:vMerge w:val="continue"/>
            <w:tcBorders>
              <w:left w:val="single" w:color="000000" w:sz="4" w:space="0"/>
              <w:right w:val="single" w:color="000000" w:sz="4" w:space="0"/>
            </w:tcBorders>
            <w:vAlign w:val="center"/>
          </w:tcPr>
          <w:p w14:paraId="663F487C">
            <w:pPr>
              <w:pStyle w:val="65"/>
              <w:ind w:left="1260"/>
              <w:jc w:val="center"/>
              <w:rPr>
                <w:rStyle w:val="64"/>
                <w:rFonts w:ascii="宋体" w:hAnsi="宋体" w:eastAsia="宋体" w:cs="宋体"/>
                <w:szCs w:val="21"/>
              </w:rPr>
            </w:pPr>
          </w:p>
        </w:tc>
        <w:tc>
          <w:tcPr>
            <w:tcW w:w="8311" w:type="dxa"/>
            <w:tcBorders>
              <w:top w:val="single" w:color="000000" w:sz="4" w:space="0"/>
              <w:left w:val="single" w:color="000000" w:sz="4" w:space="0"/>
              <w:bottom w:val="single" w:color="000000" w:sz="4" w:space="0"/>
              <w:right w:val="single" w:color="000000" w:sz="4" w:space="0"/>
            </w:tcBorders>
            <w:vAlign w:val="center"/>
          </w:tcPr>
          <w:p w14:paraId="59A9F239">
            <w:pPr>
              <w:jc w:val="left"/>
              <w:rPr>
                <w:rFonts w:ascii="宋体" w:hAnsi="宋体" w:cs="宋体"/>
                <w:szCs w:val="21"/>
              </w:rPr>
            </w:pPr>
            <w:r>
              <w:rPr>
                <w:rFonts w:hint="eastAsia" w:ascii="宋体" w:hAnsi="宋体" w:cs="宋体"/>
                <w:szCs w:val="21"/>
              </w:rPr>
              <w:t>根据项目需求，专题方案所呈现的舆情结果充分贴近扬州大学附属医院的关注点，全面、准确、及时的输出与</w:t>
            </w:r>
            <w:r>
              <w:rPr>
                <w:rFonts w:hint="eastAsia" w:ascii="宋体" w:hAnsi="宋体" w:cs="宋体"/>
                <w:szCs w:val="21"/>
                <w:lang w:val="en-US" w:eastAsia="zh-CN"/>
              </w:rPr>
              <w:t>医院</w:t>
            </w:r>
            <w:r>
              <w:rPr>
                <w:rFonts w:hint="eastAsia" w:ascii="宋体" w:hAnsi="宋体" w:cs="宋体"/>
                <w:szCs w:val="21"/>
              </w:rPr>
              <w:t>相关的舆情信息。</w:t>
            </w:r>
          </w:p>
          <w:p w14:paraId="64173000">
            <w:pPr>
              <w:jc w:val="left"/>
              <w:rPr>
                <w:rFonts w:ascii="宋体" w:hAnsi="宋体" w:cs="宋体"/>
                <w:szCs w:val="21"/>
              </w:rPr>
            </w:pPr>
            <w:r>
              <w:rPr>
                <w:rFonts w:hint="eastAsia" w:ascii="宋体" w:hAnsi="宋体" w:cs="宋体"/>
                <w:szCs w:val="21"/>
              </w:rPr>
              <w:t>（1）演示内容完整明确，能完全实现项目需求，得5分；</w:t>
            </w:r>
          </w:p>
          <w:p w14:paraId="638FE208">
            <w:pPr>
              <w:jc w:val="left"/>
              <w:rPr>
                <w:rFonts w:ascii="宋体" w:hAnsi="宋体" w:cs="宋体"/>
                <w:szCs w:val="21"/>
              </w:rPr>
            </w:pPr>
            <w:r>
              <w:rPr>
                <w:rFonts w:hint="eastAsia" w:ascii="宋体" w:hAnsi="宋体" w:cs="宋体"/>
                <w:szCs w:val="21"/>
              </w:rPr>
              <w:t>（2）演示内容较完整明确，能基本实现项目需求，得3分；</w:t>
            </w:r>
          </w:p>
          <w:p w14:paraId="40609C1E">
            <w:pPr>
              <w:jc w:val="left"/>
              <w:rPr>
                <w:rFonts w:ascii="宋体" w:hAnsi="宋体" w:cs="宋体"/>
                <w:szCs w:val="21"/>
              </w:rPr>
            </w:pPr>
            <w:r>
              <w:rPr>
                <w:rFonts w:hint="eastAsia" w:ascii="宋体" w:hAnsi="宋体" w:cs="宋体"/>
                <w:szCs w:val="21"/>
              </w:rPr>
              <w:t>（3）演示内容不够完整明确，不能实现项目需求，得1分；</w:t>
            </w:r>
          </w:p>
          <w:p w14:paraId="077D92E5">
            <w:pPr>
              <w:jc w:val="left"/>
              <w:rPr>
                <w:rFonts w:ascii="宋体" w:hAnsi="宋体" w:cs="宋体"/>
                <w:szCs w:val="21"/>
              </w:rPr>
            </w:pPr>
            <w:r>
              <w:rPr>
                <w:rFonts w:hint="eastAsia" w:ascii="宋体" w:hAnsi="宋体" w:cs="宋体"/>
                <w:szCs w:val="21"/>
              </w:rPr>
              <w:t>（4）无演示不得分。</w:t>
            </w:r>
          </w:p>
        </w:tc>
      </w:tr>
      <w:tr w14:paraId="13F6BDD6">
        <w:tblPrEx>
          <w:tblCellMar>
            <w:top w:w="0" w:type="dxa"/>
            <w:left w:w="0" w:type="dxa"/>
            <w:bottom w:w="0" w:type="dxa"/>
            <w:right w:w="0" w:type="dxa"/>
          </w:tblCellMar>
        </w:tblPrEx>
        <w:trPr>
          <w:trHeight w:val="510" w:hRule="atLeast"/>
          <w:jc w:val="center"/>
        </w:trPr>
        <w:tc>
          <w:tcPr>
            <w:tcW w:w="834" w:type="dxa"/>
            <w:vMerge w:val="continue"/>
            <w:tcBorders>
              <w:left w:val="single" w:color="000000" w:sz="4" w:space="0"/>
              <w:bottom w:val="single" w:color="000000" w:sz="4" w:space="0"/>
              <w:right w:val="single" w:color="000000" w:sz="4" w:space="0"/>
            </w:tcBorders>
            <w:vAlign w:val="center"/>
          </w:tcPr>
          <w:p w14:paraId="3DBF3CCB">
            <w:pPr>
              <w:pStyle w:val="65"/>
              <w:ind w:left="1260"/>
              <w:jc w:val="center"/>
              <w:rPr>
                <w:rStyle w:val="64"/>
                <w:rFonts w:ascii="宋体" w:hAnsi="宋体" w:eastAsia="宋体" w:cs="宋体"/>
                <w:szCs w:val="21"/>
              </w:rPr>
            </w:pPr>
          </w:p>
        </w:tc>
        <w:tc>
          <w:tcPr>
            <w:tcW w:w="8311" w:type="dxa"/>
            <w:tcBorders>
              <w:top w:val="single" w:color="000000" w:sz="4" w:space="0"/>
              <w:left w:val="single" w:color="000000" w:sz="4" w:space="0"/>
              <w:bottom w:val="single" w:color="000000" w:sz="4" w:space="0"/>
              <w:right w:val="single" w:color="000000" w:sz="4" w:space="0"/>
            </w:tcBorders>
            <w:vAlign w:val="center"/>
          </w:tcPr>
          <w:p w14:paraId="2AE1ACF3">
            <w:pPr>
              <w:jc w:val="left"/>
              <w:rPr>
                <w:rFonts w:ascii="宋体" w:hAnsi="宋体" w:cs="宋体"/>
                <w:szCs w:val="21"/>
              </w:rPr>
            </w:pPr>
            <w:r>
              <w:rPr>
                <w:rFonts w:hint="eastAsia" w:ascii="宋体" w:hAnsi="宋体" w:cs="宋体"/>
                <w:szCs w:val="21"/>
              </w:rPr>
              <w:t>根据项目需求，能体现系统界面优良，用户体验良好等特点。</w:t>
            </w:r>
          </w:p>
          <w:p w14:paraId="61FA2729">
            <w:pPr>
              <w:jc w:val="left"/>
              <w:rPr>
                <w:rFonts w:ascii="宋体" w:hAnsi="宋体" w:cs="宋体"/>
                <w:szCs w:val="21"/>
              </w:rPr>
            </w:pPr>
            <w:r>
              <w:rPr>
                <w:rFonts w:hint="eastAsia" w:ascii="宋体" w:hAnsi="宋体" w:cs="宋体"/>
                <w:szCs w:val="21"/>
              </w:rPr>
              <w:t>（1）演示内容完整明确，系统界面优，用户体验优，得5分；</w:t>
            </w:r>
          </w:p>
          <w:p w14:paraId="10D42593">
            <w:pPr>
              <w:jc w:val="left"/>
              <w:rPr>
                <w:rFonts w:ascii="宋体" w:hAnsi="宋体" w:cs="宋体"/>
                <w:szCs w:val="21"/>
              </w:rPr>
            </w:pPr>
            <w:r>
              <w:rPr>
                <w:rFonts w:hint="eastAsia" w:ascii="宋体" w:hAnsi="宋体" w:cs="宋体"/>
                <w:szCs w:val="21"/>
              </w:rPr>
              <w:t>（2）演示内容较完整明确，系统界面良好，用户体验良好，得3分；</w:t>
            </w:r>
          </w:p>
          <w:p w14:paraId="69E6DFC4">
            <w:pPr>
              <w:jc w:val="left"/>
              <w:rPr>
                <w:rFonts w:ascii="宋体" w:hAnsi="宋体" w:cs="宋体"/>
                <w:szCs w:val="21"/>
              </w:rPr>
            </w:pPr>
            <w:r>
              <w:rPr>
                <w:rFonts w:hint="eastAsia" w:ascii="宋体" w:hAnsi="宋体" w:cs="宋体"/>
                <w:szCs w:val="21"/>
              </w:rPr>
              <w:t>（3）演示内容不够完整明确，系统界面差，用户体验差，得1分；</w:t>
            </w:r>
          </w:p>
          <w:p w14:paraId="4DC23B9A">
            <w:pPr>
              <w:jc w:val="left"/>
              <w:rPr>
                <w:rFonts w:ascii="宋体" w:hAnsi="宋体" w:cs="宋体"/>
                <w:szCs w:val="21"/>
              </w:rPr>
            </w:pPr>
            <w:r>
              <w:rPr>
                <w:rFonts w:hint="eastAsia" w:ascii="宋体" w:hAnsi="宋体" w:cs="宋体"/>
                <w:szCs w:val="21"/>
              </w:rPr>
              <w:t>（4）无演示不得分。</w:t>
            </w:r>
          </w:p>
        </w:tc>
      </w:tr>
      <w:tr w14:paraId="3DFF200C">
        <w:tblPrEx>
          <w:tblCellMar>
            <w:top w:w="0" w:type="dxa"/>
            <w:left w:w="0" w:type="dxa"/>
            <w:bottom w:w="0" w:type="dxa"/>
            <w:right w:w="0" w:type="dxa"/>
          </w:tblCellMar>
        </w:tblPrEx>
        <w:trPr>
          <w:trHeight w:val="51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4EA1450F">
            <w:pPr>
              <w:pStyle w:val="65"/>
              <w:jc w:val="center"/>
              <w:rPr>
                <w:rFonts w:ascii="宋体" w:hAnsi="宋体" w:eastAsia="宋体" w:cs="宋体"/>
                <w:sz w:val="21"/>
                <w:szCs w:val="21"/>
              </w:rPr>
            </w:pPr>
            <w:r>
              <w:rPr>
                <w:rFonts w:hint="eastAsia"/>
              </w:rPr>
              <w:t>业绩</w:t>
            </w:r>
            <w:r>
              <w:rPr>
                <w:rStyle w:val="64"/>
                <w:rFonts w:hint="eastAsia" w:ascii="宋体" w:hAnsi="宋体" w:eastAsia="宋体" w:cs="宋体"/>
                <w:szCs w:val="21"/>
              </w:rPr>
              <w:t>（6分）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4A4CCC75">
            <w:pPr>
              <w:jc w:val="left"/>
              <w:rPr>
                <w:rFonts w:ascii="宋体" w:hAnsi="宋体" w:cs="宋体"/>
                <w:szCs w:val="21"/>
              </w:rPr>
            </w:pPr>
            <w:r>
              <w:rPr>
                <w:rFonts w:hint="eastAsia" w:ascii="宋体" w:hAnsi="宋体" w:cs="宋体"/>
                <w:szCs w:val="21"/>
              </w:rPr>
              <w:t>投标人提供自2021年1月1日以来承担过类似的项目业绩，每提供一份得3分，最多得6分，不满足要求不得分。</w:t>
            </w:r>
            <w:r>
              <w:rPr>
                <w:rFonts w:hint="eastAsia" w:ascii="宋体" w:hAnsi="宋体" w:cs="宋体"/>
                <w:b/>
                <w:bCs/>
                <w:szCs w:val="21"/>
              </w:rPr>
              <w:t>（须提供有效合同复印件加盖公章，时间以合同签订时间为准，未提供或未按要求提供的不得分）</w:t>
            </w:r>
          </w:p>
        </w:tc>
      </w:tr>
      <w:tr w14:paraId="624CE3B5">
        <w:tblPrEx>
          <w:tblCellMar>
            <w:top w:w="0" w:type="dxa"/>
            <w:left w:w="0" w:type="dxa"/>
            <w:bottom w:w="0" w:type="dxa"/>
            <w:right w:w="0" w:type="dxa"/>
          </w:tblCellMar>
        </w:tblPrEx>
        <w:trPr>
          <w:trHeight w:val="1266"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6FFC6066">
            <w:pPr>
              <w:jc w:val="center"/>
              <w:rPr>
                <w:rStyle w:val="64"/>
                <w:rFonts w:ascii="宋体" w:hAnsi="宋体" w:cs="宋体"/>
                <w:szCs w:val="21"/>
              </w:rPr>
            </w:pPr>
            <w:r>
              <w:rPr>
                <w:rStyle w:val="64"/>
                <w:rFonts w:hint="eastAsia" w:ascii="宋体" w:hAnsi="宋体" w:cs="宋体"/>
                <w:szCs w:val="21"/>
              </w:rPr>
              <w:t>售后服务要求</w:t>
            </w:r>
          </w:p>
          <w:p w14:paraId="19C4528F">
            <w:pPr>
              <w:jc w:val="center"/>
              <w:rPr>
                <w:rStyle w:val="64"/>
                <w:rFonts w:ascii="宋体" w:hAnsi="宋体" w:cs="宋体"/>
                <w:szCs w:val="21"/>
              </w:rPr>
            </w:pPr>
            <w:r>
              <w:rPr>
                <w:rStyle w:val="64"/>
                <w:rFonts w:hint="eastAsia" w:ascii="宋体" w:hAnsi="宋体" w:cs="宋体"/>
                <w:szCs w:val="21"/>
              </w:rPr>
              <w:t>（4分）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3596331C">
            <w:pPr>
              <w:jc w:val="left"/>
              <w:rPr>
                <w:rFonts w:ascii="宋体" w:hAnsi="宋体" w:cs="宋体"/>
                <w:szCs w:val="21"/>
              </w:rPr>
            </w:pPr>
            <w:r>
              <w:rPr>
                <w:rFonts w:hint="eastAsia" w:ascii="宋体" w:hAnsi="宋体" w:cs="宋体"/>
                <w:szCs w:val="21"/>
              </w:rPr>
              <w:t>投标人完全响应招标文件中项目售后要求得4分。</w:t>
            </w:r>
          </w:p>
          <w:p w14:paraId="1C51FEFA">
            <w:pPr>
              <w:jc w:val="left"/>
              <w:rPr>
                <w:rFonts w:ascii="宋体" w:hAnsi="宋体" w:cs="宋体"/>
                <w:szCs w:val="21"/>
              </w:rPr>
            </w:pPr>
            <w:r>
              <w:rPr>
                <w:rFonts w:hint="eastAsia" w:ascii="宋体" w:hAnsi="宋体" w:cs="宋体"/>
                <w:b/>
                <w:bCs/>
                <w:szCs w:val="21"/>
              </w:rPr>
              <w:t>（提供承诺函加盖投标人公章，格式自拟）</w:t>
            </w:r>
          </w:p>
        </w:tc>
      </w:tr>
    </w:tbl>
    <w:p w14:paraId="759B7AB6">
      <w:pPr>
        <w:pStyle w:val="2"/>
      </w:pPr>
    </w:p>
    <w:p w14:paraId="050A94BC">
      <w:pPr>
        <w:jc w:val="center"/>
        <w:rPr>
          <w:b/>
          <w:sz w:val="32"/>
          <w:szCs w:val="32"/>
        </w:rPr>
      </w:pPr>
    </w:p>
    <w:p w14:paraId="78EF8B61">
      <w:pPr>
        <w:jc w:val="center"/>
        <w:rPr>
          <w:b/>
          <w:sz w:val="32"/>
          <w:szCs w:val="32"/>
        </w:rPr>
      </w:pPr>
    </w:p>
    <w:p w14:paraId="6200FDE9">
      <w:pPr>
        <w:jc w:val="center"/>
        <w:rPr>
          <w:b/>
          <w:sz w:val="32"/>
          <w:szCs w:val="32"/>
        </w:rPr>
      </w:pPr>
    </w:p>
    <w:p w14:paraId="08442BCE">
      <w:pPr>
        <w:jc w:val="center"/>
        <w:rPr>
          <w:b/>
          <w:sz w:val="32"/>
          <w:szCs w:val="32"/>
        </w:rPr>
      </w:pPr>
    </w:p>
    <w:p w14:paraId="41F34F16">
      <w:pPr>
        <w:jc w:val="center"/>
        <w:rPr>
          <w:b/>
          <w:sz w:val="32"/>
          <w:szCs w:val="32"/>
        </w:rPr>
      </w:pPr>
    </w:p>
    <w:p w14:paraId="1A145B9A">
      <w:pPr>
        <w:jc w:val="center"/>
        <w:rPr>
          <w:b/>
          <w:sz w:val="32"/>
          <w:szCs w:val="32"/>
        </w:rPr>
      </w:pPr>
    </w:p>
    <w:p w14:paraId="09A7B26A">
      <w:pPr>
        <w:jc w:val="center"/>
        <w:rPr>
          <w:b/>
          <w:sz w:val="32"/>
          <w:szCs w:val="32"/>
        </w:rPr>
      </w:pPr>
    </w:p>
    <w:p w14:paraId="1FFA2B16">
      <w:pPr>
        <w:jc w:val="center"/>
        <w:rPr>
          <w:b/>
          <w:sz w:val="32"/>
          <w:szCs w:val="32"/>
        </w:rPr>
      </w:pPr>
    </w:p>
    <w:p w14:paraId="100BE104">
      <w:pPr>
        <w:pStyle w:val="2"/>
      </w:pPr>
    </w:p>
    <w:p w14:paraId="34AA8B55">
      <w:pPr>
        <w:pStyle w:val="2"/>
      </w:pPr>
    </w:p>
    <w:p w14:paraId="3B8FC0EE">
      <w:pPr>
        <w:pStyle w:val="2"/>
      </w:pPr>
    </w:p>
    <w:p w14:paraId="6D9BEE9B">
      <w:pPr>
        <w:pStyle w:val="2"/>
      </w:pPr>
    </w:p>
    <w:p w14:paraId="08D8483E">
      <w:pPr>
        <w:pStyle w:val="2"/>
      </w:pPr>
    </w:p>
    <w:p w14:paraId="16BE826D">
      <w:pPr>
        <w:pStyle w:val="2"/>
      </w:pPr>
    </w:p>
    <w:p w14:paraId="18374F04">
      <w:pPr>
        <w:pStyle w:val="2"/>
      </w:pPr>
    </w:p>
    <w:p w14:paraId="5EF8E714">
      <w:pPr>
        <w:pStyle w:val="2"/>
      </w:pPr>
    </w:p>
    <w:p w14:paraId="00E0D6C9">
      <w:pPr>
        <w:pStyle w:val="2"/>
      </w:pPr>
    </w:p>
    <w:p w14:paraId="3F083814">
      <w:pPr>
        <w:pStyle w:val="2"/>
      </w:pPr>
    </w:p>
    <w:p w14:paraId="328594BF">
      <w:pPr>
        <w:rPr>
          <w:b/>
          <w:sz w:val="32"/>
          <w:szCs w:val="32"/>
        </w:rPr>
      </w:pPr>
    </w:p>
    <w:p w14:paraId="78FE2C34">
      <w:pPr>
        <w:jc w:val="center"/>
        <w:rPr>
          <w:b/>
          <w:sz w:val="32"/>
          <w:szCs w:val="32"/>
        </w:rPr>
      </w:pPr>
      <w:r>
        <w:rPr>
          <w:rFonts w:hint="eastAsia"/>
          <w:b/>
          <w:sz w:val="32"/>
          <w:szCs w:val="32"/>
        </w:rPr>
        <w:t>三、投标人须知</w:t>
      </w:r>
      <w:bookmarkEnd w:id="2"/>
    </w:p>
    <w:p w14:paraId="2E5EA446">
      <w:pPr>
        <w:ind w:firstLine="843" w:firstLineChars="300"/>
        <w:rPr>
          <w:b/>
          <w:sz w:val="28"/>
          <w:szCs w:val="28"/>
        </w:rPr>
      </w:pPr>
      <w:r>
        <w:rPr>
          <w:rFonts w:hint="eastAsia"/>
          <w:b/>
          <w:sz w:val="28"/>
          <w:szCs w:val="28"/>
          <w:lang w:val="en-US" w:eastAsia="zh-CN"/>
        </w:rPr>
        <w:t>一、</w:t>
      </w:r>
      <w:r>
        <w:rPr>
          <w:rFonts w:hint="eastAsia"/>
          <w:b/>
          <w:sz w:val="28"/>
          <w:szCs w:val="28"/>
        </w:rPr>
        <w:t>编制要求</w:t>
      </w:r>
    </w:p>
    <w:p w14:paraId="0CC480E2">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投标人应在仔细阅读院内公开</w:t>
      </w:r>
      <w:r>
        <w:rPr>
          <w:rFonts w:hint="eastAsia" w:ascii="宋体" w:hAnsi="宋体"/>
          <w:szCs w:val="21"/>
          <w:lang w:eastAsia="zh-CN"/>
        </w:rPr>
        <w:t>谈判</w:t>
      </w:r>
      <w:r>
        <w:rPr>
          <w:rFonts w:hint="eastAsia" w:ascii="宋体" w:hAnsi="宋体"/>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697596F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投标人在收到院内公开谈判文件后，若有疑问应以书面形式（包括书面文字、传真、电子邮件等）在规定时间前向招标人提出。招标人将所有问题集中后在统一答复所有投标人。</w:t>
      </w:r>
    </w:p>
    <w:p w14:paraId="5233269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明确标明“正本”或“副本”字样，一旦正本和副本有差异，以正本为准。所有投标资料均需A4纸打印，按照院内公开谈判文件规定的顺序装订。</w:t>
      </w:r>
    </w:p>
    <w:p w14:paraId="3B777B5A">
      <w:pPr>
        <w:ind w:firstLine="843" w:firstLineChars="300"/>
        <w:rPr>
          <w:b/>
          <w:sz w:val="28"/>
          <w:szCs w:val="28"/>
        </w:rPr>
      </w:pPr>
      <w:bookmarkStart w:id="3" w:name="_Toc39744254"/>
      <w:r>
        <w:rPr>
          <w:rFonts w:hint="eastAsia"/>
          <w:b/>
          <w:sz w:val="28"/>
          <w:szCs w:val="28"/>
          <w:lang w:val="en-US" w:eastAsia="zh-CN"/>
        </w:rPr>
        <w:t>二、</w:t>
      </w:r>
      <w:r>
        <w:rPr>
          <w:rFonts w:hint="eastAsia"/>
          <w:b/>
          <w:sz w:val="28"/>
          <w:szCs w:val="28"/>
        </w:rPr>
        <w:t>资格审查要求</w:t>
      </w:r>
      <w:bookmarkEnd w:id="3"/>
    </w:p>
    <w:p w14:paraId="0A0BF7AD">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w:t>
      </w:r>
      <w:r>
        <w:rPr>
          <w:rFonts w:hint="eastAsia" w:ascii="宋体" w:hAnsi="宋体"/>
          <w:b/>
          <w:szCs w:val="21"/>
          <w:lang w:val="en-US" w:eastAsia="zh-CN"/>
        </w:rPr>
        <w:t>.</w:t>
      </w:r>
      <w:r>
        <w:rPr>
          <w:rFonts w:hint="eastAsia" w:ascii="宋体" w:hAnsi="宋体"/>
          <w:b/>
          <w:szCs w:val="21"/>
        </w:rPr>
        <w:t>资格审查方式为资格后审。</w:t>
      </w:r>
    </w:p>
    <w:p w14:paraId="52C63606">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3DAAC347">
      <w:pPr>
        <w:adjustRightInd w:val="0"/>
        <w:snapToGrid w:val="0"/>
        <w:spacing w:line="440" w:lineRule="exact"/>
        <w:ind w:left="424" w:leftChars="202" w:right="531" w:rightChars="253" w:firstLine="457" w:firstLineChars="218"/>
        <w:contextualSpacing/>
        <w:rPr>
          <w:rFonts w:ascii="宋体" w:hAnsi="宋体"/>
          <w:szCs w:val="21"/>
        </w:rPr>
      </w:pPr>
      <w:bookmarkStart w:id="4" w:name="_Toc39744256"/>
      <w:r>
        <w:rPr>
          <w:rFonts w:hint="eastAsia" w:ascii="宋体" w:hAnsi="宋体"/>
          <w:szCs w:val="21"/>
        </w:rPr>
        <w:t>投标人资质要求。承担本项目能力和资格的有关资格证明材料。</w:t>
      </w:r>
    </w:p>
    <w:p w14:paraId="47F4D017">
      <w:pPr>
        <w:adjustRightInd w:val="0"/>
        <w:snapToGrid w:val="0"/>
        <w:spacing w:line="440" w:lineRule="exact"/>
        <w:ind w:left="424" w:leftChars="202" w:right="531" w:rightChars="253" w:firstLine="457" w:firstLineChars="218"/>
        <w:contextualSpacing/>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由工商局签发的投标人工商营业执照副本复印件(加盖公章);</w:t>
      </w:r>
    </w:p>
    <w:p w14:paraId="473D26F7">
      <w:pPr>
        <w:adjustRightInd w:val="0"/>
        <w:snapToGrid w:val="0"/>
        <w:spacing w:line="440" w:lineRule="exact"/>
        <w:ind w:left="424" w:leftChars="202" w:right="531" w:rightChars="253" w:firstLine="457" w:firstLineChars="218"/>
        <w:contextualSpacing/>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服务能力:投标方必须具备实施项目开展和提供后续服务的能力，需提供人员、设备配置清单及服务承诺(格式自拟)。</w:t>
      </w:r>
    </w:p>
    <w:p w14:paraId="00A2D38C">
      <w:pPr>
        <w:adjustRightInd w:val="0"/>
        <w:snapToGrid w:val="0"/>
        <w:spacing w:line="440" w:lineRule="exact"/>
        <w:ind w:left="424" w:leftChars="202" w:right="531" w:rightChars="253" w:firstLine="457" w:firstLineChars="218"/>
        <w:contextualSpacing/>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年1月1日以来完成相关项目一览表:</w:t>
      </w:r>
    </w:p>
    <w:p w14:paraId="23B25B15">
      <w:pPr>
        <w:adjustRightInd w:val="0"/>
        <w:snapToGrid w:val="0"/>
        <w:spacing w:line="440" w:lineRule="exact"/>
        <w:ind w:left="424" w:leftChars="202" w:right="531" w:rightChars="253" w:firstLine="457" w:firstLineChars="218"/>
        <w:contextualSpacing/>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4A301BEA">
      <w:pPr>
        <w:adjustRightInd w:val="0"/>
        <w:snapToGrid w:val="0"/>
        <w:spacing w:line="440" w:lineRule="exact"/>
        <w:ind w:left="424" w:leftChars="202" w:right="531" w:rightChars="253" w:firstLine="332" w:firstLineChars="118"/>
        <w:contextualSpacing/>
        <w:rPr>
          <w:b/>
          <w:sz w:val="28"/>
          <w:szCs w:val="28"/>
        </w:rPr>
      </w:pPr>
      <w:r>
        <w:rPr>
          <w:rFonts w:hint="eastAsia"/>
          <w:b/>
          <w:sz w:val="28"/>
          <w:szCs w:val="28"/>
          <w:lang w:val="en-US" w:eastAsia="zh-CN"/>
        </w:rPr>
        <w:t>三、</w:t>
      </w:r>
      <w:r>
        <w:rPr>
          <w:rFonts w:hint="eastAsia"/>
          <w:b/>
          <w:sz w:val="28"/>
          <w:szCs w:val="28"/>
        </w:rPr>
        <w:t>投标文件要求</w:t>
      </w:r>
      <w:bookmarkEnd w:id="4"/>
    </w:p>
    <w:p w14:paraId="20A3F5FF">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b/>
          <w:szCs w:val="21"/>
        </w:rPr>
        <w:t>投标文件的组成</w:t>
      </w:r>
      <w:r>
        <w:rPr>
          <w:rFonts w:hint="eastAsia" w:ascii="宋体" w:hAnsi="宋体"/>
          <w:szCs w:val="21"/>
        </w:rPr>
        <w:t>：</w:t>
      </w:r>
    </w:p>
    <w:p w14:paraId="22822A0C">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0A796757">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（1）针对本项目院内公开</w:t>
      </w:r>
      <w:r>
        <w:rPr>
          <w:rFonts w:hint="eastAsia" w:ascii="宋体" w:hAnsi="宋体"/>
          <w:szCs w:val="21"/>
          <w:lang w:eastAsia="zh-CN"/>
        </w:rPr>
        <w:t>谈判</w:t>
      </w:r>
      <w:r>
        <w:rPr>
          <w:rFonts w:hint="eastAsia" w:ascii="宋体" w:hAnsi="宋体"/>
          <w:szCs w:val="21"/>
        </w:rPr>
        <w:t>的授权委托书；</w:t>
      </w:r>
    </w:p>
    <w:p w14:paraId="30579947">
      <w:pPr>
        <w:numPr>
          <w:ilvl w:val="0"/>
          <w:numId w:val="0"/>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cs="Times New Roman"/>
          <w:kern w:val="2"/>
          <w:sz w:val="21"/>
          <w:szCs w:val="21"/>
          <w:lang w:val="en-US" w:eastAsia="zh-CN" w:bidi="ar-SA"/>
        </w:rPr>
        <w:t>（2）</w:t>
      </w:r>
      <w:r>
        <w:rPr>
          <w:rFonts w:hint="eastAsia" w:ascii="宋体" w:hAnsi="宋体"/>
          <w:szCs w:val="21"/>
        </w:rPr>
        <w:t>企业法人营业执照；</w:t>
      </w:r>
    </w:p>
    <w:p w14:paraId="2B3B7144">
      <w:pPr>
        <w:numPr>
          <w:ilvl w:val="0"/>
          <w:numId w:val="0"/>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cs="Times New Roman"/>
          <w:kern w:val="2"/>
          <w:sz w:val="21"/>
          <w:szCs w:val="21"/>
          <w:lang w:val="en-US" w:eastAsia="zh-CN" w:bidi="ar-SA"/>
        </w:rPr>
        <w:t>（3）</w:t>
      </w:r>
      <w:r>
        <w:rPr>
          <w:rFonts w:hint="eastAsia" w:ascii="宋体" w:hAnsi="宋体"/>
          <w:szCs w:val="21"/>
        </w:rPr>
        <w:t>企业资质证书</w:t>
      </w:r>
      <w:r>
        <w:rPr>
          <w:rFonts w:hint="eastAsia" w:ascii="宋体"/>
          <w:szCs w:val="21"/>
        </w:rPr>
        <w:t>；</w:t>
      </w:r>
    </w:p>
    <w:p w14:paraId="52C8B63D">
      <w:pPr>
        <w:numPr>
          <w:ilvl w:val="0"/>
          <w:numId w:val="0"/>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cs="Times New Roman"/>
          <w:kern w:val="2"/>
          <w:sz w:val="21"/>
          <w:szCs w:val="21"/>
          <w:lang w:val="en-US" w:eastAsia="zh-CN" w:bidi="ar-SA"/>
        </w:rPr>
        <w:t>（4）</w:t>
      </w:r>
      <w:r>
        <w:rPr>
          <w:rFonts w:hint="eastAsia" w:ascii="宋体" w:hAnsi="宋体"/>
          <w:szCs w:val="21"/>
        </w:rPr>
        <w:t>由社保部门出具的投标人为授权委托人及院内公开谈判经办人缴纳的</w:t>
      </w:r>
      <w:r>
        <w:rPr>
          <w:rFonts w:hint="eastAsia" w:ascii="宋体" w:hAnsi="宋体"/>
          <w:b/>
          <w:szCs w:val="21"/>
        </w:rPr>
        <w:t>近三个月中任意一个月</w:t>
      </w:r>
      <w:r>
        <w:rPr>
          <w:rFonts w:hint="eastAsia" w:ascii="宋体" w:hAnsi="宋体"/>
          <w:szCs w:val="21"/>
        </w:rPr>
        <w:t>养老保险费用的证明材料；</w:t>
      </w:r>
    </w:p>
    <w:p w14:paraId="6950112F">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76C5F465">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02D28224">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3CC551DE">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238787C9">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7EA33A96">
      <w:pPr>
        <w:ind w:firstLine="562" w:firstLineChars="200"/>
        <w:rPr>
          <w:b/>
          <w:sz w:val="28"/>
          <w:szCs w:val="28"/>
        </w:rPr>
      </w:pPr>
      <w:bookmarkStart w:id="5" w:name="_Toc39744257"/>
      <w:r>
        <w:rPr>
          <w:rFonts w:hint="eastAsia"/>
          <w:b/>
          <w:sz w:val="28"/>
          <w:szCs w:val="28"/>
          <w:lang w:val="en-US" w:eastAsia="zh-CN"/>
        </w:rPr>
        <w:t>四、</w:t>
      </w:r>
      <w:r>
        <w:rPr>
          <w:rFonts w:hint="eastAsia"/>
          <w:b/>
          <w:sz w:val="28"/>
          <w:szCs w:val="28"/>
        </w:rPr>
        <w:t>开标、</w:t>
      </w:r>
      <w:bookmarkEnd w:id="5"/>
      <w:r>
        <w:rPr>
          <w:rFonts w:hint="eastAsia"/>
          <w:b/>
          <w:sz w:val="28"/>
          <w:szCs w:val="28"/>
        </w:rPr>
        <w:t>评标</w:t>
      </w:r>
    </w:p>
    <w:p w14:paraId="39740FFA">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开标时，招标方代表或监管部门或投标单位检查投标文件的密封情况，在确认无误后拆封读标。投标文件一经开封不得进行改动。</w:t>
      </w:r>
    </w:p>
    <w:p w14:paraId="736EFE05">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初步评审要求：开标后，招标方将组织审查投标文件是否完整；是否有计算错误。投标文件出现下列情形之一的，将作为无效投标文件：</w:t>
      </w:r>
    </w:p>
    <w:p w14:paraId="6AD3247D">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3C7D4ED5">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771E7003">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0E396D64">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评标小组先评审技术文件，后评审报价文件。</w:t>
      </w:r>
    </w:p>
    <w:p w14:paraId="1E6028FB">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严格按照扬州大学</w:t>
      </w:r>
      <w:r>
        <w:rPr>
          <w:rFonts w:hint="eastAsia" w:ascii="宋体" w:hAnsi="宋体"/>
          <w:szCs w:val="21"/>
          <w:lang w:val="en-US" w:eastAsia="zh-CN"/>
        </w:rPr>
        <w:t>附属医院</w:t>
      </w:r>
      <w:r>
        <w:rPr>
          <w:rFonts w:hint="eastAsia" w:ascii="宋体" w:hAnsi="宋体"/>
          <w:szCs w:val="21"/>
        </w:rPr>
        <w:t>采购管理办法，组成项目评标小组。严格按招标文件，公平、公正、科学、严谨地对投标文件进行综合评定。</w:t>
      </w:r>
    </w:p>
    <w:p w14:paraId="7A45DE3D">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院内公开</w:t>
      </w:r>
      <w:r>
        <w:rPr>
          <w:rFonts w:hint="eastAsia" w:ascii="宋体" w:hAnsi="宋体"/>
          <w:szCs w:val="21"/>
          <w:lang w:eastAsia="zh-CN"/>
        </w:rPr>
        <w:t>谈判</w:t>
      </w:r>
      <w:r>
        <w:rPr>
          <w:rFonts w:hint="eastAsia" w:ascii="宋体" w:hAnsi="宋体"/>
          <w:szCs w:val="21"/>
        </w:rPr>
        <w:t>程序：</w:t>
      </w:r>
    </w:p>
    <w:p w14:paraId="1AD8A794">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（1）资格审查；（2）功能展示、院内谈判；（3）二次报价；（4）综合评分。</w:t>
      </w:r>
    </w:p>
    <w:p w14:paraId="1024C78B">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定标</w:t>
      </w:r>
    </w:p>
    <w:p w14:paraId="430CE758">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符合部门要求的基础上，评分排名第一的单位中标。</w:t>
      </w:r>
      <w:bookmarkStart w:id="6" w:name="_Toc39744258"/>
    </w:p>
    <w:p w14:paraId="3038112D">
      <w:pPr>
        <w:pStyle w:val="28"/>
      </w:pPr>
    </w:p>
    <w:p w14:paraId="636DBBFC">
      <w:pPr>
        <w:pStyle w:val="28"/>
      </w:pPr>
    </w:p>
    <w:p w14:paraId="6C3B1CC3">
      <w:pPr>
        <w:pStyle w:val="28"/>
      </w:pPr>
    </w:p>
    <w:p w14:paraId="53B42E70">
      <w:pPr>
        <w:pStyle w:val="28"/>
      </w:pPr>
    </w:p>
    <w:p w14:paraId="51876E25">
      <w:pPr>
        <w:pStyle w:val="28"/>
      </w:pPr>
    </w:p>
    <w:p w14:paraId="52432B0F">
      <w:pPr>
        <w:pStyle w:val="28"/>
      </w:pPr>
    </w:p>
    <w:p w14:paraId="0E0A6C30">
      <w:pPr>
        <w:pStyle w:val="28"/>
      </w:pPr>
    </w:p>
    <w:p w14:paraId="32E14896">
      <w:pPr>
        <w:pStyle w:val="28"/>
      </w:pPr>
    </w:p>
    <w:p w14:paraId="06D7944D">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6"/>
    </w:p>
    <w:p w14:paraId="6530E371">
      <w:pPr>
        <w:jc w:val="center"/>
        <w:rPr>
          <w:b/>
          <w:sz w:val="36"/>
          <w:szCs w:val="36"/>
        </w:rPr>
      </w:pPr>
    </w:p>
    <w:p w14:paraId="648C4D55">
      <w:pPr>
        <w:jc w:val="center"/>
        <w:rPr>
          <w:rFonts w:ascii="宋体" w:hAnsi="宋体"/>
          <w:b/>
          <w:sz w:val="36"/>
          <w:szCs w:val="36"/>
          <w:u w:val="single"/>
        </w:rPr>
      </w:pPr>
      <w:r>
        <w:rPr>
          <w:rFonts w:hint="eastAsia"/>
          <w:b/>
          <w:sz w:val="36"/>
          <w:szCs w:val="36"/>
        </w:rPr>
        <w:t>目录</w:t>
      </w:r>
    </w:p>
    <w:p w14:paraId="562DC48A">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278C0E4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w:t>
      </w:r>
      <w:r>
        <w:rPr>
          <w:rFonts w:hint="eastAsia" w:ascii="宋体" w:hAnsi="宋体"/>
          <w:snapToGrid w:val="0"/>
          <w:sz w:val="24"/>
          <w:lang w:val="en-US" w:eastAsia="zh-CN"/>
        </w:rPr>
        <w:t>.</w:t>
      </w:r>
      <w:r>
        <w:rPr>
          <w:rFonts w:hint="eastAsia" w:ascii="宋体" w:hAnsi="宋体"/>
          <w:snapToGrid w:val="0"/>
          <w:sz w:val="24"/>
        </w:rPr>
        <w:t>针对本项目的授权委托书原件；</w:t>
      </w:r>
    </w:p>
    <w:p w14:paraId="33AD8AB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w:t>
      </w:r>
      <w:r>
        <w:rPr>
          <w:rFonts w:hint="eastAsia" w:ascii="宋体" w:hAnsi="宋体"/>
          <w:snapToGrid w:val="0"/>
          <w:sz w:val="24"/>
          <w:lang w:val="en-US" w:eastAsia="zh-CN"/>
        </w:rPr>
        <w:t>.</w:t>
      </w:r>
      <w:r>
        <w:rPr>
          <w:rFonts w:hint="eastAsia" w:ascii="宋体" w:hAnsi="宋体"/>
          <w:snapToGrid w:val="0"/>
          <w:sz w:val="24"/>
        </w:rPr>
        <w:t>企业法人营业执照；</w:t>
      </w:r>
    </w:p>
    <w:p w14:paraId="6B00C60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w:t>
      </w:r>
      <w:r>
        <w:rPr>
          <w:rFonts w:hint="eastAsia" w:ascii="宋体" w:hAnsi="宋体"/>
          <w:snapToGrid w:val="0"/>
          <w:sz w:val="24"/>
          <w:lang w:val="en-US" w:eastAsia="zh-CN"/>
        </w:rPr>
        <w:t>.</w:t>
      </w:r>
      <w:r>
        <w:rPr>
          <w:rFonts w:hint="eastAsia" w:ascii="宋体" w:hAnsi="宋体"/>
          <w:snapToGrid w:val="0"/>
          <w:sz w:val="24"/>
        </w:rPr>
        <w:t>由社保部门出具的投标人为经办人及投标报名项目负责人缴纳的近三个月养老保险费用的证明材料（任意一个月）；</w:t>
      </w:r>
    </w:p>
    <w:p w14:paraId="0E80736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w:t>
      </w:r>
      <w:r>
        <w:rPr>
          <w:rFonts w:hint="eastAsia" w:ascii="宋体" w:hAnsi="宋体"/>
          <w:snapToGrid w:val="0"/>
          <w:sz w:val="24"/>
          <w:lang w:val="en-US" w:eastAsia="zh-CN"/>
        </w:rPr>
        <w:t>.</w:t>
      </w:r>
      <w:r>
        <w:rPr>
          <w:rFonts w:hint="eastAsia" w:ascii="宋体" w:hAnsi="宋体"/>
          <w:snapToGrid w:val="0"/>
          <w:sz w:val="24"/>
        </w:rPr>
        <w:t>投标单位不在供应商被“信用中国”网站（www.creditchina.gov.cn）、“中国政府采购网"(www.ccgp.gov.cn)列入失信被执行人、重大税收违法案件当事人名单、政府采购严重违法失信行为记录名单的截图，并盖章。</w:t>
      </w:r>
    </w:p>
    <w:p w14:paraId="4507DB5E">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7161EBD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w:t>
      </w:r>
      <w:r>
        <w:rPr>
          <w:rFonts w:hint="eastAsia" w:ascii="宋体" w:hAnsi="宋体"/>
          <w:snapToGrid w:val="0"/>
          <w:sz w:val="24"/>
          <w:lang w:val="en-US" w:eastAsia="zh-CN"/>
        </w:rPr>
        <w:t>.</w:t>
      </w:r>
      <w:r>
        <w:rPr>
          <w:rFonts w:hint="eastAsia" w:ascii="宋体" w:hAnsi="宋体"/>
          <w:snapToGrid w:val="0"/>
          <w:sz w:val="24"/>
        </w:rPr>
        <w:t>投标函</w:t>
      </w:r>
    </w:p>
    <w:p w14:paraId="5961C8B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w:t>
      </w:r>
      <w:r>
        <w:rPr>
          <w:rFonts w:hint="eastAsia" w:ascii="宋体" w:hAnsi="宋体"/>
          <w:snapToGrid w:val="0"/>
          <w:sz w:val="24"/>
          <w:lang w:val="en-US" w:eastAsia="zh-CN"/>
        </w:rPr>
        <w:t>.</w:t>
      </w:r>
      <w:r>
        <w:rPr>
          <w:rFonts w:hint="eastAsia" w:ascii="宋体" w:hAnsi="宋体"/>
          <w:snapToGrid w:val="0"/>
          <w:sz w:val="24"/>
        </w:rPr>
        <w:t>授权委托书</w:t>
      </w:r>
    </w:p>
    <w:p w14:paraId="4E7303C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w:t>
      </w:r>
      <w:r>
        <w:rPr>
          <w:rFonts w:hint="eastAsia" w:ascii="宋体" w:hAnsi="宋体"/>
          <w:snapToGrid w:val="0"/>
          <w:sz w:val="24"/>
          <w:lang w:val="en-US" w:eastAsia="zh-CN"/>
        </w:rPr>
        <w:t>.</w:t>
      </w:r>
      <w:r>
        <w:rPr>
          <w:rFonts w:hint="eastAsia" w:ascii="宋体" w:hAnsi="宋体"/>
          <w:snapToGrid w:val="0"/>
          <w:sz w:val="24"/>
        </w:rPr>
        <w:t>投标报价</w:t>
      </w:r>
    </w:p>
    <w:p w14:paraId="64C82B9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w:t>
      </w:r>
      <w:r>
        <w:rPr>
          <w:rFonts w:hint="eastAsia" w:ascii="宋体" w:hAnsi="宋体"/>
          <w:snapToGrid w:val="0"/>
          <w:sz w:val="24"/>
          <w:lang w:val="en-US" w:eastAsia="zh-CN"/>
        </w:rPr>
        <w:t>.</w:t>
      </w:r>
      <w:r>
        <w:rPr>
          <w:rFonts w:hint="eastAsia" w:ascii="宋体" w:hAnsi="宋体"/>
          <w:snapToGrid w:val="0"/>
          <w:sz w:val="24"/>
        </w:rPr>
        <w:t>供应商廉洁自律承诺书</w:t>
      </w:r>
    </w:p>
    <w:p w14:paraId="4F99C444">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（三）其他（格式自拟）</w:t>
      </w:r>
    </w:p>
    <w:p w14:paraId="66AE891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w:t>
      </w:r>
      <w:r>
        <w:rPr>
          <w:rFonts w:hint="eastAsia" w:ascii="宋体" w:hAnsi="宋体"/>
          <w:snapToGrid w:val="0"/>
          <w:sz w:val="24"/>
          <w:lang w:val="en-US" w:eastAsia="zh-CN"/>
        </w:rPr>
        <w:t>.</w:t>
      </w:r>
      <w:r>
        <w:rPr>
          <w:rFonts w:hint="eastAsia" w:ascii="宋体" w:hAnsi="宋体"/>
          <w:snapToGrid w:val="0"/>
          <w:sz w:val="24"/>
        </w:rPr>
        <w:t>服务承诺书</w:t>
      </w:r>
    </w:p>
    <w:p w14:paraId="7EEF37F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w:t>
      </w:r>
      <w:r>
        <w:rPr>
          <w:rFonts w:hint="eastAsia" w:ascii="宋体" w:hAnsi="宋体"/>
          <w:snapToGrid w:val="0"/>
          <w:sz w:val="24"/>
          <w:lang w:val="en-US" w:eastAsia="zh-CN"/>
        </w:rPr>
        <w:t>.</w:t>
      </w:r>
      <w:r>
        <w:rPr>
          <w:rFonts w:hint="eastAsia" w:ascii="宋体" w:hAnsi="宋体"/>
          <w:snapToGrid w:val="0"/>
          <w:sz w:val="24"/>
        </w:rPr>
        <w:t>相关项目合同</w:t>
      </w:r>
    </w:p>
    <w:p w14:paraId="6CDE6AC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w:t>
      </w:r>
      <w:r>
        <w:rPr>
          <w:rFonts w:hint="eastAsia" w:ascii="宋体" w:hAnsi="宋体"/>
          <w:snapToGrid w:val="0"/>
          <w:sz w:val="24"/>
          <w:lang w:val="en-US" w:eastAsia="zh-CN"/>
        </w:rPr>
        <w:t>.</w:t>
      </w:r>
      <w:r>
        <w:rPr>
          <w:rFonts w:hint="eastAsia" w:ascii="宋体" w:hAnsi="宋体"/>
          <w:snapToGrid w:val="0"/>
          <w:sz w:val="24"/>
        </w:rPr>
        <w:t>服务方案</w:t>
      </w:r>
    </w:p>
    <w:p w14:paraId="4C5E9E63">
      <w:pPr>
        <w:pStyle w:val="28"/>
      </w:pPr>
    </w:p>
    <w:p w14:paraId="660EE373">
      <w:pPr>
        <w:pStyle w:val="28"/>
      </w:pPr>
    </w:p>
    <w:p w14:paraId="39582AEA">
      <w:pPr>
        <w:pStyle w:val="28"/>
      </w:pPr>
    </w:p>
    <w:p w14:paraId="312EF579">
      <w:pPr>
        <w:adjustRightInd w:val="0"/>
        <w:snapToGrid w:val="0"/>
        <w:spacing w:line="440" w:lineRule="exact"/>
        <w:ind w:left="424" w:leftChars="202" w:firstLine="371" w:firstLineChars="177"/>
        <w:contextualSpacing/>
        <w:rPr>
          <w:rFonts w:ascii="宋体" w:hAnsi="宋体"/>
          <w:bCs/>
          <w:szCs w:val="21"/>
        </w:rPr>
      </w:pPr>
    </w:p>
    <w:p w14:paraId="5F38E510">
      <w:pPr>
        <w:pStyle w:val="2"/>
      </w:pPr>
    </w:p>
    <w:p w14:paraId="2AF8256E">
      <w:pPr>
        <w:pStyle w:val="2"/>
      </w:pPr>
    </w:p>
    <w:p w14:paraId="1E629300">
      <w:pPr>
        <w:pStyle w:val="10"/>
        <w:rPr>
          <w:rFonts w:ascii="黑体" w:hAnsi="Times New Roman" w:eastAsia="黑体"/>
          <w:b/>
          <w:sz w:val="36"/>
        </w:rPr>
      </w:pPr>
    </w:p>
    <w:p w14:paraId="29A44A15">
      <w:pPr>
        <w:pStyle w:val="10"/>
        <w:rPr>
          <w:rFonts w:ascii="黑体" w:hAnsi="Times New Roman" w:eastAsia="黑体"/>
          <w:b/>
          <w:sz w:val="36"/>
        </w:rPr>
      </w:pPr>
    </w:p>
    <w:p w14:paraId="2C727D38">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6C9AC467">
      <w:pPr>
        <w:pStyle w:val="10"/>
        <w:jc w:val="center"/>
        <w:rPr>
          <w:rFonts w:asciiTheme="minorEastAsia" w:hAnsiTheme="minorEastAsia" w:eastAsiaTheme="minorEastAsia"/>
          <w:b/>
          <w:sz w:val="24"/>
          <w:szCs w:val="24"/>
        </w:rPr>
      </w:pPr>
    </w:p>
    <w:p w14:paraId="4D9113F8">
      <w:pPr>
        <w:pStyle w:val="10"/>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项目院内公开谈判活动中所签署的一切文件和处理与之有关的一切事务，我均予以承认。</w:t>
      </w:r>
    </w:p>
    <w:p w14:paraId="073E8198">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0F3C80E8">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355ABF8A">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76023200">
      <w:pPr>
        <w:pStyle w:val="10"/>
        <w:spacing w:line="480" w:lineRule="auto"/>
        <w:ind w:firstLine="360" w:firstLineChars="150"/>
        <w:rPr>
          <w:rFonts w:asciiTheme="minorEastAsia" w:hAnsiTheme="minorEastAsia" w:eastAsiaTheme="minorEastAsia"/>
          <w:sz w:val="24"/>
          <w:szCs w:val="24"/>
        </w:rPr>
      </w:pPr>
    </w:p>
    <w:p w14:paraId="10B6A3BC">
      <w:pPr>
        <w:pStyle w:val="10"/>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29491188">
      <w:pPr>
        <w:pStyle w:val="10"/>
        <w:spacing w:line="480" w:lineRule="auto"/>
        <w:ind w:firstLine="420"/>
        <w:rPr>
          <w:rFonts w:asciiTheme="minorEastAsia" w:hAnsiTheme="minorEastAsia" w:eastAsiaTheme="minorEastAsia"/>
          <w:sz w:val="24"/>
          <w:szCs w:val="24"/>
        </w:rPr>
      </w:pPr>
    </w:p>
    <w:p w14:paraId="4883724B">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50380C40">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0ABADEAB">
      <w:pPr>
        <w:spacing w:line="400" w:lineRule="exact"/>
        <w:ind w:firstLine="480" w:firstLineChars="200"/>
        <w:rPr>
          <w:rFonts w:ascii="宋体" w:hAnsi="宋体"/>
          <w:sz w:val="24"/>
        </w:rPr>
      </w:pPr>
    </w:p>
    <w:p w14:paraId="64E169FA">
      <w:pPr>
        <w:spacing w:line="400" w:lineRule="exact"/>
        <w:rPr>
          <w:rFonts w:ascii="宋体" w:hAnsi="宋体"/>
          <w:sz w:val="28"/>
        </w:rPr>
      </w:pPr>
    </w:p>
    <w:p w14:paraId="7EC42699">
      <w:pPr>
        <w:spacing w:line="400" w:lineRule="exact"/>
        <w:rPr>
          <w:rFonts w:ascii="宋体" w:hAnsi="宋体"/>
          <w:sz w:val="28"/>
        </w:rPr>
      </w:pPr>
    </w:p>
    <w:p w14:paraId="1A2370EA">
      <w:pPr>
        <w:spacing w:line="500" w:lineRule="exact"/>
        <w:jc w:val="center"/>
        <w:rPr>
          <w:rFonts w:ascii="黑体" w:eastAsia="黑体"/>
          <w:b/>
          <w:bCs/>
          <w:sz w:val="36"/>
          <w:szCs w:val="36"/>
        </w:rPr>
      </w:pPr>
    </w:p>
    <w:p w14:paraId="314EE04B">
      <w:pPr>
        <w:pStyle w:val="10"/>
        <w:jc w:val="center"/>
        <w:rPr>
          <w:rFonts w:ascii="黑体" w:hAnsi="Times New Roman" w:eastAsia="黑体"/>
          <w:b/>
          <w:sz w:val="36"/>
        </w:rPr>
      </w:pPr>
    </w:p>
    <w:p w14:paraId="514A8A27">
      <w:pPr>
        <w:pStyle w:val="10"/>
        <w:rPr>
          <w:rFonts w:ascii="黑体" w:eastAsia="黑体"/>
          <w:b/>
          <w:bCs/>
          <w:sz w:val="36"/>
          <w:szCs w:val="36"/>
        </w:rPr>
      </w:pPr>
    </w:p>
    <w:p w14:paraId="59CEB435">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5906EC1D">
      <w:pPr>
        <w:spacing w:line="540" w:lineRule="exact"/>
      </w:pPr>
    </w:p>
    <w:p w14:paraId="416AFD41">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1792BAB9">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01A94970">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609B655B">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4FBEF1B1">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1E91CD2C">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7E9B353">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AA202F4">
      <w:pPr>
        <w:adjustRightInd w:val="0"/>
        <w:snapToGrid w:val="0"/>
        <w:spacing w:line="700" w:lineRule="exact"/>
        <w:ind w:left="424" w:leftChars="202" w:right="531" w:rightChars="253" w:firstLine="424" w:firstLineChars="177"/>
        <w:contextualSpacing/>
        <w:rPr>
          <w:rFonts w:ascii="宋体" w:hAnsi="宋体"/>
          <w:sz w:val="24"/>
        </w:rPr>
      </w:pPr>
    </w:p>
    <w:p w14:paraId="42D1B4B9">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7B380E99">
      <w:pPr>
        <w:pStyle w:val="11"/>
        <w:widowControl/>
        <w:spacing w:line="540" w:lineRule="exact"/>
        <w:ind w:left="5250" w:leftChars="0"/>
        <w:jc w:val="center"/>
        <w:rPr>
          <w:rFonts w:hAnsi="宋体"/>
          <w:szCs w:val="32"/>
        </w:rPr>
      </w:pPr>
    </w:p>
    <w:p w14:paraId="28B572B1">
      <w:pPr>
        <w:pStyle w:val="11"/>
        <w:widowControl/>
        <w:spacing w:line="540" w:lineRule="exact"/>
        <w:ind w:left="5250" w:leftChars="0"/>
        <w:jc w:val="center"/>
        <w:rPr>
          <w:rFonts w:ascii="宋体" w:hAnsi="宋体" w:eastAsia="宋体"/>
          <w:szCs w:val="32"/>
        </w:rPr>
      </w:pPr>
    </w:p>
    <w:p w14:paraId="608922DD">
      <w:pPr>
        <w:pStyle w:val="11"/>
        <w:widowControl/>
        <w:spacing w:line="540" w:lineRule="exact"/>
        <w:ind w:left="5250" w:leftChars="0"/>
        <w:jc w:val="center"/>
        <w:rPr>
          <w:rFonts w:ascii="宋体" w:hAnsi="宋体" w:eastAsia="宋体"/>
          <w:szCs w:val="32"/>
        </w:rPr>
      </w:pPr>
    </w:p>
    <w:p w14:paraId="78912D5F">
      <w:pPr>
        <w:pStyle w:val="11"/>
        <w:widowControl/>
        <w:spacing w:line="540" w:lineRule="exact"/>
        <w:ind w:left="5250" w:leftChars="0"/>
        <w:jc w:val="center"/>
        <w:rPr>
          <w:rFonts w:ascii="宋体" w:hAnsi="宋体" w:eastAsia="宋体"/>
          <w:szCs w:val="32"/>
        </w:rPr>
      </w:pPr>
    </w:p>
    <w:p w14:paraId="3A8DCB1B">
      <w:pPr>
        <w:pStyle w:val="11"/>
        <w:widowControl/>
        <w:spacing w:line="540" w:lineRule="exact"/>
        <w:ind w:left="5250" w:leftChars="0"/>
        <w:jc w:val="center"/>
        <w:rPr>
          <w:rFonts w:ascii="宋体" w:hAnsi="宋体" w:eastAsia="宋体"/>
          <w:szCs w:val="32"/>
        </w:rPr>
      </w:pPr>
    </w:p>
    <w:p w14:paraId="36D2C7A4">
      <w:pPr>
        <w:pStyle w:val="11"/>
        <w:widowControl/>
        <w:spacing w:line="540" w:lineRule="exact"/>
        <w:ind w:left="5250" w:leftChars="0"/>
        <w:jc w:val="center"/>
        <w:rPr>
          <w:rFonts w:ascii="宋体" w:hAnsi="宋体" w:eastAsia="宋体"/>
          <w:szCs w:val="32"/>
        </w:rPr>
      </w:pPr>
    </w:p>
    <w:p w14:paraId="17EE6F5B">
      <w:pPr>
        <w:rPr>
          <w:rFonts w:ascii="宋体" w:hAnsi="宋体"/>
          <w:szCs w:val="32"/>
        </w:rPr>
      </w:pPr>
      <w:r>
        <w:rPr>
          <w:rFonts w:hint="eastAsia" w:ascii="宋体" w:hAnsi="宋体"/>
          <w:szCs w:val="32"/>
        </w:rPr>
        <w:br w:type="page"/>
      </w:r>
    </w:p>
    <w:p w14:paraId="647900CE">
      <w:pPr>
        <w:spacing w:line="360" w:lineRule="auto"/>
        <w:ind w:firstLine="3975" w:firstLineChars="1100"/>
        <w:rPr>
          <w:rFonts w:ascii="宋体" w:hAnsi="宋体"/>
          <w:b/>
          <w:sz w:val="36"/>
          <w:szCs w:val="36"/>
        </w:rPr>
      </w:pPr>
      <w:r>
        <w:rPr>
          <w:rFonts w:hint="eastAsia" w:ascii="宋体" w:hAnsi="宋体"/>
          <w:b/>
          <w:sz w:val="36"/>
          <w:szCs w:val="36"/>
        </w:rPr>
        <w:t>投标函</w:t>
      </w:r>
    </w:p>
    <w:p w14:paraId="6DEBCB55">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4C39C502">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项目的院内公开谈判文件，遵照扬州大学附属医院采购管理暂行办法，我单位经研究上述院内公开</w:t>
      </w:r>
      <w:r>
        <w:rPr>
          <w:rFonts w:hint="eastAsia" w:ascii="宋体" w:hAnsi="宋体"/>
          <w:bCs/>
          <w:sz w:val="24"/>
          <w:lang w:eastAsia="zh-CN"/>
        </w:rPr>
        <w:t>谈判</w:t>
      </w:r>
      <w:r>
        <w:rPr>
          <w:rFonts w:hint="eastAsia" w:ascii="宋体" w:hAnsi="宋体"/>
          <w:bCs/>
          <w:sz w:val="24"/>
        </w:rPr>
        <w:t>文件的投标须知、合同条件、技术规范、和其他有关文件后，我方投标报价为</w:t>
      </w:r>
    </w:p>
    <w:p w14:paraId="0D66CDB5">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 xml:space="preserve"> </w:t>
      </w:r>
      <w:r>
        <w:rPr>
          <w:rFonts w:hint="eastAsia" w:ascii="宋体" w:hAnsi="宋体"/>
          <w:bCs/>
          <w:sz w:val="24"/>
          <w:u w:val="single"/>
        </w:rPr>
        <w:t xml:space="preserve">       万元</w:t>
      </w:r>
      <w:r>
        <w:rPr>
          <w:rFonts w:hint="eastAsia" w:ascii="宋体" w:hAnsi="宋体"/>
          <w:bCs/>
          <w:sz w:val="24"/>
        </w:rPr>
        <w:t>。</w:t>
      </w:r>
    </w:p>
    <w:p w14:paraId="29D6C383">
      <w:pPr>
        <w:spacing w:line="360" w:lineRule="auto"/>
        <w:rPr>
          <w:rFonts w:ascii="宋体" w:hAnsi="宋体"/>
          <w:bCs/>
          <w:sz w:val="24"/>
        </w:rPr>
      </w:pPr>
    </w:p>
    <w:p w14:paraId="536018EF">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750B23D8">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1827EFA9">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3D9834A5">
      <w:pPr>
        <w:jc w:val="center"/>
        <w:rPr>
          <w:rFonts w:ascii="宋体" w:hAnsi="宋体"/>
          <w:b/>
          <w:sz w:val="24"/>
        </w:rPr>
      </w:pPr>
      <w:r>
        <w:rPr>
          <w:rFonts w:hint="eastAsia" w:ascii="宋体" w:hAnsi="宋体"/>
          <w:sz w:val="24"/>
        </w:rPr>
        <w:br w:type="page"/>
      </w:r>
    </w:p>
    <w:p w14:paraId="4D9B5B13">
      <w:pPr>
        <w:jc w:val="center"/>
        <w:rPr>
          <w:rFonts w:ascii="宋体" w:hAnsi="宋体"/>
          <w:b/>
          <w:sz w:val="36"/>
          <w:szCs w:val="36"/>
        </w:rPr>
      </w:pPr>
      <w:r>
        <w:rPr>
          <w:rFonts w:hint="eastAsia" w:ascii="宋体" w:hAnsi="宋体"/>
          <w:b/>
          <w:sz w:val="36"/>
          <w:szCs w:val="36"/>
        </w:rPr>
        <w:t>投标报价</w:t>
      </w:r>
    </w:p>
    <w:p w14:paraId="2CC5632C">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45D7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4EAA19FF">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2B755343">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2337BB52">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7D5F9C66">
            <w:pPr>
              <w:jc w:val="center"/>
              <w:rPr>
                <w:rFonts w:ascii="宋体" w:hAnsi="宋体"/>
                <w:b/>
                <w:sz w:val="28"/>
                <w:szCs w:val="28"/>
              </w:rPr>
            </w:pPr>
            <w:r>
              <w:rPr>
                <w:rFonts w:hint="eastAsia" w:ascii="宋体" w:hAnsi="宋体"/>
                <w:b/>
                <w:sz w:val="28"/>
                <w:szCs w:val="28"/>
              </w:rPr>
              <w:t>报价</w:t>
            </w:r>
          </w:p>
        </w:tc>
      </w:tr>
      <w:tr w14:paraId="580C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58A5D05">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02B1128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9210537">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2B40D18">
            <w:pPr>
              <w:jc w:val="center"/>
              <w:rPr>
                <w:rFonts w:ascii="宋体" w:hAnsi="宋体"/>
                <w:sz w:val="24"/>
              </w:rPr>
            </w:pPr>
          </w:p>
        </w:tc>
      </w:tr>
      <w:tr w14:paraId="16C8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2138E26">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4F3C701F">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EC4A16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BC6848C">
            <w:pPr>
              <w:jc w:val="center"/>
              <w:rPr>
                <w:rFonts w:ascii="宋体" w:hAnsi="宋体"/>
                <w:sz w:val="24"/>
              </w:rPr>
            </w:pPr>
          </w:p>
        </w:tc>
      </w:tr>
      <w:tr w14:paraId="2169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86DAEAF">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2B674170">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7F11B9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4EC1D5C">
            <w:pPr>
              <w:jc w:val="center"/>
              <w:rPr>
                <w:rFonts w:ascii="宋体" w:hAnsi="宋体"/>
                <w:sz w:val="24"/>
              </w:rPr>
            </w:pPr>
          </w:p>
        </w:tc>
      </w:tr>
      <w:tr w14:paraId="084F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A1187D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419B426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4B935C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4CFC2F2">
            <w:pPr>
              <w:jc w:val="left"/>
              <w:rPr>
                <w:rFonts w:ascii="宋体" w:hAnsi="宋体"/>
                <w:sz w:val="24"/>
              </w:rPr>
            </w:pPr>
          </w:p>
        </w:tc>
      </w:tr>
      <w:tr w14:paraId="1A3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F4E7FC5">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4DF21AF9">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8FBF76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549311B">
            <w:pPr>
              <w:jc w:val="left"/>
              <w:rPr>
                <w:rFonts w:ascii="宋体" w:hAnsi="宋体"/>
                <w:sz w:val="24"/>
              </w:rPr>
            </w:pPr>
          </w:p>
        </w:tc>
      </w:tr>
      <w:tr w14:paraId="550D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552B45D">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285CCB5F">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0338F8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D3E0B98">
            <w:pPr>
              <w:jc w:val="left"/>
              <w:rPr>
                <w:rFonts w:ascii="宋体" w:hAnsi="宋体"/>
                <w:sz w:val="24"/>
              </w:rPr>
            </w:pPr>
          </w:p>
        </w:tc>
      </w:tr>
      <w:tr w14:paraId="04AC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0D45795">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EEC0099">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7D8E0DB">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91BB58A">
            <w:pPr>
              <w:jc w:val="left"/>
              <w:rPr>
                <w:rFonts w:ascii="宋体" w:hAnsi="宋体"/>
                <w:sz w:val="24"/>
              </w:rPr>
            </w:pPr>
          </w:p>
        </w:tc>
      </w:tr>
      <w:tr w14:paraId="41CD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BC34A8C">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742AF9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4DA0EE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633D36F">
            <w:pPr>
              <w:jc w:val="center"/>
              <w:rPr>
                <w:rFonts w:ascii="宋体" w:hAnsi="宋体"/>
                <w:sz w:val="24"/>
              </w:rPr>
            </w:pPr>
          </w:p>
        </w:tc>
      </w:tr>
      <w:tr w14:paraId="33DB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43597F7">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6CA2902">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AFDC75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133B0BD">
            <w:pPr>
              <w:jc w:val="center"/>
              <w:rPr>
                <w:rFonts w:ascii="宋体" w:hAnsi="宋体"/>
                <w:sz w:val="24"/>
              </w:rPr>
            </w:pPr>
          </w:p>
        </w:tc>
      </w:tr>
      <w:tr w14:paraId="37B0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99BE2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98E501A">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A8832C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35EB76B">
            <w:pPr>
              <w:jc w:val="center"/>
              <w:rPr>
                <w:rFonts w:ascii="宋体" w:hAnsi="宋体"/>
                <w:sz w:val="24"/>
              </w:rPr>
            </w:pPr>
          </w:p>
        </w:tc>
      </w:tr>
      <w:tr w14:paraId="2AA3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133BA07">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747447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A87F3E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EEFA334">
            <w:pPr>
              <w:jc w:val="center"/>
              <w:rPr>
                <w:rFonts w:ascii="宋体" w:hAnsi="宋体"/>
                <w:sz w:val="24"/>
              </w:rPr>
            </w:pPr>
          </w:p>
        </w:tc>
      </w:tr>
      <w:tr w14:paraId="43BC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8608F62">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D56FD68">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752DDFD">
            <w:pPr>
              <w:jc w:val="center"/>
              <w:rPr>
                <w:rFonts w:ascii="宋体" w:hAnsi="宋体"/>
                <w:sz w:val="24"/>
              </w:rPr>
            </w:pPr>
          </w:p>
          <w:p w14:paraId="64039372">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09C257CE">
            <w:pPr>
              <w:jc w:val="center"/>
              <w:rPr>
                <w:rFonts w:ascii="宋体" w:hAnsi="宋体"/>
                <w:sz w:val="24"/>
              </w:rPr>
            </w:pPr>
          </w:p>
        </w:tc>
      </w:tr>
      <w:tr w14:paraId="6DB8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DCEAFC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9A93DD3">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434A16DC">
            <w:pPr>
              <w:jc w:val="center"/>
              <w:rPr>
                <w:rFonts w:ascii="宋体" w:hAnsi="宋体"/>
                <w:b/>
                <w:sz w:val="24"/>
              </w:rPr>
            </w:pPr>
          </w:p>
        </w:tc>
      </w:tr>
    </w:tbl>
    <w:p w14:paraId="04770E5F">
      <w:pPr>
        <w:jc w:val="center"/>
        <w:rPr>
          <w:rFonts w:ascii="宋体" w:hAnsi="宋体"/>
          <w:b/>
          <w:sz w:val="24"/>
        </w:rPr>
      </w:pPr>
    </w:p>
    <w:p w14:paraId="2B06A853">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76831E39">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77E7A79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6176CEE2">
      <w:pPr>
        <w:jc w:val="center"/>
        <w:rPr>
          <w:rFonts w:ascii="宋体" w:hAnsi="宋体"/>
          <w:b/>
          <w:sz w:val="24"/>
        </w:rPr>
      </w:pPr>
    </w:p>
    <w:p w14:paraId="74CCA227">
      <w:pPr>
        <w:jc w:val="center"/>
        <w:rPr>
          <w:rFonts w:ascii="宋体" w:hAnsi="宋体"/>
          <w:b/>
          <w:sz w:val="24"/>
        </w:rPr>
      </w:pPr>
    </w:p>
    <w:p w14:paraId="4CE3AB54">
      <w:pPr>
        <w:rPr>
          <w:rFonts w:ascii="宋体" w:hAnsi="宋体"/>
          <w:b/>
          <w:sz w:val="24"/>
        </w:rPr>
      </w:pPr>
    </w:p>
    <w:p w14:paraId="148B21DA">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4AE69554">
      <w:pPr>
        <w:rPr>
          <w:rFonts w:ascii="楷体_GB2312" w:eastAsia="楷体_GB2312"/>
        </w:rPr>
      </w:pPr>
    </w:p>
    <w:p w14:paraId="51EEA27E">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                 项目院内公开</w:t>
      </w:r>
      <w:r>
        <w:rPr>
          <w:rFonts w:hint="eastAsia" w:asciiTheme="minorEastAsia" w:hAnsiTheme="minorEastAsia" w:eastAsiaTheme="minorEastAsia"/>
          <w:bCs/>
          <w:sz w:val="24"/>
          <w:lang w:eastAsia="zh-CN"/>
        </w:rPr>
        <w:t>谈判</w:t>
      </w:r>
      <w:r>
        <w:rPr>
          <w:rFonts w:hint="eastAsia" w:asciiTheme="minorEastAsia" w:hAnsiTheme="minorEastAsia" w:eastAsiaTheme="minorEastAsia"/>
          <w:bCs/>
          <w:sz w:val="24"/>
        </w:rPr>
        <w:t>是实行公开、公平、公正的阳光工程，给予了每个供应商平等竞争的机会。作为参与此次院内公开谈判活动的承包商,我公司现郑重作出以下承诺：</w:t>
      </w:r>
    </w:p>
    <w:p w14:paraId="100DBA41">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一、遵守《中华人民共和国政府采购法》及省、市有关政府采购的各项法律、法规和制度以及《扬州大学附属医院采购管理暂行办法》的规定。</w:t>
      </w:r>
    </w:p>
    <w:p w14:paraId="59C8F27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06219865">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0C4A6F99">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50F1E35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0CCB817A">
      <w:pPr>
        <w:pStyle w:val="12"/>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6D879F3E">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0DA1DA7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61AEFA4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7DA00EED">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674FC273">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    月   日</w:t>
      </w:r>
    </w:p>
    <w:p w14:paraId="6692859A">
      <w:pPr>
        <w:jc w:val="center"/>
        <w:rPr>
          <w:rFonts w:ascii="宋体" w:hAnsi="宋体"/>
          <w:b/>
          <w:sz w:val="24"/>
        </w:rPr>
      </w:pPr>
    </w:p>
    <w:p w14:paraId="2F84F708">
      <w:pPr>
        <w:rPr>
          <w:sz w:val="24"/>
        </w:rPr>
      </w:pPr>
    </w:p>
    <w:p w14:paraId="0FBD7B46">
      <w:pPr>
        <w:pStyle w:val="2"/>
      </w:pPr>
    </w:p>
    <w:p w14:paraId="4CECCDB3">
      <w:pPr>
        <w:pStyle w:val="2"/>
      </w:pPr>
    </w:p>
    <w:p w14:paraId="4A44F6C2">
      <w:pPr>
        <w:pStyle w:val="2"/>
      </w:pPr>
    </w:p>
    <w:p w14:paraId="5E9B6918">
      <w:pPr>
        <w:pStyle w:val="2"/>
      </w:pPr>
    </w:p>
    <w:p w14:paraId="0C6D0CA9">
      <w:pPr>
        <w:spacing w:line="340" w:lineRule="exact"/>
        <w:jc w:val="center"/>
        <w:rPr>
          <w:rFonts w:eastAsia="楷体"/>
          <w:b/>
          <w:bCs/>
          <w:sz w:val="30"/>
          <w:szCs w:val="30"/>
        </w:rPr>
      </w:pPr>
      <w:r>
        <w:rPr>
          <w:rFonts w:hint="eastAsia" w:eastAsia="楷体"/>
          <w:b/>
          <w:bCs/>
          <w:sz w:val="30"/>
          <w:szCs w:val="30"/>
        </w:rPr>
        <w:t>扬州大学附属医院网络舆情监测项目服务</w:t>
      </w:r>
      <w:r>
        <w:rPr>
          <w:rFonts w:eastAsia="楷体"/>
          <w:b/>
          <w:bCs/>
          <w:sz w:val="30"/>
          <w:szCs w:val="30"/>
        </w:rPr>
        <w:t>合同</w:t>
      </w:r>
    </w:p>
    <w:p w14:paraId="6ABD3541">
      <w:pPr>
        <w:spacing w:line="360" w:lineRule="auto"/>
        <w:ind w:firstLine="420" w:firstLineChars="200"/>
        <w:textAlignment w:val="baseline"/>
        <w:rPr>
          <w:rFonts w:ascii="宋体" w:hAnsi="宋体"/>
          <w:szCs w:val="21"/>
        </w:rPr>
      </w:pPr>
      <w:r>
        <w:rPr>
          <w:rFonts w:ascii="宋体" w:hAnsi="宋体"/>
          <w:szCs w:val="21"/>
        </w:rPr>
        <w:t>合同编号：</w:t>
      </w:r>
    </w:p>
    <w:p w14:paraId="4110CE67">
      <w:pPr>
        <w:spacing w:line="360" w:lineRule="auto"/>
        <w:ind w:firstLine="420" w:firstLineChars="200"/>
        <w:textAlignment w:val="baseline"/>
        <w:rPr>
          <w:rFonts w:ascii="宋体" w:hAnsi="宋体"/>
          <w:szCs w:val="21"/>
        </w:rPr>
      </w:pPr>
      <w:r>
        <w:rPr>
          <w:rFonts w:ascii="宋体" w:hAnsi="宋体"/>
          <w:szCs w:val="21"/>
        </w:rPr>
        <w:t xml:space="preserve">甲方：                        </w:t>
      </w:r>
    </w:p>
    <w:p w14:paraId="474560A5">
      <w:pPr>
        <w:spacing w:line="360" w:lineRule="auto"/>
        <w:ind w:firstLine="420" w:firstLineChars="200"/>
        <w:textAlignment w:val="baseline"/>
        <w:rPr>
          <w:rFonts w:ascii="宋体" w:hAnsi="宋体"/>
          <w:szCs w:val="21"/>
        </w:rPr>
      </w:pPr>
      <w:r>
        <w:rPr>
          <w:rFonts w:ascii="宋体" w:hAnsi="宋体"/>
          <w:szCs w:val="21"/>
        </w:rPr>
        <w:t xml:space="preserve">乙方：                                  </w:t>
      </w:r>
    </w:p>
    <w:p w14:paraId="636FB41F">
      <w:pPr>
        <w:spacing w:line="360" w:lineRule="auto"/>
        <w:ind w:firstLine="420" w:firstLineChars="200"/>
        <w:textAlignment w:val="baseline"/>
        <w:rPr>
          <w:rFonts w:ascii="宋体" w:hAnsi="宋体"/>
          <w:szCs w:val="21"/>
        </w:rPr>
      </w:pPr>
      <w:r>
        <w:rPr>
          <w:rFonts w:ascii="宋体" w:hAnsi="宋体"/>
          <w:szCs w:val="21"/>
        </w:rPr>
        <w:t>根据《中华人民共和国民法典》等相关法律法规的规定，甲乙双方在平等自愿、互利互惠的基础上，为明确双方权利义务，经双方协商一致，特签订以下合同条款。</w:t>
      </w:r>
    </w:p>
    <w:p w14:paraId="77FC4BFF">
      <w:pPr>
        <w:spacing w:line="360" w:lineRule="auto"/>
        <w:ind w:firstLine="420" w:firstLineChars="200"/>
        <w:textAlignment w:val="baseline"/>
        <w:rPr>
          <w:rFonts w:ascii="宋体" w:hAnsi="宋体"/>
          <w:szCs w:val="21"/>
        </w:rPr>
      </w:pPr>
      <w:r>
        <w:rPr>
          <w:rFonts w:ascii="宋体" w:hAnsi="宋体"/>
          <w:szCs w:val="21"/>
        </w:rPr>
        <w:t>一、</w:t>
      </w:r>
      <w:r>
        <w:rPr>
          <w:rFonts w:hint="eastAsia" w:ascii="宋体" w:hAnsi="宋体"/>
          <w:szCs w:val="21"/>
        </w:rPr>
        <w:t>服务费用、内容和要求</w:t>
      </w:r>
    </w:p>
    <w:p w14:paraId="7A5AEB24">
      <w:pPr>
        <w:spacing w:line="360" w:lineRule="auto"/>
        <w:ind w:firstLine="420" w:firstLineChars="200"/>
        <w:textAlignment w:val="baseline"/>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乙方为甲方提供医院网络舆情监测服务，按时、按质、按量完成相关事宜，详见招标文件。</w:t>
      </w:r>
    </w:p>
    <w:p w14:paraId="022B5021">
      <w:pPr>
        <w:spacing w:line="360" w:lineRule="auto"/>
        <w:ind w:firstLine="420" w:firstLineChars="200"/>
        <w:textAlignment w:val="baseline"/>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服务费用总计¥</w:t>
      </w:r>
      <w:r>
        <w:rPr>
          <w:rFonts w:ascii="宋体" w:hAnsi="宋体"/>
          <w:szCs w:val="21"/>
        </w:rPr>
        <w:t xml:space="preserve">      </w:t>
      </w:r>
      <w:r>
        <w:rPr>
          <w:rFonts w:hint="eastAsia" w:ascii="宋体" w:hAnsi="宋体"/>
          <w:szCs w:val="21"/>
        </w:rPr>
        <w:t xml:space="preserve">元（大写：人民币 </w:t>
      </w:r>
      <w:r>
        <w:rPr>
          <w:rFonts w:ascii="宋体" w:hAnsi="宋体"/>
          <w:szCs w:val="21"/>
        </w:rPr>
        <w:t xml:space="preserve">          </w:t>
      </w:r>
      <w:r>
        <w:rPr>
          <w:rFonts w:hint="eastAsia" w:ascii="宋体" w:hAnsi="宋体"/>
          <w:szCs w:val="21"/>
        </w:rPr>
        <w:t>元整）。</w:t>
      </w:r>
    </w:p>
    <w:p w14:paraId="4F1EF2D4">
      <w:pPr>
        <w:spacing w:line="360" w:lineRule="auto"/>
        <w:ind w:firstLine="420" w:firstLineChars="200"/>
        <w:textAlignment w:val="baseline"/>
        <w:rPr>
          <w:rFonts w:ascii="宋体" w:hAnsi="宋体"/>
          <w:szCs w:val="21"/>
        </w:rPr>
      </w:pPr>
      <w:r>
        <w:rPr>
          <w:rFonts w:hint="eastAsia" w:ascii="宋体" w:hAnsi="宋体"/>
          <w:szCs w:val="21"/>
        </w:rPr>
        <w:t>二、服务周期</w:t>
      </w:r>
    </w:p>
    <w:p w14:paraId="61F74E80">
      <w:pPr>
        <w:spacing w:line="360" w:lineRule="auto"/>
        <w:ind w:firstLine="420" w:firstLineChars="200"/>
        <w:textAlignment w:val="baseline"/>
        <w:rPr>
          <w:rFonts w:ascii="宋体" w:hAnsi="宋体"/>
          <w:szCs w:val="21"/>
        </w:rPr>
      </w:pPr>
      <w:r>
        <w:rPr>
          <w:rFonts w:hint="eastAsia" w:ascii="宋体" w:hAnsi="宋体"/>
          <w:szCs w:val="21"/>
          <w:lang w:val="en-US" w:eastAsia="zh-CN"/>
        </w:rPr>
        <w:t>服务期三年，合同一年一签，自合同签字盖章起生效</w:t>
      </w:r>
      <w:r>
        <w:rPr>
          <w:rFonts w:hint="eastAsia" w:ascii="宋体" w:hAnsi="宋体"/>
          <w:szCs w:val="21"/>
        </w:rPr>
        <w:t>。</w:t>
      </w:r>
    </w:p>
    <w:p w14:paraId="5EB07135">
      <w:pPr>
        <w:spacing w:line="360" w:lineRule="auto"/>
        <w:ind w:firstLine="420" w:firstLineChars="200"/>
        <w:textAlignment w:val="baseline"/>
        <w:rPr>
          <w:rFonts w:ascii="宋体" w:hAnsi="宋体"/>
          <w:szCs w:val="21"/>
        </w:rPr>
      </w:pPr>
      <w:r>
        <w:rPr>
          <w:rFonts w:ascii="宋体" w:hAnsi="宋体"/>
          <w:szCs w:val="21"/>
        </w:rPr>
        <w:t>三、结算及付款方式</w:t>
      </w:r>
    </w:p>
    <w:p w14:paraId="6EFDA217">
      <w:pPr>
        <w:spacing w:line="360" w:lineRule="auto"/>
        <w:ind w:firstLine="420" w:firstLineChars="200"/>
        <w:textAlignment w:val="baseline"/>
        <w:rPr>
          <w:rFonts w:hint="eastAsia" w:ascii="宋体" w:hAnsi="宋体" w:eastAsia="宋体"/>
          <w:color w:val="FF0000"/>
          <w:szCs w:val="21"/>
          <w:lang w:val="en-US" w:eastAsia="zh-CN"/>
        </w:rPr>
      </w:pPr>
      <w:r>
        <w:rPr>
          <w:rFonts w:hint="eastAsia" w:ascii="宋体" w:hAnsi="宋体"/>
          <w:color w:val="FF0000"/>
          <w:szCs w:val="21"/>
        </w:rPr>
        <w:t>合同签订后不付预付款。项目</w:t>
      </w:r>
      <w:r>
        <w:rPr>
          <w:rFonts w:hint="eastAsia" w:ascii="宋体" w:hAnsi="宋体"/>
          <w:color w:val="FF0000"/>
          <w:szCs w:val="21"/>
          <w:lang w:val="en-US" w:eastAsia="zh-CN"/>
        </w:rPr>
        <w:t>年度</w:t>
      </w:r>
      <w:r>
        <w:rPr>
          <w:rFonts w:hint="eastAsia" w:ascii="宋体" w:hAnsi="宋体"/>
          <w:color w:val="FF0000"/>
          <w:szCs w:val="21"/>
        </w:rPr>
        <w:t>服务完毕，验收合格后，甲方向乙方支付</w:t>
      </w:r>
      <w:r>
        <w:rPr>
          <w:rFonts w:hint="eastAsia" w:ascii="宋体" w:hAnsi="宋体"/>
          <w:color w:val="FF0000"/>
          <w:szCs w:val="21"/>
          <w:lang w:val="en-US" w:eastAsia="zh-CN"/>
        </w:rPr>
        <w:t>本年度</w:t>
      </w:r>
      <w:r>
        <w:rPr>
          <w:rFonts w:hint="eastAsia" w:ascii="宋体" w:hAnsi="宋体"/>
          <w:color w:val="FF0000"/>
          <w:szCs w:val="21"/>
        </w:rPr>
        <w:t>全额合同金额。</w:t>
      </w:r>
    </w:p>
    <w:p w14:paraId="30E3A4FE">
      <w:pPr>
        <w:spacing w:line="360" w:lineRule="auto"/>
        <w:ind w:firstLine="420" w:firstLineChars="200"/>
        <w:textAlignment w:val="baseline"/>
        <w:rPr>
          <w:rFonts w:ascii="宋体" w:hAnsi="宋体"/>
          <w:szCs w:val="21"/>
        </w:rPr>
      </w:pPr>
      <w:r>
        <w:rPr>
          <w:rFonts w:hint="eastAsia" w:ascii="宋体" w:hAnsi="宋体"/>
          <w:szCs w:val="21"/>
        </w:rPr>
        <w:t>四</w:t>
      </w:r>
      <w:r>
        <w:rPr>
          <w:rFonts w:ascii="宋体" w:hAnsi="宋体"/>
          <w:szCs w:val="21"/>
        </w:rPr>
        <w:t>、风险责任的承担</w:t>
      </w:r>
    </w:p>
    <w:p w14:paraId="3973E0D1">
      <w:pPr>
        <w:spacing w:line="360" w:lineRule="auto"/>
        <w:ind w:firstLine="420" w:firstLineChars="200"/>
        <w:textAlignment w:val="baseline"/>
        <w:rPr>
          <w:rFonts w:ascii="宋体" w:hAnsi="宋体"/>
          <w:szCs w:val="21"/>
        </w:rPr>
      </w:pPr>
      <w:r>
        <w:rPr>
          <w:rFonts w:ascii="宋体" w:hAnsi="宋体"/>
          <w:szCs w:val="21"/>
        </w:rPr>
        <w:t>1</w:t>
      </w:r>
      <w:r>
        <w:rPr>
          <w:rFonts w:hint="eastAsia" w:ascii="宋体" w:hAnsi="宋体"/>
          <w:szCs w:val="21"/>
          <w:lang w:val="en-US" w:eastAsia="zh-CN"/>
        </w:rPr>
        <w:t>.</w:t>
      </w:r>
      <w:r>
        <w:rPr>
          <w:rFonts w:ascii="宋体" w:hAnsi="宋体"/>
          <w:szCs w:val="21"/>
        </w:rPr>
        <w:t>在履行本合同的过程中，确因在现有水平和条件下难以克服的技术困难，导致本项目部分或全部失败所造成的损失，风险全部责任由乙方承担。</w:t>
      </w:r>
    </w:p>
    <w:p w14:paraId="1572AFD8">
      <w:pPr>
        <w:spacing w:line="360" w:lineRule="auto"/>
        <w:ind w:firstLine="420" w:firstLineChars="200"/>
        <w:textAlignment w:val="baseline"/>
        <w:rPr>
          <w:rFonts w:ascii="宋体" w:hAnsi="宋体"/>
          <w:szCs w:val="21"/>
        </w:rPr>
      </w:pPr>
      <w:r>
        <w:rPr>
          <w:rFonts w:ascii="宋体" w:hAnsi="宋体"/>
          <w:szCs w:val="21"/>
        </w:rPr>
        <w:t>2</w:t>
      </w:r>
      <w:r>
        <w:rPr>
          <w:rFonts w:hint="eastAsia" w:ascii="宋体" w:hAnsi="宋体"/>
          <w:szCs w:val="21"/>
          <w:lang w:val="en-US" w:eastAsia="zh-CN"/>
        </w:rPr>
        <w:t>.</w:t>
      </w:r>
      <w:r>
        <w:rPr>
          <w:rFonts w:ascii="宋体" w:hAnsi="宋体"/>
          <w:szCs w:val="21"/>
        </w:rPr>
        <w:t>如果乙方、甲方中任何一方因为不可抗力而使合同履行受阻时，经双方协商，履行合同的期限可适当延长。</w:t>
      </w:r>
    </w:p>
    <w:p w14:paraId="0EA271EA">
      <w:pPr>
        <w:spacing w:line="360" w:lineRule="auto"/>
        <w:ind w:firstLine="420" w:firstLineChars="200"/>
        <w:textAlignment w:val="baseline"/>
        <w:rPr>
          <w:rFonts w:hint="eastAsia" w:ascii="宋体" w:hAnsi="宋体"/>
          <w:szCs w:val="21"/>
          <w:lang w:val="en-US" w:eastAsia="zh-CN"/>
        </w:rPr>
      </w:pPr>
      <w:r>
        <w:rPr>
          <w:rFonts w:ascii="宋体" w:hAnsi="宋体"/>
          <w:szCs w:val="21"/>
        </w:rPr>
        <w:t>3</w:t>
      </w:r>
      <w:r>
        <w:rPr>
          <w:rFonts w:hint="eastAsia" w:ascii="宋体" w:hAnsi="宋体"/>
          <w:szCs w:val="21"/>
          <w:lang w:val="en-US" w:eastAsia="zh-CN"/>
        </w:rPr>
        <w:t>.如因监测疏漏，产生重大舆情，并对甲方造成严重不良影响，风险全部责任由乙方承担。</w:t>
      </w:r>
    </w:p>
    <w:p w14:paraId="79976328">
      <w:pPr>
        <w:spacing w:line="360" w:lineRule="auto"/>
        <w:ind w:firstLine="420" w:firstLineChars="200"/>
        <w:textAlignment w:val="baseline"/>
        <w:rPr>
          <w:rFonts w:ascii="宋体" w:hAnsi="宋体"/>
          <w:szCs w:val="21"/>
        </w:rPr>
      </w:pPr>
      <w:r>
        <w:rPr>
          <w:rFonts w:hint="eastAsia" w:ascii="宋体" w:hAnsi="宋体"/>
          <w:szCs w:val="21"/>
          <w:lang w:val="en-US" w:eastAsia="zh-CN"/>
        </w:rPr>
        <w:t>4.</w:t>
      </w:r>
      <w:r>
        <w:rPr>
          <w:rFonts w:ascii="宋体" w:hAnsi="宋体"/>
          <w:szCs w:val="21"/>
        </w:rPr>
        <w:t>如因乙方破产或经营状况恶化、本项目团队发生重大变化而丧失或可能丧失合同履行能力，甲方有权终止部分或全部合同。</w:t>
      </w:r>
    </w:p>
    <w:p w14:paraId="722AF6D1">
      <w:pPr>
        <w:spacing w:line="360" w:lineRule="auto"/>
        <w:ind w:firstLine="420" w:firstLineChars="200"/>
        <w:textAlignment w:val="baseline"/>
        <w:rPr>
          <w:rFonts w:ascii="宋体" w:hAnsi="宋体"/>
          <w:szCs w:val="21"/>
        </w:rPr>
      </w:pPr>
      <w:r>
        <w:rPr>
          <w:rFonts w:hint="eastAsia" w:ascii="宋体" w:hAnsi="宋体"/>
          <w:szCs w:val="21"/>
        </w:rPr>
        <w:t>六</w:t>
      </w:r>
      <w:r>
        <w:rPr>
          <w:rFonts w:ascii="宋体" w:hAnsi="宋体"/>
          <w:szCs w:val="21"/>
        </w:rPr>
        <w:t>、违约责任</w:t>
      </w:r>
    </w:p>
    <w:p w14:paraId="5AE108B7">
      <w:pPr>
        <w:spacing w:line="360" w:lineRule="auto"/>
        <w:ind w:firstLine="420" w:firstLineChars="200"/>
        <w:textAlignment w:val="baseline"/>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如乙方不能按本合同约定如期提供服务或服务质量不达标，视为乙方违约，乙方须向甲方支付违约金，违约金的计算办法为每延迟一天按合同额的1%计算，不足一天按一天计算，由甲方在应付款项内扣除。</w:t>
      </w:r>
    </w:p>
    <w:p w14:paraId="2E0A8C5D">
      <w:pPr>
        <w:spacing w:line="360" w:lineRule="auto"/>
        <w:ind w:firstLine="420" w:firstLineChars="200"/>
        <w:textAlignment w:val="baseline"/>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甲方未按本合同规定如期如数付款，每逾期一天按应付金额的0.1%计算向乙方支付违约金，不足一天按一天计算。</w:t>
      </w:r>
    </w:p>
    <w:p w14:paraId="6230521C">
      <w:pPr>
        <w:spacing w:line="360" w:lineRule="auto"/>
        <w:ind w:firstLine="420" w:firstLineChars="200"/>
        <w:textAlignment w:val="baseline"/>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违约金额超过合同总额的20％时，合同立即终止执行，守约方有权提出索赔，双方将在法律规定的范围内处理善后事宜。</w:t>
      </w:r>
    </w:p>
    <w:p w14:paraId="46C28F9E">
      <w:pPr>
        <w:spacing w:line="360" w:lineRule="auto"/>
        <w:ind w:firstLine="420" w:firstLineChars="200"/>
        <w:textAlignment w:val="baseline"/>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如果违约方在收到守约方正式书面通知的违约金额两周内没有答复，则守约方提出的违约金额将视为被违约方接受。</w:t>
      </w:r>
    </w:p>
    <w:p w14:paraId="28B24483">
      <w:pPr>
        <w:spacing w:line="360" w:lineRule="auto"/>
        <w:ind w:firstLine="420" w:firstLineChars="200"/>
        <w:textAlignment w:val="baseline"/>
        <w:rPr>
          <w:rFonts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如甲方未按照合同规定支付相应款项，乙方有权暂停服务，直至甲方支付相关款项。</w:t>
      </w:r>
    </w:p>
    <w:p w14:paraId="239916A5">
      <w:pPr>
        <w:spacing w:line="360" w:lineRule="auto"/>
        <w:ind w:firstLine="420" w:firstLineChars="200"/>
        <w:textAlignment w:val="baseline"/>
        <w:rPr>
          <w:rFonts w:ascii="宋体" w:hAnsi="宋体"/>
          <w:szCs w:val="21"/>
        </w:rPr>
      </w:pPr>
      <w:r>
        <w:rPr>
          <w:rFonts w:hint="eastAsia" w:ascii="宋体" w:hAnsi="宋体"/>
          <w:szCs w:val="21"/>
        </w:rPr>
        <w:t>七</w:t>
      </w:r>
      <w:r>
        <w:rPr>
          <w:rFonts w:ascii="宋体" w:hAnsi="宋体"/>
          <w:szCs w:val="21"/>
        </w:rPr>
        <w:t>、不可抗力</w:t>
      </w:r>
    </w:p>
    <w:p w14:paraId="3094DA96">
      <w:pPr>
        <w:spacing w:line="360" w:lineRule="auto"/>
        <w:ind w:firstLine="420" w:firstLineChars="200"/>
        <w:textAlignment w:val="baseline"/>
        <w:rPr>
          <w:rFonts w:ascii="宋体" w:hAnsi="宋体"/>
          <w:szCs w:val="21"/>
        </w:rPr>
      </w:pPr>
      <w:r>
        <w:rPr>
          <w:rFonts w:ascii="宋体" w:hAnsi="宋体"/>
          <w:szCs w:val="21"/>
        </w:rPr>
        <w:t>合同履行过程中出现不可抗力情形，致使一方或双方不能履行合同约定条款时，不能履行方应在不可抗力情形发生之日起 3日内向对方书面通知，在取得合法机关有效证明后，根据不可抗力对合同履行的影响程度，经另一方同意后，履行方可延期履行、部分履行或不履行合同义务，并可根据情况部分或全部免除履行方责任。</w:t>
      </w:r>
    </w:p>
    <w:p w14:paraId="15F61D5D">
      <w:pPr>
        <w:spacing w:line="360" w:lineRule="auto"/>
        <w:ind w:firstLine="420" w:firstLineChars="200"/>
        <w:textAlignment w:val="baseline"/>
        <w:rPr>
          <w:rFonts w:ascii="宋体" w:hAnsi="宋体"/>
          <w:szCs w:val="21"/>
        </w:rPr>
      </w:pPr>
      <w:r>
        <w:rPr>
          <w:rFonts w:hint="eastAsia" w:ascii="宋体" w:hAnsi="宋体"/>
          <w:szCs w:val="21"/>
        </w:rPr>
        <w:t>八</w:t>
      </w:r>
      <w:r>
        <w:rPr>
          <w:rFonts w:ascii="宋体" w:hAnsi="宋体"/>
          <w:szCs w:val="21"/>
        </w:rPr>
        <w:t>、保密约定</w:t>
      </w:r>
    </w:p>
    <w:p w14:paraId="6196B1CC">
      <w:pPr>
        <w:spacing w:line="360" w:lineRule="auto"/>
        <w:ind w:firstLine="420" w:firstLineChars="200"/>
        <w:textAlignment w:val="baseline"/>
        <w:rPr>
          <w:rFonts w:ascii="宋体" w:hAnsi="宋体"/>
          <w:szCs w:val="21"/>
        </w:rPr>
      </w:pPr>
      <w:r>
        <w:rPr>
          <w:rFonts w:ascii="宋体" w:hAnsi="宋体"/>
          <w:szCs w:val="21"/>
        </w:rPr>
        <w:t>乙方不得向任何第三方泄漏在履行本协议过程中所了解或接触到的甲方的商业秘密及其他机密资料和信息。本保密条款在本协议期满或终止后继续有效。</w:t>
      </w:r>
    </w:p>
    <w:p w14:paraId="078B79D3">
      <w:pPr>
        <w:spacing w:line="360" w:lineRule="auto"/>
        <w:ind w:firstLine="420" w:firstLineChars="200"/>
        <w:textAlignment w:val="baseline"/>
        <w:rPr>
          <w:rFonts w:ascii="宋体" w:hAnsi="宋体"/>
          <w:szCs w:val="21"/>
        </w:rPr>
      </w:pPr>
      <w:r>
        <w:rPr>
          <w:rFonts w:hint="eastAsia" w:ascii="宋体" w:hAnsi="宋体"/>
          <w:szCs w:val="21"/>
        </w:rPr>
        <w:t>九</w:t>
      </w:r>
      <w:r>
        <w:rPr>
          <w:rFonts w:ascii="宋体" w:hAnsi="宋体"/>
          <w:szCs w:val="21"/>
        </w:rPr>
        <w:t>、税费</w:t>
      </w:r>
    </w:p>
    <w:p w14:paraId="1A5EACE9">
      <w:pPr>
        <w:spacing w:line="360" w:lineRule="auto"/>
        <w:ind w:firstLine="420" w:firstLineChars="200"/>
        <w:textAlignment w:val="baseline"/>
        <w:rPr>
          <w:rFonts w:ascii="宋体" w:hAnsi="宋体"/>
          <w:szCs w:val="21"/>
        </w:rPr>
      </w:pPr>
      <w:r>
        <w:rPr>
          <w:rFonts w:ascii="宋体" w:hAnsi="宋体"/>
          <w:szCs w:val="21"/>
        </w:rPr>
        <w:t>本项目发生的一切税费均由乙方负担。</w:t>
      </w:r>
    </w:p>
    <w:p w14:paraId="4DEA6FF9">
      <w:pPr>
        <w:spacing w:line="360" w:lineRule="auto"/>
        <w:ind w:firstLine="420" w:firstLineChars="200"/>
        <w:textAlignment w:val="baseline"/>
        <w:rPr>
          <w:rFonts w:ascii="宋体" w:hAnsi="宋体"/>
          <w:szCs w:val="21"/>
        </w:rPr>
      </w:pPr>
      <w:r>
        <w:rPr>
          <w:rFonts w:ascii="宋体" w:hAnsi="宋体"/>
          <w:szCs w:val="21"/>
        </w:rPr>
        <w:t>十、争议解决方法</w:t>
      </w:r>
    </w:p>
    <w:p w14:paraId="3049E909">
      <w:pPr>
        <w:spacing w:line="360" w:lineRule="auto"/>
        <w:ind w:firstLine="420" w:firstLineChars="200"/>
        <w:textAlignment w:val="baseline"/>
        <w:rPr>
          <w:rFonts w:ascii="宋体" w:hAnsi="宋体"/>
          <w:szCs w:val="21"/>
        </w:rPr>
      </w:pPr>
      <w:r>
        <w:rPr>
          <w:rFonts w:ascii="宋体" w:hAnsi="宋体"/>
          <w:szCs w:val="21"/>
        </w:rPr>
        <w:t>1</w:t>
      </w:r>
      <w:r>
        <w:rPr>
          <w:rFonts w:hint="eastAsia" w:ascii="宋体" w:hAnsi="宋体"/>
          <w:szCs w:val="21"/>
          <w:lang w:val="en-US" w:eastAsia="zh-CN"/>
        </w:rPr>
        <w:t>.</w:t>
      </w:r>
      <w:r>
        <w:rPr>
          <w:rFonts w:ascii="宋体" w:hAnsi="宋体"/>
          <w:szCs w:val="21"/>
        </w:rPr>
        <w:t>凡有关本合同或执行本合同中发生的争端，双方应通过友好协商，妥善解决。如通过协商仍不能解决时，可向扬州市仲裁委员会申请仲裁。</w:t>
      </w:r>
    </w:p>
    <w:p w14:paraId="2E92916D">
      <w:pPr>
        <w:spacing w:line="360" w:lineRule="auto"/>
        <w:ind w:firstLine="420" w:firstLineChars="200"/>
        <w:textAlignment w:val="baseline"/>
        <w:rPr>
          <w:rFonts w:ascii="宋体" w:hAnsi="宋体"/>
          <w:szCs w:val="21"/>
        </w:rPr>
      </w:pPr>
      <w:r>
        <w:rPr>
          <w:rFonts w:ascii="宋体" w:hAnsi="宋体"/>
          <w:szCs w:val="21"/>
        </w:rPr>
        <w:t>2</w:t>
      </w:r>
      <w:r>
        <w:rPr>
          <w:rFonts w:hint="eastAsia" w:ascii="宋体" w:hAnsi="宋体"/>
          <w:szCs w:val="21"/>
          <w:lang w:val="en-US" w:eastAsia="zh-CN"/>
        </w:rPr>
        <w:t>.</w:t>
      </w:r>
      <w:r>
        <w:rPr>
          <w:rFonts w:ascii="宋体" w:hAnsi="宋体"/>
          <w:szCs w:val="21"/>
        </w:rPr>
        <w:t>在仲裁期间，除正在进行仲裁的部分外，合同其他部分应继续执行。</w:t>
      </w:r>
    </w:p>
    <w:p w14:paraId="6F314E95">
      <w:pPr>
        <w:spacing w:line="360" w:lineRule="auto"/>
        <w:ind w:firstLine="420" w:firstLineChars="200"/>
        <w:textAlignment w:val="baseline"/>
        <w:rPr>
          <w:rFonts w:ascii="宋体" w:hAnsi="宋体"/>
          <w:szCs w:val="21"/>
        </w:rPr>
      </w:pPr>
      <w:r>
        <w:rPr>
          <w:rFonts w:ascii="宋体" w:hAnsi="宋体"/>
          <w:szCs w:val="21"/>
        </w:rPr>
        <w:t>十一、转让</w:t>
      </w:r>
    </w:p>
    <w:p w14:paraId="0331B3E2">
      <w:pPr>
        <w:spacing w:line="360" w:lineRule="auto"/>
        <w:ind w:firstLine="420" w:firstLineChars="200"/>
        <w:textAlignment w:val="baseline"/>
        <w:rPr>
          <w:rFonts w:ascii="宋体" w:hAnsi="宋体"/>
          <w:szCs w:val="21"/>
        </w:rPr>
      </w:pPr>
      <w:r>
        <w:rPr>
          <w:rFonts w:ascii="宋体" w:hAnsi="宋体"/>
          <w:szCs w:val="21"/>
        </w:rPr>
        <w:t>除甲方事先书面同意外，乙方不得部分转让或全部转让其应履行的合同义务。</w:t>
      </w:r>
    </w:p>
    <w:p w14:paraId="6953FFAB">
      <w:pPr>
        <w:spacing w:line="360" w:lineRule="auto"/>
        <w:ind w:firstLine="420" w:firstLineChars="200"/>
        <w:textAlignment w:val="baseline"/>
        <w:rPr>
          <w:rFonts w:ascii="宋体" w:hAnsi="宋体"/>
          <w:szCs w:val="21"/>
        </w:rPr>
      </w:pPr>
      <w:r>
        <w:rPr>
          <w:rFonts w:ascii="宋体" w:hAnsi="宋体"/>
          <w:szCs w:val="21"/>
        </w:rPr>
        <w:t>十</w:t>
      </w:r>
      <w:r>
        <w:rPr>
          <w:rFonts w:hint="eastAsia" w:ascii="宋体" w:hAnsi="宋体"/>
          <w:szCs w:val="21"/>
        </w:rPr>
        <w:t>二</w:t>
      </w:r>
      <w:r>
        <w:rPr>
          <w:rFonts w:ascii="宋体" w:hAnsi="宋体"/>
          <w:szCs w:val="21"/>
        </w:rPr>
        <w:t>、其它约定事项</w:t>
      </w:r>
    </w:p>
    <w:p w14:paraId="0D8A10DF">
      <w:pPr>
        <w:spacing w:line="360" w:lineRule="auto"/>
        <w:ind w:firstLine="420" w:firstLineChars="200"/>
        <w:textAlignment w:val="baseline"/>
        <w:rPr>
          <w:rFonts w:ascii="宋体" w:hAnsi="宋体"/>
          <w:szCs w:val="21"/>
        </w:rPr>
      </w:pPr>
      <w:r>
        <w:rPr>
          <w:rFonts w:ascii="宋体" w:hAnsi="宋体"/>
          <w:szCs w:val="21"/>
        </w:rPr>
        <w:t>1</w:t>
      </w:r>
      <w:r>
        <w:rPr>
          <w:rFonts w:hint="eastAsia" w:ascii="宋体" w:hAnsi="宋体"/>
          <w:szCs w:val="21"/>
          <w:lang w:val="en-US" w:eastAsia="zh-CN"/>
        </w:rPr>
        <w:t>.</w:t>
      </w:r>
      <w:r>
        <w:rPr>
          <w:rFonts w:ascii="宋体" w:hAnsi="宋体"/>
          <w:szCs w:val="21"/>
        </w:rPr>
        <w:t>乙方在签订合同前须缴纳中标金额10%的履约保证金至甲方指定账户，乙方拒绝缴纳的视为放弃中标资格</w:t>
      </w:r>
      <w:r>
        <w:rPr>
          <w:rFonts w:hint="eastAsia" w:ascii="宋体" w:hAnsi="宋体"/>
          <w:szCs w:val="21"/>
        </w:rPr>
        <w:t>（验收合格后不计利息退还）</w:t>
      </w:r>
      <w:r>
        <w:rPr>
          <w:rFonts w:ascii="宋体" w:hAnsi="宋体"/>
          <w:szCs w:val="21"/>
        </w:rPr>
        <w:t>。</w:t>
      </w:r>
    </w:p>
    <w:p w14:paraId="5A23737F">
      <w:pPr>
        <w:spacing w:line="360" w:lineRule="auto"/>
        <w:ind w:firstLine="420" w:firstLineChars="200"/>
        <w:textAlignment w:val="baseline"/>
        <w:rPr>
          <w:rFonts w:ascii="宋体" w:hAnsi="宋体"/>
          <w:szCs w:val="21"/>
        </w:rPr>
      </w:pPr>
      <w:r>
        <w:rPr>
          <w:rFonts w:ascii="宋体" w:hAnsi="宋体"/>
          <w:szCs w:val="21"/>
        </w:rPr>
        <w:t>2</w:t>
      </w:r>
      <w:r>
        <w:rPr>
          <w:rFonts w:hint="eastAsia" w:ascii="宋体" w:hAnsi="宋体"/>
          <w:szCs w:val="21"/>
          <w:lang w:val="en-US" w:eastAsia="zh-CN"/>
        </w:rPr>
        <w:t>.</w:t>
      </w:r>
      <w:r>
        <w:rPr>
          <w:rFonts w:ascii="宋体" w:hAnsi="宋体"/>
          <w:szCs w:val="21"/>
        </w:rPr>
        <w:t>本项目招标文件、乙方投标文件及乙方各项承诺都作为本合同的附件，具有同样法律效力。</w:t>
      </w:r>
    </w:p>
    <w:p w14:paraId="5DE86EE4">
      <w:pPr>
        <w:spacing w:line="360" w:lineRule="auto"/>
        <w:ind w:firstLine="420" w:firstLineChars="200"/>
        <w:textAlignment w:val="baseline"/>
        <w:rPr>
          <w:rFonts w:ascii="宋体" w:hAnsi="宋体"/>
          <w:szCs w:val="21"/>
        </w:rPr>
      </w:pPr>
      <w:r>
        <w:rPr>
          <w:rFonts w:ascii="宋体" w:hAnsi="宋体"/>
          <w:szCs w:val="21"/>
        </w:rPr>
        <w:t>3</w:t>
      </w:r>
      <w:r>
        <w:rPr>
          <w:rFonts w:hint="eastAsia" w:ascii="宋体" w:hAnsi="宋体"/>
          <w:szCs w:val="21"/>
          <w:lang w:val="en-US" w:eastAsia="zh-CN"/>
        </w:rPr>
        <w:t>.</w:t>
      </w:r>
      <w:r>
        <w:rPr>
          <w:rFonts w:ascii="宋体" w:hAnsi="宋体"/>
          <w:szCs w:val="21"/>
        </w:rPr>
        <w:t>本合同自双方签字、盖章后起生效。</w:t>
      </w:r>
    </w:p>
    <w:p w14:paraId="323E6243">
      <w:pPr>
        <w:spacing w:line="360" w:lineRule="auto"/>
        <w:ind w:firstLine="420" w:firstLineChars="200"/>
        <w:textAlignment w:val="baseline"/>
        <w:rPr>
          <w:rFonts w:ascii="宋体" w:hAnsi="宋体"/>
          <w:szCs w:val="21"/>
        </w:rPr>
      </w:pPr>
      <w:r>
        <w:rPr>
          <w:rFonts w:ascii="宋体" w:hAnsi="宋体"/>
          <w:szCs w:val="21"/>
        </w:rPr>
        <w:t>4</w:t>
      </w:r>
      <w:r>
        <w:rPr>
          <w:rFonts w:hint="eastAsia" w:ascii="宋体" w:hAnsi="宋体"/>
          <w:szCs w:val="21"/>
          <w:lang w:val="en-US" w:eastAsia="zh-CN"/>
        </w:rPr>
        <w:t>.</w:t>
      </w:r>
      <w:r>
        <w:rPr>
          <w:rFonts w:ascii="宋体" w:hAnsi="宋体"/>
          <w:szCs w:val="21"/>
        </w:rPr>
        <w:t>合同</w:t>
      </w:r>
      <w:r>
        <w:rPr>
          <w:rFonts w:hint="eastAsia" w:ascii="宋体" w:hAnsi="宋体" w:cs="宋体"/>
          <w:kern w:val="0"/>
          <w:szCs w:val="21"/>
        </w:rPr>
        <w:t>一式肆份，甲、乙双方各执贰份</w:t>
      </w:r>
      <w:r>
        <w:rPr>
          <w:rFonts w:ascii="宋体" w:hAnsi="宋体"/>
          <w:szCs w:val="21"/>
        </w:rPr>
        <w:t>。</w:t>
      </w:r>
    </w:p>
    <w:p w14:paraId="149241E0">
      <w:pPr>
        <w:spacing w:line="360" w:lineRule="auto"/>
        <w:ind w:firstLine="420" w:firstLineChars="200"/>
        <w:textAlignment w:val="baseline"/>
        <w:rPr>
          <w:rFonts w:ascii="宋体" w:hAnsi="宋体"/>
          <w:szCs w:val="21"/>
        </w:rPr>
      </w:pPr>
      <w:r>
        <w:rPr>
          <w:rFonts w:ascii="宋体" w:hAnsi="宋体"/>
          <w:szCs w:val="21"/>
        </w:rPr>
        <w:t>5</w:t>
      </w:r>
      <w:r>
        <w:rPr>
          <w:rFonts w:hint="eastAsia" w:ascii="宋体" w:hAnsi="宋体"/>
          <w:szCs w:val="21"/>
          <w:lang w:val="en-US" w:eastAsia="zh-CN"/>
        </w:rPr>
        <w:t>.</w:t>
      </w:r>
      <w:r>
        <w:rPr>
          <w:rFonts w:ascii="宋体" w:hAnsi="宋体"/>
          <w:szCs w:val="21"/>
        </w:rPr>
        <w:t>其他未尽事宜，甲乙双方共同协商解决。</w:t>
      </w:r>
    </w:p>
    <w:p w14:paraId="520C5877">
      <w:pPr>
        <w:spacing w:line="360" w:lineRule="auto"/>
        <w:ind w:firstLine="420" w:firstLineChars="200"/>
        <w:textAlignment w:val="baseline"/>
        <w:rPr>
          <w:rFonts w:ascii="宋体" w:hAnsi="宋体"/>
          <w:szCs w:val="21"/>
        </w:rPr>
      </w:pPr>
    </w:p>
    <w:p w14:paraId="337E50B6">
      <w:pPr>
        <w:spacing w:line="360" w:lineRule="auto"/>
        <w:ind w:firstLine="420" w:firstLineChars="200"/>
        <w:textAlignment w:val="baseline"/>
        <w:rPr>
          <w:rFonts w:ascii="宋体" w:hAnsi="宋体"/>
          <w:szCs w:val="21"/>
        </w:rPr>
      </w:pPr>
      <w:r>
        <w:rPr>
          <w:rFonts w:ascii="宋体" w:hAnsi="宋体"/>
          <w:szCs w:val="21"/>
        </w:rPr>
        <w:t>甲方（</w:t>
      </w:r>
      <w:r>
        <w:rPr>
          <w:rFonts w:hint="eastAsia" w:ascii="宋体" w:hAnsi="宋体"/>
          <w:szCs w:val="21"/>
        </w:rPr>
        <w:t>盖</w:t>
      </w:r>
      <w:r>
        <w:rPr>
          <w:rFonts w:ascii="宋体" w:hAnsi="宋体"/>
          <w:szCs w:val="21"/>
        </w:rPr>
        <w:t>章）：</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乙方（盖章）：</w:t>
      </w:r>
    </w:p>
    <w:p w14:paraId="287C5873">
      <w:pPr>
        <w:adjustRightInd w:val="0"/>
        <w:snapToGrid w:val="0"/>
        <w:spacing w:line="340" w:lineRule="exact"/>
        <w:ind w:left="-420" w:leftChars="-200" w:right="-313" w:rightChars="-149" w:firstLine="840" w:firstLineChars="400"/>
        <w:contextualSpacing/>
        <w:rPr>
          <w:rFonts w:ascii="宋体" w:hAnsi="宋体" w:cs="宋体"/>
          <w:kern w:val="0"/>
          <w:szCs w:val="21"/>
        </w:rPr>
      </w:pPr>
      <w:r>
        <w:rPr>
          <w:rFonts w:hint="eastAsia" w:ascii="宋体" w:hAnsi="宋体" w:cs="宋体"/>
          <w:kern w:val="0"/>
          <w:szCs w:val="21"/>
        </w:rPr>
        <w:t xml:space="preserve">法定代表人：                     </w:t>
      </w:r>
      <w:r>
        <w:rPr>
          <w:rFonts w:hint="eastAsia" w:ascii="宋体" w:hAnsi="宋体" w:cs="宋体"/>
          <w:kern w:val="0"/>
          <w:szCs w:val="21"/>
          <w:lang w:val="en-US" w:eastAsia="zh-CN"/>
        </w:rPr>
        <w:t xml:space="preserve">        </w:t>
      </w:r>
      <w:r>
        <w:rPr>
          <w:rFonts w:hint="eastAsia" w:ascii="宋体" w:hAnsi="宋体" w:cs="宋体"/>
          <w:kern w:val="0"/>
          <w:szCs w:val="21"/>
        </w:rPr>
        <w:t xml:space="preserve">  法定代表人：</w:t>
      </w:r>
    </w:p>
    <w:p w14:paraId="5DE7ED84">
      <w:pPr>
        <w:adjustRightInd w:val="0"/>
        <w:snapToGrid w:val="0"/>
        <w:spacing w:line="340" w:lineRule="exact"/>
        <w:ind w:left="-420" w:leftChars="-200" w:right="-313" w:rightChars="-149" w:firstLine="840" w:firstLineChars="400"/>
        <w:contextualSpacing/>
        <w:rPr>
          <w:rFonts w:ascii="宋体" w:hAnsi="宋体" w:cs="宋体"/>
          <w:kern w:val="0"/>
          <w:szCs w:val="21"/>
        </w:rPr>
      </w:pPr>
      <w:r>
        <w:rPr>
          <w:rFonts w:hint="eastAsia" w:ascii="宋体" w:hAnsi="宋体" w:cs="宋体"/>
          <w:kern w:val="0"/>
          <w:szCs w:val="21"/>
        </w:rPr>
        <w:t xml:space="preserve">（或授权签约人）：                </w:t>
      </w:r>
      <w:r>
        <w:rPr>
          <w:rFonts w:hint="eastAsia" w:ascii="宋体" w:hAnsi="宋体" w:cs="宋体"/>
          <w:kern w:val="0"/>
          <w:szCs w:val="21"/>
          <w:lang w:val="en-US" w:eastAsia="zh-CN"/>
        </w:rPr>
        <w:t xml:space="preserve">        </w:t>
      </w:r>
      <w:r>
        <w:rPr>
          <w:rFonts w:hint="eastAsia" w:ascii="宋体" w:hAnsi="宋体" w:cs="宋体"/>
          <w:kern w:val="0"/>
          <w:szCs w:val="21"/>
        </w:rPr>
        <w:t>（或授权签约人）：</w:t>
      </w:r>
    </w:p>
    <w:p w14:paraId="5D6F8885">
      <w:pPr>
        <w:spacing w:line="360" w:lineRule="auto"/>
        <w:ind w:firstLine="420" w:firstLineChars="200"/>
        <w:textAlignment w:val="baseline"/>
        <w:rPr>
          <w:rFonts w:ascii="宋体" w:hAnsi="宋体" w:cs="宋体"/>
          <w:b/>
          <w:bCs/>
          <w:kern w:val="36"/>
          <w:sz w:val="36"/>
          <w:szCs w:val="36"/>
        </w:rPr>
      </w:pPr>
      <w:r>
        <w:rPr>
          <w:rFonts w:ascii="宋体" w:hAnsi="宋体"/>
          <w:szCs w:val="21"/>
        </w:rPr>
        <w:t>日期：202</w:t>
      </w:r>
      <w:r>
        <w:rPr>
          <w:rFonts w:hint="eastAsia" w:ascii="宋体" w:hAnsi="宋体"/>
          <w:szCs w:val="21"/>
          <w:lang w:val="en-US" w:eastAsia="zh-CN"/>
        </w:rPr>
        <w:t>6</w:t>
      </w:r>
      <w:r>
        <w:rPr>
          <w:rFonts w:ascii="宋体" w:hAnsi="宋体"/>
          <w:szCs w:val="21"/>
        </w:rPr>
        <w:t xml:space="preserve">年   月   日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日期：202</w:t>
      </w:r>
      <w:r>
        <w:rPr>
          <w:rFonts w:hint="eastAsia" w:ascii="宋体" w:hAnsi="宋体"/>
          <w:szCs w:val="21"/>
          <w:lang w:val="en-US" w:eastAsia="zh-CN"/>
        </w:rPr>
        <w:t>6</w:t>
      </w:r>
      <w:r>
        <w:rPr>
          <w:rFonts w:ascii="宋体" w:hAnsi="宋体"/>
          <w:szCs w:val="21"/>
        </w:rPr>
        <w:t xml:space="preserve">年   月   日      </w:t>
      </w:r>
    </w:p>
    <w:p w14:paraId="2FB30D81">
      <w:pPr>
        <w:pStyle w:val="8"/>
        <w:numPr>
          <w:ilvl w:val="0"/>
          <w:numId w:val="0"/>
        </w:numPr>
        <w:ind w:right="-313" w:rightChars="-149"/>
        <w:jc w:val="center"/>
        <w:rPr>
          <w:ins w:id="0" w:author="张长君" w:date="2026-04-21T15:35:32Z"/>
          <w:rFonts w:hint="eastAsia" w:ascii="宋体" w:hAnsi="宋体" w:cs="宋体"/>
          <w:b/>
          <w:bCs/>
          <w:kern w:val="36"/>
          <w:sz w:val="36"/>
          <w:szCs w:val="36"/>
        </w:rPr>
      </w:pPr>
    </w:p>
    <w:p w14:paraId="33230FC4">
      <w:pPr>
        <w:pStyle w:val="8"/>
        <w:numPr>
          <w:ilvl w:val="0"/>
          <w:numId w:val="0"/>
        </w:numPr>
        <w:ind w:right="-313" w:rightChars="-149"/>
        <w:jc w:val="center"/>
        <w:rPr>
          <w:rFonts w:ascii="宋体" w:hAnsi="宋体" w:cs="宋体"/>
          <w:b/>
          <w:bCs/>
          <w:kern w:val="36"/>
          <w:sz w:val="36"/>
          <w:szCs w:val="36"/>
        </w:rPr>
      </w:pPr>
      <w:r>
        <w:rPr>
          <w:rFonts w:hint="eastAsia" w:ascii="宋体" w:hAnsi="宋体" w:cs="宋体"/>
          <w:b/>
          <w:bCs/>
          <w:kern w:val="36"/>
          <w:sz w:val="36"/>
          <w:szCs w:val="36"/>
        </w:rPr>
        <w:t>廉洁合作协议</w:t>
      </w:r>
    </w:p>
    <w:p w14:paraId="7E75624B">
      <w:pPr>
        <w:adjustRightInd w:val="0"/>
        <w:snapToGrid w:val="0"/>
        <w:spacing w:line="340" w:lineRule="exact"/>
        <w:ind w:left="-420" w:leftChars="-200" w:right="-313" w:rightChars="-149" w:firstLine="420" w:firstLineChars="200"/>
        <w:contextualSpacing/>
        <w:rPr>
          <w:rFonts w:ascii="宋体" w:hAnsi="宋体" w:cs="宋体"/>
          <w:b/>
          <w:kern w:val="0"/>
          <w:szCs w:val="21"/>
        </w:rPr>
      </w:pPr>
      <w:r>
        <w:rPr>
          <w:rFonts w:hint="eastAsia" w:ascii="宋体" w:hAnsi="宋体" w:cs="宋体"/>
          <w:kern w:val="0"/>
          <w:szCs w:val="21"/>
        </w:rPr>
        <w:t>甲方名称：</w:t>
      </w:r>
      <w:r>
        <w:rPr>
          <w:rFonts w:hint="eastAsia" w:ascii="宋体" w:hAnsi="宋体" w:cs="宋体"/>
          <w:b/>
          <w:bCs/>
          <w:kern w:val="0"/>
          <w:szCs w:val="21"/>
        </w:rPr>
        <w:t>扬州大学附属医院</w:t>
      </w:r>
    </w:p>
    <w:p w14:paraId="585AB8C9">
      <w:pPr>
        <w:adjustRightInd w:val="0"/>
        <w:snapToGrid w:val="0"/>
        <w:spacing w:line="340" w:lineRule="exact"/>
        <w:ind w:left="-420" w:leftChars="-200" w:right="-313" w:rightChars="-149" w:firstLine="420" w:firstLineChars="200"/>
        <w:contextualSpacing/>
        <w:rPr>
          <w:rFonts w:ascii="宋体" w:hAnsi="宋体" w:cs="宋体"/>
          <w:b/>
          <w:bCs/>
          <w:kern w:val="0"/>
          <w:szCs w:val="21"/>
        </w:rPr>
      </w:pPr>
      <w:r>
        <w:rPr>
          <w:rFonts w:hint="eastAsia" w:ascii="宋体" w:hAnsi="宋体" w:cs="宋体"/>
          <w:kern w:val="0"/>
          <w:szCs w:val="21"/>
        </w:rPr>
        <w:t>乙方名称：</w:t>
      </w:r>
    </w:p>
    <w:p w14:paraId="37DB77E0">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在甲乙双方订立、履行合同过程中，为保持廉洁自律的工作作风，防止各种不正当行为的发生，甲乙双方订立协议如下：</w:t>
      </w:r>
    </w:p>
    <w:p w14:paraId="1ABEBABA">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一、甲乙双方应当自觉遵守国家、地方法律法规以及本协议的约定，在合同的订立、履行过程中廉洁自律。</w:t>
      </w:r>
    </w:p>
    <w:p w14:paraId="31828297">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二、甲方工作人员严禁进行商业目的的统方，不得以任何形式向乙方索要和收受个人回扣等好处费。</w:t>
      </w:r>
    </w:p>
    <w:p w14:paraId="52A88633">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三、甲方工作人员应当保持与乙方的正常业务交往，不得接受乙方的礼金、有价证券和贵重物品，不得在乙方报销任何应由其个人承担的费用。</w:t>
      </w:r>
    </w:p>
    <w:p w14:paraId="5DE5DAC5">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四、甲方工作人员不得参加可能对公正开展业务有影响的宴请和娱乐活动。如甲方工作人员确因实际情况须参加宴请、进行娱乐活动的，须事先报上一级批准。</w:t>
      </w:r>
    </w:p>
    <w:p w14:paraId="686B1A82">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五、甲方工作人员不得要求或者接受乙方为其住房装修、婚丧嫁娶、家属和子女的工作安排以及出国等提供方便。</w:t>
      </w:r>
    </w:p>
    <w:p w14:paraId="75FF2DC7">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六、乙方不得接受甲方工作人员介绍的家属或者亲友从事与合同相关的业务。</w:t>
      </w:r>
    </w:p>
    <w:p w14:paraId="6FF9E69E">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1152CFD1">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八、乙方如发现甲方工作人员有违反上述协议者，应向甲方举报（甲方举报接待部门：监督检查室；举报电话：        ）。甲方不得找任何借口对乙方进行报复。甲方对举报属实和严格遵守廉洁协议的乙方，在同等条件下优先考虑与乙方继续合作。</w:t>
      </w:r>
    </w:p>
    <w:p w14:paraId="42411A15">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九、甲方发现乙方有违反本协议或者采用不正当的手段行贿甲方工作人员等不正当竞争行为的，甲方有权解除合同。</w:t>
      </w:r>
    </w:p>
    <w:p w14:paraId="6B54D19B">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十、本廉洁协议作为合同的附件，与合同具有同等法律效力。经协议双方签署后立即生效。</w:t>
      </w:r>
    </w:p>
    <w:p w14:paraId="4C36477B">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十一、本协议一式肆份，甲、乙双方各执贰份，从签订之日起生效。</w:t>
      </w:r>
    </w:p>
    <w:p w14:paraId="2E4B9366">
      <w:pPr>
        <w:pStyle w:val="8"/>
        <w:numPr>
          <w:ilvl w:val="0"/>
          <w:numId w:val="0"/>
        </w:numPr>
        <w:ind w:left="779" w:leftChars="200" w:right="-313" w:rightChars="-149" w:hanging="359" w:hangingChars="171"/>
        <w:rPr>
          <w:rFonts w:ascii="宋体" w:hAnsi="宋体"/>
          <w:szCs w:val="21"/>
        </w:rPr>
      </w:pPr>
    </w:p>
    <w:p w14:paraId="462A4B5C">
      <w:pPr>
        <w:adjustRightInd w:val="0"/>
        <w:snapToGrid w:val="0"/>
        <w:spacing w:line="440" w:lineRule="exact"/>
        <w:ind w:left="-420" w:leftChars="-200" w:right="-313" w:rightChars="-149" w:firstLine="420" w:firstLineChars="200"/>
        <w:contextualSpacing/>
        <w:rPr>
          <w:rFonts w:ascii="宋体" w:hAnsi="宋体" w:cs="宋体"/>
          <w:b/>
          <w:kern w:val="0"/>
          <w:szCs w:val="21"/>
        </w:rPr>
      </w:pPr>
      <w:r>
        <w:rPr>
          <w:rFonts w:hint="eastAsia" w:ascii="宋体" w:hAnsi="宋体" w:cs="宋体"/>
          <w:kern w:val="0"/>
          <w:szCs w:val="21"/>
        </w:rPr>
        <w:t>甲方：（盖章）</w:t>
      </w:r>
      <w:r>
        <w:rPr>
          <w:rFonts w:hint="eastAsia" w:ascii="宋体" w:hAnsi="宋体" w:cs="宋体"/>
          <w:b/>
          <w:kern w:val="0"/>
          <w:szCs w:val="21"/>
        </w:rPr>
        <w:t>扬州大学附属医院</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乙方：（盖章）</w:t>
      </w:r>
    </w:p>
    <w:p w14:paraId="2D7CBE5A">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 xml:space="preserve">法定代表人：                       </w:t>
      </w:r>
      <w:r>
        <w:rPr>
          <w:rFonts w:hint="eastAsia" w:ascii="宋体" w:hAnsi="宋体" w:cs="宋体"/>
          <w:kern w:val="0"/>
          <w:szCs w:val="21"/>
          <w:lang w:val="en-US" w:eastAsia="zh-CN"/>
        </w:rPr>
        <w:t xml:space="preserve">           </w:t>
      </w:r>
      <w:r>
        <w:rPr>
          <w:rFonts w:hint="eastAsia" w:ascii="宋体" w:hAnsi="宋体" w:cs="宋体"/>
          <w:kern w:val="0"/>
          <w:szCs w:val="21"/>
        </w:rPr>
        <w:t xml:space="preserve">  法定代表人：</w:t>
      </w:r>
    </w:p>
    <w:p w14:paraId="35F2019F">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 xml:space="preserve">（或授权签约人）：                  </w:t>
      </w:r>
      <w:r>
        <w:rPr>
          <w:rFonts w:hint="eastAsia" w:ascii="宋体" w:hAnsi="宋体" w:cs="宋体"/>
          <w:kern w:val="0"/>
          <w:szCs w:val="21"/>
          <w:lang w:val="en-US" w:eastAsia="zh-CN"/>
        </w:rPr>
        <w:t xml:space="preserve">           </w:t>
      </w:r>
      <w:r>
        <w:rPr>
          <w:rFonts w:hint="eastAsia" w:ascii="宋体" w:hAnsi="宋体" w:cs="宋体"/>
          <w:kern w:val="0"/>
          <w:szCs w:val="21"/>
        </w:rPr>
        <w:t>（或授权签约人）：</w:t>
      </w:r>
    </w:p>
    <w:p w14:paraId="0318107B">
      <w:pPr>
        <w:pStyle w:val="14"/>
        <w:ind w:right="-313" w:rightChars="-149"/>
        <w:rPr>
          <w:rFonts w:ascii="宋体" w:hAnsi="宋体" w:cs="宋体"/>
          <w:sz w:val="21"/>
          <w:szCs w:val="21"/>
        </w:rPr>
      </w:pPr>
    </w:p>
    <w:p w14:paraId="35D642C6">
      <w:r>
        <w:rPr>
          <w:rFonts w:hint="eastAsia" w:ascii="宋体" w:hAnsi="宋体" w:cs="宋体"/>
          <w:kern w:val="0"/>
          <w:szCs w:val="21"/>
        </w:rPr>
        <w:t>日期:202</w:t>
      </w:r>
      <w:r>
        <w:rPr>
          <w:rFonts w:hint="eastAsia" w:ascii="宋体" w:hAnsi="宋体" w:cs="宋体"/>
          <w:kern w:val="0"/>
          <w:szCs w:val="21"/>
          <w:lang w:val="en-US" w:eastAsia="zh-CN"/>
        </w:rPr>
        <w:t>6</w:t>
      </w:r>
      <w:r>
        <w:rPr>
          <w:rFonts w:hint="eastAsia" w:ascii="宋体" w:hAnsi="宋体" w:cs="宋体"/>
          <w:kern w:val="0"/>
          <w:szCs w:val="21"/>
        </w:rPr>
        <w:t xml:space="preserve">年   月   日                </w:t>
      </w:r>
      <w:r>
        <w:rPr>
          <w:rFonts w:hint="eastAsia" w:ascii="宋体" w:hAnsi="宋体" w:cs="宋体"/>
          <w:kern w:val="0"/>
          <w:szCs w:val="21"/>
          <w:lang w:val="en-US" w:eastAsia="zh-CN"/>
        </w:rPr>
        <w:t xml:space="preserve">          </w:t>
      </w:r>
      <w:r>
        <w:rPr>
          <w:rFonts w:hint="eastAsia" w:ascii="宋体" w:hAnsi="宋体" w:cs="宋体"/>
          <w:kern w:val="0"/>
          <w:szCs w:val="21"/>
        </w:rPr>
        <w:t>日期：202</w:t>
      </w:r>
      <w:r>
        <w:rPr>
          <w:rFonts w:hint="eastAsia" w:ascii="宋体" w:hAnsi="宋体" w:cs="宋体"/>
          <w:kern w:val="0"/>
          <w:szCs w:val="21"/>
          <w:lang w:val="en-US" w:eastAsia="zh-CN"/>
        </w:rPr>
        <w:t>6</w:t>
      </w:r>
      <w:r>
        <w:rPr>
          <w:rFonts w:hint="eastAsia" w:ascii="宋体" w:hAnsi="宋体" w:cs="宋体"/>
          <w:kern w:val="0"/>
          <w:szCs w:val="21"/>
        </w:rPr>
        <w:t>年   月   日</w:t>
      </w:r>
    </w:p>
    <w:p w14:paraId="6004849F">
      <w:pPr>
        <w:pStyle w:val="2"/>
      </w:pPr>
    </w:p>
    <w:p w14:paraId="6F0DC688">
      <w:pPr>
        <w:pStyle w:val="2"/>
      </w:pPr>
    </w:p>
    <w:p w14:paraId="280D0557">
      <w:pPr>
        <w:pStyle w:val="2"/>
      </w:pPr>
    </w:p>
    <w:p w14:paraId="2F25F557">
      <w:pPr>
        <w:pStyle w:val="2"/>
      </w:pPr>
    </w:p>
    <w:p w14:paraId="5B13087E">
      <w:pPr>
        <w:spacing w:line="360" w:lineRule="auto"/>
        <w:jc w:val="both"/>
        <w:rPr>
          <w:rFonts w:eastAsia="楷体"/>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D15E63B">
        <w:pPr>
          <w:pStyle w:val="14"/>
          <w:jc w:val="center"/>
        </w:pPr>
        <w:r>
          <w:fldChar w:fldCharType="begin"/>
        </w:r>
        <w:r>
          <w:instrText xml:space="preserve">PAGE   \* MERGEFORMAT</w:instrText>
        </w:r>
        <w:r>
          <w:fldChar w:fldCharType="separate"/>
        </w:r>
        <w:r>
          <w:rPr>
            <w:lang w:val="zh-CN"/>
          </w:rPr>
          <w:t>8</w:t>
        </w:r>
        <w:r>
          <w:rPr>
            <w:lang w:val="zh-CN"/>
          </w:rPr>
          <w:fldChar w:fldCharType="end"/>
        </w:r>
      </w:p>
    </w:sdtContent>
  </w:sdt>
  <w:p w14:paraId="323C8D6B">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长君">
    <w15:presenceInfo w15:providerId="WPS Office" w15:userId="8446987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YWMyNzFhNjdiNmU1ZDVhZWU0NjljYTU5NGY1NzU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5535"/>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4DBD"/>
    <w:rsid w:val="001F57B3"/>
    <w:rsid w:val="00201CF9"/>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49F0"/>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5738F"/>
    <w:rsid w:val="0045770F"/>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29F6"/>
    <w:rsid w:val="00483498"/>
    <w:rsid w:val="00484905"/>
    <w:rsid w:val="00484CED"/>
    <w:rsid w:val="00485F44"/>
    <w:rsid w:val="00486ED1"/>
    <w:rsid w:val="00490046"/>
    <w:rsid w:val="00490712"/>
    <w:rsid w:val="00490D83"/>
    <w:rsid w:val="004916F3"/>
    <w:rsid w:val="00494DAF"/>
    <w:rsid w:val="004963E9"/>
    <w:rsid w:val="00497FF3"/>
    <w:rsid w:val="004A3256"/>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2218"/>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A7FB6"/>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5A42"/>
    <w:rsid w:val="00727C39"/>
    <w:rsid w:val="00730EE1"/>
    <w:rsid w:val="007315AA"/>
    <w:rsid w:val="00733436"/>
    <w:rsid w:val="00734924"/>
    <w:rsid w:val="0073609B"/>
    <w:rsid w:val="0073705E"/>
    <w:rsid w:val="00742C2C"/>
    <w:rsid w:val="00742E50"/>
    <w:rsid w:val="007457FD"/>
    <w:rsid w:val="0075035E"/>
    <w:rsid w:val="0075332B"/>
    <w:rsid w:val="00753A07"/>
    <w:rsid w:val="0075695D"/>
    <w:rsid w:val="007574E9"/>
    <w:rsid w:val="00761227"/>
    <w:rsid w:val="00763D7D"/>
    <w:rsid w:val="00764D37"/>
    <w:rsid w:val="00764D8E"/>
    <w:rsid w:val="00766160"/>
    <w:rsid w:val="00770E16"/>
    <w:rsid w:val="00771D22"/>
    <w:rsid w:val="00774CC5"/>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6D7"/>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BD3"/>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417E"/>
    <w:rsid w:val="00954E8D"/>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265"/>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57F4D"/>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0A4B"/>
    <w:rsid w:val="00C43F09"/>
    <w:rsid w:val="00C45E59"/>
    <w:rsid w:val="00C504CE"/>
    <w:rsid w:val="00C5230C"/>
    <w:rsid w:val="00C564C2"/>
    <w:rsid w:val="00C5688F"/>
    <w:rsid w:val="00C569C1"/>
    <w:rsid w:val="00C5765C"/>
    <w:rsid w:val="00C61FAF"/>
    <w:rsid w:val="00C62657"/>
    <w:rsid w:val="00C626BF"/>
    <w:rsid w:val="00C65931"/>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0D71"/>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6549"/>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707C"/>
    <w:rsid w:val="00F82E64"/>
    <w:rsid w:val="00F8431A"/>
    <w:rsid w:val="00F869F0"/>
    <w:rsid w:val="00F90213"/>
    <w:rsid w:val="00F916AA"/>
    <w:rsid w:val="00F92509"/>
    <w:rsid w:val="00F9257C"/>
    <w:rsid w:val="00F934B0"/>
    <w:rsid w:val="00F952BC"/>
    <w:rsid w:val="00F95844"/>
    <w:rsid w:val="00F96766"/>
    <w:rsid w:val="00F979B8"/>
    <w:rsid w:val="00FA08E7"/>
    <w:rsid w:val="00FA0BA1"/>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0E2469C0"/>
    <w:rsid w:val="160B65B8"/>
    <w:rsid w:val="181B00DE"/>
    <w:rsid w:val="191A518B"/>
    <w:rsid w:val="1A66199C"/>
    <w:rsid w:val="1CFD4BB7"/>
    <w:rsid w:val="1D1E7436"/>
    <w:rsid w:val="1E295FD9"/>
    <w:rsid w:val="1E452806"/>
    <w:rsid w:val="1EE97BD3"/>
    <w:rsid w:val="20473BA3"/>
    <w:rsid w:val="24903D54"/>
    <w:rsid w:val="27475E96"/>
    <w:rsid w:val="29AC0C5F"/>
    <w:rsid w:val="2A7028F9"/>
    <w:rsid w:val="2B0A6292"/>
    <w:rsid w:val="2EAF0755"/>
    <w:rsid w:val="34C91EAC"/>
    <w:rsid w:val="35F8791E"/>
    <w:rsid w:val="3B7B577B"/>
    <w:rsid w:val="41ED07ED"/>
    <w:rsid w:val="4A1240B3"/>
    <w:rsid w:val="4A45180B"/>
    <w:rsid w:val="4D2A7712"/>
    <w:rsid w:val="4E462DBA"/>
    <w:rsid w:val="4F2B257A"/>
    <w:rsid w:val="517E2641"/>
    <w:rsid w:val="55FE375F"/>
    <w:rsid w:val="5B603A70"/>
    <w:rsid w:val="5D8C204C"/>
    <w:rsid w:val="602042D5"/>
    <w:rsid w:val="639F1B94"/>
    <w:rsid w:val="64683C5A"/>
    <w:rsid w:val="66AE269A"/>
    <w:rsid w:val="69FA3B9E"/>
    <w:rsid w:val="6BB72AEA"/>
    <w:rsid w:val="71A45F17"/>
    <w:rsid w:val="734A47CF"/>
    <w:rsid w:val="763527EB"/>
    <w:rsid w:val="775213D7"/>
    <w:rsid w:val="775F5EBE"/>
    <w:rsid w:val="7E6C1254"/>
    <w:rsid w:val="7F6A1BF1"/>
    <w:rsid w:val="7FA15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autoRedefine/>
    <w:qFormat/>
    <w:uiPriority w:val="0"/>
    <w:pPr>
      <w:keepNext/>
      <w:spacing w:line="360" w:lineRule="auto"/>
      <w:jc w:val="center"/>
      <w:outlineLvl w:val="0"/>
    </w:pPr>
    <w:rPr>
      <w:rFonts w:ascii="宋体" w:hAnsi="宋体" w:cs="宋体"/>
      <w:b/>
      <w:sz w:val="28"/>
      <w:szCs w:val="20"/>
    </w:rPr>
  </w:style>
  <w:style w:type="paragraph" w:styleId="4">
    <w:name w:val="heading 3"/>
    <w:basedOn w:val="1"/>
    <w:next w:val="1"/>
    <w:link w:val="30"/>
    <w:autoRedefine/>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5"/>
    <w:autoRedefine/>
    <w:semiHidden/>
    <w:unhideWhenUsed/>
    <w:qFormat/>
    <w:uiPriority w:val="99"/>
    <w:pPr>
      <w:jc w:val="left"/>
    </w:pPr>
    <w:rPr>
      <w:rFonts w:ascii="楷体_GB2312" w:hAnsi="华文楷体" w:eastAsia="楷体_GB2312"/>
      <w:sz w:val="28"/>
      <w:szCs w:val="28"/>
    </w:rPr>
  </w:style>
  <w:style w:type="paragraph" w:styleId="5">
    <w:name w:val="Normal Indent"/>
    <w:basedOn w:val="1"/>
    <w:autoRedefine/>
    <w:semiHidden/>
    <w:unhideWhenUsed/>
    <w:qFormat/>
    <w:uiPriority w:val="99"/>
    <w:pPr>
      <w:ind w:firstLine="420"/>
    </w:pPr>
  </w:style>
  <w:style w:type="paragraph" w:styleId="6">
    <w:name w:val="annotation text"/>
    <w:basedOn w:val="1"/>
    <w:link w:val="31"/>
    <w:autoRedefine/>
    <w:semiHidden/>
    <w:unhideWhenUsed/>
    <w:qFormat/>
    <w:uiPriority w:val="99"/>
    <w:pPr>
      <w:jc w:val="left"/>
    </w:pPr>
  </w:style>
  <w:style w:type="paragraph" w:styleId="7">
    <w:name w:val="Body Text Indent"/>
    <w:basedOn w:val="1"/>
    <w:link w:val="36"/>
    <w:autoRedefine/>
    <w:semiHidden/>
    <w:unhideWhenUsed/>
    <w:qFormat/>
    <w:uiPriority w:val="99"/>
    <w:pPr>
      <w:spacing w:after="120"/>
      <w:ind w:left="420" w:leftChars="200"/>
    </w:pPr>
  </w:style>
  <w:style w:type="paragraph" w:styleId="8">
    <w:name w:val="List Bullet 2"/>
    <w:basedOn w:val="1"/>
    <w:autoRedefine/>
    <w:unhideWhenUsed/>
    <w:qFormat/>
    <w:uiPriority w:val="99"/>
    <w:pPr>
      <w:numPr>
        <w:ilvl w:val="0"/>
        <w:numId w:val="1"/>
      </w:numPr>
      <w:contextualSpacing/>
    </w:pPr>
    <w:rPr>
      <w:rFonts w:ascii="Times New Roman" w:hAnsi="Times New Roman"/>
      <w:szCs w:val="22"/>
    </w:rPr>
  </w:style>
  <w:style w:type="paragraph" w:styleId="9">
    <w:name w:val="index 4"/>
    <w:basedOn w:val="1"/>
    <w:next w:val="1"/>
    <w:autoRedefine/>
    <w:qFormat/>
    <w:uiPriority w:val="99"/>
    <w:pPr>
      <w:ind w:left="600" w:leftChars="600"/>
    </w:pPr>
    <w:rPr>
      <w:rFonts w:ascii="等线" w:hAnsi="等线" w:eastAsia="等线" w:cs="等线"/>
      <w:szCs w:val="21"/>
    </w:rPr>
  </w:style>
  <w:style w:type="paragraph" w:styleId="10">
    <w:name w:val="Plain Text"/>
    <w:basedOn w:val="1"/>
    <w:link w:val="39"/>
    <w:autoRedefine/>
    <w:unhideWhenUsed/>
    <w:qFormat/>
    <w:uiPriority w:val="99"/>
    <w:rPr>
      <w:rFonts w:ascii="宋体" w:hAnsi="Courier New" w:cs="Courier New"/>
      <w:szCs w:val="21"/>
    </w:rPr>
  </w:style>
  <w:style w:type="paragraph" w:styleId="11">
    <w:name w:val="Date"/>
    <w:basedOn w:val="1"/>
    <w:next w:val="1"/>
    <w:link w:val="37"/>
    <w:autoRedefine/>
    <w:semiHidden/>
    <w:unhideWhenUsed/>
    <w:qFormat/>
    <w:uiPriority w:val="99"/>
    <w:pPr>
      <w:ind w:left="100" w:leftChars="2500"/>
    </w:pPr>
    <w:rPr>
      <w:rFonts w:eastAsia="楷体_GB2312"/>
      <w:b/>
      <w:bCs/>
      <w:sz w:val="32"/>
    </w:rPr>
  </w:style>
  <w:style w:type="paragraph" w:styleId="12">
    <w:name w:val="Body Text Indent 2"/>
    <w:basedOn w:val="1"/>
    <w:link w:val="38"/>
    <w:autoRedefine/>
    <w:semiHidden/>
    <w:unhideWhenUsed/>
    <w:qFormat/>
    <w:uiPriority w:val="99"/>
    <w:pPr>
      <w:spacing w:after="120" w:line="480" w:lineRule="auto"/>
      <w:ind w:left="420" w:leftChars="200"/>
    </w:pPr>
  </w:style>
  <w:style w:type="paragraph" w:styleId="13">
    <w:name w:val="Balloon Text"/>
    <w:basedOn w:val="1"/>
    <w:link w:val="41"/>
    <w:autoRedefine/>
    <w:semiHidden/>
    <w:unhideWhenUsed/>
    <w:qFormat/>
    <w:uiPriority w:val="99"/>
    <w:rPr>
      <w:sz w:val="18"/>
      <w:szCs w:val="18"/>
    </w:rPr>
  </w:style>
  <w:style w:type="paragraph" w:styleId="14">
    <w:name w:val="footer"/>
    <w:basedOn w:val="1"/>
    <w:link w:val="33"/>
    <w:autoRedefine/>
    <w:unhideWhenUsed/>
    <w:qFormat/>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tabs>
        <w:tab w:val="right" w:leader="dot" w:pos="8296"/>
      </w:tabs>
      <w:spacing w:line="360" w:lineRule="auto"/>
    </w:pPr>
  </w:style>
  <w:style w:type="paragraph" w:styleId="17">
    <w:name w:val="Body Text 2"/>
    <w:basedOn w:val="1"/>
    <w:link w:val="57"/>
    <w:autoRedefine/>
    <w:semiHidden/>
    <w:unhideWhenUsed/>
    <w:qFormat/>
    <w:uiPriority w:val="99"/>
    <w:pPr>
      <w:spacing w:after="120" w:line="480" w:lineRule="auto"/>
    </w:pPr>
  </w:style>
  <w:style w:type="paragraph" w:styleId="18">
    <w:name w:val="Normal (Web)"/>
    <w:basedOn w:val="1"/>
    <w:autoRedefine/>
    <w:unhideWhenUsed/>
    <w:qFormat/>
    <w:uiPriority w:val="0"/>
    <w:pPr>
      <w:spacing w:before="100" w:beforeAutospacing="1" w:after="100" w:afterAutospacing="1"/>
      <w:jc w:val="left"/>
    </w:pPr>
    <w:rPr>
      <w:kern w:val="0"/>
      <w:sz w:val="24"/>
      <w:szCs w:val="20"/>
    </w:rPr>
  </w:style>
  <w:style w:type="paragraph" w:styleId="19">
    <w:name w:val="Title"/>
    <w:basedOn w:val="1"/>
    <w:link w:val="34"/>
    <w:autoRedefine/>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6"/>
    <w:next w:val="6"/>
    <w:link w:val="40"/>
    <w:autoRedefine/>
    <w:semiHidden/>
    <w:unhideWhenUsed/>
    <w:qFormat/>
    <w:uiPriority w:val="99"/>
    <w:rPr>
      <w:b/>
      <w:bCs/>
    </w:rPr>
  </w:style>
  <w:style w:type="paragraph" w:styleId="21">
    <w:name w:val="Body Text First Indent 2"/>
    <w:basedOn w:val="7"/>
    <w:autoRedefine/>
    <w:qFormat/>
    <w:uiPriority w:val="0"/>
    <w:pPr>
      <w:tabs>
        <w:tab w:val="left" w:pos="0"/>
        <w:tab w:val="left" w:pos="993"/>
        <w:tab w:val="left" w:pos="1134"/>
      </w:tabs>
      <w:ind w:firstLine="420"/>
    </w:pPr>
    <w:rPr>
      <w:rFonts w:ascii="Times New Roman" w:hAnsi="Times New Roman"/>
    </w:rPr>
  </w:style>
  <w:style w:type="table" w:styleId="23">
    <w:name w:val="Table Grid"/>
    <w:basedOn w:val="22"/>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autoRedefine/>
    <w:semiHidden/>
    <w:unhideWhenUsed/>
    <w:qFormat/>
    <w:uiPriority w:val="99"/>
    <w:rPr>
      <w:color w:val="800080" w:themeColor="followedHyperlink"/>
      <w:u w:val="single"/>
      <w14:textFill>
        <w14:solidFill>
          <w14:schemeClr w14:val="folHlink"/>
        </w14:solidFill>
      </w14:textFill>
    </w:rPr>
  </w:style>
  <w:style w:type="character" w:styleId="26">
    <w:name w:val="Hyperlink"/>
    <w:autoRedefine/>
    <w:unhideWhenUsed/>
    <w:qFormat/>
    <w:uiPriority w:val="99"/>
    <w:rPr>
      <w:color w:val="0000FF"/>
      <w:u w:val="single"/>
    </w:rPr>
  </w:style>
  <w:style w:type="character" w:styleId="27">
    <w:name w:val="annotation reference"/>
    <w:autoRedefine/>
    <w:semiHidden/>
    <w:unhideWhenUsed/>
    <w:qFormat/>
    <w:uiPriority w:val="0"/>
    <w:rPr>
      <w:sz w:val="21"/>
      <w:szCs w:val="21"/>
    </w:rPr>
  </w:style>
  <w:style w:type="paragraph" w:customStyle="1" w:styleId="28">
    <w:name w:val="Default"/>
    <w:autoRedefine/>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4"/>
    <w:link w:val="3"/>
    <w:autoRedefine/>
    <w:qFormat/>
    <w:uiPriority w:val="0"/>
    <w:rPr>
      <w:rFonts w:ascii="宋体" w:hAnsi="宋体" w:eastAsia="宋体" w:cs="宋体"/>
      <w:b/>
      <w:sz w:val="28"/>
      <w:szCs w:val="20"/>
    </w:rPr>
  </w:style>
  <w:style w:type="character" w:customStyle="1" w:styleId="30">
    <w:name w:val="标题 3 Char"/>
    <w:basedOn w:val="24"/>
    <w:link w:val="4"/>
    <w:autoRedefine/>
    <w:semiHidden/>
    <w:qFormat/>
    <w:uiPriority w:val="0"/>
    <w:rPr>
      <w:rFonts w:ascii="Calibri" w:hAnsi="Calibri" w:eastAsia="宋体" w:cs="宋体"/>
      <w:b/>
      <w:sz w:val="32"/>
      <w:szCs w:val="20"/>
    </w:rPr>
  </w:style>
  <w:style w:type="character" w:customStyle="1" w:styleId="31">
    <w:name w:val="批注文字 Char"/>
    <w:basedOn w:val="24"/>
    <w:link w:val="6"/>
    <w:autoRedefine/>
    <w:semiHidden/>
    <w:qFormat/>
    <w:uiPriority w:val="99"/>
    <w:rPr>
      <w:rFonts w:ascii="Calibri" w:hAnsi="Calibri" w:eastAsia="宋体" w:cs="Times New Roman"/>
      <w:szCs w:val="24"/>
    </w:rPr>
  </w:style>
  <w:style w:type="character" w:customStyle="1" w:styleId="32">
    <w:name w:val="页眉 Char"/>
    <w:basedOn w:val="24"/>
    <w:link w:val="15"/>
    <w:autoRedefine/>
    <w:qFormat/>
    <w:uiPriority w:val="99"/>
    <w:rPr>
      <w:rFonts w:ascii="Calibri" w:hAnsi="Calibri" w:eastAsia="宋体" w:cs="Times New Roman"/>
      <w:sz w:val="18"/>
      <w:szCs w:val="18"/>
    </w:rPr>
  </w:style>
  <w:style w:type="character" w:customStyle="1" w:styleId="33">
    <w:name w:val="页脚 Char"/>
    <w:basedOn w:val="24"/>
    <w:link w:val="14"/>
    <w:autoRedefine/>
    <w:qFormat/>
    <w:uiPriority w:val="99"/>
    <w:rPr>
      <w:rFonts w:ascii="Calibri" w:hAnsi="Calibri" w:eastAsia="宋体" w:cs="Times New Roman"/>
      <w:sz w:val="18"/>
      <w:szCs w:val="18"/>
    </w:rPr>
  </w:style>
  <w:style w:type="character" w:customStyle="1" w:styleId="34">
    <w:name w:val="标题 Char"/>
    <w:basedOn w:val="24"/>
    <w:link w:val="19"/>
    <w:autoRedefine/>
    <w:qFormat/>
    <w:uiPriority w:val="99"/>
    <w:rPr>
      <w:rFonts w:ascii="Arial" w:hAnsi="Arial" w:eastAsia="宋体" w:cs="Times New Roman"/>
      <w:b/>
      <w:kern w:val="0"/>
      <w:sz w:val="32"/>
      <w:szCs w:val="20"/>
    </w:rPr>
  </w:style>
  <w:style w:type="character" w:customStyle="1" w:styleId="35">
    <w:name w:val="正文文本 Char"/>
    <w:basedOn w:val="24"/>
    <w:link w:val="2"/>
    <w:autoRedefine/>
    <w:semiHidden/>
    <w:qFormat/>
    <w:uiPriority w:val="99"/>
    <w:rPr>
      <w:rFonts w:ascii="楷体_GB2312" w:hAnsi="华文楷体" w:eastAsia="楷体_GB2312" w:cs="Times New Roman"/>
      <w:sz w:val="28"/>
      <w:szCs w:val="28"/>
    </w:rPr>
  </w:style>
  <w:style w:type="character" w:customStyle="1" w:styleId="36">
    <w:name w:val="正文文本缩进 Char"/>
    <w:basedOn w:val="24"/>
    <w:link w:val="7"/>
    <w:autoRedefine/>
    <w:semiHidden/>
    <w:qFormat/>
    <w:uiPriority w:val="99"/>
    <w:rPr>
      <w:rFonts w:ascii="Calibri" w:hAnsi="Calibri" w:eastAsia="宋体" w:cs="Times New Roman"/>
      <w:szCs w:val="24"/>
    </w:rPr>
  </w:style>
  <w:style w:type="character" w:customStyle="1" w:styleId="37">
    <w:name w:val="日期 Char"/>
    <w:basedOn w:val="24"/>
    <w:link w:val="11"/>
    <w:autoRedefine/>
    <w:semiHidden/>
    <w:qFormat/>
    <w:uiPriority w:val="99"/>
    <w:rPr>
      <w:rFonts w:ascii="Calibri" w:hAnsi="Calibri" w:eastAsia="楷体_GB2312" w:cs="Times New Roman"/>
      <w:b/>
      <w:bCs/>
      <w:sz w:val="32"/>
      <w:szCs w:val="24"/>
    </w:rPr>
  </w:style>
  <w:style w:type="character" w:customStyle="1" w:styleId="38">
    <w:name w:val="正文文本缩进 2 Char"/>
    <w:basedOn w:val="24"/>
    <w:link w:val="12"/>
    <w:autoRedefine/>
    <w:semiHidden/>
    <w:qFormat/>
    <w:uiPriority w:val="99"/>
    <w:rPr>
      <w:rFonts w:ascii="Calibri" w:hAnsi="Calibri" w:eastAsia="宋体" w:cs="Times New Roman"/>
      <w:szCs w:val="24"/>
    </w:rPr>
  </w:style>
  <w:style w:type="character" w:customStyle="1" w:styleId="39">
    <w:name w:val="纯文本 Char"/>
    <w:basedOn w:val="24"/>
    <w:link w:val="10"/>
    <w:autoRedefine/>
    <w:qFormat/>
    <w:uiPriority w:val="99"/>
    <w:rPr>
      <w:rFonts w:ascii="宋体" w:hAnsi="Courier New" w:eastAsia="宋体" w:cs="Courier New"/>
      <w:szCs w:val="21"/>
    </w:rPr>
  </w:style>
  <w:style w:type="character" w:customStyle="1" w:styleId="40">
    <w:name w:val="批注主题 Char"/>
    <w:basedOn w:val="31"/>
    <w:link w:val="20"/>
    <w:autoRedefine/>
    <w:semiHidden/>
    <w:qFormat/>
    <w:uiPriority w:val="99"/>
    <w:rPr>
      <w:rFonts w:ascii="Calibri" w:hAnsi="Calibri" w:eastAsia="宋体" w:cs="Times New Roman"/>
      <w:b/>
      <w:bCs/>
      <w:szCs w:val="24"/>
    </w:rPr>
  </w:style>
  <w:style w:type="character" w:customStyle="1" w:styleId="41">
    <w:name w:val="批注框文本 Char"/>
    <w:basedOn w:val="24"/>
    <w:link w:val="13"/>
    <w:autoRedefine/>
    <w:semiHidden/>
    <w:qFormat/>
    <w:uiPriority w:val="99"/>
    <w:rPr>
      <w:rFonts w:ascii="Calibri" w:hAnsi="Calibri" w:eastAsia="宋体" w:cs="Times New Roman"/>
      <w:sz w:val="18"/>
      <w:szCs w:val="18"/>
    </w:rPr>
  </w:style>
  <w:style w:type="paragraph" w:styleId="42">
    <w:name w:val="List Paragraph"/>
    <w:basedOn w:val="1"/>
    <w:autoRedefine/>
    <w:qFormat/>
    <w:uiPriority w:val="34"/>
    <w:pPr>
      <w:ind w:firstLine="420" w:firstLineChars="200"/>
    </w:pPr>
    <w:rPr>
      <w:szCs w:val="20"/>
    </w:rPr>
  </w:style>
  <w:style w:type="paragraph" w:customStyle="1" w:styleId="43">
    <w:name w:val="Char Char1 Char Char Char Char Char Char"/>
    <w:basedOn w:val="1"/>
    <w:autoRedefine/>
    <w:qFormat/>
    <w:uiPriority w:val="99"/>
    <w:pPr>
      <w:widowControl/>
      <w:spacing w:after="160" w:line="240" w:lineRule="exact"/>
      <w:jc w:val="left"/>
    </w:pPr>
    <w:rPr>
      <w:szCs w:val="20"/>
    </w:rPr>
  </w:style>
  <w:style w:type="paragraph" w:customStyle="1" w:styleId="44">
    <w:name w:val="2"/>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Theme="majorHAnsi" w:hAnsiTheme="majorHAnsi" w:cstheme="majorBidi"/>
      <w:b/>
      <w:bCs/>
      <w:kern w:val="2"/>
      <w:sz w:val="32"/>
      <w:szCs w:val="32"/>
    </w:rPr>
  </w:style>
  <w:style w:type="character" w:customStyle="1" w:styleId="50">
    <w:name w:val="批注文字 Char1"/>
    <w:basedOn w:val="24"/>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4"/>
    <w:link w:val="17"/>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14:textFill>
        <w14:solidFill>
          <w14:schemeClr w14:val="tx1"/>
        </w14:solidFill>
      </w14:textFill>
    </w:rPr>
  </w:style>
  <w:style w:type="character" w:customStyle="1" w:styleId="61">
    <w:name w:val="宋体小四正文 字符"/>
    <w:basedOn w:val="24"/>
    <w:link w:val="60"/>
    <w:qFormat/>
    <w:uiPriority w:val="0"/>
    <w:rPr>
      <w:rFonts w:ascii="宋体" w:hAnsi="宋体" w:eastAsia="宋体"/>
      <w:color w:val="000000" w:themeColor="text1"/>
      <w:kern w:val="2"/>
      <w:sz w:val="24"/>
      <w:szCs w:val="28"/>
      <w14:textFill>
        <w14:solidFill>
          <w14:schemeClr w14:val="tx1"/>
        </w14:solidFill>
      </w14:textFill>
    </w:rPr>
  </w:style>
  <w:style w:type="paragraph" w:customStyle="1" w:styleId="62">
    <w:name w:val="Normal Indent1"/>
    <w:basedOn w:val="1"/>
    <w:qFormat/>
    <w:uiPriority w:val="0"/>
    <w:pPr>
      <w:ind w:firstLine="420" w:firstLineChars="200"/>
    </w:pPr>
  </w:style>
  <w:style w:type="character" w:customStyle="1" w:styleId="63">
    <w:name w:val="页脚 Char1"/>
    <w:qFormat/>
    <w:uiPriority w:val="99"/>
    <w:rPr>
      <w:sz w:val="18"/>
      <w:szCs w:val="18"/>
    </w:rPr>
  </w:style>
  <w:style w:type="character" w:customStyle="1" w:styleId="64">
    <w:name w:val="NormalCharacter1"/>
    <w:qFormat/>
    <w:uiPriority w:val="0"/>
    <w:rPr>
      <w:rFonts w:asciiTheme="minorHAnsi" w:hAnsiTheme="minorHAnsi" w:eastAsiaTheme="minorEastAsia" w:cstheme="minorBidi"/>
      <w:kern w:val="2"/>
      <w:sz w:val="21"/>
      <w:szCs w:val="22"/>
      <w:lang w:val="en-US" w:eastAsia="zh-CN" w:bidi="ar-SA"/>
    </w:rPr>
  </w:style>
  <w:style w:type="paragraph" w:customStyle="1" w:styleId="65">
    <w:name w:val="引文目录标题1"/>
    <w:basedOn w:val="1"/>
    <w:next w:val="1"/>
    <w:unhideWhenUsed/>
    <w:qFormat/>
    <w:uiPriority w:val="99"/>
    <w:pPr>
      <w:spacing w:before="120"/>
    </w:pPr>
    <w:rPr>
      <w:rFonts w:ascii="Cambria" w:hAnsi="Cambria" w:eastAsia="等线"/>
      <w:sz w:val="24"/>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8864</Words>
  <Characters>9107</Characters>
  <Lines>71</Lines>
  <Paragraphs>20</Paragraphs>
  <TotalTime>887</TotalTime>
  <ScaleCrop>false</ScaleCrop>
  <LinksUpToDate>false</LinksUpToDate>
  <CharactersWithSpaces>9685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2022-05-06T07:35:00Z</dcterms:created>
  <dc:creator>未定义</dc:creator>
  <cp:lastModifiedBy>张长君</cp:lastModifiedBy>
  <cp:lastPrinted>2020-05-07T17:24:00Z</cp:lastPrinted>
  <dcterms:modified xsi:type="dcterms:W3CDTF">2026-04-21T07:37:41Z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168794FBF65982803CF0DD69E4283A01_43</vt:lpwstr>
  </property>
  <property fmtid="{D5CDD505-2E9C-101B-9397-08002B2CF9AE}" pid="4" name="KSOTemplateDocerSaveRecord">
    <vt:lpwstr>eyJoZGlkIjoiN2Y4ZDNhMDVmNDIzOTA1MDMwMTAyNmQxZjFhNzlmNGYiLCJ1c2VySWQiOiIxMjEwNDIxMzA4In0=</vt:lpwstr>
  </property>
</Properties>
</file>