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11DDA">
      <w:pPr>
        <w:adjustRightInd w:val="0"/>
        <w:snapToGrid w:val="0"/>
        <w:spacing w:line="560" w:lineRule="exact"/>
        <w:jc w:val="center"/>
        <w:rPr>
          <w:rFonts w:ascii="宋体" w:hAnsi="宋体" w:cs="仿宋"/>
          <w:spacing w:val="28"/>
          <w:sz w:val="44"/>
          <w:szCs w:val="44"/>
        </w:rPr>
      </w:pPr>
    </w:p>
    <w:p w14:paraId="208141AD">
      <w:pPr>
        <w:adjustRightInd w:val="0"/>
        <w:snapToGrid w:val="0"/>
        <w:spacing w:line="560" w:lineRule="exact"/>
        <w:jc w:val="center"/>
        <w:rPr>
          <w:rFonts w:hint="eastAsia" w:eastAsia="楷体"/>
          <w:b/>
          <w:bCs/>
          <w:sz w:val="44"/>
          <w:szCs w:val="44"/>
        </w:rPr>
      </w:pPr>
      <w:r>
        <w:rPr>
          <w:rFonts w:hint="eastAsia" w:eastAsia="楷体"/>
          <w:b/>
          <w:bCs/>
          <w:sz w:val="44"/>
          <w:szCs w:val="44"/>
        </w:rPr>
        <w:t>扬州大学附属医院固体饮料及复配食品添加剂采购项目（营养素调整型固体饮料</w:t>
      </w:r>
      <w:r>
        <w:rPr>
          <w:rFonts w:hint="eastAsia" w:eastAsia="楷体"/>
          <w:b/>
          <w:bCs/>
          <w:sz w:val="44"/>
          <w:szCs w:val="44"/>
          <w:lang w:eastAsia="zh-CN"/>
        </w:rPr>
        <w:t>、</w:t>
      </w:r>
      <w:r>
        <w:rPr>
          <w:rFonts w:hint="eastAsia" w:eastAsia="楷体"/>
          <w:b/>
          <w:bCs/>
          <w:sz w:val="44"/>
          <w:szCs w:val="44"/>
          <w:lang w:val="en-US" w:eastAsia="zh-CN"/>
        </w:rPr>
        <w:t>三次</w:t>
      </w:r>
      <w:r>
        <w:rPr>
          <w:rFonts w:hint="eastAsia" w:eastAsia="楷体"/>
          <w:b/>
          <w:bCs/>
          <w:sz w:val="44"/>
          <w:szCs w:val="44"/>
        </w:rPr>
        <w:t>）</w:t>
      </w:r>
    </w:p>
    <w:p w14:paraId="3A05090C">
      <w:pPr>
        <w:adjustRightInd w:val="0"/>
        <w:snapToGrid w:val="0"/>
        <w:spacing w:line="560" w:lineRule="exact"/>
        <w:jc w:val="center"/>
        <w:rPr>
          <w:rFonts w:ascii="宋体" w:hAnsi="宋体" w:cs="仿宋"/>
          <w:spacing w:val="28"/>
          <w:sz w:val="44"/>
          <w:szCs w:val="44"/>
        </w:rPr>
      </w:pPr>
      <w:r>
        <w:rPr>
          <w:rFonts w:hint="eastAsia" w:eastAsia="楷体"/>
          <w:b/>
          <w:bCs/>
          <w:sz w:val="44"/>
          <w:szCs w:val="44"/>
        </w:rPr>
        <w:t>院内公开谈判文件</w:t>
      </w:r>
    </w:p>
    <w:p w14:paraId="17803FE6">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5" cstate="print"/>
                    <a:stretch>
                      <a:fillRect/>
                    </a:stretch>
                  </pic:blipFill>
                  <pic:spPr>
                    <a:xfrm>
                      <a:off x="0" y="0"/>
                      <a:ext cx="5480685" cy="4157345"/>
                    </a:xfrm>
                    <a:prstGeom prst="rect">
                      <a:avLst/>
                    </a:prstGeom>
                    <a:noFill/>
                    <a:ln>
                      <a:noFill/>
                    </a:ln>
                  </pic:spPr>
                </pic:pic>
              </a:graphicData>
            </a:graphic>
          </wp:inline>
        </w:drawing>
      </w:r>
    </w:p>
    <w:p w14:paraId="233A7523">
      <w:pPr>
        <w:spacing w:line="360" w:lineRule="auto"/>
        <w:ind w:firstLine="848" w:firstLineChars="265"/>
        <w:jc w:val="center"/>
        <w:rPr>
          <w:rFonts w:ascii="宋体" w:hAnsi="宋体" w:cs="宋体"/>
          <w:sz w:val="32"/>
          <w:szCs w:val="32"/>
        </w:rPr>
      </w:pPr>
    </w:p>
    <w:p w14:paraId="0B04ACAB">
      <w:pPr>
        <w:spacing w:line="360" w:lineRule="auto"/>
        <w:ind w:firstLine="848" w:firstLineChars="265"/>
        <w:jc w:val="center"/>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536785C1">
      <w:pPr>
        <w:spacing w:line="360" w:lineRule="auto"/>
        <w:ind w:firstLine="848" w:firstLineChars="265"/>
        <w:jc w:val="center"/>
        <w:rPr>
          <w:rFonts w:ascii="宋体" w:hAnsi="宋体" w:cs="宋体"/>
          <w:sz w:val="32"/>
          <w:szCs w:val="32"/>
        </w:rPr>
      </w:pPr>
    </w:p>
    <w:p w14:paraId="58AADF47">
      <w:pPr>
        <w:spacing w:line="360" w:lineRule="auto"/>
        <w:ind w:firstLine="3088" w:firstLineChars="965"/>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w:t>
      </w:r>
      <w:r>
        <w:rPr>
          <w:rFonts w:hint="eastAsia" w:ascii="宋体" w:hAnsi="宋体" w:cs="宋体"/>
          <w:b/>
          <w:sz w:val="32"/>
          <w:szCs w:val="32"/>
          <w:lang w:val="en-US" w:eastAsia="zh-CN"/>
        </w:rPr>
        <w:t>5</w:t>
      </w:r>
      <w:r>
        <w:rPr>
          <w:rFonts w:hint="eastAsia" w:ascii="宋体" w:hAnsi="宋体" w:cs="宋体"/>
          <w:b/>
          <w:sz w:val="32"/>
          <w:szCs w:val="32"/>
        </w:rPr>
        <w:t>月</w:t>
      </w:r>
      <w:bookmarkEnd w:id="0"/>
    </w:p>
    <w:p w14:paraId="2B709E98">
      <w:pPr>
        <w:jc w:val="center"/>
        <w:rPr>
          <w:rFonts w:ascii="宋体" w:hAnsi="宋体"/>
          <w:b/>
          <w:bCs/>
          <w:sz w:val="48"/>
          <w:szCs w:val="48"/>
        </w:rPr>
      </w:pPr>
    </w:p>
    <w:p w14:paraId="12C6D884">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0E6E049A">
      <w:pPr>
        <w:pStyle w:val="16"/>
        <w:ind w:firstLine="630" w:firstLineChars="300"/>
      </w:pPr>
    </w:p>
    <w:p w14:paraId="17483994">
      <w:pPr>
        <w:pStyle w:val="16"/>
        <w:ind w:firstLine="240" w:firstLineChars="100"/>
        <w:contextualSpacing/>
        <w:jc w:val="left"/>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招标邀请</w:t>
      </w:r>
      <w:r>
        <w:rPr>
          <w:rFonts w:asciiTheme="minorEastAsia" w:hAnsiTheme="minorEastAsia" w:eastAsiaTheme="minorEastAsia"/>
          <w:sz w:val="24"/>
        </w:rPr>
        <w:t>………………………………………………………………………</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_Toc39744251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p>
    <w:p w14:paraId="3EABEE4A">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二、项目需求</w:t>
      </w:r>
      <w:r>
        <w:rPr>
          <w:rFonts w:asciiTheme="minorEastAsia" w:hAnsiTheme="minorEastAsia" w:eastAsiaTheme="minorEastAsia"/>
          <w:sz w:val="24"/>
        </w:rPr>
        <w:t>………………………………………………………………………</w:t>
      </w:r>
      <w:r>
        <w:rPr>
          <w:rFonts w:hint="eastAsia" w:asciiTheme="minorEastAsia" w:hAnsiTheme="minorEastAsia" w:eastAsiaTheme="minorEastAsia"/>
          <w:sz w:val="24"/>
        </w:rPr>
        <w:t>3</w:t>
      </w:r>
    </w:p>
    <w:p w14:paraId="0C487B8A">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三、</w:t>
      </w:r>
      <w:r>
        <w:rPr>
          <w:rFonts w:asciiTheme="minorEastAsia" w:hAnsiTheme="minorEastAsia" w:eastAsiaTheme="minorEastAsia"/>
          <w:sz w:val="24"/>
        </w:rPr>
        <w:t>投标人须知……………………………………………………………………</w:t>
      </w:r>
      <w:r>
        <w:rPr>
          <w:rFonts w:hint="eastAsia" w:asciiTheme="minorEastAsia" w:hAnsiTheme="minorEastAsia" w:eastAsiaTheme="minorEastAsia"/>
          <w:sz w:val="24"/>
        </w:rPr>
        <w:t>7</w:t>
      </w:r>
    </w:p>
    <w:p w14:paraId="0928AFC9">
      <w:pPr>
        <w:spacing w:line="360" w:lineRule="auto"/>
        <w:ind w:firstLine="240" w:firstLineChars="100"/>
        <w:contextualSpacing/>
        <w:jc w:val="left"/>
        <w:rPr>
          <w:rFonts w:ascii="宋体" w:hAnsi="宋体"/>
          <w:bCs/>
          <w:sz w:val="24"/>
        </w:rPr>
      </w:pPr>
      <w:r>
        <w:rPr>
          <w:rFonts w:hint="eastAsia" w:ascii="宋体" w:hAnsi="宋体"/>
          <w:bCs/>
          <w:sz w:val="24"/>
        </w:rPr>
        <w:t>四、投标文件格式及附件要求</w:t>
      </w:r>
      <w:r>
        <w:rPr>
          <w:rFonts w:ascii="宋体" w:hAnsi="宋体"/>
          <w:bCs/>
          <w:sz w:val="24"/>
        </w:rPr>
        <w:t>……………………………………………………</w:t>
      </w:r>
      <w:r>
        <w:rPr>
          <w:rFonts w:hint="eastAsia" w:ascii="宋体" w:hAnsi="宋体"/>
          <w:bCs/>
          <w:sz w:val="24"/>
        </w:rPr>
        <w:t>9</w:t>
      </w:r>
    </w:p>
    <w:p w14:paraId="15CFC15A">
      <w:pPr>
        <w:spacing w:line="360" w:lineRule="auto"/>
        <w:ind w:firstLine="240" w:firstLineChars="100"/>
        <w:contextualSpacing/>
        <w:jc w:val="left"/>
        <w:rPr>
          <w:rFonts w:ascii="宋体" w:hAnsi="宋体"/>
          <w:bCs/>
          <w:sz w:val="24"/>
        </w:rPr>
      </w:pPr>
      <w:r>
        <w:rPr>
          <w:rFonts w:hint="eastAsia" w:ascii="宋体" w:hAnsi="宋体"/>
          <w:bCs/>
          <w:sz w:val="24"/>
        </w:rPr>
        <w:t>五、供应商廉洁自律承诺书</w:t>
      </w:r>
      <w:r>
        <w:rPr>
          <w:rFonts w:ascii="宋体" w:hAnsi="宋体"/>
          <w:bCs/>
          <w:sz w:val="24"/>
        </w:rPr>
        <w:t>………………………………………………………</w:t>
      </w:r>
      <w:r>
        <w:rPr>
          <w:rFonts w:hint="eastAsia" w:ascii="宋体" w:hAnsi="宋体"/>
          <w:bCs/>
          <w:sz w:val="24"/>
        </w:rPr>
        <w:t>14</w:t>
      </w:r>
    </w:p>
    <w:p w14:paraId="57FDB693">
      <w:pPr>
        <w:spacing w:line="360" w:lineRule="auto"/>
        <w:contextualSpacing/>
        <w:jc w:val="center"/>
        <w:rPr>
          <w:rFonts w:ascii="宋体" w:hAnsi="宋体"/>
          <w:bCs/>
          <w:sz w:val="24"/>
        </w:rPr>
      </w:pPr>
    </w:p>
    <w:p w14:paraId="63B6D062">
      <w:pPr>
        <w:rPr>
          <w:rFonts w:ascii="宋体" w:hAnsi="宋体"/>
          <w:sz w:val="30"/>
          <w:szCs w:val="30"/>
        </w:rPr>
      </w:pPr>
    </w:p>
    <w:p w14:paraId="4A6255A5">
      <w:pPr>
        <w:spacing w:line="360" w:lineRule="auto"/>
        <w:jc w:val="center"/>
      </w:pPr>
      <w:bookmarkStart w:id="1" w:name="_Toc39744251"/>
    </w:p>
    <w:p w14:paraId="2C973B43">
      <w:pPr>
        <w:spacing w:line="360" w:lineRule="auto"/>
        <w:jc w:val="center"/>
      </w:pPr>
    </w:p>
    <w:p w14:paraId="39F4C5E9">
      <w:pPr>
        <w:spacing w:line="360" w:lineRule="auto"/>
        <w:jc w:val="center"/>
      </w:pPr>
    </w:p>
    <w:p w14:paraId="090D6701">
      <w:pPr>
        <w:spacing w:line="360" w:lineRule="auto"/>
        <w:jc w:val="center"/>
      </w:pPr>
    </w:p>
    <w:p w14:paraId="3F9F99AA">
      <w:pPr>
        <w:spacing w:line="360" w:lineRule="auto"/>
        <w:jc w:val="center"/>
      </w:pPr>
    </w:p>
    <w:p w14:paraId="079B0273">
      <w:pPr>
        <w:spacing w:line="360" w:lineRule="auto"/>
        <w:jc w:val="center"/>
      </w:pPr>
    </w:p>
    <w:p w14:paraId="79F143C2">
      <w:pPr>
        <w:spacing w:line="360" w:lineRule="auto"/>
        <w:jc w:val="center"/>
      </w:pPr>
    </w:p>
    <w:p w14:paraId="3127F947">
      <w:pPr>
        <w:spacing w:line="360" w:lineRule="auto"/>
        <w:jc w:val="center"/>
      </w:pPr>
    </w:p>
    <w:p w14:paraId="6DFFC09F">
      <w:pPr>
        <w:spacing w:line="360" w:lineRule="auto"/>
        <w:jc w:val="center"/>
      </w:pPr>
    </w:p>
    <w:p w14:paraId="358AD007">
      <w:pPr>
        <w:spacing w:line="360" w:lineRule="auto"/>
        <w:jc w:val="center"/>
      </w:pPr>
    </w:p>
    <w:p w14:paraId="6B3D58EE">
      <w:pPr>
        <w:spacing w:line="360" w:lineRule="auto"/>
        <w:jc w:val="center"/>
      </w:pPr>
    </w:p>
    <w:p w14:paraId="535C9359">
      <w:pPr>
        <w:spacing w:line="360" w:lineRule="auto"/>
        <w:jc w:val="center"/>
      </w:pPr>
    </w:p>
    <w:p w14:paraId="75ABCD69">
      <w:pPr>
        <w:spacing w:line="360" w:lineRule="auto"/>
        <w:jc w:val="center"/>
      </w:pPr>
    </w:p>
    <w:p w14:paraId="1E5ECA04">
      <w:pPr>
        <w:spacing w:line="360" w:lineRule="auto"/>
        <w:jc w:val="center"/>
      </w:pPr>
    </w:p>
    <w:p w14:paraId="6E03BB98">
      <w:pPr>
        <w:spacing w:line="360" w:lineRule="auto"/>
        <w:jc w:val="center"/>
      </w:pPr>
    </w:p>
    <w:p w14:paraId="1C9C4C7F">
      <w:pPr>
        <w:spacing w:line="360" w:lineRule="auto"/>
        <w:jc w:val="center"/>
      </w:pPr>
    </w:p>
    <w:p w14:paraId="2D492344">
      <w:pPr>
        <w:spacing w:line="360" w:lineRule="auto"/>
        <w:jc w:val="center"/>
      </w:pPr>
    </w:p>
    <w:p w14:paraId="45092FCF">
      <w:pPr>
        <w:spacing w:line="360" w:lineRule="auto"/>
        <w:jc w:val="center"/>
      </w:pPr>
    </w:p>
    <w:p w14:paraId="69DDF473">
      <w:pPr>
        <w:spacing w:line="360" w:lineRule="auto"/>
        <w:jc w:val="center"/>
        <w:rPr>
          <w:rFonts w:ascii="宋体" w:hAnsi="宋体" w:cs="宋体"/>
          <w:b/>
          <w:sz w:val="28"/>
          <w:szCs w:val="20"/>
        </w:rPr>
      </w:pPr>
    </w:p>
    <w:p w14:paraId="6A7934D8">
      <w:pPr>
        <w:jc w:val="center"/>
        <w:rPr>
          <w:b/>
          <w:sz w:val="32"/>
          <w:szCs w:val="32"/>
        </w:rPr>
      </w:pPr>
      <w:r>
        <w:rPr>
          <w:rFonts w:hint="eastAsia"/>
          <w:b/>
          <w:sz w:val="32"/>
          <w:szCs w:val="32"/>
        </w:rPr>
        <w:t>一、</w:t>
      </w:r>
      <w:bookmarkEnd w:id="1"/>
      <w:r>
        <w:rPr>
          <w:rFonts w:hint="eastAsia"/>
          <w:b/>
          <w:sz w:val="32"/>
          <w:szCs w:val="32"/>
        </w:rPr>
        <w:t>招标邀请</w:t>
      </w:r>
    </w:p>
    <w:tbl>
      <w:tblPr>
        <w:tblStyle w:val="22"/>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25BD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1F5F9AC3">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A6BB353">
            <w:pPr>
              <w:jc w:val="center"/>
              <w:rPr>
                <w:rFonts w:eastAsia="楷体"/>
                <w:b/>
                <w:bCs/>
                <w:sz w:val="44"/>
                <w:szCs w:val="44"/>
              </w:rPr>
            </w:pPr>
            <w:r>
              <w:rPr>
                <w:rFonts w:hint="eastAsia" w:ascii="宋体" w:hAnsi="宋体"/>
                <w:szCs w:val="21"/>
              </w:rPr>
              <w:t>扬州大学附属医院固体饮料及复配食品添加剂采购项目（营养素调整型固体饮料）</w:t>
            </w:r>
          </w:p>
        </w:tc>
      </w:tr>
      <w:tr w14:paraId="25BA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54B06E1D">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5D1A98B1">
            <w:pPr>
              <w:rPr>
                <w:rFonts w:ascii="宋体" w:hAnsi="宋体"/>
                <w:b/>
                <w:szCs w:val="21"/>
              </w:rPr>
            </w:pPr>
            <w:r>
              <w:rPr>
                <w:rFonts w:hint="eastAsia" w:ascii="宋体" w:hAnsi="宋体"/>
                <w:b/>
                <w:szCs w:val="21"/>
              </w:rPr>
              <w:t>扬州大学附属医院</w:t>
            </w:r>
          </w:p>
        </w:tc>
      </w:tr>
      <w:tr w14:paraId="6D36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3F945CD8">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2F52F7BD">
            <w:pPr>
              <w:spacing w:line="320" w:lineRule="exact"/>
              <w:rPr>
                <w:rFonts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4775E4DA">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3C0459A0">
            <w:pPr>
              <w:jc w:val="center"/>
              <w:rPr>
                <w:rFonts w:ascii="宋体" w:hAnsi="宋体"/>
                <w:szCs w:val="21"/>
              </w:rPr>
            </w:pPr>
            <w:r>
              <w:rPr>
                <w:rFonts w:hint="eastAsia" w:ascii="宋体" w:hAnsi="宋体"/>
                <w:szCs w:val="21"/>
              </w:rPr>
              <w:t>合 格</w:t>
            </w:r>
          </w:p>
        </w:tc>
      </w:tr>
      <w:tr w14:paraId="28A7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02F66853">
            <w:pPr>
              <w:jc w:val="center"/>
              <w:rPr>
                <w:rFonts w:ascii="宋体" w:hAnsi="宋体"/>
                <w:szCs w:val="21"/>
              </w:rPr>
            </w:pPr>
            <w:r>
              <w:rPr>
                <w:rFonts w:hint="eastAsia" w:ascii="宋体" w:hAnsi="宋体"/>
                <w:szCs w:val="21"/>
              </w:rPr>
              <w:t>预算价</w:t>
            </w:r>
          </w:p>
        </w:tc>
        <w:tc>
          <w:tcPr>
            <w:tcW w:w="1307" w:type="pct"/>
            <w:tcBorders>
              <w:top w:val="single" w:color="auto" w:sz="4" w:space="0"/>
              <w:left w:val="single" w:color="auto" w:sz="4" w:space="0"/>
              <w:bottom w:val="single" w:color="auto" w:sz="4" w:space="0"/>
              <w:right w:val="single" w:color="auto" w:sz="4" w:space="0"/>
            </w:tcBorders>
            <w:vAlign w:val="center"/>
          </w:tcPr>
          <w:p w14:paraId="6C972442">
            <w:pPr>
              <w:spacing w:line="320" w:lineRule="exact"/>
              <w:rPr>
                <w:rFonts w:ascii="宋体" w:hAnsi="宋体"/>
                <w:szCs w:val="21"/>
              </w:rPr>
            </w:pPr>
            <w:r>
              <w:rPr>
                <w:rFonts w:hint="eastAsia" w:ascii="宋体" w:hAnsi="宋体"/>
                <w:szCs w:val="21"/>
                <w:lang w:val="en-US" w:eastAsia="zh-CN"/>
              </w:rPr>
              <w:t>45</w:t>
            </w:r>
            <w:r>
              <w:rPr>
                <w:rFonts w:hint="eastAsia" w:ascii="宋体" w:hAnsi="宋体"/>
                <w:szCs w:val="21"/>
              </w:rPr>
              <w:t>万元</w:t>
            </w:r>
          </w:p>
        </w:tc>
        <w:tc>
          <w:tcPr>
            <w:tcW w:w="885" w:type="pct"/>
            <w:gridSpan w:val="2"/>
            <w:tcBorders>
              <w:top w:val="single" w:color="auto" w:sz="4" w:space="0"/>
              <w:left w:val="single" w:color="auto" w:sz="4" w:space="0"/>
              <w:right w:val="single" w:color="auto" w:sz="4" w:space="0"/>
            </w:tcBorders>
            <w:vAlign w:val="center"/>
          </w:tcPr>
          <w:p w14:paraId="397B4BCE">
            <w:pPr>
              <w:jc w:val="center"/>
              <w:rPr>
                <w:rFonts w:hint="default" w:ascii="宋体" w:hAnsi="宋体" w:eastAsia="宋体"/>
                <w:szCs w:val="21"/>
                <w:lang w:val="en-US" w:eastAsia="zh-CN"/>
              </w:rPr>
            </w:pPr>
            <w:r>
              <w:rPr>
                <w:rFonts w:hint="eastAsia" w:ascii="宋体" w:hAnsi="宋体"/>
                <w:szCs w:val="21"/>
                <w:lang w:val="en-US" w:eastAsia="zh-CN"/>
              </w:rPr>
              <w:t>履约保证金</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1385B536">
            <w:pPr>
              <w:jc w:val="center"/>
              <w:rPr>
                <w:rFonts w:hint="default" w:ascii="宋体" w:hAnsi="宋体" w:eastAsia="宋体"/>
                <w:szCs w:val="21"/>
                <w:lang w:val="en-US" w:eastAsia="zh-CN"/>
              </w:rPr>
            </w:pPr>
            <w:r>
              <w:rPr>
                <w:rFonts w:hint="eastAsia" w:ascii="宋体" w:hAnsi="宋体"/>
                <w:szCs w:val="21"/>
                <w:lang w:val="en-US" w:eastAsia="zh-CN"/>
              </w:rPr>
              <w:t>合同额的10%</w:t>
            </w:r>
          </w:p>
        </w:tc>
      </w:tr>
      <w:tr w14:paraId="03A1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35C7B2F1">
            <w:pPr>
              <w:jc w:val="center"/>
              <w:rPr>
                <w:rFonts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6FC72B4">
            <w:pPr>
              <w:spacing w:line="360" w:lineRule="auto"/>
              <w:rPr>
                <w:rFonts w:ascii="宋体" w:hAnsi="宋体"/>
                <w:szCs w:val="21"/>
              </w:rPr>
            </w:pPr>
            <w:r>
              <w:rPr>
                <w:rFonts w:hint="eastAsia" w:ascii="宋体" w:hAnsi="宋体"/>
                <w:szCs w:val="21"/>
              </w:rPr>
              <w:t>投标文件正本1份，副本</w:t>
            </w:r>
            <w:r>
              <w:rPr>
                <w:rFonts w:hint="eastAsia" w:ascii="宋体" w:hAnsi="宋体"/>
                <w:szCs w:val="21"/>
                <w:lang w:val="en-US" w:eastAsia="zh-CN"/>
              </w:rPr>
              <w:t>4</w:t>
            </w:r>
            <w:r>
              <w:rPr>
                <w:rFonts w:hint="eastAsia" w:ascii="宋体" w:hAnsi="宋体"/>
                <w:szCs w:val="21"/>
              </w:rPr>
              <w:t>份；所有投标文件的封面及封袋上都必须加盖投标单位法人公章及其法定代表人或授权委托人的签字。</w:t>
            </w:r>
          </w:p>
        </w:tc>
      </w:tr>
      <w:tr w14:paraId="3A29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625F075A">
            <w:pPr>
              <w:spacing w:line="360" w:lineRule="auto"/>
              <w:jc w:val="center"/>
              <w:rPr>
                <w:rFonts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FBC301F">
            <w:pPr>
              <w:spacing w:line="360" w:lineRule="auto"/>
              <w:rPr>
                <w:rFonts w:ascii="宋体" w:hAnsi="宋体"/>
                <w:szCs w:val="21"/>
                <w:highlight w:val="yellow"/>
              </w:rPr>
            </w:pPr>
            <w:r>
              <w:rPr>
                <w:rFonts w:hint="eastAsia" w:ascii="宋体" w:hAnsi="宋体"/>
                <w:szCs w:val="21"/>
              </w:rPr>
              <w:t>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日17：</w:t>
            </w:r>
            <w:r>
              <w:rPr>
                <w:rFonts w:hint="eastAsia" w:ascii="宋体" w:hAnsi="宋体"/>
                <w:szCs w:val="21"/>
                <w:lang w:val="en-US" w:eastAsia="zh-CN"/>
              </w:rPr>
              <w:t>3</w:t>
            </w:r>
            <w:r>
              <w:rPr>
                <w:rFonts w:hint="eastAsia" w:ascii="宋体" w:hAnsi="宋体"/>
                <w:szCs w:val="21"/>
              </w:rPr>
              <w:t>0</w:t>
            </w:r>
            <w:bookmarkStart w:id="8" w:name="_GoBack"/>
            <w:bookmarkEnd w:id="8"/>
          </w:p>
        </w:tc>
      </w:tr>
      <w:tr w14:paraId="200D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33ED4668">
            <w:pPr>
              <w:spacing w:line="360" w:lineRule="auto"/>
              <w:jc w:val="center"/>
              <w:rPr>
                <w:rFonts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C11CFE9">
            <w:pPr>
              <w:spacing w:line="360" w:lineRule="auto"/>
              <w:rPr>
                <w:rFonts w:ascii="宋体" w:hAnsi="宋体"/>
                <w:szCs w:val="21"/>
              </w:rPr>
            </w:pPr>
            <w:r>
              <w:rPr>
                <w:rFonts w:hint="eastAsia" w:ascii="宋体" w:hAnsi="宋体"/>
                <w:szCs w:val="21"/>
              </w:rPr>
              <w:t>扬大附院西区行政楼407办公室</w:t>
            </w:r>
          </w:p>
        </w:tc>
      </w:tr>
      <w:tr w14:paraId="7270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6B19A23">
            <w:pPr>
              <w:spacing w:line="360" w:lineRule="auto"/>
              <w:jc w:val="center"/>
              <w:rPr>
                <w:rFonts w:ascii="宋体" w:hAnsi="宋体" w:eastAsia="微软雅黑"/>
                <w:szCs w:val="21"/>
              </w:rPr>
            </w:pPr>
            <w:r>
              <w:rPr>
                <w:rFonts w:hint="eastAsia" w:ascii="宋体" w:hAnsi="宋体"/>
                <w:szCs w:val="21"/>
              </w:rPr>
              <w:t>开标时间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134DB3D4">
            <w:pPr>
              <w:numPr>
                <w:ilvl w:val="0"/>
                <w:numId w:val="2"/>
              </w:numPr>
              <w:spacing w:line="360" w:lineRule="auto"/>
              <w:jc w:val="center"/>
              <w:rPr>
                <w:rFonts w:ascii="宋体" w:hAnsi="宋体"/>
                <w:b/>
                <w:szCs w:val="21"/>
              </w:rPr>
            </w:pPr>
            <w:r>
              <w:rPr>
                <w:rFonts w:hint="eastAsia" w:ascii="宋体" w:hAnsi="宋体"/>
                <w:b/>
                <w:szCs w:val="21"/>
                <w:lang w:val="en-US" w:eastAsia="zh-CN"/>
              </w:rPr>
              <w:t xml:space="preserve">5 </w:t>
            </w:r>
            <w:r>
              <w:rPr>
                <w:rFonts w:hint="eastAsia" w:ascii="宋体" w:hAnsi="宋体"/>
                <w:b/>
                <w:szCs w:val="21"/>
              </w:rPr>
              <w:t>.</w:t>
            </w:r>
            <w:r>
              <w:rPr>
                <w:rFonts w:hint="eastAsia" w:ascii="宋体" w:hAnsi="宋体"/>
                <w:b/>
                <w:szCs w:val="21"/>
                <w:lang w:val="en-US" w:eastAsia="zh-CN"/>
              </w:rPr>
              <w:t>21</w:t>
            </w:r>
            <w:r>
              <w:rPr>
                <w:rFonts w:hint="eastAsia" w:ascii="宋体" w:hAnsi="宋体"/>
                <w:b/>
                <w:szCs w:val="21"/>
              </w:rPr>
              <w:t xml:space="preserve"> 9：</w:t>
            </w:r>
            <w:r>
              <w:rPr>
                <w:rFonts w:hint="eastAsia" w:ascii="宋体" w:hAnsi="宋体"/>
                <w:b/>
                <w:szCs w:val="21"/>
                <w:lang w:val="en-US" w:eastAsia="zh-CN"/>
              </w:rPr>
              <w:t>0</w:t>
            </w:r>
            <w:r>
              <w:rPr>
                <w:rFonts w:hint="eastAsia" w:ascii="宋体" w:hAnsi="宋体"/>
                <w:b/>
                <w:szCs w:val="21"/>
              </w:rPr>
              <w:t>0</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0EA5C13D">
            <w:pPr>
              <w:spacing w:line="360" w:lineRule="auto"/>
              <w:jc w:val="center"/>
              <w:rPr>
                <w:rFonts w:ascii="宋体" w:hAnsi="宋体"/>
                <w:szCs w:val="21"/>
              </w:rPr>
            </w:pPr>
            <w:r>
              <w:rPr>
                <w:rFonts w:hint="eastAsia" w:ascii="宋体" w:hAnsi="宋体"/>
                <w:szCs w:val="21"/>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77257EC5">
            <w:pPr>
              <w:spacing w:line="360" w:lineRule="auto"/>
              <w:jc w:val="center"/>
              <w:rPr>
                <w:rFonts w:asciiTheme="minorEastAsia" w:hAnsiTheme="minorEastAsia" w:eastAsiaTheme="minorEastAsia"/>
                <w:szCs w:val="21"/>
              </w:rPr>
            </w:pPr>
            <w:r>
              <w:rPr>
                <w:rFonts w:hint="eastAsia" w:ascii="宋体" w:hAnsi="宋体"/>
                <w:b/>
                <w:szCs w:val="21"/>
              </w:rPr>
              <w:t>扬大附院西区行政楼407室</w:t>
            </w:r>
          </w:p>
        </w:tc>
      </w:tr>
      <w:tr w14:paraId="3CBE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2A7CD92">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6A785F87">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联系人：张老师   联系电话：0514-82099552</w:t>
            </w:r>
          </w:p>
          <w:p w14:paraId="24B17615">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地址：扬大附院西区行政楼403办公室</w:t>
            </w:r>
          </w:p>
        </w:tc>
      </w:tr>
      <w:tr w14:paraId="7E5C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2288958A">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48F4B2A4">
            <w:pPr>
              <w:spacing w:line="360" w:lineRule="auto"/>
              <w:ind w:firstLine="422" w:firstLineChars="200"/>
              <w:jc w:val="left"/>
              <w:rPr>
                <w:rFonts w:ascii="宋体" w:hAnsi="宋体" w:cs="宋体"/>
                <w:szCs w:val="21"/>
              </w:rPr>
            </w:pPr>
            <w:r>
              <w:rPr>
                <w:rFonts w:hint="eastAsia" w:ascii="宋体" w:hAnsi="宋体" w:cs="宋体"/>
                <w:b/>
                <w:bCs/>
                <w:szCs w:val="21"/>
              </w:rPr>
              <w:t>未提供格式的投标人自拟。</w:t>
            </w:r>
          </w:p>
        </w:tc>
      </w:tr>
    </w:tbl>
    <w:p w14:paraId="6C1EC19E">
      <w:pPr>
        <w:ind w:firstLine="4176" w:firstLineChars="1300"/>
        <w:rPr>
          <w:b/>
          <w:sz w:val="32"/>
          <w:szCs w:val="32"/>
        </w:rPr>
      </w:pPr>
      <w:bookmarkStart w:id="2" w:name="_Toc39744253"/>
    </w:p>
    <w:p w14:paraId="2B155567">
      <w:pPr>
        <w:ind w:firstLine="4176" w:firstLineChars="1300"/>
        <w:rPr>
          <w:b/>
          <w:sz w:val="32"/>
          <w:szCs w:val="32"/>
        </w:rPr>
      </w:pPr>
    </w:p>
    <w:p w14:paraId="6D37F85B">
      <w:pPr>
        <w:ind w:firstLine="4176" w:firstLineChars="1300"/>
        <w:rPr>
          <w:b/>
          <w:sz w:val="32"/>
          <w:szCs w:val="32"/>
        </w:rPr>
      </w:pPr>
    </w:p>
    <w:p w14:paraId="7A6CA625">
      <w:pPr>
        <w:ind w:firstLine="4176" w:firstLineChars="1300"/>
        <w:rPr>
          <w:b/>
          <w:sz w:val="32"/>
          <w:szCs w:val="32"/>
        </w:rPr>
      </w:pPr>
    </w:p>
    <w:p w14:paraId="32EBEFB9">
      <w:pPr>
        <w:ind w:firstLine="4176" w:firstLineChars="1300"/>
        <w:rPr>
          <w:b/>
          <w:sz w:val="32"/>
          <w:szCs w:val="32"/>
        </w:rPr>
      </w:pPr>
    </w:p>
    <w:p w14:paraId="0A94933D">
      <w:pPr>
        <w:ind w:firstLine="4176" w:firstLineChars="1300"/>
        <w:rPr>
          <w:b/>
          <w:sz w:val="32"/>
          <w:szCs w:val="32"/>
        </w:rPr>
      </w:pPr>
    </w:p>
    <w:p w14:paraId="453DE853">
      <w:pPr>
        <w:ind w:firstLine="4176" w:firstLineChars="1300"/>
        <w:rPr>
          <w:b/>
          <w:sz w:val="32"/>
          <w:szCs w:val="32"/>
        </w:rPr>
      </w:pPr>
    </w:p>
    <w:p w14:paraId="20AA0656">
      <w:pPr>
        <w:ind w:firstLine="4176" w:firstLineChars="1300"/>
        <w:rPr>
          <w:b/>
          <w:sz w:val="32"/>
          <w:szCs w:val="32"/>
        </w:rPr>
      </w:pPr>
    </w:p>
    <w:p w14:paraId="0FD4BACE">
      <w:pPr>
        <w:ind w:firstLine="4176" w:firstLineChars="1300"/>
        <w:rPr>
          <w:b/>
          <w:sz w:val="32"/>
          <w:szCs w:val="32"/>
        </w:rPr>
      </w:pPr>
    </w:p>
    <w:p w14:paraId="3BB788BA">
      <w:pPr>
        <w:pStyle w:val="28"/>
      </w:pPr>
    </w:p>
    <w:p w14:paraId="0304E58C">
      <w:pPr>
        <w:numPr>
          <w:ilvl w:val="0"/>
          <w:numId w:val="3"/>
        </w:numPr>
        <w:jc w:val="center"/>
        <w:rPr>
          <w:rFonts w:hint="eastAsia"/>
          <w:b/>
          <w:sz w:val="32"/>
          <w:szCs w:val="32"/>
        </w:rPr>
      </w:pPr>
      <w:r>
        <w:rPr>
          <w:rFonts w:hint="eastAsia"/>
          <w:b/>
          <w:sz w:val="32"/>
          <w:szCs w:val="32"/>
        </w:rPr>
        <w:t>项目需求</w:t>
      </w:r>
    </w:p>
    <w:p w14:paraId="38D6A727">
      <w:pPr>
        <w:pageBreakBefore w:val="0"/>
        <w:widowControl w:val="0"/>
        <w:spacing w:line="360" w:lineRule="auto"/>
        <w:ind w:firstLine="422"/>
        <w:rPr>
          <w:rFonts w:ascii="宋体" w:hAnsi="宋体" w:cs="宋体"/>
          <w:b/>
          <w:bCs/>
          <w:color w:val="auto"/>
          <w:szCs w:val="21"/>
          <w:highlight w:val="none"/>
        </w:rPr>
      </w:pPr>
      <w:bookmarkStart w:id="3" w:name="_Toc319408306"/>
      <w:r>
        <w:rPr>
          <w:rFonts w:hint="eastAsia" w:ascii="宋体" w:hAnsi="宋体" w:cs="宋体"/>
          <w:b/>
          <w:bCs/>
          <w:color w:val="auto"/>
          <w:szCs w:val="21"/>
          <w:highlight w:val="none"/>
        </w:rPr>
        <w:t>注： 本章内容里斜体且有下划线部分为实质性要求和条件，投标文件不满足的，视为无效投标处理。</w:t>
      </w:r>
      <w:bookmarkEnd w:id="3"/>
    </w:p>
    <w:p w14:paraId="254EF334">
      <w:pPr>
        <w:spacing w:line="440" w:lineRule="exact"/>
        <w:ind w:firstLine="422"/>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采购清单：</w:t>
      </w:r>
    </w:p>
    <w:p w14:paraId="4A5133BF">
      <w:pPr>
        <w:keepNext w:val="0"/>
        <w:keepLines w:val="0"/>
        <w:pageBreakBefore w:val="0"/>
        <w:widowControl w:val="0"/>
        <w:spacing w:line="360" w:lineRule="auto"/>
        <w:ind w:firstLine="210" w:firstLineChars="100"/>
        <w:rPr>
          <w:rFonts w:hint="default" w:ascii="宋体" w:hAnsi="宋体" w:eastAsia="宋体" w:cs="宋体"/>
          <w:highlight w:val="none"/>
          <w:lang w:val="en-US" w:eastAsia="zh-CN"/>
        </w:rPr>
      </w:pPr>
      <w:r>
        <w:rPr>
          <w:rFonts w:hint="eastAsia" w:ascii="宋体" w:hAnsi="宋体" w:eastAsia="宋体" w:cs="宋体"/>
          <w:highlight w:val="none"/>
          <w:lang w:val="en-US" w:eastAsia="zh-CN"/>
        </w:rPr>
        <w:t>营养素调整型固体饮料包</w:t>
      </w:r>
    </w:p>
    <w:tbl>
      <w:tblPr>
        <w:tblStyle w:val="22"/>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1475"/>
        <w:gridCol w:w="3470"/>
        <w:gridCol w:w="1063"/>
        <w:gridCol w:w="1510"/>
        <w:gridCol w:w="1187"/>
      </w:tblGrid>
      <w:tr w14:paraId="085DE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blHeader/>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C8D0">
            <w:pPr>
              <w:keepNext w:val="0"/>
              <w:keepLines w:val="0"/>
              <w:widowControl/>
              <w:suppressLineNumbers w:val="0"/>
              <w:ind w:left="0" w:right="0" w:firstLine="0"/>
              <w:jc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lang w:val="en-US" w:eastAsia="zh-CN" w:bidi="ar"/>
              </w:rPr>
              <w:t>序号</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DD2F">
            <w:pPr>
              <w:keepNext w:val="0"/>
              <w:keepLines w:val="0"/>
              <w:widowControl/>
              <w:suppressLineNumbers w:val="0"/>
              <w:ind w:left="0" w:right="0" w:firstLine="0"/>
              <w:jc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lang w:val="en-US" w:eastAsia="zh-CN" w:bidi="ar"/>
              </w:rPr>
              <w:t>产品</w:t>
            </w:r>
          </w:p>
        </w:tc>
        <w:tc>
          <w:tcPr>
            <w:tcW w:w="3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1F9A">
            <w:pPr>
              <w:keepNext w:val="0"/>
              <w:keepLines w:val="0"/>
              <w:widowControl/>
              <w:suppressLineNumbers w:val="0"/>
              <w:ind w:left="0" w:right="0" w:firstLine="0"/>
              <w:jc w:val="center"/>
              <w:rPr>
                <w:rFonts w:hint="eastAsia"/>
                <w:b w:val="0"/>
                <w:bCs/>
                <w:sz w:val="21"/>
                <w:szCs w:val="21"/>
                <w:highlight w:val="none"/>
              </w:rPr>
            </w:pPr>
            <w:r>
              <w:rPr>
                <w:rFonts w:hint="eastAsia" w:ascii="宋体" w:hAnsi="宋体" w:cs="宋体"/>
                <w:b w:val="0"/>
                <w:bCs/>
                <w:i w:val="0"/>
                <w:iCs w:val="0"/>
                <w:color w:val="000000"/>
                <w:sz w:val="21"/>
                <w:szCs w:val="21"/>
                <w:highlight w:val="none"/>
                <w:u w:val="none"/>
                <w:lang w:val="en-US" w:eastAsia="zh-CN" w:bidi="ar"/>
              </w:rPr>
              <w:t>技术</w:t>
            </w:r>
            <w:r>
              <w:rPr>
                <w:rFonts w:hint="eastAsia" w:ascii="宋体" w:hAnsi="宋体" w:eastAsia="宋体" w:cs="宋体"/>
                <w:b w:val="0"/>
                <w:bCs/>
                <w:i w:val="0"/>
                <w:iCs w:val="0"/>
                <w:color w:val="000000"/>
                <w:sz w:val="21"/>
                <w:szCs w:val="21"/>
                <w:highlight w:val="none"/>
                <w:u w:val="none"/>
                <w:lang w:val="en-US" w:eastAsia="zh-CN" w:bidi="ar"/>
              </w:rPr>
              <w:t>参数</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528D4">
            <w:pPr>
              <w:keepNext w:val="0"/>
              <w:keepLines w:val="0"/>
              <w:widowControl/>
              <w:suppressLineNumbers w:val="0"/>
              <w:ind w:left="0" w:right="0" w:firstLine="0"/>
              <w:jc w:val="center"/>
              <w:rPr>
                <w:rFonts w:hint="eastAsia" w:ascii="宋体" w:hAnsi="宋体" w:eastAsia="宋体" w:cs="宋体"/>
                <w:b w:val="0"/>
                <w:bCs/>
                <w:i w:val="0"/>
                <w:iCs w:val="0"/>
                <w:color w:val="000000"/>
                <w:sz w:val="21"/>
                <w:szCs w:val="21"/>
                <w:highlight w:val="none"/>
                <w:u w:val="none"/>
                <w:lang w:val="en-US" w:eastAsia="zh-CN" w:bidi="ar"/>
              </w:rPr>
            </w:pPr>
            <w:r>
              <w:rPr>
                <w:rFonts w:hint="eastAsia" w:ascii="宋体" w:hAnsi="宋体" w:eastAsia="宋体" w:cs="宋体"/>
                <w:b w:val="0"/>
                <w:bCs/>
                <w:i w:val="0"/>
                <w:iCs w:val="0"/>
                <w:color w:val="000000"/>
                <w:sz w:val="21"/>
                <w:szCs w:val="21"/>
                <w:highlight w:val="none"/>
                <w:u w:val="none"/>
                <w:lang w:val="en-US" w:eastAsia="zh-CN" w:bidi="ar"/>
              </w:rPr>
              <w:t>数量</w:t>
            </w:r>
          </w:p>
          <w:p w14:paraId="299D358D">
            <w:pPr>
              <w:keepNext w:val="0"/>
              <w:keepLines w:val="0"/>
              <w:widowControl/>
              <w:suppressLineNumbers w:val="0"/>
              <w:ind w:left="0" w:right="0" w:firstLine="0"/>
              <w:jc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lang w:val="en-US" w:eastAsia="zh-CN" w:bidi="ar"/>
              </w:rPr>
              <w:t>(g</w:t>
            </w:r>
            <w:r>
              <w:rPr>
                <w:rFonts w:hint="eastAsia" w:ascii="宋体" w:hAnsi="宋体" w:cs="宋体"/>
                <w:b w:val="0"/>
                <w:bCs/>
                <w:i w:val="0"/>
                <w:iCs w:val="0"/>
                <w:color w:val="000000"/>
                <w:sz w:val="21"/>
                <w:szCs w:val="21"/>
                <w:highlight w:val="none"/>
                <w:u w:val="none"/>
                <w:lang w:val="en-US" w:eastAsia="zh-CN" w:bidi="ar"/>
              </w:rPr>
              <w:t>或</w:t>
            </w:r>
            <w:r>
              <w:rPr>
                <w:rFonts w:hint="eastAsia" w:ascii="宋体" w:hAnsi="宋体" w:eastAsia="宋体" w:cs="宋体"/>
                <w:b w:val="0"/>
                <w:bCs/>
                <w:i w:val="0"/>
                <w:iCs w:val="0"/>
                <w:color w:val="000000"/>
                <w:sz w:val="21"/>
                <w:szCs w:val="21"/>
                <w:highlight w:val="none"/>
                <w:u w:val="none"/>
                <w:lang w:val="en-US" w:eastAsia="zh-CN" w:bidi="ar"/>
              </w:rPr>
              <w:t>ml)</w:t>
            </w: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5AC2D">
            <w:pPr>
              <w:keepNext w:val="0"/>
              <w:keepLines w:val="0"/>
              <w:widowControl/>
              <w:suppressLineNumbers w:val="0"/>
              <w:ind w:left="0" w:right="0" w:firstLine="0"/>
              <w:jc w:val="center"/>
              <w:rPr>
                <w:rFonts w:hint="eastAsia" w:ascii="宋体" w:hAnsi="宋体" w:eastAsia="宋体" w:cs="宋体"/>
                <w:b w:val="0"/>
                <w:bCs/>
                <w:i w:val="0"/>
                <w:iCs w:val="0"/>
                <w:color w:val="000000"/>
                <w:sz w:val="21"/>
                <w:szCs w:val="21"/>
                <w:highlight w:val="none"/>
                <w:u w:val="none"/>
                <w:lang w:val="en-US" w:eastAsia="zh-CN" w:bidi="ar"/>
              </w:rPr>
            </w:pPr>
            <w:r>
              <w:rPr>
                <w:rFonts w:hint="eastAsia" w:ascii="宋体" w:hAnsi="宋体" w:eastAsia="宋体" w:cs="宋体"/>
                <w:b w:val="0"/>
                <w:bCs/>
                <w:i w:val="0"/>
                <w:iCs w:val="0"/>
                <w:color w:val="000000"/>
                <w:sz w:val="21"/>
                <w:szCs w:val="21"/>
                <w:highlight w:val="none"/>
                <w:u w:val="none"/>
                <w:lang w:val="en-US" w:eastAsia="zh-CN" w:bidi="ar"/>
              </w:rPr>
              <w:t>单价最高限价</w:t>
            </w:r>
          </w:p>
          <w:p w14:paraId="14AB538A">
            <w:pPr>
              <w:keepNext w:val="0"/>
              <w:keepLines w:val="0"/>
              <w:widowControl/>
              <w:suppressLineNumbers w:val="0"/>
              <w:ind w:left="0" w:right="0" w:firstLine="0"/>
              <w:jc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lang w:val="en-US" w:eastAsia="zh-CN" w:bidi="ar"/>
              </w:rPr>
              <w:t>（元/g</w:t>
            </w:r>
            <w:r>
              <w:rPr>
                <w:rFonts w:hint="eastAsia" w:ascii="宋体" w:hAnsi="宋体" w:cs="宋体"/>
                <w:b w:val="0"/>
                <w:bCs/>
                <w:i w:val="0"/>
                <w:iCs w:val="0"/>
                <w:color w:val="000000"/>
                <w:sz w:val="21"/>
                <w:szCs w:val="21"/>
                <w:highlight w:val="none"/>
                <w:u w:val="none"/>
                <w:lang w:val="en-US" w:eastAsia="zh-CN" w:bidi="ar"/>
              </w:rPr>
              <w:t>或</w:t>
            </w:r>
            <w:r>
              <w:rPr>
                <w:rFonts w:hint="eastAsia" w:ascii="宋体" w:hAnsi="宋体" w:eastAsia="宋体" w:cs="宋体"/>
                <w:b w:val="0"/>
                <w:bCs/>
                <w:i w:val="0"/>
                <w:iCs w:val="0"/>
                <w:color w:val="000000"/>
                <w:sz w:val="21"/>
                <w:szCs w:val="21"/>
                <w:highlight w:val="none"/>
                <w:u w:val="none"/>
                <w:lang w:val="en-US" w:eastAsia="zh-CN" w:bidi="ar"/>
              </w:rPr>
              <w:t>ml）</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2BC1">
            <w:pPr>
              <w:keepNext w:val="0"/>
              <w:keepLines w:val="0"/>
              <w:widowControl/>
              <w:suppressLineNumbers w:val="0"/>
              <w:ind w:left="0" w:right="0" w:firstLine="0"/>
              <w:jc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lang w:val="en-US" w:eastAsia="zh-CN" w:bidi="ar"/>
              </w:rPr>
              <w:t>小计（元）</w:t>
            </w:r>
          </w:p>
        </w:tc>
      </w:tr>
      <w:tr w14:paraId="73FF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84A1">
            <w:pPr>
              <w:keepNext w:val="0"/>
              <w:keepLines w:val="0"/>
              <w:widowControl/>
              <w:suppressLineNumbers w:val="0"/>
              <w:ind w:left="0" w:right="0" w:firstLine="0"/>
              <w:jc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lang w:val="en-US" w:eastAsia="zh-CN" w:bidi="ar"/>
              </w:rPr>
              <w:t>1</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20FE">
            <w:pPr>
              <w:keepNext w:val="0"/>
              <w:keepLines w:val="0"/>
              <w:widowControl/>
              <w:suppressLineNumbers w:val="0"/>
              <w:ind w:left="0" w:right="0" w:firstLine="0"/>
              <w:jc w:val="center"/>
              <w:rPr>
                <w:rFonts w:hint="default" w:ascii="宋体" w:hAnsi="宋体" w:eastAsia="宋体" w:cs="宋体"/>
                <w:b w:val="0"/>
                <w:bCs/>
                <w:i w:val="0"/>
                <w:iCs w:val="0"/>
                <w:color w:val="000000"/>
                <w:sz w:val="21"/>
                <w:szCs w:val="21"/>
                <w:highlight w:val="none"/>
                <w:u w:val="none"/>
                <w:lang w:val="en-US" w:eastAsia="zh-CN"/>
              </w:rPr>
            </w:pPr>
            <w:r>
              <w:rPr>
                <w:rFonts w:hint="eastAsia" w:ascii="宋体" w:hAnsi="宋体" w:cs="宋体"/>
                <w:b w:val="0"/>
                <w:bCs/>
                <w:i w:val="0"/>
                <w:iCs w:val="0"/>
                <w:color w:val="000000"/>
                <w:sz w:val="21"/>
                <w:szCs w:val="21"/>
                <w:highlight w:val="none"/>
                <w:u w:val="none"/>
                <w:lang w:val="en-US" w:eastAsia="zh-CN"/>
              </w:rPr>
              <w:t>缓释碳水化合物型肠内营养粉</w:t>
            </w:r>
          </w:p>
        </w:tc>
        <w:tc>
          <w:tcPr>
            <w:tcW w:w="34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C8371">
            <w:pPr>
              <w:keepNext w:val="0"/>
              <w:keepLines w:val="0"/>
              <w:widowControl/>
              <w:suppressLineNumbers w:val="0"/>
              <w:ind w:left="0" w:right="0" w:firstLine="0"/>
              <w:jc w:val="left"/>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1.GI＜40，可作为单一营养来源，每100g提供能量1600-1800kJ；</w:t>
            </w:r>
          </w:p>
          <w:p w14:paraId="4FF44861">
            <w:pPr>
              <w:keepNext w:val="0"/>
              <w:keepLines w:val="0"/>
              <w:widowControl/>
              <w:suppressLineNumbers w:val="0"/>
              <w:ind w:left="0" w:right="0" w:firstLine="0"/>
              <w:jc w:val="left"/>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2.蛋白来源于动物蛋白，蛋白质含量≥20g/100g；</w:t>
            </w:r>
          </w:p>
          <w:p w14:paraId="6B72ADE5">
            <w:pPr>
              <w:keepNext w:val="0"/>
              <w:keepLines w:val="0"/>
              <w:widowControl/>
              <w:suppressLineNumbers w:val="0"/>
              <w:ind w:left="0" w:right="0" w:firstLine="0"/>
              <w:jc w:val="left"/>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3.碳水化合物含量52-58g/100g；</w:t>
            </w:r>
          </w:p>
          <w:p w14:paraId="5D7C7B72">
            <w:pPr>
              <w:keepNext w:val="0"/>
              <w:keepLines w:val="0"/>
              <w:widowControl/>
              <w:suppressLineNumbers w:val="0"/>
              <w:ind w:left="0" w:right="0" w:firstLine="0"/>
              <w:jc w:val="left"/>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4.脂肪含量14-18g/100g；</w:t>
            </w:r>
          </w:p>
          <w:p w14:paraId="3B03F022">
            <w:pPr>
              <w:keepNext w:val="0"/>
              <w:keepLines w:val="0"/>
              <w:widowControl/>
              <w:suppressLineNumbers w:val="0"/>
              <w:ind w:left="0" w:right="0" w:firstLine="0"/>
              <w:jc w:val="left"/>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5.含膳食纤维、肌醇、左旋肉碱、铬。</w:t>
            </w: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92585">
            <w:pPr>
              <w:keepNext w:val="0"/>
              <w:keepLines w:val="0"/>
              <w:widowControl/>
              <w:suppressLineNumbers w:val="0"/>
              <w:ind w:left="0" w:right="0" w:firstLine="0"/>
              <w:jc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400000</w:t>
            </w: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7D4D5">
            <w:pPr>
              <w:keepNext w:val="0"/>
              <w:keepLines w:val="0"/>
              <w:widowControl/>
              <w:suppressLineNumbers w:val="0"/>
              <w:ind w:left="0" w:right="0" w:firstLine="0"/>
              <w:jc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0.37</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DC6B5">
            <w:pPr>
              <w:keepNext w:val="0"/>
              <w:keepLines w:val="0"/>
              <w:widowControl/>
              <w:suppressLineNumbers w:val="0"/>
              <w:ind w:left="0" w:right="0" w:firstLine="0"/>
              <w:jc w:val="center"/>
              <w:rPr>
                <w:rFonts w:hint="eastAsia" w:ascii="宋体" w:hAnsi="宋体" w:eastAsia="宋体" w:cs="宋体"/>
                <w:b w:val="0"/>
                <w:bCs/>
                <w:i w:val="0"/>
                <w:iCs w:val="0"/>
                <w:color w:val="000000"/>
                <w:sz w:val="21"/>
                <w:szCs w:val="21"/>
                <w:highlight w:val="none"/>
                <w:u w:val="none"/>
              </w:rPr>
            </w:pPr>
          </w:p>
        </w:tc>
      </w:tr>
      <w:tr w14:paraId="08A75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B371">
            <w:pPr>
              <w:keepNext w:val="0"/>
              <w:keepLines w:val="0"/>
              <w:widowControl/>
              <w:suppressLineNumbers w:val="0"/>
              <w:ind w:left="0" w:right="0" w:firstLine="0"/>
              <w:jc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lang w:val="en-US" w:eastAsia="zh-CN" w:bidi="ar"/>
              </w:rPr>
              <w:t>2</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32BF">
            <w:pPr>
              <w:keepNext w:val="0"/>
              <w:keepLines w:val="0"/>
              <w:widowControl/>
              <w:suppressLineNumbers w:val="0"/>
              <w:ind w:left="0" w:right="0" w:firstLine="0"/>
              <w:jc w:val="center"/>
              <w:rPr>
                <w:rFonts w:hint="default" w:ascii="宋体" w:hAnsi="宋体" w:eastAsia="宋体" w:cs="宋体"/>
                <w:b w:val="0"/>
                <w:bCs/>
                <w:i w:val="0"/>
                <w:iCs w:val="0"/>
                <w:color w:val="000000"/>
                <w:sz w:val="21"/>
                <w:szCs w:val="21"/>
                <w:highlight w:val="none"/>
                <w:u w:val="none"/>
                <w:lang w:val="en-US"/>
              </w:rPr>
            </w:pPr>
            <w:r>
              <w:rPr>
                <w:rFonts w:hint="eastAsia" w:ascii="宋体" w:hAnsi="宋体" w:cs="宋体"/>
                <w:b w:val="0"/>
                <w:bCs/>
                <w:i w:val="0"/>
                <w:iCs w:val="0"/>
                <w:color w:val="000000"/>
                <w:sz w:val="21"/>
                <w:szCs w:val="21"/>
                <w:highlight w:val="none"/>
                <w:u w:val="none"/>
                <w:lang w:val="en-US" w:eastAsia="zh-CN"/>
              </w:rPr>
              <w:t>高蛋白增肌型肠内营养粉</w:t>
            </w:r>
          </w:p>
        </w:tc>
        <w:tc>
          <w:tcPr>
            <w:tcW w:w="34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484CB">
            <w:pPr>
              <w:keepNext w:val="0"/>
              <w:keepLines w:val="0"/>
              <w:widowControl/>
              <w:suppressLineNumbers w:val="0"/>
              <w:ind w:left="0" w:right="0" w:firstLine="0"/>
              <w:jc w:val="left"/>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1.蛋白质100%来源于浓缩乳清蛋白，乳清蛋白≥40g/100g；</w:t>
            </w:r>
          </w:p>
          <w:p w14:paraId="3E7651EF">
            <w:pPr>
              <w:keepNext w:val="0"/>
              <w:keepLines w:val="0"/>
              <w:widowControl/>
              <w:suppressLineNumbers w:val="0"/>
              <w:ind w:left="0" w:right="0" w:firstLine="0"/>
              <w:jc w:val="left"/>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2.脂肪含量4-6g/100g，碳水化合物含量40-50g/100g；</w:t>
            </w:r>
          </w:p>
          <w:p w14:paraId="5D359C19">
            <w:pPr>
              <w:keepNext w:val="0"/>
              <w:keepLines w:val="0"/>
              <w:widowControl/>
              <w:suppressLineNumbers w:val="0"/>
              <w:ind w:left="0" w:right="0" w:firstLine="0"/>
              <w:jc w:val="left"/>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3.HMB≥5.0g/100g；</w:t>
            </w:r>
          </w:p>
          <w:p w14:paraId="065A9D63">
            <w:pPr>
              <w:keepNext w:val="0"/>
              <w:keepLines w:val="0"/>
              <w:widowControl/>
              <w:suppressLineNumbers w:val="0"/>
              <w:ind w:left="0" w:right="0" w:firstLine="0"/>
              <w:jc w:val="left"/>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4.钙含量≥800mg/100g；。</w:t>
            </w:r>
          </w:p>
          <w:p w14:paraId="689596F8">
            <w:pPr>
              <w:keepNext w:val="0"/>
              <w:keepLines w:val="0"/>
              <w:widowControl/>
              <w:suppressLineNumbers w:val="0"/>
              <w:ind w:left="0" w:right="0" w:firstLine="0"/>
              <w:jc w:val="left"/>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5.不含膳食纤维。</w:t>
            </w: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1F49A">
            <w:pPr>
              <w:keepNext w:val="0"/>
              <w:keepLines w:val="0"/>
              <w:widowControl/>
              <w:suppressLineNumbers w:val="0"/>
              <w:ind w:left="0" w:right="0" w:firstLine="0"/>
              <w:jc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262153</w:t>
            </w: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380C4">
            <w:pPr>
              <w:keepNext w:val="0"/>
              <w:keepLines w:val="0"/>
              <w:widowControl/>
              <w:suppressLineNumbers w:val="0"/>
              <w:ind w:left="0" w:right="0" w:firstLine="0"/>
              <w:jc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1.152</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E69C2">
            <w:pPr>
              <w:keepNext w:val="0"/>
              <w:keepLines w:val="0"/>
              <w:widowControl/>
              <w:suppressLineNumbers w:val="0"/>
              <w:ind w:left="0" w:right="0" w:firstLine="0"/>
              <w:jc w:val="center"/>
              <w:rPr>
                <w:rFonts w:hint="eastAsia" w:ascii="宋体" w:hAnsi="宋体" w:eastAsia="宋体" w:cs="宋体"/>
                <w:b w:val="0"/>
                <w:bCs/>
                <w:i w:val="0"/>
                <w:iCs w:val="0"/>
                <w:color w:val="000000"/>
                <w:sz w:val="21"/>
                <w:szCs w:val="21"/>
                <w:highlight w:val="none"/>
                <w:u w:val="none"/>
              </w:rPr>
            </w:pPr>
          </w:p>
        </w:tc>
      </w:tr>
    </w:tbl>
    <w:p w14:paraId="778BC3E8">
      <w:pPr>
        <w:spacing w:line="440" w:lineRule="exact"/>
        <w:ind w:firstLine="422"/>
        <w:rPr>
          <w:rFonts w:ascii="宋体" w:hAnsi="宋体" w:cs="宋体"/>
          <w:b/>
          <w:bCs/>
          <w:color w:val="auto"/>
          <w:szCs w:val="21"/>
          <w:highlight w:val="none"/>
        </w:rPr>
      </w:pPr>
      <w:r>
        <w:rPr>
          <w:rFonts w:hint="eastAsia" w:ascii="宋体" w:hAnsi="宋体" w:cs="宋体"/>
          <w:b/>
          <w:bCs/>
          <w:color w:val="auto"/>
          <w:szCs w:val="21"/>
          <w:highlight w:val="none"/>
        </w:rPr>
        <w:t>二、投标产品要求</w:t>
      </w:r>
    </w:p>
    <w:p w14:paraId="1CA847BE">
      <w:pPr>
        <w:widowControl/>
        <w:shd w:val="clear" w:color="auto" w:fill="FFFFFF"/>
        <w:spacing w:line="440" w:lineRule="exact"/>
        <w:ind w:firstLine="420"/>
        <w:contextualSpacing/>
        <w:jc w:val="left"/>
        <w:rPr>
          <w:rFonts w:hint="eastAsia" w:ascii="宋体" w:hAnsi="宋体" w:cs="宋体"/>
          <w:color w:val="auto"/>
          <w:szCs w:val="21"/>
          <w:highlight w:val="none"/>
        </w:rPr>
      </w:pPr>
      <w:r>
        <w:rPr>
          <w:rFonts w:hint="eastAsia" w:ascii="宋体" w:hAnsi="宋体" w:cs="宋体"/>
          <w:color w:val="auto"/>
          <w:szCs w:val="21"/>
          <w:highlight w:val="none"/>
        </w:rPr>
        <w:t>1、所供产品必须符合国家相关法规及行业标准要求。</w:t>
      </w:r>
    </w:p>
    <w:p w14:paraId="56B8D2A9">
      <w:pPr>
        <w:widowControl/>
        <w:shd w:val="clear" w:color="auto" w:fill="FFFFFF"/>
        <w:spacing w:line="440" w:lineRule="exact"/>
        <w:ind w:firstLine="420"/>
        <w:contextualSpacing/>
        <w:jc w:val="left"/>
        <w:rPr>
          <w:rFonts w:hint="eastAsia" w:ascii="宋体" w:hAnsi="宋体" w:cs="宋体"/>
          <w:color w:val="auto"/>
          <w:szCs w:val="21"/>
          <w:highlight w:val="none"/>
        </w:rPr>
      </w:pPr>
      <w:r>
        <w:rPr>
          <w:rFonts w:hint="eastAsia" w:ascii="宋体" w:hAnsi="宋体" w:cs="宋体"/>
          <w:color w:val="auto"/>
          <w:szCs w:val="21"/>
          <w:highlight w:val="none"/>
        </w:rPr>
        <w:t>2、投标企业</w:t>
      </w:r>
      <w:r>
        <w:rPr>
          <w:rFonts w:hint="eastAsia" w:ascii="宋体" w:hAnsi="宋体" w:cs="宋体"/>
          <w:color w:val="auto"/>
          <w:szCs w:val="21"/>
          <w:highlight w:val="none"/>
          <w:lang w:val="en-US" w:eastAsia="zh-CN"/>
        </w:rPr>
        <w:t>需承诺</w:t>
      </w:r>
      <w:r>
        <w:rPr>
          <w:rFonts w:hint="eastAsia" w:ascii="宋体" w:hAnsi="宋体" w:cs="宋体"/>
          <w:color w:val="auto"/>
          <w:szCs w:val="21"/>
          <w:highlight w:val="none"/>
        </w:rPr>
        <w:t>所投产品价格不得高于其线上官方旗舰店（包括但不限于天猫、京东、拼多多等电商平台）的公开销售价。若存在促销活动、满减优惠等特殊情形，实际成交价折算后仍须满足上述要求。如院方发现投标企业违反以上情形，视为根本性违约，院方有权立即终止合同。</w:t>
      </w:r>
    </w:p>
    <w:p w14:paraId="3B449A68">
      <w:pPr>
        <w:widowControl/>
        <w:shd w:val="clear" w:color="auto" w:fill="FFFFFF"/>
        <w:spacing w:line="440" w:lineRule="exact"/>
        <w:ind w:firstLine="420"/>
        <w:contextualSpacing/>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投标人需提供电子版投标产品的相关信息，包括产品种类，每一种产品各种营养成分含量、规格、价格</w:t>
      </w:r>
      <w:r>
        <w:rPr>
          <w:rFonts w:hint="eastAsia" w:ascii="宋体" w:hAnsi="宋体" w:cs="宋体"/>
          <w:color w:val="auto"/>
          <w:szCs w:val="21"/>
          <w:highlight w:val="none"/>
          <w:lang w:val="en-US" w:eastAsia="zh-CN"/>
        </w:rPr>
        <w:t>等（投标供应商中标后签订合同前提供）</w:t>
      </w:r>
      <w:r>
        <w:rPr>
          <w:rFonts w:hint="eastAsia" w:ascii="宋体" w:hAnsi="宋体" w:cs="宋体"/>
          <w:color w:val="auto"/>
          <w:szCs w:val="21"/>
          <w:highlight w:val="none"/>
        </w:rPr>
        <w:t>。</w:t>
      </w:r>
    </w:p>
    <w:p w14:paraId="2F1A00ED">
      <w:pPr>
        <w:widowControl/>
        <w:shd w:val="clear" w:color="auto" w:fill="FFFFFF"/>
        <w:spacing w:line="440" w:lineRule="exact"/>
        <w:ind w:firstLine="420"/>
        <w:contextualSpacing/>
        <w:jc w:val="left"/>
        <w:rPr>
          <w:rFonts w:hint="eastAsia" w:ascii="宋体" w:hAnsi="宋体" w:eastAsia="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bidi="ar-SA"/>
        </w:rPr>
        <w:t>4、</w:t>
      </w:r>
      <w:r>
        <w:rPr>
          <w:rFonts w:hint="eastAsia" w:ascii="宋体" w:hAnsi="宋体" w:eastAsia="宋体" w:cs="宋体"/>
          <w:b w:val="0"/>
          <w:bCs w:val="0"/>
          <w:color w:val="auto"/>
          <w:sz w:val="21"/>
          <w:szCs w:val="21"/>
          <w:highlight w:val="none"/>
          <w:lang w:val="en-US" w:eastAsia="zh-CN" w:bidi="ar-SA"/>
        </w:rPr>
        <w:t>投标产品需提供完整原厂外包装</w:t>
      </w:r>
      <w:r>
        <w:rPr>
          <w:rFonts w:hint="eastAsia" w:ascii="宋体" w:hAnsi="宋体" w:cs="宋体"/>
          <w:b w:val="0"/>
          <w:bCs w:val="0"/>
          <w:color w:val="auto"/>
          <w:sz w:val="21"/>
          <w:szCs w:val="21"/>
          <w:highlight w:val="none"/>
          <w:lang w:val="en-US" w:eastAsia="zh-CN" w:bidi="ar-SA"/>
        </w:rPr>
        <w:t>备查</w:t>
      </w:r>
      <w:r>
        <w:rPr>
          <w:rFonts w:hint="eastAsia" w:ascii="宋体" w:hAnsi="宋体" w:eastAsia="宋体" w:cs="宋体"/>
          <w:b w:val="0"/>
          <w:bCs w:val="0"/>
          <w:color w:val="auto"/>
          <w:sz w:val="21"/>
          <w:szCs w:val="21"/>
          <w:highlight w:val="none"/>
          <w:lang w:val="en-US" w:eastAsia="zh-CN" w:bidi="ar-SA"/>
        </w:rPr>
        <w:t>，包装标识内容应符合国家相关法规及行业标准要求，包括但不限于以下要素：产品配料表</w:t>
      </w:r>
      <w:r>
        <w:rPr>
          <w:rFonts w:hint="eastAsia" w:ascii="宋体" w:hAnsi="宋体" w:cs="宋体"/>
          <w:b w:val="0"/>
          <w:bCs w:val="0"/>
          <w:color w:val="auto"/>
          <w:sz w:val="21"/>
          <w:szCs w:val="21"/>
          <w:highlight w:val="none"/>
          <w:lang w:val="en-US" w:eastAsia="zh-CN" w:bidi="ar-SA"/>
        </w:rPr>
        <w:t>、营养成分表、生产企业信息、产品信息等（投标供应商中标后签订合同前提供）</w:t>
      </w:r>
      <w:r>
        <w:rPr>
          <w:rFonts w:hint="eastAsia" w:ascii="宋体" w:hAnsi="宋体" w:eastAsia="宋体" w:cs="宋体"/>
          <w:b w:val="0"/>
          <w:bCs w:val="0"/>
          <w:color w:val="auto"/>
          <w:sz w:val="21"/>
          <w:szCs w:val="21"/>
          <w:highlight w:val="none"/>
          <w:lang w:val="en-US" w:eastAsia="zh-CN" w:bidi="ar-SA"/>
        </w:rPr>
        <w:t>。</w:t>
      </w:r>
    </w:p>
    <w:p w14:paraId="64B59C24">
      <w:pPr>
        <w:widowControl/>
        <w:shd w:val="clear" w:color="auto" w:fill="FFFFFF"/>
        <w:spacing w:line="440" w:lineRule="exact"/>
        <w:ind w:firstLine="420"/>
        <w:contextualSpacing/>
        <w:jc w:val="left"/>
        <w:rPr>
          <w:rFonts w:hint="eastAsia" w:ascii="宋体" w:hAnsi="宋体" w:eastAsia="宋体" w:cs="宋体"/>
          <w:b/>
          <w:bCs/>
          <w:i/>
          <w:iCs/>
          <w:color w:val="auto"/>
          <w:szCs w:val="21"/>
          <w:highlight w:val="none"/>
          <w:u w:val="single"/>
          <w:lang w:eastAsia="zh-CN"/>
        </w:rPr>
      </w:pPr>
      <w:r>
        <w:rPr>
          <w:rFonts w:hint="eastAsia" w:ascii="宋体" w:hAnsi="宋体" w:cs="宋体"/>
          <w:b w:val="0"/>
          <w:bCs w:val="0"/>
          <w:i/>
          <w:iCs/>
          <w:color w:val="auto"/>
          <w:szCs w:val="21"/>
          <w:highlight w:val="none"/>
          <w:u w:val="single"/>
          <w:lang w:val="en-US" w:eastAsia="zh-CN"/>
        </w:rPr>
        <w:t>5、</w:t>
      </w:r>
      <w:r>
        <w:rPr>
          <w:rFonts w:hint="eastAsia" w:ascii="宋体" w:hAnsi="宋体" w:cs="宋体"/>
          <w:b w:val="0"/>
          <w:bCs w:val="0"/>
          <w:i/>
          <w:iCs/>
          <w:color w:val="auto"/>
          <w:szCs w:val="21"/>
          <w:highlight w:val="none"/>
          <w:u w:val="single"/>
        </w:rPr>
        <w:t>产品若离保质期六个月还未使用完，须无条件退货或换货，提供承诺函原件加盖投标人公章，无承诺的视为无效投标。</w:t>
      </w:r>
      <w:r>
        <w:rPr>
          <w:rFonts w:hint="eastAsia" w:ascii="宋体" w:hAnsi="宋体" w:cs="宋体"/>
          <w:b w:val="0"/>
          <w:bCs w:val="0"/>
          <w:i/>
          <w:iCs/>
          <w:color w:val="auto"/>
          <w:szCs w:val="21"/>
          <w:highlight w:val="none"/>
          <w:u w:val="single"/>
          <w:lang w:eastAsia="zh-CN"/>
        </w:rPr>
        <w:t>（</w:t>
      </w:r>
      <w:r>
        <w:rPr>
          <w:rFonts w:hint="eastAsia" w:ascii="宋体" w:hAnsi="宋体" w:cs="宋体"/>
          <w:b w:val="0"/>
          <w:bCs w:val="0"/>
          <w:i/>
          <w:iCs/>
          <w:color w:val="auto"/>
          <w:szCs w:val="21"/>
          <w:highlight w:val="none"/>
          <w:u w:val="single"/>
          <w:lang w:val="en-US" w:eastAsia="zh-CN"/>
        </w:rPr>
        <w:t>格式自拟</w:t>
      </w:r>
      <w:r>
        <w:rPr>
          <w:rFonts w:hint="eastAsia" w:ascii="宋体" w:hAnsi="宋体" w:cs="宋体"/>
          <w:b w:val="0"/>
          <w:bCs w:val="0"/>
          <w:i/>
          <w:iCs/>
          <w:color w:val="auto"/>
          <w:szCs w:val="21"/>
          <w:highlight w:val="none"/>
          <w:u w:val="single"/>
          <w:lang w:eastAsia="zh-CN"/>
        </w:rPr>
        <w:t>）</w:t>
      </w:r>
    </w:p>
    <w:p w14:paraId="247E1E53">
      <w:pPr>
        <w:widowControl/>
        <w:shd w:val="clear" w:color="auto" w:fill="FFFFFF"/>
        <w:spacing w:line="440" w:lineRule="exact"/>
        <w:ind w:firstLine="420"/>
        <w:contextualSpacing/>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订货周期：订货后五天内将货品送到我院。</w:t>
      </w:r>
    </w:p>
    <w:p w14:paraId="6CACB5E3">
      <w:pPr>
        <w:widowControl/>
        <w:shd w:val="clear" w:color="auto" w:fill="FFFFFF"/>
        <w:spacing w:line="440" w:lineRule="exact"/>
        <w:ind w:firstLine="420"/>
        <w:contextualSpacing/>
        <w:jc w:val="left"/>
        <w:rPr>
          <w:rFonts w:hint="default" w:eastAsia="宋体"/>
          <w:highlight w:val="none"/>
          <w:lang w:val="en-US"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合同履行期限：自合同签订之日起至2026年12月31日</w:t>
      </w:r>
    </w:p>
    <w:p w14:paraId="392B254D">
      <w:pPr>
        <w:widowControl/>
        <w:shd w:val="clear" w:color="auto" w:fill="FFFFFF"/>
        <w:spacing w:line="440" w:lineRule="exact"/>
        <w:ind w:firstLine="422"/>
        <w:contextualSpacing/>
        <w:jc w:val="left"/>
        <w:rPr>
          <w:rFonts w:ascii="宋体" w:hAnsi="宋体" w:cs="宋体"/>
          <w:color w:val="auto"/>
          <w:szCs w:val="21"/>
          <w:highlight w:val="none"/>
        </w:rPr>
      </w:pPr>
      <w:r>
        <w:rPr>
          <w:rFonts w:hint="eastAsia" w:ascii="宋体" w:hAnsi="宋体" w:cs="宋体"/>
          <w:b/>
          <w:bCs/>
          <w:color w:val="auto"/>
          <w:szCs w:val="21"/>
          <w:highlight w:val="none"/>
        </w:rPr>
        <w:t>三、其他要求</w:t>
      </w:r>
      <w:r>
        <w:rPr>
          <w:rFonts w:hint="eastAsia" w:ascii="宋体" w:hAnsi="宋体" w:cs="宋体"/>
          <w:color w:val="auto"/>
          <w:szCs w:val="21"/>
          <w:highlight w:val="none"/>
        </w:rPr>
        <w:t>：</w:t>
      </w:r>
    </w:p>
    <w:p w14:paraId="2FF9F46C">
      <w:pPr>
        <w:widowControl/>
        <w:shd w:val="clear" w:color="auto" w:fill="FFFFFF"/>
        <w:spacing w:line="440" w:lineRule="exact"/>
        <w:ind w:firstLine="420"/>
        <w:contextualSpacing/>
        <w:jc w:val="left"/>
        <w:rPr>
          <w:rFonts w:ascii="宋体" w:hAnsi="宋体" w:cs="宋体"/>
          <w:color w:val="auto"/>
          <w:szCs w:val="21"/>
          <w:highlight w:val="none"/>
        </w:rPr>
      </w:pPr>
      <w:r>
        <w:rPr>
          <w:rFonts w:hint="eastAsia" w:ascii="宋体" w:hAnsi="宋体" w:cs="宋体"/>
          <w:color w:val="auto"/>
          <w:szCs w:val="21"/>
          <w:highlight w:val="none"/>
        </w:rPr>
        <w:t>1、质量保证：</w:t>
      </w:r>
    </w:p>
    <w:p w14:paraId="044E6BFA">
      <w:pPr>
        <w:widowControl/>
        <w:shd w:val="clear" w:color="auto" w:fill="FFFFFF"/>
        <w:spacing w:line="440" w:lineRule="exact"/>
        <w:ind w:firstLine="420"/>
        <w:contextualSpacing/>
        <w:jc w:val="left"/>
        <w:rPr>
          <w:rFonts w:ascii="宋体" w:hAnsi="宋体" w:cs="宋体"/>
          <w:color w:val="auto"/>
          <w:szCs w:val="21"/>
          <w:highlight w:val="none"/>
        </w:rPr>
      </w:pPr>
      <w:r>
        <w:rPr>
          <w:rFonts w:hint="eastAsia" w:ascii="宋体" w:hAnsi="宋体" w:cs="宋体"/>
          <w:color w:val="auto"/>
          <w:szCs w:val="21"/>
          <w:highlight w:val="none"/>
        </w:rPr>
        <w:t>1.1产品免费质保期≥1年，以生产厂家出具的质保证明原件为准。</w:t>
      </w:r>
    </w:p>
    <w:p w14:paraId="28A35497">
      <w:pPr>
        <w:widowControl/>
        <w:shd w:val="clear" w:color="auto" w:fill="FFFFFF"/>
        <w:spacing w:line="440" w:lineRule="exact"/>
        <w:ind w:firstLine="420"/>
        <w:contextualSpacing/>
        <w:jc w:val="left"/>
        <w:rPr>
          <w:rFonts w:ascii="宋体" w:hAnsi="宋体" w:cs="宋体"/>
          <w:color w:val="auto"/>
          <w:szCs w:val="21"/>
          <w:highlight w:val="none"/>
        </w:rPr>
      </w:pPr>
      <w:r>
        <w:rPr>
          <w:rFonts w:hint="eastAsia" w:ascii="宋体" w:hAnsi="宋体" w:cs="宋体"/>
          <w:color w:val="auto"/>
          <w:szCs w:val="21"/>
          <w:highlight w:val="none"/>
        </w:rPr>
        <w:t>1.2服务响应：产品出现问题后，一般问题维护响应时间不超过12小时，重大问题不超过24小时。</w:t>
      </w:r>
    </w:p>
    <w:p w14:paraId="2D0393FA">
      <w:pPr>
        <w:widowControl/>
        <w:shd w:val="clear" w:color="auto" w:fill="FFFFFF"/>
        <w:spacing w:line="440" w:lineRule="exact"/>
        <w:ind w:firstLine="420"/>
        <w:contextualSpacing/>
        <w:jc w:val="left"/>
        <w:rPr>
          <w:rFonts w:ascii="宋体" w:hAnsi="宋体" w:cs="宋体"/>
          <w:color w:val="auto"/>
          <w:szCs w:val="21"/>
          <w:highlight w:val="none"/>
        </w:rPr>
      </w:pPr>
      <w:r>
        <w:rPr>
          <w:rFonts w:hint="eastAsia" w:ascii="宋体" w:hAnsi="宋体" w:cs="宋体"/>
          <w:color w:val="auto"/>
          <w:szCs w:val="21"/>
          <w:highlight w:val="none"/>
        </w:rPr>
        <w:t>2、交货时间：医院采购中心发出订货通知5天内。</w:t>
      </w:r>
    </w:p>
    <w:p w14:paraId="024B5CA1">
      <w:pPr>
        <w:widowControl/>
        <w:shd w:val="clear" w:color="auto" w:fill="FFFFFF"/>
        <w:spacing w:line="440" w:lineRule="exact"/>
        <w:ind w:firstLine="420"/>
        <w:contextualSpacing/>
        <w:jc w:val="left"/>
        <w:rPr>
          <w:rFonts w:ascii="宋体" w:hAnsi="宋体" w:cs="宋体"/>
          <w:color w:val="auto"/>
          <w:szCs w:val="21"/>
          <w:highlight w:val="none"/>
        </w:rPr>
      </w:pPr>
      <w:r>
        <w:rPr>
          <w:rFonts w:hint="eastAsia" w:ascii="宋体" w:hAnsi="宋体" w:cs="宋体"/>
          <w:color w:val="auto"/>
          <w:szCs w:val="21"/>
          <w:highlight w:val="none"/>
        </w:rPr>
        <w:t>3、验收标准：</w:t>
      </w:r>
    </w:p>
    <w:p w14:paraId="3F46DE6A">
      <w:pPr>
        <w:widowControl/>
        <w:shd w:val="clear" w:color="auto" w:fill="FFFFFF"/>
        <w:spacing w:line="440" w:lineRule="exact"/>
        <w:ind w:firstLine="420"/>
        <w:contextualSpacing/>
        <w:jc w:val="left"/>
        <w:rPr>
          <w:rFonts w:ascii="宋体" w:hAnsi="宋体" w:cs="宋体"/>
          <w:color w:val="auto"/>
          <w:szCs w:val="21"/>
          <w:highlight w:val="none"/>
        </w:rPr>
      </w:pP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提供的商品必须符合我国最新颁布的与之相关的技术规范与标准，同时必须满足招标</w:t>
      </w:r>
      <w:r>
        <w:rPr>
          <w:rFonts w:hint="eastAsia" w:ascii="宋体" w:hAnsi="宋体" w:cs="宋体"/>
          <w:color w:val="auto"/>
          <w:szCs w:val="21"/>
          <w:highlight w:val="none"/>
          <w:lang w:val="en-US" w:eastAsia="zh-CN"/>
        </w:rPr>
        <w:t>文件</w:t>
      </w:r>
      <w:r>
        <w:rPr>
          <w:rFonts w:hint="eastAsia" w:ascii="宋体" w:hAnsi="宋体" w:cs="宋体"/>
          <w:color w:val="auto"/>
          <w:szCs w:val="21"/>
          <w:highlight w:val="none"/>
        </w:rPr>
        <w:t>中所列全部参数、规格、指标及功能要求等和</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承诺的其它指标；</w:t>
      </w:r>
    </w:p>
    <w:p w14:paraId="5894AFD5">
      <w:pPr>
        <w:widowControl/>
        <w:shd w:val="clear" w:color="auto" w:fill="FFFFFF"/>
        <w:spacing w:line="440" w:lineRule="exact"/>
        <w:ind w:firstLine="420"/>
        <w:contextualSpacing/>
        <w:jc w:val="left"/>
        <w:rPr>
          <w:rFonts w:ascii="宋体" w:hAnsi="宋体" w:cs="宋体"/>
          <w:color w:val="auto"/>
          <w:szCs w:val="21"/>
          <w:highlight w:val="none"/>
        </w:rPr>
      </w:pPr>
      <w:r>
        <w:rPr>
          <w:rFonts w:hint="eastAsia" w:ascii="宋体" w:hAnsi="宋体" w:cs="宋体"/>
          <w:color w:val="auto"/>
          <w:szCs w:val="21"/>
          <w:highlight w:val="none"/>
        </w:rPr>
        <w:t>4、货物到达</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地址至验收合格期间，由</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负责保管，若因保管不当造成的质量问题，</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应负责调剂，同时有关费用由</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承担；货物经验收合格后即由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负责保管，若因保管不当造成的质量问题，</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应负责调剂，但有关费用由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承担。</w:t>
      </w:r>
    </w:p>
    <w:p w14:paraId="1D588685">
      <w:pPr>
        <w:widowControl/>
        <w:shd w:val="clear" w:color="auto" w:fill="FFFFFF"/>
        <w:spacing w:line="440" w:lineRule="exact"/>
        <w:ind w:firstLine="420"/>
        <w:contextualSpacing/>
        <w:jc w:val="left"/>
        <w:rPr>
          <w:rFonts w:ascii="宋体" w:hAnsi="宋体" w:cs="宋体"/>
          <w:color w:val="auto"/>
          <w:szCs w:val="21"/>
          <w:highlight w:val="none"/>
        </w:rPr>
      </w:pPr>
      <w:r>
        <w:rPr>
          <w:rFonts w:hint="eastAsia" w:ascii="宋体" w:hAnsi="宋体" w:cs="宋体"/>
          <w:color w:val="auto"/>
          <w:szCs w:val="21"/>
          <w:highlight w:val="none"/>
        </w:rPr>
        <w:t>5、交货条件：产品交货时，包装完整无破损，还必须提供以下材料</w:t>
      </w:r>
    </w:p>
    <w:p w14:paraId="67D49038">
      <w:pPr>
        <w:widowControl/>
        <w:shd w:val="clear" w:color="auto" w:fill="FFFFFF"/>
        <w:spacing w:line="440" w:lineRule="exact"/>
        <w:ind w:firstLine="420"/>
        <w:contextualSpacing/>
        <w:jc w:val="left"/>
        <w:rPr>
          <w:rFonts w:ascii="宋体" w:hAnsi="宋体" w:cs="宋体"/>
          <w:color w:val="auto"/>
          <w:szCs w:val="21"/>
          <w:highlight w:val="none"/>
        </w:rPr>
      </w:pPr>
      <w:r>
        <w:rPr>
          <w:rFonts w:hint="eastAsia" w:ascii="宋体" w:hAnsi="宋体" w:cs="宋体"/>
          <w:color w:val="auto"/>
          <w:szCs w:val="21"/>
          <w:highlight w:val="none"/>
        </w:rPr>
        <w:t>5.1装箱单</w:t>
      </w:r>
    </w:p>
    <w:p w14:paraId="7B5B56DF">
      <w:pPr>
        <w:widowControl/>
        <w:shd w:val="clear" w:color="auto" w:fill="FFFFFF"/>
        <w:spacing w:line="440" w:lineRule="exact"/>
        <w:ind w:firstLine="420"/>
        <w:contextualSpacing/>
        <w:jc w:val="left"/>
        <w:rPr>
          <w:rFonts w:ascii="宋体" w:hAnsi="宋体" w:cs="宋体"/>
          <w:color w:val="auto"/>
          <w:szCs w:val="21"/>
          <w:highlight w:val="none"/>
        </w:rPr>
      </w:pPr>
      <w:r>
        <w:rPr>
          <w:rFonts w:hint="eastAsia" w:ascii="宋体" w:hAnsi="宋体" w:cs="宋体"/>
          <w:color w:val="auto"/>
          <w:szCs w:val="21"/>
          <w:highlight w:val="none"/>
        </w:rPr>
        <w:t>5.2产品质检合格证明</w:t>
      </w:r>
    </w:p>
    <w:p w14:paraId="31C122E4">
      <w:pPr>
        <w:widowControl/>
        <w:shd w:val="clear" w:color="auto" w:fill="FFFFFF"/>
        <w:spacing w:line="440" w:lineRule="exact"/>
        <w:ind w:firstLine="420"/>
        <w:contextualSpacing/>
        <w:jc w:val="left"/>
        <w:rPr>
          <w:rFonts w:ascii="宋体" w:hAnsi="宋体" w:cs="宋体"/>
          <w:color w:val="auto"/>
          <w:szCs w:val="21"/>
          <w:highlight w:val="none"/>
        </w:rPr>
      </w:pPr>
      <w:r>
        <w:rPr>
          <w:rFonts w:hint="eastAsia" w:ascii="宋体" w:hAnsi="宋体" w:cs="宋体"/>
          <w:color w:val="auto"/>
          <w:szCs w:val="21"/>
          <w:highlight w:val="none"/>
        </w:rPr>
        <w:t>6、运输及到货地点：由</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负责办理运输及装卸，直接送至</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所在地，所有费用由</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承担。</w:t>
      </w:r>
    </w:p>
    <w:p w14:paraId="798F4CB9">
      <w:pPr>
        <w:widowControl/>
        <w:shd w:val="clear" w:color="auto" w:fill="FFFFFF"/>
        <w:spacing w:line="440" w:lineRule="exact"/>
        <w:ind w:firstLine="420"/>
        <w:contextualSpacing/>
        <w:jc w:val="left"/>
        <w:rPr>
          <w:rFonts w:ascii="宋体" w:hAnsi="宋体" w:cs="宋体"/>
          <w:color w:val="auto"/>
          <w:szCs w:val="21"/>
          <w:highlight w:val="none"/>
        </w:rPr>
      </w:pPr>
      <w:r>
        <w:rPr>
          <w:rFonts w:hint="eastAsia" w:ascii="宋体" w:hAnsi="宋体" w:cs="宋体"/>
          <w:color w:val="auto"/>
          <w:szCs w:val="21"/>
          <w:highlight w:val="none"/>
        </w:rPr>
        <w:t>7、售后服务：</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负责所采购产品的免费咨询、培训、使用说明、指导(过程中所需耗品应由</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免费提供)，保证培训人员正常使用。</w:t>
      </w:r>
    </w:p>
    <w:p w14:paraId="798F2040">
      <w:pPr>
        <w:widowControl/>
        <w:shd w:val="clear" w:color="auto" w:fill="FFFFFF"/>
        <w:spacing w:line="440" w:lineRule="exact"/>
        <w:ind w:firstLine="420"/>
        <w:contextualSpacing/>
        <w:jc w:val="left"/>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承担一次供货期内营养成分计量检定抽检费用（如院方对营养参数存在疑议可进行抽检）。</w:t>
      </w:r>
    </w:p>
    <w:p w14:paraId="0BDBF011">
      <w:pPr>
        <w:widowControl/>
        <w:shd w:val="clear" w:color="auto" w:fill="FFFFFF"/>
        <w:spacing w:line="440" w:lineRule="exact"/>
        <w:ind w:firstLine="420"/>
        <w:contextualSpacing/>
        <w:jc w:val="left"/>
        <w:rPr>
          <w:rFonts w:ascii="宋体" w:hAnsi="宋体" w:cs="宋体"/>
          <w:color w:val="auto"/>
          <w:szCs w:val="21"/>
          <w:highlight w:val="none"/>
        </w:rPr>
      </w:pPr>
      <w:r>
        <w:rPr>
          <w:rFonts w:hint="eastAsia" w:ascii="宋体" w:hAnsi="宋体" w:cs="宋体"/>
          <w:color w:val="auto"/>
          <w:szCs w:val="21"/>
          <w:highlight w:val="none"/>
        </w:rPr>
        <w:t>9、有稳定的售后服务承诺，能完好兑现。</w:t>
      </w:r>
    </w:p>
    <w:p w14:paraId="3467264C">
      <w:pPr>
        <w:widowControl/>
        <w:shd w:val="clear" w:color="auto" w:fill="FFFFFF"/>
        <w:spacing w:line="440" w:lineRule="exact"/>
        <w:ind w:firstLine="420"/>
        <w:contextualSpacing/>
        <w:jc w:val="left"/>
        <w:rPr>
          <w:rFonts w:hint="eastAsia"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可通过临床营养科联系临床相关科室进行学术交流，不允许私自接触临床科室医生，一旦被我院监察办公室或纪委发现有违规违纪行为并确认，所有产品一律退还，五年内不再采用。</w:t>
      </w:r>
    </w:p>
    <w:p w14:paraId="1D272D57">
      <w:pPr>
        <w:widowControl/>
        <w:shd w:val="clear" w:color="auto" w:fill="FFFFFF"/>
        <w:spacing w:line="440" w:lineRule="exact"/>
        <w:ind w:firstLine="422"/>
        <w:contextualSpacing/>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rPr>
        <w:t>评标标准</w:t>
      </w:r>
    </w:p>
    <w:p w14:paraId="45F52F4A">
      <w:pPr>
        <w:keepNext w:val="0"/>
        <w:keepLines w:val="0"/>
        <w:pageBreakBefore w:val="0"/>
        <w:widowControl w:val="0"/>
        <w:spacing w:line="440" w:lineRule="exact"/>
        <w:rPr>
          <w:rFonts w:hint="eastAsia" w:ascii="宋体" w:hAnsi="宋体" w:eastAsia="宋体" w:cs="Times New Roman"/>
          <w:b w:val="0"/>
          <w:bCs/>
          <w:color w:val="auto"/>
          <w:sz w:val="21"/>
          <w:szCs w:val="21"/>
          <w:highlight w:val="none"/>
          <w:lang w:val="en-US" w:eastAsia="zh-CN" w:bidi="ar-SA"/>
        </w:rPr>
      </w:pPr>
      <w:r>
        <w:rPr>
          <w:rFonts w:hint="eastAsia" w:ascii="宋体" w:hAnsi="宋体" w:eastAsia="宋体" w:cs="Times New Roman"/>
          <w:b w:val="0"/>
          <w:bCs/>
          <w:color w:val="auto"/>
          <w:sz w:val="21"/>
          <w:szCs w:val="21"/>
          <w:highlight w:val="none"/>
          <w:lang w:val="en-US" w:eastAsia="zh-CN" w:bidi="ar-SA"/>
        </w:rPr>
        <w:t>注：为便于评分，请供应商按评分表样式，逐条列出证明材料所在页码，格式自定。</w:t>
      </w:r>
    </w:p>
    <w:tbl>
      <w:tblPr>
        <w:tblStyle w:val="23"/>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79"/>
        <w:gridCol w:w="716"/>
        <w:gridCol w:w="4905"/>
        <w:gridCol w:w="2390"/>
      </w:tblGrid>
      <w:tr w14:paraId="0429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noWrap w:val="0"/>
            <w:vAlign w:val="center"/>
          </w:tcPr>
          <w:p w14:paraId="66866F81">
            <w:pPr>
              <w:spacing w:line="360" w:lineRule="exact"/>
              <w:jc w:val="center"/>
              <w:rPr>
                <w:rFonts w:hint="eastAsia" w:ascii="宋体" w:hAnsi="宋体" w:eastAsia="宋体" w:cs="宋体"/>
                <w:b/>
                <w:sz w:val="21"/>
                <w:szCs w:val="21"/>
                <w:highlight w:val="none"/>
                <w:lang w:val="en-US" w:eastAsia="zh-CN" w:bidi="ar-SA"/>
              </w:rPr>
            </w:pPr>
            <w:r>
              <w:rPr>
                <w:rFonts w:hint="eastAsia" w:ascii="宋体" w:hAnsi="宋体" w:cs="宋体"/>
                <w:b/>
                <w:szCs w:val="21"/>
                <w:highlight w:val="none"/>
              </w:rPr>
              <w:t>序号</w:t>
            </w:r>
          </w:p>
        </w:tc>
        <w:tc>
          <w:tcPr>
            <w:tcW w:w="1079" w:type="dxa"/>
            <w:shd w:val="clear" w:color="auto" w:fill="auto"/>
            <w:noWrap w:val="0"/>
            <w:vAlign w:val="center"/>
          </w:tcPr>
          <w:p w14:paraId="0493D3A7">
            <w:pPr>
              <w:spacing w:line="360" w:lineRule="exact"/>
              <w:jc w:val="center"/>
              <w:rPr>
                <w:rFonts w:hint="eastAsia" w:ascii="宋体" w:hAnsi="宋体" w:eastAsia="宋体" w:cs="宋体"/>
                <w:b/>
                <w:sz w:val="21"/>
                <w:szCs w:val="21"/>
                <w:highlight w:val="none"/>
                <w:lang w:val="en-US" w:eastAsia="zh-CN" w:bidi="ar-SA"/>
              </w:rPr>
            </w:pPr>
            <w:r>
              <w:rPr>
                <w:rFonts w:hint="eastAsia" w:ascii="宋体" w:hAnsi="宋体" w:cs="宋体"/>
                <w:b/>
                <w:szCs w:val="21"/>
                <w:highlight w:val="none"/>
              </w:rPr>
              <w:t>评分因素</w:t>
            </w:r>
          </w:p>
        </w:tc>
        <w:tc>
          <w:tcPr>
            <w:tcW w:w="716" w:type="dxa"/>
            <w:shd w:val="clear" w:color="auto" w:fill="auto"/>
            <w:noWrap w:val="0"/>
            <w:vAlign w:val="center"/>
          </w:tcPr>
          <w:p w14:paraId="1940BC0D">
            <w:pPr>
              <w:spacing w:line="360" w:lineRule="exact"/>
              <w:jc w:val="center"/>
              <w:rPr>
                <w:rFonts w:hint="eastAsia" w:ascii="宋体" w:hAnsi="宋体" w:eastAsia="宋体" w:cs="宋体"/>
                <w:b/>
                <w:sz w:val="21"/>
                <w:szCs w:val="21"/>
                <w:highlight w:val="none"/>
                <w:lang w:val="en-US" w:eastAsia="zh-CN" w:bidi="ar-SA"/>
              </w:rPr>
            </w:pPr>
            <w:r>
              <w:rPr>
                <w:rFonts w:hint="eastAsia" w:ascii="宋体" w:hAnsi="宋体" w:cs="宋体"/>
                <w:b/>
                <w:szCs w:val="21"/>
                <w:highlight w:val="none"/>
              </w:rPr>
              <w:t>分值</w:t>
            </w:r>
          </w:p>
        </w:tc>
        <w:tc>
          <w:tcPr>
            <w:tcW w:w="4905" w:type="dxa"/>
            <w:shd w:val="clear" w:color="auto" w:fill="auto"/>
            <w:noWrap w:val="0"/>
            <w:vAlign w:val="center"/>
          </w:tcPr>
          <w:p w14:paraId="02156664">
            <w:pPr>
              <w:spacing w:line="360" w:lineRule="exact"/>
              <w:jc w:val="center"/>
              <w:rPr>
                <w:rFonts w:hint="eastAsia" w:ascii="宋体" w:hAnsi="宋体" w:eastAsia="宋体" w:cs="宋体"/>
                <w:b/>
                <w:sz w:val="21"/>
                <w:szCs w:val="21"/>
                <w:highlight w:val="none"/>
                <w:lang w:val="en-US" w:eastAsia="zh-CN" w:bidi="ar-SA"/>
              </w:rPr>
            </w:pPr>
            <w:r>
              <w:rPr>
                <w:rFonts w:hint="eastAsia" w:ascii="宋体" w:hAnsi="宋体" w:cs="宋体"/>
                <w:b/>
                <w:szCs w:val="21"/>
                <w:highlight w:val="none"/>
              </w:rPr>
              <w:t>评分标准</w:t>
            </w:r>
          </w:p>
        </w:tc>
        <w:tc>
          <w:tcPr>
            <w:tcW w:w="2390" w:type="dxa"/>
            <w:shd w:val="clear" w:color="auto" w:fill="auto"/>
            <w:noWrap w:val="0"/>
            <w:vAlign w:val="center"/>
          </w:tcPr>
          <w:p w14:paraId="7666A4F7">
            <w:pPr>
              <w:pStyle w:val="65"/>
              <w:spacing w:before="0" w:after="0" w:line="360" w:lineRule="exact"/>
              <w:rPr>
                <w:rFonts w:hint="eastAsia" w:ascii="宋体" w:hAnsi="宋体" w:eastAsia="宋体" w:cs="宋体"/>
                <w:b/>
                <w:sz w:val="21"/>
                <w:szCs w:val="21"/>
                <w:highlight w:val="none"/>
                <w:lang w:val="en-US" w:eastAsia="zh-CN" w:bidi="ar-SA"/>
              </w:rPr>
            </w:pPr>
            <w:r>
              <w:rPr>
                <w:rFonts w:hint="eastAsia" w:ascii="宋体" w:hAnsi="宋体" w:eastAsia="宋体" w:cs="宋体"/>
                <w:sz w:val="21"/>
                <w:szCs w:val="21"/>
                <w:highlight w:val="none"/>
              </w:rPr>
              <w:t>说明</w:t>
            </w:r>
          </w:p>
        </w:tc>
      </w:tr>
      <w:tr w14:paraId="609A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0934FEB2">
            <w:pPr>
              <w:numPr>
                <w:ilvl w:val="0"/>
                <w:numId w:val="0"/>
              </w:numPr>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1</w:t>
            </w:r>
          </w:p>
        </w:tc>
        <w:tc>
          <w:tcPr>
            <w:tcW w:w="1079" w:type="dxa"/>
            <w:noWrap w:val="0"/>
            <w:vAlign w:val="center"/>
          </w:tcPr>
          <w:p w14:paraId="3C7D9618">
            <w:pPr>
              <w:numPr>
                <w:ilvl w:val="0"/>
                <w:numId w:val="0"/>
              </w:numPr>
              <w:spacing w:line="312" w:lineRule="auto"/>
              <w:jc w:val="center"/>
              <w:rPr>
                <w:rFonts w:hint="eastAsia" w:ascii="宋体" w:hAnsi="宋体" w:cs="宋体"/>
                <w:szCs w:val="21"/>
                <w:highlight w:val="none"/>
                <w:vertAlign w:val="baseline"/>
              </w:rPr>
            </w:pPr>
            <w:r>
              <w:rPr>
                <w:rFonts w:hint="eastAsia" w:ascii="宋体" w:hAnsi="宋体" w:cs="宋体"/>
                <w:szCs w:val="21"/>
                <w:highlight w:val="none"/>
              </w:rPr>
              <w:t>价格分</w:t>
            </w:r>
          </w:p>
        </w:tc>
        <w:tc>
          <w:tcPr>
            <w:tcW w:w="716" w:type="dxa"/>
            <w:noWrap w:val="0"/>
            <w:vAlign w:val="center"/>
          </w:tcPr>
          <w:p w14:paraId="25C0F035">
            <w:pPr>
              <w:numPr>
                <w:ilvl w:val="0"/>
                <w:numId w:val="0"/>
              </w:numPr>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30分</w:t>
            </w:r>
          </w:p>
        </w:tc>
        <w:tc>
          <w:tcPr>
            <w:tcW w:w="4905" w:type="dxa"/>
            <w:noWrap w:val="0"/>
            <w:vAlign w:val="center"/>
          </w:tcPr>
          <w:p w14:paraId="3C552345">
            <w:pPr>
              <w:numPr>
                <w:ilvl w:val="0"/>
                <w:numId w:val="0"/>
              </w:numPr>
              <w:spacing w:line="312" w:lineRule="auto"/>
              <w:jc w:val="left"/>
              <w:rPr>
                <w:rFonts w:hint="eastAsia" w:ascii="宋体" w:hAnsi="宋体" w:cs="宋体"/>
                <w:szCs w:val="21"/>
                <w:highlight w:val="none"/>
                <w:lang w:eastAsia="zh-CN"/>
              </w:rPr>
            </w:pPr>
            <w:r>
              <w:rPr>
                <w:rFonts w:hint="eastAsia" w:ascii="宋体" w:hAnsi="宋体" w:cs="宋体"/>
                <w:szCs w:val="21"/>
                <w:highlight w:val="none"/>
                <w:lang w:val="zh-CN" w:eastAsia="zh-CN"/>
              </w:rPr>
              <w:t>以满足</w:t>
            </w:r>
            <w:r>
              <w:rPr>
                <w:rFonts w:hint="eastAsia" w:ascii="宋体" w:hAnsi="宋体" w:cs="宋体"/>
                <w:szCs w:val="21"/>
                <w:highlight w:val="none"/>
                <w:lang w:eastAsia="zh-CN"/>
              </w:rPr>
              <w:t>招标文件</w:t>
            </w:r>
            <w:r>
              <w:rPr>
                <w:rFonts w:hint="eastAsia" w:ascii="宋体" w:hAnsi="宋体" w:cs="宋体"/>
                <w:szCs w:val="21"/>
                <w:highlight w:val="none"/>
                <w:lang w:val="zh-CN" w:eastAsia="zh-CN"/>
              </w:rPr>
              <w:t>要求的最低报价为评标基准价</w:t>
            </w:r>
            <w:r>
              <w:rPr>
                <w:rFonts w:hint="eastAsia" w:ascii="宋体" w:hAnsi="宋体" w:cs="宋体"/>
                <w:szCs w:val="21"/>
                <w:highlight w:val="none"/>
                <w:lang w:eastAsia="zh-CN"/>
              </w:rPr>
              <w:t>，其价格分为满分。其他供应商的价格分统一按照下列公式计算：</w:t>
            </w:r>
          </w:p>
          <w:p w14:paraId="3E261CCD">
            <w:pPr>
              <w:numPr>
                <w:ilvl w:val="0"/>
                <w:numId w:val="0"/>
              </w:numPr>
              <w:spacing w:line="312" w:lineRule="auto"/>
              <w:jc w:val="left"/>
              <w:rPr>
                <w:rFonts w:hint="eastAsia" w:ascii="宋体" w:hAnsi="宋体" w:cs="宋体"/>
                <w:szCs w:val="21"/>
                <w:highlight w:val="none"/>
                <w:lang w:eastAsia="zh-CN"/>
              </w:rPr>
            </w:pPr>
            <w:r>
              <w:rPr>
                <w:rFonts w:hint="eastAsia" w:ascii="宋体" w:hAnsi="宋体" w:cs="宋体"/>
                <w:szCs w:val="21"/>
                <w:highlight w:val="none"/>
                <w:lang w:eastAsia="zh-CN"/>
              </w:rPr>
              <w:t>价格分得分＝（评标基准价/</w:t>
            </w:r>
            <w:r>
              <w:rPr>
                <w:rFonts w:hint="eastAsia" w:ascii="宋体" w:hAnsi="宋体" w:cs="宋体"/>
                <w:szCs w:val="21"/>
                <w:highlight w:val="none"/>
                <w:lang w:val="zh-CN" w:eastAsia="zh-CN"/>
              </w:rPr>
              <w:t>其他投标报价</w:t>
            </w:r>
            <w:r>
              <w:rPr>
                <w:rFonts w:hint="eastAsia" w:ascii="宋体" w:hAnsi="宋体" w:cs="宋体"/>
                <w:szCs w:val="21"/>
                <w:highlight w:val="none"/>
                <w:lang w:eastAsia="zh-CN"/>
              </w:rPr>
              <w:t>）×分值。（</w:t>
            </w:r>
            <w:r>
              <w:rPr>
                <w:rFonts w:hint="eastAsia" w:ascii="宋体" w:hAnsi="宋体" w:cs="宋体"/>
                <w:szCs w:val="21"/>
                <w:highlight w:val="none"/>
                <w:lang w:val="en-US" w:eastAsia="zh-CN"/>
              </w:rPr>
              <w:t>保留2位小数</w:t>
            </w:r>
            <w:r>
              <w:rPr>
                <w:rFonts w:hint="eastAsia" w:ascii="宋体" w:hAnsi="宋体" w:cs="宋体"/>
                <w:szCs w:val="21"/>
                <w:highlight w:val="none"/>
                <w:lang w:eastAsia="zh-CN"/>
              </w:rPr>
              <w:t>）</w:t>
            </w:r>
          </w:p>
          <w:p w14:paraId="5974A74F">
            <w:pPr>
              <w:numPr>
                <w:ilvl w:val="0"/>
                <w:numId w:val="0"/>
              </w:numPr>
              <w:spacing w:line="312" w:lineRule="auto"/>
              <w:jc w:val="left"/>
              <w:rPr>
                <w:rFonts w:hint="eastAsia" w:ascii="宋体" w:hAnsi="宋体" w:cs="宋体"/>
                <w:szCs w:val="21"/>
                <w:highlight w:val="none"/>
                <w:lang w:eastAsia="zh-CN"/>
              </w:rPr>
            </w:pPr>
            <w:r>
              <w:rPr>
                <w:rFonts w:hint="eastAsia" w:ascii="宋体" w:hAnsi="宋体" w:cs="宋体"/>
                <w:szCs w:val="21"/>
                <w:highlight w:val="none"/>
                <w:lang w:eastAsia="zh-CN"/>
              </w:rPr>
              <w:t>注：评标委员会认为投标人的报价明显低于其他通过符合性审查投标人的报价，有可能影响产品质量或者不能诚信履约的，且投标人不能在评标现场合理的时间内证明其报价合理性的，评标委员会有权将其作为无效投标处理。</w:t>
            </w:r>
          </w:p>
        </w:tc>
        <w:tc>
          <w:tcPr>
            <w:tcW w:w="2390" w:type="dxa"/>
            <w:noWrap w:val="0"/>
            <w:vAlign w:val="center"/>
          </w:tcPr>
          <w:p w14:paraId="16F7300F">
            <w:pPr>
              <w:numPr>
                <w:ilvl w:val="0"/>
                <w:numId w:val="0"/>
              </w:numPr>
              <w:spacing w:line="312" w:lineRule="auto"/>
              <w:jc w:val="left"/>
              <w:rPr>
                <w:rFonts w:hint="eastAsia" w:ascii="宋体" w:hAnsi="宋体" w:cs="宋体"/>
                <w:szCs w:val="21"/>
                <w:highlight w:val="none"/>
                <w:vertAlign w:val="baseline"/>
              </w:rPr>
            </w:pPr>
          </w:p>
        </w:tc>
      </w:tr>
      <w:tr w14:paraId="1B04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644F05F">
            <w:pPr>
              <w:numPr>
                <w:ilvl w:val="0"/>
                <w:numId w:val="0"/>
              </w:numPr>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w:t>
            </w:r>
          </w:p>
        </w:tc>
        <w:tc>
          <w:tcPr>
            <w:tcW w:w="1079" w:type="dxa"/>
            <w:noWrap w:val="0"/>
            <w:vAlign w:val="center"/>
          </w:tcPr>
          <w:p w14:paraId="09962B93">
            <w:pPr>
              <w:numPr>
                <w:ilvl w:val="0"/>
                <w:numId w:val="0"/>
              </w:numPr>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主观分</w:t>
            </w:r>
          </w:p>
        </w:tc>
        <w:tc>
          <w:tcPr>
            <w:tcW w:w="8011" w:type="dxa"/>
            <w:gridSpan w:val="3"/>
            <w:noWrap w:val="0"/>
            <w:vAlign w:val="center"/>
          </w:tcPr>
          <w:p w14:paraId="255BF492">
            <w:pPr>
              <w:numPr>
                <w:ilvl w:val="0"/>
                <w:numId w:val="0"/>
              </w:numPr>
              <w:spacing w:line="312" w:lineRule="auto"/>
              <w:jc w:val="left"/>
              <w:rPr>
                <w:rFonts w:hint="default" w:ascii="宋体" w:hAnsi="宋体" w:cs="宋体"/>
                <w:szCs w:val="21"/>
                <w:highlight w:val="none"/>
                <w:vertAlign w:val="baseline"/>
                <w:lang w:val="en-US"/>
              </w:rPr>
            </w:pPr>
            <w:r>
              <w:rPr>
                <w:rFonts w:hint="eastAsia" w:ascii="宋体" w:hAnsi="宋体" w:cs="宋体"/>
                <w:szCs w:val="21"/>
                <w:highlight w:val="none"/>
                <w:vertAlign w:val="baseline"/>
                <w:lang w:val="en-US" w:eastAsia="zh-CN"/>
              </w:rPr>
              <w:t>30分</w:t>
            </w:r>
          </w:p>
        </w:tc>
      </w:tr>
      <w:tr w14:paraId="2E99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AC17CFD">
            <w:pPr>
              <w:numPr>
                <w:ilvl w:val="0"/>
                <w:numId w:val="0"/>
              </w:numPr>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2.1</w:t>
            </w:r>
          </w:p>
        </w:tc>
        <w:tc>
          <w:tcPr>
            <w:tcW w:w="1079" w:type="dxa"/>
            <w:noWrap w:val="0"/>
            <w:vAlign w:val="center"/>
          </w:tcPr>
          <w:p w14:paraId="21F612DD">
            <w:pPr>
              <w:numPr>
                <w:ilvl w:val="0"/>
                <w:numId w:val="0"/>
              </w:numPr>
              <w:spacing w:line="312" w:lineRule="auto"/>
              <w:jc w:val="center"/>
              <w:rPr>
                <w:rFonts w:hint="eastAsia" w:ascii="宋体" w:hAnsi="宋体" w:cs="宋体"/>
                <w:szCs w:val="21"/>
                <w:highlight w:val="none"/>
                <w:vertAlign w:val="baseline"/>
              </w:rPr>
            </w:pPr>
            <w:r>
              <w:rPr>
                <w:rFonts w:hint="eastAsia" w:ascii="宋体" w:hAnsi="宋体" w:cs="宋体"/>
                <w:szCs w:val="21"/>
                <w:highlight w:val="none"/>
                <w:vertAlign w:val="baseline"/>
              </w:rPr>
              <w:t>整体供货方案</w:t>
            </w:r>
          </w:p>
        </w:tc>
        <w:tc>
          <w:tcPr>
            <w:tcW w:w="716" w:type="dxa"/>
            <w:noWrap w:val="0"/>
            <w:vAlign w:val="center"/>
          </w:tcPr>
          <w:p w14:paraId="62995E7E">
            <w:pPr>
              <w:numPr>
                <w:ilvl w:val="0"/>
                <w:numId w:val="0"/>
              </w:numPr>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5分</w:t>
            </w:r>
          </w:p>
        </w:tc>
        <w:tc>
          <w:tcPr>
            <w:tcW w:w="4905" w:type="dxa"/>
            <w:noWrap w:val="0"/>
            <w:vAlign w:val="center"/>
          </w:tcPr>
          <w:p w14:paraId="7B595819">
            <w:pPr>
              <w:spacing w:line="360" w:lineRule="exact"/>
              <w:jc w:val="left"/>
              <w:rPr>
                <w:rFonts w:ascii="宋体" w:hAnsi="宋体" w:cs="宋体"/>
                <w:szCs w:val="21"/>
                <w:highlight w:val="none"/>
              </w:rPr>
            </w:pPr>
            <w:r>
              <w:rPr>
                <w:rFonts w:hint="eastAsia" w:ascii="宋体" w:hAnsi="宋体" w:cs="宋体"/>
                <w:bCs/>
                <w:szCs w:val="21"/>
                <w:highlight w:val="none"/>
              </w:rPr>
              <w:t>整体供货方案</w:t>
            </w:r>
            <w:r>
              <w:rPr>
                <w:rFonts w:hint="eastAsia" w:ascii="宋体" w:hAnsi="宋体" w:cs="宋体"/>
                <w:szCs w:val="21"/>
                <w:highlight w:val="none"/>
              </w:rPr>
              <w:t>，包括</w:t>
            </w:r>
            <w:r>
              <w:rPr>
                <w:rFonts w:hint="eastAsia" w:ascii="宋体" w:hAnsi="宋体" w:cs="宋体"/>
                <w:bCs/>
                <w:szCs w:val="21"/>
                <w:highlight w:val="none"/>
              </w:rPr>
              <w:t>供货流程、供货周期、供货量、货源保障措施等</w:t>
            </w:r>
            <w:r>
              <w:rPr>
                <w:rFonts w:hint="eastAsia" w:ascii="宋体" w:hAnsi="宋体" w:cs="宋体"/>
                <w:szCs w:val="21"/>
                <w:highlight w:val="none"/>
              </w:rPr>
              <w:t>。</w:t>
            </w:r>
          </w:p>
          <w:p w14:paraId="55B52F8C">
            <w:pPr>
              <w:numPr>
                <w:ilvl w:val="0"/>
                <w:numId w:val="0"/>
              </w:numPr>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详细描述了供货流程、供货周期、供货量、货源保障措施等，能够确保供货的稳定性和及时性得5分；基本描述了供货的主要环节和流程，但在某些细节或保障措施上有所欠缺或有缺失得3分；简单提及了供货方案的基本框架，缺乏具体内容和细节得1分；未提供或提供的方案与本项目合同履行无关不得分。</w:t>
            </w:r>
          </w:p>
        </w:tc>
        <w:tc>
          <w:tcPr>
            <w:tcW w:w="2390" w:type="dxa"/>
            <w:noWrap w:val="0"/>
            <w:vAlign w:val="center"/>
          </w:tcPr>
          <w:p w14:paraId="10059446">
            <w:pPr>
              <w:numPr>
                <w:ilvl w:val="0"/>
                <w:numId w:val="0"/>
              </w:numPr>
              <w:spacing w:line="312" w:lineRule="auto"/>
              <w:jc w:val="left"/>
              <w:rPr>
                <w:rFonts w:hint="eastAsia" w:ascii="宋体" w:hAnsi="宋体" w:cs="宋体"/>
                <w:szCs w:val="21"/>
                <w:highlight w:val="none"/>
                <w:vertAlign w:val="baseline"/>
              </w:rPr>
            </w:pPr>
          </w:p>
        </w:tc>
      </w:tr>
      <w:tr w14:paraId="3F8F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7DA58D2C">
            <w:pPr>
              <w:numPr>
                <w:ilvl w:val="0"/>
                <w:numId w:val="0"/>
              </w:numPr>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2.2</w:t>
            </w:r>
          </w:p>
        </w:tc>
        <w:tc>
          <w:tcPr>
            <w:tcW w:w="1079" w:type="dxa"/>
            <w:noWrap w:val="0"/>
            <w:vAlign w:val="center"/>
          </w:tcPr>
          <w:p w14:paraId="4FF61256">
            <w:pPr>
              <w:numPr>
                <w:ilvl w:val="0"/>
                <w:numId w:val="0"/>
              </w:numPr>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运输时限和运输方式</w:t>
            </w:r>
          </w:p>
        </w:tc>
        <w:tc>
          <w:tcPr>
            <w:tcW w:w="716" w:type="dxa"/>
            <w:noWrap w:val="0"/>
            <w:vAlign w:val="center"/>
          </w:tcPr>
          <w:p w14:paraId="7517C949">
            <w:pPr>
              <w:numPr>
                <w:ilvl w:val="0"/>
                <w:numId w:val="0"/>
              </w:numPr>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5分</w:t>
            </w:r>
          </w:p>
        </w:tc>
        <w:tc>
          <w:tcPr>
            <w:tcW w:w="4905" w:type="dxa"/>
            <w:noWrap w:val="0"/>
            <w:vAlign w:val="center"/>
          </w:tcPr>
          <w:p w14:paraId="56D40F7D">
            <w:pPr>
              <w:spacing w:line="360" w:lineRule="exact"/>
              <w:jc w:val="left"/>
              <w:rPr>
                <w:rFonts w:ascii="宋体" w:hAnsi="宋体" w:cs="宋体"/>
                <w:bCs/>
                <w:szCs w:val="21"/>
                <w:highlight w:val="none"/>
              </w:rPr>
            </w:pPr>
            <w:r>
              <w:rPr>
                <w:rFonts w:hint="eastAsia" w:ascii="宋体" w:hAnsi="宋体" w:cs="宋体"/>
                <w:bCs/>
                <w:szCs w:val="21"/>
                <w:highlight w:val="none"/>
              </w:rPr>
              <w:t>运输时限和运输方式，包括运输时限、运输方式、运输责任划分及运输中的安全保障措施。</w:t>
            </w:r>
          </w:p>
          <w:p w14:paraId="0014BEA4">
            <w:pPr>
              <w:numPr>
                <w:ilvl w:val="0"/>
                <w:numId w:val="0"/>
              </w:numPr>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明确规定了供应产品的运输时限、运输方式（如空运、海运、陆运等）、运输责任划分及运输中的安全保障措施得5分；规定了主要的运输时限和运输方式，但在某些保障措施上不够全面或有缺失得3分；仅简单提及了运输时限和方式，缺乏具体的执行细节得1分</w:t>
            </w:r>
            <w:r>
              <w:rPr>
                <w:rFonts w:hint="eastAsia" w:ascii="宋体" w:hAnsi="宋体" w:cs="宋体"/>
                <w:szCs w:val="21"/>
                <w:highlight w:val="none"/>
              </w:rPr>
              <w:t>；未提供不得分。</w:t>
            </w:r>
          </w:p>
        </w:tc>
        <w:tc>
          <w:tcPr>
            <w:tcW w:w="2390" w:type="dxa"/>
            <w:noWrap w:val="0"/>
            <w:vAlign w:val="center"/>
          </w:tcPr>
          <w:p w14:paraId="02D5E7E4">
            <w:pPr>
              <w:numPr>
                <w:ilvl w:val="0"/>
                <w:numId w:val="0"/>
              </w:numPr>
              <w:spacing w:line="312" w:lineRule="auto"/>
              <w:jc w:val="left"/>
              <w:rPr>
                <w:rFonts w:hint="eastAsia" w:ascii="宋体" w:hAnsi="宋体" w:cs="宋体"/>
                <w:szCs w:val="21"/>
                <w:highlight w:val="none"/>
                <w:vertAlign w:val="baseline"/>
              </w:rPr>
            </w:pPr>
          </w:p>
        </w:tc>
      </w:tr>
      <w:tr w14:paraId="193C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9A386BF">
            <w:pPr>
              <w:numPr>
                <w:ilvl w:val="0"/>
                <w:numId w:val="0"/>
              </w:numPr>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2.3</w:t>
            </w:r>
          </w:p>
        </w:tc>
        <w:tc>
          <w:tcPr>
            <w:tcW w:w="1079" w:type="dxa"/>
            <w:noWrap w:val="0"/>
            <w:vAlign w:val="center"/>
          </w:tcPr>
          <w:p w14:paraId="17BDDBE4">
            <w:pPr>
              <w:numPr>
                <w:ilvl w:val="0"/>
                <w:numId w:val="0"/>
              </w:numPr>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退换缺陷产品措施</w:t>
            </w:r>
          </w:p>
        </w:tc>
        <w:tc>
          <w:tcPr>
            <w:tcW w:w="716" w:type="dxa"/>
            <w:noWrap w:val="0"/>
            <w:vAlign w:val="center"/>
          </w:tcPr>
          <w:p w14:paraId="618D7421">
            <w:pPr>
              <w:numPr>
                <w:ilvl w:val="0"/>
                <w:numId w:val="0"/>
              </w:numPr>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5分</w:t>
            </w:r>
          </w:p>
        </w:tc>
        <w:tc>
          <w:tcPr>
            <w:tcW w:w="4905" w:type="dxa"/>
            <w:noWrap w:val="0"/>
            <w:vAlign w:val="center"/>
          </w:tcPr>
          <w:p w14:paraId="4E681661">
            <w:pPr>
              <w:spacing w:line="360" w:lineRule="exact"/>
              <w:jc w:val="left"/>
              <w:rPr>
                <w:rFonts w:ascii="宋体" w:hAnsi="宋体" w:cs="宋体"/>
                <w:bCs/>
                <w:szCs w:val="21"/>
                <w:highlight w:val="none"/>
              </w:rPr>
            </w:pPr>
            <w:r>
              <w:rPr>
                <w:rFonts w:hint="eastAsia" w:ascii="宋体" w:hAnsi="宋体" w:cs="宋体"/>
                <w:bCs/>
                <w:szCs w:val="21"/>
                <w:highlight w:val="none"/>
              </w:rPr>
              <w:t>退换缺陷产品措施，包括缺陷产品的识别方法、退换流程、退换时限、责任划分及赔偿措施等。</w:t>
            </w:r>
          </w:p>
          <w:p w14:paraId="287506CB">
            <w:pPr>
              <w:numPr>
                <w:ilvl w:val="0"/>
                <w:numId w:val="0"/>
              </w:numPr>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详细描述了缺陷产品的识别方法、退换流程、退换时限、责任划分及赔偿措施等得5分；基本描述了退换缺陷产品的主要环节和流程，但在某些赔偿措施上有所欠缺或有缺失得3分；仅简单提及了退换措施的基本框架，缺乏具体内容和细节得1分；未提供或提供的方案与本项目合同履行无关不得分。</w:t>
            </w:r>
          </w:p>
        </w:tc>
        <w:tc>
          <w:tcPr>
            <w:tcW w:w="2390" w:type="dxa"/>
            <w:noWrap w:val="0"/>
            <w:vAlign w:val="center"/>
          </w:tcPr>
          <w:p w14:paraId="388031B0">
            <w:pPr>
              <w:numPr>
                <w:ilvl w:val="0"/>
                <w:numId w:val="0"/>
              </w:numPr>
              <w:spacing w:line="312" w:lineRule="auto"/>
              <w:jc w:val="left"/>
              <w:rPr>
                <w:rFonts w:hint="eastAsia" w:ascii="宋体" w:hAnsi="宋体" w:cs="宋体"/>
                <w:szCs w:val="21"/>
                <w:highlight w:val="none"/>
                <w:vertAlign w:val="baseline"/>
              </w:rPr>
            </w:pPr>
          </w:p>
        </w:tc>
      </w:tr>
      <w:tr w14:paraId="30E5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F82B9F">
            <w:pPr>
              <w:numPr>
                <w:ilvl w:val="0"/>
                <w:numId w:val="0"/>
              </w:numPr>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2.4</w:t>
            </w:r>
          </w:p>
        </w:tc>
        <w:tc>
          <w:tcPr>
            <w:tcW w:w="1079" w:type="dxa"/>
            <w:noWrap w:val="0"/>
            <w:vAlign w:val="center"/>
          </w:tcPr>
          <w:p w14:paraId="32131892">
            <w:pPr>
              <w:numPr>
                <w:ilvl w:val="0"/>
                <w:numId w:val="0"/>
              </w:numPr>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对产品的食用意见及反馈时间方案</w:t>
            </w:r>
          </w:p>
        </w:tc>
        <w:tc>
          <w:tcPr>
            <w:tcW w:w="716" w:type="dxa"/>
            <w:noWrap w:val="0"/>
            <w:vAlign w:val="center"/>
          </w:tcPr>
          <w:p w14:paraId="5737A628">
            <w:pPr>
              <w:numPr>
                <w:ilvl w:val="0"/>
                <w:numId w:val="0"/>
              </w:numPr>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rPr>
              <w:t>5</w:t>
            </w:r>
            <w:r>
              <w:rPr>
                <w:rFonts w:hint="eastAsia" w:ascii="宋体" w:hAnsi="宋体" w:cs="宋体"/>
                <w:szCs w:val="21"/>
                <w:highlight w:val="none"/>
                <w:lang w:val="en-US" w:eastAsia="zh-CN"/>
              </w:rPr>
              <w:t>分</w:t>
            </w:r>
          </w:p>
        </w:tc>
        <w:tc>
          <w:tcPr>
            <w:tcW w:w="4905" w:type="dxa"/>
            <w:noWrap w:val="0"/>
            <w:vAlign w:val="center"/>
          </w:tcPr>
          <w:p w14:paraId="19EEBE3F">
            <w:pPr>
              <w:spacing w:line="360" w:lineRule="exact"/>
              <w:jc w:val="left"/>
              <w:rPr>
                <w:rFonts w:ascii="宋体" w:hAnsi="宋体" w:cs="宋体"/>
                <w:bCs/>
                <w:szCs w:val="21"/>
                <w:highlight w:val="none"/>
              </w:rPr>
            </w:pPr>
            <w:r>
              <w:rPr>
                <w:rFonts w:hint="eastAsia" w:ascii="宋体" w:hAnsi="宋体" w:cs="宋体"/>
                <w:bCs/>
                <w:szCs w:val="21"/>
                <w:highlight w:val="none"/>
              </w:rPr>
              <w:t>对产品的食用意见及反馈时间方案，包括产品食用意见的收集渠道、反馈机制、处理流程及时限要求等。</w:t>
            </w:r>
          </w:p>
          <w:p w14:paraId="550A8A13">
            <w:pPr>
              <w:numPr>
                <w:ilvl w:val="0"/>
                <w:numId w:val="0"/>
              </w:numPr>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建立了产品食用意见的收集渠道、反馈机制、处理流程及时限要求，确保消费者意见能够及时得到处理和回复得5分；基本描述了食用意见及反馈的主要环节和流程，但在某些处理时限上不够全面或有缺失得3分；仅简单提及了食用意见及反馈的基本框架，缺乏具体内容和细节得1分；未提共或提供的方案与本项目合同履行无关不得分。</w:t>
            </w:r>
          </w:p>
        </w:tc>
        <w:tc>
          <w:tcPr>
            <w:tcW w:w="2390" w:type="dxa"/>
            <w:noWrap w:val="0"/>
            <w:vAlign w:val="center"/>
          </w:tcPr>
          <w:p w14:paraId="3C10E874">
            <w:pPr>
              <w:numPr>
                <w:ilvl w:val="0"/>
                <w:numId w:val="0"/>
              </w:numPr>
              <w:spacing w:line="312" w:lineRule="auto"/>
              <w:jc w:val="left"/>
              <w:rPr>
                <w:rFonts w:hint="eastAsia" w:ascii="宋体" w:hAnsi="宋体" w:cs="宋体"/>
                <w:szCs w:val="21"/>
                <w:highlight w:val="none"/>
                <w:vertAlign w:val="baseline"/>
              </w:rPr>
            </w:pPr>
          </w:p>
        </w:tc>
      </w:tr>
      <w:tr w14:paraId="7E91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CEAF57">
            <w:pPr>
              <w:numPr>
                <w:ilvl w:val="0"/>
                <w:numId w:val="0"/>
              </w:numPr>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2.5</w:t>
            </w:r>
          </w:p>
        </w:tc>
        <w:tc>
          <w:tcPr>
            <w:tcW w:w="1079" w:type="dxa"/>
            <w:noWrap w:val="0"/>
            <w:vAlign w:val="center"/>
          </w:tcPr>
          <w:p w14:paraId="72A24091">
            <w:pPr>
              <w:numPr>
                <w:ilvl w:val="0"/>
                <w:numId w:val="0"/>
              </w:numPr>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售前和售后服务制度</w:t>
            </w:r>
          </w:p>
        </w:tc>
        <w:tc>
          <w:tcPr>
            <w:tcW w:w="716" w:type="dxa"/>
            <w:noWrap w:val="0"/>
            <w:vAlign w:val="center"/>
          </w:tcPr>
          <w:p w14:paraId="32A687DA">
            <w:pPr>
              <w:numPr>
                <w:ilvl w:val="0"/>
                <w:numId w:val="0"/>
              </w:numPr>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5分</w:t>
            </w:r>
          </w:p>
        </w:tc>
        <w:tc>
          <w:tcPr>
            <w:tcW w:w="4905" w:type="dxa"/>
            <w:noWrap w:val="0"/>
            <w:vAlign w:val="center"/>
          </w:tcPr>
          <w:p w14:paraId="369518D4">
            <w:pPr>
              <w:spacing w:line="360" w:lineRule="exact"/>
              <w:jc w:val="left"/>
              <w:rPr>
                <w:rFonts w:ascii="宋体" w:hAnsi="宋体" w:cs="宋体"/>
                <w:bCs/>
                <w:szCs w:val="21"/>
                <w:highlight w:val="none"/>
              </w:rPr>
            </w:pPr>
            <w:r>
              <w:rPr>
                <w:rFonts w:hint="eastAsia" w:ascii="宋体" w:hAnsi="宋体" w:cs="宋体"/>
                <w:bCs/>
                <w:szCs w:val="21"/>
                <w:highlight w:val="none"/>
              </w:rPr>
              <w:t>售前和售后服务制度，包括售前咨询和售后服务的内容、流程、时限及保障措施。</w:t>
            </w:r>
          </w:p>
          <w:p w14:paraId="52F90591">
            <w:pPr>
              <w:numPr>
                <w:ilvl w:val="0"/>
                <w:numId w:val="0"/>
              </w:numPr>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详细描述了售前咨询和售后服务的内容、流程、时限及保障措施等得5分；基本描述了售前售后服务的主要环节和流程，但在某些细节或保障措施上有所欠缺得3分；仅简单提及了售前售后服务的基本框架，缺乏具体内容和细节得1分；未提共或提供的方案与本项目合同履行无关不得分。</w:t>
            </w:r>
          </w:p>
        </w:tc>
        <w:tc>
          <w:tcPr>
            <w:tcW w:w="2390" w:type="dxa"/>
            <w:noWrap w:val="0"/>
            <w:vAlign w:val="center"/>
          </w:tcPr>
          <w:p w14:paraId="51D48271">
            <w:pPr>
              <w:numPr>
                <w:ilvl w:val="0"/>
                <w:numId w:val="0"/>
              </w:numPr>
              <w:spacing w:line="312" w:lineRule="auto"/>
              <w:jc w:val="left"/>
              <w:rPr>
                <w:rFonts w:hint="eastAsia" w:ascii="宋体" w:hAnsi="宋体" w:cs="宋体"/>
                <w:szCs w:val="21"/>
                <w:highlight w:val="none"/>
                <w:vertAlign w:val="baseline"/>
              </w:rPr>
            </w:pPr>
          </w:p>
        </w:tc>
      </w:tr>
      <w:tr w14:paraId="45C2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3A3AC89">
            <w:pPr>
              <w:numPr>
                <w:ilvl w:val="0"/>
                <w:numId w:val="0"/>
              </w:numPr>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2.6</w:t>
            </w:r>
          </w:p>
        </w:tc>
        <w:tc>
          <w:tcPr>
            <w:tcW w:w="1079" w:type="dxa"/>
            <w:noWrap w:val="0"/>
            <w:vAlign w:val="center"/>
          </w:tcPr>
          <w:p w14:paraId="052552FB">
            <w:pPr>
              <w:numPr>
                <w:ilvl w:val="0"/>
                <w:numId w:val="0"/>
              </w:numPr>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紧急情况措施</w:t>
            </w:r>
          </w:p>
        </w:tc>
        <w:tc>
          <w:tcPr>
            <w:tcW w:w="716" w:type="dxa"/>
            <w:noWrap w:val="0"/>
            <w:vAlign w:val="center"/>
          </w:tcPr>
          <w:p w14:paraId="19CCE9E2">
            <w:pPr>
              <w:numPr>
                <w:ilvl w:val="0"/>
                <w:numId w:val="0"/>
              </w:numPr>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rPr>
              <w:t>5</w:t>
            </w:r>
            <w:r>
              <w:rPr>
                <w:rFonts w:hint="eastAsia" w:ascii="宋体" w:hAnsi="宋体" w:cs="宋体"/>
                <w:szCs w:val="21"/>
                <w:highlight w:val="none"/>
                <w:lang w:val="en-US" w:eastAsia="zh-CN"/>
              </w:rPr>
              <w:t>分</w:t>
            </w:r>
          </w:p>
        </w:tc>
        <w:tc>
          <w:tcPr>
            <w:tcW w:w="4905" w:type="dxa"/>
            <w:noWrap w:val="0"/>
            <w:vAlign w:val="center"/>
          </w:tcPr>
          <w:p w14:paraId="01B6D920">
            <w:pPr>
              <w:spacing w:line="360" w:lineRule="exact"/>
              <w:jc w:val="left"/>
              <w:rPr>
                <w:rFonts w:ascii="宋体" w:hAnsi="宋体" w:cs="宋体"/>
                <w:bCs/>
                <w:szCs w:val="21"/>
                <w:highlight w:val="none"/>
              </w:rPr>
            </w:pPr>
            <w:r>
              <w:rPr>
                <w:rFonts w:hint="eastAsia" w:ascii="宋体" w:hAnsi="宋体" w:cs="宋体"/>
                <w:bCs/>
                <w:szCs w:val="21"/>
                <w:highlight w:val="none"/>
              </w:rPr>
              <w:t>紧急情况措施，包括应急处理流程、责任划分、资源调配及后续处理措施等。</w:t>
            </w:r>
          </w:p>
          <w:p w14:paraId="64621B50">
            <w:pPr>
              <w:numPr>
                <w:ilvl w:val="0"/>
                <w:numId w:val="0"/>
              </w:numPr>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制定了详细的应急处理流程、责任划分、资源调配及后续处理措施等得5分；基本描述了紧急情况的主要应对措施和流程，但在某些细节或资源调配上有所欠缺得3分；仅简单提及了紧急情况的基本应对措施，缺乏具体内容和细节得1分；未提共或提供的方案与本项目合同履行无关不得分。</w:t>
            </w:r>
          </w:p>
        </w:tc>
        <w:tc>
          <w:tcPr>
            <w:tcW w:w="2390" w:type="dxa"/>
            <w:noWrap w:val="0"/>
            <w:vAlign w:val="center"/>
          </w:tcPr>
          <w:p w14:paraId="64BF4E7F">
            <w:pPr>
              <w:numPr>
                <w:ilvl w:val="0"/>
                <w:numId w:val="0"/>
              </w:numPr>
              <w:spacing w:line="312" w:lineRule="auto"/>
              <w:jc w:val="left"/>
              <w:rPr>
                <w:rFonts w:hint="eastAsia" w:ascii="宋体" w:hAnsi="宋体" w:cs="宋体"/>
                <w:szCs w:val="21"/>
                <w:highlight w:val="none"/>
                <w:vertAlign w:val="baseline"/>
              </w:rPr>
            </w:pPr>
          </w:p>
        </w:tc>
      </w:tr>
      <w:tr w14:paraId="7935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5" w:type="dxa"/>
            <w:noWrap w:val="0"/>
            <w:vAlign w:val="center"/>
          </w:tcPr>
          <w:p w14:paraId="653C9529">
            <w:pPr>
              <w:numPr>
                <w:ilvl w:val="0"/>
                <w:numId w:val="0"/>
              </w:numPr>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w:t>
            </w:r>
          </w:p>
        </w:tc>
        <w:tc>
          <w:tcPr>
            <w:tcW w:w="1079" w:type="dxa"/>
            <w:noWrap w:val="0"/>
            <w:vAlign w:val="center"/>
          </w:tcPr>
          <w:p w14:paraId="7A515782">
            <w:pPr>
              <w:numPr>
                <w:ilvl w:val="0"/>
                <w:numId w:val="0"/>
              </w:numPr>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客观分</w:t>
            </w:r>
          </w:p>
        </w:tc>
        <w:tc>
          <w:tcPr>
            <w:tcW w:w="8011" w:type="dxa"/>
            <w:gridSpan w:val="3"/>
            <w:noWrap w:val="0"/>
            <w:vAlign w:val="center"/>
          </w:tcPr>
          <w:p w14:paraId="113D935D">
            <w:pPr>
              <w:numPr>
                <w:ilvl w:val="0"/>
                <w:numId w:val="0"/>
              </w:numPr>
              <w:spacing w:line="312" w:lineRule="auto"/>
              <w:jc w:val="left"/>
              <w:rPr>
                <w:rFonts w:hint="default" w:ascii="宋体" w:hAnsi="宋体" w:cs="宋体"/>
                <w:szCs w:val="21"/>
                <w:highlight w:val="none"/>
                <w:vertAlign w:val="baseline"/>
                <w:lang w:val="en-US"/>
              </w:rPr>
            </w:pPr>
            <w:r>
              <w:rPr>
                <w:rFonts w:hint="eastAsia" w:ascii="宋体" w:hAnsi="宋体" w:cs="宋体"/>
                <w:szCs w:val="21"/>
                <w:highlight w:val="none"/>
                <w:vertAlign w:val="baseline"/>
                <w:lang w:val="en-US" w:eastAsia="zh-CN"/>
              </w:rPr>
              <w:t>40分</w:t>
            </w:r>
          </w:p>
        </w:tc>
      </w:tr>
      <w:tr w14:paraId="61E8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E5490E2">
            <w:pPr>
              <w:numPr>
                <w:ilvl w:val="0"/>
                <w:numId w:val="0"/>
              </w:numPr>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3.1</w:t>
            </w:r>
          </w:p>
        </w:tc>
        <w:tc>
          <w:tcPr>
            <w:tcW w:w="1079" w:type="dxa"/>
            <w:noWrap w:val="0"/>
            <w:vAlign w:val="center"/>
          </w:tcPr>
          <w:p w14:paraId="284DE182">
            <w:pPr>
              <w:numPr>
                <w:ilvl w:val="0"/>
                <w:numId w:val="0"/>
              </w:numPr>
              <w:spacing w:line="312" w:lineRule="auto"/>
              <w:jc w:val="center"/>
              <w:rPr>
                <w:rFonts w:hint="default" w:ascii="宋体" w:hAnsi="宋体" w:cs="宋体"/>
                <w:szCs w:val="21"/>
                <w:highlight w:val="none"/>
                <w:lang w:val="en-US" w:eastAsia="zh-CN"/>
              </w:rPr>
            </w:pPr>
            <w:r>
              <w:rPr>
                <w:rFonts w:hint="eastAsia" w:ascii="宋体" w:hAnsi="宋体" w:cs="宋体"/>
                <w:szCs w:val="21"/>
                <w:highlight w:val="none"/>
              </w:rPr>
              <w:t>需求响应</w:t>
            </w:r>
          </w:p>
        </w:tc>
        <w:tc>
          <w:tcPr>
            <w:tcW w:w="716" w:type="dxa"/>
            <w:noWrap w:val="0"/>
            <w:vAlign w:val="center"/>
          </w:tcPr>
          <w:p w14:paraId="3A147BCE">
            <w:pPr>
              <w:numPr>
                <w:ilvl w:val="0"/>
                <w:numId w:val="0"/>
              </w:numPr>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30分</w:t>
            </w:r>
          </w:p>
        </w:tc>
        <w:tc>
          <w:tcPr>
            <w:tcW w:w="4905" w:type="dxa"/>
            <w:noWrap w:val="0"/>
            <w:vAlign w:val="center"/>
          </w:tcPr>
          <w:p w14:paraId="10FF1940">
            <w:pPr>
              <w:spacing w:line="360" w:lineRule="exact"/>
              <w:jc w:val="left"/>
              <w:rPr>
                <w:rFonts w:hint="eastAsia" w:ascii="宋体" w:hAnsi="宋体" w:cs="宋体"/>
                <w:szCs w:val="21"/>
                <w:highlight w:val="none"/>
                <w:lang w:val="en-US" w:bidi="zh-CN"/>
              </w:rPr>
            </w:pPr>
            <w:r>
              <w:rPr>
                <w:rFonts w:hint="eastAsia" w:ascii="宋体" w:hAnsi="宋体" w:cs="宋体"/>
                <w:szCs w:val="21"/>
                <w:highlight w:val="none"/>
                <w:lang w:val="en-US" w:bidi="zh-CN"/>
              </w:rPr>
              <w:t>供应商对招标文件中“技术参数”的响应程度：</w:t>
            </w:r>
          </w:p>
          <w:p w14:paraId="28E30FA1">
            <w:pPr>
              <w:spacing w:line="360" w:lineRule="exact"/>
              <w:jc w:val="left"/>
              <w:rPr>
                <w:rFonts w:hint="eastAsia" w:ascii="宋体" w:hAnsi="宋体" w:cs="宋体"/>
                <w:szCs w:val="21"/>
                <w:highlight w:val="none"/>
                <w:vertAlign w:val="baseline"/>
              </w:rPr>
            </w:pPr>
            <w:r>
              <w:rPr>
                <w:rFonts w:hint="eastAsia" w:ascii="宋体" w:hAnsi="宋体" w:cs="宋体"/>
                <w:szCs w:val="21"/>
                <w:highlight w:val="none"/>
                <w:lang w:val="en-US" w:bidi="zh-CN"/>
              </w:rPr>
              <w:t>全部响应即满足所有技术参数的得30分，有一项负偏离扣3分，扣完为止。</w:t>
            </w:r>
          </w:p>
        </w:tc>
        <w:tc>
          <w:tcPr>
            <w:tcW w:w="2390" w:type="dxa"/>
            <w:noWrap w:val="0"/>
            <w:vAlign w:val="center"/>
          </w:tcPr>
          <w:p w14:paraId="286B347D">
            <w:pPr>
              <w:numPr>
                <w:ilvl w:val="0"/>
                <w:numId w:val="0"/>
              </w:numPr>
              <w:spacing w:line="312" w:lineRule="auto"/>
              <w:jc w:val="left"/>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rPr>
              <w:t>提供包装标识（含配料表、营养成分表、生产企业等）</w:t>
            </w:r>
            <w:r>
              <w:rPr>
                <w:rFonts w:hint="eastAsia" w:ascii="宋体" w:hAnsi="宋体" w:cs="宋体"/>
                <w:szCs w:val="21"/>
                <w:highlight w:val="none"/>
                <w:vertAlign w:val="baseline"/>
                <w:lang w:val="en-US" w:eastAsia="zh-CN"/>
              </w:rPr>
              <w:t>加盖公章</w:t>
            </w:r>
          </w:p>
        </w:tc>
      </w:tr>
      <w:tr w14:paraId="57EE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9D391D3">
            <w:pPr>
              <w:numPr>
                <w:ilvl w:val="0"/>
                <w:numId w:val="0"/>
              </w:numPr>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3.2</w:t>
            </w:r>
          </w:p>
        </w:tc>
        <w:tc>
          <w:tcPr>
            <w:tcW w:w="1079" w:type="dxa"/>
            <w:noWrap w:val="0"/>
            <w:vAlign w:val="center"/>
          </w:tcPr>
          <w:p w14:paraId="5B53F07D">
            <w:pPr>
              <w:numPr>
                <w:ilvl w:val="0"/>
                <w:numId w:val="0"/>
              </w:numPr>
              <w:spacing w:line="312" w:lineRule="auto"/>
              <w:jc w:val="center"/>
              <w:rPr>
                <w:rFonts w:hint="eastAsia" w:ascii="宋体" w:hAnsi="宋体" w:cs="宋体"/>
                <w:szCs w:val="21"/>
                <w:highlight w:val="none"/>
                <w:vertAlign w:val="baseline"/>
              </w:rPr>
            </w:pPr>
            <w:r>
              <w:rPr>
                <w:rFonts w:hint="eastAsia" w:ascii="宋体" w:hAnsi="宋体" w:cs="宋体"/>
                <w:szCs w:val="21"/>
                <w:highlight w:val="none"/>
              </w:rPr>
              <w:t>业绩</w:t>
            </w:r>
          </w:p>
        </w:tc>
        <w:tc>
          <w:tcPr>
            <w:tcW w:w="716" w:type="dxa"/>
            <w:noWrap w:val="0"/>
            <w:vAlign w:val="center"/>
          </w:tcPr>
          <w:p w14:paraId="0C313CC2">
            <w:pPr>
              <w:numPr>
                <w:ilvl w:val="0"/>
                <w:numId w:val="0"/>
              </w:numPr>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6分</w:t>
            </w:r>
          </w:p>
        </w:tc>
        <w:tc>
          <w:tcPr>
            <w:tcW w:w="4905" w:type="dxa"/>
            <w:noWrap w:val="0"/>
            <w:vAlign w:val="center"/>
          </w:tcPr>
          <w:p w14:paraId="3D5FE07D">
            <w:pPr>
              <w:numPr>
                <w:ilvl w:val="0"/>
                <w:numId w:val="0"/>
              </w:numPr>
              <w:spacing w:line="312" w:lineRule="auto"/>
              <w:jc w:val="left"/>
              <w:rPr>
                <w:rFonts w:hint="default" w:ascii="宋体" w:hAnsi="宋体" w:cs="宋体"/>
                <w:szCs w:val="21"/>
                <w:highlight w:val="none"/>
                <w:lang w:val="en-US" w:bidi="zh-CN"/>
              </w:rPr>
            </w:pPr>
            <w:r>
              <w:rPr>
                <w:rFonts w:hint="eastAsia" w:ascii="宋体" w:hAnsi="宋体" w:cs="宋体"/>
                <w:szCs w:val="21"/>
                <w:highlight w:val="none"/>
                <w:lang w:val="en-US" w:bidi="zh-CN"/>
              </w:rPr>
              <w:t>投标人自2022年12月01日（含）以来具有类似医院的合作证明，每提供一个得2分，最高6分。</w:t>
            </w:r>
          </w:p>
        </w:tc>
        <w:tc>
          <w:tcPr>
            <w:tcW w:w="2390" w:type="dxa"/>
            <w:noWrap w:val="0"/>
            <w:vAlign w:val="center"/>
          </w:tcPr>
          <w:p w14:paraId="0BF9AF66">
            <w:pPr>
              <w:numPr>
                <w:ilvl w:val="0"/>
                <w:numId w:val="0"/>
              </w:numPr>
              <w:spacing w:line="312" w:lineRule="auto"/>
              <w:jc w:val="left"/>
              <w:rPr>
                <w:rFonts w:hint="default" w:ascii="宋体" w:hAnsi="宋体" w:cs="宋体"/>
                <w:szCs w:val="21"/>
                <w:highlight w:val="none"/>
                <w:lang w:val="en-US" w:bidi="zh-CN"/>
              </w:rPr>
            </w:pPr>
            <w:r>
              <w:rPr>
                <w:rFonts w:hint="eastAsia" w:ascii="宋体" w:hAnsi="宋体" w:cs="宋体"/>
                <w:szCs w:val="21"/>
                <w:highlight w:val="none"/>
                <w:lang w:val="en-US" w:bidi="zh-CN"/>
              </w:rPr>
              <w:t>提供发票复印件或合同复印件加盖公章</w:t>
            </w:r>
          </w:p>
        </w:tc>
      </w:tr>
      <w:tr w14:paraId="429F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14E480E">
            <w:pPr>
              <w:numPr>
                <w:ilvl w:val="0"/>
                <w:numId w:val="0"/>
              </w:numPr>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3.3</w:t>
            </w:r>
          </w:p>
        </w:tc>
        <w:tc>
          <w:tcPr>
            <w:tcW w:w="1079" w:type="dxa"/>
            <w:noWrap w:val="0"/>
            <w:vAlign w:val="center"/>
          </w:tcPr>
          <w:p w14:paraId="3130C8F5">
            <w:pPr>
              <w:numPr>
                <w:ilvl w:val="0"/>
                <w:numId w:val="0"/>
              </w:numPr>
              <w:spacing w:line="312" w:lineRule="auto"/>
              <w:jc w:val="center"/>
              <w:rPr>
                <w:rFonts w:hint="eastAsia" w:ascii="宋体" w:hAnsi="宋体" w:cs="宋体"/>
                <w:szCs w:val="21"/>
                <w:highlight w:val="none"/>
                <w:vertAlign w:val="baseline"/>
              </w:rPr>
            </w:pPr>
            <w:r>
              <w:rPr>
                <w:rFonts w:hint="eastAsia" w:ascii="宋体" w:hAnsi="宋体" w:cs="宋体"/>
                <w:szCs w:val="21"/>
                <w:highlight w:val="none"/>
                <w:lang w:val="zh-CN" w:bidi="zh-CN"/>
              </w:rPr>
              <w:t>质保承诺</w:t>
            </w:r>
          </w:p>
        </w:tc>
        <w:tc>
          <w:tcPr>
            <w:tcW w:w="716" w:type="dxa"/>
            <w:noWrap w:val="0"/>
            <w:vAlign w:val="center"/>
          </w:tcPr>
          <w:p w14:paraId="00B8925B">
            <w:pPr>
              <w:numPr>
                <w:ilvl w:val="0"/>
                <w:numId w:val="0"/>
              </w:numPr>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2分</w:t>
            </w:r>
          </w:p>
        </w:tc>
        <w:tc>
          <w:tcPr>
            <w:tcW w:w="4905" w:type="dxa"/>
            <w:noWrap w:val="0"/>
            <w:vAlign w:val="center"/>
          </w:tcPr>
          <w:p w14:paraId="37497996">
            <w:pPr>
              <w:numPr>
                <w:ilvl w:val="0"/>
                <w:numId w:val="0"/>
              </w:numPr>
              <w:spacing w:line="312" w:lineRule="auto"/>
              <w:jc w:val="left"/>
              <w:rPr>
                <w:rFonts w:hint="eastAsia" w:ascii="宋体" w:hAnsi="宋体" w:cs="宋体"/>
                <w:szCs w:val="21"/>
                <w:highlight w:val="none"/>
                <w:vertAlign w:val="baseline"/>
              </w:rPr>
            </w:pPr>
            <w:r>
              <w:rPr>
                <w:rFonts w:hint="eastAsia" w:ascii="宋体" w:hAnsi="宋体" w:cs="宋体"/>
                <w:szCs w:val="21"/>
                <w:highlight w:val="none"/>
                <w:lang w:val="en-US" w:bidi="zh-CN"/>
              </w:rPr>
              <w:t>投标人</w:t>
            </w:r>
            <w:r>
              <w:rPr>
                <w:rFonts w:hint="eastAsia" w:ascii="宋体" w:hAnsi="宋体" w:cs="宋体"/>
                <w:szCs w:val="21"/>
                <w:highlight w:val="none"/>
                <w:lang w:val="zh-CN" w:bidi="zh-CN"/>
              </w:rPr>
              <w:t>承诺送货食品至少距保质期结束时间1/2及以上，且保质期内可以调换的得</w:t>
            </w:r>
            <w:r>
              <w:rPr>
                <w:rFonts w:hint="eastAsia" w:ascii="宋体" w:hAnsi="宋体" w:cs="宋体"/>
                <w:szCs w:val="21"/>
                <w:highlight w:val="none"/>
                <w:lang w:val="en-US" w:bidi="zh-CN"/>
              </w:rPr>
              <w:t>2</w:t>
            </w:r>
            <w:r>
              <w:rPr>
                <w:rFonts w:hint="eastAsia" w:ascii="宋体" w:hAnsi="宋体" w:cs="宋体"/>
                <w:szCs w:val="21"/>
                <w:highlight w:val="none"/>
                <w:lang w:val="zh-CN" w:bidi="zh-CN"/>
              </w:rPr>
              <w:t>分。</w:t>
            </w:r>
          </w:p>
        </w:tc>
        <w:tc>
          <w:tcPr>
            <w:tcW w:w="2390" w:type="dxa"/>
            <w:noWrap w:val="0"/>
            <w:vAlign w:val="center"/>
          </w:tcPr>
          <w:p w14:paraId="79ED4BD6">
            <w:pPr>
              <w:numPr>
                <w:ilvl w:val="0"/>
                <w:numId w:val="0"/>
              </w:numPr>
              <w:spacing w:line="312" w:lineRule="auto"/>
              <w:jc w:val="left"/>
              <w:rPr>
                <w:rFonts w:hint="eastAsia" w:ascii="宋体" w:hAnsi="宋体" w:cs="宋体"/>
                <w:szCs w:val="21"/>
                <w:highlight w:val="none"/>
                <w:vertAlign w:val="baseline"/>
              </w:rPr>
            </w:pPr>
            <w:r>
              <w:rPr>
                <w:rFonts w:hint="eastAsia" w:ascii="宋体" w:hAnsi="宋体" w:cs="宋体"/>
                <w:szCs w:val="21"/>
                <w:highlight w:val="none"/>
                <w:lang w:val="zh-CN" w:bidi="zh-CN"/>
              </w:rPr>
              <w:t>提供承诺书</w:t>
            </w:r>
            <w:r>
              <w:rPr>
                <w:rFonts w:hint="eastAsia" w:ascii="宋体" w:hAnsi="宋体" w:cs="宋体"/>
                <w:szCs w:val="21"/>
                <w:highlight w:val="none"/>
              </w:rPr>
              <w:t>加盖公章</w:t>
            </w:r>
          </w:p>
        </w:tc>
      </w:tr>
      <w:tr w14:paraId="142F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9122B1A">
            <w:pPr>
              <w:numPr>
                <w:ilvl w:val="0"/>
                <w:numId w:val="0"/>
              </w:numPr>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3.4</w:t>
            </w:r>
          </w:p>
        </w:tc>
        <w:tc>
          <w:tcPr>
            <w:tcW w:w="1079" w:type="dxa"/>
            <w:noWrap w:val="0"/>
            <w:vAlign w:val="center"/>
          </w:tcPr>
          <w:p w14:paraId="078C1635">
            <w:pPr>
              <w:numPr>
                <w:ilvl w:val="0"/>
                <w:numId w:val="0"/>
              </w:numPr>
              <w:spacing w:line="312" w:lineRule="auto"/>
              <w:jc w:val="center"/>
              <w:rPr>
                <w:rFonts w:hint="eastAsia" w:ascii="宋体" w:hAnsi="宋体" w:cs="宋体"/>
                <w:szCs w:val="21"/>
                <w:highlight w:val="none"/>
                <w:vertAlign w:val="baseline"/>
              </w:rPr>
            </w:pPr>
            <w:r>
              <w:rPr>
                <w:rFonts w:hint="eastAsia" w:ascii="宋体" w:hAnsi="宋体" w:cs="宋体"/>
                <w:szCs w:val="21"/>
                <w:highlight w:val="none"/>
                <w:lang w:val="en-US" w:bidi="zh-CN"/>
              </w:rPr>
              <w:t>增值服务</w:t>
            </w:r>
          </w:p>
        </w:tc>
        <w:tc>
          <w:tcPr>
            <w:tcW w:w="716" w:type="dxa"/>
            <w:noWrap w:val="0"/>
            <w:vAlign w:val="center"/>
          </w:tcPr>
          <w:p w14:paraId="2EBEBC5E">
            <w:pPr>
              <w:numPr>
                <w:ilvl w:val="0"/>
                <w:numId w:val="0"/>
              </w:numPr>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2分</w:t>
            </w:r>
          </w:p>
        </w:tc>
        <w:tc>
          <w:tcPr>
            <w:tcW w:w="4905" w:type="dxa"/>
            <w:noWrap w:val="0"/>
            <w:vAlign w:val="center"/>
          </w:tcPr>
          <w:p w14:paraId="2EBED55D">
            <w:pPr>
              <w:numPr>
                <w:ilvl w:val="0"/>
                <w:numId w:val="0"/>
              </w:numPr>
              <w:spacing w:line="312" w:lineRule="auto"/>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公司提供招标文件要求范围以外，具体的、实在的增值服务，得2分。</w:t>
            </w:r>
          </w:p>
        </w:tc>
        <w:tc>
          <w:tcPr>
            <w:tcW w:w="2390" w:type="dxa"/>
            <w:noWrap w:val="0"/>
            <w:vAlign w:val="center"/>
          </w:tcPr>
          <w:p w14:paraId="709B451C">
            <w:pPr>
              <w:numPr>
                <w:ilvl w:val="0"/>
                <w:numId w:val="0"/>
              </w:numPr>
              <w:spacing w:line="312" w:lineRule="auto"/>
              <w:jc w:val="left"/>
              <w:rPr>
                <w:rFonts w:hint="eastAsia" w:ascii="宋体" w:hAnsi="宋体" w:cs="宋体"/>
                <w:szCs w:val="21"/>
                <w:highlight w:val="none"/>
                <w:vertAlign w:val="baseline"/>
              </w:rPr>
            </w:pPr>
            <w:r>
              <w:rPr>
                <w:rFonts w:hint="eastAsia" w:ascii="宋体" w:hAnsi="宋体" w:cs="宋体"/>
                <w:szCs w:val="21"/>
                <w:highlight w:val="none"/>
              </w:rPr>
              <w:t>提供承诺书加盖公章</w:t>
            </w:r>
          </w:p>
        </w:tc>
      </w:tr>
      <w:tr w14:paraId="2711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54" w:type="dxa"/>
            <w:gridSpan w:val="2"/>
            <w:noWrap w:val="0"/>
            <w:vAlign w:val="bottom"/>
          </w:tcPr>
          <w:p w14:paraId="068F2C29">
            <w:pPr>
              <w:numPr>
                <w:ilvl w:val="0"/>
                <w:numId w:val="0"/>
              </w:numPr>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合计</w:t>
            </w:r>
          </w:p>
        </w:tc>
        <w:tc>
          <w:tcPr>
            <w:tcW w:w="8011" w:type="dxa"/>
            <w:gridSpan w:val="3"/>
            <w:noWrap w:val="0"/>
            <w:vAlign w:val="bottom"/>
          </w:tcPr>
          <w:p w14:paraId="2C634239">
            <w:pPr>
              <w:numPr>
                <w:ilvl w:val="0"/>
                <w:numId w:val="0"/>
              </w:numPr>
              <w:spacing w:line="312" w:lineRule="auto"/>
              <w:jc w:val="center"/>
              <w:rPr>
                <w:rFonts w:hint="default" w:ascii="宋体" w:hAnsi="宋体" w:cs="宋体"/>
                <w:szCs w:val="21"/>
                <w:highlight w:val="none"/>
                <w:vertAlign w:val="baseline"/>
                <w:lang w:val="en-US"/>
              </w:rPr>
            </w:pPr>
            <w:r>
              <w:rPr>
                <w:rFonts w:hint="eastAsia" w:ascii="宋体" w:hAnsi="宋体" w:cs="宋体"/>
                <w:szCs w:val="21"/>
                <w:highlight w:val="none"/>
                <w:vertAlign w:val="baseline"/>
                <w:lang w:val="en-US" w:eastAsia="zh-CN"/>
              </w:rPr>
              <w:t>100分</w:t>
            </w:r>
          </w:p>
        </w:tc>
      </w:tr>
    </w:tbl>
    <w:p w14:paraId="0E073084">
      <w:pPr>
        <w:widowControl/>
        <w:shd w:val="clear" w:color="auto" w:fill="FFFFFF"/>
        <w:spacing w:line="440" w:lineRule="exact"/>
        <w:ind w:firstLine="420"/>
        <w:contextualSpacing/>
        <w:jc w:val="left"/>
        <w:rPr>
          <w:rFonts w:hint="default"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注：本次招标为该采购包第三次招标，满足两家投标单位并形成充分竞争即正常进行开标。</w:t>
      </w:r>
    </w:p>
    <w:p w14:paraId="2D4C068A">
      <w:pPr>
        <w:pStyle w:val="6"/>
        <w:numPr>
          <w:ilvl w:val="0"/>
          <w:numId w:val="0"/>
        </w:numPr>
        <w:rPr>
          <w:rFonts w:hint="eastAsia" w:ascii="宋体" w:hAnsi="宋体" w:cs="宋体"/>
          <w:b/>
          <w:bCs/>
          <w:color w:val="auto"/>
          <w:szCs w:val="21"/>
          <w:highlight w:val="none"/>
        </w:rPr>
      </w:pPr>
    </w:p>
    <w:p w14:paraId="5DAAD250">
      <w:pPr>
        <w:jc w:val="center"/>
        <w:rPr>
          <w:rFonts w:hint="eastAsia"/>
          <w:b/>
          <w:sz w:val="32"/>
          <w:szCs w:val="32"/>
        </w:rPr>
      </w:pPr>
    </w:p>
    <w:p w14:paraId="3E1B3731">
      <w:pPr>
        <w:jc w:val="center"/>
        <w:rPr>
          <w:b/>
          <w:sz w:val="32"/>
          <w:szCs w:val="32"/>
        </w:rPr>
      </w:pPr>
      <w:r>
        <w:rPr>
          <w:rFonts w:hint="eastAsia"/>
          <w:b/>
          <w:sz w:val="32"/>
          <w:szCs w:val="32"/>
        </w:rPr>
        <w:t>三、投标人须知</w:t>
      </w:r>
      <w:bookmarkEnd w:id="2"/>
    </w:p>
    <w:p w14:paraId="481B351B">
      <w:pPr>
        <w:ind w:firstLine="562" w:firstLineChars="200"/>
        <w:rPr>
          <w:b/>
          <w:sz w:val="28"/>
          <w:szCs w:val="28"/>
        </w:rPr>
      </w:pPr>
      <w:r>
        <w:rPr>
          <w:rFonts w:hint="eastAsia"/>
          <w:b/>
          <w:sz w:val="28"/>
          <w:szCs w:val="28"/>
        </w:rPr>
        <w:t>（一）编制要求</w:t>
      </w:r>
    </w:p>
    <w:p w14:paraId="5AE3B995">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投标人应在仔细阅读院内公开询价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54944F53">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2、投标人在收到院内公开谈判文件后，若有疑问应以书面形式（包括书面文字、传真、电子邮件等）在规定时间前向招标人提出。招标人将所有问题集中后在统一答复所有投标人。</w:t>
      </w:r>
    </w:p>
    <w:p w14:paraId="43C64628">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3、明确标明“正本”或“副本”字样，一旦正本和副本有差异，以正本为准。所有投标资料均需A4纸打印，按照院内公开谈判文件规定的顺序装订。</w:t>
      </w:r>
    </w:p>
    <w:p w14:paraId="63282231">
      <w:pPr>
        <w:ind w:firstLine="562" w:firstLineChars="200"/>
        <w:rPr>
          <w:b/>
          <w:sz w:val="28"/>
          <w:szCs w:val="28"/>
        </w:rPr>
      </w:pPr>
      <w:bookmarkStart w:id="4" w:name="_Toc39744254"/>
      <w:r>
        <w:rPr>
          <w:rFonts w:hint="eastAsia"/>
          <w:b/>
          <w:sz w:val="28"/>
          <w:szCs w:val="28"/>
        </w:rPr>
        <w:t>（二）资格审查要求</w:t>
      </w:r>
      <w:bookmarkEnd w:id="4"/>
    </w:p>
    <w:p w14:paraId="2A85D96B">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szCs w:val="21"/>
        </w:rPr>
        <w:t>1、资格审查方式为资格后审。</w:t>
      </w:r>
    </w:p>
    <w:p w14:paraId="566FF66B">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投标人资质要求</w:t>
      </w:r>
    </w:p>
    <w:p w14:paraId="6D9A2065">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投标人要求</w:t>
      </w:r>
    </w:p>
    <w:p w14:paraId="1F93555F">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投标人必须是具有独立法人资格的公司</w:t>
      </w:r>
      <w:r>
        <w:rPr>
          <w:rFonts w:ascii="宋体" w:hAnsi="宋体"/>
          <w:szCs w:val="21"/>
        </w:rPr>
        <w:t>。</w:t>
      </w:r>
    </w:p>
    <w:p w14:paraId="47F9CA0A">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承担本项目能力和资格的有关资格证明材料</w:t>
      </w:r>
    </w:p>
    <w:p w14:paraId="7E13AA04">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由工商局签发的投标人工商营业执照副本复印件（加盖公章）；</w:t>
      </w:r>
    </w:p>
    <w:p w14:paraId="28FAA66C">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投标人各类资质证书材料复印件（加盖公章）</w:t>
      </w:r>
    </w:p>
    <w:p w14:paraId="0F24796E">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 xml:space="preserve">3) </w:t>
      </w:r>
      <w:r>
        <w:rPr>
          <w:rFonts w:hint="eastAsia" w:ascii="宋体" w:hAnsi="宋体"/>
          <w:szCs w:val="21"/>
        </w:rPr>
        <w:t>服务</w:t>
      </w:r>
      <w:r>
        <w:rPr>
          <w:rFonts w:ascii="宋体" w:hAnsi="宋体"/>
          <w:szCs w:val="21"/>
        </w:rPr>
        <w:t>能力：投标方必须具备实施项目</w:t>
      </w:r>
      <w:r>
        <w:rPr>
          <w:rFonts w:hint="eastAsia" w:ascii="宋体" w:hAnsi="宋体"/>
          <w:szCs w:val="21"/>
        </w:rPr>
        <w:t>开展</w:t>
      </w:r>
      <w:r>
        <w:rPr>
          <w:rFonts w:ascii="宋体" w:hAnsi="宋体"/>
          <w:szCs w:val="21"/>
        </w:rPr>
        <w:t>和提供后续服务的能力，</w:t>
      </w:r>
      <w:r>
        <w:rPr>
          <w:rFonts w:hint="eastAsia" w:ascii="宋体" w:hAnsi="宋体"/>
          <w:szCs w:val="21"/>
        </w:rPr>
        <w:t>需提供人员、设备配置清单及服务承诺（格式自拟）</w:t>
      </w:r>
      <w:r>
        <w:rPr>
          <w:rFonts w:ascii="宋体" w:hAnsi="宋体"/>
          <w:szCs w:val="21"/>
        </w:rPr>
        <w:t>。</w:t>
      </w:r>
    </w:p>
    <w:p w14:paraId="51E9DBE3">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4) 近三年以来完成</w:t>
      </w:r>
      <w:r>
        <w:rPr>
          <w:rFonts w:hint="eastAsia" w:ascii="宋体" w:hAnsi="宋体"/>
          <w:szCs w:val="21"/>
        </w:rPr>
        <w:t>相关</w:t>
      </w:r>
      <w:r>
        <w:rPr>
          <w:rFonts w:ascii="宋体" w:hAnsi="宋体"/>
          <w:szCs w:val="21"/>
        </w:rPr>
        <w:t>项目一览表；</w:t>
      </w:r>
      <w:r>
        <w:rPr>
          <w:rFonts w:hint="eastAsia" w:ascii="宋体" w:hAnsi="宋体"/>
          <w:szCs w:val="21"/>
        </w:rPr>
        <w:t xml:space="preserve"> </w:t>
      </w:r>
    </w:p>
    <w:p w14:paraId="091A1703">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5)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14:paraId="4ECD84C6">
      <w:pPr>
        <w:adjustRightInd w:val="0"/>
        <w:snapToGrid w:val="0"/>
        <w:spacing w:line="440" w:lineRule="exact"/>
        <w:ind w:left="424" w:leftChars="202" w:right="531" w:rightChars="253" w:firstLine="332" w:firstLineChars="118"/>
        <w:contextualSpacing/>
        <w:rPr>
          <w:b/>
          <w:sz w:val="28"/>
          <w:szCs w:val="28"/>
        </w:rPr>
      </w:pPr>
      <w:bookmarkStart w:id="5" w:name="_Toc39744256"/>
      <w:r>
        <w:rPr>
          <w:rFonts w:hint="eastAsia"/>
          <w:b/>
          <w:sz w:val="28"/>
          <w:szCs w:val="28"/>
        </w:rPr>
        <w:t>（三）投标文件要求</w:t>
      </w:r>
      <w:bookmarkEnd w:id="5"/>
    </w:p>
    <w:p w14:paraId="41A5EB84">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113A3264">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1.1资格审查文件，所有复印件需加盖公章：</w:t>
      </w:r>
    </w:p>
    <w:p w14:paraId="4B78905F">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（1）针对本项目院内公开询价的授权委托书；</w:t>
      </w:r>
    </w:p>
    <w:p w14:paraId="001FB0AC">
      <w:pPr>
        <w:numPr>
          <w:ilvl w:val="0"/>
          <w:numId w:val="4"/>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企业法人营业执照；</w:t>
      </w:r>
    </w:p>
    <w:p w14:paraId="30590430">
      <w:pPr>
        <w:numPr>
          <w:ilvl w:val="0"/>
          <w:numId w:val="4"/>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企业资质证书</w:t>
      </w:r>
      <w:r>
        <w:rPr>
          <w:rFonts w:hint="eastAsia" w:ascii="宋体"/>
          <w:szCs w:val="21"/>
        </w:rPr>
        <w:t>；</w:t>
      </w:r>
    </w:p>
    <w:p w14:paraId="674D9CB6">
      <w:pPr>
        <w:numPr>
          <w:ilvl w:val="0"/>
          <w:numId w:val="4"/>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由社保部门出具的投标人为授权委托人及院内公开谈判经办人缴纳的</w:t>
      </w:r>
      <w:r>
        <w:rPr>
          <w:rFonts w:hint="eastAsia" w:ascii="宋体" w:hAnsi="宋体"/>
          <w:b/>
          <w:szCs w:val="21"/>
        </w:rPr>
        <w:t>近三个月中任意一个月</w:t>
      </w:r>
      <w:r>
        <w:rPr>
          <w:rFonts w:hint="eastAsia" w:ascii="宋体" w:hAnsi="宋体"/>
          <w:szCs w:val="21"/>
        </w:rPr>
        <w:t>养老保险费用的证明材料；</w:t>
      </w:r>
    </w:p>
    <w:p w14:paraId="3DB1DC73">
      <w:pPr>
        <w:adjustRightInd w:val="0"/>
        <w:snapToGrid w:val="0"/>
        <w:spacing w:line="440" w:lineRule="exact"/>
        <w:ind w:left="422" w:leftChars="201" w:right="531" w:rightChars="253" w:firstLine="373" w:firstLineChars="177"/>
        <w:contextualSpacing/>
        <w:rPr>
          <w:rFonts w:ascii="宋体" w:hAnsi="宋体"/>
          <w:szCs w:val="21"/>
        </w:rPr>
      </w:pPr>
      <w:r>
        <w:rPr>
          <w:rFonts w:hint="eastAsia" w:ascii="宋体" w:hAnsi="宋体"/>
          <w:b/>
          <w:szCs w:val="21"/>
        </w:rPr>
        <w:t>1.2报价文件</w:t>
      </w:r>
    </w:p>
    <w:p w14:paraId="5F9EE7D0">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（1）投标函</w:t>
      </w:r>
    </w:p>
    <w:p w14:paraId="5FA85E06">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（2）授权委托书</w:t>
      </w:r>
    </w:p>
    <w:p w14:paraId="68D5692A">
      <w:pPr>
        <w:adjustRightInd w:val="0"/>
        <w:snapToGrid w:val="0"/>
        <w:spacing w:line="440" w:lineRule="exact"/>
        <w:ind w:left="422" w:leftChars="201" w:right="531" w:rightChars="253" w:firstLine="249" w:firstLineChars="119"/>
        <w:contextualSpacing/>
        <w:rPr>
          <w:rFonts w:ascii="宋体" w:hAnsi="宋体"/>
          <w:szCs w:val="21"/>
        </w:rPr>
      </w:pPr>
      <w:r>
        <w:rPr>
          <w:rFonts w:hint="eastAsia" w:ascii="宋体" w:hAnsi="宋体"/>
          <w:bCs/>
          <w:szCs w:val="21"/>
        </w:rPr>
        <w:t>（3）</w:t>
      </w:r>
      <w:r>
        <w:rPr>
          <w:rFonts w:hint="eastAsia" w:ascii="宋体" w:hAnsi="宋体"/>
          <w:szCs w:val="21"/>
        </w:rPr>
        <w:t>投标报价</w:t>
      </w:r>
    </w:p>
    <w:p w14:paraId="0202B308">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以上投标文件组成及报价要求将作为否决投标单位标书的重要条件。</w:t>
      </w:r>
    </w:p>
    <w:p w14:paraId="462E865E">
      <w:pPr>
        <w:ind w:firstLine="562" w:firstLineChars="200"/>
        <w:rPr>
          <w:b/>
          <w:sz w:val="28"/>
          <w:szCs w:val="28"/>
        </w:rPr>
      </w:pPr>
      <w:bookmarkStart w:id="6" w:name="_Toc39744257"/>
      <w:r>
        <w:rPr>
          <w:rFonts w:hint="eastAsia"/>
          <w:b/>
          <w:sz w:val="28"/>
          <w:szCs w:val="28"/>
        </w:rPr>
        <w:t>（四）开标、</w:t>
      </w:r>
      <w:bookmarkEnd w:id="6"/>
      <w:r>
        <w:rPr>
          <w:rFonts w:hint="eastAsia"/>
          <w:b/>
          <w:sz w:val="28"/>
          <w:szCs w:val="28"/>
        </w:rPr>
        <w:t>评标</w:t>
      </w:r>
    </w:p>
    <w:p w14:paraId="33890BB5">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4324B3F2">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7264B0ED">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（1）投标文件不响应院内公开谈判文件要求的；</w:t>
      </w:r>
    </w:p>
    <w:p w14:paraId="2070FE78">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（2）投标函未盖投标人的企业及企业法定代表人印章并签字的，或者企业法定代表人委托代理人没有合法、有效的委托书（原件）及委托代理人印章并签字的；</w:t>
      </w:r>
    </w:p>
    <w:p w14:paraId="0EC87C6F">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（3）投标文件的关键内容模糊、无法辨认的；</w:t>
      </w:r>
    </w:p>
    <w:p w14:paraId="2593C795">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3、评标小组先评审技术文件，后评审报价文件。</w:t>
      </w:r>
    </w:p>
    <w:p w14:paraId="54251162">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4、严格按照扬州大学采购管理暂行办法，组成项目评标小组。严格按招标文件，公平、公正、科学、严谨地对投标文件进行综合评定。</w:t>
      </w:r>
    </w:p>
    <w:p w14:paraId="1A002484">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5、院内公开询价程序：</w:t>
      </w:r>
    </w:p>
    <w:p w14:paraId="56CF5B11">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（1）资格审查；（2）院内谈判；（3）二次报价；（4）综合评分。</w:t>
      </w:r>
    </w:p>
    <w:p w14:paraId="50B66FD9">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6、定标</w:t>
      </w:r>
    </w:p>
    <w:p w14:paraId="0C382D02">
      <w:pPr>
        <w:wordWrap w:val="0"/>
        <w:spacing w:line="440" w:lineRule="exact"/>
        <w:ind w:left="424" w:leftChars="202" w:right="531" w:rightChars="253" w:firstLine="361" w:firstLineChars="172"/>
        <w:contextualSpacing/>
        <w:jc w:val="left"/>
        <w:rPr>
          <w:rFonts w:asciiTheme="minorEastAsia" w:hAnsiTheme="minorEastAsia" w:eastAsiaTheme="minorEastAsia"/>
          <w:szCs w:val="21"/>
        </w:rPr>
      </w:pPr>
      <w:r>
        <w:rPr>
          <w:rFonts w:hint="eastAsia" w:asciiTheme="minorEastAsia" w:hAnsiTheme="minorEastAsia" w:eastAsiaTheme="minorEastAsia"/>
          <w:szCs w:val="21"/>
        </w:rPr>
        <w:t>符合部门要求的基础上，评分排名第一的单位中标。</w:t>
      </w:r>
      <w:bookmarkStart w:id="7" w:name="_Toc39744258"/>
    </w:p>
    <w:p w14:paraId="311A3E66">
      <w:pPr>
        <w:pStyle w:val="28"/>
      </w:pPr>
    </w:p>
    <w:p w14:paraId="28ECFE70">
      <w:pPr>
        <w:pStyle w:val="28"/>
      </w:pPr>
    </w:p>
    <w:p w14:paraId="79007ACD">
      <w:pPr>
        <w:pStyle w:val="28"/>
      </w:pPr>
    </w:p>
    <w:p w14:paraId="62BAF417">
      <w:pPr>
        <w:pStyle w:val="28"/>
        <w:rPr>
          <w:rFonts w:hint="eastAsia"/>
        </w:rPr>
      </w:pPr>
    </w:p>
    <w:p w14:paraId="6D4E188F">
      <w:pPr>
        <w:pStyle w:val="28"/>
        <w:rPr>
          <w:rFonts w:hint="eastAsia"/>
        </w:rPr>
      </w:pPr>
    </w:p>
    <w:p w14:paraId="6AADAE1D">
      <w:pPr>
        <w:pStyle w:val="28"/>
      </w:pPr>
    </w:p>
    <w:p w14:paraId="77DBC378">
      <w:pPr>
        <w:wordWrap w:val="0"/>
        <w:spacing w:line="440" w:lineRule="exact"/>
        <w:ind w:left="424" w:leftChars="202" w:right="531" w:rightChars="253" w:firstLine="553" w:firstLineChars="172"/>
        <w:contextualSpacing/>
        <w:jc w:val="center"/>
        <w:rPr>
          <w:rFonts w:asciiTheme="minorEastAsia" w:hAnsiTheme="minorEastAsia" w:eastAsiaTheme="minorEastAsia"/>
          <w:b/>
          <w:sz w:val="32"/>
          <w:szCs w:val="32"/>
        </w:rPr>
      </w:pPr>
      <w:r>
        <w:rPr>
          <w:rFonts w:hint="eastAsia"/>
          <w:b/>
          <w:sz w:val="32"/>
          <w:szCs w:val="32"/>
        </w:rPr>
        <w:t>四、投标文件格式及附件要求</w:t>
      </w:r>
      <w:bookmarkEnd w:id="7"/>
    </w:p>
    <w:p w14:paraId="7A01F51A">
      <w:pPr>
        <w:jc w:val="center"/>
        <w:rPr>
          <w:b/>
          <w:sz w:val="36"/>
          <w:szCs w:val="36"/>
        </w:rPr>
      </w:pPr>
    </w:p>
    <w:p w14:paraId="3EEC4884">
      <w:pPr>
        <w:jc w:val="center"/>
        <w:rPr>
          <w:rFonts w:ascii="宋体" w:hAnsi="宋体"/>
          <w:b/>
          <w:sz w:val="36"/>
          <w:szCs w:val="36"/>
          <w:u w:val="single"/>
        </w:rPr>
      </w:pPr>
      <w:r>
        <w:rPr>
          <w:rFonts w:hint="eastAsia"/>
          <w:b/>
          <w:sz w:val="36"/>
          <w:szCs w:val="36"/>
        </w:rPr>
        <w:t>目录</w:t>
      </w:r>
    </w:p>
    <w:p w14:paraId="0CEB802C">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（一）资格审查</w:t>
      </w:r>
    </w:p>
    <w:p w14:paraId="29D5D419">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1、针对本项目的授权委托书原件；</w:t>
      </w:r>
    </w:p>
    <w:p w14:paraId="45388120">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2、企业法人营业执照；</w:t>
      </w:r>
    </w:p>
    <w:p w14:paraId="08A88BAB">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3、企业资质证书；</w:t>
      </w:r>
    </w:p>
    <w:p w14:paraId="4668781F">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4、由社保部门出具的投标人为经办人及投标报名项目负责人缴纳的近三个月养老保险费用的证明材料（任意一个月）；</w:t>
      </w:r>
    </w:p>
    <w:p w14:paraId="628922F5">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14:paraId="4B6CA909">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lang w:val="en-US" w:eastAsia="zh-CN"/>
        </w:rPr>
        <w:t>6、2024年度或2025</w:t>
      </w:r>
      <w:r>
        <w:rPr>
          <w:rFonts w:hint="eastAsia" w:ascii="宋体" w:hAnsi="宋体"/>
          <w:snapToGrid w:val="0"/>
          <w:sz w:val="24"/>
        </w:rPr>
        <w:t>年度的财务</w:t>
      </w:r>
      <w:r>
        <w:rPr>
          <w:rFonts w:hint="eastAsia" w:ascii="宋体" w:hAnsi="宋体"/>
          <w:snapToGrid w:val="0"/>
          <w:sz w:val="24"/>
          <w:lang w:val="en-US" w:eastAsia="zh-CN"/>
        </w:rPr>
        <w:t>报告</w:t>
      </w:r>
      <w:r>
        <w:rPr>
          <w:rFonts w:hint="eastAsia" w:ascii="宋体" w:hAnsi="宋体"/>
          <w:snapToGrid w:val="0"/>
          <w:sz w:val="24"/>
        </w:rPr>
        <w:t>情况（成立不满一年不需提供）</w:t>
      </w:r>
    </w:p>
    <w:p w14:paraId="76BA3B1B">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（二）报价文件</w:t>
      </w:r>
    </w:p>
    <w:p w14:paraId="132E9F53">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1、投标函</w:t>
      </w:r>
    </w:p>
    <w:p w14:paraId="3626B002">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2、授权委托书</w:t>
      </w:r>
    </w:p>
    <w:p w14:paraId="3DD6178F">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3、投标报价</w:t>
      </w:r>
    </w:p>
    <w:p w14:paraId="68A3FC6E">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4、供应商廉洁自律承诺书</w:t>
      </w:r>
    </w:p>
    <w:p w14:paraId="2103FC3F">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（三）其他（</w:t>
      </w:r>
      <w:r>
        <w:rPr>
          <w:rFonts w:hint="eastAsia" w:ascii="宋体" w:hAnsi="宋体"/>
          <w:b/>
          <w:bCs/>
          <w:snapToGrid w:val="0"/>
          <w:sz w:val="24"/>
        </w:rPr>
        <w:t>格式自拟</w:t>
      </w:r>
      <w:r>
        <w:rPr>
          <w:rFonts w:hint="eastAsia" w:ascii="宋体" w:hAnsi="宋体"/>
          <w:snapToGrid w:val="0"/>
          <w:sz w:val="24"/>
        </w:rPr>
        <w:t>）</w:t>
      </w:r>
    </w:p>
    <w:p w14:paraId="0061F6C7">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1、拟投入人员、设备配备清单</w:t>
      </w:r>
    </w:p>
    <w:p w14:paraId="60ABEC7D">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2、服务承诺书</w:t>
      </w:r>
    </w:p>
    <w:p w14:paraId="4D7DA91B">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3、相关项目合同</w:t>
      </w:r>
    </w:p>
    <w:p w14:paraId="0640ACC7">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4、服务方案</w:t>
      </w:r>
    </w:p>
    <w:p w14:paraId="1186C75F">
      <w:pPr>
        <w:pStyle w:val="28"/>
      </w:pPr>
    </w:p>
    <w:p w14:paraId="382D2695">
      <w:pPr>
        <w:pStyle w:val="28"/>
      </w:pPr>
    </w:p>
    <w:p w14:paraId="2B8CFB05">
      <w:pPr>
        <w:pStyle w:val="28"/>
      </w:pPr>
    </w:p>
    <w:p w14:paraId="7F84E354">
      <w:pPr>
        <w:adjustRightInd w:val="0"/>
        <w:snapToGrid w:val="0"/>
        <w:spacing w:line="440" w:lineRule="exact"/>
        <w:ind w:left="424" w:leftChars="202" w:firstLine="371" w:firstLineChars="177"/>
        <w:contextualSpacing/>
        <w:rPr>
          <w:rFonts w:ascii="宋体" w:hAnsi="宋体"/>
          <w:bCs/>
          <w:szCs w:val="21"/>
        </w:rPr>
      </w:pPr>
    </w:p>
    <w:p w14:paraId="1AF2F824">
      <w:pPr>
        <w:tabs>
          <w:tab w:val="left" w:pos="1300"/>
          <w:tab w:val="left" w:pos="1600"/>
        </w:tabs>
        <w:spacing w:line="560" w:lineRule="exact"/>
        <w:ind w:firstLine="420" w:firstLineChars="200"/>
        <w:rPr>
          <w:rFonts w:ascii="宋体" w:hAnsi="宋体"/>
          <w:bCs/>
          <w:szCs w:val="21"/>
        </w:rPr>
      </w:pPr>
    </w:p>
    <w:p w14:paraId="1894CEE2">
      <w:pPr>
        <w:pStyle w:val="10"/>
        <w:rPr>
          <w:rFonts w:hint="eastAsia" w:ascii="黑体" w:hAnsi="Times New Roman" w:eastAsia="黑体"/>
          <w:b/>
          <w:sz w:val="36"/>
          <w:lang w:eastAsia="zh-CN"/>
        </w:rPr>
      </w:pPr>
    </w:p>
    <w:p w14:paraId="34663169">
      <w:pPr>
        <w:pStyle w:val="10"/>
        <w:rPr>
          <w:rFonts w:hint="eastAsia" w:ascii="黑体" w:hAnsi="Times New Roman" w:eastAsia="黑体"/>
          <w:b/>
          <w:sz w:val="36"/>
          <w:lang w:eastAsia="zh-CN"/>
        </w:rPr>
      </w:pPr>
    </w:p>
    <w:p w14:paraId="41C10496">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 xml:space="preserve">  授权委书</w:t>
      </w:r>
    </w:p>
    <w:p w14:paraId="09DA13A3">
      <w:pPr>
        <w:pStyle w:val="10"/>
        <w:jc w:val="center"/>
        <w:rPr>
          <w:rFonts w:asciiTheme="minorEastAsia" w:hAnsiTheme="minorEastAsia" w:eastAsiaTheme="minorEastAsia"/>
          <w:b/>
          <w:sz w:val="24"/>
          <w:szCs w:val="24"/>
        </w:rPr>
      </w:pPr>
    </w:p>
    <w:p w14:paraId="60DA0365">
      <w:pPr>
        <w:pStyle w:val="10"/>
        <w:spacing w:line="480" w:lineRule="auto"/>
        <w:ind w:firstLine="42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本授权委托书声明：我</w:t>
      </w:r>
      <w:r>
        <w:rPr>
          <w:rFonts w:asciiTheme="minorEastAsia" w:hAnsiTheme="minorEastAsia" w:eastAsiaTheme="minorEastAsia"/>
          <w:sz w:val="24"/>
          <w:szCs w:val="24"/>
        </w:rPr>
        <w:t>(</w:t>
      </w:r>
      <w:r>
        <w:rPr>
          <w:rFonts w:hint="eastAsia" w:asciiTheme="minorEastAsia" w:hAnsiTheme="minorEastAsia" w:eastAsiaTheme="minorEastAsia"/>
          <w:sz w:val="24"/>
          <w:szCs w:val="24"/>
        </w:rPr>
        <w:t>姓名</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系</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投标人名称</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的法定代表人，现授权委托我单位的(姓名)          为我公司代理人。代理人在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项目院内公开谈判活动中所签署的一切文件和处理与之有关的一切事务，我均予以承认。</w:t>
      </w:r>
    </w:p>
    <w:p w14:paraId="5BAF690E">
      <w:pPr>
        <w:pStyle w:val="10"/>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54833C56">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p>
    <w:p w14:paraId="682691CC">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w:t>
      </w:r>
    </w:p>
    <w:p w14:paraId="7FE6143D">
      <w:pPr>
        <w:pStyle w:val="10"/>
        <w:spacing w:line="480" w:lineRule="auto"/>
        <w:ind w:firstLine="360" w:firstLineChars="150"/>
        <w:rPr>
          <w:rFonts w:asciiTheme="minorEastAsia" w:hAnsiTheme="minorEastAsia" w:eastAsiaTheme="minorEastAsia"/>
          <w:sz w:val="24"/>
          <w:szCs w:val="24"/>
        </w:rPr>
      </w:pPr>
    </w:p>
    <w:p w14:paraId="402ABD35">
      <w:pPr>
        <w:pStyle w:val="10"/>
        <w:spacing w:line="480" w:lineRule="auto"/>
        <w:ind w:firstLine="6600" w:firstLineChars="2750"/>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3FC87B1F">
      <w:pPr>
        <w:pStyle w:val="10"/>
        <w:spacing w:line="480" w:lineRule="auto"/>
        <w:ind w:firstLine="420"/>
        <w:rPr>
          <w:rFonts w:asciiTheme="minorEastAsia" w:hAnsiTheme="minorEastAsia" w:eastAsiaTheme="minorEastAsia"/>
          <w:sz w:val="24"/>
          <w:szCs w:val="24"/>
        </w:rPr>
      </w:pPr>
    </w:p>
    <w:p w14:paraId="6027865C">
      <w:pPr>
        <w:pStyle w:val="10"/>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代理人姓名：签字：</w:t>
      </w:r>
    </w:p>
    <w:p w14:paraId="52CA5CF9">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身份证复印件：</w:t>
      </w:r>
    </w:p>
    <w:p w14:paraId="1E99FD65">
      <w:pPr>
        <w:spacing w:line="400" w:lineRule="exact"/>
        <w:ind w:firstLine="480" w:firstLineChars="200"/>
        <w:rPr>
          <w:rFonts w:ascii="宋体" w:hAnsi="宋体"/>
          <w:sz w:val="24"/>
        </w:rPr>
      </w:pPr>
    </w:p>
    <w:p w14:paraId="2068D625">
      <w:pPr>
        <w:spacing w:line="400" w:lineRule="exact"/>
        <w:rPr>
          <w:rFonts w:ascii="宋体" w:hAnsi="宋体"/>
          <w:sz w:val="28"/>
        </w:rPr>
      </w:pPr>
    </w:p>
    <w:p w14:paraId="0BB77042">
      <w:pPr>
        <w:spacing w:line="400" w:lineRule="exact"/>
        <w:rPr>
          <w:rFonts w:ascii="宋体" w:hAnsi="宋体"/>
          <w:sz w:val="28"/>
        </w:rPr>
      </w:pPr>
    </w:p>
    <w:p w14:paraId="62CFB42E">
      <w:pPr>
        <w:spacing w:line="500" w:lineRule="exact"/>
        <w:jc w:val="center"/>
        <w:rPr>
          <w:rFonts w:ascii="黑体" w:eastAsia="黑体"/>
          <w:b/>
          <w:bCs/>
          <w:sz w:val="36"/>
          <w:szCs w:val="36"/>
        </w:rPr>
      </w:pPr>
    </w:p>
    <w:p w14:paraId="24CB322D">
      <w:pPr>
        <w:pStyle w:val="11"/>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2BBE9C90">
      <w:pPr>
        <w:spacing w:line="540" w:lineRule="exact"/>
      </w:pPr>
    </w:p>
    <w:p w14:paraId="63543AC7">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3372BE38">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rPr>
        <w:t xml:space="preserve">                        </w:t>
      </w:r>
      <w:r>
        <w:rPr>
          <w:rFonts w:hint="eastAsia" w:ascii="宋体" w:hAnsi="宋体"/>
          <w:sz w:val="24"/>
        </w:rPr>
        <w:t>项目的院内公开谈判，并接受对我公司的资格审查，我公司承诺：根据贵单位提出的资格审查合格条件标准和要求，本公司没有因骗取中标或者严重违约以及发生重大质量、安全生产事故等问题，被有关部门暂停投标资格并在暂停期内。</w:t>
      </w:r>
    </w:p>
    <w:p w14:paraId="15629499">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本公司递交的资格审查申请书中的内容没有隐瞒、虚假、伪造等弄虚作假行为。</w:t>
      </w:r>
    </w:p>
    <w:p w14:paraId="29210701">
      <w:pPr>
        <w:pStyle w:val="11"/>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4D0337AE">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2A3171F5">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66A035F5">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75BE844C">
      <w:pPr>
        <w:adjustRightInd w:val="0"/>
        <w:snapToGrid w:val="0"/>
        <w:spacing w:line="700" w:lineRule="exact"/>
        <w:ind w:left="424" w:leftChars="202" w:right="531" w:rightChars="253" w:firstLine="424" w:firstLineChars="177"/>
        <w:contextualSpacing/>
        <w:rPr>
          <w:rFonts w:ascii="宋体" w:hAnsi="宋体"/>
          <w:sz w:val="24"/>
        </w:rPr>
      </w:pPr>
    </w:p>
    <w:p w14:paraId="7B6CD8CF">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2BBCAADC">
      <w:pPr>
        <w:pStyle w:val="11"/>
        <w:widowControl/>
        <w:spacing w:line="540" w:lineRule="exact"/>
        <w:ind w:left="5250" w:leftChars="0"/>
        <w:jc w:val="center"/>
        <w:rPr>
          <w:rFonts w:hAnsi="宋体"/>
          <w:szCs w:val="32"/>
        </w:rPr>
      </w:pPr>
    </w:p>
    <w:p w14:paraId="2B5DE0F3">
      <w:pPr>
        <w:pStyle w:val="11"/>
        <w:widowControl/>
        <w:spacing w:line="540" w:lineRule="exact"/>
        <w:ind w:left="5250" w:leftChars="0"/>
        <w:jc w:val="center"/>
        <w:rPr>
          <w:rFonts w:ascii="宋体" w:hAnsi="宋体" w:eastAsia="宋体"/>
          <w:szCs w:val="32"/>
        </w:rPr>
      </w:pPr>
    </w:p>
    <w:p w14:paraId="33193F58">
      <w:pPr>
        <w:pStyle w:val="11"/>
        <w:widowControl/>
        <w:spacing w:line="540" w:lineRule="exact"/>
        <w:ind w:left="5250" w:leftChars="0"/>
        <w:jc w:val="center"/>
        <w:rPr>
          <w:rFonts w:ascii="宋体" w:hAnsi="宋体" w:eastAsia="宋体"/>
          <w:szCs w:val="32"/>
        </w:rPr>
      </w:pPr>
    </w:p>
    <w:p w14:paraId="734FF343">
      <w:pPr>
        <w:pStyle w:val="11"/>
        <w:widowControl/>
        <w:spacing w:line="540" w:lineRule="exact"/>
        <w:ind w:left="5250" w:leftChars="0"/>
        <w:jc w:val="center"/>
        <w:rPr>
          <w:rFonts w:ascii="宋体" w:hAnsi="宋体" w:eastAsia="宋体"/>
          <w:szCs w:val="32"/>
        </w:rPr>
      </w:pPr>
    </w:p>
    <w:p w14:paraId="15340C21">
      <w:pPr>
        <w:pStyle w:val="11"/>
        <w:widowControl/>
        <w:spacing w:line="540" w:lineRule="exact"/>
        <w:ind w:left="5250" w:leftChars="0"/>
        <w:jc w:val="center"/>
        <w:rPr>
          <w:rFonts w:ascii="宋体" w:hAnsi="宋体" w:eastAsia="宋体"/>
          <w:szCs w:val="32"/>
        </w:rPr>
      </w:pPr>
    </w:p>
    <w:p w14:paraId="2ACA7F13">
      <w:pPr>
        <w:pStyle w:val="11"/>
        <w:widowControl/>
        <w:spacing w:line="540" w:lineRule="exact"/>
        <w:ind w:left="5250" w:leftChars="0"/>
        <w:jc w:val="center"/>
        <w:rPr>
          <w:rFonts w:ascii="宋体" w:hAnsi="宋体" w:eastAsia="宋体"/>
          <w:szCs w:val="32"/>
        </w:rPr>
      </w:pPr>
    </w:p>
    <w:p w14:paraId="11DFA750">
      <w:pPr>
        <w:rPr>
          <w:rFonts w:ascii="宋体" w:hAnsi="宋体"/>
          <w:szCs w:val="32"/>
        </w:rPr>
      </w:pPr>
      <w:r>
        <w:rPr>
          <w:rFonts w:hint="eastAsia" w:ascii="宋体" w:hAnsi="宋体"/>
          <w:szCs w:val="32"/>
        </w:rPr>
        <w:br w:type="page"/>
      </w:r>
    </w:p>
    <w:p w14:paraId="697F09FB">
      <w:pPr>
        <w:spacing w:line="360" w:lineRule="auto"/>
        <w:ind w:firstLine="3975" w:firstLineChars="1100"/>
        <w:rPr>
          <w:rFonts w:ascii="宋体" w:hAnsi="宋体"/>
          <w:b/>
          <w:sz w:val="36"/>
          <w:szCs w:val="36"/>
        </w:rPr>
      </w:pPr>
      <w:r>
        <w:rPr>
          <w:rFonts w:hint="eastAsia" w:ascii="宋体" w:hAnsi="宋体"/>
          <w:b/>
          <w:sz w:val="36"/>
          <w:szCs w:val="36"/>
        </w:rPr>
        <w:t>投标函</w:t>
      </w:r>
    </w:p>
    <w:p w14:paraId="1B7AEEFA">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2C859AA5">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根据已收到贵方的</w:t>
      </w:r>
      <w:r>
        <w:rPr>
          <w:rFonts w:hint="eastAsia" w:ascii="宋体" w:hAnsi="宋体"/>
          <w:b/>
          <w:bCs/>
          <w:sz w:val="24"/>
          <w:u w:val="single"/>
        </w:rPr>
        <w:t xml:space="preserve">                                </w:t>
      </w:r>
      <w:r>
        <w:rPr>
          <w:rFonts w:hint="eastAsia" w:ascii="宋体" w:hAnsi="宋体"/>
          <w:bCs/>
          <w:sz w:val="24"/>
        </w:rPr>
        <w:t>项目的院内公开谈判文件，遵照扬州大学附属医院采购管理暂行办法，我单位经研究上述院内公开询价文件的投标须知、合同条件、技术规范、和其他有关文件后，我方投标报价为</w:t>
      </w:r>
    </w:p>
    <w:p w14:paraId="2361D49B">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 xml:space="preserve"> </w:t>
      </w:r>
      <w:r>
        <w:rPr>
          <w:rFonts w:hint="eastAsia" w:ascii="宋体" w:hAnsi="宋体"/>
          <w:bCs/>
          <w:sz w:val="24"/>
          <w:u w:val="single"/>
        </w:rPr>
        <w:t xml:space="preserve">       万元</w:t>
      </w:r>
      <w:r>
        <w:rPr>
          <w:rFonts w:hint="eastAsia" w:ascii="宋体" w:hAnsi="宋体"/>
          <w:bCs/>
          <w:sz w:val="24"/>
        </w:rPr>
        <w:t>。</w:t>
      </w:r>
    </w:p>
    <w:p w14:paraId="0953735B">
      <w:pPr>
        <w:spacing w:line="360" w:lineRule="auto"/>
        <w:rPr>
          <w:rFonts w:ascii="宋体" w:hAnsi="宋体"/>
          <w:bCs/>
          <w:sz w:val="24"/>
        </w:rPr>
      </w:pPr>
    </w:p>
    <w:p w14:paraId="0135C4B2">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23F3943A">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634BA940">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p>
    <w:p w14:paraId="7F702CA6">
      <w:pPr>
        <w:jc w:val="center"/>
        <w:rPr>
          <w:rFonts w:ascii="宋体" w:hAnsi="宋体"/>
          <w:b/>
          <w:sz w:val="24"/>
        </w:rPr>
      </w:pPr>
      <w:r>
        <w:rPr>
          <w:rFonts w:hint="eastAsia" w:ascii="宋体" w:hAnsi="宋体"/>
          <w:sz w:val="24"/>
        </w:rPr>
        <w:br w:type="page"/>
      </w:r>
    </w:p>
    <w:p w14:paraId="6956089B">
      <w:pPr>
        <w:jc w:val="center"/>
        <w:rPr>
          <w:rFonts w:ascii="宋体" w:hAnsi="宋体"/>
          <w:b/>
          <w:sz w:val="36"/>
          <w:szCs w:val="36"/>
        </w:rPr>
      </w:pPr>
      <w:r>
        <w:rPr>
          <w:rFonts w:hint="eastAsia" w:ascii="宋体" w:hAnsi="宋体"/>
          <w:b/>
          <w:sz w:val="36"/>
          <w:szCs w:val="36"/>
        </w:rPr>
        <w:t>投标报价</w:t>
      </w:r>
    </w:p>
    <w:p w14:paraId="4EB51B08">
      <w:pPr>
        <w:jc w:val="center"/>
        <w:rPr>
          <w:rFonts w:ascii="宋体" w:hAnsi="宋体"/>
          <w:b/>
          <w:sz w:val="24"/>
        </w:rPr>
      </w:pPr>
    </w:p>
    <w:tbl>
      <w:tblPr>
        <w:tblStyle w:val="22"/>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2"/>
        <w:gridCol w:w="2890"/>
        <w:gridCol w:w="2550"/>
      </w:tblGrid>
      <w:tr w14:paraId="2205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35DE2CAC">
            <w:pPr>
              <w:jc w:val="center"/>
              <w:rPr>
                <w:rFonts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14B6B5AE">
            <w:pPr>
              <w:jc w:val="center"/>
              <w:rPr>
                <w:rFonts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70EAB8A3">
            <w:pPr>
              <w:jc w:val="center"/>
              <w:rPr>
                <w:rFonts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1E1830FF">
            <w:pPr>
              <w:jc w:val="center"/>
              <w:rPr>
                <w:rFonts w:ascii="宋体" w:hAnsi="宋体"/>
                <w:b/>
                <w:sz w:val="28"/>
                <w:szCs w:val="28"/>
              </w:rPr>
            </w:pPr>
            <w:r>
              <w:rPr>
                <w:rFonts w:hint="eastAsia" w:ascii="宋体" w:hAnsi="宋体"/>
                <w:b/>
                <w:sz w:val="28"/>
                <w:szCs w:val="28"/>
              </w:rPr>
              <w:t>报价</w:t>
            </w:r>
          </w:p>
        </w:tc>
      </w:tr>
      <w:tr w14:paraId="4477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517E4F8">
            <w:pPr>
              <w:jc w:val="center"/>
              <w:rPr>
                <w:rFonts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6B761036">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B608701">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7BED30A1">
            <w:pPr>
              <w:jc w:val="center"/>
              <w:rPr>
                <w:rFonts w:ascii="宋体" w:hAnsi="宋体"/>
                <w:sz w:val="24"/>
              </w:rPr>
            </w:pPr>
          </w:p>
        </w:tc>
      </w:tr>
      <w:tr w14:paraId="560A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EF0955A">
            <w:pPr>
              <w:jc w:val="center"/>
              <w:rPr>
                <w:rFonts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62EFD930">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2254B5F">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BBEF22A">
            <w:pPr>
              <w:jc w:val="center"/>
              <w:rPr>
                <w:rFonts w:ascii="宋体" w:hAnsi="宋体"/>
                <w:sz w:val="24"/>
              </w:rPr>
            </w:pPr>
          </w:p>
        </w:tc>
      </w:tr>
      <w:tr w14:paraId="5429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9055992">
            <w:pPr>
              <w:jc w:val="center"/>
              <w:rPr>
                <w:rFonts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00DE27C3">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9D4AE43">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5F8BD45">
            <w:pPr>
              <w:jc w:val="center"/>
              <w:rPr>
                <w:rFonts w:ascii="宋体" w:hAnsi="宋体"/>
                <w:sz w:val="24"/>
              </w:rPr>
            </w:pPr>
          </w:p>
        </w:tc>
      </w:tr>
      <w:tr w14:paraId="58DF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8DA803E">
            <w:pPr>
              <w:jc w:val="center"/>
              <w:rPr>
                <w:rFonts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1F649CD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6BF8B72">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9EEF407">
            <w:pPr>
              <w:jc w:val="left"/>
              <w:rPr>
                <w:rFonts w:ascii="宋体" w:hAnsi="宋体"/>
                <w:sz w:val="24"/>
              </w:rPr>
            </w:pPr>
          </w:p>
        </w:tc>
      </w:tr>
      <w:tr w14:paraId="63B3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5FE9E7F">
            <w:pPr>
              <w:jc w:val="center"/>
              <w:rPr>
                <w:rFonts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3EC46CC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A856C8A">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C71B387">
            <w:pPr>
              <w:jc w:val="left"/>
              <w:rPr>
                <w:rFonts w:ascii="宋体" w:hAnsi="宋体"/>
                <w:sz w:val="24"/>
              </w:rPr>
            </w:pPr>
          </w:p>
        </w:tc>
      </w:tr>
      <w:tr w14:paraId="6621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E5322F5">
            <w:pPr>
              <w:jc w:val="center"/>
              <w:rPr>
                <w:rFonts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411373E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53ADD8C">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DBBFB9B">
            <w:pPr>
              <w:jc w:val="left"/>
              <w:rPr>
                <w:rFonts w:ascii="宋体" w:hAnsi="宋体"/>
                <w:sz w:val="24"/>
              </w:rPr>
            </w:pPr>
          </w:p>
        </w:tc>
      </w:tr>
      <w:tr w14:paraId="72E3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32FCD0F">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26CF4515">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6A48C1D">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76AA84E2">
            <w:pPr>
              <w:jc w:val="left"/>
              <w:rPr>
                <w:rFonts w:ascii="宋体" w:hAnsi="宋体"/>
                <w:sz w:val="24"/>
              </w:rPr>
            </w:pPr>
          </w:p>
        </w:tc>
      </w:tr>
      <w:tr w14:paraId="4725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E7B066E">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3BFDEE9F">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DCFFBB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30CCE890">
            <w:pPr>
              <w:jc w:val="center"/>
              <w:rPr>
                <w:rFonts w:ascii="宋体" w:hAnsi="宋体"/>
                <w:sz w:val="24"/>
              </w:rPr>
            </w:pPr>
          </w:p>
        </w:tc>
      </w:tr>
      <w:tr w14:paraId="103E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26BA17C">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DAACC2B">
            <w:pP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4834363">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DE32514">
            <w:pPr>
              <w:jc w:val="center"/>
              <w:rPr>
                <w:rFonts w:ascii="宋体" w:hAnsi="宋体"/>
                <w:sz w:val="24"/>
              </w:rPr>
            </w:pPr>
          </w:p>
        </w:tc>
      </w:tr>
      <w:tr w14:paraId="1D5D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C31AD9A">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447C2BB5">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77CDE4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24036D9">
            <w:pPr>
              <w:jc w:val="center"/>
              <w:rPr>
                <w:rFonts w:ascii="宋体" w:hAnsi="宋体"/>
                <w:sz w:val="24"/>
              </w:rPr>
            </w:pPr>
          </w:p>
        </w:tc>
      </w:tr>
      <w:tr w14:paraId="437F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AC54BBB">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69E821FD">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5081BB7">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7C2BA57">
            <w:pPr>
              <w:jc w:val="center"/>
              <w:rPr>
                <w:rFonts w:ascii="宋体" w:hAnsi="宋体"/>
                <w:sz w:val="24"/>
              </w:rPr>
            </w:pPr>
          </w:p>
        </w:tc>
      </w:tr>
      <w:tr w14:paraId="0725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ADED33F">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2D4B385E">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515A97E">
            <w:pPr>
              <w:jc w:val="center"/>
              <w:rPr>
                <w:rFonts w:ascii="宋体" w:hAnsi="宋体"/>
                <w:sz w:val="24"/>
              </w:rPr>
            </w:pPr>
          </w:p>
          <w:p w14:paraId="3C179454">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6CF5227B">
            <w:pPr>
              <w:jc w:val="center"/>
              <w:rPr>
                <w:rFonts w:ascii="宋体" w:hAnsi="宋体"/>
                <w:sz w:val="24"/>
              </w:rPr>
            </w:pPr>
          </w:p>
        </w:tc>
      </w:tr>
      <w:tr w14:paraId="4DFB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19347A3">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547BBAE7">
            <w:pPr>
              <w:jc w:val="center"/>
              <w:rPr>
                <w:rFonts w:ascii="宋体" w:hAnsi="宋体"/>
                <w:sz w:val="24"/>
              </w:rPr>
            </w:pPr>
            <w:r>
              <w:rPr>
                <w:rFonts w:hint="eastAsia" w:ascii="宋体" w:hAnsi="宋体"/>
                <w:sz w:val="24"/>
              </w:rPr>
              <w:t>其他条件</w:t>
            </w: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67B9A3B2">
            <w:pPr>
              <w:jc w:val="center"/>
              <w:rPr>
                <w:rFonts w:ascii="宋体" w:hAnsi="宋体"/>
                <w:b/>
                <w:sz w:val="24"/>
              </w:rPr>
            </w:pPr>
          </w:p>
        </w:tc>
      </w:tr>
    </w:tbl>
    <w:p w14:paraId="1DCCCD7C">
      <w:pPr>
        <w:jc w:val="center"/>
        <w:rPr>
          <w:rFonts w:ascii="宋体" w:hAnsi="宋体"/>
          <w:b/>
          <w:sz w:val="24"/>
        </w:rPr>
      </w:pPr>
    </w:p>
    <w:p w14:paraId="2F2B3B3C">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投标人（盖章）：</w:t>
      </w:r>
    </w:p>
    <w:p w14:paraId="671F507F">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08A06342">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日  期：</w:t>
      </w:r>
    </w:p>
    <w:p w14:paraId="796B7B7A">
      <w:pPr>
        <w:jc w:val="center"/>
        <w:rPr>
          <w:rFonts w:ascii="宋体" w:hAnsi="宋体"/>
          <w:b/>
          <w:sz w:val="24"/>
        </w:rPr>
      </w:pPr>
    </w:p>
    <w:p w14:paraId="41FF1DF8">
      <w:pPr>
        <w:jc w:val="center"/>
        <w:rPr>
          <w:rFonts w:ascii="宋体" w:hAnsi="宋体"/>
          <w:b/>
          <w:sz w:val="24"/>
        </w:rPr>
      </w:pPr>
    </w:p>
    <w:p w14:paraId="450D5904">
      <w:pPr>
        <w:rPr>
          <w:rFonts w:ascii="宋体" w:hAnsi="宋体"/>
          <w:b/>
          <w:sz w:val="24"/>
        </w:rPr>
      </w:pPr>
    </w:p>
    <w:p w14:paraId="39B8C421">
      <w:pPr>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供应商廉洁自律承诺书</w:t>
      </w:r>
    </w:p>
    <w:p w14:paraId="1FF1F0BB">
      <w:pPr>
        <w:rPr>
          <w:rFonts w:ascii="楷体_GB2312" w:eastAsia="楷体_GB2312"/>
        </w:rPr>
      </w:pPr>
    </w:p>
    <w:p w14:paraId="1F8DE490">
      <w:pPr>
        <w:pStyle w:val="12"/>
        <w:adjustRightInd w:val="0"/>
        <w:snapToGrid w:val="0"/>
        <w:spacing w:line="440" w:lineRule="exact"/>
        <w:ind w:left="424" w:leftChars="202" w:right="531" w:rightChars="253" w:firstLine="424" w:firstLineChars="177"/>
        <w:contextualSpacing/>
        <w:rPr>
          <w:rFonts w:asciiTheme="minorEastAsia" w:hAnsiTheme="minorEastAsia" w:eastAsiaTheme="minorEastAsia"/>
          <w:bCs/>
          <w:sz w:val="24"/>
        </w:rPr>
      </w:pPr>
      <w:r>
        <w:rPr>
          <w:rFonts w:hint="eastAsia" w:asciiTheme="minorEastAsia" w:hAnsiTheme="minorEastAsia" w:eastAsiaTheme="minorEastAsia"/>
          <w:bCs/>
          <w:sz w:val="24"/>
        </w:rPr>
        <w:t>扬州大学附属医院                 项目院内公开</w:t>
      </w:r>
      <w:r>
        <w:rPr>
          <w:rFonts w:hint="eastAsia" w:asciiTheme="minorEastAsia" w:hAnsiTheme="minorEastAsia" w:eastAsiaTheme="minorEastAsia"/>
          <w:bCs/>
          <w:sz w:val="24"/>
          <w:lang w:val="en-US" w:eastAsia="zh-CN"/>
        </w:rPr>
        <w:t>谈判</w:t>
      </w:r>
      <w:r>
        <w:rPr>
          <w:rFonts w:hint="eastAsia" w:asciiTheme="minorEastAsia" w:hAnsiTheme="minorEastAsia" w:eastAsiaTheme="minorEastAsia"/>
          <w:bCs/>
          <w:sz w:val="24"/>
        </w:rPr>
        <w:t>是实行公开、公平、公正的阳光工程，给予了每个供应商平等竞争的机会。作为参与此次院内公开谈判活动的承包商,我公司现郑重作出以下承诺：</w:t>
      </w:r>
    </w:p>
    <w:p w14:paraId="23C89767">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一、遵守《中华人民共和国政府采购法》及省、市有关政府采购的各项法律、法规和制度以及《扬州大学附属医院采购管理暂行办法》的规定。</w:t>
      </w:r>
    </w:p>
    <w:p w14:paraId="08330BB4">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二、客观真实反映自身情况，按规定接受采购供应商资格审查,不提供虚假材料，不夸大自身技术和提供服务的能力。</w:t>
      </w:r>
    </w:p>
    <w:p w14:paraId="19687126">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4C130A66">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2AED9791">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五、自觉接受采购监督管理部门及其他相关部门的监督检查。</w:t>
      </w:r>
    </w:p>
    <w:p w14:paraId="0A56A438">
      <w:pPr>
        <w:pStyle w:val="12"/>
        <w:adjustRightInd w:val="0"/>
        <w:snapToGrid w:val="0"/>
        <w:spacing w:line="440" w:lineRule="exact"/>
        <w:ind w:left="424" w:leftChars="202" w:right="531" w:rightChars="253" w:firstLine="426" w:firstLineChars="177"/>
        <w:contextualSpacing/>
        <w:rPr>
          <w:rFonts w:asciiTheme="minorEastAsia" w:hAnsiTheme="minorEastAsia" w:eastAsiaTheme="minorEastAsia"/>
          <w:b/>
          <w:bCs/>
          <w:sz w:val="24"/>
        </w:rPr>
      </w:pPr>
      <w:r>
        <w:rPr>
          <w:rFonts w:hint="eastAsia" w:asciiTheme="minorEastAsia" w:hAnsiTheme="minorEastAsia" w:eastAsiaTheme="minorEastAsia"/>
          <w:b/>
          <w:bCs/>
          <w:sz w:val="24"/>
        </w:rPr>
        <w:t>如违反以上承诺，我公司愿承担一切法律责任，并接受采购监督管理部门及其他相关部门依法作出的处罚。</w:t>
      </w:r>
    </w:p>
    <w:p w14:paraId="2BF709CF">
      <w:pPr>
        <w:pStyle w:val="12"/>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1ACA24C6">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7F137760">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承诺单位（盖章）</w:t>
      </w:r>
    </w:p>
    <w:p w14:paraId="361BD03E">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法定代表人（授权代表签字）：</w:t>
      </w:r>
    </w:p>
    <w:p w14:paraId="67C10B79">
      <w:pPr>
        <w:pStyle w:val="7"/>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年    月   日</w:t>
      </w:r>
    </w:p>
    <w:p w14:paraId="00AAF9AD">
      <w:pPr>
        <w:jc w:val="center"/>
        <w:rPr>
          <w:rFonts w:ascii="宋体" w:hAnsi="宋体"/>
          <w:b/>
          <w:sz w:val="24"/>
        </w:rPr>
      </w:pPr>
    </w:p>
    <w:p w14:paraId="54FABE11">
      <w:pPr>
        <w:rPr>
          <w:sz w:val="24"/>
        </w:rPr>
      </w:pPr>
    </w:p>
    <w:p w14:paraId="66DB9082">
      <w:pPr>
        <w:pStyle w:val="6"/>
      </w:pPr>
    </w:p>
    <w:p w14:paraId="2CB1CEB0">
      <w:pPr>
        <w:pStyle w:val="6"/>
      </w:pPr>
    </w:p>
    <w:p w14:paraId="446C56E3">
      <w:pPr>
        <w:pStyle w:val="6"/>
      </w:pPr>
    </w:p>
    <w:p w14:paraId="46F8B119">
      <w:pPr>
        <w:pStyle w:val="6"/>
      </w:pPr>
    </w:p>
    <w:p w14:paraId="4E59F77D">
      <w:pPr>
        <w:pStyle w:val="10"/>
        <w:snapToGrid w:val="0"/>
        <w:spacing w:line="440" w:lineRule="exact"/>
        <w:ind w:firstLine="562" w:firstLineChars="200"/>
        <w:jc w:val="center"/>
        <w:rPr>
          <w:rFonts w:hAnsi="宋体" w:cs="宋体"/>
          <w:b/>
          <w:bCs/>
          <w:color w:val="auto"/>
          <w:sz w:val="28"/>
          <w:szCs w:val="28"/>
          <w:highlight w:val="none"/>
        </w:rPr>
      </w:pPr>
      <w:r>
        <w:rPr>
          <w:rFonts w:hint="eastAsia" w:hAnsi="宋体" w:cs="宋体"/>
          <w:b/>
          <w:bCs/>
          <w:color w:val="auto"/>
          <w:sz w:val="28"/>
          <w:szCs w:val="28"/>
          <w:highlight w:val="none"/>
        </w:rPr>
        <w:t>政府采购合同（货物)</w:t>
      </w:r>
    </w:p>
    <w:p w14:paraId="2E42586C">
      <w:pPr>
        <w:pStyle w:val="4"/>
        <w:spacing w:line="440" w:lineRule="exact"/>
        <w:rPr>
          <w:rFonts w:ascii="宋体" w:hAnsi="宋体" w:cs="宋体"/>
          <w:color w:val="auto"/>
          <w:szCs w:val="21"/>
          <w:highlight w:val="none"/>
        </w:rPr>
      </w:pPr>
    </w:p>
    <w:p w14:paraId="0935BE77">
      <w:pPr>
        <w:pStyle w:val="64"/>
        <w:spacing w:line="360" w:lineRule="auto"/>
        <w:ind w:firstLine="42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rPr>
        <w:t>项目名称：</w:t>
      </w:r>
    </w:p>
    <w:p w14:paraId="70D09E37">
      <w:pPr>
        <w:pStyle w:val="64"/>
        <w:spacing w:line="360" w:lineRule="auto"/>
        <w:ind w:firstLine="420"/>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审计编号：</w:t>
      </w:r>
    </w:p>
    <w:p w14:paraId="7DB7FF8E">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甲方：（买方）</w:t>
      </w:r>
    </w:p>
    <w:p w14:paraId="7F7B2B3C">
      <w:pPr>
        <w:pStyle w:val="64"/>
        <w:spacing w:line="360" w:lineRule="auto"/>
        <w:ind w:firstLine="420"/>
        <w:rPr>
          <w:rFonts w:hint="default" w:hAnsi="宋体" w:eastAsia="宋体" w:cs="宋体"/>
          <w:color w:val="auto"/>
          <w:sz w:val="21"/>
          <w:szCs w:val="21"/>
          <w:highlight w:val="none"/>
          <w:u w:val="single"/>
          <w:lang w:val="en-US" w:eastAsia="zh-CN"/>
        </w:rPr>
      </w:pPr>
      <w:r>
        <w:rPr>
          <w:rFonts w:hint="eastAsia" w:hAnsi="宋体" w:eastAsia="宋体" w:cs="宋体"/>
          <w:color w:val="auto"/>
          <w:sz w:val="21"/>
          <w:szCs w:val="21"/>
          <w:highlight w:val="none"/>
        </w:rPr>
        <w:t>乙方：（卖方）</w:t>
      </w:r>
    </w:p>
    <w:p w14:paraId="75B8E995">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甲、乙双方根据</w:t>
      </w:r>
      <w:r>
        <w:rPr>
          <w:rFonts w:hint="eastAsia" w:hAnsi="宋体" w:eastAsia="宋体" w:cs="宋体"/>
          <w:color w:val="auto"/>
          <w:sz w:val="21"/>
          <w:szCs w:val="21"/>
          <w:highlight w:val="none"/>
          <w:lang w:eastAsia="zh-CN"/>
        </w:rPr>
        <w:t>江苏省鼎诚建设工程顾问有限公司</w:t>
      </w:r>
      <w:r>
        <w:rPr>
          <w:rFonts w:hint="eastAsia" w:hAnsi="宋体" w:eastAsia="宋体" w:cs="宋体"/>
          <w:color w:val="auto"/>
          <w:sz w:val="21"/>
          <w:szCs w:val="21"/>
          <w:highlight w:val="none"/>
        </w:rPr>
        <w:t>公开招标的结果，签署本合同。</w:t>
      </w:r>
    </w:p>
    <w:p w14:paraId="3946AE38">
      <w:pPr>
        <w:pStyle w:val="64"/>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一、货物及伴随服务</w:t>
      </w:r>
    </w:p>
    <w:p w14:paraId="6F5EEAB7">
      <w:pPr>
        <w:pStyle w:val="64"/>
        <w:spacing w:line="360" w:lineRule="auto"/>
        <w:ind w:firstLine="420"/>
        <w:rPr>
          <w:rFonts w:hint="eastAsia" w:hAnsi="宋体" w:eastAsia="宋体" w:cs="宋体"/>
          <w:color w:val="auto"/>
          <w:sz w:val="21"/>
          <w:szCs w:val="21"/>
          <w:highlight w:val="none"/>
        </w:rPr>
      </w:pPr>
      <w:r>
        <w:rPr>
          <w:rFonts w:hint="eastAsia" w:hAnsi="宋体" w:eastAsia="宋体" w:cs="宋体"/>
          <w:color w:val="auto"/>
          <w:sz w:val="21"/>
          <w:szCs w:val="21"/>
          <w:highlight w:val="none"/>
        </w:rPr>
        <w:t>1.1 货物及服务名称：</w:t>
      </w:r>
    </w:p>
    <w:p w14:paraId="56493DA6">
      <w:pPr>
        <w:pStyle w:val="64"/>
        <w:spacing w:line="360" w:lineRule="auto"/>
        <w:ind w:firstLine="420"/>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rPr>
        <w:t>1.2 型号规格：</w:t>
      </w:r>
    </w:p>
    <w:p w14:paraId="3297E5CE">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 数量（单位）</w:t>
      </w:r>
    </w:p>
    <w:p w14:paraId="04BF90D9">
      <w:pPr>
        <w:pStyle w:val="64"/>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二、合同金额</w:t>
      </w:r>
    </w:p>
    <w:p w14:paraId="71A67B56">
      <w:pPr>
        <w:pStyle w:val="64"/>
        <w:spacing w:line="360" w:lineRule="auto"/>
        <w:ind w:firstLine="420"/>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rPr>
        <w:t>2.1 本合同金额为（大写）：</w:t>
      </w:r>
      <w:r>
        <w:rPr>
          <w:rFonts w:hint="eastAsia" w:hAnsi="宋体" w:eastAsia="宋体" w:cs="宋体"/>
          <w:color w:val="auto"/>
          <w:sz w:val="21"/>
          <w:szCs w:val="21"/>
          <w:highlight w:val="none"/>
          <w:lang w:val="en-US" w:eastAsia="zh-CN"/>
        </w:rPr>
        <w:t xml:space="preserve">         不保证实际使用数量，按实结算。</w:t>
      </w:r>
    </w:p>
    <w:p w14:paraId="558C5F25">
      <w:pPr>
        <w:pStyle w:val="64"/>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三、技术资料</w:t>
      </w:r>
    </w:p>
    <w:p w14:paraId="25454D46">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3.1乙方应按招标文件规定的时间向甲方提供使用货物及服务的有关技术资料。</w:t>
      </w:r>
    </w:p>
    <w:p w14:paraId="5ECB1DA0">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5E63CD1">
      <w:pPr>
        <w:pStyle w:val="64"/>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四、知识产权</w:t>
      </w:r>
    </w:p>
    <w:p w14:paraId="299E99E4">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4.1乙方应保证甲方在使用、接受本合同货物及服务或其任何一部分时不受第三方提出侵犯其专利权、版权、商标权和工业设计权等知识产权的起诉。一旦出现侵权，由乙方负全部责任。</w:t>
      </w:r>
    </w:p>
    <w:p w14:paraId="467929BD">
      <w:pPr>
        <w:pStyle w:val="64"/>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五、产权担保</w:t>
      </w:r>
    </w:p>
    <w:p w14:paraId="49B8D7DE">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5.1 乙方保证所交付的货物及服务的所有权完全属于乙方且无任何抵押、查封等产权瑕疵。</w:t>
      </w:r>
    </w:p>
    <w:p w14:paraId="45215F08">
      <w:pPr>
        <w:pStyle w:val="64"/>
        <w:spacing w:line="360" w:lineRule="auto"/>
        <w:ind w:firstLine="422"/>
        <w:rPr>
          <w:rFonts w:hAnsi="宋体" w:eastAsia="宋体" w:cs="宋体"/>
          <w:color w:val="auto"/>
          <w:sz w:val="21"/>
          <w:szCs w:val="21"/>
          <w:highlight w:val="none"/>
        </w:rPr>
      </w:pPr>
      <w:r>
        <w:rPr>
          <w:rFonts w:hint="eastAsia" w:hAnsi="宋体" w:eastAsia="宋体" w:cs="宋体"/>
          <w:b/>
          <w:bCs/>
          <w:color w:val="auto"/>
          <w:sz w:val="21"/>
          <w:szCs w:val="21"/>
          <w:highlight w:val="none"/>
        </w:rPr>
        <w:t>六、履约保证金</w:t>
      </w:r>
    </w:p>
    <w:p w14:paraId="5A44455F">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6.1乙方在签订合同前须缴纳合同款</w:t>
      </w:r>
      <w:r>
        <w:rPr>
          <w:rFonts w:hint="eastAsia" w:hAnsi="宋体" w:eastAsia="宋体" w:cs="宋体"/>
          <w:color w:val="auto"/>
          <w:sz w:val="21"/>
          <w:szCs w:val="21"/>
          <w:highlight w:val="none"/>
          <w:lang w:val="en-US" w:eastAsia="zh-CN"/>
        </w:rPr>
        <w:t>10</w:t>
      </w:r>
      <w:r>
        <w:rPr>
          <w:rFonts w:hint="eastAsia" w:hAnsi="宋体" w:eastAsia="宋体" w:cs="宋体"/>
          <w:color w:val="auto"/>
          <w:sz w:val="21"/>
          <w:szCs w:val="21"/>
          <w:highlight w:val="none"/>
        </w:rPr>
        <w:t>%作为履约保证金至甲方指定账户。履约保证金用以约束乙方在合同履行中的行为，弥补合同执行中由于自身行为可能给甲方带来的各种损失。如果乙方不同意按照规定去做，甲方有权取消本次采购中标决定。</w:t>
      </w:r>
    </w:p>
    <w:p w14:paraId="7D731503">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6.2履约保证金的退还：履约保证金在合作期满后7个工作日内退还，不计利息。乙方凭甲方人签署的项目验收单或项目验收报告、履约保证金收据原件，前往甲方处办理保证金退还手续。</w:t>
      </w:r>
    </w:p>
    <w:p w14:paraId="440B47F8">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6.3有下列情形之一的，履约保证金不予退还:</w:t>
      </w:r>
    </w:p>
    <w:p w14:paraId="6D116FA0">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（1）签订合同后甲方发现乙方在响应文件中提供虚假材料的；</w:t>
      </w:r>
    </w:p>
    <w:p w14:paraId="0D636175">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（2）乙方与甲方、其他供应商或者采购代理机构恶意串通的；</w:t>
      </w:r>
    </w:p>
    <w:p w14:paraId="6D076E0E">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（3）将成交项目转让给他人，或者在投标文件中未说明，且未经甲方同意，将成交项目分包给他人的；</w:t>
      </w:r>
    </w:p>
    <w:p w14:paraId="07DC6666">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（4）除因不可抗力或招标文件认可的情形以外，中标供应商不与采购人签订合同的；</w:t>
      </w:r>
    </w:p>
    <w:p w14:paraId="0C892006">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（5）签订合同后因乙方原因无法履行合同或者拒绝履行合同义务的。</w:t>
      </w:r>
    </w:p>
    <w:p w14:paraId="3BB7472E">
      <w:pPr>
        <w:pStyle w:val="64"/>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七、转包或分包</w:t>
      </w:r>
    </w:p>
    <w:p w14:paraId="2B855601">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7.1本合同范围的货物及服务，应由乙方直接供应，不得转让他人供应；</w:t>
      </w:r>
    </w:p>
    <w:p w14:paraId="77DC40C6">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7.2 除非得到甲方的书面同意，乙方不得部分分包给他人供应。</w:t>
      </w:r>
    </w:p>
    <w:p w14:paraId="3C8C66BD">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7.3如有转让和未经甲方同意的分包行为，甲方有权给予终止合同。</w:t>
      </w:r>
    </w:p>
    <w:p w14:paraId="3DF4F78F">
      <w:pPr>
        <w:pStyle w:val="64"/>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八、质保期</w:t>
      </w:r>
    </w:p>
    <w:p w14:paraId="27EE9F80">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8.1 质保期</w:t>
      </w:r>
      <w:r>
        <w:rPr>
          <w:rFonts w:hint="eastAsia" w:hAnsi="宋体" w:eastAsia="宋体" w:cs="宋体"/>
          <w:color w:val="auto"/>
          <w:sz w:val="21"/>
          <w:szCs w:val="21"/>
          <w:highlight w:val="none"/>
          <w:lang w:val="en-US" w:eastAsia="zh-CN"/>
        </w:rPr>
        <w:t>至少</w:t>
      </w:r>
      <w:r>
        <w:rPr>
          <w:rFonts w:hint="eastAsia" w:hAnsi="宋体" w:eastAsia="宋体" w:cs="宋体"/>
          <w:color w:val="auto"/>
          <w:sz w:val="21"/>
          <w:szCs w:val="21"/>
          <w:highlight w:val="none"/>
        </w:rPr>
        <w:t>1年。（自交货验收合格之日起计）</w:t>
      </w:r>
    </w:p>
    <w:p w14:paraId="5395FCA3">
      <w:pPr>
        <w:pStyle w:val="64"/>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九、交付期、交付方式及交付地点</w:t>
      </w:r>
    </w:p>
    <w:p w14:paraId="059CC645">
      <w:pPr>
        <w:pStyle w:val="64"/>
        <w:spacing w:line="360" w:lineRule="auto"/>
        <w:ind w:firstLine="420"/>
        <w:rPr>
          <w:rFonts w:hAnsi="宋体" w:eastAsia="宋体" w:cs="宋体"/>
          <w:color w:val="auto"/>
          <w:sz w:val="21"/>
          <w:szCs w:val="21"/>
          <w:highlight w:val="none"/>
          <w:u w:val="single"/>
        </w:rPr>
      </w:pPr>
      <w:r>
        <w:rPr>
          <w:rFonts w:hint="eastAsia" w:hAnsi="宋体" w:eastAsia="宋体" w:cs="宋体"/>
          <w:color w:val="auto"/>
          <w:sz w:val="21"/>
          <w:szCs w:val="21"/>
          <w:highlight w:val="none"/>
        </w:rPr>
        <w:t xml:space="preserve">9.1 </w:t>
      </w:r>
      <w:r>
        <w:rPr>
          <w:rFonts w:hint="eastAsia" w:hAnsi="宋体" w:eastAsia="宋体" w:cs="宋体"/>
          <w:color w:val="auto"/>
          <w:sz w:val="21"/>
          <w:szCs w:val="21"/>
          <w:highlight w:val="none"/>
          <w:lang w:eastAsia="zh-CN"/>
        </w:rPr>
        <w:t>合同履行期限：</w:t>
      </w:r>
      <w:r>
        <w:rPr>
          <w:rFonts w:hint="eastAsia" w:hAnsi="宋体" w:eastAsia="宋体" w:cs="宋体"/>
          <w:color w:val="auto"/>
          <w:sz w:val="21"/>
          <w:szCs w:val="21"/>
          <w:highlight w:val="none"/>
          <w:u w:val="single"/>
          <w:lang w:eastAsia="zh-CN"/>
        </w:rPr>
        <w:t>自合同签订之日起至2026年12月31日</w:t>
      </w:r>
    </w:p>
    <w:p w14:paraId="6FAA6270">
      <w:pPr>
        <w:pStyle w:val="64"/>
        <w:spacing w:line="360" w:lineRule="auto"/>
        <w:ind w:firstLine="420"/>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9.2交货时间：</w:t>
      </w:r>
      <w:r>
        <w:rPr>
          <w:rFonts w:hint="eastAsia" w:hAnsi="宋体" w:eastAsia="宋体" w:cs="宋体"/>
          <w:color w:val="auto"/>
          <w:sz w:val="21"/>
          <w:szCs w:val="21"/>
          <w:highlight w:val="none"/>
          <w:u w:val="single"/>
          <w:lang w:val="en-US" w:eastAsia="zh-CN"/>
        </w:rPr>
        <w:t>医院采购中心发出订货通知5天内。</w:t>
      </w:r>
    </w:p>
    <w:p w14:paraId="616FB9FA">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9.</w:t>
      </w:r>
      <w:r>
        <w:rPr>
          <w:rFonts w:hint="eastAsia" w:hAnsi="宋体" w:eastAsia="宋体" w:cs="宋体"/>
          <w:color w:val="auto"/>
          <w:sz w:val="21"/>
          <w:szCs w:val="21"/>
          <w:highlight w:val="none"/>
          <w:lang w:val="en-US" w:eastAsia="zh-CN"/>
        </w:rPr>
        <w:t>3</w:t>
      </w:r>
      <w:r>
        <w:rPr>
          <w:rFonts w:hint="eastAsia" w:hAnsi="宋体" w:eastAsia="宋体" w:cs="宋体"/>
          <w:color w:val="auto"/>
          <w:sz w:val="21"/>
          <w:szCs w:val="21"/>
          <w:highlight w:val="none"/>
        </w:rPr>
        <w:t xml:space="preserve"> 交付方式：</w:t>
      </w:r>
      <w:r>
        <w:rPr>
          <w:rFonts w:hint="eastAsia" w:hAnsi="宋体" w:eastAsia="宋体" w:cs="宋体"/>
          <w:color w:val="auto"/>
          <w:sz w:val="21"/>
          <w:szCs w:val="21"/>
          <w:highlight w:val="none"/>
          <w:u w:val="single"/>
        </w:rPr>
        <w:t>甲方指定方式</w:t>
      </w:r>
    </w:p>
    <w:p w14:paraId="494ACF25">
      <w:pPr>
        <w:pStyle w:val="64"/>
        <w:spacing w:line="360" w:lineRule="auto"/>
        <w:ind w:firstLine="420"/>
        <w:rPr>
          <w:rFonts w:hAnsi="宋体" w:eastAsia="宋体" w:cs="宋体"/>
          <w:color w:val="auto"/>
          <w:sz w:val="21"/>
          <w:szCs w:val="21"/>
          <w:highlight w:val="none"/>
          <w:u w:val="single"/>
        </w:rPr>
      </w:pPr>
      <w:r>
        <w:rPr>
          <w:rFonts w:hint="eastAsia" w:hAnsi="宋体" w:eastAsia="宋体" w:cs="宋体"/>
          <w:color w:val="auto"/>
          <w:sz w:val="21"/>
          <w:szCs w:val="21"/>
          <w:highlight w:val="none"/>
        </w:rPr>
        <w:t>9.</w:t>
      </w:r>
      <w:r>
        <w:rPr>
          <w:rFonts w:hint="eastAsia" w:hAnsi="宋体" w:eastAsia="宋体" w:cs="宋体"/>
          <w:color w:val="auto"/>
          <w:sz w:val="21"/>
          <w:szCs w:val="21"/>
          <w:highlight w:val="none"/>
          <w:lang w:val="en-US" w:eastAsia="zh-CN"/>
        </w:rPr>
        <w:t>4</w:t>
      </w:r>
      <w:r>
        <w:rPr>
          <w:rFonts w:hint="eastAsia" w:hAnsi="宋体" w:eastAsia="宋体" w:cs="宋体"/>
          <w:color w:val="auto"/>
          <w:sz w:val="21"/>
          <w:szCs w:val="21"/>
          <w:highlight w:val="none"/>
        </w:rPr>
        <w:t xml:space="preserve"> 交付地点：</w:t>
      </w:r>
      <w:r>
        <w:rPr>
          <w:rFonts w:hint="eastAsia" w:hAnsi="宋体" w:eastAsia="宋体" w:cs="宋体"/>
          <w:color w:val="auto"/>
          <w:sz w:val="21"/>
          <w:szCs w:val="21"/>
          <w:highlight w:val="none"/>
          <w:u w:val="single"/>
        </w:rPr>
        <w:t>甲方指定地点</w:t>
      </w:r>
    </w:p>
    <w:p w14:paraId="586B736B">
      <w:pPr>
        <w:pStyle w:val="64"/>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十、货款支付</w:t>
      </w:r>
    </w:p>
    <w:p w14:paraId="1E10A11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10.1 本合同项下所有款项均以人民币支付。 </w:t>
      </w:r>
    </w:p>
    <w:p w14:paraId="614FC46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10.2 本合同项下的采购资金由甲方支付，付款前乙方向甲方开具发票。</w:t>
      </w:r>
    </w:p>
    <w:p w14:paraId="2C09674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10.3 甲方付款方式：</w:t>
      </w:r>
    </w:p>
    <w:p w14:paraId="02DF9F8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合同生效后，乙方按甲方需求即时配送，并将商品送到甲方指定地点，经甲方指定人员验收，验收合格的可在一个月内结算费用。每次结算金额以甲方签收入库的供应数量*合同单价计算，乙方必须提供甲方的验收单及开具的正规增值税发票等材料交甲方办理付款手续，甲方凭手续齐全的单据支付该批次货款。</w:t>
      </w:r>
    </w:p>
    <w:p w14:paraId="7F6B884D">
      <w:pPr>
        <w:pStyle w:val="64"/>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十一、税费</w:t>
      </w:r>
    </w:p>
    <w:p w14:paraId="3690A54A">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11.1本合同执行中相关的一切税费均由乙方负担。</w:t>
      </w:r>
    </w:p>
    <w:p w14:paraId="60685975">
      <w:pPr>
        <w:pStyle w:val="64"/>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十二、质量保证及售后服务</w:t>
      </w:r>
    </w:p>
    <w:p w14:paraId="433DDD98">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12.1 乙方应按招标文件规定的货物及服务性能、技术要求、质量标准向甲方提供。</w:t>
      </w:r>
    </w:p>
    <w:p w14:paraId="202EE971">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12.2 乙方提供的货物及服务在质量期内因服务及产品本身的质量问题发生故障，乙方应负责免费更换。对达不到技术要求者，根据实际情况，经双方协商，可按以下办法处理：</w:t>
      </w:r>
    </w:p>
    <w:p w14:paraId="576ADE3B">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⑴更换：由乙方承担所发生的全部费用。</w:t>
      </w:r>
    </w:p>
    <w:p w14:paraId="195B9481">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⑵贬值处理：由甲乙双方合议定价。</w:t>
      </w:r>
    </w:p>
    <w:p w14:paraId="359844E7">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⑶退还处理：乙方应退还甲方支付的合同款，同时应承担该货物及服务的直接费用（运输、保险、检验、款项利息及银行手续费等）。</w:t>
      </w:r>
    </w:p>
    <w:p w14:paraId="72A80FE5">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12.3 如在使用过程中发生质量问题，乙方在接到甲方通知后在</w:t>
      </w:r>
      <w:r>
        <w:rPr>
          <w:rFonts w:hint="eastAsia" w:hAnsi="宋体" w:eastAsia="宋体" w:cs="宋体"/>
          <w:color w:val="auto"/>
          <w:sz w:val="21"/>
          <w:szCs w:val="21"/>
          <w:highlight w:val="none"/>
          <w:lang w:val="en-US" w:eastAsia="zh-CN"/>
        </w:rPr>
        <w:t>24</w:t>
      </w:r>
      <w:r>
        <w:rPr>
          <w:rFonts w:hint="eastAsia" w:hAnsi="宋体" w:eastAsia="宋体" w:cs="宋体"/>
          <w:color w:val="auto"/>
          <w:sz w:val="21"/>
          <w:szCs w:val="21"/>
          <w:highlight w:val="none"/>
        </w:rPr>
        <w:t>小时内到达甲方现场。</w:t>
      </w:r>
    </w:p>
    <w:p w14:paraId="3D20AC06">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12.4 在质保期内，乙方应对货物及服务出现的质量及安全问题负责处理解决并承担一切费用。</w:t>
      </w:r>
    </w:p>
    <w:p w14:paraId="20821BBC">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12.5上述的货物及服务免费保修期为</w:t>
      </w:r>
      <w:r>
        <w:rPr>
          <w:rFonts w:hint="eastAsia" w:hAnsi="宋体" w:eastAsia="宋体" w:cs="宋体"/>
          <w:color w:val="auto"/>
          <w:sz w:val="21"/>
          <w:szCs w:val="21"/>
          <w:highlight w:val="none"/>
          <w:lang w:val="en-US" w:eastAsia="zh-CN"/>
        </w:rPr>
        <w:t>2</w:t>
      </w:r>
      <w:r>
        <w:rPr>
          <w:rFonts w:hint="eastAsia" w:hAnsi="宋体" w:eastAsia="宋体" w:cs="宋体"/>
          <w:color w:val="auto"/>
          <w:sz w:val="21"/>
          <w:szCs w:val="21"/>
          <w:highlight w:val="none"/>
        </w:rPr>
        <w:t>年，因人为因素出现的故障不在免费保修范围内。超过保修期的机器设备，终生维修，维修时只收部件成本费。</w:t>
      </w:r>
    </w:p>
    <w:p w14:paraId="75FC536D">
      <w:pPr>
        <w:pStyle w:val="64"/>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十三、调试和验收</w:t>
      </w:r>
    </w:p>
    <w:p w14:paraId="41FFB02D">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13.1 甲方对乙方提交的货物及服务依据招标文件上的技术规格要求和国家有关质量标准进行现场初步验收，外观、说明书符合招标文件技术要求的，给予签收，初步验收不合格的不予签收。交付后，甲方需在五个工作日内验收。</w:t>
      </w:r>
    </w:p>
    <w:p w14:paraId="28D67AA3">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13.2 乙方交付前应对货物及服务作出全面检查和对验收文件进行整理，并列出清单，作为甲方交付验收和使用的技术条件依据，检验的结果应随货物及服务交甲方。</w:t>
      </w:r>
    </w:p>
    <w:p w14:paraId="4DF1AE32">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13.3 甲方对乙方提供的货物及服务在使用前进行调试时，乙方需负责安装并培训甲方的使用操作人员，并协助甲方一起调试，直到符合技术要求，甲方才做最终验收。</w:t>
      </w:r>
    </w:p>
    <w:p w14:paraId="4699E376">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13.4 对技术复杂的货物及服务，甲方可请国家认可的专业检测机构参与初步验收及最终验收，并由其出具质量检测报告。</w:t>
      </w:r>
    </w:p>
    <w:p w14:paraId="074C3A77">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13.5 验收时乙方必须在现场，验收完毕后作出验收结果报告；验收费用由甲乙双方协商解决。</w:t>
      </w:r>
    </w:p>
    <w:p w14:paraId="4FF99D64">
      <w:pPr>
        <w:pStyle w:val="64"/>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十四、货物及服务包装、发运及运输</w:t>
      </w:r>
    </w:p>
    <w:p w14:paraId="584C8517">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14.1 乙方应在货物及服务发运前对其进行满足运输距离、防潮、防震、防锈和防破损装卸等要求包装，以保证货物及服务安全运达甲方指定地点。</w:t>
      </w:r>
    </w:p>
    <w:p w14:paraId="518782CD">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14.2 使用说明书、质量检验证明书、随配附件和工具以及清单一并交付甲方。</w:t>
      </w:r>
    </w:p>
    <w:p w14:paraId="26524A89">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14.3 乙方在货物及服务发运手续办理完毕后24小时内或交付到甲方48小时前通知甲方，以准备接受交付。</w:t>
      </w:r>
    </w:p>
    <w:p w14:paraId="2F055C51">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14.4 货物在交付甲方前发生的风险均由乙方负责。</w:t>
      </w:r>
    </w:p>
    <w:p w14:paraId="1B6F4C2C">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14.5 货物及服务在规定的交付期限内由乙方送达甲方指定的地点视为交付，乙方同时需通知甲方货物及服务已送达。</w:t>
      </w:r>
    </w:p>
    <w:p w14:paraId="06801FC6">
      <w:pPr>
        <w:pStyle w:val="64"/>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十五、违约责任</w:t>
      </w:r>
    </w:p>
    <w:p w14:paraId="380A2B28">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15.1 甲方无正当理由拒收货物及服务的，甲方向乙方偿付拒收款项总值的百分之五违约金。</w:t>
      </w:r>
    </w:p>
    <w:p w14:paraId="6881DC5D">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15.2 甲方无故逾期验收和办理款项支付手续的,甲方应按逾期付款总额每日万分之五向乙方支付违约金。</w:t>
      </w:r>
    </w:p>
    <w:p w14:paraId="6E87B2C8">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 xml:space="preserve">15.3 乙方逾期交付货物及服务的，乙方应按逾期交付总额每日千分之六向甲方支付违约金，由甲方从待付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4BA72E45">
      <w:pPr>
        <w:pStyle w:val="64"/>
        <w:spacing w:line="360" w:lineRule="auto"/>
        <w:ind w:firstLine="420"/>
        <w:rPr>
          <w:rFonts w:hint="eastAsia" w:hAnsi="宋体" w:eastAsia="宋体" w:cs="宋体"/>
          <w:color w:val="auto"/>
          <w:sz w:val="21"/>
          <w:szCs w:val="21"/>
          <w:highlight w:val="none"/>
        </w:rPr>
      </w:pPr>
      <w:r>
        <w:rPr>
          <w:rFonts w:hint="eastAsia" w:hAnsi="宋体" w:eastAsia="宋体" w:cs="宋体"/>
          <w:color w:val="auto"/>
          <w:sz w:val="21"/>
          <w:szCs w:val="21"/>
          <w:highlight w:val="none"/>
        </w:rPr>
        <w:t>15.4 乙方所交的货物及服务数量、质量不符合合同规定及招标文件规定标准的，甲方有权拒收该货物及服务，乙方愿意更换货物及服务但逾期交付的，按乙方逾期交付处理。乙方拒绝更换货物及服务的，甲方可单方面解除合同。</w:t>
      </w:r>
    </w:p>
    <w:p w14:paraId="6C9F378D">
      <w:pPr>
        <w:pStyle w:val="64"/>
        <w:spacing w:line="360" w:lineRule="auto"/>
        <w:ind w:firstLine="420"/>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15.5 乙方应加强工作人员的管理，禁止乙方以各种手段腐蚀、贿赂甲方单位工作人员，并将诚信档案记录的工作人员违规不良行为纳入违约行为,如有违反，甲方将停止履行合同，并追究乙方违约责任。</w:t>
      </w:r>
    </w:p>
    <w:p w14:paraId="45C8545B">
      <w:pPr>
        <w:pStyle w:val="64"/>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十六、不可抗力事件处理</w:t>
      </w:r>
    </w:p>
    <w:p w14:paraId="680A2FF7">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16.1 在合同有效期内，任何一方因不可抗力事件导致不能履行合同，则合同履行期可延长，其延长期与不可抗力影响期相同。</w:t>
      </w:r>
    </w:p>
    <w:p w14:paraId="44593327">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16.2 不可抗力事件发生后，应立即通知对方，并寄送有关权威机构出具的证明。</w:t>
      </w:r>
    </w:p>
    <w:p w14:paraId="181ECDD4">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16.3 不可抗力事件延续120天以上，双方应通过友好协商，确定是否继续履行合同。</w:t>
      </w:r>
    </w:p>
    <w:p w14:paraId="627C1B72">
      <w:pPr>
        <w:pStyle w:val="64"/>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十七、诉讼</w:t>
      </w:r>
    </w:p>
    <w:p w14:paraId="238D35D0">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17.1 双方在执行合同中所发生的一切争议，应通过协商解决。如协商不成，可向合同签订地法院起诉，合同签订地在此约定为扬州市。</w:t>
      </w:r>
    </w:p>
    <w:p w14:paraId="2D06D25D">
      <w:pPr>
        <w:spacing w:line="360" w:lineRule="auto"/>
        <w:ind w:firstLine="422"/>
        <w:rPr>
          <w:rFonts w:ascii="宋体" w:hAnsi="宋体" w:cs="宋体"/>
          <w:color w:val="auto"/>
          <w:szCs w:val="21"/>
          <w:highlight w:val="none"/>
        </w:rPr>
      </w:pPr>
      <w:r>
        <w:rPr>
          <w:rFonts w:hint="eastAsia" w:ascii="宋体" w:hAnsi="宋体" w:cs="宋体"/>
          <w:b/>
          <w:bCs/>
          <w:color w:val="auto"/>
          <w:szCs w:val="21"/>
          <w:highlight w:val="none"/>
        </w:rPr>
        <w:t>十八、</w:t>
      </w:r>
      <w:r>
        <w:rPr>
          <w:rFonts w:hint="eastAsia" w:ascii="宋体" w:hAnsi="宋体" w:cs="宋体"/>
          <w:bCs/>
          <w:color w:val="auto"/>
          <w:szCs w:val="21"/>
          <w:highlight w:val="none"/>
        </w:rPr>
        <w:t>为落实好政府采购履约资金扶持政策，乙方可凭政府采购合同办理融资贷款，详见江苏政府采购网“政采贷”专栏</w:t>
      </w:r>
      <w:r>
        <w:rPr>
          <w:rFonts w:hint="eastAsia" w:ascii="宋体" w:hAnsi="宋体" w:cs="宋体"/>
          <w:color w:val="auto"/>
          <w:szCs w:val="21"/>
          <w:highlight w:val="none"/>
        </w:rPr>
        <w:t>。</w:t>
      </w:r>
    </w:p>
    <w:p w14:paraId="0B169C87">
      <w:pPr>
        <w:pStyle w:val="64"/>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十九、合同生效及其它</w:t>
      </w:r>
    </w:p>
    <w:p w14:paraId="4FA08159">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19.1 合同经双方法定代表人或授权委托代表人签字并加盖单位公章或合同专用章后生效。</w:t>
      </w:r>
    </w:p>
    <w:p w14:paraId="6A3F06B2">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19.2本合同未尽事宜，遵照《</w:t>
      </w:r>
      <w:r>
        <w:rPr>
          <w:rFonts w:hint="eastAsia" w:hAnsi="宋体" w:eastAsia="宋体" w:cs="宋体"/>
          <w:color w:val="auto"/>
          <w:sz w:val="21"/>
          <w:szCs w:val="21"/>
          <w:highlight w:val="none"/>
          <w:lang w:val="en-US" w:eastAsia="zh-CN"/>
        </w:rPr>
        <w:t>中华人民共和国</w:t>
      </w:r>
      <w:r>
        <w:rPr>
          <w:rFonts w:hint="eastAsia" w:hAnsi="宋体" w:eastAsia="宋体" w:cs="宋体"/>
          <w:color w:val="auto"/>
          <w:sz w:val="21"/>
          <w:szCs w:val="21"/>
          <w:highlight w:val="none"/>
        </w:rPr>
        <w:t>民法典》有关条文执行。</w:t>
      </w:r>
    </w:p>
    <w:p w14:paraId="209ABFE0">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 xml:space="preserve">19.3 本合同正本一式四份，具有同等法律效力，甲方、乙方各执贰份。 </w:t>
      </w:r>
    </w:p>
    <w:p w14:paraId="4993BD4A">
      <w:pPr>
        <w:pStyle w:val="64"/>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 xml:space="preserve"> </w:t>
      </w:r>
    </w:p>
    <w:tbl>
      <w:tblPr>
        <w:tblStyle w:val="22"/>
        <w:tblW w:w="8379" w:type="dxa"/>
        <w:tblInd w:w="27" w:type="dxa"/>
        <w:tblLayout w:type="fixed"/>
        <w:tblCellMar>
          <w:top w:w="0" w:type="dxa"/>
          <w:left w:w="108" w:type="dxa"/>
          <w:bottom w:w="0" w:type="dxa"/>
          <w:right w:w="108" w:type="dxa"/>
        </w:tblCellMar>
      </w:tblPr>
      <w:tblGrid>
        <w:gridCol w:w="4212"/>
        <w:gridCol w:w="4167"/>
      </w:tblGrid>
      <w:tr w14:paraId="057F37CF">
        <w:tblPrEx>
          <w:tblCellMar>
            <w:top w:w="0" w:type="dxa"/>
            <w:left w:w="108" w:type="dxa"/>
            <w:bottom w:w="0" w:type="dxa"/>
            <w:right w:w="108" w:type="dxa"/>
          </w:tblCellMar>
        </w:tblPrEx>
        <w:trPr>
          <w:trHeight w:val="160" w:hRule="atLeast"/>
        </w:trPr>
        <w:tc>
          <w:tcPr>
            <w:tcW w:w="4212" w:type="dxa"/>
            <w:tcBorders>
              <w:top w:val="nil"/>
              <w:left w:val="nil"/>
              <w:bottom w:val="nil"/>
              <w:right w:val="nil"/>
            </w:tcBorders>
          </w:tcPr>
          <w:p w14:paraId="49F6FBDF">
            <w:pPr>
              <w:pStyle w:val="64"/>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甲方：</w:t>
            </w:r>
          </w:p>
        </w:tc>
        <w:tc>
          <w:tcPr>
            <w:tcW w:w="4167" w:type="dxa"/>
            <w:tcBorders>
              <w:top w:val="nil"/>
              <w:left w:val="nil"/>
              <w:bottom w:val="nil"/>
              <w:right w:val="nil"/>
            </w:tcBorders>
          </w:tcPr>
          <w:p w14:paraId="7732F562">
            <w:pPr>
              <w:pStyle w:val="64"/>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乙方：</w:t>
            </w:r>
          </w:p>
        </w:tc>
      </w:tr>
      <w:tr w14:paraId="0A6A16EE">
        <w:tblPrEx>
          <w:tblCellMar>
            <w:top w:w="0" w:type="dxa"/>
            <w:left w:w="108" w:type="dxa"/>
            <w:bottom w:w="0" w:type="dxa"/>
            <w:right w:w="108" w:type="dxa"/>
          </w:tblCellMar>
        </w:tblPrEx>
        <w:trPr>
          <w:trHeight w:val="90" w:hRule="atLeast"/>
        </w:trPr>
        <w:tc>
          <w:tcPr>
            <w:tcW w:w="4212" w:type="dxa"/>
            <w:tcBorders>
              <w:top w:val="nil"/>
              <w:left w:val="nil"/>
              <w:bottom w:val="nil"/>
              <w:right w:val="nil"/>
            </w:tcBorders>
          </w:tcPr>
          <w:p w14:paraId="579F9A8E">
            <w:pPr>
              <w:pStyle w:val="64"/>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地址：</w:t>
            </w:r>
          </w:p>
        </w:tc>
        <w:tc>
          <w:tcPr>
            <w:tcW w:w="4167" w:type="dxa"/>
            <w:tcBorders>
              <w:top w:val="nil"/>
              <w:left w:val="nil"/>
              <w:bottom w:val="nil"/>
              <w:right w:val="nil"/>
            </w:tcBorders>
          </w:tcPr>
          <w:p w14:paraId="27EC996F">
            <w:pPr>
              <w:pStyle w:val="64"/>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地址：</w:t>
            </w:r>
          </w:p>
        </w:tc>
      </w:tr>
      <w:tr w14:paraId="2ACAA236">
        <w:tblPrEx>
          <w:tblCellMar>
            <w:top w:w="0" w:type="dxa"/>
            <w:left w:w="108" w:type="dxa"/>
            <w:bottom w:w="0" w:type="dxa"/>
            <w:right w:w="108" w:type="dxa"/>
          </w:tblCellMar>
        </w:tblPrEx>
        <w:trPr>
          <w:trHeight w:val="90" w:hRule="atLeast"/>
        </w:trPr>
        <w:tc>
          <w:tcPr>
            <w:tcW w:w="4212" w:type="dxa"/>
            <w:tcBorders>
              <w:top w:val="nil"/>
              <w:left w:val="nil"/>
              <w:bottom w:val="nil"/>
              <w:right w:val="nil"/>
            </w:tcBorders>
          </w:tcPr>
          <w:p w14:paraId="15C64B66">
            <w:pPr>
              <w:pStyle w:val="64"/>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法定代表人或授权代表：</w:t>
            </w:r>
          </w:p>
        </w:tc>
        <w:tc>
          <w:tcPr>
            <w:tcW w:w="4167" w:type="dxa"/>
            <w:tcBorders>
              <w:top w:val="nil"/>
              <w:left w:val="nil"/>
              <w:bottom w:val="nil"/>
              <w:right w:val="nil"/>
            </w:tcBorders>
          </w:tcPr>
          <w:p w14:paraId="71CABA86">
            <w:pPr>
              <w:pStyle w:val="64"/>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法定代表人或授权代表：</w:t>
            </w:r>
          </w:p>
        </w:tc>
      </w:tr>
      <w:tr w14:paraId="2AC46F3E">
        <w:tblPrEx>
          <w:tblCellMar>
            <w:top w:w="0" w:type="dxa"/>
            <w:left w:w="108" w:type="dxa"/>
            <w:bottom w:w="0" w:type="dxa"/>
            <w:right w:w="108" w:type="dxa"/>
          </w:tblCellMar>
        </w:tblPrEx>
        <w:trPr>
          <w:trHeight w:val="90" w:hRule="atLeast"/>
        </w:trPr>
        <w:tc>
          <w:tcPr>
            <w:tcW w:w="4212" w:type="dxa"/>
            <w:tcBorders>
              <w:top w:val="nil"/>
              <w:left w:val="nil"/>
              <w:bottom w:val="nil"/>
              <w:right w:val="nil"/>
            </w:tcBorders>
          </w:tcPr>
          <w:p w14:paraId="537333DF">
            <w:pPr>
              <w:pStyle w:val="64"/>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联系电话：</w:t>
            </w:r>
          </w:p>
        </w:tc>
        <w:tc>
          <w:tcPr>
            <w:tcW w:w="4167" w:type="dxa"/>
            <w:tcBorders>
              <w:top w:val="nil"/>
              <w:left w:val="nil"/>
              <w:bottom w:val="nil"/>
              <w:right w:val="nil"/>
            </w:tcBorders>
          </w:tcPr>
          <w:p w14:paraId="2C12E080">
            <w:pPr>
              <w:pStyle w:val="64"/>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联系电话：</w:t>
            </w:r>
          </w:p>
        </w:tc>
      </w:tr>
      <w:tr w14:paraId="4AC101C5">
        <w:tblPrEx>
          <w:tblCellMar>
            <w:top w:w="0" w:type="dxa"/>
            <w:left w:w="108" w:type="dxa"/>
            <w:bottom w:w="0" w:type="dxa"/>
            <w:right w:w="108" w:type="dxa"/>
          </w:tblCellMar>
        </w:tblPrEx>
        <w:trPr>
          <w:trHeight w:val="90" w:hRule="atLeast"/>
        </w:trPr>
        <w:tc>
          <w:tcPr>
            <w:tcW w:w="4212" w:type="dxa"/>
            <w:tcBorders>
              <w:top w:val="nil"/>
              <w:left w:val="nil"/>
              <w:bottom w:val="nil"/>
              <w:right w:val="nil"/>
            </w:tcBorders>
          </w:tcPr>
          <w:p w14:paraId="72FEAEB0">
            <w:pPr>
              <w:pStyle w:val="64"/>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日期：</w:t>
            </w:r>
            <w:r>
              <w:rPr>
                <w:rFonts w:hint="eastAsia" w:hAnsi="宋体" w:eastAsia="宋体" w:cs="宋体"/>
                <w:color w:val="auto"/>
                <w:sz w:val="21"/>
                <w:szCs w:val="21"/>
                <w:highlight w:val="none"/>
                <w:lang w:val="en-US" w:eastAsia="zh-CN"/>
              </w:rPr>
              <w:t>2026</w:t>
            </w:r>
            <w:r>
              <w:rPr>
                <w:rFonts w:hint="eastAsia" w:hAnsi="宋体" w:eastAsia="宋体" w:cs="宋体"/>
                <w:color w:val="auto"/>
                <w:sz w:val="21"/>
                <w:szCs w:val="21"/>
                <w:highlight w:val="none"/>
              </w:rPr>
              <w:t>年</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rPr>
              <w:t xml:space="preserve">月    日  </w:t>
            </w:r>
          </w:p>
        </w:tc>
        <w:tc>
          <w:tcPr>
            <w:tcW w:w="4167" w:type="dxa"/>
            <w:tcBorders>
              <w:top w:val="nil"/>
              <w:left w:val="nil"/>
              <w:bottom w:val="nil"/>
              <w:right w:val="nil"/>
            </w:tcBorders>
          </w:tcPr>
          <w:p w14:paraId="082FCF5C">
            <w:pPr>
              <w:pStyle w:val="64"/>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日期：</w:t>
            </w:r>
            <w:r>
              <w:rPr>
                <w:rFonts w:hint="eastAsia" w:hAnsi="宋体" w:eastAsia="宋体" w:cs="宋体"/>
                <w:color w:val="auto"/>
                <w:sz w:val="21"/>
                <w:szCs w:val="21"/>
                <w:highlight w:val="none"/>
                <w:lang w:val="en-US" w:eastAsia="zh-CN"/>
              </w:rPr>
              <w:t>2026</w:t>
            </w:r>
            <w:r>
              <w:rPr>
                <w:rFonts w:hint="eastAsia" w:hAnsi="宋体" w:eastAsia="宋体" w:cs="宋体"/>
                <w:color w:val="auto"/>
                <w:sz w:val="21"/>
                <w:szCs w:val="21"/>
                <w:highlight w:val="none"/>
              </w:rPr>
              <w:t>年</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rPr>
              <w:t>月    日</w:t>
            </w:r>
          </w:p>
        </w:tc>
      </w:tr>
    </w:tbl>
    <w:p w14:paraId="648D156C">
      <w:pPr>
        <w:jc w:val="center"/>
      </w:pPr>
    </w:p>
    <w:p w14:paraId="3881A75F"/>
    <w:p w14:paraId="73F6C346"/>
    <w:p w14:paraId="49064955"/>
    <w:p w14:paraId="12D4A957"/>
    <w:p w14:paraId="1BD136F7"/>
    <w:p w14:paraId="49C8CA4B"/>
    <w:p w14:paraId="0C02A12C"/>
    <w:p w14:paraId="3AB27C6B"/>
    <w:p w14:paraId="41FCA875"/>
    <w:p w14:paraId="62638707"/>
    <w:p w14:paraId="7086E70A"/>
    <w:p w14:paraId="4BD60937"/>
    <w:p w14:paraId="1B6DBCB1"/>
    <w:p w14:paraId="29983F5D"/>
    <w:p w14:paraId="2F43CDC5"/>
    <w:p w14:paraId="1424A16C"/>
    <w:p w14:paraId="7BCFD00C"/>
    <w:p w14:paraId="3CE9AA63"/>
    <w:p w14:paraId="0C9733AF"/>
    <w:p w14:paraId="4AD65F5D"/>
    <w:p w14:paraId="544E2ED9"/>
    <w:p w14:paraId="2C85B4B9"/>
    <w:p w14:paraId="078F9715"/>
    <w:p w14:paraId="6C4A1A0F"/>
    <w:p w14:paraId="29CAA642"/>
    <w:p w14:paraId="165697DF"/>
    <w:p w14:paraId="7A002886"/>
    <w:p w14:paraId="362A492F"/>
    <w:p w14:paraId="25D89FB1"/>
    <w:p w14:paraId="0A7D60DE"/>
    <w:p w14:paraId="74B69BD7"/>
    <w:p w14:paraId="56751F98"/>
    <w:p w14:paraId="78A962E5"/>
    <w:p w14:paraId="23F583DC"/>
    <w:p w14:paraId="4092D10E"/>
    <w:p w14:paraId="6DC5AAB9"/>
    <w:p w14:paraId="1D16E42E"/>
    <w:p w14:paraId="250E969E"/>
    <w:p w14:paraId="44CDFF7D"/>
    <w:p w14:paraId="5B7A9990"/>
    <w:p w14:paraId="3916377A"/>
    <w:p w14:paraId="390C53F0">
      <w:pPr>
        <w:pStyle w:val="10"/>
        <w:jc w:val="center"/>
        <w:rPr>
          <w:rFonts w:hint="eastAsia"/>
          <w:b/>
          <w:bCs/>
          <w:sz w:val="44"/>
          <w:szCs w:val="44"/>
        </w:rPr>
      </w:pPr>
      <w:r>
        <w:rPr>
          <w:rFonts w:hint="eastAsia"/>
          <w:b/>
          <w:bCs/>
          <w:sz w:val="44"/>
          <w:szCs w:val="44"/>
        </w:rPr>
        <w:t>廉洁合作协议</w:t>
      </w:r>
    </w:p>
    <w:p w14:paraId="2CC3F7E6">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sz w:val="24"/>
          <w:szCs w:val="24"/>
          <w:lang w:eastAsia="zh-CN"/>
        </w:rPr>
      </w:pPr>
      <w:r>
        <w:rPr>
          <w:rFonts w:hint="eastAsia"/>
          <w:sz w:val="24"/>
          <w:szCs w:val="24"/>
        </w:rPr>
        <w:t>甲方名称：</w:t>
      </w:r>
    </w:p>
    <w:p w14:paraId="22D729A9">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sz w:val="24"/>
          <w:szCs w:val="24"/>
          <w:lang w:eastAsia="zh-CN"/>
        </w:rPr>
      </w:pPr>
      <w:r>
        <w:rPr>
          <w:rFonts w:hint="eastAsia"/>
          <w:sz w:val="24"/>
          <w:szCs w:val="24"/>
        </w:rPr>
        <w:t>乙方名称：</w:t>
      </w:r>
    </w:p>
    <w:p w14:paraId="67D9655E">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在甲乙双方订立、履行合同过程中，为保持廉洁自律的工作作风，防止各种不正当行为的发生，甲乙双方订立协议如下：</w:t>
      </w:r>
    </w:p>
    <w:p w14:paraId="42F69B6B">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一、甲乙双方应当自觉遵守国家、地方法律法规以及本合同的约定，在合同的订立、履行过程中廉洁自律。</w:t>
      </w:r>
    </w:p>
    <w:p w14:paraId="122AFF78">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二、甲乙双</w:t>
      </w:r>
      <w:r>
        <w:rPr>
          <w:rFonts w:hint="eastAsia"/>
          <w:sz w:val="24"/>
          <w:szCs w:val="24"/>
          <w:lang w:val="en-US" w:eastAsia="zh-CN"/>
        </w:rPr>
        <w:t>方</w:t>
      </w:r>
      <w:r>
        <w:rPr>
          <w:rFonts w:hint="eastAsia"/>
          <w:sz w:val="24"/>
          <w:szCs w:val="24"/>
        </w:rPr>
        <w:t>工作人员严禁进行商业目的的统方</w:t>
      </w:r>
      <w:r>
        <w:rPr>
          <w:rFonts w:hint="eastAsia"/>
          <w:sz w:val="24"/>
          <w:szCs w:val="24"/>
          <w:lang w:eastAsia="zh-CN"/>
        </w:rPr>
        <w:t>，</w:t>
      </w:r>
      <w:r>
        <w:rPr>
          <w:rFonts w:hint="eastAsia"/>
          <w:sz w:val="24"/>
          <w:szCs w:val="24"/>
          <w:lang w:val="en-US" w:eastAsia="zh-CN"/>
        </w:rPr>
        <w:t>不得对外泄露涉及业务或个人的隐私数据</w:t>
      </w:r>
      <w:r>
        <w:rPr>
          <w:rFonts w:hint="eastAsia"/>
          <w:sz w:val="24"/>
          <w:szCs w:val="24"/>
        </w:rPr>
        <w:t>，</w:t>
      </w:r>
      <w:r>
        <w:rPr>
          <w:rFonts w:hint="eastAsia"/>
          <w:sz w:val="24"/>
          <w:szCs w:val="24"/>
          <w:lang w:val="en-US" w:eastAsia="zh-CN"/>
        </w:rPr>
        <w:t>不得违规规提供医疗机构内未公开的数据、患者用药化验检查诊疗等信息</w:t>
      </w:r>
      <w:r>
        <w:rPr>
          <w:rFonts w:hint="eastAsia"/>
          <w:sz w:val="24"/>
          <w:szCs w:val="24"/>
        </w:rPr>
        <w:t>。</w:t>
      </w:r>
    </w:p>
    <w:p w14:paraId="42432BC0">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三、甲乙双</w:t>
      </w:r>
      <w:r>
        <w:rPr>
          <w:rFonts w:hint="eastAsia"/>
          <w:sz w:val="24"/>
          <w:szCs w:val="24"/>
          <w:lang w:val="en-US" w:eastAsia="zh-CN"/>
        </w:rPr>
        <w:t>方</w:t>
      </w:r>
      <w:r>
        <w:rPr>
          <w:rFonts w:hint="eastAsia"/>
          <w:sz w:val="24"/>
          <w:szCs w:val="24"/>
        </w:rPr>
        <w:t>工作人员应当保持与</w:t>
      </w:r>
      <w:r>
        <w:rPr>
          <w:rFonts w:hint="eastAsia"/>
          <w:sz w:val="24"/>
          <w:szCs w:val="24"/>
          <w:lang w:val="en-US" w:eastAsia="zh-CN"/>
        </w:rPr>
        <w:t>合作</w:t>
      </w:r>
      <w:r>
        <w:rPr>
          <w:rFonts w:hint="eastAsia"/>
          <w:sz w:val="24"/>
          <w:szCs w:val="24"/>
        </w:rPr>
        <w:t>方的正常业务交往，不得以任何形式向</w:t>
      </w:r>
      <w:r>
        <w:rPr>
          <w:rFonts w:hint="eastAsia"/>
          <w:sz w:val="24"/>
          <w:szCs w:val="24"/>
          <w:lang w:val="en-US" w:eastAsia="zh-CN"/>
        </w:rPr>
        <w:t>合作</w:t>
      </w:r>
      <w:r>
        <w:rPr>
          <w:rFonts w:hint="eastAsia"/>
          <w:sz w:val="24"/>
          <w:szCs w:val="24"/>
        </w:rPr>
        <w:t>方索要和收受个人回扣等好处费</w:t>
      </w:r>
      <w:r>
        <w:rPr>
          <w:rFonts w:hint="eastAsia"/>
          <w:sz w:val="24"/>
          <w:szCs w:val="24"/>
          <w:lang w:eastAsia="zh-CN"/>
        </w:rPr>
        <w:t>，</w:t>
      </w:r>
      <w:r>
        <w:rPr>
          <w:rFonts w:hint="eastAsia"/>
          <w:sz w:val="24"/>
          <w:szCs w:val="24"/>
        </w:rPr>
        <w:t>不得接受</w:t>
      </w:r>
      <w:r>
        <w:rPr>
          <w:rFonts w:hint="eastAsia"/>
          <w:sz w:val="24"/>
          <w:szCs w:val="24"/>
          <w:lang w:val="en-US" w:eastAsia="zh-CN"/>
        </w:rPr>
        <w:t>合作</w:t>
      </w:r>
      <w:r>
        <w:rPr>
          <w:rFonts w:hint="eastAsia"/>
          <w:sz w:val="24"/>
          <w:szCs w:val="24"/>
        </w:rPr>
        <w:t>方</w:t>
      </w:r>
      <w:r>
        <w:rPr>
          <w:rFonts w:hint="eastAsia"/>
          <w:sz w:val="24"/>
          <w:szCs w:val="24"/>
          <w:lang w:val="en-US" w:eastAsia="zh-CN"/>
        </w:rPr>
        <w:t>或其关联机构</w:t>
      </w:r>
      <w:r>
        <w:rPr>
          <w:rFonts w:hint="eastAsia"/>
          <w:sz w:val="24"/>
          <w:szCs w:val="24"/>
        </w:rPr>
        <w:t>的礼金、有价证券和贵重物品。</w:t>
      </w:r>
    </w:p>
    <w:p w14:paraId="77E897C2">
      <w:pPr>
        <w:keepNext w:val="0"/>
        <w:keepLines w:val="0"/>
        <w:widowControl/>
        <w:suppressLineNumbers w:val="0"/>
        <w:ind w:firstLine="480" w:firstLineChars="200"/>
        <w:jc w:val="left"/>
        <w:rPr>
          <w:rFonts w:hint="eastAsia"/>
          <w:sz w:val="24"/>
          <w:szCs w:val="24"/>
          <w:lang w:val="en-US" w:eastAsia="zh-CN"/>
        </w:rPr>
      </w:pPr>
      <w:r>
        <w:rPr>
          <w:rFonts w:hint="eastAsia"/>
          <w:sz w:val="24"/>
          <w:szCs w:val="24"/>
        </w:rPr>
        <w:t>四、甲乙双</w:t>
      </w:r>
      <w:r>
        <w:rPr>
          <w:rFonts w:hint="eastAsia"/>
          <w:sz w:val="24"/>
          <w:szCs w:val="24"/>
          <w:lang w:val="en-US" w:eastAsia="zh-CN"/>
        </w:rPr>
        <w:t>方</w:t>
      </w:r>
      <w:r>
        <w:rPr>
          <w:rFonts w:hint="eastAsia"/>
          <w:sz w:val="24"/>
          <w:szCs w:val="24"/>
        </w:rPr>
        <w:t>工作人员不得参加可能对公正开展业务有影响的</w:t>
      </w:r>
      <w:r>
        <w:rPr>
          <w:rFonts w:hint="eastAsia"/>
          <w:sz w:val="24"/>
          <w:szCs w:val="24"/>
          <w:lang w:val="en-US" w:eastAsia="zh-CN"/>
        </w:rPr>
        <w:t>宴请、旅游、学习、考察、健身、娱乐活动等，不以讲课费、顾问费、咨询费、课题费等名义牟取高额利益，不违规在对方机构等兼（任）职并取酬，不利用职权为本人及特定关系人经商办企业提供便利条件。</w:t>
      </w:r>
    </w:p>
    <w:p w14:paraId="78573438">
      <w:pPr>
        <w:keepNext w:val="0"/>
        <w:keepLines w:val="0"/>
        <w:widowControl/>
        <w:suppressLineNumbers w:val="0"/>
        <w:ind w:firstLine="480" w:firstLineChars="200"/>
        <w:jc w:val="left"/>
        <w:rPr>
          <w:rFonts w:hint="eastAsia"/>
          <w:sz w:val="24"/>
          <w:szCs w:val="24"/>
        </w:rPr>
      </w:pPr>
      <w:r>
        <w:rPr>
          <w:rFonts w:hint="eastAsia"/>
          <w:sz w:val="24"/>
          <w:szCs w:val="24"/>
        </w:rPr>
        <w:t>五、甲乙双</w:t>
      </w:r>
      <w:r>
        <w:rPr>
          <w:rFonts w:hint="eastAsia"/>
          <w:sz w:val="24"/>
          <w:szCs w:val="24"/>
          <w:lang w:val="en-US" w:eastAsia="zh-CN"/>
        </w:rPr>
        <w:t>方</w:t>
      </w:r>
      <w:r>
        <w:rPr>
          <w:rFonts w:hint="eastAsia"/>
          <w:sz w:val="24"/>
          <w:szCs w:val="24"/>
        </w:rPr>
        <w:t>工作人员不得要求或者接受</w:t>
      </w:r>
      <w:r>
        <w:rPr>
          <w:rFonts w:hint="eastAsia"/>
          <w:sz w:val="24"/>
          <w:szCs w:val="24"/>
          <w:lang w:val="en-US" w:eastAsia="zh-CN"/>
        </w:rPr>
        <w:t>合作</w:t>
      </w:r>
      <w:r>
        <w:rPr>
          <w:rFonts w:hint="eastAsia"/>
          <w:sz w:val="24"/>
          <w:szCs w:val="24"/>
        </w:rPr>
        <w:t>方为其住房装修、婚丧嫁娶、家属和子女的工作安排以及出国等提供方便。不得接受</w:t>
      </w:r>
      <w:r>
        <w:rPr>
          <w:rFonts w:hint="eastAsia"/>
          <w:sz w:val="24"/>
          <w:szCs w:val="24"/>
          <w:lang w:val="en-US" w:eastAsia="zh-CN"/>
        </w:rPr>
        <w:t>合作方</w:t>
      </w:r>
      <w:r>
        <w:rPr>
          <w:rFonts w:hint="eastAsia"/>
          <w:sz w:val="24"/>
          <w:szCs w:val="24"/>
        </w:rPr>
        <w:t>工作人员介绍的家属</w:t>
      </w:r>
      <w:r>
        <w:rPr>
          <w:rFonts w:hint="eastAsia"/>
          <w:sz w:val="24"/>
          <w:szCs w:val="24"/>
          <w:lang w:eastAsia="zh-CN"/>
        </w:rPr>
        <w:t>、</w:t>
      </w:r>
      <w:r>
        <w:rPr>
          <w:rFonts w:hint="eastAsia"/>
          <w:sz w:val="24"/>
          <w:szCs w:val="24"/>
        </w:rPr>
        <w:t>亲友</w:t>
      </w:r>
      <w:r>
        <w:rPr>
          <w:rFonts w:hint="eastAsia"/>
          <w:sz w:val="24"/>
          <w:szCs w:val="24"/>
          <w:lang w:val="en-US" w:eastAsia="zh-CN"/>
        </w:rPr>
        <w:t>等关系人</w:t>
      </w:r>
      <w:r>
        <w:rPr>
          <w:rFonts w:hint="eastAsia"/>
          <w:sz w:val="24"/>
          <w:szCs w:val="24"/>
        </w:rPr>
        <w:t>从事与合同相关的业务。</w:t>
      </w:r>
    </w:p>
    <w:p w14:paraId="603A89B1">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六、甲乙双</w:t>
      </w:r>
      <w:r>
        <w:rPr>
          <w:rFonts w:hint="eastAsia"/>
          <w:sz w:val="24"/>
          <w:szCs w:val="24"/>
          <w:lang w:val="en-US" w:eastAsia="zh-CN"/>
        </w:rPr>
        <w:t>方工作人员不在交往中发生违背公序良俗行为，不通过合作方机构或关联机构支付或报销应当由本人支付的费用，不接受合作方提供的学术论文发表、个人关系疏通、工作生活照护等便利，不在医药产品院内推荐、采购、使用、管理等环节中接受不当利益，不通过编造学术讲课虚假理由等方式收受利益、收取超标准报酬、接受超规格接待等。</w:t>
      </w:r>
    </w:p>
    <w:p w14:paraId="18E3E16C">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七、甲乙双</w:t>
      </w:r>
      <w:r>
        <w:rPr>
          <w:rFonts w:hint="eastAsia"/>
          <w:sz w:val="24"/>
          <w:szCs w:val="24"/>
          <w:lang w:val="en-US" w:eastAsia="zh-CN"/>
        </w:rPr>
        <w:t>方</w:t>
      </w:r>
      <w:r>
        <w:rPr>
          <w:rFonts w:hint="eastAsia"/>
          <w:sz w:val="24"/>
          <w:szCs w:val="24"/>
        </w:rPr>
        <w:t>不得</w:t>
      </w:r>
      <w:r>
        <w:rPr>
          <w:rFonts w:hint="eastAsia"/>
          <w:sz w:val="24"/>
          <w:szCs w:val="24"/>
          <w:lang w:val="en-US" w:eastAsia="zh-CN"/>
        </w:rPr>
        <w:t>采用任何方式向对方索要、摊派或者变相摊派捐赠，不违规接受与医院采购、知识产权、科研成果、行业数据及信息等权利和主张相关的捐赠。</w:t>
      </w:r>
    </w:p>
    <w:p w14:paraId="7F56033D">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八、如发现工作人员有违反</w:t>
      </w:r>
      <w:r>
        <w:rPr>
          <w:rFonts w:hint="eastAsia"/>
          <w:sz w:val="24"/>
          <w:szCs w:val="24"/>
          <w:lang w:val="en-US" w:eastAsia="zh-CN"/>
        </w:rPr>
        <w:t>上</w:t>
      </w:r>
      <w:r>
        <w:rPr>
          <w:rFonts w:hint="eastAsia"/>
          <w:sz w:val="24"/>
          <w:szCs w:val="24"/>
        </w:rPr>
        <w:t>述合同者，应向</w:t>
      </w:r>
      <w:r>
        <w:rPr>
          <w:rFonts w:hint="eastAsia"/>
          <w:sz w:val="24"/>
          <w:szCs w:val="24"/>
          <w:lang w:val="en-US" w:eastAsia="zh-CN"/>
        </w:rPr>
        <w:t>医院纪检部门举报（医院</w:t>
      </w:r>
      <w:r>
        <w:rPr>
          <w:rFonts w:hint="eastAsia"/>
          <w:sz w:val="24"/>
          <w:szCs w:val="24"/>
        </w:rPr>
        <w:t>举报接待部门：纪委办公室：举报电话：87907263</w:t>
      </w:r>
      <w:r>
        <w:rPr>
          <w:rFonts w:hint="eastAsia"/>
          <w:sz w:val="24"/>
          <w:szCs w:val="24"/>
          <w:lang w:eastAsia="zh-CN"/>
        </w:rPr>
        <w:t>，</w:t>
      </w:r>
      <w:r>
        <w:rPr>
          <w:rFonts w:hint="eastAsia"/>
          <w:sz w:val="24"/>
          <w:szCs w:val="24"/>
          <w:lang w:val="en-US" w:eastAsia="zh-CN"/>
        </w:rPr>
        <w:t>电子邮箱：</w:t>
      </w:r>
      <w:r>
        <w:rPr>
          <w:rFonts w:hint="eastAsia"/>
          <w:sz w:val="24"/>
          <w:szCs w:val="24"/>
        </w:rPr>
        <w:fldChar w:fldCharType="begin"/>
      </w:r>
      <w:r>
        <w:rPr>
          <w:rFonts w:hint="eastAsia"/>
          <w:sz w:val="24"/>
          <w:szCs w:val="24"/>
        </w:rPr>
        <w:instrText xml:space="preserve"> HYPERLINK "https://yangzhouyiyuan.com/infoSon/17/19/26" </w:instrText>
      </w:r>
      <w:r>
        <w:rPr>
          <w:rFonts w:hint="eastAsia"/>
          <w:sz w:val="24"/>
          <w:szCs w:val="24"/>
        </w:rPr>
        <w:fldChar w:fldCharType="separate"/>
      </w:r>
      <w:r>
        <w:rPr>
          <w:rFonts w:hint="eastAsia"/>
          <w:sz w:val="24"/>
          <w:szCs w:val="24"/>
        </w:rPr>
        <w:t>yyyjcs@126.com</w:t>
      </w:r>
      <w:r>
        <w:rPr>
          <w:rFonts w:hint="eastAsia"/>
          <w:sz w:val="24"/>
          <w:szCs w:val="24"/>
        </w:rPr>
        <w:fldChar w:fldCharType="end"/>
      </w:r>
      <w:r>
        <w:rPr>
          <w:rFonts w:hint="eastAsia"/>
          <w:sz w:val="24"/>
          <w:szCs w:val="24"/>
          <w:lang w:eastAsia="zh-CN"/>
        </w:rPr>
        <w:t>）</w:t>
      </w:r>
      <w:r>
        <w:rPr>
          <w:rFonts w:hint="eastAsia"/>
          <w:sz w:val="24"/>
          <w:szCs w:val="24"/>
        </w:rPr>
        <w:t>。</w:t>
      </w:r>
      <w:r>
        <w:rPr>
          <w:rFonts w:hint="eastAsia"/>
          <w:sz w:val="24"/>
          <w:szCs w:val="24"/>
          <w:lang w:val="en-US" w:eastAsia="zh-CN"/>
        </w:rPr>
        <w:t>被投诉</w:t>
      </w:r>
      <w:r>
        <w:rPr>
          <w:rFonts w:hint="eastAsia"/>
          <w:sz w:val="24"/>
          <w:szCs w:val="24"/>
        </w:rPr>
        <w:t>方不得找任何借口对</w:t>
      </w:r>
      <w:r>
        <w:rPr>
          <w:rFonts w:hint="eastAsia"/>
          <w:sz w:val="24"/>
          <w:szCs w:val="24"/>
          <w:lang w:val="en-US" w:eastAsia="zh-CN"/>
        </w:rPr>
        <w:t>投诉人进行</w:t>
      </w:r>
      <w:r>
        <w:rPr>
          <w:rFonts w:hint="eastAsia"/>
          <w:sz w:val="24"/>
          <w:szCs w:val="24"/>
        </w:rPr>
        <w:t>报复。</w:t>
      </w:r>
    </w:p>
    <w:p w14:paraId="1BF12B61">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九、</w:t>
      </w:r>
      <w:r>
        <w:rPr>
          <w:rFonts w:hint="eastAsia"/>
          <w:sz w:val="24"/>
          <w:szCs w:val="24"/>
          <w:lang w:val="en-US" w:eastAsia="zh-CN"/>
        </w:rPr>
        <w:t>任何一方发现对方</w:t>
      </w:r>
      <w:r>
        <w:rPr>
          <w:rFonts w:hint="eastAsia"/>
          <w:sz w:val="24"/>
          <w:szCs w:val="24"/>
        </w:rPr>
        <w:t>有违反本合同或者采用不正当的手段行贿</w:t>
      </w:r>
      <w:r>
        <w:rPr>
          <w:rFonts w:hint="eastAsia"/>
          <w:sz w:val="24"/>
          <w:szCs w:val="24"/>
          <w:lang w:val="en-US" w:eastAsia="zh-CN"/>
        </w:rPr>
        <w:t>合作方</w:t>
      </w:r>
      <w:r>
        <w:rPr>
          <w:rFonts w:hint="eastAsia"/>
          <w:sz w:val="24"/>
          <w:szCs w:val="24"/>
        </w:rPr>
        <w:t>工作人员等不正当竞争行为的，有权解除合同。</w:t>
      </w:r>
    </w:p>
    <w:p w14:paraId="62F30A37">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十、本廉洁协议作为合同的附件，与合同具有同等法律效力。经合同双方签署后立即生效。</w:t>
      </w:r>
    </w:p>
    <w:p w14:paraId="4ED34370">
      <w:pPr>
        <w:pStyle w:val="10"/>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十一、本协议一式肆份，甲、乙双方各执贰份，从签订之日起生效。</w:t>
      </w:r>
    </w:p>
    <w:p w14:paraId="70DD53CA">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p>
    <w:p w14:paraId="467C182B">
      <w:pPr>
        <w:pStyle w:val="1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hAnsi="宋体" w:eastAsia="宋体" w:cs="宋体"/>
          <w:color w:val="auto"/>
          <w:sz w:val="21"/>
          <w:szCs w:val="21"/>
          <w:highlight w:val="none"/>
          <w:lang w:val="en-US" w:eastAsia="zh-CN"/>
        </w:rPr>
      </w:pPr>
      <w:r>
        <w:rPr>
          <w:rFonts w:hint="eastAsia"/>
          <w:sz w:val="24"/>
          <w:szCs w:val="24"/>
        </w:rPr>
        <w:t>甲方：(</w:t>
      </w:r>
      <w:r>
        <w:rPr>
          <w:rFonts w:hint="eastAsia"/>
          <w:sz w:val="24"/>
          <w:szCs w:val="24"/>
          <w:lang w:val="en-US" w:eastAsia="zh-CN"/>
        </w:rPr>
        <w:t>盖</w:t>
      </w:r>
      <w:r>
        <w:rPr>
          <w:rFonts w:hint="eastAsia"/>
          <w:sz w:val="24"/>
          <w:szCs w:val="24"/>
        </w:rPr>
        <w:t>章)</w:t>
      </w:r>
      <w:r>
        <w:rPr>
          <w:rFonts w:hint="eastAsia"/>
          <w:sz w:val="24"/>
          <w:szCs w:val="24"/>
          <w:lang w:val="en-US" w:eastAsia="zh-CN"/>
        </w:rPr>
        <w:t xml:space="preserve">                            </w:t>
      </w:r>
      <w:r>
        <w:rPr>
          <w:rFonts w:hint="eastAsia"/>
          <w:sz w:val="24"/>
          <w:szCs w:val="24"/>
        </w:rPr>
        <w:t>乙方：(盖章)</w:t>
      </w:r>
    </w:p>
    <w:p w14:paraId="4DEA81DE">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color w:val="auto"/>
          <w:sz w:val="21"/>
          <w:szCs w:val="21"/>
          <w:highlight w:val="none"/>
          <w:lang w:val="en-US" w:eastAsia="zh-CN"/>
        </w:rPr>
      </w:pPr>
    </w:p>
    <w:p w14:paraId="61BA43D7">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sz w:val="24"/>
          <w:szCs w:val="24"/>
          <w:lang w:val="en-US" w:eastAsia="zh-CN"/>
        </w:rPr>
      </w:pPr>
      <w:r>
        <w:rPr>
          <w:rFonts w:hint="eastAsia"/>
          <w:sz w:val="24"/>
          <w:szCs w:val="24"/>
        </w:rPr>
        <w:t>法定代表人(或授权签约人)：</w:t>
      </w:r>
      <w:r>
        <w:rPr>
          <w:rFonts w:hint="eastAsia"/>
          <w:sz w:val="24"/>
          <w:szCs w:val="24"/>
          <w:lang w:val="en-US" w:eastAsia="zh-CN"/>
        </w:rPr>
        <w:t xml:space="preserve">              </w:t>
      </w:r>
      <w:r>
        <w:rPr>
          <w:rFonts w:hint="eastAsia"/>
          <w:sz w:val="24"/>
          <w:szCs w:val="24"/>
        </w:rPr>
        <w:t>法定代表人(或授权签约人)：</w:t>
      </w:r>
    </w:p>
    <w:p w14:paraId="5C87D221">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p>
    <w:p w14:paraId="453DE4E3">
      <w:pPr>
        <w:pStyle w:val="10"/>
        <w:keepNext w:val="0"/>
        <w:keepLines w:val="0"/>
        <w:pageBreakBefore w:val="0"/>
        <w:widowControl w:val="0"/>
        <w:kinsoku/>
        <w:wordWrap/>
        <w:overflowPunct/>
        <w:topLinePunct w:val="0"/>
        <w:autoSpaceDE/>
        <w:autoSpaceDN/>
        <w:bidi w:val="0"/>
        <w:adjustRightInd/>
        <w:snapToGrid/>
        <w:spacing w:line="240" w:lineRule="auto"/>
        <w:jc w:val="left"/>
        <w:textAlignment w:val="auto"/>
        <w:rPr>
          <w:sz w:val="21"/>
        </w:rPr>
      </w:pPr>
      <w:r>
        <w:rPr>
          <w:rFonts w:hint="eastAsia"/>
          <w:sz w:val="24"/>
          <w:szCs w:val="24"/>
        </w:rPr>
        <w:t>日期：</w:t>
      </w:r>
      <w:r>
        <w:rPr>
          <w:rFonts w:hint="eastAsia"/>
          <w:sz w:val="24"/>
          <w:szCs w:val="24"/>
          <w:lang w:val="en-US" w:eastAsia="zh-CN"/>
        </w:rPr>
        <w:t xml:space="preserve">2026年  月  日                   </w:t>
      </w:r>
      <w:r>
        <w:rPr>
          <w:rFonts w:hint="eastAsia"/>
          <w:sz w:val="24"/>
          <w:szCs w:val="24"/>
        </w:rPr>
        <w:t>日期：</w:t>
      </w:r>
      <w:r>
        <w:rPr>
          <w:rFonts w:hint="eastAsia"/>
          <w:sz w:val="24"/>
          <w:szCs w:val="24"/>
          <w:lang w:val="en-US" w:eastAsia="zh-CN"/>
        </w:rPr>
        <w:t>2026年  月  日</w:t>
      </w:r>
    </w:p>
    <w:p w14:paraId="253D3977">
      <w:pPr>
        <w:spacing w:line="360" w:lineRule="auto"/>
        <w:jc w:val="center"/>
        <w:rPr>
          <w:rFonts w:eastAsia="楷体"/>
        </w:rPr>
      </w:pPr>
    </w:p>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8102457"/>
    </w:sdtPr>
    <w:sdtContent>
      <w:p w14:paraId="757588D4">
        <w:pPr>
          <w:pStyle w:val="14"/>
          <w:jc w:val="center"/>
        </w:pPr>
        <w:r>
          <w:fldChar w:fldCharType="begin"/>
        </w:r>
        <w:r>
          <w:instrText xml:space="preserve">PAGE   \* MERGEFORMAT</w:instrText>
        </w:r>
        <w:r>
          <w:fldChar w:fldCharType="separate"/>
        </w:r>
        <w:r>
          <w:rPr>
            <w:lang w:val="zh-CN"/>
          </w:rPr>
          <w:t>1</w:t>
        </w:r>
        <w:r>
          <w:rPr>
            <w:lang w:val="zh-CN"/>
          </w:rPr>
          <w:fldChar w:fldCharType="end"/>
        </w:r>
      </w:p>
    </w:sdtContent>
  </w:sdt>
  <w:p w14:paraId="65962D4F">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17F55"/>
    <w:multiLevelType w:val="singleLevel"/>
    <w:tmpl w:val="82C17F55"/>
    <w:lvl w:ilvl="0" w:tentative="0">
      <w:start w:val="2"/>
      <w:numFmt w:val="chineseCounting"/>
      <w:suff w:val="nothing"/>
      <w:lvlText w:val="%1、"/>
      <w:lvlJc w:val="left"/>
      <w:rPr>
        <w:rFonts w:hint="eastAsia"/>
      </w:rPr>
    </w:lvl>
  </w:abstractNum>
  <w:abstractNum w:abstractNumId="1">
    <w:nsid w:val="B65BD28B"/>
    <w:multiLevelType w:val="singleLevel"/>
    <w:tmpl w:val="B65BD28B"/>
    <w:lvl w:ilvl="0" w:tentative="0">
      <w:start w:val="2"/>
      <w:numFmt w:val="decimal"/>
      <w:lvlText w:val="（%1)"/>
      <w:lvlJc w:val="left"/>
      <w:pPr>
        <w:tabs>
          <w:tab w:val="left" w:pos="312"/>
        </w:tabs>
      </w:pPr>
    </w:lvl>
  </w:abstractNum>
  <w:abstractNum w:abstractNumId="2">
    <w:nsid w:val="FFFFFF83"/>
    <w:multiLevelType w:val="singleLevel"/>
    <w:tmpl w:val="FFFFFF83"/>
    <w:lvl w:ilvl="0" w:tentative="0">
      <w:start w:val="1"/>
      <w:numFmt w:val="bullet"/>
      <w:pStyle w:val="8"/>
      <w:lvlText w:val=""/>
      <w:lvlJc w:val="left"/>
      <w:pPr>
        <w:tabs>
          <w:tab w:val="left" w:pos="780"/>
        </w:tabs>
        <w:ind w:left="780" w:hanging="360"/>
      </w:pPr>
      <w:rPr>
        <w:rFonts w:hint="default" w:ascii="Wingdings" w:hAnsi="Wingdings"/>
      </w:rPr>
    </w:lvl>
  </w:abstractNum>
  <w:abstractNum w:abstractNumId="3">
    <w:nsid w:val="71482257"/>
    <w:multiLevelType w:val="singleLevel"/>
    <w:tmpl w:val="71482257"/>
    <w:lvl w:ilvl="0" w:tentative="0">
      <w:start w:val="2026"/>
      <w:numFmt w:val="decimal"/>
      <w:suff w:val="space"/>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AzNWIxMjExZDFiZjdkNzkyY2YwZTU2YWJhYzY1MTYifQ=="/>
  </w:docVars>
  <w:rsids>
    <w:rsidRoot w:val="004B6C46"/>
    <w:rsid w:val="00000BF9"/>
    <w:rsid w:val="0000270E"/>
    <w:rsid w:val="0000425E"/>
    <w:rsid w:val="000058AF"/>
    <w:rsid w:val="00006F20"/>
    <w:rsid w:val="000077B3"/>
    <w:rsid w:val="00010637"/>
    <w:rsid w:val="000106D7"/>
    <w:rsid w:val="00015063"/>
    <w:rsid w:val="00015440"/>
    <w:rsid w:val="00017A0A"/>
    <w:rsid w:val="000211A7"/>
    <w:rsid w:val="00023EE4"/>
    <w:rsid w:val="000251B0"/>
    <w:rsid w:val="00027A9E"/>
    <w:rsid w:val="00031E4A"/>
    <w:rsid w:val="000324B6"/>
    <w:rsid w:val="000342A5"/>
    <w:rsid w:val="0003700B"/>
    <w:rsid w:val="00041B7A"/>
    <w:rsid w:val="00041BA1"/>
    <w:rsid w:val="00042874"/>
    <w:rsid w:val="000430AB"/>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002"/>
    <w:rsid w:val="000C35E5"/>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468A4"/>
    <w:rsid w:val="00152C2A"/>
    <w:rsid w:val="00153F6A"/>
    <w:rsid w:val="00155B28"/>
    <w:rsid w:val="0015741C"/>
    <w:rsid w:val="00160F65"/>
    <w:rsid w:val="00162243"/>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57B3"/>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3D2"/>
    <w:rsid w:val="00284D1D"/>
    <w:rsid w:val="00285D3E"/>
    <w:rsid w:val="00285E69"/>
    <w:rsid w:val="00287508"/>
    <w:rsid w:val="00291B7B"/>
    <w:rsid w:val="00295864"/>
    <w:rsid w:val="00296FA7"/>
    <w:rsid w:val="002A31E8"/>
    <w:rsid w:val="002A3D2D"/>
    <w:rsid w:val="002A407D"/>
    <w:rsid w:val="002B1280"/>
    <w:rsid w:val="002B154D"/>
    <w:rsid w:val="002B3E1C"/>
    <w:rsid w:val="002B3F78"/>
    <w:rsid w:val="002B4315"/>
    <w:rsid w:val="002B5979"/>
    <w:rsid w:val="002B7C7B"/>
    <w:rsid w:val="002C08F2"/>
    <w:rsid w:val="002C6CB2"/>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B23"/>
    <w:rsid w:val="00351765"/>
    <w:rsid w:val="003525C6"/>
    <w:rsid w:val="003541C5"/>
    <w:rsid w:val="00354287"/>
    <w:rsid w:val="003549F0"/>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4DBE"/>
    <w:rsid w:val="004659CB"/>
    <w:rsid w:val="00471D00"/>
    <w:rsid w:val="00471ECB"/>
    <w:rsid w:val="00472820"/>
    <w:rsid w:val="00473067"/>
    <w:rsid w:val="00473D5B"/>
    <w:rsid w:val="00475303"/>
    <w:rsid w:val="00480AED"/>
    <w:rsid w:val="004818BD"/>
    <w:rsid w:val="004822DF"/>
    <w:rsid w:val="00483498"/>
    <w:rsid w:val="00484905"/>
    <w:rsid w:val="00484CED"/>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B74D4"/>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3C96"/>
    <w:rsid w:val="00625D25"/>
    <w:rsid w:val="006262D3"/>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3A07"/>
    <w:rsid w:val="0075695D"/>
    <w:rsid w:val="007574E9"/>
    <w:rsid w:val="00761227"/>
    <w:rsid w:val="00763D7D"/>
    <w:rsid w:val="00764D37"/>
    <w:rsid w:val="00764D8E"/>
    <w:rsid w:val="00766160"/>
    <w:rsid w:val="00770E16"/>
    <w:rsid w:val="00771D22"/>
    <w:rsid w:val="00774CC5"/>
    <w:rsid w:val="00775007"/>
    <w:rsid w:val="0077512A"/>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0C05"/>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8B1"/>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4932"/>
    <w:rsid w:val="008651A5"/>
    <w:rsid w:val="00871473"/>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0C26"/>
    <w:rsid w:val="008C1C42"/>
    <w:rsid w:val="008C1EBA"/>
    <w:rsid w:val="008C27D9"/>
    <w:rsid w:val="008C32BE"/>
    <w:rsid w:val="008C3EB3"/>
    <w:rsid w:val="008C4DC6"/>
    <w:rsid w:val="008C4F39"/>
    <w:rsid w:val="008C56BC"/>
    <w:rsid w:val="008C5BD3"/>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264A6"/>
    <w:rsid w:val="009303C1"/>
    <w:rsid w:val="009337DA"/>
    <w:rsid w:val="0093404B"/>
    <w:rsid w:val="00935621"/>
    <w:rsid w:val="00940DF1"/>
    <w:rsid w:val="009413FF"/>
    <w:rsid w:val="00942348"/>
    <w:rsid w:val="00945472"/>
    <w:rsid w:val="009455EF"/>
    <w:rsid w:val="00946902"/>
    <w:rsid w:val="00950394"/>
    <w:rsid w:val="00950D08"/>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07CFF"/>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57F4D"/>
    <w:rsid w:val="00A637CA"/>
    <w:rsid w:val="00A7229B"/>
    <w:rsid w:val="00A733BB"/>
    <w:rsid w:val="00A75763"/>
    <w:rsid w:val="00A76451"/>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642"/>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5E8F"/>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73A7"/>
    <w:rsid w:val="00B67715"/>
    <w:rsid w:val="00B7091C"/>
    <w:rsid w:val="00B71289"/>
    <w:rsid w:val="00B72B6A"/>
    <w:rsid w:val="00B737F3"/>
    <w:rsid w:val="00B73919"/>
    <w:rsid w:val="00B73AEC"/>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30A4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145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B613F"/>
    <w:rsid w:val="00CC0F77"/>
    <w:rsid w:val="00CC2C9D"/>
    <w:rsid w:val="00CC334C"/>
    <w:rsid w:val="00CC3556"/>
    <w:rsid w:val="00CC37AF"/>
    <w:rsid w:val="00CC3EC7"/>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1A24"/>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6549"/>
    <w:rsid w:val="00D77761"/>
    <w:rsid w:val="00D81E33"/>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D43C3"/>
    <w:rsid w:val="00DD5611"/>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0E57"/>
    <w:rsid w:val="00F71CCC"/>
    <w:rsid w:val="00F73483"/>
    <w:rsid w:val="00F736DB"/>
    <w:rsid w:val="00F7565F"/>
    <w:rsid w:val="00F76DBA"/>
    <w:rsid w:val="00F7707C"/>
    <w:rsid w:val="00F82E64"/>
    <w:rsid w:val="00F8431A"/>
    <w:rsid w:val="00F869F0"/>
    <w:rsid w:val="00F90213"/>
    <w:rsid w:val="00F916AA"/>
    <w:rsid w:val="00F92509"/>
    <w:rsid w:val="00F9257C"/>
    <w:rsid w:val="00F934B0"/>
    <w:rsid w:val="00F952BC"/>
    <w:rsid w:val="00F95844"/>
    <w:rsid w:val="00F96766"/>
    <w:rsid w:val="00F979B8"/>
    <w:rsid w:val="00FA08E7"/>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2BD42DE"/>
    <w:rsid w:val="03041433"/>
    <w:rsid w:val="068C4033"/>
    <w:rsid w:val="07443763"/>
    <w:rsid w:val="0865499C"/>
    <w:rsid w:val="092B7FA2"/>
    <w:rsid w:val="0CE00754"/>
    <w:rsid w:val="10EC38B5"/>
    <w:rsid w:val="160B65B8"/>
    <w:rsid w:val="181B00DE"/>
    <w:rsid w:val="1CFD4BB7"/>
    <w:rsid w:val="1D1E7436"/>
    <w:rsid w:val="1E452806"/>
    <w:rsid w:val="1EE97BD3"/>
    <w:rsid w:val="20473BA3"/>
    <w:rsid w:val="20810F37"/>
    <w:rsid w:val="24903D54"/>
    <w:rsid w:val="27475E96"/>
    <w:rsid w:val="29AC0C5F"/>
    <w:rsid w:val="2A7028F9"/>
    <w:rsid w:val="2B0A6292"/>
    <w:rsid w:val="2EAF0755"/>
    <w:rsid w:val="34C91EAC"/>
    <w:rsid w:val="35F8791E"/>
    <w:rsid w:val="41ED07ED"/>
    <w:rsid w:val="44557CE5"/>
    <w:rsid w:val="4A1240B3"/>
    <w:rsid w:val="4D2A7712"/>
    <w:rsid w:val="4E462DBA"/>
    <w:rsid w:val="4F2B257A"/>
    <w:rsid w:val="517E2641"/>
    <w:rsid w:val="54262ACF"/>
    <w:rsid w:val="55FE375F"/>
    <w:rsid w:val="56BD0B29"/>
    <w:rsid w:val="5B603A70"/>
    <w:rsid w:val="5D8C204C"/>
    <w:rsid w:val="5E112627"/>
    <w:rsid w:val="602042D5"/>
    <w:rsid w:val="639F1B94"/>
    <w:rsid w:val="66AE269A"/>
    <w:rsid w:val="69FA3B9E"/>
    <w:rsid w:val="6BE7707E"/>
    <w:rsid w:val="71A45F17"/>
    <w:rsid w:val="734A47CF"/>
    <w:rsid w:val="763527EB"/>
    <w:rsid w:val="775213D7"/>
    <w:rsid w:val="775F5EBE"/>
    <w:rsid w:val="788F13C9"/>
    <w:rsid w:val="7E6C1254"/>
    <w:rsid w:val="7F6A1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9"/>
    <w:qFormat/>
    <w:uiPriority w:val="0"/>
    <w:pPr>
      <w:keepNext/>
      <w:spacing w:line="360" w:lineRule="auto"/>
      <w:jc w:val="center"/>
      <w:outlineLvl w:val="0"/>
    </w:pPr>
    <w:rPr>
      <w:rFonts w:ascii="宋体" w:hAnsi="宋体" w:cs="宋体"/>
      <w:b/>
      <w:sz w:val="28"/>
      <w:szCs w:val="20"/>
    </w:rPr>
  </w:style>
  <w:style w:type="paragraph" w:styleId="3">
    <w:name w:val="heading 3"/>
    <w:basedOn w:val="1"/>
    <w:next w:val="1"/>
    <w:link w:val="30"/>
    <w:semiHidden/>
    <w:unhideWhenUsed/>
    <w:qFormat/>
    <w:uiPriority w:val="0"/>
    <w:pPr>
      <w:keepNext/>
      <w:keepLines/>
      <w:spacing w:before="260" w:after="260" w:line="412" w:lineRule="auto"/>
      <w:outlineLvl w:val="2"/>
    </w:pPr>
    <w:rPr>
      <w:rFonts w:cs="宋体"/>
      <w:b/>
      <w:sz w:val="32"/>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semiHidden/>
    <w:unhideWhenUsed/>
    <w:qFormat/>
    <w:uiPriority w:val="99"/>
    <w:pPr>
      <w:ind w:firstLine="420"/>
    </w:pPr>
  </w:style>
  <w:style w:type="paragraph" w:styleId="5">
    <w:name w:val="annotation text"/>
    <w:basedOn w:val="1"/>
    <w:link w:val="31"/>
    <w:semiHidden/>
    <w:unhideWhenUsed/>
    <w:qFormat/>
    <w:uiPriority w:val="99"/>
    <w:pPr>
      <w:jc w:val="left"/>
    </w:pPr>
  </w:style>
  <w:style w:type="paragraph" w:styleId="6">
    <w:name w:val="Body Text"/>
    <w:basedOn w:val="1"/>
    <w:link w:val="35"/>
    <w:semiHidden/>
    <w:unhideWhenUsed/>
    <w:qFormat/>
    <w:uiPriority w:val="99"/>
    <w:pPr>
      <w:jc w:val="left"/>
    </w:pPr>
    <w:rPr>
      <w:rFonts w:ascii="楷体_GB2312" w:hAnsi="华文楷体" w:eastAsia="楷体_GB2312"/>
      <w:sz w:val="28"/>
      <w:szCs w:val="28"/>
    </w:rPr>
  </w:style>
  <w:style w:type="paragraph" w:styleId="7">
    <w:name w:val="Body Text Indent"/>
    <w:basedOn w:val="1"/>
    <w:link w:val="36"/>
    <w:semiHidden/>
    <w:unhideWhenUsed/>
    <w:qFormat/>
    <w:uiPriority w:val="99"/>
    <w:pPr>
      <w:spacing w:after="120"/>
      <w:ind w:left="420" w:leftChars="200"/>
    </w:pPr>
  </w:style>
  <w:style w:type="paragraph" w:styleId="8">
    <w:name w:val="List Bullet 2"/>
    <w:basedOn w:val="1"/>
    <w:unhideWhenUsed/>
    <w:qFormat/>
    <w:uiPriority w:val="99"/>
    <w:pPr>
      <w:numPr>
        <w:ilvl w:val="0"/>
        <w:numId w:val="1"/>
      </w:numPr>
      <w:contextualSpacing/>
    </w:pPr>
    <w:rPr>
      <w:rFonts w:ascii="Times New Roman" w:hAnsi="Times New Roman"/>
      <w:szCs w:val="22"/>
    </w:rPr>
  </w:style>
  <w:style w:type="paragraph" w:styleId="9">
    <w:name w:val="index 4"/>
    <w:basedOn w:val="1"/>
    <w:next w:val="1"/>
    <w:qFormat/>
    <w:uiPriority w:val="99"/>
    <w:pPr>
      <w:ind w:left="600" w:leftChars="600"/>
    </w:pPr>
    <w:rPr>
      <w:rFonts w:ascii="等线" w:hAnsi="等线" w:eastAsia="等线" w:cs="等线"/>
      <w:szCs w:val="21"/>
    </w:rPr>
  </w:style>
  <w:style w:type="paragraph" w:styleId="10">
    <w:name w:val="Plain Text"/>
    <w:basedOn w:val="1"/>
    <w:link w:val="39"/>
    <w:unhideWhenUsed/>
    <w:qFormat/>
    <w:uiPriority w:val="99"/>
    <w:rPr>
      <w:rFonts w:ascii="宋体" w:hAnsi="Courier New" w:cs="Courier New"/>
      <w:szCs w:val="21"/>
    </w:rPr>
  </w:style>
  <w:style w:type="paragraph" w:styleId="11">
    <w:name w:val="Date"/>
    <w:basedOn w:val="1"/>
    <w:next w:val="1"/>
    <w:link w:val="37"/>
    <w:semiHidden/>
    <w:unhideWhenUsed/>
    <w:qFormat/>
    <w:uiPriority w:val="99"/>
    <w:pPr>
      <w:ind w:left="100" w:leftChars="2500"/>
    </w:pPr>
    <w:rPr>
      <w:rFonts w:eastAsia="楷体_GB2312"/>
      <w:b/>
      <w:bCs/>
      <w:sz w:val="32"/>
    </w:rPr>
  </w:style>
  <w:style w:type="paragraph" w:styleId="12">
    <w:name w:val="Body Text Indent 2"/>
    <w:basedOn w:val="1"/>
    <w:link w:val="38"/>
    <w:semiHidden/>
    <w:unhideWhenUsed/>
    <w:qFormat/>
    <w:uiPriority w:val="99"/>
    <w:pPr>
      <w:spacing w:after="120" w:line="480" w:lineRule="auto"/>
      <w:ind w:left="420" w:leftChars="200"/>
    </w:pPr>
  </w:style>
  <w:style w:type="paragraph" w:styleId="13">
    <w:name w:val="Balloon Text"/>
    <w:basedOn w:val="1"/>
    <w:link w:val="41"/>
    <w:semiHidden/>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296"/>
      </w:tabs>
      <w:spacing w:line="360" w:lineRule="auto"/>
    </w:pPr>
  </w:style>
  <w:style w:type="paragraph" w:styleId="17">
    <w:name w:val="Body Text 2"/>
    <w:basedOn w:val="1"/>
    <w:link w:val="57"/>
    <w:semiHidden/>
    <w:unhideWhenUsed/>
    <w:qFormat/>
    <w:uiPriority w:val="99"/>
    <w:pPr>
      <w:spacing w:after="120" w:line="480" w:lineRule="auto"/>
    </w:pPr>
  </w:style>
  <w:style w:type="paragraph" w:styleId="18">
    <w:name w:val="Normal (Web)"/>
    <w:basedOn w:val="1"/>
    <w:unhideWhenUsed/>
    <w:qFormat/>
    <w:uiPriority w:val="0"/>
    <w:pPr>
      <w:spacing w:before="100" w:beforeAutospacing="1" w:after="100" w:afterAutospacing="1"/>
      <w:jc w:val="left"/>
    </w:pPr>
    <w:rPr>
      <w:kern w:val="0"/>
      <w:sz w:val="24"/>
      <w:szCs w:val="20"/>
    </w:rPr>
  </w:style>
  <w:style w:type="paragraph" w:styleId="19">
    <w:name w:val="Title"/>
    <w:basedOn w:val="1"/>
    <w:link w:val="34"/>
    <w:qFormat/>
    <w:uiPriority w:val="99"/>
    <w:pPr>
      <w:adjustRightInd w:val="0"/>
      <w:spacing w:before="240" w:after="60" w:line="420" w:lineRule="atLeast"/>
      <w:jc w:val="center"/>
      <w:outlineLvl w:val="0"/>
    </w:pPr>
    <w:rPr>
      <w:rFonts w:ascii="Arial" w:hAnsi="Arial"/>
      <w:b/>
      <w:kern w:val="0"/>
      <w:sz w:val="32"/>
      <w:szCs w:val="20"/>
    </w:rPr>
  </w:style>
  <w:style w:type="paragraph" w:styleId="20">
    <w:name w:val="annotation subject"/>
    <w:basedOn w:val="5"/>
    <w:next w:val="5"/>
    <w:link w:val="40"/>
    <w:semiHidden/>
    <w:unhideWhenUsed/>
    <w:qFormat/>
    <w:uiPriority w:val="99"/>
    <w:rPr>
      <w:b/>
      <w:bCs/>
    </w:rPr>
  </w:style>
  <w:style w:type="paragraph" w:styleId="21">
    <w:name w:val="Body Text First Indent 2"/>
    <w:basedOn w:val="7"/>
    <w:qFormat/>
    <w:uiPriority w:val="0"/>
    <w:pPr>
      <w:tabs>
        <w:tab w:val="left" w:pos="0"/>
        <w:tab w:val="left" w:pos="993"/>
        <w:tab w:val="left" w:pos="1134"/>
      </w:tabs>
      <w:ind w:firstLine="420"/>
    </w:pPr>
    <w:rPr>
      <w:rFonts w:ascii="Times New Roman" w:hAnsi="Times New Roman"/>
    </w:rPr>
  </w:style>
  <w:style w:type="table" w:styleId="23">
    <w:name w:val="Table Grid"/>
    <w:basedOn w:val="2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basedOn w:val="24"/>
    <w:semiHidden/>
    <w:unhideWhenUsed/>
    <w:qFormat/>
    <w:uiPriority w:val="99"/>
    <w:rPr>
      <w:color w:val="800080" w:themeColor="followedHyperlink"/>
      <w:u w:val="single"/>
    </w:rPr>
  </w:style>
  <w:style w:type="character" w:styleId="26">
    <w:name w:val="Hyperlink"/>
    <w:unhideWhenUsed/>
    <w:qFormat/>
    <w:uiPriority w:val="99"/>
    <w:rPr>
      <w:color w:val="0000FF"/>
      <w:u w:val="single"/>
    </w:rPr>
  </w:style>
  <w:style w:type="character" w:styleId="27">
    <w:name w:val="annotation reference"/>
    <w:semiHidden/>
    <w:unhideWhenUsed/>
    <w:qFormat/>
    <w:uiPriority w:val="0"/>
    <w:rPr>
      <w:sz w:val="21"/>
      <w:szCs w:val="21"/>
    </w:rPr>
  </w:style>
  <w:style w:type="paragraph" w:customStyle="1" w:styleId="28">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29">
    <w:name w:val="标题 1 Char"/>
    <w:basedOn w:val="24"/>
    <w:link w:val="2"/>
    <w:qFormat/>
    <w:uiPriority w:val="0"/>
    <w:rPr>
      <w:rFonts w:ascii="宋体" w:hAnsi="宋体" w:eastAsia="宋体" w:cs="宋体"/>
      <w:b/>
      <w:sz w:val="28"/>
      <w:szCs w:val="20"/>
    </w:rPr>
  </w:style>
  <w:style w:type="character" w:customStyle="1" w:styleId="30">
    <w:name w:val="标题 3 Char"/>
    <w:basedOn w:val="24"/>
    <w:link w:val="3"/>
    <w:semiHidden/>
    <w:qFormat/>
    <w:uiPriority w:val="0"/>
    <w:rPr>
      <w:rFonts w:ascii="Calibri" w:hAnsi="Calibri" w:eastAsia="宋体" w:cs="宋体"/>
      <w:b/>
      <w:sz w:val="32"/>
      <w:szCs w:val="20"/>
    </w:rPr>
  </w:style>
  <w:style w:type="character" w:customStyle="1" w:styleId="31">
    <w:name w:val="批注文字 Char"/>
    <w:basedOn w:val="24"/>
    <w:link w:val="5"/>
    <w:semiHidden/>
    <w:qFormat/>
    <w:uiPriority w:val="99"/>
    <w:rPr>
      <w:rFonts w:ascii="Calibri" w:hAnsi="Calibri" w:eastAsia="宋体" w:cs="Times New Roman"/>
      <w:szCs w:val="24"/>
    </w:rPr>
  </w:style>
  <w:style w:type="character" w:customStyle="1" w:styleId="32">
    <w:name w:val="页眉 Char"/>
    <w:basedOn w:val="24"/>
    <w:link w:val="15"/>
    <w:qFormat/>
    <w:uiPriority w:val="99"/>
    <w:rPr>
      <w:rFonts w:ascii="Calibri" w:hAnsi="Calibri" w:eastAsia="宋体" w:cs="Times New Roman"/>
      <w:sz w:val="18"/>
      <w:szCs w:val="18"/>
    </w:rPr>
  </w:style>
  <w:style w:type="character" w:customStyle="1" w:styleId="33">
    <w:name w:val="页脚 Char"/>
    <w:basedOn w:val="24"/>
    <w:link w:val="14"/>
    <w:qFormat/>
    <w:uiPriority w:val="99"/>
    <w:rPr>
      <w:rFonts w:ascii="Calibri" w:hAnsi="Calibri" w:eastAsia="宋体" w:cs="Times New Roman"/>
      <w:sz w:val="18"/>
      <w:szCs w:val="18"/>
    </w:rPr>
  </w:style>
  <w:style w:type="character" w:customStyle="1" w:styleId="34">
    <w:name w:val="标题 Char"/>
    <w:basedOn w:val="24"/>
    <w:link w:val="19"/>
    <w:qFormat/>
    <w:uiPriority w:val="99"/>
    <w:rPr>
      <w:rFonts w:ascii="Arial" w:hAnsi="Arial" w:eastAsia="宋体" w:cs="Times New Roman"/>
      <w:b/>
      <w:kern w:val="0"/>
      <w:sz w:val="32"/>
      <w:szCs w:val="20"/>
    </w:rPr>
  </w:style>
  <w:style w:type="character" w:customStyle="1" w:styleId="35">
    <w:name w:val="正文文本 Char"/>
    <w:basedOn w:val="24"/>
    <w:link w:val="6"/>
    <w:semiHidden/>
    <w:qFormat/>
    <w:uiPriority w:val="99"/>
    <w:rPr>
      <w:rFonts w:ascii="楷体_GB2312" w:hAnsi="华文楷体" w:eastAsia="楷体_GB2312" w:cs="Times New Roman"/>
      <w:sz w:val="28"/>
      <w:szCs w:val="28"/>
    </w:rPr>
  </w:style>
  <w:style w:type="character" w:customStyle="1" w:styleId="36">
    <w:name w:val="正文文本缩进 Char"/>
    <w:basedOn w:val="24"/>
    <w:link w:val="7"/>
    <w:semiHidden/>
    <w:qFormat/>
    <w:uiPriority w:val="99"/>
    <w:rPr>
      <w:rFonts w:ascii="Calibri" w:hAnsi="Calibri" w:eastAsia="宋体" w:cs="Times New Roman"/>
      <w:szCs w:val="24"/>
    </w:rPr>
  </w:style>
  <w:style w:type="character" w:customStyle="1" w:styleId="37">
    <w:name w:val="日期 Char"/>
    <w:basedOn w:val="24"/>
    <w:link w:val="11"/>
    <w:semiHidden/>
    <w:qFormat/>
    <w:uiPriority w:val="99"/>
    <w:rPr>
      <w:rFonts w:ascii="Calibri" w:hAnsi="Calibri" w:eastAsia="楷体_GB2312" w:cs="Times New Roman"/>
      <w:b/>
      <w:bCs/>
      <w:sz w:val="32"/>
      <w:szCs w:val="24"/>
    </w:rPr>
  </w:style>
  <w:style w:type="character" w:customStyle="1" w:styleId="38">
    <w:name w:val="正文文本缩进 2 Char"/>
    <w:basedOn w:val="24"/>
    <w:link w:val="12"/>
    <w:semiHidden/>
    <w:qFormat/>
    <w:uiPriority w:val="99"/>
    <w:rPr>
      <w:rFonts w:ascii="Calibri" w:hAnsi="Calibri" w:eastAsia="宋体" w:cs="Times New Roman"/>
      <w:szCs w:val="24"/>
    </w:rPr>
  </w:style>
  <w:style w:type="character" w:customStyle="1" w:styleId="39">
    <w:name w:val="纯文本 Char"/>
    <w:basedOn w:val="24"/>
    <w:link w:val="10"/>
    <w:qFormat/>
    <w:uiPriority w:val="99"/>
    <w:rPr>
      <w:rFonts w:ascii="宋体" w:hAnsi="Courier New" w:eastAsia="宋体" w:cs="Courier New"/>
      <w:szCs w:val="21"/>
    </w:rPr>
  </w:style>
  <w:style w:type="character" w:customStyle="1" w:styleId="40">
    <w:name w:val="批注主题 Char"/>
    <w:basedOn w:val="31"/>
    <w:link w:val="20"/>
    <w:semiHidden/>
    <w:qFormat/>
    <w:uiPriority w:val="99"/>
    <w:rPr>
      <w:rFonts w:ascii="Calibri" w:hAnsi="Calibri" w:eastAsia="宋体" w:cs="Times New Roman"/>
      <w:b/>
      <w:bCs/>
      <w:szCs w:val="24"/>
    </w:rPr>
  </w:style>
  <w:style w:type="character" w:customStyle="1" w:styleId="41">
    <w:name w:val="批注框文本 Char"/>
    <w:basedOn w:val="24"/>
    <w:link w:val="13"/>
    <w:semiHidden/>
    <w:qFormat/>
    <w:uiPriority w:val="99"/>
    <w:rPr>
      <w:rFonts w:ascii="Calibri" w:hAnsi="Calibri" w:eastAsia="宋体" w:cs="Times New Roman"/>
      <w:sz w:val="18"/>
      <w:szCs w:val="18"/>
    </w:rPr>
  </w:style>
  <w:style w:type="paragraph" w:styleId="42">
    <w:name w:val="List Paragraph"/>
    <w:basedOn w:val="1"/>
    <w:qFormat/>
    <w:uiPriority w:val="34"/>
    <w:pPr>
      <w:ind w:firstLine="420" w:firstLineChars="200"/>
    </w:pPr>
    <w:rPr>
      <w:szCs w:val="20"/>
    </w:rPr>
  </w:style>
  <w:style w:type="paragraph" w:customStyle="1" w:styleId="43">
    <w:name w:val="Char Char1 Char Char Char Char Char Char"/>
    <w:basedOn w:val="1"/>
    <w:qFormat/>
    <w:uiPriority w:val="99"/>
    <w:pPr>
      <w:widowControl/>
      <w:spacing w:after="160" w:line="240" w:lineRule="exact"/>
      <w:jc w:val="left"/>
    </w:pPr>
    <w:rPr>
      <w:szCs w:val="20"/>
    </w:rPr>
  </w:style>
  <w:style w:type="paragraph" w:customStyle="1" w:styleId="44">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5">
    <w:name w:val="列出段落1"/>
    <w:basedOn w:val="1"/>
    <w:qFormat/>
    <w:uiPriority w:val="99"/>
    <w:pPr>
      <w:ind w:firstLine="420" w:firstLineChars="200"/>
    </w:pPr>
  </w:style>
  <w:style w:type="paragraph" w:customStyle="1" w:styleId="46">
    <w:name w:val="Char"/>
    <w:basedOn w:val="1"/>
    <w:qFormat/>
    <w:uiPriority w:val="99"/>
    <w:pPr>
      <w:widowControl/>
      <w:spacing w:after="160" w:line="240" w:lineRule="exact"/>
      <w:jc w:val="left"/>
    </w:pPr>
  </w:style>
  <w:style w:type="paragraph" w:customStyle="1" w:styleId="47">
    <w:name w:val="正文_2"/>
    <w:qFormat/>
    <w:uiPriority w:val="99"/>
    <w:rPr>
      <w:rFonts w:ascii="Calibri" w:hAnsi="Calibri" w:eastAsia="宋体" w:cs="Times New Roman"/>
      <w:sz w:val="21"/>
      <w:szCs w:val="22"/>
      <w:lang w:val="en-US" w:eastAsia="zh-CN" w:bidi="ar-SA"/>
    </w:rPr>
  </w:style>
  <w:style w:type="paragraph" w:customStyle="1" w:styleId="48">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49">
    <w:name w:val="标题 Char1"/>
    <w:basedOn w:val="24"/>
    <w:qFormat/>
    <w:uiPriority w:val="10"/>
    <w:rPr>
      <w:rFonts w:hint="default" w:asciiTheme="majorHAnsi" w:hAnsiTheme="majorHAnsi" w:cstheme="majorBidi"/>
      <w:b/>
      <w:bCs/>
      <w:kern w:val="2"/>
      <w:sz w:val="32"/>
      <w:szCs w:val="32"/>
    </w:rPr>
  </w:style>
  <w:style w:type="character" w:customStyle="1" w:styleId="50">
    <w:name w:val="批注文字 Char1"/>
    <w:basedOn w:val="24"/>
    <w:semiHidden/>
    <w:qFormat/>
    <w:uiPriority w:val="99"/>
    <w:rPr>
      <w:kern w:val="2"/>
      <w:sz w:val="21"/>
      <w:szCs w:val="24"/>
    </w:rPr>
  </w:style>
  <w:style w:type="character" w:customStyle="1" w:styleId="51">
    <w:name w:val="批注主题 Char1"/>
    <w:basedOn w:val="50"/>
    <w:semiHidden/>
    <w:qFormat/>
    <w:uiPriority w:val="99"/>
    <w:rPr>
      <w:b/>
      <w:bCs/>
      <w:kern w:val="2"/>
      <w:sz w:val="21"/>
      <w:szCs w:val="24"/>
    </w:rPr>
  </w:style>
  <w:style w:type="paragraph" w:customStyle="1" w:styleId="52">
    <w:name w:val="TOC 标题1"/>
    <w:basedOn w:val="2"/>
    <w:next w:val="1"/>
    <w:unhideWhenUsed/>
    <w:qFormat/>
    <w:uiPriority w:val="39"/>
    <w:pPr>
      <w:keepLines/>
      <w:widowControl/>
      <w:spacing w:before="240" w:line="259" w:lineRule="auto"/>
      <w:jc w:val="left"/>
      <w:outlineLvl w:val="9"/>
    </w:pPr>
    <w:rPr>
      <w:rFonts w:asciiTheme="majorHAnsi" w:hAnsiTheme="majorHAnsi" w:eastAsiaTheme="majorEastAsia" w:cstheme="majorBidi"/>
      <w:b w:val="0"/>
      <w:color w:val="366091" w:themeColor="accent1" w:themeShade="BF"/>
      <w:kern w:val="0"/>
      <w:sz w:val="32"/>
      <w:szCs w:val="32"/>
    </w:rPr>
  </w:style>
  <w:style w:type="character" w:customStyle="1" w:styleId="53">
    <w:name w:val="Blockquote Char Char"/>
    <w:link w:val="54"/>
    <w:qFormat/>
    <w:uiPriority w:val="0"/>
    <w:rPr>
      <w:sz w:val="24"/>
    </w:rPr>
  </w:style>
  <w:style w:type="paragraph" w:customStyle="1" w:styleId="54">
    <w:name w:val="Blockquote"/>
    <w:basedOn w:val="1"/>
    <w:link w:val="53"/>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5">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56">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57">
    <w:name w:val="正文文本 2 Char"/>
    <w:basedOn w:val="24"/>
    <w:link w:val="17"/>
    <w:semiHidden/>
    <w:qFormat/>
    <w:uiPriority w:val="99"/>
    <w:rPr>
      <w:rFonts w:ascii="Calibri" w:hAnsi="Calibri" w:eastAsia="宋体" w:cs="Times New Roman"/>
      <w:kern w:val="2"/>
      <w:sz w:val="21"/>
      <w:szCs w:val="24"/>
    </w:rPr>
  </w:style>
  <w:style w:type="character" w:customStyle="1" w:styleId="58">
    <w:name w:val="NormalCharacter"/>
    <w:qFormat/>
    <w:uiPriority w:val="0"/>
  </w:style>
  <w:style w:type="paragraph" w:customStyle="1" w:styleId="5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0">
    <w:name w:val="宋体小四正文"/>
    <w:basedOn w:val="1"/>
    <w:link w:val="61"/>
    <w:qFormat/>
    <w:uiPriority w:val="0"/>
    <w:pPr>
      <w:spacing w:line="360" w:lineRule="auto"/>
      <w:ind w:firstLine="200" w:firstLineChars="200"/>
    </w:pPr>
    <w:rPr>
      <w:rFonts w:ascii="宋体" w:hAnsi="宋体" w:cstheme="minorBidi"/>
      <w:color w:val="000000" w:themeColor="text1"/>
      <w:sz w:val="24"/>
      <w:szCs w:val="28"/>
    </w:rPr>
  </w:style>
  <w:style w:type="character" w:customStyle="1" w:styleId="61">
    <w:name w:val="宋体小四正文 字符"/>
    <w:basedOn w:val="24"/>
    <w:link w:val="60"/>
    <w:qFormat/>
    <w:uiPriority w:val="0"/>
    <w:rPr>
      <w:rFonts w:ascii="宋体" w:hAnsi="宋体" w:eastAsia="宋体"/>
      <w:color w:val="000000" w:themeColor="text1"/>
      <w:kern w:val="2"/>
      <w:sz w:val="24"/>
      <w:szCs w:val="28"/>
    </w:rPr>
  </w:style>
  <w:style w:type="paragraph" w:customStyle="1" w:styleId="62">
    <w:name w:val="Normal Indent1"/>
    <w:basedOn w:val="1"/>
    <w:qFormat/>
    <w:uiPriority w:val="0"/>
    <w:pPr>
      <w:ind w:firstLine="420" w:firstLineChars="200"/>
    </w:pPr>
  </w:style>
  <w:style w:type="character" w:customStyle="1" w:styleId="63">
    <w:name w:val="页脚 Char1"/>
    <w:qFormat/>
    <w:uiPriority w:val="99"/>
    <w:rPr>
      <w:sz w:val="18"/>
      <w:szCs w:val="18"/>
    </w:rPr>
  </w:style>
  <w:style w:type="paragraph" w:customStyle="1" w:styleId="64">
    <w:name w:val="纯文本1"/>
    <w:basedOn w:val="1"/>
    <w:qFormat/>
    <w:uiPriority w:val="0"/>
    <w:pPr>
      <w:adjustRightInd w:val="0"/>
      <w:textAlignment w:val="baseline"/>
    </w:pPr>
    <w:rPr>
      <w:rFonts w:ascii="宋体" w:hAnsi="Courier New" w:eastAsia="楷体_GB2312"/>
      <w:sz w:val="28"/>
      <w:szCs w:val="20"/>
    </w:rPr>
  </w:style>
  <w:style w:type="paragraph" w:customStyle="1" w:styleId="65">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21</Pages>
  <Words>9901</Words>
  <Characters>10340</Characters>
  <Lines>49</Lines>
  <Paragraphs>14</Paragraphs>
  <TotalTime>9</TotalTime>
  <ScaleCrop>false</ScaleCrop>
  <LinksUpToDate>false</LinksUpToDate>
  <CharactersWithSpaces>10714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2022-05-05T23:35:00Z</dcterms:created>
  <dc:creator>未定义</dc:creator>
  <cp:lastModifiedBy>不忘初心</cp:lastModifiedBy>
  <cp:lastPrinted>2020-05-07T09:24:00Z</cp:lastPrinted>
  <dcterms:modified xsi:type="dcterms:W3CDTF">2026-05-14T01:48:09Z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FED2082C63CB469DBC4A5FFE1C1B0A9F</vt:lpwstr>
  </property>
  <property fmtid="{D5CDD505-2E9C-101B-9397-08002B2CF9AE}" pid="4" name="KSOTemplateDocerSaveRecord">
    <vt:lpwstr>eyJoZGlkIjoiN2Y4ZDNhMDVmNDIzOTA1MDMwMTAyNmQxZjFhNzlmNGYiLCJ1c2VySWQiOiIzNDI2NDAzNTIifQ==</vt:lpwstr>
  </property>
</Properties>
</file>