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djustRightInd w:val="0"/>
        <w:spacing w:before="160" w:after="160"/>
        <w:ind w:firstLine="0" w:firstLineChars="0"/>
        <w:contextualSpacing/>
        <w:jc w:val="center"/>
        <w:rPr>
          <w:rFonts w:hint="eastAsia" w:ascii="宋体" w:hAnsi="宋体" w:eastAsia="宋体"/>
          <w:b/>
          <w:sz w:val="36"/>
          <w:szCs w:val="21"/>
        </w:rPr>
      </w:pPr>
      <w:r>
        <w:rPr>
          <w:rFonts w:hint="eastAsia" w:ascii="宋体" w:hAnsi="宋体" w:eastAsia="宋体"/>
          <w:b/>
          <w:sz w:val="36"/>
          <w:szCs w:val="21"/>
        </w:rPr>
        <w:t>扬大附院医疗设备院内公开谈判、院内调研材料目录</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欢迎各供应商前来我院采购中心和其他相关科室介绍产品，有意向者必须提供符合我院要求的院内公开谈判、院内调研报名材料（</w:t>
      </w:r>
      <w:r>
        <w:rPr>
          <w:rFonts w:hint="eastAsia" w:ascii="宋体" w:hAnsi="宋体" w:eastAsia="宋体"/>
          <w:b/>
          <w:szCs w:val="21"/>
        </w:rPr>
        <w:t>电子文件一份</w:t>
      </w:r>
      <w:r>
        <w:rPr>
          <w:rFonts w:hint="eastAsia" w:ascii="宋体" w:hAnsi="宋体" w:eastAsia="宋体"/>
          <w:szCs w:val="21"/>
        </w:rPr>
        <w:t>），并</w:t>
      </w:r>
      <w:r>
        <w:rPr>
          <w:rFonts w:hint="eastAsia" w:ascii="宋体" w:hAnsi="宋体" w:eastAsia="宋体"/>
          <w:bCs/>
          <w:szCs w:val="21"/>
        </w:rPr>
        <w:t>保证所提供的各种材料真实、有效、齐全，承担相应的法律责任。请</w:t>
      </w:r>
      <w:r>
        <w:rPr>
          <w:rFonts w:hint="eastAsia" w:ascii="宋体" w:hAnsi="宋体" w:eastAsia="宋体"/>
          <w:b/>
          <w:szCs w:val="21"/>
        </w:rPr>
        <w:t>按下列顺序装订</w:t>
      </w:r>
      <w:r>
        <w:rPr>
          <w:rFonts w:hint="eastAsia" w:ascii="宋体" w:hAnsi="宋体" w:eastAsia="宋体"/>
          <w:bCs/>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封面：项目编号、采购科室、项目名称、公司名称、联系人、联系电话（见附件1）</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产品信息：产品名称、品牌型号、注册证号、设备厂家设计使用期限、有无专机专用耗材/试剂、交货期、质保期等信息(见附件2）。</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bookmarkStart w:id="0" w:name="_Hlk107847716"/>
      <w:r>
        <w:rPr>
          <w:rFonts w:hint="eastAsia" w:ascii="宋体" w:hAnsi="宋体" w:eastAsia="宋体"/>
          <w:szCs w:val="21"/>
        </w:rPr>
        <w:t>企业信用承诺书（请填写附件3）。</w:t>
      </w:r>
    </w:p>
    <w:bookmarkEnd w:id="0"/>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产品资质（包括注册证（圈出</w:t>
      </w:r>
      <w:r>
        <w:rPr>
          <w:rFonts w:hint="eastAsia" w:ascii="宋体" w:hAnsi="宋体" w:eastAsia="宋体"/>
          <w:b/>
          <w:bCs/>
          <w:szCs w:val="21"/>
        </w:rPr>
        <w:t>适用范围/预期用途</w:t>
      </w:r>
      <w:r>
        <w:rPr>
          <w:rFonts w:hint="eastAsia" w:ascii="宋体" w:hAnsi="宋体" w:eastAsia="宋体"/>
          <w:b/>
          <w:bCs/>
          <w:szCs w:val="21"/>
          <w:lang w:eastAsia="zh-CN"/>
        </w:rPr>
        <w:t>，</w:t>
      </w:r>
      <w:r>
        <w:rPr>
          <w:rFonts w:hint="eastAsia" w:ascii="宋体" w:hAnsi="宋体" w:eastAsia="宋体"/>
          <w:szCs w:val="21"/>
        </w:rPr>
        <w:t>注册证如有变更文件附页请务必提供完整）、产品设计使用期限、</w:t>
      </w:r>
      <w:r>
        <w:rPr>
          <w:rFonts w:hint="eastAsia" w:ascii="宋体" w:hAnsi="宋体" w:eastAsia="宋体"/>
          <w:b/>
          <w:bCs/>
          <w:szCs w:val="21"/>
        </w:rPr>
        <w:t>铭牌（</w:t>
      </w:r>
      <w:r>
        <w:rPr>
          <w:rFonts w:hint="eastAsia" w:ascii="宋体" w:hAnsi="宋体" w:eastAsia="宋体"/>
          <w:szCs w:val="21"/>
        </w:rPr>
        <w:t>圈出</w:t>
      </w:r>
      <w:r>
        <w:rPr>
          <w:rFonts w:hint="eastAsia" w:ascii="宋体" w:hAnsi="宋体" w:eastAsia="宋体"/>
          <w:b/>
          <w:bCs/>
          <w:szCs w:val="21"/>
        </w:rPr>
        <w:t>使用期限）</w:t>
      </w:r>
      <w:r>
        <w:rPr>
          <w:rFonts w:hint="eastAsia" w:ascii="宋体" w:hAnsi="宋体" w:eastAsia="宋体"/>
          <w:szCs w:val="21"/>
        </w:rPr>
        <w:t>等）铭牌未标明使用期限的提供产品说明书，并在说明书上标出使用年限</w:t>
      </w:r>
      <w:r>
        <w:rPr>
          <w:rFonts w:hint="eastAsia" w:ascii="宋体" w:hAnsi="宋体" w:eastAsia="宋体"/>
          <w:szCs w:val="21"/>
          <w:lang w:eastAsia="zh-CN"/>
        </w:rPr>
        <w:t>，</w:t>
      </w:r>
      <w:r>
        <w:rPr>
          <w:rFonts w:hint="eastAsia" w:ascii="宋体" w:hAnsi="宋体" w:eastAsia="宋体"/>
          <w:szCs w:val="21"/>
        </w:rPr>
        <w:t>附一份查询注册证时的药监部门网站截图。</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产品报价及配置清单（参考附件4），其中主要配件须标注价格。</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产品技术参数</w:t>
      </w:r>
      <w:bookmarkStart w:id="1" w:name="OLE_LINK2"/>
      <w:r>
        <w:rPr>
          <w:rFonts w:hint="eastAsia" w:ascii="宋体" w:hAnsi="宋体" w:eastAsia="宋体"/>
          <w:szCs w:val="21"/>
        </w:rPr>
        <w:t>（如医院提供技术参数，须提供技术参数响应表）</w:t>
      </w:r>
      <w:bookmarkEnd w:id="1"/>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生产厂家和代理公司资质及简介。</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生产厂家授权书、法人代表授权书（含身份证复印件）。</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请填写附件5</w:t>
      </w:r>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其他医院（以三甲医院为主）中标通知书或合同及相应配置（如我院三年内采购过，提供我院采购合同和相应配置）（</w:t>
      </w:r>
      <w:r>
        <w:rPr>
          <w:rFonts w:hint="eastAsia" w:ascii="宋体" w:hAnsi="宋体" w:eastAsia="宋体"/>
          <w:b/>
          <w:bCs/>
          <w:szCs w:val="21"/>
        </w:rPr>
        <w:t>请填写附件</w:t>
      </w:r>
      <w:r>
        <w:rPr>
          <w:rFonts w:hint="eastAsia" w:ascii="宋体" w:hAnsi="宋体" w:eastAsia="宋体"/>
          <w:b/>
          <w:bCs/>
          <w:szCs w:val="21"/>
          <w:lang w:val="en-US" w:eastAsia="zh-CN"/>
        </w:rPr>
        <w:t>6</w:t>
      </w:r>
      <w:r>
        <w:rPr>
          <w:rFonts w:hint="eastAsia" w:ascii="宋体" w:hAnsi="宋体" w:eastAsia="宋体"/>
          <w:szCs w:val="21"/>
        </w:rPr>
        <w:t>）。</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用户名单、采购时间及联系人（部门）。医院有权随机抽取一家医院进行调查，如发现虚假信息作废标处理。</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宣传彩页。</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上述材料正本必须加盖报名公司的公章，复印公章无效。</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如涉及耗材/试剂，请提供相关产品信息和报价表（可单独收费耗材的厂家必须提供27位国家码），专用、通用耗材/试剂都需要提供相关产品信息。</w:t>
      </w:r>
    </w:p>
    <w:p>
      <w:pPr>
        <w:pStyle w:val="9"/>
        <w:numPr>
          <w:ilvl w:val="0"/>
          <w:numId w:val="1"/>
        </w:numPr>
        <w:adjustRightInd w:val="0"/>
        <w:spacing w:before="160" w:after="160" w:line="360" w:lineRule="exact"/>
        <w:ind w:left="218" w:hanging="218" w:hangingChars="104"/>
        <w:contextualSpacing/>
        <w:rPr>
          <w:rFonts w:hint="eastAsia" w:ascii="宋体" w:hAnsi="宋体" w:eastAsia="宋体"/>
          <w:szCs w:val="21"/>
        </w:rPr>
      </w:pPr>
      <w:r>
        <w:rPr>
          <w:rFonts w:hint="eastAsia" w:ascii="宋体" w:hAnsi="宋体" w:eastAsia="宋体"/>
          <w:szCs w:val="21"/>
        </w:rPr>
        <w:t>其他材料。</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请将上述所有文件每页信息填完整后加盖报名公司公章，按照顺序扫描制作成一份pdf文件（以项目编号+报名公司+设备品牌、型号命名</w:t>
      </w:r>
      <w:r>
        <w:rPr>
          <w:rFonts w:hint="eastAsia" w:ascii="宋体" w:hAnsi="宋体" w:eastAsia="宋体"/>
          <w:szCs w:val="21"/>
          <w:lang w:val="en-US" w:eastAsia="zh-CN"/>
        </w:rPr>
        <w:t>+联系人姓名及电话</w:t>
      </w:r>
      <w:r>
        <w:rPr>
          <w:rFonts w:hint="eastAsia" w:ascii="宋体" w:hAnsi="宋体" w:eastAsia="宋体"/>
          <w:szCs w:val="21"/>
        </w:rPr>
        <w:t>），发送至下述相应联系人邮箱</w:t>
      </w:r>
      <w:bookmarkStart w:id="2" w:name="_Hlk107847759"/>
      <w:r>
        <w:rPr>
          <w:rFonts w:hint="eastAsia" w:ascii="宋体" w:hAnsi="宋体" w:eastAsia="宋体"/>
          <w:szCs w:val="21"/>
        </w:rPr>
        <w:t>。</w:t>
      </w:r>
      <w:bookmarkEnd w:id="2"/>
      <w:r>
        <w:rPr>
          <w:rFonts w:hint="eastAsia" w:ascii="宋体" w:hAnsi="宋体" w:eastAsia="宋体"/>
          <w:b/>
          <w:bCs/>
          <w:szCs w:val="21"/>
        </w:rPr>
        <w:t>报名公司需严格按照本清单内容递交报名材料</w:t>
      </w:r>
      <w:r>
        <w:rPr>
          <w:rFonts w:hint="eastAsia" w:ascii="宋体" w:hAnsi="宋体" w:eastAsia="宋体"/>
          <w:szCs w:val="21"/>
        </w:rPr>
        <w:t>，否则视为自动弃权！</w:t>
      </w:r>
    </w:p>
    <w:p>
      <w:pPr>
        <w:adjustRightInd w:val="0"/>
        <w:spacing w:before="160" w:after="160" w:line="360" w:lineRule="exact"/>
        <w:ind w:firstLine="420" w:firstLineChars="200"/>
        <w:contextualSpacing/>
        <w:rPr>
          <w:rFonts w:hint="eastAsia" w:ascii="宋体" w:hAnsi="宋体" w:eastAsia="宋体"/>
          <w:szCs w:val="21"/>
        </w:rPr>
      </w:pPr>
      <w:r>
        <w:rPr>
          <w:rFonts w:hint="eastAsia" w:ascii="宋体" w:hAnsi="宋体" w:eastAsia="宋体"/>
          <w:szCs w:val="21"/>
        </w:rPr>
        <w:t>递交材料经院方审核通过后，医院会提前</w:t>
      </w:r>
      <w:r>
        <w:rPr>
          <w:rFonts w:hint="eastAsia" w:ascii="宋体" w:hAnsi="宋体" w:eastAsia="宋体"/>
          <w:b/>
          <w:bCs/>
          <w:szCs w:val="21"/>
        </w:rPr>
        <w:t>邮件通知</w:t>
      </w:r>
      <w:r>
        <w:rPr>
          <w:rFonts w:hint="eastAsia" w:ascii="宋体" w:hAnsi="宋体" w:eastAsia="宋体"/>
          <w:szCs w:val="21"/>
        </w:rPr>
        <w:t>正式谈判的时间地点，请各位及时关注报名邮箱。届时请带以上材料五份（一正四副）</w:t>
      </w:r>
      <w:r>
        <w:rPr>
          <w:rFonts w:hint="eastAsia" w:ascii="宋体" w:hAnsi="宋体" w:eastAsia="宋体"/>
          <w:szCs w:val="21"/>
          <w:lang w:eastAsia="zh-CN"/>
        </w:rPr>
        <w:t>、</w:t>
      </w:r>
      <w:r>
        <w:rPr>
          <w:rFonts w:hint="eastAsia" w:ascii="宋体" w:hAnsi="宋体" w:eastAsia="宋体"/>
          <w:szCs w:val="21"/>
          <w:lang w:val="en-US" w:eastAsia="zh-CN"/>
        </w:rPr>
        <w:t>黑色签字笔一支按照通知时间及地点到达会场</w:t>
      </w:r>
      <w:r>
        <w:rPr>
          <w:rFonts w:hint="eastAsia" w:ascii="宋体" w:hAnsi="宋体" w:eastAsia="宋体"/>
          <w:szCs w:val="21"/>
        </w:rPr>
        <w:t>，</w:t>
      </w:r>
      <w:r>
        <w:rPr>
          <w:rFonts w:hint="eastAsia" w:ascii="宋体" w:hAnsi="宋体" w:eastAsia="宋体"/>
          <w:b/>
          <w:bCs/>
          <w:szCs w:val="21"/>
        </w:rPr>
        <w:t>要求密封加盖报名公司公章！！！</w:t>
      </w:r>
      <w:r>
        <w:rPr>
          <w:rFonts w:hint="eastAsia" w:ascii="宋体" w:hAnsi="宋体" w:eastAsia="宋体"/>
          <w:szCs w:val="21"/>
        </w:rPr>
        <w:t>现场递交</w:t>
      </w:r>
      <w:r>
        <w:rPr>
          <w:rFonts w:hint="eastAsia" w:ascii="宋体" w:hAnsi="宋体" w:eastAsia="宋体"/>
          <w:szCs w:val="21"/>
          <w:lang w:eastAsia="zh-CN"/>
        </w:rPr>
        <w:t>，</w:t>
      </w:r>
      <w:r>
        <w:rPr>
          <w:rFonts w:hint="eastAsia" w:ascii="宋体" w:hAnsi="宋体" w:eastAsia="宋体"/>
          <w:szCs w:val="21"/>
          <w:lang w:val="en-US" w:eastAsia="zh-CN"/>
        </w:rPr>
        <w:t>迟到</w:t>
      </w:r>
      <w:r>
        <w:rPr>
          <w:rFonts w:hint="eastAsia" w:ascii="宋体" w:hAnsi="宋体" w:eastAsia="宋体"/>
          <w:szCs w:val="21"/>
        </w:rPr>
        <w:t>视为自动弃权！</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 xml:space="preserve">联系人：胡老师 </w:t>
      </w:r>
    </w:p>
    <w:p>
      <w:pPr>
        <w:pStyle w:val="9"/>
        <w:adjustRightInd w:val="0"/>
        <w:spacing w:before="160" w:after="160" w:line="360" w:lineRule="exact"/>
        <w:ind w:left="283" w:leftChars="135" w:firstLine="0" w:firstLineChars="0"/>
        <w:contextualSpacing/>
        <w:rPr>
          <w:rFonts w:hint="eastAsia" w:ascii="宋体" w:hAnsi="宋体" w:eastAsia="宋体"/>
          <w:szCs w:val="21"/>
        </w:rPr>
      </w:pPr>
      <w:r>
        <w:rPr>
          <w:rFonts w:hint="eastAsia" w:ascii="宋体" w:hAnsi="宋体" w:eastAsia="宋体"/>
          <w:szCs w:val="21"/>
        </w:rPr>
        <w:t>电话：0514—82099555</w:t>
      </w:r>
    </w:p>
    <w:p>
      <w:pPr>
        <w:pStyle w:val="9"/>
        <w:adjustRightInd w:val="0"/>
        <w:spacing w:before="160" w:after="160" w:line="360" w:lineRule="exact"/>
        <w:ind w:left="283" w:leftChars="135" w:firstLine="0" w:firstLineChars="0"/>
        <w:contextualSpacing/>
      </w:pPr>
      <w:r>
        <w:rPr>
          <w:rFonts w:hint="eastAsia" w:ascii="宋体" w:hAnsi="宋体" w:eastAsia="宋体"/>
          <w:szCs w:val="21"/>
        </w:rPr>
        <w:t>邮箱：</w:t>
      </w:r>
      <w:r>
        <w:fldChar w:fldCharType="begin"/>
      </w:r>
      <w:r>
        <w:instrText xml:space="preserve"> HYPERLINK "mailto:hoytyzdx@qq.com" </w:instrText>
      </w:r>
      <w:r>
        <w:fldChar w:fldCharType="separate"/>
      </w:r>
      <w:r>
        <w:rPr>
          <w:rStyle w:val="8"/>
          <w:rFonts w:hint="eastAsia" w:ascii="宋体" w:hAnsi="宋体" w:eastAsia="宋体"/>
          <w:szCs w:val="21"/>
        </w:rPr>
        <w:t>hoytyzdx@qq.com</w:t>
      </w:r>
      <w:r>
        <w:rPr>
          <w:rStyle w:val="8"/>
          <w:rFonts w:hint="eastAsia" w:ascii="宋体" w:hAnsi="宋体" w:eastAsia="宋体"/>
          <w:szCs w:val="21"/>
        </w:rPr>
        <w:fldChar w:fldCharType="end"/>
      </w:r>
      <w:r>
        <w:rPr>
          <w:rFonts w:hint="eastAsia" w:ascii="宋体" w:hAnsi="宋体" w:eastAsia="宋体"/>
          <w:szCs w:val="21"/>
        </w:rPr>
        <w:t>（邮件必须以项目编号+报名公司+设备品牌、型号命名，否则报名无效！）</w:t>
      </w:r>
    </w:p>
    <w:p>
      <w:pPr>
        <w:pStyle w:val="9"/>
        <w:adjustRightInd w:val="0"/>
        <w:spacing w:before="160" w:after="160"/>
        <w:ind w:firstLine="0" w:firstLineChars="0"/>
        <w:contextualSpacing/>
        <w:jc w:val="center"/>
        <w:rPr>
          <w:rFonts w:hint="eastAsia" w:ascii="方正仿宋_GBK" w:eastAsia="方正仿宋_GBK"/>
          <w:b/>
          <w:sz w:val="32"/>
          <w:lang w:val="en-US" w:eastAsia="zh-CN"/>
        </w:rPr>
      </w:pPr>
    </w:p>
    <w:p>
      <w:pPr>
        <w:pStyle w:val="9"/>
        <w:adjustRightInd w:val="0"/>
        <w:spacing w:before="160" w:after="160"/>
        <w:ind w:firstLine="0" w:firstLineChars="0"/>
        <w:contextualSpacing/>
        <w:jc w:val="center"/>
        <w:rPr>
          <w:rFonts w:hint="eastAsia" w:ascii="方正仿宋_GBK" w:eastAsia="方正仿宋_GBK"/>
          <w:b/>
          <w:sz w:val="32"/>
          <w:lang w:val="en-US" w:eastAsia="zh-CN"/>
        </w:rPr>
      </w:pPr>
      <w:r>
        <w:rPr>
          <w:rFonts w:hint="eastAsia" w:ascii="方正仿宋_GBK" w:eastAsia="方正仿宋_GBK"/>
          <w:b/>
          <w:sz w:val="32"/>
          <w:lang w:val="en-US" w:eastAsia="zh-CN"/>
        </w:rPr>
        <w:t>供应商须知</w:t>
      </w:r>
    </w:p>
    <w:p>
      <w:pPr>
        <w:pStyle w:val="9"/>
        <w:adjustRightInd w:val="0"/>
        <w:spacing w:before="160" w:after="160"/>
        <w:ind w:firstLine="560" w:firstLineChars="200"/>
        <w:contextualSpacing/>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各供应商应在医院通知的截止时间前完成登记、抽取入场次序，登记迟到、二轮报价迟到、抽取顺序后未能按照顺序及时进入会场等情况视为自动弃权，无权进入下一阶段谈判。</w:t>
      </w:r>
    </w:p>
    <w:p>
      <w:pPr>
        <w:pStyle w:val="9"/>
        <w:adjustRightInd w:val="0"/>
        <w:spacing w:before="160" w:after="160"/>
        <w:ind w:firstLine="560" w:firstLineChars="200"/>
        <w:contextualSpacing/>
        <w:rPr>
          <w:rFonts w:hint="default" w:ascii="方正仿宋_GBK" w:eastAsia="方正仿宋_GBK"/>
          <w:b/>
          <w:sz w:val="32"/>
          <w:lang w:val="en-US" w:eastAsia="zh-CN"/>
        </w:rPr>
      </w:pPr>
      <w:r>
        <w:rPr>
          <w:rFonts w:hint="eastAsia" w:ascii="仿宋_GB2312" w:hAnsi="仿宋_GB2312" w:eastAsia="仿宋_GB2312" w:cs="仿宋_GB2312"/>
          <w:kern w:val="2"/>
          <w:sz w:val="28"/>
          <w:szCs w:val="28"/>
        </w:rPr>
        <w:t>为维护医院利益，</w:t>
      </w:r>
      <w:r>
        <w:rPr>
          <w:rFonts w:hint="eastAsia" w:ascii="仿宋_GB2312" w:hAnsi="仿宋_GB2312" w:eastAsia="仿宋_GB2312" w:cs="仿宋_GB2312"/>
          <w:kern w:val="2"/>
          <w:sz w:val="28"/>
          <w:szCs w:val="28"/>
          <w:lang w:val="en-US" w:eastAsia="zh-CN"/>
        </w:rPr>
        <w:t>我院设备院内公开</w:t>
      </w:r>
      <w:r>
        <w:rPr>
          <w:rFonts w:hint="eastAsia" w:ascii="仿宋_GB2312" w:hAnsi="仿宋_GB2312" w:eastAsia="仿宋_GB2312" w:cs="仿宋_GB2312"/>
          <w:kern w:val="2"/>
          <w:sz w:val="28"/>
          <w:szCs w:val="28"/>
        </w:rPr>
        <w:t>谈判</w:t>
      </w:r>
      <w:r>
        <w:rPr>
          <w:rFonts w:hint="eastAsia" w:ascii="仿宋_GB2312" w:hAnsi="仿宋_GB2312" w:eastAsia="仿宋_GB2312" w:cs="仿宋_GB2312"/>
          <w:kern w:val="2"/>
          <w:sz w:val="28"/>
          <w:szCs w:val="28"/>
          <w:lang w:val="en-US" w:eastAsia="zh-CN"/>
        </w:rPr>
        <w:t>/性价比-质价比调研</w:t>
      </w:r>
      <w:r>
        <w:rPr>
          <w:rFonts w:hint="eastAsia" w:ascii="仿宋_GB2312" w:hAnsi="仿宋_GB2312" w:eastAsia="仿宋_GB2312" w:cs="仿宋_GB2312"/>
          <w:kern w:val="2"/>
          <w:sz w:val="28"/>
          <w:szCs w:val="28"/>
        </w:rPr>
        <w:t>通常采用</w:t>
      </w:r>
      <w:r>
        <w:rPr>
          <w:rFonts w:hint="eastAsia" w:ascii="仿宋_GB2312" w:hAnsi="仿宋_GB2312" w:eastAsia="仿宋_GB2312" w:cs="仿宋_GB2312"/>
          <w:b/>
          <w:bCs/>
          <w:kern w:val="2"/>
          <w:sz w:val="28"/>
          <w:szCs w:val="28"/>
        </w:rPr>
        <w:t>两轮</w:t>
      </w:r>
      <w:r>
        <w:rPr>
          <w:rFonts w:hint="eastAsia" w:ascii="仿宋_GB2312" w:hAnsi="仿宋_GB2312" w:eastAsia="仿宋_GB2312" w:cs="仿宋_GB2312"/>
          <w:kern w:val="2"/>
          <w:sz w:val="28"/>
          <w:szCs w:val="28"/>
        </w:rPr>
        <w:t>报价形式。</w:t>
      </w:r>
      <w:r>
        <w:rPr>
          <w:rFonts w:hint="eastAsia" w:ascii="仿宋_GB2312" w:hAnsi="仿宋_GB2312" w:eastAsia="仿宋_GB2312" w:cs="仿宋_GB2312"/>
          <w:b/>
          <w:bCs/>
          <w:kern w:val="2"/>
          <w:sz w:val="28"/>
          <w:szCs w:val="28"/>
        </w:rPr>
        <w:t>第一轮报价为</w:t>
      </w:r>
      <w:r>
        <w:rPr>
          <w:rFonts w:hint="eastAsia" w:ascii="仿宋_GB2312" w:hAnsi="仿宋_GB2312" w:eastAsia="仿宋_GB2312" w:cs="仿宋_GB2312"/>
          <w:b/>
          <w:bCs/>
          <w:kern w:val="2"/>
          <w:sz w:val="28"/>
          <w:szCs w:val="28"/>
          <w:lang w:val="en-US" w:eastAsia="zh-CN"/>
        </w:rPr>
        <w:t>响应</w:t>
      </w:r>
      <w:r>
        <w:rPr>
          <w:rFonts w:hint="eastAsia" w:ascii="仿宋_GB2312" w:hAnsi="仿宋_GB2312" w:eastAsia="仿宋_GB2312" w:cs="仿宋_GB2312"/>
          <w:b/>
          <w:bCs/>
          <w:kern w:val="2"/>
          <w:sz w:val="28"/>
          <w:szCs w:val="28"/>
        </w:rPr>
        <w:t>文件报价</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供应商</w:t>
      </w:r>
      <w:r>
        <w:rPr>
          <w:rFonts w:hint="eastAsia" w:ascii="仿宋_GB2312" w:hAnsi="仿宋_GB2312" w:eastAsia="仿宋_GB2312" w:cs="仿宋_GB2312"/>
          <w:kern w:val="2"/>
          <w:sz w:val="28"/>
          <w:szCs w:val="28"/>
        </w:rPr>
        <w:t>根据抽签顺序依次进场</w:t>
      </w:r>
      <w:r>
        <w:rPr>
          <w:rFonts w:hint="eastAsia" w:ascii="仿宋_GB2312" w:hAnsi="仿宋_GB2312" w:eastAsia="仿宋_GB2312" w:cs="仿宋_GB2312"/>
          <w:kern w:val="2"/>
          <w:sz w:val="28"/>
          <w:szCs w:val="28"/>
          <w:lang w:val="en-US" w:eastAsia="zh-CN"/>
        </w:rPr>
        <w:t>介绍企业情况、产品</w:t>
      </w:r>
      <w:r>
        <w:rPr>
          <w:rFonts w:hint="eastAsia" w:ascii="仿宋_GB2312" w:hAnsi="仿宋_GB2312" w:eastAsia="仿宋_GB2312" w:cs="仿宋_GB2312"/>
          <w:kern w:val="2"/>
          <w:sz w:val="28"/>
          <w:szCs w:val="28"/>
        </w:rPr>
        <w:t>技术特点</w:t>
      </w:r>
      <w:r>
        <w:rPr>
          <w:rFonts w:hint="eastAsia" w:ascii="仿宋_GB2312" w:hAnsi="仿宋_GB2312" w:eastAsia="仿宋_GB2312" w:cs="仿宋_GB2312"/>
          <w:kern w:val="2"/>
          <w:sz w:val="28"/>
          <w:szCs w:val="28"/>
          <w:lang w:val="en-US" w:eastAsia="zh-CN"/>
        </w:rPr>
        <w:t>和</w:t>
      </w:r>
      <w:r>
        <w:rPr>
          <w:rFonts w:hint="eastAsia" w:ascii="仿宋_GB2312" w:hAnsi="仿宋_GB2312" w:eastAsia="仿宋_GB2312" w:cs="仿宋_GB2312"/>
          <w:kern w:val="2"/>
          <w:sz w:val="28"/>
          <w:szCs w:val="28"/>
        </w:rPr>
        <w:t>市场应用情况、售后服务及保障能力等方面</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医院谈判小组根据供应商资料及查询到材料咨询相关问题，结束后供应商到会议室外填写二轮报价单</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b/>
          <w:bCs/>
          <w:kern w:val="2"/>
          <w:sz w:val="28"/>
          <w:szCs w:val="28"/>
        </w:rPr>
        <w:t>二轮报价为最终报价</w:t>
      </w:r>
      <w:r>
        <w:rPr>
          <w:rFonts w:hint="eastAsia" w:ascii="仿宋_GB2312" w:hAnsi="仿宋_GB2312" w:eastAsia="仿宋_GB2312" w:cs="仿宋_GB2312"/>
          <w:kern w:val="2"/>
          <w:sz w:val="28"/>
          <w:szCs w:val="28"/>
        </w:rPr>
        <w:t>，包含相应保修、培训及补充说明等，实行最高限价，不得超过拟采购项目预算价，否则为无效报价。</w:t>
      </w:r>
    </w:p>
    <w:p>
      <w:pPr>
        <w:pStyle w:val="9"/>
        <w:adjustRightInd w:val="0"/>
        <w:spacing w:before="160" w:after="160"/>
        <w:ind w:firstLine="560" w:firstLineChars="200"/>
        <w:contextualSpacing/>
        <w:rPr>
          <w:rFonts w:hint="default" w:ascii="方正仿宋_GBK" w:eastAsia="仿宋_GB2312"/>
          <w:b/>
          <w:sz w:val="32"/>
          <w:lang w:val="en-US" w:eastAsia="zh-CN"/>
        </w:rPr>
      </w:pPr>
      <w:r>
        <w:rPr>
          <w:rFonts w:hint="eastAsia" w:ascii="仿宋_GB2312" w:hAnsi="仿宋_GB2312" w:eastAsia="仿宋_GB2312" w:cs="仿宋_GB2312"/>
          <w:kern w:val="2"/>
          <w:sz w:val="28"/>
          <w:szCs w:val="28"/>
          <w:lang w:val="en-US" w:eastAsia="zh-CN"/>
        </w:rPr>
        <w:t>我院每周一下午为</w:t>
      </w:r>
      <w:r>
        <w:rPr>
          <w:rFonts w:hint="eastAsia" w:ascii="仿宋_GB2312" w:hAnsi="仿宋_GB2312" w:eastAsia="仿宋_GB2312" w:cs="仿宋_GB2312"/>
          <w:kern w:val="2"/>
          <w:sz w:val="28"/>
          <w:szCs w:val="28"/>
        </w:rPr>
        <w:t>院领导采购接待日</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供应商如有</w:t>
      </w:r>
      <w:r>
        <w:rPr>
          <w:rFonts w:hint="eastAsia" w:ascii="仿宋_GB2312" w:hAnsi="仿宋_GB2312" w:eastAsia="仿宋_GB2312" w:cs="仿宋_GB2312"/>
          <w:kern w:val="2"/>
          <w:sz w:val="28"/>
          <w:szCs w:val="28"/>
        </w:rPr>
        <w:t>产品介绍等采购相关事宜</w:t>
      </w:r>
      <w:r>
        <w:rPr>
          <w:rFonts w:hint="eastAsia" w:ascii="仿宋_GB2312" w:hAnsi="仿宋_GB2312" w:eastAsia="仿宋_GB2312" w:cs="仿宋_GB2312"/>
          <w:kern w:val="2"/>
          <w:sz w:val="28"/>
          <w:szCs w:val="28"/>
          <w:lang w:val="en-US" w:eastAsia="zh-CN"/>
        </w:rPr>
        <w:t>可按下述时间和地点参加：</w:t>
      </w:r>
    </w:p>
    <w:p>
      <w:pPr>
        <w:pStyle w:val="9"/>
        <w:adjustRightInd w:val="0"/>
        <w:spacing w:before="160" w:after="160"/>
        <w:ind w:firstLine="560" w:firstLineChars="200"/>
        <w:contextualSpacing/>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时间：</w:t>
      </w:r>
      <w:r>
        <w:rPr>
          <w:rFonts w:hint="eastAsia" w:ascii="仿宋_GB2312" w:hAnsi="仿宋_GB2312" w:eastAsia="仿宋_GB2312" w:cs="仿宋_GB2312"/>
          <w:kern w:val="2"/>
          <w:sz w:val="28"/>
          <w:szCs w:val="28"/>
        </w:rPr>
        <w:t>每周一下午</w:t>
      </w:r>
      <w:r>
        <w:rPr>
          <w:rFonts w:hint="eastAsia" w:ascii="仿宋_GB2312" w:hAnsi="仿宋_GB2312" w:eastAsia="仿宋_GB2312" w:cs="仿宋_GB2312"/>
          <w:kern w:val="2"/>
          <w:sz w:val="28"/>
          <w:szCs w:val="28"/>
          <w:lang w:val="en-US" w:eastAsia="zh-CN"/>
        </w:rPr>
        <w:t>（节假日除外）</w:t>
      </w:r>
      <w:r>
        <w:rPr>
          <w:rFonts w:hint="eastAsia" w:ascii="仿宋_GB2312" w:hAnsi="仿宋_GB2312" w:eastAsia="仿宋_GB2312" w:cs="仿宋_GB2312"/>
          <w:kern w:val="2"/>
          <w:sz w:val="28"/>
          <w:szCs w:val="28"/>
        </w:rPr>
        <w:t>14:30</w:t>
      </w:r>
    </w:p>
    <w:p>
      <w:pPr>
        <w:pStyle w:val="9"/>
        <w:adjustRightInd w:val="0"/>
        <w:spacing w:before="160" w:after="160"/>
        <w:ind w:firstLine="560" w:firstLineChars="200"/>
        <w:contextualSpacing/>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地点：西区行政楼412会议室</w:t>
      </w:r>
    </w:p>
    <w:p>
      <w:pPr>
        <w:pStyle w:val="9"/>
        <w:adjustRightInd w:val="0"/>
        <w:spacing w:before="160" w:after="160"/>
        <w:ind w:firstLine="0" w:firstLineChars="0"/>
        <w:contextualSpacing/>
        <w:rPr>
          <w:rFonts w:hint="eastAsia" w:ascii="方正仿宋_GBK" w:eastAsia="方正仿宋_GBK"/>
          <w:b/>
          <w:sz w:val="32"/>
        </w:rPr>
        <w:sectPr>
          <w:headerReference r:id="rId3" w:type="default"/>
          <w:footerReference r:id="rId4" w:type="default"/>
          <w:pgSz w:w="11906" w:h="16838"/>
          <w:pgMar w:top="1440" w:right="1416" w:bottom="1440" w:left="1560" w:header="851" w:footer="992" w:gutter="0"/>
          <w:cols w:space="425" w:num="1"/>
          <w:docGrid w:type="lines" w:linePitch="312" w:charSpace="0"/>
        </w:sectPr>
      </w:pPr>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附件1封面</w:t>
      </w:r>
    </w:p>
    <w:p>
      <w:pPr>
        <w:pStyle w:val="9"/>
        <w:adjustRightInd w:val="0"/>
        <w:spacing w:before="160" w:after="160" w:line="360" w:lineRule="exact"/>
        <w:ind w:firstLine="0" w:firstLineChars="0"/>
        <w:contextualSpacing/>
        <w:rPr>
          <w:rFonts w:hint="eastAsia" w:ascii="宋体" w:hAnsi="宋体" w:eastAsia="宋体"/>
          <w:szCs w:val="21"/>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b/>
          <w:sz w:val="40"/>
          <w:szCs w:val="40"/>
        </w:rPr>
      </w:pPr>
      <w:r>
        <w:rPr>
          <w:rFonts w:hint="eastAsia"/>
          <w:b/>
          <w:sz w:val="40"/>
          <w:szCs w:val="40"/>
        </w:rPr>
        <w:t>医疗设备采购谈判响应文件</w:t>
      </w:r>
    </w:p>
    <w:p>
      <w:pPr>
        <w:pStyle w:val="2"/>
        <w:rPr>
          <w:rFonts w:hint="eastAsia" w:ascii="宋体" w:hAnsi="宋体" w:eastAsia="宋体"/>
          <w:sz w:val="36"/>
          <w:szCs w:val="18"/>
          <w:u w:val="single"/>
        </w:rPr>
      </w:pPr>
      <w:r>
        <w:rPr>
          <w:sz w:val="36"/>
          <w:szCs w:val="36"/>
        </w:rPr>
        <w:drawing>
          <wp:anchor distT="0" distB="0" distL="114300" distR="114300" simplePos="0" relativeHeight="251660288" behindDoc="0" locked="0" layoutInCell="1" allowOverlap="1">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032375" cy="4514850"/>
                    </a:xfrm>
                    <a:prstGeom prst="rect">
                      <a:avLst/>
                    </a:prstGeom>
                    <a:noFill/>
                    <a:ln>
                      <a:noFill/>
                    </a:ln>
                  </pic:spPr>
                </pic:pic>
              </a:graphicData>
            </a:graphic>
          </wp:anchor>
        </w:drawing>
      </w:r>
      <w:r>
        <w:rPr>
          <w:rFonts w:hint="eastAsia" w:ascii="宋体" w:hAnsi="宋体" w:eastAsia="宋体"/>
          <w:sz w:val="36"/>
          <w:szCs w:val="18"/>
        </w:rPr>
        <w:t>项目编号：</w:t>
      </w:r>
    </w:p>
    <w:p>
      <w:pPr>
        <w:pStyle w:val="2"/>
        <w:rPr>
          <w:rFonts w:hint="eastAsia" w:ascii="宋体" w:hAnsi="宋体" w:eastAsia="宋体"/>
          <w:sz w:val="36"/>
          <w:szCs w:val="18"/>
        </w:rPr>
      </w:pPr>
      <w:r>
        <w:rPr>
          <w:rFonts w:hint="eastAsia" w:ascii="宋体" w:hAnsi="宋体" w:eastAsia="宋体"/>
          <w:sz w:val="36"/>
          <w:szCs w:val="18"/>
        </w:rPr>
        <w:t>设备名称、型号：</w:t>
      </w:r>
    </w:p>
    <w:p>
      <w:pPr>
        <w:pStyle w:val="2"/>
        <w:rPr>
          <w:rFonts w:hint="eastAsia" w:ascii="宋体" w:hAnsi="宋体" w:eastAsia="宋体"/>
          <w:sz w:val="36"/>
          <w:szCs w:val="18"/>
        </w:rPr>
      </w:pPr>
      <w:r>
        <w:rPr>
          <w:rFonts w:hint="eastAsia" w:ascii="宋体" w:hAnsi="宋体" w:eastAsia="宋体"/>
          <w:sz w:val="36"/>
          <w:szCs w:val="18"/>
        </w:rPr>
        <w:t>公司名称：</w:t>
      </w:r>
    </w:p>
    <w:p>
      <w:pPr>
        <w:pStyle w:val="2"/>
        <w:rPr>
          <w:rFonts w:hint="eastAsia" w:ascii="宋体" w:hAnsi="宋体" w:eastAsia="宋体"/>
          <w:sz w:val="36"/>
          <w:szCs w:val="18"/>
        </w:rPr>
      </w:pPr>
      <w:r>
        <w:rPr>
          <w:rFonts w:hint="eastAsia" w:ascii="宋体" w:hAnsi="宋体" w:eastAsia="宋体"/>
          <w:sz w:val="36"/>
          <w:szCs w:val="18"/>
        </w:rPr>
        <w:t>联系人：</w:t>
      </w:r>
    </w:p>
    <w:p>
      <w:pPr>
        <w:pStyle w:val="2"/>
        <w:rPr>
          <w:rFonts w:hint="eastAsia" w:ascii="宋体" w:hAnsi="宋体" w:eastAsia="宋体"/>
          <w:szCs w:val="21"/>
        </w:rPr>
      </w:pPr>
      <w:r>
        <w:rPr>
          <w:rFonts w:hint="eastAsia" w:ascii="宋体" w:hAnsi="宋体" w:eastAsia="宋体"/>
          <w:sz w:val="36"/>
          <w:szCs w:val="18"/>
        </w:rPr>
        <w:t>联系电话：</w:t>
      </w:r>
    </w:p>
    <w:p>
      <w:pPr>
        <w:pStyle w:val="9"/>
        <w:adjustRightInd w:val="0"/>
        <w:spacing w:before="160" w:after="160"/>
        <w:ind w:firstLine="0" w:firstLineChars="0"/>
        <w:contextualSpacing/>
        <w:rPr>
          <w:rFonts w:ascii="方正仿宋_GBK" w:eastAsia="方正仿宋_GBK"/>
          <w:b/>
          <w:sz w:val="32"/>
        </w:rPr>
      </w:pPr>
      <w:bookmarkStart w:id="3" w:name="_Hlk107847795"/>
    </w:p>
    <w:p>
      <w:pPr>
        <w:pStyle w:val="9"/>
        <w:adjustRightInd w:val="0"/>
        <w:spacing w:before="160" w:after="160"/>
        <w:ind w:firstLine="0" w:firstLineChars="0"/>
        <w:contextualSpacing/>
        <w:rPr>
          <w:rFonts w:ascii="方正仿宋_GBK" w:eastAsia="方正仿宋_GBK"/>
          <w:b/>
          <w:sz w:val="32"/>
        </w:rPr>
      </w:pPr>
      <w:r>
        <w:rPr>
          <w:rFonts w:hint="eastAsia" w:ascii="方正仿宋_GBK" w:eastAsia="方正仿宋_GBK"/>
          <w:b/>
          <w:sz w:val="32"/>
        </w:rPr>
        <w:t>附件2报名产品信息</w:t>
      </w: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tbl>
      <w:tblPr>
        <w:tblStyle w:val="5"/>
        <w:tblpPr w:leftFromText="180" w:rightFromText="180" w:vertAnchor="page" w:horzAnchor="margin" w:tblpXSpec="center" w:tblpY="5311"/>
        <w:tblW w:w="11376" w:type="dxa"/>
        <w:jc w:val="center"/>
        <w:tblLayout w:type="fixed"/>
        <w:tblCellMar>
          <w:top w:w="0" w:type="dxa"/>
          <w:left w:w="108" w:type="dxa"/>
          <w:bottom w:w="0" w:type="dxa"/>
          <w:right w:w="108" w:type="dxa"/>
        </w:tblCellMar>
      </w:tblPr>
      <w:tblGrid>
        <w:gridCol w:w="887"/>
        <w:gridCol w:w="889"/>
        <w:gridCol w:w="889"/>
        <w:gridCol w:w="889"/>
        <w:gridCol w:w="889"/>
        <w:gridCol w:w="656"/>
        <w:gridCol w:w="1057"/>
        <w:gridCol w:w="645"/>
        <w:gridCol w:w="855"/>
        <w:gridCol w:w="780"/>
        <w:gridCol w:w="1290"/>
        <w:gridCol w:w="795"/>
        <w:gridCol w:w="855"/>
      </w:tblGrid>
      <w:tr>
        <w:tblPrEx>
          <w:tblCellMar>
            <w:top w:w="0" w:type="dxa"/>
            <w:left w:w="108" w:type="dxa"/>
            <w:bottom w:w="0" w:type="dxa"/>
            <w:right w:w="108" w:type="dxa"/>
          </w:tblCellMar>
        </w:tblPrEx>
        <w:trPr>
          <w:trHeight w:val="2526" w:hRule="atLeast"/>
          <w:jc w:val="center"/>
        </w:trPr>
        <w:tc>
          <w:tcPr>
            <w:tcW w:w="8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设备名称</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生产厂家信息</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88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65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05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注册证适用范围/预期用途</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铭牌使用年限</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29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耗材/试剂等信息（标明通用/专用）</w:t>
            </w:r>
          </w:p>
        </w:tc>
        <w:tc>
          <w:tcPr>
            <w:tcW w:w="79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交货期</w:t>
            </w:r>
          </w:p>
        </w:tc>
        <w:tc>
          <w:tcPr>
            <w:tcW w:w="8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保修期</w:t>
            </w: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316" w:hRule="atLeast"/>
          <w:jc w:val="center"/>
        </w:trPr>
        <w:tc>
          <w:tcPr>
            <w:tcW w:w="887"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24"/>
                <w:szCs w:val="24"/>
              </w:rPr>
            </w:pPr>
          </w:p>
        </w:tc>
      </w:tr>
    </w:tbl>
    <w:p>
      <w:pPr>
        <w:pStyle w:val="9"/>
        <w:adjustRightInd w:val="0"/>
        <w:spacing w:before="160" w:after="160"/>
        <w:ind w:firstLine="0" w:firstLineChars="0"/>
        <w:contextualSpacing/>
        <w:rPr>
          <w:rFonts w:hint="eastAsia" w:ascii="方正仿宋_GBK" w:eastAsia="方正仿宋_GBK"/>
          <w:b w:val="0"/>
          <w:bCs/>
          <w:sz w:val="24"/>
          <w:szCs w:val="20"/>
          <w:lang w:val="en-US" w:eastAsia="zh-CN"/>
        </w:rPr>
      </w:pPr>
      <w:r>
        <w:rPr>
          <w:rFonts w:hint="eastAsia" w:ascii="方正仿宋_GBK" w:eastAsia="方正仿宋_GBK"/>
          <w:b w:val="0"/>
          <w:bCs/>
          <w:sz w:val="24"/>
          <w:szCs w:val="20"/>
          <w:lang w:val="en-US" w:eastAsia="zh-CN"/>
        </w:rPr>
        <w:t>备注：（1）报名材料提交后未经医院同意不允许更改品牌、型号等主要产品信息。</w:t>
      </w:r>
    </w:p>
    <w:p>
      <w:pPr>
        <w:pStyle w:val="9"/>
        <w:adjustRightInd w:val="0"/>
        <w:spacing w:before="160" w:after="160"/>
        <w:ind w:firstLine="0" w:firstLineChars="0"/>
        <w:contextualSpacing/>
        <w:rPr>
          <w:rFonts w:hint="default" w:ascii="方正仿宋_GBK" w:eastAsia="方正仿宋_GBK"/>
          <w:b w:val="0"/>
          <w:bCs/>
          <w:sz w:val="24"/>
          <w:szCs w:val="20"/>
          <w:lang w:val="en-US" w:eastAsia="zh-CN"/>
        </w:rPr>
      </w:pPr>
      <w:r>
        <w:rPr>
          <w:rFonts w:hint="eastAsia" w:ascii="方正仿宋_GBK" w:eastAsia="方正仿宋_GBK"/>
          <w:b w:val="0"/>
          <w:bCs/>
          <w:sz w:val="24"/>
          <w:szCs w:val="20"/>
          <w:lang w:val="en-US" w:eastAsia="zh-CN"/>
        </w:rPr>
        <w:t xml:space="preserve">      （2）报价不得高于相似业绩中的最低报价。</w:t>
      </w: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p>
    <w:p>
      <w:pPr>
        <w:pStyle w:val="9"/>
        <w:adjustRightInd w:val="0"/>
        <w:spacing w:before="160" w:after="160"/>
        <w:ind w:firstLine="0" w:firstLineChars="0"/>
        <w:contextualSpacing/>
        <w:rPr>
          <w:rFonts w:ascii="方正仿宋_GBK" w:eastAsia="方正仿宋_GBK"/>
          <w:b/>
          <w:sz w:val="32"/>
        </w:rPr>
      </w:pPr>
      <w:r>
        <w:rPr>
          <w:rFonts w:ascii="方正仿宋_GBK" w:eastAsia="方正仿宋_GBK"/>
          <w:b/>
          <w:sz w:val="32"/>
        </w:rPr>
        <w:t>附件</w:t>
      </w:r>
      <w:r>
        <w:rPr>
          <w:rFonts w:hint="eastAsia" w:ascii="方正仿宋_GBK" w:eastAsia="方正仿宋_GBK"/>
          <w:b/>
          <w:sz w:val="32"/>
        </w:rPr>
        <w:t>3</w:t>
      </w:r>
      <w:r>
        <w:rPr>
          <w:rFonts w:ascii="方正仿宋_GBK" w:eastAsia="方正仿宋_GBK"/>
          <w:b/>
          <w:sz w:val="32"/>
        </w:rPr>
        <w:t>：</w:t>
      </w:r>
    </w:p>
    <w:p>
      <w:pPr>
        <w:pStyle w:val="9"/>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003"/>
        <w:gridCol w:w="243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265" w:type="dxa"/>
            <w:vAlign w:val="center"/>
          </w:tcPr>
          <w:p>
            <w:pPr>
              <w:pStyle w:val="9"/>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618" w:type="dxa"/>
            <w:vAlign w:val="center"/>
          </w:tcPr>
          <w:p>
            <w:pPr>
              <w:pStyle w:val="9"/>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843" w:type="dxa"/>
            <w:gridSpan w:val="3"/>
            <w:vAlign w:val="center"/>
          </w:tcPr>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560"/>
              <w:contextualSpacing/>
              <w:jc w:val="center"/>
              <w:rPr>
                <w:rFonts w:ascii="方正仿宋_GBK" w:eastAsia="方正仿宋_GBK"/>
                <w:sz w:val="28"/>
              </w:rPr>
            </w:pPr>
          </w:p>
          <w:p>
            <w:pPr>
              <w:pStyle w:val="9"/>
              <w:adjustRightInd w:val="0"/>
              <w:spacing w:line="360" w:lineRule="exact"/>
              <w:ind w:firstLine="0" w:firstLineChars="0"/>
              <w:contextualSpacing/>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843" w:type="dxa"/>
            <w:gridSpan w:val="3"/>
            <w:vAlign w:val="center"/>
          </w:tcPr>
          <w:p>
            <w:pPr>
              <w:pStyle w:val="9"/>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hint="eastAsia" w:ascii="方正仿宋_GBK" w:eastAsia="方正仿宋_GBK"/>
                <w:sz w:val="28"/>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9"/>
              <w:adjustRightInd w:val="0"/>
              <w:spacing w:line="360" w:lineRule="exact"/>
              <w:ind w:firstLine="560"/>
              <w:contextualSpacing/>
              <w:rPr>
                <w:rFonts w:ascii="方正仿宋_GBK" w:eastAsia="方正仿宋_GBK"/>
                <w:sz w:val="28"/>
              </w:rPr>
            </w:pPr>
          </w:p>
          <w:p>
            <w:pPr>
              <w:pStyle w:val="9"/>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3"/>
    </w:tbl>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 w:val="28"/>
          <w:szCs w:val="28"/>
        </w:rPr>
      </w:pPr>
    </w:p>
    <w:p>
      <w:pPr>
        <w:pStyle w:val="9"/>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附件4：</w:t>
      </w:r>
    </w:p>
    <w:p>
      <w:pPr>
        <w:pStyle w:val="9"/>
        <w:adjustRightInd w:val="0"/>
        <w:spacing w:before="160" w:after="160"/>
        <w:ind w:firstLine="0" w:firstLineChars="0"/>
        <w:contextualSpacing/>
        <w:jc w:val="center"/>
        <w:rPr>
          <w:rFonts w:hint="eastAsia" w:ascii="宋体" w:hAnsi="宋体" w:eastAsia="宋体"/>
          <w:b/>
          <w:sz w:val="28"/>
          <w:szCs w:val="28"/>
        </w:rPr>
      </w:pPr>
      <w:r>
        <w:rPr>
          <w:rFonts w:hint="eastAsia" w:ascii="宋体" w:hAnsi="宋体" w:eastAsia="宋体"/>
          <w:b/>
          <w:sz w:val="28"/>
          <w:szCs w:val="28"/>
        </w:rPr>
        <w:t>配置清单（单台配置）</w:t>
      </w:r>
    </w:p>
    <w:p>
      <w:pPr>
        <w:rPr>
          <w:rFonts w:hint="eastAsia" w:asciiTheme="minorEastAsia" w:hAnsiTheme="minorEastAsia"/>
          <w:b/>
          <w:sz w:val="28"/>
          <w:szCs w:val="28"/>
        </w:rPr>
      </w:pPr>
      <w:r>
        <w:rPr>
          <w:rFonts w:asciiTheme="minorEastAsia" w:hAnsiTheme="minorEastAsia"/>
          <w:b/>
          <w:sz w:val="28"/>
          <w:szCs w:val="28"/>
        </w:rPr>
        <w:t>计划编号：</w:t>
      </w:r>
    </w:p>
    <w:p>
      <w:pPr>
        <w:rPr>
          <w:rFonts w:hint="eastAsia" w:asciiTheme="minorEastAsia" w:hAnsiTheme="minorEastAsia"/>
          <w:b/>
          <w:sz w:val="28"/>
          <w:szCs w:val="28"/>
        </w:rPr>
      </w:pPr>
      <w:r>
        <w:rPr>
          <w:rFonts w:asciiTheme="minorEastAsia" w:hAnsiTheme="minorEastAsia"/>
          <w:b/>
          <w:sz w:val="28"/>
          <w:szCs w:val="28"/>
        </w:rPr>
        <w:t>使用科室：</w:t>
      </w:r>
    </w:p>
    <w:p>
      <w:pPr>
        <w:rPr>
          <w:rFonts w:hint="eastAsia" w:asciiTheme="minorEastAsia" w:hAnsiTheme="minorEastAsia"/>
          <w:b/>
          <w:sz w:val="28"/>
          <w:szCs w:val="28"/>
        </w:rPr>
      </w:pPr>
      <w:r>
        <w:rPr>
          <w:rFonts w:hint="eastAsia" w:asciiTheme="minorEastAsia" w:hAnsiTheme="minorEastAsia"/>
          <w:b/>
          <w:sz w:val="28"/>
          <w:szCs w:val="28"/>
        </w:rPr>
        <w:t>设备单价：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1757"/>
        <w:gridCol w:w="1858"/>
        <w:gridCol w:w="849"/>
        <w:gridCol w:w="1609"/>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序号</w:t>
            </w:r>
          </w:p>
        </w:tc>
        <w:tc>
          <w:tcPr>
            <w:tcW w:w="1757"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名称</w:t>
            </w:r>
          </w:p>
        </w:tc>
        <w:tc>
          <w:tcPr>
            <w:tcW w:w="1858"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型号或货号</w:t>
            </w:r>
          </w:p>
        </w:tc>
        <w:tc>
          <w:tcPr>
            <w:tcW w:w="84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数量</w:t>
            </w:r>
          </w:p>
        </w:tc>
        <w:tc>
          <w:tcPr>
            <w:tcW w:w="160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单价（元）</w:t>
            </w:r>
          </w:p>
        </w:tc>
        <w:tc>
          <w:tcPr>
            <w:tcW w:w="2099"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1</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2</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1" w:type="dxa"/>
          </w:tcPr>
          <w:p>
            <w:pPr>
              <w:widowControl/>
              <w:jc w:val="center"/>
              <w:rPr>
                <w:rFonts w:hint="eastAsia" w:asciiTheme="minorEastAsia" w:hAnsiTheme="minorEastAsia"/>
                <w:b/>
                <w:sz w:val="28"/>
                <w:szCs w:val="28"/>
              </w:rPr>
            </w:pPr>
            <w:r>
              <w:rPr>
                <w:rFonts w:hint="eastAsia" w:asciiTheme="minorEastAsia" w:hAnsiTheme="minorEastAsia"/>
                <w:b/>
                <w:sz w:val="28"/>
                <w:szCs w:val="28"/>
              </w:rPr>
              <w:t>……</w:t>
            </w:r>
          </w:p>
        </w:tc>
        <w:tc>
          <w:tcPr>
            <w:tcW w:w="1757" w:type="dxa"/>
          </w:tcPr>
          <w:p>
            <w:pPr>
              <w:widowControl/>
              <w:jc w:val="center"/>
              <w:rPr>
                <w:rFonts w:hint="eastAsia" w:asciiTheme="minorEastAsia" w:hAnsiTheme="minorEastAsia"/>
                <w:b/>
                <w:sz w:val="28"/>
                <w:szCs w:val="28"/>
              </w:rPr>
            </w:pPr>
          </w:p>
        </w:tc>
        <w:tc>
          <w:tcPr>
            <w:tcW w:w="1858" w:type="dxa"/>
          </w:tcPr>
          <w:p>
            <w:pPr>
              <w:widowControl/>
              <w:jc w:val="center"/>
              <w:rPr>
                <w:rFonts w:hint="eastAsia" w:asciiTheme="minorEastAsia" w:hAnsiTheme="minorEastAsia"/>
                <w:b/>
                <w:sz w:val="28"/>
                <w:szCs w:val="28"/>
              </w:rPr>
            </w:pPr>
          </w:p>
        </w:tc>
        <w:tc>
          <w:tcPr>
            <w:tcW w:w="849" w:type="dxa"/>
          </w:tcPr>
          <w:p>
            <w:pPr>
              <w:widowControl/>
              <w:jc w:val="center"/>
              <w:rPr>
                <w:rFonts w:hint="eastAsia" w:asciiTheme="minorEastAsia" w:hAnsiTheme="minorEastAsia"/>
                <w:b/>
                <w:sz w:val="28"/>
                <w:szCs w:val="28"/>
              </w:rPr>
            </w:pPr>
          </w:p>
        </w:tc>
        <w:tc>
          <w:tcPr>
            <w:tcW w:w="1609" w:type="dxa"/>
          </w:tcPr>
          <w:p>
            <w:pPr>
              <w:widowControl/>
              <w:jc w:val="center"/>
              <w:rPr>
                <w:rFonts w:hint="eastAsia" w:asciiTheme="minorEastAsia" w:hAnsiTheme="minorEastAsia"/>
                <w:b/>
                <w:sz w:val="28"/>
                <w:szCs w:val="28"/>
              </w:rPr>
            </w:pPr>
          </w:p>
        </w:tc>
        <w:tc>
          <w:tcPr>
            <w:tcW w:w="2099" w:type="dxa"/>
          </w:tcPr>
          <w:p>
            <w:pPr>
              <w:widowControl/>
              <w:jc w:val="center"/>
              <w:rPr>
                <w:rFonts w:hint="eastAsia" w:asciiTheme="minorEastAsia" w:hAnsiTheme="minorEastAsia"/>
                <w:b/>
                <w:sz w:val="28"/>
                <w:szCs w:val="28"/>
              </w:rPr>
            </w:pPr>
          </w:p>
        </w:tc>
      </w:tr>
    </w:tbl>
    <w:p>
      <w:pPr>
        <w:widowControl/>
        <w:jc w:val="left"/>
        <w:rPr>
          <w:rFonts w:hint="eastAsia"/>
          <w:sz w:val="28"/>
          <w:szCs w:val="28"/>
        </w:rPr>
      </w:pPr>
      <w:r>
        <w:rPr>
          <w:rFonts w:hint="eastAsia"/>
          <w:sz w:val="28"/>
          <w:szCs w:val="28"/>
        </w:rPr>
        <w:t>注：</w:t>
      </w: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sz w:val="28"/>
          <w:szCs w:val="28"/>
        </w:rPr>
        <w:t>测试、试用、调试等耗材和零件也需填入上表。</w:t>
      </w:r>
    </w:p>
    <w:p>
      <w:pPr>
        <w:widowControl/>
        <w:jc w:val="left"/>
        <w:rPr>
          <w:rFonts w:hint="default" w:eastAsiaTheme="minorEastAsia"/>
          <w:sz w:val="28"/>
          <w:szCs w:val="28"/>
          <w:lang w:val="en-US" w:eastAsia="zh-CN"/>
        </w:rPr>
      </w:pPr>
      <w:r>
        <w:rPr>
          <w:rFonts w:hint="eastAsia"/>
          <w:sz w:val="28"/>
          <w:szCs w:val="28"/>
          <w:lang w:val="en-US" w:eastAsia="zh-CN"/>
        </w:rPr>
        <w:t xml:space="preserve">    （2）涉及软件的请列出所有软件清单。</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9"/>
        <w:adjustRightInd w:val="0"/>
        <w:spacing w:before="160" w:after="160"/>
        <w:ind w:firstLine="0" w:firstLineChars="0"/>
        <w:contextualSpacing/>
        <w:rPr>
          <w:rFonts w:hint="eastAsia" w:ascii="宋体" w:hAnsi="宋体" w:eastAsia="宋体"/>
          <w:b/>
          <w:szCs w:val="21"/>
        </w:rPr>
      </w:pPr>
      <w:r>
        <w:rPr>
          <w:rFonts w:hint="eastAsia" w:ascii="宋体" w:hAnsi="宋体" w:eastAsia="宋体"/>
          <w:b/>
          <w:sz w:val="28"/>
          <w:szCs w:val="28"/>
        </w:rPr>
        <w:t>附件5：售后服务条款</w:t>
      </w:r>
    </w:p>
    <w:p>
      <w:pPr>
        <w:adjustRightInd w:val="0"/>
        <w:spacing w:before="160" w:after="160"/>
        <w:contextualSpacing/>
        <w:jc w:val="left"/>
        <w:rPr>
          <w:rFonts w:hint="eastAsia" w:ascii="宋体" w:hAnsi="宋体" w:eastAsia="宋体"/>
          <w:b/>
          <w:szCs w:val="21"/>
        </w:rPr>
      </w:pPr>
      <w:r>
        <w:rPr>
          <w:rFonts w:hint="eastAsia" w:ascii="宋体" w:hAnsi="宋体" w:eastAsia="宋体"/>
          <w:b/>
          <w:kern w:val="0"/>
          <w:szCs w:val="21"/>
        </w:rPr>
        <w:t>甲方：扬州大学附属医院                               乙方：设备供应公司</w:t>
      </w:r>
    </w:p>
    <w:p>
      <w:pPr>
        <w:pStyle w:val="9"/>
        <w:numPr>
          <w:ilvl w:val="0"/>
          <w:numId w:val="2"/>
        </w:numPr>
        <w:adjustRightInd w:val="0"/>
        <w:spacing w:before="160" w:after="160"/>
        <w:ind w:left="-420" w:leftChars="-295" w:right="-109" w:rightChars="-52" w:hanging="199" w:hangingChars="95"/>
        <w:contextualSpacing/>
        <w:jc w:val="distribute"/>
        <w:rPr>
          <w:rFonts w:hint="eastAsia"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乙方负责设备的免费安装和调试，必须提前一周与甲方医学工程处联系，并与医学工程处共同参与，否则引起的一切责任由乙方承担。</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乙方应保证所供设备是原厂包装产品，是全新的，未使用过，并符合国家有关标准、制造厂标准及合同技术标准，</w:t>
      </w:r>
      <w:r>
        <w:rPr>
          <w:rFonts w:hint="eastAsia" w:ascii="宋体" w:hAnsi="宋体" w:eastAsia="宋体"/>
          <w:b/>
          <w:bCs/>
          <w:szCs w:val="21"/>
        </w:rPr>
        <w:t>国产设备到货时须在生产日期6个月以内，进口设备为12个月以内</w:t>
      </w:r>
      <w:r>
        <w:rPr>
          <w:rFonts w:hint="eastAsia" w:ascii="宋体" w:hAnsi="宋体" w:eastAsia="宋体"/>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装机所产生的垃圾必须摆放整齐，不得有影响工作人员、病人及家属安全通过的行为。乙方在装机后24小时内必须完成对包装拆除物的清理。因包装拆除物原因引起的医疗事故和纠纷，由乙方承担全部法律和经济责任。</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上述设备免费保修</w:t>
      </w:r>
      <w:r>
        <w:rPr>
          <w:rFonts w:hint="eastAsia" w:ascii="宋体" w:hAnsi="宋体" w:eastAsia="宋体"/>
          <w:szCs w:val="21"/>
          <w:u w:val="single"/>
        </w:rPr>
        <w:t xml:space="preserve">     </w:t>
      </w:r>
      <w:r>
        <w:rPr>
          <w:rFonts w:hint="eastAsia" w:ascii="宋体" w:hAnsi="宋体" w:eastAsia="宋体"/>
          <w:szCs w:val="21"/>
        </w:rPr>
        <w:t>年，保修范围包括合同中所有配置，</w:t>
      </w:r>
      <w:r>
        <w:rPr>
          <w:rFonts w:hint="eastAsia" w:ascii="宋体" w:hAnsi="宋体" w:eastAsia="宋体"/>
          <w:b/>
          <w:bCs/>
          <w:szCs w:val="21"/>
        </w:rPr>
        <w:t>乙方承诺提供原厂质保，最迟应在设备验收前出具原厂质保承诺函并加盖公章</w:t>
      </w:r>
      <w:r>
        <w:rPr>
          <w:rFonts w:hint="eastAsia" w:ascii="宋体" w:hAnsi="宋体" w:eastAsia="宋体"/>
          <w:szCs w:val="21"/>
        </w:rPr>
        <w:t>。并确保设备保修期内开机率≥95%，如设备故障停机率超过5%（一年按365天计算，每年18天），每超过一天，保修期延长两周</w:t>
      </w:r>
      <w:r>
        <w:rPr>
          <w:rFonts w:hint="eastAsia" w:cs="宋体" w:asciiTheme="minorEastAsia" w:hAnsiTheme="minorEastAsia"/>
          <w:szCs w:val="24"/>
        </w:rPr>
        <w:t>且扣除质保金10%</w:t>
      </w:r>
      <w:r>
        <w:rPr>
          <w:rFonts w:hint="eastAsia" w:ascii="宋体" w:hAnsi="宋体" w:eastAsia="宋体"/>
          <w:szCs w:val="21"/>
        </w:rPr>
        <w:t>。保修期内同一故障经两次维修仍无法修复的，乙方负责包换。保修期满后乙方对本设备负责终身维修。</w:t>
      </w:r>
      <w:r>
        <w:rPr>
          <w:rFonts w:hint="eastAsia" w:cs="宋体" w:asciiTheme="minorEastAsia" w:hAnsiTheme="minorEastAsia"/>
          <w:szCs w:val="24"/>
        </w:rPr>
        <w:t xml:space="preserve"> 出保后，如甲方有需要，乙方设备维保费为设备款的</w:t>
      </w:r>
      <w:r>
        <w:rPr>
          <w:rFonts w:hint="eastAsia" w:cs="宋体" w:asciiTheme="minorEastAsia" w:hAnsiTheme="minorEastAsia"/>
          <w:szCs w:val="24"/>
          <w:u w:val="single"/>
        </w:rPr>
        <w:t xml:space="preserve">   %</w:t>
      </w:r>
      <w:r>
        <w:rPr>
          <w:rFonts w:hint="eastAsia" w:ascii="宋体" w:hAnsi="宋体" w:eastAsia="宋体"/>
          <w:szCs w:val="21"/>
        </w:rPr>
        <w:t>（原则上不允许超过8%）。</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rPr>
        <w:t>次定期维护，包括培训、</w:t>
      </w:r>
      <w:r>
        <w:rPr>
          <w:rFonts w:hint="eastAsia" w:cs="宋体" w:asciiTheme="minorEastAsia" w:hAnsiTheme="minorEastAsia"/>
          <w:szCs w:val="24"/>
        </w:rPr>
        <w:t>保养、维护、检验、校准和检定等服务（不少于2次）</w:t>
      </w:r>
      <w:r>
        <w:rPr>
          <w:rFonts w:hint="eastAsia" w:ascii="宋体" w:hAnsi="宋体" w:eastAsia="宋体"/>
          <w:szCs w:val="21"/>
        </w:rPr>
        <w:t>。</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如设备软件升级，乙方负责免费软件升级，保证软件为最新、最高版本。</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如有设备具有远程维修诊断功能，乙方负责免费为甲方安装。</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乙方免费提供全套资料，含质量保证文件、服务指南、维修说明书、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pPr>
        <w:pStyle w:val="9"/>
        <w:numPr>
          <w:ilvl w:val="0"/>
          <w:numId w:val="2"/>
        </w:numPr>
        <w:adjustRightInd w:val="0"/>
        <w:spacing w:before="160" w:after="160"/>
        <w:ind w:left="-420" w:leftChars="-295" w:right="-109" w:rightChars="-52" w:hanging="199" w:hangingChars="95"/>
        <w:contextualSpacing/>
        <w:rPr>
          <w:rFonts w:hint="eastAsia"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9"/>
        <w:numPr>
          <w:ilvl w:val="0"/>
          <w:numId w:val="2"/>
        </w:numPr>
        <w:adjustRightInd w:val="0"/>
        <w:spacing w:before="160" w:after="160"/>
        <w:ind w:left="-420" w:leftChars="-295" w:right="-109" w:rightChars="-52" w:hanging="199" w:hangingChars="95"/>
        <w:contextualSpacing/>
      </w:pPr>
      <w:r>
        <w:rPr>
          <w:rFonts w:hint="eastAsia" w:ascii="宋体" w:hAnsi="宋体" w:eastAsia="宋体"/>
          <w:szCs w:val="21"/>
        </w:rPr>
        <w:t>如乙方提供的设备设有维修软件密码，乙方保证无条件地为甲方永久免费打开。</w:t>
      </w:r>
    </w:p>
    <w:p>
      <w:pPr>
        <w:pStyle w:val="9"/>
        <w:adjustRightInd w:val="0"/>
        <w:spacing w:before="160" w:after="160"/>
        <w:ind w:firstLine="0" w:firstLineChars="0"/>
        <w:contextualSpacing/>
        <w:rPr>
          <w:rFonts w:hint="eastAsia" w:ascii="宋体" w:hAnsi="宋体" w:eastAsia="宋体"/>
          <w:b/>
          <w:sz w:val="28"/>
          <w:szCs w:val="28"/>
          <w:lang w:val="en-US" w:eastAsia="zh-CN"/>
        </w:rPr>
      </w:pPr>
      <w:r>
        <w:rPr>
          <w:rFonts w:hint="eastAsia" w:ascii="宋体" w:hAnsi="宋体" w:eastAsia="宋体"/>
          <w:b/>
          <w:sz w:val="28"/>
          <w:szCs w:val="28"/>
        </w:rPr>
        <w:t>附件</w:t>
      </w:r>
      <w:r>
        <w:rPr>
          <w:rFonts w:hint="eastAsia" w:ascii="宋体" w:hAnsi="宋体" w:eastAsia="宋体"/>
          <w:b/>
          <w:sz w:val="28"/>
          <w:szCs w:val="28"/>
          <w:lang w:val="en-US" w:eastAsia="zh-CN"/>
        </w:rPr>
        <w:t>6</w:t>
      </w:r>
      <w:r>
        <w:rPr>
          <w:rFonts w:hint="eastAsia" w:ascii="宋体" w:hAnsi="宋体" w:eastAsia="宋体"/>
          <w:b/>
          <w:sz w:val="28"/>
          <w:szCs w:val="28"/>
        </w:rPr>
        <w:t>：</w:t>
      </w:r>
      <w:r>
        <w:rPr>
          <w:rFonts w:hint="eastAsia" w:ascii="宋体" w:hAnsi="宋体" w:eastAsia="宋体"/>
          <w:b/>
          <w:sz w:val="28"/>
          <w:szCs w:val="28"/>
          <w:lang w:val="en-US" w:eastAsia="zh-CN"/>
        </w:rPr>
        <w:t>相似业绩</w:t>
      </w:r>
    </w:p>
    <w:tbl>
      <w:tblPr>
        <w:tblStyle w:val="6"/>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404"/>
        <w:gridCol w:w="1630"/>
        <w:gridCol w:w="1630"/>
        <w:gridCol w:w="131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98"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业绩</w:t>
            </w:r>
          </w:p>
        </w:tc>
        <w:tc>
          <w:tcPr>
            <w:tcW w:w="2404"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单位名称</w:t>
            </w:r>
          </w:p>
        </w:tc>
        <w:tc>
          <w:tcPr>
            <w:tcW w:w="1630"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成交时间</w:t>
            </w:r>
          </w:p>
        </w:tc>
        <w:tc>
          <w:tcPr>
            <w:tcW w:w="1630"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成交单价</w:t>
            </w:r>
          </w:p>
        </w:tc>
        <w:tc>
          <w:tcPr>
            <w:tcW w:w="1311"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质保期</w:t>
            </w:r>
          </w:p>
        </w:tc>
        <w:tc>
          <w:tcPr>
            <w:tcW w:w="2332" w:type="dxa"/>
          </w:tcPr>
          <w:p>
            <w:pPr>
              <w:pStyle w:val="9"/>
              <w:adjustRightInd w:val="0"/>
              <w:spacing w:before="160" w:after="160"/>
              <w:ind w:left="0" w:leftChars="0" w:firstLine="0" w:firstLineChars="0"/>
              <w:contextualSpacing/>
              <w:jc w:val="center"/>
              <w:rPr>
                <w:rFonts w:hint="default" w:ascii="宋体" w:hAnsi="宋体" w:eastAsia="宋体"/>
                <w:b/>
                <w:sz w:val="28"/>
                <w:szCs w:val="28"/>
                <w:vertAlign w:val="baseline"/>
                <w:lang w:val="en-US" w:eastAsia="zh-CN"/>
              </w:rPr>
            </w:pPr>
            <w:r>
              <w:rPr>
                <w:rFonts w:hint="eastAsia" w:ascii="宋体" w:hAnsi="宋体" w:eastAsia="宋体"/>
                <w:b/>
                <w:sz w:val="28"/>
                <w:szCs w:val="28"/>
                <w:vertAlign w:val="baseline"/>
                <w:lang w:val="en-US" w:eastAsia="zh-CN"/>
              </w:rPr>
              <w:t>与我院配置差异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298" w:type="dxa"/>
          </w:tcPr>
          <w:p>
            <w:pPr>
              <w:pStyle w:val="9"/>
              <w:adjustRightInd w:val="0"/>
              <w:spacing w:before="160" w:after="160"/>
              <w:ind w:left="0" w:leftChars="0" w:firstLine="0" w:firstLineChars="0"/>
              <w:contextualSpacing/>
              <w:jc w:val="center"/>
              <w:rPr>
                <w:rFonts w:hint="default"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业绩1</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298" w:type="dxa"/>
          </w:tcPr>
          <w:p>
            <w:pPr>
              <w:pStyle w:val="9"/>
              <w:adjustRightInd w:val="0"/>
              <w:spacing w:before="160" w:after="160"/>
              <w:ind w:left="0" w:leftChars="0" w:firstLine="0" w:firstLineChars="0"/>
              <w:contextualSpacing/>
              <w:jc w:val="center"/>
              <w:rPr>
                <w:rFonts w:hint="eastAsia"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业绩2</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298" w:type="dxa"/>
          </w:tcPr>
          <w:p>
            <w:pPr>
              <w:pStyle w:val="9"/>
              <w:adjustRightInd w:val="0"/>
              <w:spacing w:before="160" w:after="160"/>
              <w:ind w:left="0" w:leftChars="0" w:firstLine="0" w:firstLineChars="0"/>
              <w:contextualSpacing/>
              <w:jc w:val="center"/>
              <w:rPr>
                <w:rFonts w:hint="eastAsia" w:ascii="宋体" w:hAnsi="宋体" w:eastAsia="宋体"/>
                <w:b w:val="0"/>
                <w:bCs/>
                <w:sz w:val="28"/>
                <w:szCs w:val="28"/>
                <w:vertAlign w:val="baseline"/>
                <w:lang w:val="en-US" w:eastAsia="zh-CN"/>
              </w:rPr>
            </w:pPr>
            <w:r>
              <w:rPr>
                <w:rFonts w:hint="eastAsia" w:ascii="宋体" w:hAnsi="宋体" w:eastAsia="宋体"/>
                <w:b w:val="0"/>
                <w:bCs/>
                <w:sz w:val="28"/>
                <w:szCs w:val="28"/>
                <w:vertAlign w:val="baseline"/>
                <w:lang w:val="en-US" w:eastAsia="zh-CN"/>
              </w:rPr>
              <w:t>业绩3</w:t>
            </w:r>
          </w:p>
        </w:tc>
        <w:tc>
          <w:tcPr>
            <w:tcW w:w="2404"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1298"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2404"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630"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1311" w:type="dxa"/>
          </w:tcPr>
          <w:p>
            <w:pPr>
              <w:pStyle w:val="9"/>
              <w:adjustRightInd w:val="0"/>
              <w:spacing w:before="160" w:after="160"/>
              <w:contextualSpacing/>
              <w:rPr>
                <w:rFonts w:hint="eastAsia" w:ascii="宋体" w:hAnsi="宋体" w:eastAsia="宋体"/>
                <w:b/>
                <w:sz w:val="28"/>
                <w:szCs w:val="28"/>
                <w:vertAlign w:val="baseline"/>
                <w:lang w:val="en-US" w:eastAsia="zh-CN"/>
              </w:rPr>
            </w:pPr>
          </w:p>
        </w:tc>
        <w:tc>
          <w:tcPr>
            <w:tcW w:w="2332" w:type="dxa"/>
          </w:tcPr>
          <w:p>
            <w:pPr>
              <w:pStyle w:val="9"/>
              <w:adjustRightInd w:val="0"/>
              <w:spacing w:before="160" w:after="160"/>
              <w:contextualSpacing/>
              <w:rPr>
                <w:rFonts w:hint="eastAsia" w:ascii="宋体" w:hAnsi="宋体" w:eastAsia="宋体"/>
                <w:b/>
                <w:sz w:val="28"/>
                <w:szCs w:val="28"/>
                <w:vertAlign w:val="baseline"/>
                <w:lang w:val="en-US" w:eastAsia="zh-CN"/>
              </w:rPr>
            </w:pPr>
          </w:p>
        </w:tc>
      </w:tr>
    </w:tbl>
    <w:p>
      <w:pPr>
        <w:pStyle w:val="9"/>
        <w:adjustRightInd w:val="0"/>
        <w:spacing w:before="160" w:after="160"/>
        <w:ind w:firstLine="0" w:firstLineChars="0"/>
        <w:contextualSpacing/>
        <w:rPr>
          <w:rFonts w:hint="eastAsia" w:ascii="宋体" w:hAnsi="宋体" w:eastAsia="宋体"/>
          <w:b w:val="0"/>
          <w:bCs/>
          <w:sz w:val="24"/>
          <w:szCs w:val="24"/>
          <w:lang w:val="en-US" w:eastAsia="zh-CN"/>
        </w:rPr>
      </w:pPr>
      <w:r>
        <w:rPr>
          <w:rFonts w:hint="eastAsia" w:ascii="宋体" w:hAnsi="宋体" w:eastAsia="宋体"/>
          <w:b/>
          <w:sz w:val="28"/>
          <w:szCs w:val="28"/>
          <w:lang w:val="en-US" w:eastAsia="zh-CN"/>
        </w:rPr>
        <w:t>备注：</w:t>
      </w:r>
      <w:r>
        <w:rPr>
          <w:rFonts w:hint="eastAsia" w:ascii="宋体" w:hAnsi="宋体" w:eastAsia="宋体"/>
          <w:b w:val="0"/>
          <w:bCs/>
          <w:sz w:val="24"/>
          <w:szCs w:val="24"/>
          <w:lang w:val="en-US" w:eastAsia="zh-CN"/>
        </w:rPr>
        <w:t>（1）附件请按照上述顺序提供合同，我院报价不得高于上诉相似业绩最低价。</w:t>
      </w:r>
    </w:p>
    <w:p>
      <w:pPr>
        <w:pStyle w:val="9"/>
        <w:adjustRightInd w:val="0"/>
        <w:spacing w:before="160" w:after="160"/>
        <w:ind w:firstLine="0" w:firstLineChars="0"/>
        <w:contextualSpacing/>
        <w:rPr>
          <w:rFonts w:hint="default" w:ascii="宋体" w:hAnsi="宋体" w:eastAsia="宋体"/>
          <w:b w:val="0"/>
          <w:bCs/>
          <w:sz w:val="24"/>
          <w:szCs w:val="24"/>
          <w:lang w:val="en-US" w:eastAsia="zh-CN"/>
        </w:rPr>
      </w:pPr>
      <w:r>
        <w:rPr>
          <w:rFonts w:hint="eastAsia" w:ascii="宋体" w:hAnsi="宋体" w:eastAsia="宋体"/>
          <w:b w:val="0"/>
          <w:bCs/>
          <w:sz w:val="24"/>
          <w:szCs w:val="24"/>
          <w:lang w:val="en-US" w:eastAsia="zh-CN"/>
        </w:rPr>
        <w:t xml:space="preserve">       （2）合同请尽量提供近3年的，如近3年无成交请提供情况说明。</w:t>
      </w: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leftChars="-390" w:right="-109" w:rightChars="-52"/>
        <w:contextualSpacing/>
      </w:pPr>
    </w:p>
    <w:p>
      <w:pPr>
        <w:pStyle w:val="9"/>
        <w:numPr>
          <w:ilvl w:val="0"/>
          <w:numId w:val="0"/>
        </w:numPr>
        <w:adjustRightInd w:val="0"/>
        <w:spacing w:before="160" w:after="160"/>
        <w:ind w:right="-109" w:rightChars="-52"/>
        <w:contextualSpacing/>
      </w:pPr>
      <w:bookmarkStart w:id="4" w:name="_GoBack"/>
      <w:bookmarkEnd w:id="4"/>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68"/>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pPr>
    <w:r>
      <w:rPr>
        <w:rFonts w:hint="eastAsia"/>
      </w:rPr>
      <w:t>扬州大学附属医院                                                                     2025年第一版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A05ED"/>
    <w:multiLevelType w:val="multilevel"/>
    <w:tmpl w:val="3CFA05ED"/>
    <w:lvl w:ilvl="0" w:tentative="0">
      <w:start w:val="1"/>
      <w:numFmt w:val="decimal"/>
      <w:suff w:val="nothing"/>
      <w:lvlText w:val="%1."/>
      <w:lvlJc w:val="left"/>
      <w:pPr>
        <w:ind w:left="0" w:firstLine="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
    <w:nsid w:val="3EF3FAF3"/>
    <w:multiLevelType w:val="multilevel"/>
    <w:tmpl w:val="3EF3FAF3"/>
    <w:lvl w:ilvl="0" w:tentative="0">
      <w:start w:val="1"/>
      <w:numFmt w:val="decimal"/>
      <w:suff w:val="nothing"/>
      <w:lvlText w:val="%1."/>
      <w:lvlJc w:val="left"/>
      <w:pPr>
        <w:ind w:left="0" w:firstLine="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57B3CC3"/>
    <w:rsid w:val="0002088B"/>
    <w:rsid w:val="00040679"/>
    <w:rsid w:val="000C7DBA"/>
    <w:rsid w:val="000F11EF"/>
    <w:rsid w:val="004C3E75"/>
    <w:rsid w:val="006850F0"/>
    <w:rsid w:val="00932AA3"/>
    <w:rsid w:val="00972362"/>
    <w:rsid w:val="00D552FE"/>
    <w:rsid w:val="00E02675"/>
    <w:rsid w:val="00F624D6"/>
    <w:rsid w:val="03D035D8"/>
    <w:rsid w:val="04C609C8"/>
    <w:rsid w:val="07F95FA3"/>
    <w:rsid w:val="08065580"/>
    <w:rsid w:val="15405B8D"/>
    <w:rsid w:val="18546358"/>
    <w:rsid w:val="1A9D7FC6"/>
    <w:rsid w:val="1C666F8C"/>
    <w:rsid w:val="1EB63404"/>
    <w:rsid w:val="258204E4"/>
    <w:rsid w:val="263537A8"/>
    <w:rsid w:val="29B07A8D"/>
    <w:rsid w:val="2AE5754B"/>
    <w:rsid w:val="2D4936B5"/>
    <w:rsid w:val="2E9C2616"/>
    <w:rsid w:val="35661288"/>
    <w:rsid w:val="3B2A71FC"/>
    <w:rsid w:val="457B3CC3"/>
    <w:rsid w:val="4A5B242C"/>
    <w:rsid w:val="4CCE1213"/>
    <w:rsid w:val="4D5179EC"/>
    <w:rsid w:val="55676C2B"/>
    <w:rsid w:val="574F62A2"/>
    <w:rsid w:val="5CDC6150"/>
    <w:rsid w:val="5E1B6D31"/>
    <w:rsid w:val="5E987E55"/>
    <w:rsid w:val="626A30C4"/>
    <w:rsid w:val="63D52754"/>
    <w:rsid w:val="654B795B"/>
    <w:rsid w:val="659C675C"/>
    <w:rsid w:val="6692162D"/>
    <w:rsid w:val="6AAF6C52"/>
    <w:rsid w:val="6D853C9A"/>
    <w:rsid w:val="6E5D1DF7"/>
    <w:rsid w:val="6F525DFE"/>
    <w:rsid w:val="72A03324"/>
    <w:rsid w:val="77B21B30"/>
    <w:rsid w:val="788C37AD"/>
    <w:rsid w:val="7E134907"/>
    <w:rsid w:val="7E301A00"/>
    <w:rsid w:val="7FB56661"/>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eastAsia="华文中宋"/>
      <w:kern w:val="0"/>
      <w:sz w:val="44"/>
      <w:szCs w:val="4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26E5" w:themeColor="hyperlink"/>
      <w:u w:val="single"/>
      <w14:textFill>
        <w14:solidFill>
          <w14:schemeClr w14:val="hlink"/>
        </w14:solidFill>
      </w14:textFill>
    </w:rPr>
  </w:style>
  <w:style w:type="paragraph" w:styleId="9">
    <w:name w:val="List Paragraph"/>
    <w:basedOn w:val="1"/>
    <w:autoRedefine/>
    <w:qFormat/>
    <w:uiPriority w:val="34"/>
    <w:pPr>
      <w:ind w:firstLine="420" w:firstLineChars="200"/>
    </w:pPr>
  </w:style>
  <w:style w:type="character" w:customStyle="1" w:styleId="10">
    <w:name w:val="未处理的提及1"/>
    <w:basedOn w:val="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1632</Words>
  <Characters>1666</Characters>
  <Lines>151</Lines>
  <Paragraphs>96</Paragraphs>
  <TotalTime>2</TotalTime>
  <ScaleCrop>false</ScaleCrop>
  <LinksUpToDate>false</LinksUpToDate>
  <CharactersWithSpaces>3202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2025-06-23T02:34:00Z</dcterms:created>
  <dc:creator>胡永田</dc:creator>
  <cp:lastModifiedBy>胡永田</cp:lastModifiedBy>
  <dcterms:modified xsi:type="dcterms:W3CDTF">2026-05-11T08:46:54Z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